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0F44C">
      <w:pPr>
        <w:wordWrap w:val="0"/>
        <w:spacing w:line="360" w:lineRule="auto"/>
        <w:ind w:firstLine="1040"/>
        <w:jc w:val="center"/>
        <w:rPr>
          <w:rFonts w:hint="default" w:ascii="宋体" w:hAnsi="宋体" w:eastAsia="宋体" w:cs="宋体"/>
          <w:color w:val="auto"/>
          <w:sz w:val="52"/>
          <w:szCs w:val="52"/>
          <w:highlight w:val="none"/>
          <w:lang w:val="en-US" w:eastAsia="zh-CN"/>
        </w:rPr>
      </w:pPr>
      <w:r>
        <w:rPr>
          <w:rFonts w:hint="eastAsia" w:ascii="宋体" w:hAnsi="宋体" w:cs="宋体"/>
          <w:color w:val="auto"/>
          <w:sz w:val="52"/>
          <w:szCs w:val="52"/>
          <w:highlight w:val="none"/>
          <w:lang w:val="en-US" w:eastAsia="zh-CN"/>
        </w:rPr>
        <w:drawing>
          <wp:anchor distT="0" distB="0" distL="114300" distR="114300" simplePos="0" relativeHeight="251660288" behindDoc="0" locked="0" layoutInCell="1" allowOverlap="1">
            <wp:simplePos x="0" y="0"/>
            <wp:positionH relativeFrom="column">
              <wp:posOffset>-675005</wp:posOffset>
            </wp:positionH>
            <wp:positionV relativeFrom="paragraph">
              <wp:posOffset>-903605</wp:posOffset>
            </wp:positionV>
            <wp:extent cx="7586345" cy="10728325"/>
            <wp:effectExtent l="0" t="0" r="14605" b="15875"/>
            <wp:wrapNone/>
            <wp:docPr id="1" name="图片 1" descr="20260818090424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60818090424_页面_1"/>
                    <pic:cNvPicPr>
                      <a:picLocks noChangeAspect="1"/>
                    </pic:cNvPicPr>
                  </pic:nvPicPr>
                  <pic:blipFill>
                    <a:blip r:embed="rId12"/>
                    <a:stretch>
                      <a:fillRect/>
                    </a:stretch>
                  </pic:blipFill>
                  <pic:spPr>
                    <a:xfrm>
                      <a:off x="0" y="0"/>
                      <a:ext cx="7586345" cy="10728325"/>
                    </a:xfrm>
                    <a:prstGeom prst="rect">
                      <a:avLst/>
                    </a:prstGeom>
                  </pic:spPr>
                </pic:pic>
              </a:graphicData>
            </a:graphic>
          </wp:anchor>
        </w:drawing>
      </w:r>
      <w:r>
        <w:rPr>
          <w:rFonts w:hint="eastAsia" w:ascii="宋体" w:hAnsi="宋体" w:cs="宋体"/>
          <w:color w:val="auto"/>
          <w:sz w:val="52"/>
          <w:szCs w:val="52"/>
          <w:highlight w:val="none"/>
          <w:lang w:val="en-US" w:eastAsia="zh-CN"/>
        </w:rPr>
        <w:t xml:space="preserve">      </w:t>
      </w:r>
    </w:p>
    <w:p w14:paraId="1F6D34F2">
      <w:pPr>
        <w:pStyle w:val="14"/>
        <w:ind w:firstLine="360"/>
        <w:rPr>
          <w:color w:val="auto"/>
          <w:highlight w:val="none"/>
        </w:rPr>
      </w:pPr>
    </w:p>
    <w:p w14:paraId="0ADD0582">
      <w:pPr>
        <w:wordWrap w:val="0"/>
        <w:spacing w:line="360" w:lineRule="auto"/>
        <w:ind w:firstLine="1040"/>
        <w:jc w:val="center"/>
        <w:rPr>
          <w:rFonts w:hint="eastAsia" w:ascii="宋体" w:hAnsi="宋体" w:cs="宋体"/>
          <w:color w:val="auto"/>
          <w:sz w:val="52"/>
          <w:szCs w:val="52"/>
          <w:highlight w:val="none"/>
        </w:rPr>
      </w:pPr>
      <w:r>
        <w:rPr>
          <w:rFonts w:hint="eastAsia" w:ascii="宋体" w:hAnsi="宋体" w:cs="宋体"/>
          <w:color w:val="auto"/>
          <w:sz w:val="52"/>
          <w:szCs w:val="52"/>
          <w:highlight w:val="none"/>
        </w:rPr>
        <w:t>南宁市政府采购</w:t>
      </w:r>
    </w:p>
    <w:p w14:paraId="4C4E9669">
      <w:pPr>
        <w:wordWrap w:val="0"/>
        <w:spacing w:line="360" w:lineRule="auto"/>
        <w:ind w:firstLine="1040"/>
        <w:jc w:val="center"/>
        <w:rPr>
          <w:rFonts w:hint="eastAsia" w:ascii="宋体" w:hAnsi="宋体" w:cs="宋体"/>
          <w:color w:val="auto"/>
          <w:sz w:val="52"/>
          <w:szCs w:val="52"/>
          <w:highlight w:val="none"/>
        </w:rPr>
      </w:pPr>
      <w:r>
        <w:rPr>
          <w:rFonts w:hint="eastAsia" w:ascii="宋体" w:hAnsi="宋体" w:cs="宋体"/>
          <w:color w:val="auto"/>
          <w:sz w:val="52"/>
          <w:szCs w:val="52"/>
          <w:highlight w:val="none"/>
        </w:rPr>
        <w:t>公开招标文件（服务类）</w:t>
      </w:r>
    </w:p>
    <w:p w14:paraId="2C7E090E">
      <w:pPr>
        <w:wordWrap w:val="0"/>
        <w:spacing w:line="360" w:lineRule="auto"/>
        <w:ind w:firstLine="964"/>
        <w:jc w:val="center"/>
        <w:rPr>
          <w:rFonts w:hint="eastAsia" w:ascii="宋体" w:hAnsi="宋体" w:cs="宋体"/>
          <w:b/>
          <w:color w:val="auto"/>
          <w:sz w:val="48"/>
          <w:szCs w:val="48"/>
          <w:highlight w:val="none"/>
        </w:rPr>
      </w:pPr>
    </w:p>
    <w:p w14:paraId="1AB4EC07">
      <w:pPr>
        <w:wordWrap w:val="0"/>
        <w:spacing w:line="360" w:lineRule="auto"/>
        <w:ind w:firstLine="964"/>
        <w:jc w:val="center"/>
        <w:rPr>
          <w:rFonts w:hint="eastAsia" w:ascii="宋体" w:hAnsi="宋体" w:cs="宋体"/>
          <w:b/>
          <w:color w:val="auto"/>
          <w:sz w:val="48"/>
          <w:szCs w:val="48"/>
          <w:highlight w:val="none"/>
        </w:rPr>
      </w:pPr>
    </w:p>
    <w:p w14:paraId="062FD814">
      <w:pPr>
        <w:wordWrap w:val="0"/>
        <w:snapToGrid w:val="0"/>
        <w:spacing w:line="360" w:lineRule="auto"/>
        <w:ind w:firstLine="1440"/>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招 标 文 件</w:t>
      </w:r>
    </w:p>
    <w:p w14:paraId="5C58E926">
      <w:pPr>
        <w:wordWrap w:val="0"/>
        <w:snapToGrid w:val="0"/>
        <w:spacing w:line="360" w:lineRule="auto"/>
        <w:ind w:firstLine="600"/>
        <w:jc w:val="center"/>
        <w:rPr>
          <w:rFonts w:hint="eastAsia" w:ascii="宋体" w:hAnsi="宋体" w:cs="宋体"/>
          <w:color w:val="auto"/>
          <w:sz w:val="30"/>
          <w:szCs w:val="72"/>
          <w:highlight w:val="none"/>
        </w:rPr>
      </w:pPr>
      <w:r>
        <w:rPr>
          <w:rFonts w:hint="eastAsia" w:ascii="宋体" w:hAnsi="宋体" w:cs="宋体"/>
          <w:color w:val="auto"/>
          <w:sz w:val="30"/>
          <w:szCs w:val="72"/>
          <w:highlight w:val="none"/>
        </w:rPr>
        <w:t>（全流程电子化评标）</w:t>
      </w:r>
    </w:p>
    <w:p w14:paraId="2335357A">
      <w:pPr>
        <w:spacing w:line="800" w:lineRule="exact"/>
        <w:ind w:left="0" w:leftChars="0" w:firstLine="2108" w:firstLineChars="700"/>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项目名称：南宁市“智慧人社”软件配套服务</w:t>
      </w:r>
    </w:p>
    <w:p w14:paraId="791B0058">
      <w:pPr>
        <w:pStyle w:val="12"/>
        <w:snapToGrid w:val="0"/>
        <w:spacing w:line="800" w:lineRule="exact"/>
        <w:ind w:left="0" w:leftChars="0" w:firstLine="2108" w:firstLineChars="700"/>
        <w:rPr>
          <w:rFonts w:hint="eastAsia" w:hAnsi="宋体" w:eastAsia="宋体" w:cs="宋体"/>
          <w:b/>
          <w:bCs/>
          <w:color w:val="auto"/>
          <w:sz w:val="30"/>
          <w:szCs w:val="30"/>
          <w:highlight w:val="none"/>
          <w:lang w:eastAsia="zh-CN"/>
        </w:rPr>
      </w:pPr>
      <w:r>
        <w:rPr>
          <w:rFonts w:hint="eastAsia" w:hAnsi="宋体" w:cs="宋体"/>
          <w:b/>
          <w:bCs/>
          <w:color w:val="auto"/>
          <w:sz w:val="30"/>
          <w:szCs w:val="30"/>
          <w:highlight w:val="none"/>
        </w:rPr>
        <w:t>项目编号：</w:t>
      </w:r>
      <w:r>
        <w:rPr>
          <w:rFonts w:hint="eastAsia" w:hAnsi="宋体" w:cs="宋体"/>
          <w:b/>
          <w:bCs/>
          <w:color w:val="auto"/>
          <w:sz w:val="30"/>
          <w:szCs w:val="30"/>
          <w:highlight w:val="none"/>
          <w:lang w:eastAsia="zh-CN"/>
        </w:rPr>
        <w:t>NNZC2026-G3-990709-GXYZ</w:t>
      </w:r>
    </w:p>
    <w:p w14:paraId="17F46FFB">
      <w:pPr>
        <w:pStyle w:val="12"/>
        <w:snapToGrid w:val="0"/>
        <w:spacing w:line="800" w:lineRule="exact"/>
        <w:ind w:left="0" w:leftChars="0" w:firstLine="2108" w:firstLineChars="700"/>
        <w:rPr>
          <w:rFonts w:hint="eastAsia" w:hAnsi="宋体" w:cs="宋体"/>
          <w:b/>
          <w:bCs/>
          <w:color w:val="auto"/>
          <w:sz w:val="30"/>
          <w:szCs w:val="30"/>
          <w:highlight w:val="none"/>
        </w:rPr>
      </w:pPr>
      <w:r>
        <w:rPr>
          <w:rFonts w:hint="eastAsia" w:hAnsi="宋体" w:cs="宋体"/>
          <w:b/>
          <w:bCs/>
          <w:color w:val="auto"/>
          <w:sz w:val="30"/>
          <w:szCs w:val="30"/>
          <w:highlight w:val="none"/>
        </w:rPr>
        <w:t>项目所属区划：</w:t>
      </w:r>
      <w:r>
        <w:rPr>
          <w:rFonts w:hint="eastAsia" w:hAnsi="宋体" w:cs="宋体"/>
          <w:b/>
          <w:bCs/>
          <w:color w:val="auto"/>
          <w:sz w:val="30"/>
          <w:szCs w:val="30"/>
          <w:highlight w:val="none"/>
          <w:u w:val="single"/>
        </w:rPr>
        <w:t>南宁市市本级</w:t>
      </w:r>
    </w:p>
    <w:p w14:paraId="1E9A06AE">
      <w:pPr>
        <w:pStyle w:val="12"/>
        <w:snapToGrid w:val="0"/>
        <w:spacing w:line="800" w:lineRule="exact"/>
        <w:ind w:left="0" w:leftChars="0" w:firstLine="2108" w:firstLineChars="700"/>
        <w:rPr>
          <w:rFonts w:hint="eastAsia" w:hAnsi="宋体" w:cs="宋体"/>
          <w:b/>
          <w:bCs/>
          <w:color w:val="auto"/>
          <w:sz w:val="30"/>
          <w:szCs w:val="30"/>
          <w:highlight w:val="none"/>
        </w:rPr>
      </w:pPr>
    </w:p>
    <w:p w14:paraId="7AD7DE5C">
      <w:pPr>
        <w:pStyle w:val="12"/>
        <w:snapToGrid w:val="0"/>
        <w:spacing w:line="800" w:lineRule="exact"/>
        <w:ind w:left="0" w:leftChars="0" w:firstLine="2108" w:firstLineChars="700"/>
        <w:rPr>
          <w:rFonts w:hint="eastAsia" w:hAnsi="宋体" w:cs="宋体"/>
          <w:b/>
          <w:bCs/>
          <w:color w:val="auto"/>
          <w:w w:val="95"/>
          <w:sz w:val="30"/>
          <w:szCs w:val="30"/>
          <w:highlight w:val="none"/>
        </w:rPr>
      </w:pPr>
      <w:r>
        <w:rPr>
          <w:rFonts w:hint="eastAsia" w:hAnsi="宋体" w:cs="宋体"/>
          <w:b/>
          <w:bCs/>
          <w:color w:val="auto"/>
          <w:sz w:val="30"/>
          <w:szCs w:val="30"/>
          <w:highlight w:val="none"/>
        </w:rPr>
        <w:t>采 购 人：</w:t>
      </w:r>
      <w:r>
        <w:rPr>
          <w:rFonts w:hint="eastAsia" w:hAnsi="宋体" w:cs="宋体"/>
          <w:b/>
          <w:bCs/>
          <w:color w:val="auto"/>
          <w:w w:val="95"/>
          <w:sz w:val="30"/>
          <w:szCs w:val="30"/>
          <w:highlight w:val="none"/>
        </w:rPr>
        <w:t>南宁市社会保障卡管理办公室</w:t>
      </w:r>
    </w:p>
    <w:p w14:paraId="488C77A9">
      <w:pPr>
        <w:snapToGrid w:val="0"/>
        <w:spacing w:line="800" w:lineRule="exact"/>
        <w:ind w:left="0" w:leftChars="0" w:firstLine="2003" w:firstLineChars="700"/>
        <w:rPr>
          <w:rFonts w:hint="eastAsia" w:ascii="宋体" w:hAnsi="宋体" w:cs="宋体"/>
          <w:b/>
          <w:bCs/>
          <w:color w:val="auto"/>
          <w:w w:val="95"/>
          <w:sz w:val="30"/>
          <w:szCs w:val="30"/>
          <w:highlight w:val="none"/>
        </w:rPr>
      </w:pPr>
      <w:r>
        <w:rPr>
          <w:rFonts w:hint="eastAsia" w:ascii="宋体" w:hAnsi="宋体" w:cs="宋体"/>
          <w:b/>
          <w:bCs/>
          <w:color w:val="auto"/>
          <w:w w:val="95"/>
          <w:sz w:val="30"/>
          <w:szCs w:val="30"/>
          <w:highlight w:val="none"/>
        </w:rPr>
        <w:t>采购代理机构：广西邕政采购代理有限公司</w:t>
      </w:r>
    </w:p>
    <w:p w14:paraId="3245AA4B">
      <w:pPr>
        <w:wordWrap w:val="0"/>
        <w:snapToGrid w:val="0"/>
        <w:spacing w:line="800" w:lineRule="exact"/>
        <w:ind w:firstLine="602"/>
        <w:jc w:val="center"/>
        <w:rPr>
          <w:rFonts w:hint="eastAsia" w:ascii="宋体" w:hAnsi="宋体" w:cs="宋体"/>
          <w:color w:val="auto"/>
          <w:sz w:val="30"/>
          <w:szCs w:val="72"/>
          <w:highlight w:val="none"/>
        </w:rPr>
      </w:pPr>
      <w:r>
        <w:rPr>
          <w:rFonts w:hint="eastAsia" w:ascii="宋体" w:hAnsi="宋体" w:cs="宋体"/>
          <w:b/>
          <w:bCs/>
          <w:color w:val="auto"/>
          <w:sz w:val="30"/>
          <w:szCs w:val="30"/>
          <w:highlight w:val="none"/>
        </w:rPr>
        <w:t>2026年</w:t>
      </w:r>
      <w:r>
        <w:rPr>
          <w:rFonts w:hint="eastAsia" w:ascii="宋体" w:hAnsi="宋体" w:cs="宋体"/>
          <w:b/>
          <w:bCs/>
          <w:color w:val="auto"/>
          <w:sz w:val="30"/>
          <w:szCs w:val="30"/>
          <w:highlight w:val="none"/>
          <w:lang w:val="en-US" w:eastAsia="zh-CN"/>
        </w:rPr>
        <w:t>8</w:t>
      </w:r>
      <w:r>
        <w:rPr>
          <w:rFonts w:hint="eastAsia" w:ascii="宋体" w:hAnsi="宋体" w:cs="宋体"/>
          <w:b/>
          <w:bCs/>
          <w:color w:val="auto"/>
          <w:sz w:val="30"/>
          <w:szCs w:val="30"/>
          <w:highlight w:val="none"/>
        </w:rPr>
        <w:t>月</w:t>
      </w:r>
    </w:p>
    <w:p w14:paraId="523E32CC">
      <w:pPr>
        <w:pStyle w:val="21"/>
        <w:ind w:firstLine="600"/>
        <w:rPr>
          <w:rFonts w:hint="eastAsia" w:ascii="宋体" w:hAnsi="宋体" w:cs="宋体"/>
          <w:color w:val="auto"/>
          <w:sz w:val="30"/>
          <w:szCs w:val="72"/>
          <w:highlight w:val="none"/>
        </w:rPr>
      </w:pPr>
    </w:p>
    <w:p w14:paraId="23FA9B45">
      <w:pPr>
        <w:pStyle w:val="12"/>
        <w:wordWrap w:val="0"/>
        <w:spacing w:line="360" w:lineRule="auto"/>
        <w:ind w:firstLine="964"/>
        <w:jc w:val="center"/>
        <w:rPr>
          <w:rFonts w:hint="eastAsia" w:hAnsi="宋体" w:cs="宋体"/>
          <w:b/>
          <w:color w:val="auto"/>
          <w:sz w:val="48"/>
          <w:szCs w:val="48"/>
          <w:highlight w:val="none"/>
        </w:rPr>
        <w:sectPr>
          <w:headerReference r:id="rId3" w:type="default"/>
          <w:pgSz w:w="11906" w:h="16838"/>
          <w:pgMar w:top="1440" w:right="1080" w:bottom="1440" w:left="1080" w:header="720" w:footer="720" w:gutter="0"/>
          <w:pgNumType w:start="1"/>
          <w:cols w:space="720" w:num="1"/>
          <w:docGrid w:type="lines" w:linePitch="331" w:charSpace="0"/>
        </w:sectPr>
      </w:pPr>
    </w:p>
    <w:p w14:paraId="27F7910B">
      <w:pPr>
        <w:pStyle w:val="12"/>
        <w:wordWrap w:val="0"/>
        <w:spacing w:line="360" w:lineRule="auto"/>
        <w:ind w:firstLine="964"/>
        <w:jc w:val="center"/>
        <w:rPr>
          <w:rFonts w:hint="eastAsia" w:hAnsi="宋体" w:cs="宋体"/>
          <w:b/>
          <w:color w:val="auto"/>
          <w:sz w:val="48"/>
          <w:szCs w:val="48"/>
          <w:highlight w:val="none"/>
        </w:rPr>
      </w:pPr>
      <w:r>
        <w:rPr>
          <w:rFonts w:hint="eastAsia" w:hAnsi="宋体" w:cs="宋体"/>
          <w:b/>
          <w:color w:val="auto"/>
          <w:sz w:val="48"/>
          <w:szCs w:val="48"/>
          <w:highlight w:val="none"/>
        </w:rPr>
        <w:t>目     录</w:t>
      </w:r>
    </w:p>
    <w:p w14:paraId="7E4EFCA7">
      <w:pPr>
        <w:pStyle w:val="16"/>
        <w:tabs>
          <w:tab w:val="right" w:leader="dot" w:pos="9746"/>
        </w:tabs>
        <w:spacing w:before="0" w:after="0" w:line="400" w:lineRule="exact"/>
        <w:ind w:left="0" w:leftChars="0" w:firstLine="419" w:firstLineChars="131"/>
        <w:rPr>
          <w:rFonts w:hint="eastAsia" w:ascii="宋体" w:hAnsi="宋体" w:cs="宋体"/>
          <w:color w:val="auto"/>
          <w:highlight w:val="none"/>
        </w:rPr>
      </w:pPr>
      <w:r>
        <w:rPr>
          <w:rFonts w:hint="eastAsia" w:ascii="宋体" w:hAnsi="宋体" w:cs="宋体"/>
          <w:b w:val="0"/>
          <w:bCs w:val="0"/>
          <w:caps w:val="0"/>
          <w:color w:val="auto"/>
          <w:sz w:val="32"/>
          <w:szCs w:val="32"/>
          <w:highlight w:val="none"/>
        </w:rPr>
        <w:fldChar w:fldCharType="begin"/>
      </w:r>
      <w:r>
        <w:rPr>
          <w:rFonts w:hint="eastAsia" w:ascii="宋体" w:hAnsi="宋体" w:cs="宋体"/>
          <w:b w:val="0"/>
          <w:bCs w:val="0"/>
          <w:caps w:val="0"/>
          <w:color w:val="auto"/>
          <w:sz w:val="32"/>
          <w:szCs w:val="32"/>
          <w:highlight w:val="none"/>
        </w:rPr>
        <w:instrText xml:space="preserve"> TOC \o "1-3" \h \z \u </w:instrText>
      </w:r>
      <w:r>
        <w:rPr>
          <w:rFonts w:hint="eastAsia" w:ascii="宋体" w:hAnsi="宋体" w:cs="宋体"/>
          <w:b w:val="0"/>
          <w:bCs w:val="0"/>
          <w:caps w:val="0"/>
          <w:color w:val="auto"/>
          <w:sz w:val="32"/>
          <w:szCs w:val="32"/>
          <w:highlight w:val="none"/>
        </w:rPr>
        <w:fldChar w:fldCharType="separate"/>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"_Toc29110" </w:instrText>
      </w:r>
      <w:r>
        <w:rPr>
          <w:rFonts w:hint="eastAsia" w:ascii="宋体" w:hAnsi="宋体" w:cs="宋体"/>
          <w:color w:val="auto"/>
          <w:highlight w:val="none"/>
        </w:rPr>
        <w:fldChar w:fldCharType="separate"/>
      </w:r>
      <w:r>
        <w:rPr>
          <w:rFonts w:hint="eastAsia" w:ascii="宋体" w:hAnsi="宋体" w:cs="宋体"/>
          <w:color w:val="auto"/>
          <w:highlight w:val="none"/>
        </w:rPr>
        <w:t>第一章  招标公告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_Toc29110 \h </w:instrText>
      </w:r>
      <w:r>
        <w:rPr>
          <w:rFonts w:hint="eastAsia" w:ascii="宋体" w:hAnsi="宋体" w:cs="宋体"/>
          <w:color w:val="auto"/>
          <w:highlight w:val="none"/>
        </w:rPr>
        <w:fldChar w:fldCharType="separate"/>
      </w:r>
      <w:r>
        <w:rPr>
          <w:rFonts w:hint="eastAsia" w:ascii="宋体" w:hAnsi="宋体" w:cs="宋体"/>
          <w:color w:val="auto"/>
          <w:highlight w:val="none"/>
        </w:rPr>
        <w:t>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364161E">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"_Toc26756" </w:instrText>
      </w:r>
      <w:r>
        <w:rPr>
          <w:color w:val="auto"/>
          <w:highlight w:val="none"/>
        </w:rPr>
        <w:fldChar w:fldCharType="separate"/>
      </w:r>
      <w:r>
        <w:rPr>
          <w:rFonts w:hint="eastAsia" w:ascii="宋体" w:hAnsi="宋体" w:cs="宋体"/>
          <w:color w:val="auto"/>
          <w:highlight w:val="none"/>
        </w:rPr>
        <w:t>第二章  采购需求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_Toc26756 \h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EE691F4">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"_Toc12104" </w:instrText>
      </w:r>
      <w:r>
        <w:rPr>
          <w:color w:val="auto"/>
          <w:highlight w:val="none"/>
        </w:rPr>
        <w:fldChar w:fldCharType="separate"/>
      </w:r>
      <w:r>
        <w:rPr>
          <w:rFonts w:hint="eastAsia" w:ascii="宋体" w:hAnsi="宋体" w:cs="宋体"/>
          <w:color w:val="auto"/>
          <w:highlight w:val="none"/>
        </w:rPr>
        <w:t>第三章  投标人须知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_Toc12104 \h </w:instrText>
      </w:r>
      <w:r>
        <w:rPr>
          <w:rFonts w:hint="eastAsia" w:ascii="宋体" w:hAnsi="宋体" w:cs="宋体"/>
          <w:color w:val="auto"/>
          <w:highlight w:val="none"/>
        </w:rPr>
        <w:fldChar w:fldCharType="separate"/>
      </w:r>
      <w:r>
        <w:rPr>
          <w:rFonts w:hint="eastAsia" w:ascii="宋体" w:hAnsi="宋体" w:cs="宋体"/>
          <w:color w:val="auto"/>
          <w:highlight w:val="none"/>
        </w:rPr>
        <w:t>30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6A7C3E4">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"_Toc14498" </w:instrText>
      </w:r>
      <w:r>
        <w:rPr>
          <w:color w:val="auto"/>
          <w:highlight w:val="none"/>
        </w:rPr>
        <w:fldChar w:fldCharType="separate"/>
      </w:r>
      <w:r>
        <w:rPr>
          <w:rFonts w:hint="eastAsia" w:ascii="宋体" w:hAnsi="宋体" w:cs="宋体"/>
          <w:color w:val="auto"/>
          <w:szCs w:val="30"/>
          <w:highlight w:val="none"/>
        </w:rPr>
        <w:t>第一节 投标人须知前附表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_Toc14498 \h </w:instrText>
      </w:r>
      <w:r>
        <w:rPr>
          <w:rFonts w:hint="eastAsia" w:ascii="宋体" w:hAnsi="宋体" w:cs="宋体"/>
          <w:color w:val="auto"/>
          <w:highlight w:val="none"/>
        </w:rPr>
        <w:fldChar w:fldCharType="separate"/>
      </w:r>
      <w:r>
        <w:rPr>
          <w:rFonts w:hint="eastAsia" w:ascii="宋体" w:hAnsi="宋体" w:cs="宋体"/>
          <w:color w:val="auto"/>
          <w:highlight w:val="none"/>
        </w:rPr>
        <w:t>30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C42F728">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"_Toc9747" </w:instrText>
      </w:r>
      <w:r>
        <w:rPr>
          <w:color w:val="auto"/>
          <w:highlight w:val="none"/>
        </w:rPr>
        <w:fldChar w:fldCharType="separate"/>
      </w:r>
      <w:r>
        <w:rPr>
          <w:rFonts w:hint="eastAsia" w:ascii="宋体" w:hAnsi="宋体" w:cs="宋体"/>
          <w:color w:val="auto"/>
          <w:highlight w:val="none"/>
        </w:rPr>
        <w:t>第二节 投标人须知正文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_Toc9747 \h </w:instrText>
      </w:r>
      <w:r>
        <w:rPr>
          <w:rFonts w:hint="eastAsia" w:ascii="宋体" w:hAnsi="宋体" w:cs="宋体"/>
          <w:color w:val="auto"/>
          <w:highlight w:val="none"/>
        </w:rPr>
        <w:fldChar w:fldCharType="separate"/>
      </w:r>
      <w:r>
        <w:rPr>
          <w:rFonts w:hint="eastAsia" w:ascii="宋体" w:hAnsi="宋体" w:cs="宋体"/>
          <w:color w:val="auto"/>
          <w:highlight w:val="none"/>
        </w:rPr>
        <w:t>36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606437E">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"_Toc6643" </w:instrText>
      </w:r>
      <w:r>
        <w:rPr>
          <w:color w:val="auto"/>
          <w:highlight w:val="none"/>
        </w:rPr>
        <w:fldChar w:fldCharType="separate"/>
      </w:r>
      <w:r>
        <w:rPr>
          <w:rFonts w:hint="eastAsia" w:ascii="宋体" w:hAnsi="宋体" w:cs="宋体"/>
          <w:color w:val="auto"/>
          <w:highlight w:val="none"/>
        </w:rPr>
        <w:t>一、总  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_Toc6643 \h </w:instrText>
      </w:r>
      <w:r>
        <w:rPr>
          <w:rFonts w:hint="eastAsia" w:ascii="宋体" w:hAnsi="宋体" w:cs="宋体"/>
          <w:color w:val="auto"/>
          <w:highlight w:val="none"/>
        </w:rPr>
        <w:fldChar w:fldCharType="separate"/>
      </w:r>
      <w:r>
        <w:rPr>
          <w:rFonts w:hint="eastAsia" w:ascii="宋体" w:hAnsi="宋体" w:cs="宋体"/>
          <w:color w:val="auto"/>
          <w:highlight w:val="none"/>
        </w:rPr>
        <w:t>36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E186CEA">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"_Toc16294" </w:instrText>
      </w:r>
      <w:r>
        <w:rPr>
          <w:color w:val="auto"/>
          <w:highlight w:val="none"/>
        </w:rPr>
        <w:fldChar w:fldCharType="separate"/>
      </w:r>
      <w:r>
        <w:rPr>
          <w:rFonts w:hint="eastAsia" w:ascii="宋体" w:hAnsi="宋体" w:cs="宋体"/>
          <w:color w:val="auto"/>
          <w:highlight w:val="none"/>
        </w:rPr>
        <w:t>二、招标文件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_Toc16294 \h </w:instrText>
      </w:r>
      <w:r>
        <w:rPr>
          <w:rFonts w:hint="eastAsia" w:ascii="宋体" w:hAnsi="宋体" w:cs="宋体"/>
          <w:color w:val="auto"/>
          <w:highlight w:val="none"/>
        </w:rPr>
        <w:fldChar w:fldCharType="separate"/>
      </w:r>
      <w:r>
        <w:rPr>
          <w:rFonts w:hint="eastAsia" w:ascii="宋体" w:hAnsi="宋体" w:cs="宋体"/>
          <w:color w:val="auto"/>
          <w:highlight w:val="none"/>
        </w:rPr>
        <w:t>39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849F818">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"_Toc26824" </w:instrText>
      </w:r>
      <w:r>
        <w:rPr>
          <w:color w:val="auto"/>
          <w:highlight w:val="none"/>
        </w:rPr>
        <w:fldChar w:fldCharType="separate"/>
      </w:r>
      <w:r>
        <w:rPr>
          <w:rFonts w:hint="eastAsia" w:ascii="宋体" w:hAnsi="宋体" w:cs="宋体"/>
          <w:color w:val="auto"/>
          <w:highlight w:val="none"/>
        </w:rPr>
        <w:t>三、投标文件的编制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_Toc26824 \h </w:instrText>
      </w:r>
      <w:r>
        <w:rPr>
          <w:rFonts w:hint="eastAsia" w:ascii="宋体" w:hAnsi="宋体" w:cs="宋体"/>
          <w:color w:val="auto"/>
          <w:highlight w:val="none"/>
        </w:rPr>
        <w:fldChar w:fldCharType="separate"/>
      </w:r>
      <w:r>
        <w:rPr>
          <w:rFonts w:hint="eastAsia" w:ascii="宋体" w:hAnsi="宋体" w:cs="宋体"/>
          <w:color w:val="auto"/>
          <w:highlight w:val="none"/>
        </w:rPr>
        <w:t>40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5A96048">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"_Toc1057" </w:instrText>
      </w:r>
      <w:r>
        <w:rPr>
          <w:color w:val="auto"/>
          <w:highlight w:val="none"/>
        </w:rPr>
        <w:fldChar w:fldCharType="separate"/>
      </w:r>
      <w:r>
        <w:rPr>
          <w:rFonts w:hint="eastAsia" w:ascii="宋体" w:hAnsi="宋体" w:cs="宋体"/>
          <w:color w:val="auto"/>
          <w:highlight w:val="none"/>
        </w:rPr>
        <w:t>四、开    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_Toc1057 \h </w:instrText>
      </w:r>
      <w:r>
        <w:rPr>
          <w:rFonts w:hint="eastAsia" w:ascii="宋体" w:hAnsi="宋体" w:cs="宋体"/>
          <w:color w:val="auto"/>
          <w:highlight w:val="none"/>
        </w:rPr>
        <w:fldChar w:fldCharType="separate"/>
      </w:r>
      <w:r>
        <w:rPr>
          <w:rFonts w:hint="eastAsia" w:ascii="宋体" w:hAnsi="宋体" w:cs="宋体"/>
          <w:color w:val="auto"/>
          <w:highlight w:val="none"/>
        </w:rPr>
        <w:t>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7462B8E">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"_Toc32134" </w:instrText>
      </w:r>
      <w:r>
        <w:rPr>
          <w:color w:val="auto"/>
          <w:highlight w:val="none"/>
        </w:rPr>
        <w:fldChar w:fldCharType="separate"/>
      </w:r>
      <w:r>
        <w:rPr>
          <w:rFonts w:hint="eastAsia" w:ascii="宋体" w:hAnsi="宋体" w:cs="宋体"/>
          <w:color w:val="auto"/>
          <w:highlight w:val="none"/>
        </w:rPr>
        <w:t>五、资格审查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_Toc32134 \h </w:instrText>
      </w:r>
      <w:r>
        <w:rPr>
          <w:rFonts w:hint="eastAsia" w:ascii="宋体" w:hAnsi="宋体" w:cs="宋体"/>
          <w:color w:val="auto"/>
          <w:highlight w:val="none"/>
        </w:rPr>
        <w:fldChar w:fldCharType="separate"/>
      </w:r>
      <w:r>
        <w:rPr>
          <w:rFonts w:hint="eastAsia" w:ascii="宋体" w:hAnsi="宋体" w:cs="宋体"/>
          <w:color w:val="auto"/>
          <w:highlight w:val="none"/>
        </w:rPr>
        <w:t>43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C89E93F">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"_Toc16376" </w:instrText>
      </w:r>
      <w:r>
        <w:rPr>
          <w:color w:val="auto"/>
          <w:highlight w:val="none"/>
        </w:rPr>
        <w:fldChar w:fldCharType="separate"/>
      </w:r>
      <w:r>
        <w:rPr>
          <w:rFonts w:hint="eastAsia" w:ascii="宋体" w:hAnsi="宋体" w:cs="宋体"/>
          <w:color w:val="auto"/>
          <w:highlight w:val="none"/>
        </w:rPr>
        <w:t>六、评   标</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_Toc16376 \h </w:instrText>
      </w:r>
      <w:r>
        <w:rPr>
          <w:rFonts w:hint="eastAsia" w:ascii="宋体" w:hAnsi="宋体" w:cs="宋体"/>
          <w:color w:val="auto"/>
          <w:highlight w:val="none"/>
        </w:rPr>
        <w:fldChar w:fldCharType="separate"/>
      </w:r>
      <w:r>
        <w:rPr>
          <w:rFonts w:hint="eastAsia" w:ascii="宋体" w:hAnsi="宋体" w:cs="宋体"/>
          <w:color w:val="auto"/>
          <w:highlight w:val="none"/>
        </w:rPr>
        <w:t>44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BDD9E07">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"_Toc31214" </w:instrText>
      </w:r>
      <w:r>
        <w:rPr>
          <w:color w:val="auto"/>
          <w:highlight w:val="none"/>
        </w:rPr>
        <w:fldChar w:fldCharType="separate"/>
      </w:r>
      <w:r>
        <w:rPr>
          <w:rFonts w:hint="eastAsia" w:ascii="宋体" w:hAnsi="宋体" w:cs="宋体"/>
          <w:color w:val="auto"/>
          <w:highlight w:val="none"/>
        </w:rPr>
        <w:t>七、中标和合同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_Toc31214 \h </w:instrText>
      </w:r>
      <w:r>
        <w:rPr>
          <w:rFonts w:hint="eastAsia" w:ascii="宋体" w:hAnsi="宋体" w:cs="宋体"/>
          <w:color w:val="auto"/>
          <w:highlight w:val="none"/>
        </w:rPr>
        <w:fldChar w:fldCharType="separate"/>
      </w:r>
      <w:r>
        <w:rPr>
          <w:rFonts w:hint="eastAsia" w:ascii="宋体" w:hAnsi="宋体" w:cs="宋体"/>
          <w:color w:val="auto"/>
          <w:highlight w:val="none"/>
        </w:rPr>
        <w:t>45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E379D7E">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"_Toc24730" </w:instrText>
      </w:r>
      <w:r>
        <w:rPr>
          <w:color w:val="auto"/>
          <w:highlight w:val="none"/>
        </w:rPr>
        <w:fldChar w:fldCharType="separate"/>
      </w:r>
      <w:r>
        <w:rPr>
          <w:rFonts w:hint="eastAsia" w:ascii="宋体" w:hAnsi="宋体" w:cs="宋体"/>
          <w:bCs/>
          <w:color w:val="auto"/>
          <w:szCs w:val="32"/>
          <w:highlight w:val="none"/>
        </w:rPr>
        <w:t>八、验收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_Toc24730 \h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EF1F81E">
      <w:pPr>
        <w:pStyle w:val="11"/>
        <w:tabs>
          <w:tab w:val="right" w:leader="dot" w:pos="9746"/>
        </w:tabs>
        <w:spacing w:line="400" w:lineRule="exact"/>
        <w:ind w:firstLine="440"/>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"_Toc26013" </w:instrText>
      </w:r>
      <w:r>
        <w:rPr>
          <w:color w:val="auto"/>
          <w:highlight w:val="none"/>
        </w:rPr>
        <w:fldChar w:fldCharType="separate"/>
      </w:r>
      <w:r>
        <w:rPr>
          <w:rFonts w:hint="eastAsia" w:ascii="宋体" w:hAnsi="宋体" w:cs="宋体"/>
          <w:color w:val="auto"/>
          <w:highlight w:val="none"/>
        </w:rPr>
        <w:t>九、其他事项</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_Toc26013 \h </w:instrText>
      </w:r>
      <w:r>
        <w:rPr>
          <w:rFonts w:hint="eastAsia" w:ascii="宋体" w:hAnsi="宋体" w:cs="宋体"/>
          <w:color w:val="auto"/>
          <w:highlight w:val="none"/>
        </w:rPr>
        <w:fldChar w:fldCharType="separate"/>
      </w:r>
      <w:r>
        <w:rPr>
          <w:rFonts w:hint="eastAsia" w:ascii="宋体" w:hAnsi="宋体" w:cs="宋体"/>
          <w:color w:val="auto"/>
          <w:highlight w:val="none"/>
        </w:rPr>
        <w:t>51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230ECE3">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"_Toc1905" </w:instrText>
      </w:r>
      <w:r>
        <w:rPr>
          <w:color w:val="auto"/>
          <w:highlight w:val="none"/>
        </w:rPr>
        <w:fldChar w:fldCharType="separate"/>
      </w:r>
      <w:r>
        <w:rPr>
          <w:rFonts w:hint="eastAsia" w:ascii="宋体" w:hAnsi="宋体" w:cs="宋体"/>
          <w:color w:val="auto"/>
          <w:highlight w:val="none"/>
        </w:rPr>
        <w:t>第四章  评标方法及评分标准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_Toc1905 \h </w:instrText>
      </w:r>
      <w:r>
        <w:rPr>
          <w:rFonts w:hint="eastAsia" w:ascii="宋体" w:hAnsi="宋体" w:cs="宋体"/>
          <w:color w:val="auto"/>
          <w:highlight w:val="none"/>
        </w:rPr>
        <w:fldChar w:fldCharType="separate"/>
      </w:r>
      <w:r>
        <w:rPr>
          <w:rFonts w:hint="eastAsia" w:ascii="宋体" w:hAnsi="宋体" w:cs="宋体"/>
          <w:color w:val="auto"/>
          <w:highlight w:val="none"/>
        </w:rPr>
        <w:t>53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34FA34D">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"_Toc15245" </w:instrText>
      </w:r>
      <w:r>
        <w:rPr>
          <w:color w:val="auto"/>
          <w:highlight w:val="none"/>
        </w:rPr>
        <w:fldChar w:fldCharType="separate"/>
      </w:r>
      <w:r>
        <w:rPr>
          <w:rFonts w:hint="eastAsia" w:ascii="宋体" w:hAnsi="宋体" w:cs="宋体"/>
          <w:color w:val="auto"/>
          <w:szCs w:val="32"/>
          <w:highlight w:val="none"/>
        </w:rPr>
        <w:t>第一节 评标方法</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_Toc15245 \h </w:instrText>
      </w:r>
      <w:r>
        <w:rPr>
          <w:rFonts w:hint="eastAsia" w:ascii="宋体" w:hAnsi="宋体" w:cs="宋体"/>
          <w:color w:val="auto"/>
          <w:highlight w:val="none"/>
        </w:rPr>
        <w:fldChar w:fldCharType="separate"/>
      </w:r>
      <w:r>
        <w:rPr>
          <w:rFonts w:hint="eastAsia" w:ascii="宋体" w:hAnsi="宋体" w:cs="宋体"/>
          <w:color w:val="auto"/>
          <w:highlight w:val="none"/>
        </w:rPr>
        <w:t>53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601F964">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"_Toc3552" </w:instrText>
      </w:r>
      <w:r>
        <w:rPr>
          <w:color w:val="auto"/>
          <w:highlight w:val="none"/>
        </w:rPr>
        <w:fldChar w:fldCharType="separate"/>
      </w:r>
      <w:r>
        <w:rPr>
          <w:rFonts w:hint="eastAsia" w:ascii="宋体" w:hAnsi="宋体" w:cs="宋体"/>
          <w:color w:val="auto"/>
          <w:szCs w:val="32"/>
          <w:highlight w:val="none"/>
        </w:rPr>
        <w:t>第二节 评标程序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_Toc3552 \h </w:instrText>
      </w:r>
      <w:r>
        <w:rPr>
          <w:rFonts w:hint="eastAsia" w:ascii="宋体" w:hAnsi="宋体" w:cs="宋体"/>
          <w:color w:val="auto"/>
          <w:highlight w:val="none"/>
        </w:rPr>
        <w:fldChar w:fldCharType="separate"/>
      </w:r>
      <w:r>
        <w:rPr>
          <w:rFonts w:hint="eastAsia" w:ascii="宋体" w:hAnsi="宋体" w:cs="宋体"/>
          <w:color w:val="auto"/>
          <w:highlight w:val="none"/>
        </w:rPr>
        <w:t>53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8A5329D">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"_Toc22689" </w:instrText>
      </w:r>
      <w:r>
        <w:rPr>
          <w:color w:val="auto"/>
          <w:highlight w:val="none"/>
        </w:rPr>
        <w:fldChar w:fldCharType="separate"/>
      </w:r>
      <w:r>
        <w:rPr>
          <w:rFonts w:hint="eastAsia" w:ascii="宋体" w:hAnsi="宋体" w:cs="宋体"/>
          <w:color w:val="auto"/>
          <w:szCs w:val="30"/>
          <w:highlight w:val="none"/>
        </w:rPr>
        <w:t>第三节 评分标准</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_Toc22689 \h </w:instrText>
      </w:r>
      <w:r>
        <w:rPr>
          <w:rFonts w:hint="eastAsia" w:ascii="宋体" w:hAnsi="宋体" w:cs="宋体"/>
          <w:color w:val="auto"/>
          <w:highlight w:val="none"/>
        </w:rPr>
        <w:fldChar w:fldCharType="separate"/>
      </w:r>
      <w:r>
        <w:rPr>
          <w:rFonts w:hint="eastAsia" w:ascii="宋体" w:hAnsi="宋体" w:cs="宋体"/>
          <w:color w:val="auto"/>
          <w:highlight w:val="none"/>
        </w:rPr>
        <w:t>57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12DB746">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"_Toc18980" </w:instrText>
      </w:r>
      <w:r>
        <w:rPr>
          <w:color w:val="auto"/>
          <w:highlight w:val="none"/>
        </w:rPr>
        <w:fldChar w:fldCharType="separate"/>
      </w:r>
      <w:r>
        <w:rPr>
          <w:rFonts w:hint="eastAsia" w:ascii="宋体" w:hAnsi="宋体" w:cs="宋体"/>
          <w:color w:val="auto"/>
          <w:szCs w:val="30"/>
          <w:highlight w:val="none"/>
        </w:rPr>
        <w:t>第四节 中标候选人推荐原则</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_Toc18980 \h </w:instrText>
      </w:r>
      <w:r>
        <w:rPr>
          <w:rFonts w:hint="eastAsia" w:ascii="宋体" w:hAnsi="宋体" w:cs="宋体"/>
          <w:color w:val="auto"/>
          <w:highlight w:val="none"/>
        </w:rPr>
        <w:fldChar w:fldCharType="separate"/>
      </w:r>
      <w:r>
        <w:rPr>
          <w:rFonts w:hint="eastAsia" w:ascii="宋体" w:hAnsi="宋体" w:cs="宋体"/>
          <w:color w:val="auto"/>
          <w:highlight w:val="none"/>
        </w:rPr>
        <w:t>61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50F1012">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"_Toc31612" </w:instrText>
      </w:r>
      <w:r>
        <w:rPr>
          <w:color w:val="auto"/>
          <w:highlight w:val="none"/>
        </w:rPr>
        <w:fldChar w:fldCharType="separate"/>
      </w:r>
      <w:r>
        <w:rPr>
          <w:rFonts w:hint="eastAsia" w:ascii="宋体" w:hAnsi="宋体" w:cs="宋体"/>
          <w:color w:val="auto"/>
          <w:szCs w:val="30"/>
          <w:highlight w:val="none"/>
        </w:rPr>
        <w:t>第五节 评标报告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_Toc31612 \h </w:instrText>
      </w:r>
      <w:r>
        <w:rPr>
          <w:rFonts w:hint="eastAsia" w:ascii="宋体" w:hAnsi="宋体" w:cs="宋体"/>
          <w:color w:val="auto"/>
          <w:highlight w:val="none"/>
        </w:rPr>
        <w:fldChar w:fldCharType="separate"/>
      </w:r>
      <w:r>
        <w:rPr>
          <w:rFonts w:hint="eastAsia" w:ascii="宋体" w:hAnsi="宋体" w:cs="宋体"/>
          <w:color w:val="auto"/>
          <w:highlight w:val="none"/>
        </w:rPr>
        <w:t>61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3E95220">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"_Toc9281" </w:instrText>
      </w:r>
      <w:r>
        <w:rPr>
          <w:color w:val="auto"/>
          <w:highlight w:val="none"/>
        </w:rPr>
        <w:fldChar w:fldCharType="separate"/>
      </w:r>
      <w:r>
        <w:rPr>
          <w:rFonts w:hint="eastAsia" w:ascii="宋体" w:hAnsi="宋体" w:cs="宋体"/>
          <w:color w:val="auto"/>
          <w:highlight w:val="none"/>
        </w:rPr>
        <w:t>第五章 拟签订的合同文本</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_Toc9281 \h </w:instrText>
      </w:r>
      <w:r>
        <w:rPr>
          <w:rFonts w:hint="eastAsia" w:ascii="宋体" w:hAnsi="宋体" w:cs="宋体"/>
          <w:color w:val="auto"/>
          <w:highlight w:val="none"/>
        </w:rPr>
        <w:fldChar w:fldCharType="separate"/>
      </w:r>
      <w:r>
        <w:rPr>
          <w:rFonts w:hint="eastAsia" w:ascii="宋体" w:hAnsi="宋体" w:cs="宋体"/>
          <w:color w:val="auto"/>
          <w:highlight w:val="none"/>
        </w:rPr>
        <w:t>62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7578971">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"_Toc18489" </w:instrText>
      </w:r>
      <w:r>
        <w:rPr>
          <w:color w:val="auto"/>
          <w:highlight w:val="none"/>
        </w:rPr>
        <w:fldChar w:fldCharType="separate"/>
      </w:r>
      <w:r>
        <w:rPr>
          <w:rFonts w:hint="eastAsia" w:ascii="宋体" w:hAnsi="宋体" w:cs="宋体"/>
          <w:color w:val="auto"/>
          <w:highlight w:val="none"/>
        </w:rPr>
        <w:t>第六章 投标文件格式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_Toc18489 \h </w:instrText>
      </w:r>
      <w:r>
        <w:rPr>
          <w:rFonts w:hint="eastAsia" w:ascii="宋体" w:hAnsi="宋体" w:cs="宋体"/>
          <w:color w:val="auto"/>
          <w:highlight w:val="none"/>
        </w:rPr>
        <w:fldChar w:fldCharType="separate"/>
      </w:r>
      <w:r>
        <w:rPr>
          <w:rFonts w:hint="eastAsia" w:ascii="宋体" w:hAnsi="宋体" w:cs="宋体"/>
          <w:color w:val="auto"/>
          <w:highlight w:val="none"/>
        </w:rPr>
        <w:t>76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967EBE9">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"_Toc17257" </w:instrText>
      </w:r>
      <w:r>
        <w:rPr>
          <w:color w:val="auto"/>
          <w:highlight w:val="none"/>
        </w:rPr>
        <w:fldChar w:fldCharType="separate"/>
      </w:r>
      <w:r>
        <w:rPr>
          <w:rFonts w:hint="eastAsia" w:ascii="宋体" w:hAnsi="宋体" w:cs="宋体"/>
          <w:color w:val="auto"/>
          <w:szCs w:val="28"/>
          <w:highlight w:val="none"/>
        </w:rPr>
        <w:t>第一节 投标文件外层包装封面</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_Toc17257 \h </w:instrText>
      </w:r>
      <w:r>
        <w:rPr>
          <w:rFonts w:hint="eastAsia" w:ascii="宋体" w:hAnsi="宋体" w:cs="宋体"/>
          <w:color w:val="auto"/>
          <w:highlight w:val="none"/>
        </w:rPr>
        <w:fldChar w:fldCharType="separate"/>
      </w:r>
      <w:r>
        <w:rPr>
          <w:rFonts w:hint="eastAsia" w:ascii="宋体" w:hAnsi="宋体" w:cs="宋体"/>
          <w:color w:val="auto"/>
          <w:highlight w:val="none"/>
        </w:rPr>
        <w:t>77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E7D576E">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"_Toc5824" </w:instrText>
      </w:r>
      <w:r>
        <w:rPr>
          <w:color w:val="auto"/>
          <w:highlight w:val="none"/>
        </w:rPr>
        <w:fldChar w:fldCharType="separate"/>
      </w:r>
      <w:r>
        <w:rPr>
          <w:rFonts w:hint="eastAsia" w:ascii="宋体" w:hAnsi="宋体" w:cs="宋体"/>
          <w:color w:val="auto"/>
          <w:szCs w:val="28"/>
          <w:highlight w:val="none"/>
        </w:rPr>
        <w:t>第二节 资格证明文件格式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_Toc5824 \h </w:instrText>
      </w:r>
      <w:r>
        <w:rPr>
          <w:rFonts w:hint="eastAsia" w:ascii="宋体" w:hAnsi="宋体" w:cs="宋体"/>
          <w:color w:val="auto"/>
          <w:highlight w:val="none"/>
        </w:rPr>
        <w:fldChar w:fldCharType="separate"/>
      </w:r>
      <w:r>
        <w:rPr>
          <w:rFonts w:hint="eastAsia" w:ascii="宋体" w:hAnsi="宋体" w:cs="宋体"/>
          <w:color w:val="auto"/>
          <w:highlight w:val="none"/>
        </w:rPr>
        <w:t>78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7AB7D03">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"_Toc8057" </w:instrText>
      </w:r>
      <w:r>
        <w:rPr>
          <w:color w:val="auto"/>
          <w:highlight w:val="none"/>
        </w:rPr>
        <w:fldChar w:fldCharType="separate"/>
      </w:r>
      <w:r>
        <w:rPr>
          <w:rFonts w:hint="eastAsia" w:ascii="宋体" w:hAnsi="宋体" w:cs="宋体"/>
          <w:color w:val="auto"/>
          <w:szCs w:val="28"/>
          <w:highlight w:val="none"/>
        </w:rPr>
        <w:t>第三节 商务文件格式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_Toc8057 \h </w:instrText>
      </w:r>
      <w:r>
        <w:rPr>
          <w:rFonts w:hint="eastAsia" w:ascii="宋体" w:hAnsi="宋体" w:cs="宋体"/>
          <w:color w:val="auto"/>
          <w:highlight w:val="none"/>
        </w:rPr>
        <w:fldChar w:fldCharType="separate"/>
      </w:r>
      <w:r>
        <w:rPr>
          <w:rFonts w:hint="eastAsia" w:ascii="宋体" w:hAnsi="宋体" w:cs="宋体"/>
          <w:color w:val="auto"/>
          <w:highlight w:val="none"/>
        </w:rPr>
        <w:t>85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41D6707">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"_Toc18625" </w:instrText>
      </w:r>
      <w:r>
        <w:rPr>
          <w:color w:val="auto"/>
          <w:highlight w:val="none"/>
        </w:rPr>
        <w:fldChar w:fldCharType="separate"/>
      </w:r>
      <w:r>
        <w:rPr>
          <w:rFonts w:hint="eastAsia" w:ascii="宋体" w:hAnsi="宋体" w:cs="宋体"/>
          <w:color w:val="auto"/>
          <w:szCs w:val="28"/>
          <w:highlight w:val="none"/>
        </w:rPr>
        <w:t>第四节 技术文件格式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_Toc18625 \h </w:instrText>
      </w:r>
      <w:r>
        <w:rPr>
          <w:rFonts w:hint="eastAsia" w:ascii="宋体" w:hAnsi="宋体" w:cs="宋体"/>
          <w:color w:val="auto"/>
          <w:highlight w:val="none"/>
        </w:rPr>
        <w:fldChar w:fldCharType="separate"/>
      </w:r>
      <w:r>
        <w:rPr>
          <w:rFonts w:hint="eastAsia" w:ascii="宋体" w:hAnsi="宋体" w:cs="宋体"/>
          <w:color w:val="auto"/>
          <w:highlight w:val="none"/>
        </w:rPr>
        <w:t>98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E46F9F6">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"_Toc24450" </w:instrText>
      </w:r>
      <w:r>
        <w:rPr>
          <w:color w:val="auto"/>
          <w:highlight w:val="none"/>
        </w:rPr>
        <w:fldChar w:fldCharType="separate"/>
      </w:r>
      <w:r>
        <w:rPr>
          <w:rFonts w:hint="eastAsia" w:ascii="宋体" w:hAnsi="宋体" w:cs="宋体"/>
          <w:color w:val="auto"/>
          <w:szCs w:val="28"/>
          <w:highlight w:val="none"/>
        </w:rPr>
        <w:t>第五节 报价文件格式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_Toc24450 \h </w:instrText>
      </w:r>
      <w:r>
        <w:rPr>
          <w:rFonts w:hint="eastAsia" w:ascii="宋体" w:hAnsi="宋体" w:cs="宋体"/>
          <w:color w:val="auto"/>
          <w:highlight w:val="none"/>
        </w:rPr>
        <w:fldChar w:fldCharType="separate"/>
      </w:r>
      <w:r>
        <w:rPr>
          <w:rFonts w:hint="eastAsia" w:ascii="宋体" w:hAnsi="宋体" w:cs="宋体"/>
          <w:color w:val="auto"/>
          <w:highlight w:val="none"/>
        </w:rPr>
        <w:t>108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BDAD314">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"_Toc3237" </w:instrText>
      </w:r>
      <w:r>
        <w:rPr>
          <w:color w:val="auto"/>
          <w:highlight w:val="none"/>
        </w:rPr>
        <w:fldChar w:fldCharType="separate"/>
      </w:r>
      <w:r>
        <w:rPr>
          <w:rFonts w:hint="eastAsia" w:ascii="宋体" w:hAnsi="宋体" w:cs="宋体"/>
          <w:color w:val="auto"/>
          <w:szCs w:val="28"/>
          <w:highlight w:val="none"/>
        </w:rPr>
        <w:t>第六节 其他文书、文件格式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_Toc3237 \h </w:instrText>
      </w:r>
      <w:r>
        <w:rPr>
          <w:rFonts w:hint="eastAsia" w:ascii="宋体" w:hAnsi="宋体" w:cs="宋体"/>
          <w:color w:val="auto"/>
          <w:highlight w:val="none"/>
        </w:rPr>
        <w:fldChar w:fldCharType="separate"/>
      </w:r>
      <w:r>
        <w:rPr>
          <w:rFonts w:hint="eastAsia" w:ascii="宋体" w:hAnsi="宋体" w:cs="宋体"/>
          <w:color w:val="auto"/>
          <w:highlight w:val="none"/>
        </w:rPr>
        <w:t>114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61C09E5">
      <w:pPr>
        <w:pStyle w:val="16"/>
        <w:tabs>
          <w:tab w:val="right" w:leader="dot" w:pos="9746"/>
        </w:tabs>
        <w:spacing w:before="0" w:after="0"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"_Toc30072" </w:instrText>
      </w:r>
      <w:r>
        <w:rPr>
          <w:color w:val="auto"/>
          <w:highlight w:val="none"/>
        </w:rPr>
        <w:fldChar w:fldCharType="separate"/>
      </w:r>
      <w:r>
        <w:rPr>
          <w:rFonts w:hint="eastAsia" w:ascii="宋体" w:hAnsi="宋体" w:cs="宋体"/>
          <w:color w:val="auto"/>
          <w:highlight w:val="none"/>
        </w:rPr>
        <w:t>第七章 质疑、投诉证明材料格式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_Toc30072 \h </w:instrText>
      </w:r>
      <w:r>
        <w:rPr>
          <w:rFonts w:hint="eastAsia" w:ascii="宋体" w:hAnsi="宋体" w:cs="宋体"/>
          <w:color w:val="auto"/>
          <w:highlight w:val="none"/>
        </w:rPr>
        <w:fldChar w:fldCharType="separate"/>
      </w:r>
      <w:r>
        <w:rPr>
          <w:rFonts w:hint="eastAsia" w:ascii="宋体" w:hAnsi="宋体" w:cs="宋体"/>
          <w:color w:val="auto"/>
          <w:highlight w:val="none"/>
        </w:rPr>
        <w:t>116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3A1856C">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"_Toc23800" </w:instrText>
      </w:r>
      <w:r>
        <w:rPr>
          <w:color w:val="auto"/>
          <w:highlight w:val="none"/>
        </w:rPr>
        <w:fldChar w:fldCharType="separate"/>
      </w:r>
      <w:r>
        <w:rPr>
          <w:rFonts w:hint="eastAsia" w:ascii="宋体" w:hAnsi="宋体" w:cs="宋体"/>
          <w:bCs w:val="0"/>
          <w:color w:val="auto"/>
          <w:highlight w:val="none"/>
        </w:rPr>
        <w:t>第一节 质疑函（格式）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_Toc23800 \h </w:instrText>
      </w:r>
      <w:r>
        <w:rPr>
          <w:rFonts w:hint="eastAsia" w:ascii="宋体" w:hAnsi="宋体" w:cs="宋体"/>
          <w:color w:val="auto"/>
          <w:highlight w:val="none"/>
        </w:rPr>
        <w:fldChar w:fldCharType="separate"/>
      </w:r>
      <w:r>
        <w:rPr>
          <w:rFonts w:hint="eastAsia" w:ascii="宋体" w:hAnsi="宋体" w:cs="宋体"/>
          <w:color w:val="auto"/>
          <w:highlight w:val="none"/>
        </w:rPr>
        <w:t>117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56EF6EA">
      <w:pPr>
        <w:pStyle w:val="18"/>
        <w:tabs>
          <w:tab w:val="right" w:leader="dot" w:pos="9746"/>
        </w:tabs>
        <w:spacing w:line="400" w:lineRule="exact"/>
        <w:ind w:firstLine="442"/>
        <w:rPr>
          <w:rFonts w:hint="eastAsia" w:ascii="宋体" w:hAnsi="宋体" w:cs="宋体"/>
          <w:color w:val="auto"/>
          <w:highlight w:val="none"/>
        </w:rPr>
      </w:pPr>
      <w:r>
        <w:rPr>
          <w:color w:val="auto"/>
          <w:highlight w:val="none"/>
        </w:rPr>
        <w:fldChar w:fldCharType="begin"/>
      </w:r>
      <w:r>
        <w:rPr>
          <w:color w:val="auto"/>
          <w:highlight w:val="none"/>
        </w:rPr>
        <w:instrText xml:space="preserve"> HYPERLINK \l "_Toc18446" </w:instrText>
      </w:r>
      <w:r>
        <w:rPr>
          <w:color w:val="auto"/>
          <w:highlight w:val="none"/>
        </w:rPr>
        <w:fldChar w:fldCharType="separate"/>
      </w:r>
      <w:r>
        <w:rPr>
          <w:rFonts w:hint="eastAsia" w:ascii="宋体" w:hAnsi="宋体" w:cs="宋体"/>
          <w:bCs w:val="0"/>
          <w:color w:val="auto"/>
          <w:highlight w:val="none"/>
        </w:rPr>
        <w:t>第二节 投诉书（格式）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_Toc18446 \h </w:instrText>
      </w:r>
      <w:r>
        <w:rPr>
          <w:rFonts w:hint="eastAsia" w:ascii="宋体" w:hAnsi="宋体" w:cs="宋体"/>
          <w:color w:val="auto"/>
          <w:highlight w:val="none"/>
        </w:rPr>
        <w:fldChar w:fldCharType="separate"/>
      </w:r>
      <w:r>
        <w:rPr>
          <w:rFonts w:hint="eastAsia" w:ascii="宋体" w:hAnsi="宋体" w:cs="宋体"/>
          <w:color w:val="auto"/>
          <w:highlight w:val="none"/>
        </w:rPr>
        <w:t>119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3E56B12">
      <w:pPr>
        <w:pStyle w:val="12"/>
        <w:wordWrap w:val="0"/>
        <w:spacing w:line="360" w:lineRule="auto"/>
        <w:jc w:val="center"/>
        <w:rPr>
          <w:rFonts w:hint="eastAsia" w:hAnsi="宋体" w:cs="宋体"/>
          <w:color w:val="auto"/>
          <w:highlight w:val="none"/>
        </w:rPr>
        <w:sectPr>
          <w:footerReference r:id="rId4" w:type="default"/>
          <w:pgSz w:w="11906" w:h="16838"/>
          <w:pgMar w:top="1440" w:right="1080" w:bottom="1440" w:left="1080" w:header="720" w:footer="720" w:gutter="0"/>
          <w:pgNumType w:start="1"/>
          <w:cols w:space="720" w:num="1"/>
          <w:docGrid w:type="lines" w:linePitch="331" w:charSpace="0"/>
        </w:sectPr>
      </w:pPr>
      <w:r>
        <w:rPr>
          <w:rFonts w:hint="eastAsia" w:hAnsi="宋体" w:cs="宋体"/>
          <w:bCs/>
          <w:caps/>
          <w:color w:val="auto"/>
          <w:szCs w:val="32"/>
          <w:highlight w:val="none"/>
          <w:u w:val="single"/>
        </w:rPr>
        <w:fldChar w:fldCharType="end"/>
      </w:r>
      <w:bookmarkStart w:id="0" w:name="_Toc11954"/>
      <w:r>
        <w:rPr>
          <w:rFonts w:hint="eastAsia" w:hAnsi="宋体" w:cs="宋体"/>
          <w:color w:val="auto"/>
          <w:highlight w:val="none"/>
        </w:rPr>
        <w:tab/>
      </w:r>
      <w:bookmarkEnd w:id="0"/>
      <w:bookmarkStart w:id="1" w:name="_Toc532545041"/>
    </w:p>
    <w:bookmarkEnd w:id="1"/>
    <w:p w14:paraId="1A1129B5">
      <w:pPr>
        <w:pStyle w:val="12"/>
        <w:wordWrap w:val="0"/>
        <w:spacing w:line="360" w:lineRule="auto"/>
        <w:ind w:firstLine="723"/>
        <w:jc w:val="center"/>
        <w:outlineLvl w:val="0"/>
        <w:rPr>
          <w:rFonts w:hint="eastAsia" w:hAnsi="宋体" w:cs="宋体"/>
          <w:b/>
          <w:color w:val="auto"/>
          <w:sz w:val="36"/>
          <w:szCs w:val="36"/>
          <w:highlight w:val="none"/>
        </w:rPr>
      </w:pPr>
      <w:bookmarkStart w:id="2" w:name="_Toc29110"/>
      <w:bookmarkStart w:id="3" w:name="_Toc532545042"/>
      <w:r>
        <w:rPr>
          <w:rFonts w:hint="eastAsia" w:hAnsi="宋体" w:cs="宋体"/>
          <w:b/>
          <w:color w:val="auto"/>
          <w:sz w:val="36"/>
          <w:highlight w:val="none"/>
        </w:rPr>
        <w:t>第一章  招标公告</w:t>
      </w:r>
      <w:bookmarkEnd w:id="2"/>
    </w:p>
    <w:p w14:paraId="1071806A">
      <w:pPr>
        <w:pStyle w:val="12"/>
        <w:wordWrap w:val="0"/>
        <w:spacing w:line="360" w:lineRule="auto"/>
        <w:ind w:firstLine="602"/>
        <w:jc w:val="center"/>
        <w:rPr>
          <w:rFonts w:hint="eastAsia" w:hAnsi="宋体" w:cs="宋体"/>
          <w:b/>
          <w:color w:val="auto"/>
          <w:sz w:val="30"/>
          <w:szCs w:val="30"/>
          <w:highlight w:val="none"/>
        </w:rPr>
      </w:pPr>
      <w:r>
        <w:rPr>
          <w:rFonts w:hint="eastAsia" w:hAnsi="宋体" w:cs="宋体"/>
          <w:b/>
          <w:color w:val="auto"/>
          <w:sz w:val="30"/>
          <w:szCs w:val="30"/>
          <w:highlight w:val="none"/>
        </w:rPr>
        <w:t>公开招标公告</w:t>
      </w:r>
    </w:p>
    <w:p w14:paraId="4B3C7F3F">
      <w:pPr>
        <w:pBdr>
          <w:top w:val="single" w:color="auto" w:sz="4" w:space="1"/>
          <w:left w:val="single" w:color="auto" w:sz="4" w:space="4"/>
          <w:bottom w:val="single" w:color="auto" w:sz="4" w:space="1"/>
          <w:right w:val="single" w:color="auto" w:sz="4" w:space="4"/>
        </w:pBd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2E9176E1">
      <w:pPr>
        <w:pBdr>
          <w:top w:val="single" w:color="auto" w:sz="4" w:space="1"/>
          <w:left w:val="single" w:color="auto" w:sz="4" w:space="4"/>
          <w:bottom w:val="single" w:color="auto" w:sz="4" w:space="1"/>
          <w:right w:val="single" w:color="auto" w:sz="4" w:space="4"/>
        </w:pBdr>
        <w:wordWrap w:val="0"/>
        <w:spacing w:line="360" w:lineRule="auto"/>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u w:val="single"/>
        </w:rPr>
        <w:t>南宁市“智慧人社”软件配套服务</w:t>
      </w:r>
      <w:r>
        <w:rPr>
          <w:rFonts w:hint="eastAsia" w:ascii="宋体" w:hAnsi="宋体" w:cs="宋体"/>
          <w:color w:val="auto"/>
          <w:szCs w:val="21"/>
          <w:highlight w:val="none"/>
        </w:rPr>
        <w:t>招标项目的潜在投标人应在</w:t>
      </w:r>
      <w:r>
        <w:rPr>
          <w:rFonts w:hint="eastAsia" w:ascii="宋体" w:hAnsi="宋体" w:cs="宋体"/>
          <w:color w:val="auto"/>
          <w:szCs w:val="21"/>
          <w:highlight w:val="none"/>
          <w:u w:val="single"/>
        </w:rPr>
        <w:t>“广西政府采购云”平台（https://www.gcy.zfcg.gxzf.gov.cn/）</w:t>
      </w:r>
      <w:r>
        <w:rPr>
          <w:rFonts w:hint="eastAsia" w:ascii="宋体" w:hAnsi="宋体" w:cs="宋体"/>
          <w:color w:val="auto"/>
          <w:szCs w:val="21"/>
          <w:highlight w:val="none"/>
        </w:rPr>
        <w:t>获取（下载）招标文件，并于</w:t>
      </w:r>
      <w:r>
        <w:rPr>
          <w:rFonts w:hint="eastAsia" w:ascii="宋体" w:hAnsi="宋体" w:cs="宋体"/>
          <w:color w:val="auto"/>
          <w:szCs w:val="21"/>
          <w:highlight w:val="none"/>
          <w:u w:val="single"/>
        </w:rPr>
        <w:t>2026年</w:t>
      </w:r>
      <w:bookmarkStart w:id="300" w:name="_GoBack"/>
      <w:bookmarkEnd w:id="300"/>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分00秒</w:t>
      </w:r>
      <w:r>
        <w:rPr>
          <w:rFonts w:hint="eastAsia" w:ascii="宋体" w:hAnsi="宋体" w:cs="宋体"/>
          <w:bCs/>
          <w:color w:val="auto"/>
          <w:szCs w:val="21"/>
          <w:highlight w:val="none"/>
        </w:rPr>
        <w:t>（北京时间）前</w:t>
      </w:r>
      <w:r>
        <w:rPr>
          <w:rFonts w:hint="eastAsia" w:ascii="宋体" w:hAnsi="宋体" w:cs="宋体"/>
          <w:color w:val="auto"/>
          <w:szCs w:val="21"/>
          <w:highlight w:val="none"/>
        </w:rPr>
        <w:t>递交（上传）投标文件。</w:t>
      </w:r>
    </w:p>
    <w:p w14:paraId="4D20A0F4">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一、项目基本情况</w:t>
      </w:r>
    </w:p>
    <w:p w14:paraId="64938C63">
      <w:pPr>
        <w:wordWrap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NNZC2026-G3-990709-GXYZ</w:t>
      </w:r>
    </w:p>
    <w:p w14:paraId="6A268D4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采购计划文号：NNZC[2026]1915号-001、NNZC[2026]1915号-002</w:t>
      </w:r>
    </w:p>
    <w:p w14:paraId="6D134E9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项目名称：南宁市“智慧人社”软件配套服务</w:t>
      </w:r>
    </w:p>
    <w:p w14:paraId="3451791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预算金额：人民币伍拾万零陆仟玖佰元整（¥506900.00）</w:t>
      </w:r>
    </w:p>
    <w:p w14:paraId="6392C366">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最高限价：人民币伍拾万零陆仟玖佰元整（¥506900.00）</w:t>
      </w:r>
    </w:p>
    <w:p w14:paraId="1D3BBB9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采购需求：</w:t>
      </w:r>
    </w:p>
    <w:tbl>
      <w:tblPr>
        <w:tblStyle w:val="22"/>
        <w:tblW w:w="101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3"/>
        <w:gridCol w:w="1918"/>
        <w:gridCol w:w="889"/>
        <w:gridCol w:w="862"/>
        <w:gridCol w:w="5711"/>
      </w:tblGrid>
      <w:tr w14:paraId="7290B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793" w:type="dxa"/>
            <w:tcBorders>
              <w:top w:val="single" w:color="auto" w:sz="4" w:space="0"/>
              <w:left w:val="single" w:color="auto" w:sz="4" w:space="0"/>
              <w:bottom w:val="single" w:color="auto" w:sz="4" w:space="0"/>
              <w:right w:val="single" w:color="auto" w:sz="4" w:space="0"/>
            </w:tcBorders>
            <w:vAlign w:val="center"/>
          </w:tcPr>
          <w:p w14:paraId="481B766E">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18" w:type="dxa"/>
            <w:tcBorders>
              <w:top w:val="single" w:color="auto" w:sz="4" w:space="0"/>
              <w:left w:val="single" w:color="auto" w:sz="4" w:space="0"/>
              <w:bottom w:val="single" w:color="auto" w:sz="4" w:space="0"/>
              <w:right w:val="single" w:color="auto" w:sz="4" w:space="0"/>
            </w:tcBorders>
            <w:vAlign w:val="center"/>
          </w:tcPr>
          <w:p w14:paraId="12EE0950">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889" w:type="dxa"/>
            <w:tcBorders>
              <w:top w:val="single" w:color="auto" w:sz="4" w:space="0"/>
              <w:left w:val="single" w:color="auto" w:sz="4" w:space="0"/>
              <w:bottom w:val="single" w:color="auto" w:sz="4" w:space="0"/>
              <w:right w:val="single" w:color="auto" w:sz="4" w:space="0"/>
            </w:tcBorders>
            <w:vAlign w:val="center"/>
          </w:tcPr>
          <w:p w14:paraId="348DBA0C">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862" w:type="dxa"/>
            <w:tcBorders>
              <w:top w:val="single" w:color="auto" w:sz="4" w:space="0"/>
              <w:left w:val="single" w:color="auto" w:sz="4" w:space="0"/>
              <w:bottom w:val="single" w:color="auto" w:sz="4" w:space="0"/>
              <w:right w:val="single" w:color="auto" w:sz="4" w:space="0"/>
            </w:tcBorders>
            <w:vAlign w:val="center"/>
          </w:tcPr>
          <w:p w14:paraId="4E22338D">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5711" w:type="dxa"/>
            <w:tcBorders>
              <w:top w:val="single" w:color="auto" w:sz="4" w:space="0"/>
              <w:left w:val="single" w:color="auto" w:sz="4" w:space="0"/>
              <w:bottom w:val="single" w:color="auto" w:sz="4" w:space="0"/>
              <w:right w:val="single" w:color="auto" w:sz="4" w:space="0"/>
            </w:tcBorders>
            <w:vAlign w:val="center"/>
          </w:tcPr>
          <w:p w14:paraId="0F1C7ED2">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简要服务要求或者技术需求</w:t>
            </w:r>
          </w:p>
        </w:tc>
      </w:tr>
      <w:tr w14:paraId="5F4A4A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right w:val="single" w:color="auto" w:sz="4" w:space="0"/>
            </w:tcBorders>
            <w:vAlign w:val="center"/>
          </w:tcPr>
          <w:p w14:paraId="1129A547">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18" w:type="dxa"/>
            <w:tcBorders>
              <w:top w:val="single" w:color="auto" w:sz="4" w:space="0"/>
              <w:left w:val="single" w:color="auto" w:sz="4" w:space="0"/>
              <w:bottom w:val="single" w:color="auto" w:sz="4" w:space="0"/>
              <w:right w:val="single" w:color="auto" w:sz="4" w:space="0"/>
            </w:tcBorders>
            <w:vAlign w:val="center"/>
          </w:tcPr>
          <w:p w14:paraId="680E5AEA">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南宁市“智慧人社”软件配套服务</w:t>
            </w:r>
          </w:p>
        </w:tc>
        <w:tc>
          <w:tcPr>
            <w:tcW w:w="889" w:type="dxa"/>
            <w:tcBorders>
              <w:top w:val="single" w:color="auto" w:sz="4" w:space="0"/>
              <w:left w:val="single" w:color="auto" w:sz="4" w:space="0"/>
              <w:bottom w:val="single" w:color="auto" w:sz="4" w:space="0"/>
              <w:right w:val="single" w:color="auto" w:sz="4" w:space="0"/>
            </w:tcBorders>
            <w:vAlign w:val="center"/>
          </w:tcPr>
          <w:p w14:paraId="4BF05660">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w:t>
            </w:r>
          </w:p>
        </w:tc>
        <w:tc>
          <w:tcPr>
            <w:tcW w:w="862" w:type="dxa"/>
            <w:tcBorders>
              <w:top w:val="single" w:color="auto" w:sz="4" w:space="0"/>
              <w:left w:val="single" w:color="auto" w:sz="4" w:space="0"/>
              <w:bottom w:val="single" w:color="auto" w:sz="4" w:space="0"/>
              <w:right w:val="single" w:color="auto" w:sz="4" w:space="0"/>
            </w:tcBorders>
            <w:vAlign w:val="center"/>
          </w:tcPr>
          <w:p w14:paraId="3FB304FC">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711" w:type="dxa"/>
            <w:tcBorders>
              <w:top w:val="single" w:color="auto" w:sz="4" w:space="0"/>
              <w:left w:val="single" w:color="auto" w:sz="4" w:space="0"/>
              <w:bottom w:val="single" w:color="auto" w:sz="4" w:space="0"/>
              <w:right w:val="single" w:color="auto" w:sz="4" w:space="0"/>
            </w:tcBorders>
            <w:vAlign w:val="center"/>
          </w:tcPr>
          <w:p w14:paraId="53434A84">
            <w:pPr>
              <w:keepNext w:val="0"/>
              <w:keepLines w:val="0"/>
              <w:pageBreakBefore w:val="0"/>
              <w:kinsoku/>
              <w:wordWrap w:val="0"/>
              <w:overflowPunct/>
              <w:topLinePunct w:val="0"/>
              <w:autoSpaceDE/>
              <w:autoSpaceDN/>
              <w:bidi w:val="0"/>
              <w:adjustRightInd/>
              <w:snapToGrid/>
              <w:spacing w:line="360" w:lineRule="auto"/>
              <w:ind w:firstLine="422"/>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一、功能要求</w:t>
            </w:r>
          </w:p>
          <w:p w14:paraId="6065CDF3">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（一）消息智能推送服务:</w:t>
            </w:r>
          </w:p>
          <w:p w14:paraId="3E2F59DD">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1.基础发送能力</w:t>
            </w:r>
          </w:p>
          <w:p w14:paraId="759FAD5F">
            <w:pPr>
              <w:wordWrap w:val="0"/>
              <w:snapToGrid w:val="0"/>
              <w:spacing w:line="360" w:lineRule="auto"/>
              <w:ind w:firstLine="422"/>
              <w:jc w:val="left"/>
              <w:rPr>
                <w:rFonts w:hint="eastAsia" w:ascii="宋体" w:hAnsi="宋体" w:cs="宋体"/>
                <w:color w:val="auto"/>
                <w:szCs w:val="21"/>
                <w:highlight w:val="none"/>
              </w:rPr>
            </w:pPr>
            <w:r>
              <w:rPr>
                <w:rFonts w:hint="eastAsia" w:ascii="宋体" w:hAnsi="宋体" w:cs="宋体"/>
                <w:color w:val="auto"/>
                <w:szCs w:val="21"/>
                <w:highlight w:val="none"/>
              </w:rPr>
              <w:t>需提供不低于</w:t>
            </w:r>
            <w:r>
              <w:rPr>
                <w:rFonts w:hint="eastAsia" w:ascii="宋体" w:hAnsi="宋体" w:cs="宋体"/>
                <w:color w:val="auto"/>
                <w:szCs w:val="21"/>
                <w:highlight w:val="none"/>
                <w:lang w:val="en-US" w:eastAsia="zh-CN"/>
              </w:rPr>
              <w:t>513</w:t>
            </w:r>
            <w:r>
              <w:rPr>
                <w:rFonts w:hint="eastAsia" w:ascii="宋体" w:hAnsi="宋体" w:cs="宋体"/>
                <w:color w:val="auto"/>
                <w:szCs w:val="21"/>
                <w:highlight w:val="none"/>
              </w:rPr>
              <w:t>万条的短信发送总量支撑，短信码长度控制在13位数以内，且短信码后五位必须为“12333”特征码。</w:t>
            </w:r>
          </w:p>
          <w:p w14:paraId="1A8C04C1">
            <w:pPr>
              <w:wordWrap w:val="0"/>
              <w:snapToGrid w:val="0"/>
              <w:spacing w:line="360" w:lineRule="auto"/>
              <w:ind w:firstLine="422"/>
              <w:jc w:val="left"/>
              <w:rPr>
                <w:rFonts w:hint="eastAsia" w:ascii="宋体" w:hAnsi="宋体" w:cs="宋体"/>
                <w:color w:val="auto"/>
                <w:szCs w:val="21"/>
                <w:highlight w:val="none"/>
              </w:rPr>
            </w:pPr>
            <w:r>
              <w:rPr>
                <w:rFonts w:hint="eastAsia" w:ascii="宋体" w:hAnsi="宋体" w:cs="宋体"/>
                <w:b/>
                <w:bCs/>
                <w:color w:val="auto"/>
                <w:szCs w:val="21"/>
                <w:highlight w:val="none"/>
              </w:rPr>
              <w:t>……具体详见公开招标文件。</w:t>
            </w:r>
          </w:p>
        </w:tc>
      </w:tr>
    </w:tbl>
    <w:p w14:paraId="24963266">
      <w:pPr>
        <w:wordWrap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合同履行期限：详见公开招标文件。</w:t>
      </w:r>
    </w:p>
    <w:p w14:paraId="6CE0525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是否接受联合体投标：本项目不接受联合体。</w:t>
      </w:r>
    </w:p>
    <w:p w14:paraId="4269C81F">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二、投标人的资格要求：</w:t>
      </w:r>
    </w:p>
    <w:p w14:paraId="6E9E707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78D360C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w:t>
      </w:r>
    </w:p>
    <w:p w14:paraId="6EDD221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□专门面向中小企业采购的项目（供应商应为中小企业、监狱企业、残疾人福利性单位)。</w:t>
      </w:r>
    </w:p>
    <w:p w14:paraId="2A4E8E9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☑非专门面向中小企业采购的项目。</w:t>
      </w:r>
    </w:p>
    <w:p w14:paraId="2D02552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3.本项目的特定资格要求：无。</w:t>
      </w:r>
    </w:p>
    <w:p w14:paraId="76AD229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4.本项目的特定条件：无。</w:t>
      </w:r>
    </w:p>
    <w:p w14:paraId="50A4AFF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47BA63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D8A505C">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三、获取招标文件</w:t>
      </w:r>
    </w:p>
    <w:p w14:paraId="440CC9CB">
      <w:pPr>
        <w:wordWrap w:val="0"/>
        <w:snapToGrid w:val="0"/>
        <w:spacing w:line="360" w:lineRule="auto"/>
        <w:ind w:firstLine="472" w:firstLineChars="225"/>
        <w:rPr>
          <w:rFonts w:hint="eastAsia" w:ascii="宋体" w:hAnsi="宋体" w:cs="宋体"/>
          <w:color w:val="auto"/>
          <w:szCs w:val="21"/>
          <w:highlight w:val="none"/>
        </w:rPr>
      </w:pPr>
      <w:r>
        <w:rPr>
          <w:rFonts w:hint="eastAsia" w:ascii="宋体" w:hAnsi="宋体" w:cs="宋体"/>
          <w:color w:val="auto"/>
          <w:szCs w:val="21"/>
          <w:highlight w:val="none"/>
        </w:rPr>
        <w:t>时间：自公告发布之日起。</w:t>
      </w:r>
    </w:p>
    <w:p w14:paraId="50A958D8">
      <w:pPr>
        <w:wordWrap w:val="0"/>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获取方式：网上下载。本项目不发放纸质文件，供应商可自行在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https://www.gcy.zfcg.gxzf.gov.cn/</w:t>
      </w:r>
      <w:r>
        <w:rPr>
          <w:rFonts w:hint="eastAsia" w:ascii="宋体" w:hAnsi="宋体" w:cs="宋体"/>
          <w:color w:val="auto"/>
          <w:szCs w:val="21"/>
          <w:highlight w:val="none"/>
        </w:rPr>
        <w:t>）下载招标文件（操作路径：登录“广西政府采购云”平台-项目采购-获取采购文件-找到本项目-点击“申请获取采购文件”），电子投标文件制作需要基于“广西政府采购云”平台获取的招标文件编制。</w:t>
      </w:r>
    </w:p>
    <w:p w14:paraId="52F09527">
      <w:pPr>
        <w:wordWrap w:val="0"/>
        <w:snapToGrid w:val="0"/>
        <w:spacing w:line="360" w:lineRule="auto"/>
        <w:ind w:firstLine="472" w:firstLineChars="225"/>
        <w:rPr>
          <w:rFonts w:hint="eastAsia" w:ascii="宋体" w:hAnsi="宋体" w:cs="宋体"/>
          <w:color w:val="auto"/>
          <w:szCs w:val="21"/>
          <w:highlight w:val="none"/>
        </w:rPr>
      </w:pPr>
      <w:r>
        <w:rPr>
          <w:rFonts w:hint="eastAsia" w:ascii="宋体" w:hAnsi="宋体" w:cs="宋体"/>
          <w:color w:val="auto"/>
          <w:szCs w:val="21"/>
          <w:highlight w:val="none"/>
        </w:rPr>
        <w:t>售价：0元。</w:t>
      </w:r>
    </w:p>
    <w:p w14:paraId="644C6F5A">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四、提交投标文件截止时间、开标时间和地点</w:t>
      </w:r>
    </w:p>
    <w:p w14:paraId="616282A2">
      <w:pPr>
        <w:wordWrap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1.提交投标文件截止时间和开标时间：</w:t>
      </w:r>
      <w:r>
        <w:rPr>
          <w:rFonts w:hint="eastAsia" w:ascii="宋体" w:hAnsi="宋体" w:cs="宋体"/>
          <w:color w:val="auto"/>
          <w:szCs w:val="21"/>
          <w:highlight w:val="none"/>
          <w:u w:val="single"/>
        </w:rPr>
        <w:t>2026年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分00秒</w:t>
      </w:r>
      <w:r>
        <w:rPr>
          <w:rFonts w:hint="eastAsia" w:ascii="宋体" w:hAnsi="宋体" w:cs="宋体"/>
          <w:bCs/>
          <w:color w:val="auto"/>
          <w:szCs w:val="21"/>
          <w:highlight w:val="none"/>
        </w:rPr>
        <w:t>（北京时间）</w:t>
      </w:r>
    </w:p>
    <w:p w14:paraId="3E5A484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2.投标和开标地点：</w:t>
      </w:r>
    </w:p>
    <w:p w14:paraId="0B16A4FA">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（1）投标文件提交方式：本项目为南宁市全流程电子化项目，通过“广西政府采购云”平台（</w:t>
      </w:r>
      <w:r>
        <w:rPr>
          <w:rFonts w:hint="eastAsia" w:ascii="宋体" w:hAnsi="宋体" w:cs="宋体"/>
          <w:color w:val="auto"/>
          <w:kern w:val="0"/>
          <w:szCs w:val="21"/>
          <w:highlight w:val="none"/>
        </w:rPr>
        <w:t>https://www.gcy.zfcg.gxzf.gov.cn/</w:t>
      </w:r>
      <w:r>
        <w:rPr>
          <w:rFonts w:hint="eastAsia" w:ascii="宋体" w:hAnsi="宋体" w:cs="宋体"/>
          <w:color w:val="auto"/>
          <w:szCs w:val="21"/>
          <w:highlight w:val="none"/>
        </w:rPr>
        <w:t>）实行在线电子投标，供应商应先安装“广西政府采购云电子交易客户端”（请自行前往“广西政府采购云”平台进行下载），并按照本项目招标文件和“广西政府采购云”平台的要求编制、加密后在投标截止时间前通过网络上传至南宁市“广西政府采购云”平台，</w:t>
      </w:r>
      <w:r>
        <w:rPr>
          <w:rFonts w:hint="eastAsia" w:ascii="宋体" w:hAnsi="宋体" w:cs="宋体"/>
          <w:b/>
          <w:color w:val="auto"/>
          <w:szCs w:val="21"/>
          <w:highlight w:val="none"/>
        </w:rPr>
        <w:t>供应商在“广西政府采购云”平台提交电子版投标文件时，请填写参加远程开标活动经办人联系方式，</w:t>
      </w:r>
      <w:r>
        <w:rPr>
          <w:rFonts w:hint="eastAsia" w:ascii="宋体" w:hAnsi="宋体" w:cs="宋体"/>
          <w:color w:val="auto"/>
          <w:szCs w:val="21"/>
          <w:highlight w:val="none"/>
        </w:rPr>
        <w:t>电子投标具体操作流程详见本公告附件 。</w:t>
      </w:r>
    </w:p>
    <w:p w14:paraId="6EC8867F">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2）及投标文件的提交。完成CA数字证书办理预计7日左右，投标人只需办理其中一家CA数字证书及签章，建议各投标人抓紧时间办理。</w:t>
      </w:r>
    </w:p>
    <w:p w14:paraId="0D09A3BD">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（3）为确保网上操作合法、有效和安全，请投标人确保在电子投标过程中能够对相关数据电文进行加密和使用电子签章，妥善保管CA数字证书并使用有效的CA数字证书参与整个招标活动。</w:t>
      </w:r>
    </w:p>
    <w:p w14:paraId="30A6FD90">
      <w:pPr>
        <w:wordWrap w:val="0"/>
        <w:spacing w:line="360" w:lineRule="auto"/>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2CC06788">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（4）开标地点：本次招标将于2026年9月</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日09时30分00秒在“广西政府采购云”平台电子开标大厅开标。</w:t>
      </w:r>
    </w:p>
    <w:p w14:paraId="48AF296D">
      <w:pPr>
        <w:wordWrap w:val="0"/>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CA证书在线解密：供应商投标时，需携带制作投标文件时用来加密的有效数字证书（CA认证）登录“广西政府采购云”平台电子开标大厅现场按规定时间对加密的投标文件进行解密，未能按要求进行解密的，由此产生的后果由投标人自行承担。</w:t>
      </w:r>
    </w:p>
    <w:p w14:paraId="676D872C">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五、公告期限</w:t>
      </w:r>
    </w:p>
    <w:p w14:paraId="1B904A9C">
      <w:pPr>
        <w:wordWrap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9BC0AD5">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六、其他补充事宜</w:t>
      </w:r>
    </w:p>
    <w:p w14:paraId="24733885">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1.投标保证金：本项目不收取投标保证金。</w:t>
      </w:r>
    </w:p>
    <w:p w14:paraId="7BD04D59">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采购意向公开链接：南宁市人力资源和社会保障局2026年3月至12月政府采购意向https://zfcg.gxzf.gov.cn/luban/detail?parentId=66485&amp;articleId=ann_9eoBmv3QwKIhM2usdrQPB9D5ndTMr3NGt5TILBJnhQo=&amp;utm=web-micro-app-back-front.50400460.cPlanInfo.3.5629e9a08edd11f19d107319fcedf598。</w:t>
      </w:r>
    </w:p>
    <w:p w14:paraId="463345A5">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3.网上查询地址：中国政府采购网（www.ccgp.gov.cn）、广西壮族自治区政府采购网（http://zfcg.gxzf.gov.cn/）、全国公共资源交易平台（广西·南宁）（http://ggzy.jgswj.gxzf.gov.cn/nnggzy/）。</w:t>
      </w:r>
    </w:p>
    <w:p w14:paraId="05EAA5C0">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4.本项目需要落实的政府采购政策：</w:t>
      </w:r>
    </w:p>
    <w:p w14:paraId="6DEFC91B">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465240E5">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00600937">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（3）政府采购促进残疾人就业政策。</w:t>
      </w:r>
    </w:p>
    <w:p w14:paraId="0EE5EA2E">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（4）政府采购支持监狱企业发展。</w:t>
      </w:r>
    </w:p>
    <w:p w14:paraId="6AA87FC2">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（5）扶持不发达地区和少数民族地区政策。</w:t>
      </w:r>
    </w:p>
    <w:p w14:paraId="0C38C4D3">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572431CF">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6.若对项目采购电子交易系统操作有疑问，可登录“广西政府采购云”平台（https://www.gcy.zfcg.gxzf.gov.cn/），点击右侧咨询小采，获取采小蜜智能服务管家帮助，或拨打广西政府采购云服务热线95763获取热线服务帮助。</w:t>
      </w:r>
    </w:p>
    <w:p w14:paraId="7961828D">
      <w:pPr>
        <w:wordWrap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七、对本次招标提出询问，请按以下方式联系。</w:t>
      </w:r>
    </w:p>
    <w:p w14:paraId="7B945F8A">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1.采购人信息</w:t>
      </w:r>
    </w:p>
    <w:p w14:paraId="19D5392E">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名 称：南宁市社会保障卡管理办公室</w:t>
      </w:r>
    </w:p>
    <w:p w14:paraId="7A46B2F7">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地址：桂春路南二里4号</w:t>
      </w:r>
    </w:p>
    <w:p w14:paraId="67229BF8">
      <w:pPr>
        <w:wordWrap w:val="0"/>
        <w:spacing w:line="360" w:lineRule="auto"/>
        <w:ind w:firstLine="315" w:firstLineChars="150"/>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项目联系人：</w:t>
      </w:r>
      <w:r>
        <w:rPr>
          <w:rFonts w:hint="eastAsia" w:ascii="宋体" w:hAnsi="宋体" w:cs="宋体"/>
          <w:color w:val="auto"/>
          <w:kern w:val="0"/>
          <w:szCs w:val="21"/>
          <w:highlight w:val="none"/>
          <w:lang w:val="en-US" w:eastAsia="zh-CN"/>
        </w:rPr>
        <w:t>王堃</w:t>
      </w:r>
    </w:p>
    <w:p w14:paraId="641CE0E9">
      <w:pPr>
        <w:wordWrap w:val="0"/>
        <w:spacing w:line="360" w:lineRule="auto"/>
        <w:ind w:firstLine="315" w:firstLineChars="150"/>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联系电话：0771-</w:t>
      </w:r>
      <w:r>
        <w:rPr>
          <w:rFonts w:hint="eastAsia" w:ascii="宋体" w:hAnsi="宋体" w:cs="宋体"/>
          <w:color w:val="auto"/>
          <w:kern w:val="0"/>
          <w:szCs w:val="21"/>
          <w:highlight w:val="none"/>
          <w:lang w:val="en-US" w:eastAsia="zh-CN"/>
        </w:rPr>
        <w:t>5881530</w:t>
      </w:r>
    </w:p>
    <w:p w14:paraId="498D74E4">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2.采购代理机构信息</w:t>
      </w:r>
    </w:p>
    <w:p w14:paraId="30B509AD">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名 称：</w:t>
      </w:r>
      <w:bookmarkStart w:id="4" w:name="PO_3000001866_PM031_1"/>
      <w:r>
        <w:rPr>
          <w:rFonts w:hint="eastAsia" w:ascii="宋体" w:hAnsi="宋体" w:cs="宋体"/>
          <w:color w:val="auto"/>
          <w:kern w:val="0"/>
          <w:szCs w:val="21"/>
          <w:highlight w:val="none"/>
        </w:rPr>
        <w:t>广西邕政采购代理有限公司</w:t>
      </w:r>
      <w:bookmarkEnd w:id="4"/>
    </w:p>
    <w:p w14:paraId="0E9C4831">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地　址：南宁市青秀区民族大道180号（威壮大厦）22层2210～2217室</w:t>
      </w:r>
    </w:p>
    <w:p w14:paraId="65F4B2EB">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w:t>
      </w:r>
      <w:bookmarkStart w:id="5" w:name="PO_3000001866_PM033"/>
      <w:r>
        <w:rPr>
          <w:rFonts w:hint="eastAsia" w:ascii="宋体" w:hAnsi="宋体" w:cs="宋体"/>
          <w:color w:val="auto"/>
          <w:kern w:val="0"/>
          <w:szCs w:val="21"/>
          <w:highlight w:val="none"/>
        </w:rPr>
        <w:t>0771-</w:t>
      </w:r>
      <w:bookmarkEnd w:id="5"/>
      <w:r>
        <w:rPr>
          <w:rFonts w:hint="eastAsia" w:ascii="宋体" w:hAnsi="宋体" w:cs="宋体"/>
          <w:color w:val="auto"/>
          <w:kern w:val="0"/>
          <w:szCs w:val="21"/>
          <w:highlight w:val="none"/>
        </w:rPr>
        <w:t>2225338</w:t>
      </w:r>
    </w:p>
    <w:p w14:paraId="052B8D29">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3.项目联系方式</w:t>
      </w:r>
    </w:p>
    <w:p w14:paraId="6A9DAA8A">
      <w:pPr>
        <w:wordWrap w:val="0"/>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项目联系人：黄秋梅、罗霞、丰薇</w:t>
      </w:r>
    </w:p>
    <w:p w14:paraId="1D311DD1">
      <w:pPr>
        <w:wordWrap w:val="0"/>
        <w:spacing w:line="360" w:lineRule="auto"/>
        <w:ind w:firstLine="315" w:firstLineChars="150"/>
        <w:rPr>
          <w:rFonts w:hint="eastAsia" w:ascii="宋体" w:hAnsi="宋体" w:cs="宋体"/>
          <w:color w:val="auto"/>
          <w:szCs w:val="21"/>
          <w:highlight w:val="none"/>
          <w:u w:val="single"/>
        </w:rPr>
      </w:pPr>
      <w:r>
        <w:rPr>
          <w:rFonts w:hint="eastAsia" w:ascii="宋体" w:hAnsi="宋体" w:cs="宋体"/>
          <w:color w:val="auto"/>
          <w:kern w:val="0"/>
          <w:szCs w:val="21"/>
          <w:highlight w:val="none"/>
        </w:rPr>
        <w:t xml:space="preserve">电    话：0771-2225338 </w:t>
      </w:r>
    </w:p>
    <w:p w14:paraId="0DA1D8AB">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附件： 1.CA证书申请方式及操作指南下载地址（登陆http://nncz.nanning.gov.cn/（南宁市财政局官网）-业务专题-政府采购监督管理-资料下载-“广西政采云西部CA办理方式”或“南宁市政采云CA证书办理操作指南”）</w:t>
      </w:r>
    </w:p>
    <w:p w14:paraId="1C1A82CC">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2.电子投标文件制作与投送教程（在此网址下载：http://nncz.nanning.gov.cn/（南宁市财政局官网）-业务专题-政府采购监督管理-资料下载-南宁市政府采购项目全流程电子化交易操作指南）</w:t>
      </w:r>
    </w:p>
    <w:p w14:paraId="251232B4">
      <w:pPr>
        <w:wordWrap w:val="0"/>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u w:val="single"/>
        </w:rPr>
        <w:t>广西邕政采购代理有限公司</w:t>
      </w:r>
    </w:p>
    <w:p w14:paraId="064039E3">
      <w:pPr>
        <w:wordWrap w:val="0"/>
        <w:spacing w:line="360" w:lineRule="auto"/>
        <w:ind w:firstLine="210" w:firstLineChars="100"/>
        <w:jc w:val="right"/>
        <w:rPr>
          <w:rFonts w:hint="eastAsia" w:ascii="宋体" w:hAnsi="宋体" w:cs="宋体"/>
          <w:color w:val="auto"/>
          <w:szCs w:val="21"/>
          <w:highlight w:val="none"/>
        </w:rPr>
      </w:pP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w:t>
      </w:r>
    </w:p>
    <w:p w14:paraId="5D9098F2">
      <w:pPr>
        <w:wordWrap w:val="0"/>
        <w:spacing w:line="360" w:lineRule="auto"/>
        <w:ind w:firstLine="480"/>
        <w:rPr>
          <w:rFonts w:hint="eastAsia" w:ascii="宋体" w:hAnsi="宋体" w:cs="宋体"/>
          <w:color w:val="auto"/>
          <w:highlight w:val="none"/>
        </w:rPr>
      </w:pPr>
      <w:r>
        <w:rPr>
          <w:rFonts w:hint="eastAsia" w:ascii="宋体" w:hAnsi="宋体" w:cs="宋体"/>
          <w:color w:val="auto"/>
          <w:sz w:val="24"/>
          <w:highlight w:val="none"/>
        </w:rPr>
        <w:br w:type="page"/>
      </w:r>
    </w:p>
    <w:p w14:paraId="5C627CFC">
      <w:pPr>
        <w:pStyle w:val="12"/>
        <w:wordWrap w:val="0"/>
        <w:spacing w:line="360" w:lineRule="auto"/>
        <w:ind w:firstLine="723"/>
        <w:jc w:val="center"/>
        <w:outlineLvl w:val="0"/>
        <w:rPr>
          <w:rFonts w:hint="eastAsia" w:hAnsi="宋体" w:cs="宋体"/>
          <w:b/>
          <w:color w:val="auto"/>
          <w:szCs w:val="21"/>
          <w:highlight w:val="none"/>
        </w:rPr>
      </w:pPr>
      <w:bookmarkStart w:id="6" w:name="_Toc26756"/>
      <w:r>
        <w:rPr>
          <w:rFonts w:hint="eastAsia" w:hAnsi="宋体" w:cs="宋体"/>
          <w:b/>
          <w:color w:val="auto"/>
          <w:sz w:val="36"/>
          <w:highlight w:val="none"/>
        </w:rPr>
        <w:t xml:space="preserve">第二章  </w:t>
      </w:r>
      <w:bookmarkEnd w:id="3"/>
      <w:r>
        <w:rPr>
          <w:rFonts w:hint="eastAsia" w:hAnsi="宋体" w:cs="宋体"/>
          <w:b/>
          <w:color w:val="auto"/>
          <w:sz w:val="36"/>
          <w:highlight w:val="none"/>
        </w:rPr>
        <w:t>采购需求</w:t>
      </w:r>
      <w:bookmarkEnd w:id="6"/>
    </w:p>
    <w:p w14:paraId="5EB16CBF">
      <w:pPr>
        <w:wordWrap w:val="0"/>
        <w:adjustRightInd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说明：</w:t>
      </w:r>
    </w:p>
    <w:p w14:paraId="4DC7B61C">
      <w:pPr>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1.为落实政府采购政策需满足的要求：</w:t>
      </w:r>
    </w:p>
    <w:p w14:paraId="0EC1EAC2">
      <w:pPr>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14:paraId="47E6D2E8">
      <w:pPr>
        <w:wordWrap w:val="0"/>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2），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35CB4D67">
      <w:pPr>
        <w:wordWrap w:val="0"/>
        <w:spacing w:line="360" w:lineRule="auto"/>
        <w:ind w:firstLine="426" w:firstLineChars="202"/>
        <w:jc w:val="left"/>
        <w:rPr>
          <w:rFonts w:hint="eastAsia" w:ascii="宋体" w:hAnsi="宋体" w:cs="宋体"/>
          <w:b/>
          <w:bCs/>
          <w:color w:val="auto"/>
          <w:szCs w:val="21"/>
          <w:highlight w:val="none"/>
        </w:rPr>
      </w:pPr>
      <w:r>
        <w:rPr>
          <w:rFonts w:hint="eastAsia" w:ascii="宋体" w:hAnsi="宋体" w:cs="宋体"/>
          <w:b/>
          <w:bCs/>
          <w:color w:val="auto"/>
          <w:szCs w:val="21"/>
          <w:highlight w:val="none"/>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14:paraId="2AACA07C">
      <w:pPr>
        <w:wordWrap w:val="0"/>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2.“实质性要求”是指招标文件中已经指明不满足则投标无效的条款，或者不能负偏离的条款，或者采购需求中带“▲”的条款。</w:t>
      </w:r>
    </w:p>
    <w:p w14:paraId="2513B730">
      <w:pPr>
        <w:pStyle w:val="8"/>
        <w:wordWrap w:val="0"/>
        <w:spacing w:line="33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bookmarkStart w:id="7" w:name="_Hlk54774389"/>
      <w:r>
        <w:rPr>
          <w:rFonts w:hint="eastAsia" w:ascii="宋体" w:hAnsi="宋体" w:cs="宋体"/>
          <w:color w:val="auto"/>
          <w:szCs w:val="21"/>
          <w:highlight w:val="none"/>
        </w:rPr>
        <w:t>服务项目中伴随货物的，</w:t>
      </w:r>
      <w:bookmarkEnd w:id="7"/>
      <w:r>
        <w:rPr>
          <w:rFonts w:hint="eastAsia" w:ascii="宋体" w:hAnsi="宋体" w:cs="宋体"/>
          <w:color w:val="auto"/>
          <w:szCs w:val="21"/>
          <w:highlight w:val="none"/>
        </w:rPr>
        <w:t>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7EA58E1F">
      <w:pPr>
        <w:pStyle w:val="8"/>
        <w:wordWrap w:val="0"/>
        <w:spacing w:line="33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4.如投标人投标产品存在侵犯他人的知识产权或者专利成果行为的，应承担相应法律责任</w:t>
      </w:r>
      <w:bookmarkStart w:id="8" w:name="PO_TDCUS_ITEM_PB_REQ_TITLE_1"/>
      <w:r>
        <w:rPr>
          <w:rFonts w:hint="eastAsia" w:ascii="宋体" w:hAnsi="宋体" w:cs="宋体"/>
          <w:color w:val="auto"/>
          <w:szCs w:val="21"/>
          <w:highlight w:val="none"/>
        </w:rPr>
        <w:t>。</w:t>
      </w:r>
    </w:p>
    <w:p w14:paraId="433D71D3">
      <w:pPr>
        <w:pStyle w:val="8"/>
        <w:wordWrap w:val="0"/>
        <w:spacing w:line="336"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5.本采购需求中内容如与第五章“拟签订的合同文本”相关条款不一致的，以本表为准。</w:t>
      </w:r>
    </w:p>
    <w:p w14:paraId="19FF8297">
      <w:pPr>
        <w:pStyle w:val="8"/>
        <w:wordWrap w:val="0"/>
        <w:spacing w:line="336" w:lineRule="auto"/>
        <w:ind w:firstLine="420" w:firstLineChars="200"/>
        <w:rPr>
          <w:rFonts w:hint="eastAsia" w:ascii="宋体" w:hAnsi="宋体" w:cs="宋体"/>
          <w:b/>
          <w:bCs/>
          <w:color w:val="auto"/>
          <w:szCs w:val="21"/>
          <w:highlight w:val="none"/>
          <w:u w:val="single"/>
        </w:rPr>
      </w:pPr>
      <w:r>
        <w:rPr>
          <w:rFonts w:hint="eastAsia" w:ascii="宋体" w:hAnsi="宋体" w:cs="宋体"/>
          <w:color w:val="auto"/>
          <w:szCs w:val="21"/>
          <w:highlight w:val="none"/>
        </w:rPr>
        <w:t>6.项目标的所属行业为：</w:t>
      </w:r>
      <w:r>
        <w:rPr>
          <w:rFonts w:hint="eastAsia" w:ascii="宋体" w:hAnsi="宋体" w:cs="宋体"/>
          <w:b/>
          <w:bCs/>
          <w:color w:val="auto"/>
          <w:szCs w:val="21"/>
          <w:highlight w:val="none"/>
          <w:u w:val="single"/>
        </w:rPr>
        <w:t>软件和信息技术服务业。</w:t>
      </w:r>
    </w:p>
    <w:tbl>
      <w:tblPr>
        <w:tblStyle w:val="22"/>
        <w:tblW w:w="10482" w:type="dxa"/>
        <w:tblInd w:w="-23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8"/>
        <w:gridCol w:w="315"/>
        <w:gridCol w:w="957"/>
        <w:gridCol w:w="562"/>
        <w:gridCol w:w="513"/>
        <w:gridCol w:w="5392"/>
        <w:gridCol w:w="1270"/>
        <w:gridCol w:w="1045"/>
      </w:tblGrid>
      <w:tr w14:paraId="592442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0482" w:type="dxa"/>
            <w:gridSpan w:val="8"/>
            <w:tcBorders>
              <w:top w:val="single" w:color="auto" w:sz="4" w:space="0"/>
              <w:left w:val="single" w:color="auto" w:sz="4" w:space="0"/>
              <w:bottom w:val="nil"/>
              <w:right w:val="single" w:color="auto" w:sz="4" w:space="0"/>
            </w:tcBorders>
            <w:vAlign w:val="center"/>
          </w:tcPr>
          <w:p w14:paraId="6123750A">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服务需求一览表</w:t>
            </w:r>
          </w:p>
        </w:tc>
      </w:tr>
      <w:tr w14:paraId="06D125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1700" w:type="dxa"/>
            <w:gridSpan w:val="3"/>
            <w:tcBorders>
              <w:top w:val="single" w:color="auto" w:sz="4" w:space="0"/>
              <w:left w:val="single" w:color="auto" w:sz="4" w:space="0"/>
              <w:bottom w:val="nil"/>
              <w:right w:val="single" w:color="auto" w:sz="4" w:space="0"/>
            </w:tcBorders>
            <w:vAlign w:val="center"/>
          </w:tcPr>
          <w:p w14:paraId="165EC24F">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标段</w:t>
            </w:r>
          </w:p>
        </w:tc>
        <w:tc>
          <w:tcPr>
            <w:tcW w:w="8782" w:type="dxa"/>
            <w:gridSpan w:val="5"/>
            <w:tcBorders>
              <w:top w:val="single" w:color="auto" w:sz="4" w:space="0"/>
              <w:left w:val="single" w:color="auto" w:sz="4" w:space="0"/>
              <w:bottom w:val="nil"/>
              <w:right w:val="single" w:color="auto" w:sz="4" w:space="0"/>
            </w:tcBorders>
            <w:vAlign w:val="center"/>
          </w:tcPr>
          <w:p w14:paraId="76C3B420">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w:t>
            </w:r>
          </w:p>
        </w:tc>
      </w:tr>
      <w:tr w14:paraId="4A287A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428" w:type="dxa"/>
            <w:vMerge w:val="restart"/>
            <w:tcBorders>
              <w:top w:val="single" w:color="auto" w:sz="4" w:space="0"/>
              <w:left w:val="single" w:color="auto" w:sz="4" w:space="0"/>
              <w:bottom w:val="single" w:color="auto" w:sz="4" w:space="0"/>
              <w:right w:val="single" w:color="auto" w:sz="4" w:space="0"/>
            </w:tcBorders>
          </w:tcPr>
          <w:p w14:paraId="48B42FC5">
            <w:pPr>
              <w:wordWrap w:val="0"/>
              <w:spacing w:line="360" w:lineRule="auto"/>
              <w:ind w:firstLine="422"/>
              <w:jc w:val="center"/>
              <w:rPr>
                <w:rFonts w:hint="eastAsia" w:ascii="宋体" w:hAnsi="宋体" w:cs="宋体"/>
                <w:b/>
                <w:bCs/>
                <w:color w:val="auto"/>
                <w:szCs w:val="21"/>
                <w:highlight w:val="none"/>
              </w:rPr>
            </w:pPr>
            <w:r>
              <w:rPr>
                <w:rFonts w:hint="eastAsia" w:ascii="宋体" w:hAnsi="宋体" w:cs="宋体"/>
                <w:b/>
                <w:bCs/>
                <w:color w:val="auto"/>
                <w:szCs w:val="21"/>
                <w:highlight w:val="none"/>
              </w:rPr>
              <w:t>采购清单及服务参数</w:t>
            </w:r>
          </w:p>
        </w:tc>
        <w:tc>
          <w:tcPr>
            <w:tcW w:w="31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A7A0B5">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957" w:type="dxa"/>
            <w:tcBorders>
              <w:top w:val="single" w:color="auto" w:sz="4" w:space="0"/>
              <w:left w:val="single" w:color="auto" w:sz="4" w:space="0"/>
              <w:bottom w:val="single" w:color="auto" w:sz="4" w:space="0"/>
              <w:right w:val="single" w:color="auto" w:sz="4" w:space="0"/>
            </w:tcBorders>
            <w:vAlign w:val="center"/>
          </w:tcPr>
          <w:p w14:paraId="6BEBD01E">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标的名称</w:t>
            </w:r>
          </w:p>
        </w:tc>
        <w:tc>
          <w:tcPr>
            <w:tcW w:w="562" w:type="dxa"/>
            <w:tcBorders>
              <w:top w:val="single" w:color="auto" w:sz="4" w:space="0"/>
              <w:left w:val="single" w:color="auto" w:sz="4" w:space="0"/>
              <w:bottom w:val="single" w:color="auto" w:sz="4" w:space="0"/>
              <w:right w:val="single" w:color="auto" w:sz="4" w:space="0"/>
            </w:tcBorders>
            <w:vAlign w:val="center"/>
          </w:tcPr>
          <w:p w14:paraId="09F57F8A">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单位</w:t>
            </w:r>
          </w:p>
        </w:tc>
        <w:tc>
          <w:tcPr>
            <w:tcW w:w="513" w:type="dxa"/>
            <w:tcBorders>
              <w:top w:val="single" w:color="auto" w:sz="4" w:space="0"/>
              <w:left w:val="single" w:color="auto" w:sz="4" w:space="0"/>
              <w:bottom w:val="single" w:color="auto" w:sz="4" w:space="0"/>
              <w:right w:val="single" w:color="auto" w:sz="4" w:space="0"/>
            </w:tcBorders>
            <w:vAlign w:val="center"/>
          </w:tcPr>
          <w:p w14:paraId="65DA951B">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数量</w:t>
            </w:r>
          </w:p>
        </w:tc>
        <w:tc>
          <w:tcPr>
            <w:tcW w:w="5392" w:type="dxa"/>
            <w:tcBorders>
              <w:top w:val="single" w:color="auto" w:sz="4" w:space="0"/>
              <w:left w:val="single" w:color="auto" w:sz="4" w:space="0"/>
              <w:bottom w:val="single" w:color="auto" w:sz="4" w:space="0"/>
              <w:right w:val="single" w:color="auto" w:sz="4" w:space="0"/>
            </w:tcBorders>
            <w:vAlign w:val="center"/>
          </w:tcPr>
          <w:p w14:paraId="03BB3E1E">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服务参数</w:t>
            </w:r>
          </w:p>
        </w:tc>
        <w:tc>
          <w:tcPr>
            <w:tcW w:w="1270" w:type="dxa"/>
            <w:tcBorders>
              <w:top w:val="single" w:color="auto" w:sz="4" w:space="0"/>
              <w:left w:val="single" w:color="auto" w:sz="4" w:space="0"/>
              <w:bottom w:val="single" w:color="auto" w:sz="4" w:space="0"/>
              <w:right w:val="single" w:color="auto" w:sz="4" w:space="0"/>
            </w:tcBorders>
            <w:vAlign w:val="center"/>
          </w:tcPr>
          <w:p w14:paraId="77754F3E">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分项预算合计（元）</w:t>
            </w:r>
          </w:p>
        </w:tc>
        <w:tc>
          <w:tcPr>
            <w:tcW w:w="1045" w:type="dxa"/>
            <w:tcBorders>
              <w:top w:val="single" w:color="auto" w:sz="4" w:space="0"/>
              <w:left w:val="single" w:color="auto" w:sz="4" w:space="0"/>
              <w:bottom w:val="single" w:color="auto" w:sz="4" w:space="0"/>
              <w:right w:val="single" w:color="auto" w:sz="4" w:space="0"/>
            </w:tcBorders>
            <w:vAlign w:val="center"/>
          </w:tcPr>
          <w:p w14:paraId="317C71A0">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中小企业划分标准所属行业名称（行业名称及划分见本章附件2）</w:t>
            </w:r>
          </w:p>
        </w:tc>
      </w:tr>
      <w:tr w14:paraId="7C036F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29" w:hRule="atLeast"/>
        </w:trPr>
        <w:tc>
          <w:tcPr>
            <w:tcW w:w="428" w:type="dxa"/>
            <w:vMerge w:val="continue"/>
            <w:tcBorders>
              <w:top w:val="single" w:color="auto" w:sz="4" w:space="0"/>
              <w:left w:val="single" w:color="auto" w:sz="4" w:space="0"/>
              <w:bottom w:val="single" w:color="auto" w:sz="4" w:space="0"/>
              <w:right w:val="single" w:color="auto" w:sz="4" w:space="0"/>
            </w:tcBorders>
            <w:vAlign w:val="center"/>
          </w:tcPr>
          <w:p w14:paraId="66902F45">
            <w:pPr>
              <w:widowControl/>
              <w:wordWrap w:val="0"/>
              <w:spacing w:line="360" w:lineRule="auto"/>
              <w:jc w:val="left"/>
              <w:rPr>
                <w:rFonts w:hint="eastAsia" w:ascii="宋体" w:hAnsi="宋体" w:cs="宋体"/>
                <w:color w:val="auto"/>
                <w:szCs w:val="21"/>
                <w:highlight w:val="none"/>
              </w:rPr>
            </w:pPr>
          </w:p>
        </w:tc>
        <w:tc>
          <w:tcPr>
            <w:tcW w:w="315" w:type="dxa"/>
            <w:tcBorders>
              <w:top w:val="single" w:color="auto" w:sz="4" w:space="0"/>
              <w:left w:val="single" w:color="auto" w:sz="4" w:space="0"/>
              <w:bottom w:val="single" w:color="auto" w:sz="4" w:space="0"/>
              <w:right w:val="single" w:color="auto" w:sz="4" w:space="0"/>
            </w:tcBorders>
            <w:vAlign w:val="center"/>
          </w:tcPr>
          <w:p w14:paraId="695D2C7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57" w:type="dxa"/>
            <w:tcBorders>
              <w:top w:val="single" w:color="auto" w:sz="4" w:space="0"/>
              <w:left w:val="single" w:color="auto" w:sz="4" w:space="0"/>
              <w:bottom w:val="single" w:color="auto" w:sz="4" w:space="0"/>
              <w:right w:val="single" w:color="auto" w:sz="4" w:space="0"/>
            </w:tcBorders>
            <w:vAlign w:val="center"/>
          </w:tcPr>
          <w:p w14:paraId="036434D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南宁市“智慧人社”软件配套服务</w:t>
            </w:r>
          </w:p>
        </w:tc>
        <w:tc>
          <w:tcPr>
            <w:tcW w:w="562" w:type="dxa"/>
            <w:tcBorders>
              <w:top w:val="single" w:color="auto" w:sz="4" w:space="0"/>
              <w:left w:val="single" w:color="auto" w:sz="4" w:space="0"/>
              <w:bottom w:val="single" w:color="auto" w:sz="4" w:space="0"/>
              <w:right w:val="single" w:color="auto" w:sz="4" w:space="0"/>
            </w:tcBorders>
            <w:vAlign w:val="center"/>
          </w:tcPr>
          <w:p w14:paraId="38C35EF6">
            <w:pPr>
              <w:pStyle w:val="39"/>
              <w:wordWrap w:val="0"/>
              <w:spacing w:before="0" w:beforeAutospacing="0" w:after="0" w:afterAutospacing="0"/>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项</w:t>
            </w:r>
          </w:p>
        </w:tc>
        <w:tc>
          <w:tcPr>
            <w:tcW w:w="513" w:type="dxa"/>
            <w:tcBorders>
              <w:top w:val="single" w:color="auto" w:sz="4" w:space="0"/>
              <w:left w:val="single" w:color="auto" w:sz="4" w:space="0"/>
              <w:bottom w:val="single" w:color="auto" w:sz="4" w:space="0"/>
              <w:right w:val="single" w:color="auto" w:sz="4" w:space="0"/>
            </w:tcBorders>
            <w:vAlign w:val="center"/>
          </w:tcPr>
          <w:p w14:paraId="46FC5B8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5392" w:type="dxa"/>
            <w:tcBorders>
              <w:top w:val="single" w:color="auto" w:sz="4" w:space="0"/>
              <w:left w:val="single" w:color="auto" w:sz="4" w:space="0"/>
              <w:bottom w:val="single" w:color="auto" w:sz="4" w:space="0"/>
              <w:right w:val="single" w:color="auto" w:sz="4" w:space="0"/>
            </w:tcBorders>
          </w:tcPr>
          <w:p w14:paraId="045801B4">
            <w:pPr>
              <w:keepNext w:val="0"/>
              <w:keepLines w:val="0"/>
              <w:pageBreakBefore w:val="0"/>
              <w:kinsoku/>
              <w:wordWrap w:val="0"/>
              <w:overflowPunct/>
              <w:topLinePunct w:val="0"/>
              <w:autoSpaceDE/>
              <w:autoSpaceDN/>
              <w:bidi w:val="0"/>
              <w:adjustRightInd/>
              <w:snapToGrid/>
              <w:spacing w:line="360" w:lineRule="auto"/>
              <w:ind w:firstLine="422"/>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一、功能要求</w:t>
            </w:r>
          </w:p>
          <w:p w14:paraId="15E6F381">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（一）消息智能推送服务:</w:t>
            </w:r>
          </w:p>
          <w:p w14:paraId="1B303790">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1.基础发送能力</w:t>
            </w:r>
          </w:p>
          <w:p w14:paraId="3FAB0E7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需提供不低于</w:t>
            </w:r>
            <w:r>
              <w:rPr>
                <w:rFonts w:hint="eastAsia" w:ascii="宋体" w:hAnsi="宋体" w:cs="宋体"/>
                <w:color w:val="auto"/>
                <w:szCs w:val="21"/>
                <w:highlight w:val="none"/>
                <w:lang w:val="en-US" w:eastAsia="zh-CN"/>
              </w:rPr>
              <w:t>513</w:t>
            </w:r>
            <w:r>
              <w:rPr>
                <w:rFonts w:hint="eastAsia" w:ascii="宋体" w:hAnsi="宋体" w:cs="宋体"/>
                <w:color w:val="auto"/>
                <w:szCs w:val="21"/>
                <w:highlight w:val="none"/>
              </w:rPr>
              <w:t>万条的短信发送总量支撑，短信码长度控制在13位数以内，且短信码后五位必须为“12333”特征码。</w:t>
            </w:r>
          </w:p>
          <w:p w14:paraId="411C8BD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2.群发短信功能</w:t>
            </w:r>
          </w:p>
          <w:p w14:paraId="3BFACEE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相同内容群发：</w:t>
            </w:r>
            <w:r>
              <w:rPr>
                <w:rFonts w:hint="eastAsia" w:ascii="宋体" w:hAnsi="宋体" w:cs="宋体"/>
                <w:color w:val="auto"/>
                <w:szCs w:val="21"/>
                <w:highlight w:val="none"/>
              </w:rPr>
              <w:t>向不同手机号码发送相同内容的短信。手机号码支持模板批量导入、手动添加、员工通讯录选择三种方式；发送内容可手动编辑或选择已有短信模板，支持即时发送和定时发送两种模式。</w:t>
            </w:r>
          </w:p>
          <w:p w14:paraId="120DBEB4">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不同内容群发：</w:t>
            </w:r>
            <w:r>
              <w:rPr>
                <w:rFonts w:hint="eastAsia" w:ascii="宋体" w:hAnsi="宋体" w:cs="宋体"/>
                <w:color w:val="auto"/>
                <w:szCs w:val="21"/>
                <w:highlight w:val="none"/>
              </w:rPr>
              <w:t>向不同手机号码发送差异化内容的短信，分为动态模板短信发送和文件内容短信发送两种方式。若短信内容整体一致、仅个别字段存在差异，可选择动态模板短信方式（需确保号码文件包含对应匹配参数）；若短信内容完全无规律、差异较大，可选择文件内容短信方式（需确保号码文件包含对应短信内容）；两种方式均支持即时发送和定时发送。</w:t>
            </w:r>
          </w:p>
          <w:p w14:paraId="68450BFA">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群发任务查看：</w:t>
            </w:r>
            <w:r>
              <w:rPr>
                <w:rFonts w:hint="eastAsia" w:ascii="宋体" w:hAnsi="宋体" w:cs="宋体"/>
                <w:color w:val="auto"/>
                <w:szCs w:val="21"/>
                <w:highlight w:val="none"/>
              </w:rPr>
              <w:t>支持通过多条件查询，查看单位短信模块内所有提交的短信任务状态，包括任务发送进度、需审批信息的审批意见，以及对未审批信息的撤销操作等。</w:t>
            </w:r>
          </w:p>
          <w:p w14:paraId="27E29CB5">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3.短信通知功能</w:t>
            </w:r>
          </w:p>
          <w:p w14:paraId="016BAEF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短信通知发送：</w:t>
            </w:r>
            <w:r>
              <w:rPr>
                <w:rFonts w:hint="eastAsia" w:ascii="宋体" w:hAnsi="宋体" w:cs="宋体"/>
                <w:color w:val="auto"/>
                <w:szCs w:val="21"/>
                <w:highlight w:val="none"/>
              </w:rPr>
              <w:t>适用于单位内部会议通知、投票等重要事项通知或需接收方回复确认的场景。短信通知群发后，所有接收人员需回复一条确认信息；对设定时间间隔内未回复的人员，系统将按照预设的时间间隔自动重复发送通知，直至达到预设发送次数或接收方回复后终止，时间间隔和发送次数可根据实际需求自行配置。</w:t>
            </w:r>
          </w:p>
          <w:p w14:paraId="231E342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短信通知历史：</w:t>
            </w:r>
            <w:r>
              <w:rPr>
                <w:rFonts w:hint="eastAsia" w:ascii="宋体" w:hAnsi="宋体" w:cs="宋体"/>
                <w:color w:val="auto"/>
                <w:szCs w:val="21"/>
                <w:highlight w:val="none"/>
              </w:rPr>
              <w:t>支持通过多条件查询，查看短信通知的详细状态记录，包括发送时间、通知发送次数、接收方回复人数、信息送达人数等核心数据。</w:t>
            </w:r>
          </w:p>
          <w:p w14:paraId="286636F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4.业务管理功能</w:t>
            </w:r>
          </w:p>
          <w:p w14:paraId="2DF196D9">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上行业务管理：</w:t>
            </w:r>
            <w:r>
              <w:rPr>
                <w:rFonts w:hint="eastAsia" w:ascii="宋体" w:hAnsi="宋体" w:cs="宋体"/>
                <w:color w:val="auto"/>
                <w:szCs w:val="21"/>
                <w:highlight w:val="none"/>
              </w:rPr>
              <w:t>针对外部系统接入移动、联通、电信、广电四家运营商短信群发场景，当用户回复指令信息后，短信群发系统需自动回复对应短信内容。支持对上行业务进行配置管理，具体包括配置数据库操作步骤、配置回复短信步骤。</w:t>
            </w:r>
          </w:p>
          <w:p w14:paraId="6A26ECD1">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下行业务管理：</w:t>
            </w:r>
            <w:r>
              <w:rPr>
                <w:rFonts w:hint="eastAsia" w:ascii="宋体" w:hAnsi="宋体" w:cs="宋体"/>
                <w:color w:val="auto"/>
                <w:szCs w:val="21"/>
                <w:highlight w:val="none"/>
              </w:rPr>
              <w:t>针对外部系统接入移动、联通、电信、广电四家运营商短信群发场景，支持根据预设条件自动触发短信发送。支持对下行业务进行配置管理，具体包括配置数据库操作步骤、配置短信发送步骤。</w:t>
            </w:r>
          </w:p>
          <w:p w14:paraId="54333E14">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上行业务记录：</w:t>
            </w:r>
            <w:r>
              <w:rPr>
                <w:rFonts w:hint="eastAsia" w:ascii="宋体" w:hAnsi="宋体" w:cs="宋体"/>
                <w:color w:val="auto"/>
                <w:szCs w:val="21"/>
                <w:highlight w:val="none"/>
              </w:rPr>
              <w:t>提供上行业务相关的全量记录查询，可查看每个手机号码的上行内容、系统对应回复内容及回复状态等信息。</w:t>
            </w:r>
          </w:p>
          <w:p w14:paraId="5C3E465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下行业务记录：</w:t>
            </w:r>
            <w:r>
              <w:rPr>
                <w:rFonts w:hint="eastAsia" w:ascii="宋体" w:hAnsi="宋体" w:cs="宋体"/>
                <w:color w:val="auto"/>
                <w:szCs w:val="21"/>
                <w:highlight w:val="none"/>
              </w:rPr>
              <w:t>提供每一项下行业务、每一次定时发送任务的详细信息查询，确保业务可追溯。</w:t>
            </w:r>
          </w:p>
          <w:p w14:paraId="3AD40EC9">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b/>
                <w:bCs/>
                <w:color w:val="auto"/>
                <w:szCs w:val="21"/>
                <w:highlight w:val="none"/>
              </w:rPr>
              <w:t>下行业务监控：</w:t>
            </w:r>
            <w:r>
              <w:rPr>
                <w:rFonts w:hint="eastAsia" w:ascii="宋体" w:hAnsi="宋体" w:cs="宋体"/>
                <w:color w:val="auto"/>
                <w:szCs w:val="21"/>
                <w:highlight w:val="none"/>
              </w:rPr>
              <w:t>实时查看下行业务执行情况，包括业务执行时间、执行状态等核心信息，便于及时发现异常。</w:t>
            </w:r>
          </w:p>
          <w:p w14:paraId="41FA494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b/>
                <w:bCs/>
                <w:color w:val="auto"/>
                <w:szCs w:val="21"/>
                <w:highlight w:val="none"/>
              </w:rPr>
              <w:t>业务服务日志：</w:t>
            </w:r>
            <w:r>
              <w:rPr>
                <w:rFonts w:hint="eastAsia" w:ascii="宋体" w:hAnsi="宋体" w:cs="宋体"/>
                <w:color w:val="auto"/>
                <w:szCs w:val="21"/>
                <w:highlight w:val="none"/>
              </w:rPr>
              <w:t>对上下行业务管理及短信业务配置的全流程进行日志记录，留存操作痕迹，便于审计和追溯。</w:t>
            </w:r>
          </w:p>
          <w:p w14:paraId="602C5F1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5.网关前端配置</w:t>
            </w:r>
          </w:p>
          <w:p w14:paraId="76AD2FD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运营商号段管理：</w:t>
            </w:r>
            <w:r>
              <w:rPr>
                <w:rFonts w:hint="eastAsia" w:ascii="宋体" w:hAnsi="宋体" w:cs="宋体"/>
                <w:color w:val="auto"/>
                <w:szCs w:val="21"/>
                <w:highlight w:val="none"/>
              </w:rPr>
              <w:t>由系统管理员或具备对应权限的用户，对平台支持的运营商号段进行新增、修改、删除等管理操作。</w:t>
            </w:r>
          </w:p>
          <w:p w14:paraId="16E778CA">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区域号段管理：</w:t>
            </w:r>
            <w:r>
              <w:rPr>
                <w:rFonts w:hint="eastAsia" w:ascii="宋体" w:hAnsi="宋体" w:cs="宋体"/>
                <w:color w:val="auto"/>
                <w:szCs w:val="21"/>
                <w:highlight w:val="none"/>
              </w:rPr>
              <w:t>由系统管理员或具备对应权限的用户，对各省市的区域号段进行新增、修改、删除等管理操作。</w:t>
            </w:r>
          </w:p>
          <w:p w14:paraId="6AFE143D">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6.网关后端配置</w:t>
            </w:r>
          </w:p>
          <w:p w14:paraId="7414921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网关运行参数配置：</w:t>
            </w:r>
            <w:r>
              <w:rPr>
                <w:rFonts w:hint="eastAsia" w:ascii="宋体" w:hAnsi="宋体" w:cs="宋体"/>
                <w:color w:val="auto"/>
                <w:szCs w:val="21"/>
                <w:highlight w:val="none"/>
              </w:rPr>
              <w:t>提供网关运行参数的配置及参数值编辑功能，支持根据实际运行需求调整参数。</w:t>
            </w:r>
          </w:p>
          <w:p w14:paraId="5646F99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通道管理：</w:t>
            </w:r>
            <w:r>
              <w:rPr>
                <w:rFonts w:hint="eastAsia" w:ascii="宋体" w:hAnsi="宋体" w:cs="宋体"/>
                <w:color w:val="auto"/>
                <w:szCs w:val="21"/>
                <w:highlight w:val="none"/>
              </w:rPr>
              <w:t>完成各运营商短信通道的全生命周期维护，支持通道的添加、修改、删除及使用状态管理等操作。</w:t>
            </w:r>
          </w:p>
          <w:p w14:paraId="2B4CBCE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通道账户管理：</w:t>
            </w:r>
            <w:r>
              <w:rPr>
                <w:rFonts w:hint="eastAsia" w:ascii="宋体" w:hAnsi="宋体" w:cs="宋体"/>
                <w:color w:val="auto"/>
                <w:szCs w:val="21"/>
                <w:highlight w:val="none"/>
              </w:rPr>
              <w:t>完成各账户与短信通道的绑定操作，支持绑定关系的添加、修改等管理。</w:t>
            </w:r>
          </w:p>
          <w:p w14:paraId="5B98494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通道运行参数配置：</w:t>
            </w:r>
            <w:r>
              <w:rPr>
                <w:rFonts w:hint="eastAsia" w:ascii="宋体" w:hAnsi="宋体" w:cs="宋体"/>
                <w:color w:val="auto"/>
                <w:szCs w:val="21"/>
                <w:highlight w:val="none"/>
              </w:rPr>
              <w:t>提供各运营商短信通道运行参数的配置及参数值编辑功能，保障通道运行稳定。</w:t>
            </w:r>
          </w:p>
          <w:p w14:paraId="0D3E7040">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7.信息安全</w:t>
            </w:r>
          </w:p>
          <w:p w14:paraId="2284822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关键字设置：</w:t>
            </w:r>
            <w:r>
              <w:rPr>
                <w:rFonts w:hint="eastAsia" w:ascii="宋体" w:hAnsi="宋体" w:cs="宋体"/>
                <w:color w:val="auto"/>
                <w:szCs w:val="21"/>
                <w:highlight w:val="none"/>
              </w:rPr>
              <w:t>为单位信息安全提供保障，通过设定关键字对平台所有下行短信内容进行过滤。关键字模块为系统提供信息过滤数据库，若发送短信内容包含已启用状态的关键字，该短信将无法发送。</w:t>
            </w:r>
          </w:p>
          <w:p w14:paraId="364A880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短信黑名单：</w:t>
            </w:r>
            <w:r>
              <w:rPr>
                <w:rFonts w:hint="eastAsia" w:ascii="宋体" w:hAnsi="宋体" w:cs="宋体"/>
                <w:color w:val="auto"/>
                <w:szCs w:val="21"/>
                <w:highlight w:val="none"/>
              </w:rPr>
              <w:t>通过添加黑名单号码，对所有下行短信的接收号码进行过滤。黑名单模块为系统提供特殊号码过滤库，若发送号码在黑名单内，系统将不向该号码发送任何短信。支持按业务类型设置全局黑名单和业务专属黑名单。</w:t>
            </w:r>
          </w:p>
          <w:p w14:paraId="60291C7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彩信黑名单：</w:t>
            </w:r>
            <w:r>
              <w:rPr>
                <w:rFonts w:hint="eastAsia" w:ascii="宋体" w:hAnsi="宋体" w:cs="宋体"/>
                <w:color w:val="auto"/>
                <w:szCs w:val="21"/>
                <w:highlight w:val="none"/>
              </w:rPr>
              <w:t>为系统提供彩信特殊号码过滤库，若彩信发送对象包含黑名单内号码，系统将不向该号码发送彩信。支持彩信黑名单号码的新建、修改、查询、删除等全流程管理。</w:t>
            </w:r>
          </w:p>
          <w:p w14:paraId="6E58148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8.数据查询功能</w:t>
            </w:r>
          </w:p>
          <w:p w14:paraId="477852F4">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系统上行记录：</w:t>
            </w:r>
            <w:r>
              <w:rPr>
                <w:rFonts w:hint="eastAsia" w:ascii="宋体" w:hAnsi="宋体" w:cs="宋体"/>
                <w:color w:val="auto"/>
                <w:szCs w:val="21"/>
                <w:highlight w:val="none"/>
              </w:rPr>
              <w:t>对平台接收的所有手机回复短信进行全量留存，支持按多条件进行查询、查看及统计分析。</w:t>
            </w:r>
          </w:p>
          <w:p w14:paraId="1438542B">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系统下行记录：</w:t>
            </w:r>
            <w:r>
              <w:rPr>
                <w:rFonts w:hint="eastAsia" w:ascii="宋体" w:hAnsi="宋体" w:cs="宋体"/>
                <w:color w:val="auto"/>
                <w:szCs w:val="21"/>
                <w:highlight w:val="none"/>
              </w:rPr>
              <w:t>对平台发送的所有短信进行全量留存，支持按多条件进行查询、查看及统计分析；记录信息需包含SP账号、通道号码、运营商、手机号码、状态报告、发送时间、接收时间、业务类型、分条情况、短信内容、编码等核心字段。</w:t>
            </w:r>
          </w:p>
          <w:p w14:paraId="5EEAD26A">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群发历史查询：</w:t>
            </w:r>
            <w:r>
              <w:rPr>
                <w:rFonts w:hint="eastAsia" w:ascii="宋体" w:hAnsi="宋体" w:cs="宋体"/>
                <w:color w:val="auto"/>
                <w:szCs w:val="21"/>
                <w:highlight w:val="none"/>
              </w:rPr>
              <w:t>支持按特殊机构属性及对应字段，对所有短信、彩信发送记录进行汇总查询。可查看发送任务详情，包括操作员、隶属机构、发送账号、任务标题、发送时间、发送状态、有效号码个数、提交信息总数、发送失败数、信息内容、文件内容等核心字段。</w:t>
            </w:r>
          </w:p>
          <w:p w14:paraId="420D398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短信滞留记录：</w:t>
            </w:r>
            <w:r>
              <w:rPr>
                <w:rFonts w:hint="eastAsia" w:ascii="宋体" w:hAnsi="宋体" w:cs="宋体"/>
                <w:color w:val="auto"/>
                <w:szCs w:val="21"/>
                <w:highlight w:val="none"/>
              </w:rPr>
              <w:t>留存短信发送后因运营商余额不足等原因导致的滞留数据，充值完成后，可在此模块查询滞留短信，并执行重发或删除操作。</w:t>
            </w:r>
          </w:p>
          <w:p w14:paraId="22294CE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9.统计报表功能</w:t>
            </w:r>
          </w:p>
          <w:p w14:paraId="20EC1D7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运营商统计报表：</w:t>
            </w:r>
            <w:r>
              <w:rPr>
                <w:rFonts w:hint="eastAsia" w:ascii="宋体" w:hAnsi="宋体" w:cs="宋体"/>
                <w:color w:val="auto"/>
                <w:szCs w:val="21"/>
                <w:highlight w:val="none"/>
              </w:rPr>
              <w:t>支持按多条件，对不同运营商的所有下行信息数据进行统计、汇总，生成可视化报表。</w:t>
            </w:r>
          </w:p>
          <w:p w14:paraId="0960175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SP账号统计报表：</w:t>
            </w:r>
            <w:r>
              <w:rPr>
                <w:rFonts w:hint="eastAsia" w:ascii="宋体" w:hAnsi="宋体" w:cs="宋体"/>
                <w:color w:val="auto"/>
                <w:szCs w:val="21"/>
                <w:highlight w:val="none"/>
              </w:rPr>
              <w:t>支持按多条件，对不同发送账号的所有下行信息进行统计、汇总，生成可视化报表。</w:t>
            </w:r>
          </w:p>
          <w:p w14:paraId="7D39FB4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机构统计报表：</w:t>
            </w:r>
            <w:r>
              <w:rPr>
                <w:rFonts w:hint="eastAsia" w:ascii="宋体" w:hAnsi="宋体" w:cs="宋体"/>
                <w:color w:val="auto"/>
                <w:szCs w:val="21"/>
                <w:highlight w:val="none"/>
              </w:rPr>
              <w:t>支持按多条件，对不同机构的所有下行信息数据进行统计、汇总，生成可视化报表。</w:t>
            </w:r>
          </w:p>
          <w:p w14:paraId="745E9FA2">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操作员统计报表：</w:t>
            </w:r>
            <w:r>
              <w:rPr>
                <w:rFonts w:hint="eastAsia" w:ascii="宋体" w:hAnsi="宋体" w:cs="宋体"/>
                <w:color w:val="auto"/>
                <w:szCs w:val="21"/>
                <w:highlight w:val="none"/>
              </w:rPr>
              <w:t>支持按多条件，对不同操作员的所有下行信息进行统计、汇总，生成可视化报表。</w:t>
            </w:r>
          </w:p>
          <w:p w14:paraId="7E304335">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10.审批管理功能</w:t>
            </w:r>
          </w:p>
          <w:p w14:paraId="19BDC8A2">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审核流程管理：</w:t>
            </w:r>
            <w:r>
              <w:rPr>
                <w:rFonts w:hint="eastAsia" w:ascii="宋体" w:hAnsi="宋体" w:cs="宋体"/>
                <w:color w:val="auto"/>
                <w:szCs w:val="21"/>
                <w:highlight w:val="none"/>
              </w:rPr>
              <w:t>为采购人单位信息安全提供统一管控，支持对短信发送、短信模板等审核范围内的操作创建审核流程。在对应模块执行发送或提交操作时，自动触发审核流程，实现信息安全审核的规范化管控。功能包括审核流程查询、新建、修改、删除、审核对象设置等，可查看所有流程审批状态，并支持对审批人进行催办。</w:t>
            </w:r>
          </w:p>
          <w:p w14:paraId="3AE17A01">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信息审批：</w:t>
            </w:r>
            <w:r>
              <w:rPr>
                <w:rFonts w:hint="eastAsia" w:ascii="宋体" w:hAnsi="宋体" w:cs="宋体"/>
                <w:color w:val="auto"/>
                <w:szCs w:val="21"/>
                <w:highlight w:val="none"/>
              </w:rPr>
              <w:t>作为信息安全管控的核心环节，提供新建提交短信、彩信后的审核操作界面，审批人仅处理自身负责的审批事项，审批完成后流程自动流转至下一环节。</w:t>
            </w:r>
          </w:p>
          <w:p w14:paraId="1B5241C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模版审批：</w:t>
            </w:r>
            <w:r>
              <w:rPr>
                <w:rFonts w:hint="eastAsia" w:ascii="宋体" w:hAnsi="宋体" w:cs="宋体"/>
                <w:color w:val="auto"/>
                <w:szCs w:val="21"/>
                <w:highlight w:val="none"/>
              </w:rPr>
              <w:t>提供新建短信、彩信模板后的审核操作界面，实现短信、彩信模板的统一审核管理，保障模板内容合规。</w:t>
            </w:r>
          </w:p>
          <w:p w14:paraId="09902094">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11.参数维护功能</w:t>
            </w:r>
          </w:p>
          <w:p w14:paraId="3DEAAB1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数据源配置：</w:t>
            </w:r>
            <w:r>
              <w:rPr>
                <w:rFonts w:hint="eastAsia" w:ascii="宋体" w:hAnsi="宋体" w:cs="宋体"/>
                <w:color w:val="auto"/>
                <w:szCs w:val="21"/>
                <w:highlight w:val="none"/>
              </w:rPr>
              <w:t>针对外部系统接入移动、联通、电信、广电四家运营商短信群发场景，对于接入数据源的参数进行配置管理，支持数据源的新增、修改、删除操作。</w:t>
            </w:r>
          </w:p>
          <w:p w14:paraId="0962832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自定参数管理：</w:t>
            </w:r>
            <w:r>
              <w:rPr>
                <w:rFonts w:hint="eastAsia" w:ascii="宋体" w:hAnsi="宋体" w:cs="宋体"/>
                <w:color w:val="auto"/>
                <w:szCs w:val="21"/>
                <w:highlight w:val="none"/>
              </w:rPr>
              <w:t>针对自定义统计报表需求设置，满足采购人单位IT应用系统特殊发送统计需求，支持自定义统计字段。功能包括新建参数、修改参数、查看参数值、添加参数值、修改参数值、删除参数值。</w:t>
            </w:r>
          </w:p>
          <w:p w14:paraId="3BF38DC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12.操作员管理功能</w:t>
            </w:r>
          </w:p>
          <w:p w14:paraId="64CF62D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
                <w:bCs/>
                <w:color w:val="auto"/>
                <w:szCs w:val="21"/>
                <w:highlight w:val="none"/>
              </w:rPr>
              <w:t>机构管理：</w:t>
            </w:r>
            <w:r>
              <w:rPr>
                <w:rFonts w:hint="eastAsia" w:ascii="宋体" w:hAnsi="宋体" w:cs="宋体"/>
                <w:color w:val="auto"/>
                <w:szCs w:val="21"/>
                <w:highlight w:val="none"/>
              </w:rPr>
              <w:t>采用组织架构模式对操作员进行统一管理，需明确区分操作员机构与员工机构（二者为不同概念），创建操作员时需选择操作员机构而非员工机构。支持新增下级机构、删除当前机构、编辑机构定义等操作。</w:t>
            </w:r>
          </w:p>
          <w:p w14:paraId="3F32F67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bCs/>
                <w:color w:val="auto"/>
                <w:szCs w:val="21"/>
                <w:highlight w:val="none"/>
              </w:rPr>
              <w:t>操作员管理：</w:t>
            </w:r>
            <w:r>
              <w:rPr>
                <w:rFonts w:hint="eastAsia" w:ascii="宋体" w:hAnsi="宋体" w:cs="宋体"/>
                <w:color w:val="auto"/>
                <w:szCs w:val="21"/>
                <w:highlight w:val="none"/>
              </w:rPr>
              <w:t>为用户创建平台登录账号（即操作员账号），支持账号新建、修改、设置失效等操作，同时支持将操作员转为员工的相关操作。</w:t>
            </w:r>
          </w:p>
          <w:p w14:paraId="6E2F213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bCs/>
                <w:color w:val="auto"/>
                <w:szCs w:val="21"/>
                <w:highlight w:val="none"/>
              </w:rPr>
              <w:t>角色设置：</w:t>
            </w:r>
            <w:r>
              <w:rPr>
                <w:rFonts w:hint="eastAsia" w:ascii="宋体" w:hAnsi="宋体" w:cs="宋体"/>
                <w:color w:val="auto"/>
                <w:szCs w:val="21"/>
                <w:highlight w:val="none"/>
              </w:rPr>
              <w:t>创建操作员不同角色，并为各角色分配对应权限；创建操作员时，可通过分配对应角色赋予其相应操作权限，每个角色的权限与角色管理模块分配的权限保持一致。</w:t>
            </w:r>
          </w:p>
          <w:p w14:paraId="774C62F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操作日志：</w:t>
            </w:r>
            <w:r>
              <w:rPr>
                <w:rFonts w:hint="eastAsia" w:ascii="宋体" w:hAnsi="宋体" w:cs="宋体"/>
                <w:color w:val="auto"/>
                <w:szCs w:val="21"/>
                <w:highlight w:val="none"/>
              </w:rPr>
              <w:t>全量记录短信群发平台上所有操作员在各模块的新建、修改、删除等操作，留存操作痕迹，便于审计和故障追溯。</w:t>
            </w:r>
          </w:p>
          <w:p w14:paraId="18122A47">
            <w:pPr>
              <w:pStyle w:val="9"/>
              <w:keepNext w:val="0"/>
              <w:keepLines w:val="0"/>
              <w:pageBreakBefore w:val="0"/>
              <w:kinsoku/>
              <w:wordWrap w:val="0"/>
              <w:overflowPunct/>
              <w:topLinePunct w:val="0"/>
              <w:autoSpaceDE/>
              <w:autoSpaceDN/>
              <w:bidi w:val="0"/>
              <w:adjustRightInd/>
              <w:snapToGrid/>
              <w:spacing w:after="0" w:line="360" w:lineRule="auto"/>
              <w:ind w:firstLine="420" w:firstLineChars="200"/>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13.技术支持与对接要求</w:t>
            </w:r>
          </w:p>
          <w:p w14:paraId="5A5EDA99">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中标供应商须完整提供本项目全部应用软件的接入说明文档、开发接口规范等全套技术资料；全面配合采购人及相关关联业务系统承建单位，完成系统对接、集成联调、功能适配、测试调试等所有相关工作，确保各系统间互联互通、稳定协同运行。</w:t>
            </w:r>
          </w:p>
          <w:p w14:paraId="7DB3FAF1">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（二）人社多媒体互动配套流量服务</w:t>
            </w:r>
          </w:p>
          <w:p w14:paraId="5DB24A9E">
            <w:pPr>
              <w:keepNext w:val="0"/>
              <w:keepLines w:val="0"/>
              <w:pageBreakBefore w:val="0"/>
              <w:numPr>
                <w:ilvl w:val="255"/>
                <w:numId w:val="0"/>
              </w:numPr>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1.直播流量服务：</w:t>
            </w:r>
          </w:p>
          <w:p w14:paraId="5F7FD78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提供微赞直播服务配套的100000GB直播基础流量及75000GB直播补充流量，保障直播业务顺畅开展。</w:t>
            </w:r>
          </w:p>
          <w:p w14:paraId="0A858C79">
            <w:pPr>
              <w:keepNext w:val="0"/>
              <w:keepLines w:val="0"/>
              <w:pageBreakBefore w:val="0"/>
              <w:numPr>
                <w:ilvl w:val="255"/>
                <w:numId w:val="0"/>
              </w:numPr>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2.实时音视频时长服务：</w:t>
            </w:r>
          </w:p>
          <w:p w14:paraId="7D41CEB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每月提供腾讯云“实时音视频”服务配套的38万分钟基础时长，同时在整个服务周期内额外提供25万分钟固定补充时长。</w:t>
            </w:r>
          </w:p>
          <w:p w14:paraId="7B62FAF3">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color w:val="auto"/>
                <w:szCs w:val="21"/>
                <w:highlight w:val="none"/>
              </w:rPr>
            </w:pPr>
            <w:r>
              <w:rPr>
                <w:rFonts w:hint="eastAsia" w:ascii="宋体" w:hAnsi="宋体" w:cs="宋体"/>
                <w:b/>
                <w:bCs/>
                <w:color w:val="auto"/>
                <w:szCs w:val="21"/>
                <w:highlight w:val="none"/>
              </w:rPr>
              <w:t>3.腾讯云“实时音视频”服务要求：</w:t>
            </w:r>
          </w:p>
          <w:p w14:paraId="666E656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（1）支持微信小程序、iOS、Mac、Android、Windows多平台接入适配，满足不同场景使用需求；</w:t>
            </w:r>
          </w:p>
          <w:p w14:paraId="18D0B3B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（2）具备音视频实时通话、小程序通话加速、AI智能降噪、弱网环境通话卡顿优化等核心功能，保障通话质量。</w:t>
            </w:r>
          </w:p>
          <w:p w14:paraId="2027BCEB">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4.腾讯云“即时通信”服务要求：</w:t>
            </w:r>
          </w:p>
          <w:p w14:paraId="7AF44AB2">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（1）支持无上限用户数、无上限群组数，满足大规模使用需求；</w:t>
            </w:r>
          </w:p>
          <w:p w14:paraId="5B0B281A">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（2）支持聊天室房间数量不低于50个；</w:t>
            </w:r>
          </w:p>
          <w:p w14:paraId="30195611">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（3）支持消息漫游时长不少于7天；</w:t>
            </w:r>
          </w:p>
          <w:p w14:paraId="2D304C1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（4）支持消息传输（含单聊、群聊等场景）、群组管理、聊天室管理、会话管理等核心功能。</w:t>
            </w:r>
          </w:p>
          <w:p w14:paraId="6EC34B82">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5.微赞直播服务要求：</w:t>
            </w:r>
          </w:p>
          <w:p w14:paraId="4DA58B40">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（1）需适配南宁人社业务场景，满足空中招聘会、云课堂、线上直播培训、转播等各类人社业务开展需求；</w:t>
            </w:r>
          </w:p>
          <w:p w14:paraId="2814A67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（2）支持图文直播、语音直播、音视频录播等多种直播形式，并具备直播回放功能，方便用户后续查看。</w:t>
            </w:r>
          </w:p>
          <w:p w14:paraId="40DF11A2">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（三）政务外呼配套话务服务</w:t>
            </w:r>
          </w:p>
          <w:p w14:paraId="01A7439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模拟中继线路外呼服务</w:t>
            </w:r>
          </w:p>
          <w:p w14:paraId="52BEAB22">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（1）提供</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个电话号码的模拟中继线路外呼服务，支持通过模拟中继线路接入业务，满足采购人日常外呼沟通、业务联络、政策宣传等场景需求。</w:t>
            </w:r>
          </w:p>
          <w:p w14:paraId="6A18D88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（2）支持呼入呼出服务、外显号码服务等功能。外呼主叫号码需可统一显示为采购人指定号码。</w:t>
            </w:r>
          </w:p>
          <w:p w14:paraId="2742695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中标</w:t>
            </w:r>
            <w:r>
              <w:rPr>
                <w:rFonts w:hint="eastAsia" w:ascii="宋体" w:hAnsi="宋体" w:cs="宋体"/>
                <w:color w:val="auto"/>
                <w:szCs w:val="21"/>
                <w:highlight w:val="none"/>
              </w:rPr>
              <w:t>供应商应具备灵活的号码管理能力，可根据采购人需求对号码进行配置调整。</w:t>
            </w:r>
          </w:p>
          <w:p w14:paraId="1259C349">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（4）模拟中继线路需支持多路并发通话，满足采购人业务高峰期多线路同时外呼的需求，并发通道数量应能满足业务实际需要。</w:t>
            </w:r>
          </w:p>
          <w:p w14:paraId="3339DA1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2.电话号码认证服务</w:t>
            </w:r>
          </w:p>
          <w:p w14:paraId="2A4D5493">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（1）对采购人指定的</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个电话号码进行电话号码认证服务，将指定的号码按照采购人指定的名称进行绑定。</w:t>
            </w:r>
          </w:p>
          <w:p w14:paraId="0726AE1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（2）认证后，当采购人通过上述号码拨出电话时，在支持的终端设备上来电界面须直接展示采购人指定的名称或标识。</w:t>
            </w:r>
          </w:p>
          <w:p w14:paraId="1783D27D">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（3）号码认证须同步覆盖以下识别库及平台：</w:t>
            </w:r>
          </w:p>
          <w:p w14:paraId="6A405DA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①主流手机品牌系统：华为（华为号码识别系统）、小米（MIUI号码服务中心）、OPPO（系统层级号码识别模块）、vivo（vivo官方号码库）、荣耀等主流手机品牌</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苹果IOS除外</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20B2BDD0">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②主流安全软件平台：腾讯手机管家等；</w:t>
            </w:r>
          </w:p>
          <w:p w14:paraId="5AF8AD0C">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③专业号码识别平台：电话邦等主流号码识别系统。</w:t>
            </w:r>
          </w:p>
          <w:p w14:paraId="759FB29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（4）认证上线时效：自采购人提供完整认证材料之日起，须在7个工作日内完成认证审核并上线生效。</w:t>
            </w:r>
          </w:p>
          <w:p w14:paraId="52EB1CDE">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（5）服务期内，若采购人需变更认证展示信息（如单位名称调整、标识更换等），</w:t>
            </w:r>
            <w:r>
              <w:rPr>
                <w:rFonts w:hint="eastAsia" w:ascii="宋体" w:hAnsi="宋体" w:cs="宋体"/>
                <w:color w:val="auto"/>
                <w:szCs w:val="21"/>
                <w:highlight w:val="none"/>
                <w:lang w:val="en-US" w:eastAsia="zh-CN"/>
              </w:rPr>
              <w:t>中标</w:t>
            </w:r>
            <w:r>
              <w:rPr>
                <w:rFonts w:hint="eastAsia" w:ascii="宋体" w:hAnsi="宋体" w:cs="宋体"/>
                <w:color w:val="auto"/>
                <w:szCs w:val="21"/>
                <w:highlight w:val="none"/>
              </w:rPr>
              <w:t>供应商须在5个工作日内完成信息更新并同步至所有合作终端。</w:t>
            </w:r>
          </w:p>
          <w:p w14:paraId="6233282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3.通话时长服务</w:t>
            </w:r>
          </w:p>
          <w:p w14:paraId="05F22849">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（1）本地通话时长：提供不少于1,000,000分钟的本地通话时长（指号码归属地所在行政区域内的市话通话）。</w:t>
            </w:r>
          </w:p>
          <w:p w14:paraId="151955D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（2）国内长途通话时长：提供不少于60,000分钟的国内长途通话时长（指跨行政区域的长途语音通话）。</w:t>
            </w:r>
          </w:p>
          <w:p w14:paraId="0F831A71">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（3）通话时长服务有效期为12个月，自合同签订之日起计算，服务期限内未使用完毕的通话时长不予清零，可结转至后续继续使用。</w:t>
            </w:r>
          </w:p>
          <w:p w14:paraId="4DF87D6F">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（4）通话质量要求：语音通信链路稳定，支持7×24小时不间断服务，具备良好的语音质量和接通率。</w:t>
            </w:r>
          </w:p>
          <w:p w14:paraId="3E1DCD74">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 技术支持与对接要求</w:t>
            </w:r>
          </w:p>
          <w:p w14:paraId="40F449FD">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（1）中标供应商须完整提供模拟中继线路外呼服务的技术接入文档等全套技术资料</w:t>
            </w:r>
            <w:r>
              <w:rPr>
                <w:rFonts w:hint="eastAsia" w:ascii="宋体" w:hAnsi="宋体" w:cs="宋体"/>
                <w:color w:val="auto"/>
                <w:szCs w:val="21"/>
                <w:highlight w:val="none"/>
                <w:lang w:val="en-US" w:eastAsia="zh-CN"/>
              </w:rPr>
              <w:t>及项目所需设备</w:t>
            </w:r>
            <w:r>
              <w:rPr>
                <w:rFonts w:hint="eastAsia" w:ascii="宋体" w:hAnsi="宋体" w:cs="宋体"/>
                <w:color w:val="auto"/>
                <w:szCs w:val="21"/>
                <w:highlight w:val="none"/>
              </w:rPr>
              <w:t>。</w:t>
            </w:r>
          </w:p>
          <w:p w14:paraId="78E73340">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（2）全面配合采购人完成模拟中继线路话务服务与相关业务系统的对接、集成联调、功能适配、测试调试等所有相关工作，确保各系统间互联互通、稳定协同运行。</w:t>
            </w:r>
          </w:p>
          <w:p w14:paraId="0AD78DED">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二、性能要求</w:t>
            </w:r>
          </w:p>
          <w:p w14:paraId="10B0B09E">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（一）消息智能推送服务：</w:t>
            </w:r>
          </w:p>
          <w:p w14:paraId="3F3F02FD">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1.系统对接要求：</w:t>
            </w:r>
            <w:r>
              <w:rPr>
                <w:rFonts w:hint="eastAsia" w:ascii="宋体" w:hAnsi="宋体" w:cs="宋体"/>
                <w:color w:val="auto"/>
                <w:szCs w:val="21"/>
                <w:highlight w:val="none"/>
              </w:rPr>
              <w:t>需与南宁“智慧人社”公共服务平台、南宁人社协同办公系统等各类业务应用系统无缝衔接对接；支持Socket协议、HTTP协议、本地API（Windows/Linux）、远程API（WebService）等多种接口类型。接口开发须基于人社专网信息安全边界，遵循WebService标准规范，实现内网短信平台各类短信（批量、群发、验证码等）通过专网安全通讯方式收发，同步完成业务短信收发统计数据接口开发。由中标供应商负责提供完整对接方案、接口字典，并全额承担接口开发、系统对接所产生的全部费用。</w:t>
            </w:r>
          </w:p>
          <w:p w14:paraId="11DA1DD7">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2.运营商支持与发送速率：</w:t>
            </w:r>
            <w:r>
              <w:rPr>
                <w:rFonts w:hint="eastAsia" w:ascii="宋体" w:hAnsi="宋体" w:cs="宋体"/>
                <w:color w:val="auto"/>
                <w:szCs w:val="21"/>
                <w:highlight w:val="none"/>
              </w:rPr>
              <w:t>支持移动、联通、电信、广电四家运营商的上下行短信服务；短信发送总速率峰值不低于500条/秒，需配备备用通道，当短信平台发生故障时，主备通道可实现自动或手动灵活切换，保障短信发送不中断。</w:t>
            </w:r>
          </w:p>
          <w:p w14:paraId="6AD90B06">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3.短信到达率要求：</w:t>
            </w:r>
            <w:r>
              <w:rPr>
                <w:rFonts w:hint="eastAsia" w:ascii="宋体" w:hAnsi="宋体" w:cs="宋体"/>
                <w:color w:val="auto"/>
                <w:szCs w:val="21"/>
                <w:highlight w:val="none"/>
              </w:rPr>
              <w:t>短信到达率不低于95%，其中95%的短信到达时长不超过30秒；以下特殊情况不计入到达率统计：</w:t>
            </w:r>
          </w:p>
          <w:p w14:paraId="2E50E95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运营商系统级屏蔽：运营商对部分特殊客户设置的、非用户允许联系人无法送达的系统级屏蔽功能；</w:t>
            </w:r>
          </w:p>
          <w:p w14:paraId="576304A8">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用户端因素：手机用户安装第三方短信屏蔽软件、手机关机、网络状态不稳定等导致信息无法有效送达的情况。</w:t>
            </w:r>
          </w:p>
          <w:p w14:paraId="6F05EE15">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color w:val="auto"/>
                <w:szCs w:val="21"/>
                <w:highlight w:val="none"/>
              </w:rPr>
            </w:pPr>
            <w:r>
              <w:rPr>
                <w:rFonts w:hint="eastAsia" w:ascii="宋体" w:hAnsi="宋体" w:cs="宋体"/>
                <w:b/>
                <w:bCs/>
                <w:color w:val="auto"/>
                <w:szCs w:val="21"/>
                <w:highlight w:val="none"/>
              </w:rPr>
              <w:t>4.稳定性与扩展性：</w:t>
            </w:r>
            <w:r>
              <w:rPr>
                <w:rFonts w:hint="eastAsia" w:ascii="宋体" w:hAnsi="宋体" w:cs="宋体"/>
                <w:color w:val="auto"/>
                <w:szCs w:val="21"/>
                <w:highlight w:val="none"/>
              </w:rPr>
              <w:t>具备稳定性、可靠性、可用性及扩展能力，可适配短信业务量逐年增长需求，无需更换核心服务器即可实现后期平滑扩容。平台需支持7×24小时不间断稳定运行，建立完善的故障应急处置机制，保障系统异常场景下的数据完整性与安全性；配备完备的数据备份与恢复策略，全量留存短信发送历史记录，确保数据可追溯。</w:t>
            </w:r>
          </w:p>
          <w:p w14:paraId="6AA6BB39">
            <w:pPr>
              <w:keepNext w:val="0"/>
              <w:keepLines w:val="0"/>
              <w:pageBreakBefore w:val="0"/>
              <w:kinsoku/>
              <w:wordWrap w:val="0"/>
              <w:overflowPunct/>
              <w:topLinePunct w:val="0"/>
              <w:autoSpaceDE/>
              <w:autoSpaceDN/>
              <w:bidi w:val="0"/>
              <w:adjustRightInd/>
              <w:snapToGrid/>
              <w:spacing w:line="360" w:lineRule="auto"/>
              <w:ind w:firstLine="422" w:firstLineChars="200"/>
              <w:jc w:val="left"/>
              <w:textAlignment w:val="auto"/>
              <w:rPr>
                <w:rFonts w:hint="eastAsia" w:ascii="宋体" w:hAnsi="宋体" w:cs="宋体"/>
                <w:color w:val="auto"/>
                <w:szCs w:val="21"/>
                <w:highlight w:val="none"/>
              </w:rPr>
            </w:pPr>
            <w:r>
              <w:rPr>
                <w:rFonts w:hint="eastAsia" w:ascii="宋体" w:hAnsi="宋体" w:cs="宋体"/>
                <w:b/>
                <w:bCs/>
                <w:color w:val="auto"/>
                <w:szCs w:val="21"/>
                <w:highlight w:val="none"/>
              </w:rPr>
              <w:t>5.操作与运维：</w:t>
            </w:r>
            <w:r>
              <w:rPr>
                <w:rFonts w:hint="eastAsia" w:ascii="宋体" w:hAnsi="宋体" w:cs="宋体"/>
                <w:color w:val="auto"/>
                <w:szCs w:val="21"/>
                <w:highlight w:val="none"/>
              </w:rPr>
              <w:t>平台操作便捷、运维简易、接口管控规范；管理后台界面简洁友好，支持可视化前台运维管理；与各业务系统对接的接口需全程留存完整运行日志，各类程序报错、接口异常可生成可视化统计报表，实现故障点位精准定位，便于快速排查处置。</w:t>
            </w:r>
          </w:p>
          <w:p w14:paraId="7E337D4A">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6.部署要求：</w:t>
            </w:r>
            <w:r>
              <w:rPr>
                <w:rFonts w:hint="eastAsia" w:ascii="宋体" w:hAnsi="宋体" w:cs="宋体"/>
                <w:color w:val="auto"/>
                <w:szCs w:val="21"/>
                <w:highlight w:val="none"/>
              </w:rPr>
              <w:t>短信平台统一部署于市电子政务办云机房，依托政务云资源架构，配套部署云存储及自动备份能力，保障业务数据安全存储、长效留存，符合政务数据管理规范。</w:t>
            </w:r>
          </w:p>
          <w:p w14:paraId="46FE9EB5">
            <w:pPr>
              <w:keepNext w:val="0"/>
              <w:keepLines w:val="0"/>
              <w:pageBreakBefore w:val="0"/>
              <w:kinsoku/>
              <w:wordWrap w:val="0"/>
              <w:overflowPunct/>
              <w:topLinePunct w:val="0"/>
              <w:autoSpaceDE/>
              <w:autoSpaceDN/>
              <w:bidi w:val="0"/>
              <w:adjustRightInd/>
              <w:snapToGrid/>
              <w:spacing w:line="360" w:lineRule="auto"/>
              <w:ind w:firstLine="420" w:firstLineChars="200"/>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（二）人社多媒体互动配套流量服务</w:t>
            </w:r>
          </w:p>
          <w:p w14:paraId="6E91424C">
            <w:pPr>
              <w:pStyle w:val="45"/>
              <w:keepNext w:val="0"/>
              <w:keepLines w:val="0"/>
              <w:pageBreakBefore w:val="0"/>
              <w:kinsoku/>
              <w:wordWrap w:val="0"/>
              <w:overflowPunct/>
              <w:topLinePunct w:val="0"/>
              <w:autoSpaceDE/>
              <w:autoSpaceDN/>
              <w:bidi w:val="0"/>
              <w:adjustRightInd/>
              <w:snapToGrid/>
              <w:spacing w:before="0" w:beforeLines="0" w:after="0" w:afterLines="0" w:line="360" w:lineRule="auto"/>
              <w:ind w:firstLine="422"/>
              <w:textAlignment w:val="auto"/>
              <w:rPr>
                <w:rFonts w:hint="eastAsia" w:hAnsi="宋体" w:cs="宋体"/>
                <w:color w:val="auto"/>
                <w:highlight w:val="none"/>
              </w:rPr>
            </w:pPr>
            <w:r>
              <w:rPr>
                <w:rFonts w:hint="eastAsia" w:hAnsi="宋体" w:cs="宋体"/>
                <w:b/>
                <w:bCs/>
                <w:color w:val="auto"/>
                <w:highlight w:val="none"/>
              </w:rPr>
              <w:t>1.腾讯云“实时音视频”服务对接</w:t>
            </w:r>
            <w:r>
              <w:rPr>
                <w:rFonts w:hint="eastAsia" w:hAnsi="宋体" w:cs="宋体"/>
                <w:color w:val="auto"/>
                <w:highlight w:val="none"/>
              </w:rPr>
              <w:t>：需与南宁“劳动云维权”小程序、南宁人社“视频面试”小屋、南宁“智慧人社”系统顺利接入，保障南宁人社相关业务正常开展，无卡顿、无中断。</w:t>
            </w:r>
          </w:p>
          <w:p w14:paraId="522250C2">
            <w:pPr>
              <w:keepNext w:val="0"/>
              <w:keepLines w:val="0"/>
              <w:pageBreakBefore w:val="0"/>
              <w:kinsoku/>
              <w:wordWrap w:val="0"/>
              <w:overflowPunct/>
              <w:topLinePunct w:val="0"/>
              <w:autoSpaceDE/>
              <w:autoSpaceDN/>
              <w:bidi w:val="0"/>
              <w:adjustRightInd/>
              <w:snapToGrid/>
              <w:spacing w:line="360" w:lineRule="auto"/>
              <w:ind w:firstLine="422" w:firstLineChars="200"/>
              <w:textAlignment w:val="auto"/>
              <w:rPr>
                <w:rFonts w:ascii="宋体" w:hAnsi="宋体" w:cs="宋体"/>
                <w:color w:val="auto"/>
                <w:szCs w:val="21"/>
                <w:highlight w:val="none"/>
              </w:rPr>
            </w:pPr>
            <w:r>
              <w:rPr>
                <w:rFonts w:hint="eastAsia" w:ascii="宋体" w:hAnsi="宋体" w:cs="宋体"/>
                <w:b/>
                <w:bCs/>
                <w:color w:val="auto"/>
                <w:szCs w:val="21"/>
                <w:highlight w:val="none"/>
              </w:rPr>
              <w:t>2.腾讯云“即时通信”服务对接：</w:t>
            </w:r>
            <w:r>
              <w:rPr>
                <w:rFonts w:hint="eastAsia" w:ascii="宋体" w:hAnsi="宋体" w:cs="宋体"/>
                <w:color w:val="auto"/>
                <w:szCs w:val="21"/>
                <w:highlight w:val="none"/>
              </w:rPr>
              <w:t>需与采购人现有系统（南宁“劳动云维权”小程序、南宁人社“视频面试”小屋、南宁“智慧人社”系统）实现无缝对接，保障各类即时通信相关业务顺畅开展。</w:t>
            </w:r>
          </w:p>
          <w:p w14:paraId="2C3CE94F">
            <w:pPr>
              <w:keepNext w:val="0"/>
              <w:keepLines w:val="0"/>
              <w:pageBreakBefore w:val="0"/>
              <w:kinsoku/>
              <w:wordWrap w:val="0"/>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▲（三）政务外呼配套话务服务</w:t>
            </w:r>
          </w:p>
          <w:p w14:paraId="50730AE3">
            <w:pPr>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1.通话质量要求： 语音通信须清晰稳定，无杂音、延迟、断线等现象。</w:t>
            </w:r>
          </w:p>
          <w:p w14:paraId="20041ED3">
            <w:pPr>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2.并发能力要求：模拟中继线路须支持不少于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路并发通话，满足采购人高峰期多线路同时外呼的业务需求，确保不因并发不足导致通话排队或失败。</w:t>
            </w:r>
          </w:p>
          <w:p w14:paraId="25401D43">
            <w:pPr>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3.稳定性与可靠性： 模拟中继线路外呼服务须具备稳定性、可靠性，支持7×24小时不间断稳定运行。建立完善的故障应急处置机制，保障异常场景下的服务连续性。</w:t>
            </w:r>
          </w:p>
        </w:tc>
        <w:tc>
          <w:tcPr>
            <w:tcW w:w="1270" w:type="dxa"/>
            <w:tcBorders>
              <w:top w:val="single" w:color="auto" w:sz="4" w:space="0"/>
              <w:left w:val="single" w:color="auto" w:sz="4" w:space="0"/>
              <w:bottom w:val="single" w:color="auto" w:sz="4" w:space="0"/>
              <w:right w:val="single" w:color="auto" w:sz="4" w:space="0"/>
            </w:tcBorders>
            <w:vAlign w:val="center"/>
          </w:tcPr>
          <w:p w14:paraId="33CC0467">
            <w:pPr>
              <w:wordWrap w:val="0"/>
              <w:spacing w:line="360" w:lineRule="auto"/>
              <w:jc w:val="center"/>
              <w:rPr>
                <w:rFonts w:hint="eastAsia" w:ascii="宋体" w:hAnsi="宋体" w:cs="宋体"/>
                <w:color w:val="auto"/>
                <w:szCs w:val="21"/>
                <w:highlight w:val="none"/>
              </w:rPr>
            </w:pPr>
            <w:r>
              <w:rPr>
                <w:rFonts w:hint="eastAsia" w:ascii="宋体" w:hAnsi="宋体" w:cs="宋体"/>
                <w:bCs/>
                <w:color w:val="auto"/>
                <w:szCs w:val="21"/>
                <w:highlight w:val="none"/>
              </w:rPr>
              <w:t>506900.00</w:t>
            </w:r>
          </w:p>
        </w:tc>
        <w:tc>
          <w:tcPr>
            <w:tcW w:w="1045" w:type="dxa"/>
            <w:tcBorders>
              <w:top w:val="single" w:color="auto" w:sz="4" w:space="0"/>
              <w:left w:val="single" w:color="auto" w:sz="4" w:space="0"/>
              <w:bottom w:val="single" w:color="auto" w:sz="4" w:space="0"/>
              <w:right w:val="single" w:color="auto" w:sz="4" w:space="0"/>
            </w:tcBorders>
            <w:vAlign w:val="center"/>
          </w:tcPr>
          <w:p w14:paraId="24A816E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r>
      <w:tr w14:paraId="6CC71A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428" w:type="dxa"/>
            <w:tcBorders>
              <w:top w:val="single" w:color="auto" w:sz="4" w:space="0"/>
              <w:left w:val="single" w:color="auto" w:sz="4" w:space="0"/>
              <w:bottom w:val="single" w:color="auto" w:sz="4" w:space="0"/>
              <w:right w:val="single" w:color="auto" w:sz="4" w:space="0"/>
            </w:tcBorders>
          </w:tcPr>
          <w:p w14:paraId="24655C2D">
            <w:pPr>
              <w:wordWrap w:val="0"/>
              <w:spacing w:line="360" w:lineRule="auto"/>
              <w:jc w:val="center"/>
              <w:rPr>
                <w:rFonts w:hint="eastAsia" w:ascii="宋体" w:hAnsi="宋体" w:cs="宋体"/>
                <w:color w:val="auto"/>
                <w:szCs w:val="21"/>
                <w:highlight w:val="none"/>
              </w:rPr>
            </w:pPr>
          </w:p>
          <w:p w14:paraId="6F4D301E">
            <w:pPr>
              <w:wordWrap w:val="0"/>
              <w:spacing w:line="360" w:lineRule="auto"/>
              <w:jc w:val="center"/>
              <w:rPr>
                <w:rFonts w:hint="eastAsia" w:ascii="宋体" w:hAnsi="宋体" w:cs="宋体"/>
                <w:color w:val="auto"/>
                <w:szCs w:val="21"/>
                <w:highlight w:val="none"/>
              </w:rPr>
            </w:pPr>
          </w:p>
          <w:p w14:paraId="4ED6ACEB">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商务条款</w:t>
            </w:r>
          </w:p>
        </w:tc>
        <w:tc>
          <w:tcPr>
            <w:tcW w:w="10054" w:type="dxa"/>
            <w:gridSpan w:val="7"/>
            <w:tcBorders>
              <w:top w:val="single" w:color="auto" w:sz="4" w:space="0"/>
              <w:left w:val="single" w:color="auto" w:sz="4" w:space="0"/>
              <w:bottom w:val="single" w:color="auto" w:sz="4" w:space="0"/>
              <w:right w:val="single" w:color="auto" w:sz="4" w:space="0"/>
            </w:tcBorders>
          </w:tcPr>
          <w:p w14:paraId="6B16F3E7">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一、合同签订期：</w:t>
            </w:r>
            <w:r>
              <w:rPr>
                <w:rFonts w:hint="eastAsia" w:ascii="宋体" w:hAnsi="宋体" w:cs="宋体"/>
                <w:color w:val="auto"/>
                <w:szCs w:val="21"/>
                <w:highlight w:val="none"/>
              </w:rPr>
              <w:t>自中标通知书发出之日起25日内。</w:t>
            </w:r>
          </w:p>
          <w:p w14:paraId="3BE4F450">
            <w:pPr>
              <w:widowControl/>
              <w:wordWrap w:val="0"/>
              <w:adjustRightInd w:val="0"/>
              <w:snapToGrid w:val="0"/>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二、提交服务时间：</w:t>
            </w:r>
            <w:r>
              <w:rPr>
                <w:rFonts w:hint="eastAsia" w:ascii="宋体" w:hAnsi="宋体" w:cs="宋体"/>
                <w:color w:val="auto"/>
                <w:szCs w:val="21"/>
                <w:highlight w:val="none"/>
              </w:rPr>
              <w:t>本项目服务期为12个月，自合同签订之日起计算。</w:t>
            </w:r>
          </w:p>
          <w:p w14:paraId="0A8B2744">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三、服务地点：</w:t>
            </w:r>
            <w:r>
              <w:rPr>
                <w:rFonts w:hint="eastAsia" w:ascii="宋体" w:hAnsi="宋体" w:cs="宋体"/>
                <w:color w:val="auto"/>
                <w:szCs w:val="21"/>
                <w:highlight w:val="none"/>
              </w:rPr>
              <w:t>南宁市采购人指定地点。</w:t>
            </w:r>
          </w:p>
          <w:p w14:paraId="6F74BF6D">
            <w:pPr>
              <w:pStyle w:val="45"/>
              <w:wordWrap w:val="0"/>
              <w:spacing w:before="0" w:beforeLines="0" w:after="0" w:afterLines="0" w:line="360" w:lineRule="auto"/>
              <w:ind w:firstLine="0" w:firstLineChars="0"/>
              <w:rPr>
                <w:rFonts w:hint="eastAsia" w:hAnsi="宋体" w:cs="宋体"/>
                <w:b/>
                <w:bCs/>
                <w:color w:val="auto"/>
                <w:highlight w:val="none"/>
              </w:rPr>
            </w:pPr>
            <w:r>
              <w:rPr>
                <w:rFonts w:hint="eastAsia" w:hAnsi="宋体" w:cs="宋体"/>
                <w:b/>
                <w:bCs/>
                <w:color w:val="auto"/>
                <w:highlight w:val="none"/>
              </w:rPr>
              <w:t>四、运维服务要求:</w:t>
            </w:r>
          </w:p>
          <w:p w14:paraId="56181334">
            <w:pPr>
              <w:wordWrap w:val="0"/>
              <w:spacing w:line="360" w:lineRule="auto"/>
              <w:rPr>
                <w:rFonts w:hint="eastAsia" w:ascii="宋体" w:hAnsi="宋体" w:cs="宋体"/>
                <w:color w:val="auto"/>
                <w:szCs w:val="21"/>
                <w:highlight w:val="none"/>
              </w:rPr>
            </w:pPr>
            <w:bookmarkStart w:id="9" w:name="OLE_LINK3"/>
            <w:r>
              <w:rPr>
                <w:rFonts w:hint="eastAsia" w:ascii="宋体" w:hAnsi="宋体" w:cs="宋体"/>
                <w:color w:val="auto"/>
                <w:szCs w:val="21"/>
                <w:highlight w:val="none"/>
              </w:rPr>
              <w:t>▲</w:t>
            </w:r>
            <w:r>
              <w:rPr>
                <w:rFonts w:hint="eastAsia" w:ascii="宋体" w:hAnsi="宋体" w:cs="宋体"/>
                <w:b/>
                <w:bCs/>
                <w:color w:val="auto"/>
                <w:szCs w:val="21"/>
                <w:highlight w:val="none"/>
              </w:rPr>
              <w:t>1.专职运维服务团队基本要求：</w:t>
            </w:r>
            <w:r>
              <w:rPr>
                <w:rFonts w:hint="eastAsia" w:ascii="宋体" w:hAnsi="宋体" w:cs="宋体"/>
                <w:color w:val="auto"/>
                <w:szCs w:val="21"/>
                <w:highlight w:val="none"/>
              </w:rPr>
              <w:t>本项目须组建不少于3人的专属专职运维服务团队，其中配置技术负责人、实施负责人、售后负责人等关键岗位各1名；各关键岗位须为相互独立不同人员，严格实行专人专岗、分岗履职，严禁一人多岗兼任、跨岗位兼职。项目服务期间由实施负责人与采购人对接日常所有事宜，专职运维服务团队相关人员联系方式须上报采购人备案，服务期间如需更换相关人员，须提前7个工作日告知采购人，并经采购人确认后才可更换。中标供应商须免费提供技术支持、培训及针对本项目为采购人服务的运营商客户经理、技术接口人的联系清单。</w:t>
            </w:r>
          </w:p>
          <w:bookmarkEnd w:id="9"/>
          <w:p w14:paraId="4A07D994">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2.故障响应与处置：</w:t>
            </w:r>
            <w:r>
              <w:rPr>
                <w:rFonts w:hint="eastAsia" w:ascii="宋体" w:hAnsi="宋体" w:cs="宋体"/>
                <w:color w:val="auto"/>
                <w:szCs w:val="21"/>
                <w:highlight w:val="none"/>
              </w:rPr>
              <w:t>提供7×24小时实时监控、远程技术支持等服务，当服务平台出现故障时，运维人员须立即响应，安排工程师开展故障处理，并及时通知采购人。根据故障级别明确响应时间和处理时限，具体要求如下：</w:t>
            </w:r>
          </w:p>
          <w:p w14:paraId="394D72E4">
            <w:pPr>
              <w:widowControl/>
              <w:wordWrap w:val="0"/>
              <w:adjustRightInd w:val="0"/>
              <w:snapToGrid w:val="0"/>
              <w:spacing w:line="360" w:lineRule="auto"/>
              <w:rPr>
                <w:rFonts w:hint="eastAsia" w:ascii="宋体" w:hAnsi="宋体" w:cs="宋体"/>
                <w:color w:val="auto"/>
                <w:szCs w:val="21"/>
                <w:highlight w:val="none"/>
              </w:rPr>
            </w:pPr>
            <w:bookmarkStart w:id="10" w:name="OLE_LINK2"/>
            <w:r>
              <w:rPr>
                <w:rFonts w:hint="eastAsia" w:ascii="宋体" w:hAnsi="宋体" w:cs="宋体"/>
                <w:color w:val="auto"/>
                <w:szCs w:val="21"/>
                <w:highlight w:val="none"/>
              </w:rPr>
              <w:t>（1）一级故障：</w:t>
            </w:r>
            <w:bookmarkStart w:id="11" w:name="OLE_LINK1"/>
            <w:r>
              <w:rPr>
                <w:rFonts w:hint="eastAsia" w:ascii="宋体" w:hAnsi="宋体" w:cs="宋体"/>
                <w:color w:val="auto"/>
                <w:szCs w:val="21"/>
                <w:highlight w:val="none"/>
              </w:rPr>
              <w:t>为南宁“智慧人社”系统提供的信息收发、流量支撑等配套服务出现局部异常影响，系统整体业务未中断、可正常稳定运行；主要表现为批量信息发送缓慢、信息接收延迟、状态回执报告反馈不及时、视频画面卡顿</w:t>
            </w:r>
            <w:r>
              <w:rPr>
                <w:rFonts w:ascii="宋体" w:hAnsi="宋体" w:cs="宋体"/>
                <w:color w:val="auto"/>
                <w:szCs w:val="21"/>
                <w:highlight w:val="none"/>
              </w:rPr>
              <w:t>、模拟中继线路外呼服务个别号码无法呼出、通话质量下降（轻微杂音、偶发延迟）、号码认证信息在部分终端未正常展示</w:t>
            </w:r>
            <w:r>
              <w:rPr>
                <w:rFonts w:hint="eastAsia" w:ascii="宋体" w:hAnsi="宋体" w:cs="宋体"/>
                <w:color w:val="auto"/>
                <w:szCs w:val="21"/>
                <w:highlight w:val="none"/>
              </w:rPr>
              <w:t>等情况。此类故障须20分钟内响应，120分钟内处置修复并闭环完毕；</w:t>
            </w:r>
          </w:p>
          <w:bookmarkEnd w:id="10"/>
          <w:bookmarkEnd w:id="11"/>
          <w:p w14:paraId="2AFAB12A">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二级故障：在为南宁“智慧人社”系统提供服务支撑过程中，信息收发、流量支撑服务受到明显影响，系统整体业务运行受阻、无法正常开展使用；常见现象包含大批量信息发送失败、短信发送无响应、状态报告回执严重超时、视频画面无信号、</w:t>
            </w:r>
            <w:r>
              <w:rPr>
                <w:rFonts w:ascii="宋体" w:hAnsi="宋体" w:cs="宋体"/>
                <w:color w:val="auto"/>
                <w:szCs w:val="21"/>
                <w:highlight w:val="none"/>
              </w:rPr>
              <w:t>模拟中继线路外呼服务全部或多数号码无法正常呼出、通话持续中断、语音严重失真、模拟中继线路全阻、并发能力严重不足导致大量通话排队或失败、号码认证信息在主流终端大面积无法展示</w:t>
            </w:r>
            <w:r>
              <w:rPr>
                <w:rFonts w:hint="eastAsia" w:ascii="宋体" w:hAnsi="宋体" w:cs="宋体"/>
                <w:color w:val="auto"/>
                <w:szCs w:val="21"/>
                <w:highlight w:val="none"/>
              </w:rPr>
              <w:t>等情况。此类故障须15分钟内响应，60分钟内完成处置整改并恢复正常；</w:t>
            </w:r>
          </w:p>
          <w:p w14:paraId="27E79DEF">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中标供应商需严格按照上述时限响应和处理故障，每半小时向采购人反馈一次故障处理进展，故障发生后24小时内提交完整的故障分析报告，说明故障原因、处理过程及预防措施。</w:t>
            </w:r>
          </w:p>
          <w:p w14:paraId="374ED1D6">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3.报表报送：</w:t>
            </w:r>
            <w:r>
              <w:rPr>
                <w:rFonts w:hint="eastAsia" w:ascii="宋体" w:hAnsi="宋体" w:cs="宋体"/>
                <w:color w:val="auto"/>
                <w:szCs w:val="21"/>
                <w:highlight w:val="none"/>
              </w:rPr>
              <w:t>中标供应商须在每月5日前，向采购人提供上一月度真实、准确、完整的短信结算报表</w:t>
            </w:r>
            <w:r>
              <w:rPr>
                <w:rFonts w:ascii="宋体" w:hAnsi="宋体" w:cs="宋体"/>
                <w:color w:val="auto"/>
                <w:szCs w:val="21"/>
                <w:highlight w:val="none"/>
              </w:rPr>
              <w:t>及模拟中继线路话务服务通话时长使用报表</w:t>
            </w:r>
            <w:r>
              <w:rPr>
                <w:rFonts w:hint="eastAsia" w:ascii="宋体" w:hAnsi="宋体" w:cs="宋体"/>
                <w:color w:val="auto"/>
                <w:szCs w:val="21"/>
                <w:highlight w:val="none"/>
              </w:rPr>
              <w:t>，并加盖中标供应商公章或财务专用章。</w:t>
            </w:r>
            <w:r>
              <w:rPr>
                <w:rFonts w:ascii="宋体" w:hAnsi="宋体" w:cs="宋体"/>
                <w:color w:val="auto"/>
                <w:szCs w:val="21"/>
                <w:highlight w:val="none"/>
              </w:rPr>
              <w:t>模拟中继线路话务服务通话时长使用报表须包含本地通话时长使用量、国内长途通话时长使用量、各号码通话明细、并发使用情况等核心数据。</w:t>
            </w:r>
            <w:r>
              <w:rPr>
                <w:rFonts w:hint="eastAsia" w:ascii="宋体" w:hAnsi="宋体" w:cs="宋体"/>
                <w:color w:val="auto"/>
                <w:szCs w:val="21"/>
                <w:highlight w:val="none"/>
              </w:rPr>
              <w:t>采购人有权对报表数据进行核对，中标供应商需积极配合并提供相关佐证材料；若中标供应商逾期未报送报表，采购人有权顺延结算付款，由此产生的一切责任由中标供应商自行承担。</w:t>
            </w:r>
          </w:p>
          <w:p w14:paraId="447D53DE">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.剩余服务处理：</w:t>
            </w:r>
            <w:r>
              <w:rPr>
                <w:rFonts w:hint="eastAsia" w:ascii="宋体" w:hAnsi="宋体" w:cs="宋体"/>
                <w:color w:val="auto"/>
                <w:szCs w:val="21"/>
                <w:highlight w:val="none"/>
              </w:rPr>
              <w:t>服务期限届满后，若项目包含的短信数量</w:t>
            </w:r>
            <w:r>
              <w:rPr>
                <w:rFonts w:ascii="宋体" w:hAnsi="宋体" w:cs="宋体"/>
                <w:color w:val="auto"/>
                <w:szCs w:val="21"/>
                <w:highlight w:val="none"/>
              </w:rPr>
              <w:t>及通话时长</w:t>
            </w:r>
            <w:r>
              <w:rPr>
                <w:rFonts w:hint="eastAsia" w:ascii="宋体" w:hAnsi="宋体" w:cs="宋体"/>
                <w:color w:val="auto"/>
                <w:szCs w:val="21"/>
                <w:highlight w:val="none"/>
              </w:rPr>
              <w:t>未使用完毕，剩余数量不予清零，可结转至后续继续使用。</w:t>
            </w:r>
          </w:p>
          <w:p w14:paraId="43D2B57B">
            <w:pPr>
              <w:wordWrap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五、验收标准、规范：</w:t>
            </w:r>
          </w:p>
          <w:p w14:paraId="2CE65997">
            <w:pPr>
              <w:widowControl/>
              <w:wordWrap w:val="0"/>
              <w:adjustRightInd w:val="0"/>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1.验收依据：</w:t>
            </w:r>
            <w:r>
              <w:rPr>
                <w:rFonts w:hint="eastAsia" w:ascii="宋体" w:hAnsi="宋体" w:cs="宋体"/>
                <w:color w:val="auto"/>
                <w:szCs w:val="21"/>
                <w:highlight w:val="none"/>
              </w:rPr>
              <w:t>采购合同；招标文件；中标供应商投标文件；国家及行业相关标准、规范。</w:t>
            </w:r>
          </w:p>
          <w:p w14:paraId="790FF5C2">
            <w:pPr>
              <w:widowControl/>
              <w:numPr>
                <w:ilvl w:val="255"/>
                <w:numId w:val="0"/>
              </w:num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2.验收主体与组织：</w:t>
            </w:r>
            <w:r>
              <w:rPr>
                <w:rFonts w:hint="eastAsia" w:ascii="宋体" w:hAnsi="宋体" w:cs="宋体"/>
                <w:color w:val="auto"/>
                <w:szCs w:val="21"/>
                <w:highlight w:val="none"/>
              </w:rPr>
              <w:t>验收主体为采购人。由采购人组织，采购人、中标供应商共同参加验收。验收过程中所产生的一切费用由中标供应商承担。验收方式采用书面审查与现场核验相结合的方式，必要时可邀请第三方专业机构参与。</w:t>
            </w:r>
          </w:p>
          <w:p w14:paraId="39059FD6">
            <w:pPr>
              <w:widowControl/>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cs="宋体"/>
                <w:b/>
                <w:bCs/>
                <w:color w:val="auto"/>
                <w:szCs w:val="21"/>
                <w:highlight w:val="none"/>
              </w:rPr>
              <w:t>3.验收内容：</w:t>
            </w:r>
            <w:r>
              <w:rPr>
                <w:rFonts w:hint="eastAsia" w:ascii="宋体" w:hAnsi="宋体" w:eastAsia="宋体" w:cs="宋体"/>
                <w:color w:val="auto"/>
                <w:szCs w:val="21"/>
                <w:highlight w:val="none"/>
              </w:rPr>
              <w:t>严格对照采购合同条款、招标文件约定内容，对中标供应商所提供服务的完整性、合规性、匹配度及履约完成情况进行全面核查，是否提供合同资料（招标文件、投标文件、采购合同）；质量保证资料（功能手册、短信正常发送截图）；短信平台接口文档；腾讯云"实时音视频"服务接口文档；腾讯云"即时通信"服务接口文档及整个项目周期短信结算报表；周期短信服务巡检记录表；短信通道性能验收材料（短信发送及到达状态台账，短信批量任务发送速度截图，平台运行监控日志）；腾讯云"实时音视频"服务记录表；腾讯云"即时通信"服务记录表；微赞直播服务记录表；模拟中继线路话务服务：模拟中继线路外呼服务开通确认材料（10个号码开通证明）；电话号码认证服务材料（4个号码认证成功截图）；服务过程中形成的其他文档资料，整个服务周期的服务总结报告等，确保实际交付服务与采购要求完全一致。</w:t>
            </w:r>
          </w:p>
          <w:p w14:paraId="68DCAA13">
            <w:pPr>
              <w:pStyle w:val="45"/>
              <w:wordWrap w:val="0"/>
              <w:spacing w:before="0" w:beforeLines="0" w:after="0" w:afterLines="0" w:line="360" w:lineRule="auto"/>
              <w:ind w:firstLine="0" w:firstLineChars="0"/>
              <w:rPr>
                <w:rFonts w:hint="eastAsia" w:hAnsi="宋体" w:cs="宋体"/>
                <w:b/>
                <w:bCs/>
                <w:color w:val="auto"/>
                <w:highlight w:val="none"/>
              </w:rPr>
            </w:pPr>
            <w:r>
              <w:rPr>
                <w:rFonts w:hint="eastAsia" w:hAnsi="宋体" w:cs="宋体"/>
                <w:b/>
                <w:bCs/>
                <w:color w:val="auto"/>
                <w:highlight w:val="none"/>
              </w:rPr>
              <w:t>六、付款方式：本项目分四期付款，每期支付合同总金额的25%。</w:t>
            </w:r>
          </w:p>
          <w:p w14:paraId="014B7548">
            <w:pPr>
              <w:wordWrap w:val="0"/>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1.第一期付款（25%）：</w:t>
            </w:r>
            <w:r>
              <w:rPr>
                <w:rFonts w:hint="eastAsia" w:ascii="宋体" w:hAnsi="宋体" w:cs="宋体"/>
                <w:color w:val="auto"/>
                <w:szCs w:val="21"/>
                <w:highlight w:val="none"/>
              </w:rPr>
              <w:t>服务期满3个月后，中标供应商在第4个月内提交服务周期为第1-3个月的服务成果：第1-3个月短信结算报表；短信服务巡检记录表；短信通道性能验收材料（短信发送及到达状态台账，短信批量任务发送速度截图，平台运行监控日志；腾讯云"实时音视频"服务记录表；腾讯云"即时通信"服务记录表；微赞直播服务记录表；服务阶段性的服务总结报告；合同资料（招标文件、投标文件、采购合同）；质量保证资料（功能手册、短信正常发送截图）；接口文档（短信平台接口、腾讯云"实时音视频"服务接口）；</w:t>
            </w:r>
            <w:r>
              <w:rPr>
                <w:rFonts w:ascii="宋体" w:hAnsi="宋体" w:cs="宋体"/>
                <w:color w:val="auto"/>
                <w:szCs w:val="21"/>
                <w:highlight w:val="none"/>
              </w:rPr>
              <w:t>模拟中继线路话务服务：第1-3个月话务服务巡检记录表、通话时长使用报表、模拟中继线路运行状态报告、号码认证状态确认材料</w:t>
            </w:r>
            <w:r>
              <w:rPr>
                <w:rFonts w:hint="eastAsia" w:ascii="宋体" w:hAnsi="宋体" w:cs="宋体"/>
                <w:color w:val="auto"/>
                <w:szCs w:val="21"/>
                <w:highlight w:val="none"/>
              </w:rPr>
              <w:t>经采购人验收合格后，采购人于20个工作日内向市财政局提交请款申请，财政款到之日起10个工作日内，向中标供应商支付合同金额的25%；</w:t>
            </w:r>
          </w:p>
          <w:p w14:paraId="78911D2C">
            <w:pPr>
              <w:wordWrap w:val="0"/>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2.第二期付款（25%）：</w:t>
            </w:r>
            <w:r>
              <w:rPr>
                <w:rFonts w:hint="eastAsia" w:ascii="宋体" w:hAnsi="宋体" w:cs="宋体"/>
                <w:color w:val="auto"/>
                <w:szCs w:val="21"/>
                <w:highlight w:val="none"/>
              </w:rPr>
              <w:t>服务期满6个月后，中标供应商在第7个月内提交服务周期为第4-6个月的服务成果：第4-6个月短信结算报表；短信服务巡检记录表；短信通道性能验收材料（短信发送及到达状态台账，短信批量任务发送速度截图，平台运行监控日志；腾讯云"实时音视频"服务记录表；腾讯云"即时通信"服务记录表；微赞直播服务记录表；服务阶段性的服务总结报告；</w:t>
            </w:r>
            <w:r>
              <w:rPr>
                <w:rFonts w:ascii="宋体" w:hAnsi="宋体" w:cs="宋体"/>
                <w:color w:val="auto"/>
                <w:szCs w:val="21"/>
                <w:highlight w:val="none"/>
              </w:rPr>
              <w:t>模拟中继线路话务服务：第4-6个月话务服务巡检记录表、通话时长使用报表、模拟中继线路运行状态报告、号码认证状态确认材料</w:t>
            </w:r>
            <w:r>
              <w:rPr>
                <w:rFonts w:hint="eastAsia" w:ascii="宋体" w:hAnsi="宋体" w:cs="宋体"/>
                <w:color w:val="auto"/>
                <w:szCs w:val="21"/>
                <w:highlight w:val="none"/>
              </w:rPr>
              <w:t>经采购人验收合格后，采购人于20个工作日内向市财政局提交请款申请，财政款到之日起10个工作日内，向中标供应商支付合同金额的25%；</w:t>
            </w:r>
          </w:p>
          <w:p w14:paraId="468AE50C">
            <w:pPr>
              <w:wordWrap w:val="0"/>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3.第三期付款（25%）：</w:t>
            </w:r>
            <w:r>
              <w:rPr>
                <w:rFonts w:hint="eastAsia" w:ascii="宋体" w:hAnsi="宋体" w:cs="宋体"/>
                <w:color w:val="auto"/>
                <w:szCs w:val="21"/>
                <w:highlight w:val="none"/>
              </w:rPr>
              <w:t>服务期满9个月后，中标供应商在第10个月内提交服务周期为第7-9个月的服务成果：第7-9个月短信结算报表；短信服务巡检记录表；短信通道性能验收材料（短信发送及到达状态台账，短信批量任务发送速度截图，平台运行监控日志；腾讯云"实时音视频"服务记录表；腾讯云"即时通信"服务记录表；</w:t>
            </w:r>
            <w:r>
              <w:rPr>
                <w:rFonts w:ascii="宋体" w:hAnsi="宋体" w:cs="宋体"/>
                <w:color w:val="auto"/>
                <w:szCs w:val="21"/>
                <w:highlight w:val="none"/>
              </w:rPr>
              <w:t>微赞直播服务记录表；</w:t>
            </w:r>
            <w:r>
              <w:rPr>
                <w:rFonts w:hint="eastAsia" w:ascii="宋体" w:hAnsi="宋体" w:cs="宋体"/>
                <w:color w:val="auto"/>
                <w:szCs w:val="21"/>
                <w:highlight w:val="none"/>
              </w:rPr>
              <w:t>服务阶段性的服务总结报告；</w:t>
            </w:r>
            <w:r>
              <w:rPr>
                <w:rFonts w:ascii="宋体" w:hAnsi="宋体" w:cs="宋体"/>
                <w:color w:val="auto"/>
                <w:szCs w:val="21"/>
                <w:highlight w:val="none"/>
              </w:rPr>
              <w:t>模拟中继线路话务服务：第7-9个月话务服务巡检记录表、通话时长使用报表、模拟中继线路运行状态</w:t>
            </w:r>
            <w:r>
              <w:rPr>
                <w:rFonts w:hint="eastAsia" w:ascii="宋体" w:hAnsi="宋体" w:cs="宋体"/>
                <w:color w:val="auto"/>
                <w:szCs w:val="21"/>
                <w:highlight w:val="none"/>
              </w:rPr>
              <w:t>报告、</w:t>
            </w:r>
            <w:r>
              <w:rPr>
                <w:rFonts w:ascii="宋体" w:hAnsi="宋体" w:cs="宋体"/>
                <w:color w:val="auto"/>
                <w:szCs w:val="21"/>
                <w:highlight w:val="none"/>
              </w:rPr>
              <w:t>号码认证状态确认材料</w:t>
            </w:r>
            <w:r>
              <w:rPr>
                <w:rFonts w:hint="eastAsia" w:ascii="宋体" w:hAnsi="宋体" w:cs="宋体"/>
                <w:color w:val="auto"/>
                <w:szCs w:val="21"/>
                <w:highlight w:val="none"/>
              </w:rPr>
              <w:t>，经采购人验收合格后，采购人于20个工作日内向市财政局提交请款申请，财政款到之日起10个工作日内，向中标供应商支付合同金额的25%；</w:t>
            </w:r>
          </w:p>
          <w:p w14:paraId="317FAC41">
            <w:pPr>
              <w:wordWrap w:val="0"/>
              <w:spacing w:line="360" w:lineRule="auto"/>
              <w:jc w:val="left"/>
              <w:rPr>
                <w:rFonts w:hint="eastAsia" w:ascii="宋体" w:hAnsi="宋体" w:cs="宋体"/>
                <w:color w:val="auto"/>
                <w:szCs w:val="21"/>
                <w:highlight w:val="none"/>
              </w:rPr>
            </w:pPr>
            <w:r>
              <w:rPr>
                <w:rFonts w:hint="eastAsia" w:ascii="宋体" w:hAnsi="宋体" w:cs="宋体"/>
                <w:b/>
                <w:bCs/>
                <w:color w:val="auto"/>
                <w:szCs w:val="21"/>
                <w:highlight w:val="none"/>
              </w:rPr>
              <w:t>4.第四期付款（25%）</w:t>
            </w:r>
            <w:r>
              <w:rPr>
                <w:rFonts w:hint="eastAsia" w:ascii="宋体" w:hAnsi="宋体" w:cs="宋体"/>
                <w:color w:val="auto"/>
                <w:szCs w:val="21"/>
                <w:highlight w:val="none"/>
              </w:rPr>
              <w:t>：服务期满12个月后，中标供应商在1个月内须完整归集并提交全周期服务资料：整个项目周期短信结算报表；短信服务巡检记录表；短信通道性能验收材料（短信发送及到达状态台账，短信批量任务发送速度截图，平台运行监控日志）；腾讯云"实时音视频"服务记录表；腾讯云"即时通信"服务记录表；微赞直播服务记录表；整个服务周期的服务总结报告；</w:t>
            </w:r>
            <w:r>
              <w:rPr>
                <w:rFonts w:ascii="宋体" w:hAnsi="宋体" w:cs="宋体"/>
                <w:color w:val="auto"/>
                <w:szCs w:val="21"/>
                <w:highlight w:val="none"/>
              </w:rPr>
              <w:t>模拟中继线路话务服务：全周期话务服务巡检记录表、全周期通话时长使用报表、模拟中继线路全周期运行报告、号码认证服务全周期运行报</w:t>
            </w:r>
            <w:r>
              <w:rPr>
                <w:rFonts w:hint="eastAsia" w:ascii="宋体" w:hAnsi="宋体" w:cs="宋体"/>
                <w:color w:val="auto"/>
                <w:szCs w:val="21"/>
                <w:highlight w:val="none"/>
              </w:rPr>
              <w:t>告及服务过程中形成的其他文档资料，经采购人验收合格后，采购人于20个工作日内向市财政局提交请款申请，财政款到之日起10个工作日内，向中标供应商支付合同金额的25%；</w:t>
            </w:r>
          </w:p>
          <w:p w14:paraId="62D250DE">
            <w:pPr>
              <w:pStyle w:val="45"/>
              <w:wordWrap w:val="0"/>
              <w:spacing w:before="0" w:beforeLines="0" w:after="0" w:afterLines="0" w:line="360" w:lineRule="auto"/>
              <w:ind w:firstLine="0" w:firstLineChars="0"/>
              <w:rPr>
                <w:rFonts w:hint="eastAsia" w:hAnsi="宋体" w:cs="宋体"/>
                <w:color w:val="auto"/>
                <w:highlight w:val="none"/>
              </w:rPr>
            </w:pPr>
            <w:r>
              <w:rPr>
                <w:rFonts w:hint="eastAsia" w:hAnsi="宋体" w:cs="宋体"/>
                <w:color w:val="auto"/>
                <w:highlight w:val="none"/>
              </w:rPr>
              <w:t>5.中标供应商应在收到每笔合同款后5个工作日内，向采购人开具与付款金额等额的合法有效增值税发票。因财政资金拨付流程导致的付款延迟，采购人不承担逾期付款违约责任，但应及时向中标供应商说明情况并协调财政拨款进度。</w:t>
            </w:r>
          </w:p>
          <w:p w14:paraId="1ED645CB">
            <w:pPr>
              <w:wordWrap w:val="0"/>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b/>
                <w:bCs/>
                <w:color w:val="auto"/>
                <w:szCs w:val="21"/>
                <w:highlight w:val="none"/>
              </w:rPr>
              <w:t>七、违约责任：</w:t>
            </w:r>
          </w:p>
          <w:p w14:paraId="34DEB18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中标供应商违反合同约定的，按以下情形承担违约责任：</w:t>
            </w:r>
          </w:p>
          <w:p w14:paraId="39B5E598">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1.逾期交付及开通违约</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因中标供应商原因，未能按合同约定的时间、内容、标准完成服务交付或开通的，每逾期一日，按合同总金额的万分之五支付违约金。逾期超过30日的，采购人有权解除合同，中标供应商应退还已收取的全部费用，并赔偿采购人另行采购替代服务的差价等实际损失。</w:t>
            </w:r>
          </w:p>
          <w:p w14:paraId="73B4E00D">
            <w:pPr>
              <w:wordWrap w:val="0"/>
              <w:spacing w:line="360" w:lineRule="auto"/>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2.服务质量违约</w:t>
            </w:r>
            <w:r>
              <w:rPr>
                <w:rFonts w:hint="eastAsia" w:ascii="宋体" w:hAnsi="宋体" w:cs="宋体"/>
                <w:b/>
                <w:bCs/>
                <w:color w:val="auto"/>
                <w:szCs w:val="21"/>
                <w:highlight w:val="none"/>
                <w:lang w:eastAsia="zh-CN"/>
              </w:rPr>
              <w:t>：</w:t>
            </w:r>
          </w:p>
          <w:p w14:paraId="28841464">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（1）短信服务质量按3个月服务周期开展阶段性考核</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考核周期与各期付款周期一一对应。考核指标包含到达率、通道稳定性、发送速度三项。考核标准：月到达率≥95%，发送速度不达标、通道中断等情形均纳入考核。同一考核周期内，任意单项指标不达标，扣减本阶段应付合同款项的</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%；两项及以上指标同时不达标，扣减本阶段应付合同款项的</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%，违约扣款不重复叠加。采购人完成阶段性验收时同步核算本考核周期考核扣款，扣款金额直接在本期应付资金中抵扣；若本期应付金额不足以抵扣全部扣款，差额部分由中标供应商另行补缴。</w:t>
            </w:r>
          </w:p>
          <w:p w14:paraId="08C3C8D5">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（2）流量服务提供的服务月数不达标</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按照合同约定，在合同服务周期内，应提供12个月的流量服务，每缺少提供一个月的服务且造成人社业务中断的，扣减本阶段应付合同款项的3%；服务周期内累计出现3次及以上的，采购人有权解除合同。</w:t>
            </w:r>
          </w:p>
          <w:p w14:paraId="3212CC0E">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（3）模拟中继线路话务服务可用性考核：</w:t>
            </w:r>
            <w:r>
              <w:rPr>
                <w:rFonts w:hint="eastAsia" w:ascii="宋体" w:hAnsi="宋体" w:cs="宋体"/>
                <w:color w:val="auto"/>
                <w:szCs w:val="21"/>
                <w:highlight w:val="none"/>
              </w:rPr>
              <w:t>按3个月服务周期开展阶段性考核，考核周期内，模拟中继线路外呼服务累计中断时间超过2小时的，扣减本阶段应付合同款项的3%；累计中断时间超过8小时的，扣减本阶段应付合同款项的5%。</w:t>
            </w:r>
          </w:p>
          <w:p w14:paraId="6CE200F4">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）服务响应违约</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各阶段性服务成果提交及验收周期内，中标供应商未按商务要求约定时限响应或处置故障的；因响应不及时、处置不当，造成政务工作延误、产生不良社会影响等重大后果的，扣除该阶段应付款项的5%；情节严重的，采购人有权单方解除合同，并追偿全部损失。</w:t>
            </w:r>
          </w:p>
          <w:p w14:paraId="1B083301">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）数据安全违约</w:t>
            </w:r>
            <w:r>
              <w:rPr>
                <w:rFonts w:hint="eastAsia" w:ascii="宋体" w:hAnsi="宋体" w:cs="宋体"/>
                <w:b/>
                <w:bCs/>
                <w:color w:val="auto"/>
                <w:szCs w:val="21"/>
                <w:highlight w:val="none"/>
                <w:lang w:eastAsia="zh-CN"/>
              </w:rPr>
              <w:t>：</w:t>
            </w:r>
            <w:r>
              <w:rPr>
                <w:rFonts w:hint="eastAsia" w:ascii="宋体" w:hAnsi="宋体" w:cs="宋体"/>
                <w:color w:val="auto"/>
                <w:szCs w:val="21"/>
                <w:highlight w:val="none"/>
              </w:rPr>
              <w:t>因中标供应商原因导致采购人政务信息、办事群众个人信息、服务数据泄露、篡改、丢失的，中标供应商应承担全部法律责任及经济赔偿责任（包括直接损失、间接损失、维权费用、行政处罚费用等），并按合同总金额的10%支付违约金。采购人有权解除合同，中标供应商应消除不良影响。情节严重的，采购人将相关情况上报政府采购监管部门、行业主管部门及电信管理机构。</w:t>
            </w:r>
          </w:p>
          <w:p w14:paraId="5D4A7540">
            <w:pPr>
              <w:wordWrap w:val="0"/>
              <w:spacing w:line="360" w:lineRule="auto"/>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w:t>
            </w:r>
            <w:r>
              <w:rPr>
                <w:rFonts w:hint="eastAsia" w:ascii="宋体" w:hAnsi="宋体" w:cs="宋体"/>
                <w:b/>
                <w:bCs/>
                <w:color w:val="auto"/>
                <w:szCs w:val="21"/>
                <w:highlight w:val="none"/>
              </w:rPr>
              <w:t>八、其他要求</w:t>
            </w:r>
            <w:r>
              <w:rPr>
                <w:rFonts w:hint="eastAsia" w:ascii="宋体" w:hAnsi="宋体" w:cs="宋体"/>
                <w:b/>
                <w:bCs/>
                <w:color w:val="auto"/>
                <w:szCs w:val="21"/>
                <w:highlight w:val="none"/>
                <w:lang w:eastAsia="zh-CN"/>
              </w:rPr>
              <w:t>：</w:t>
            </w:r>
          </w:p>
          <w:p w14:paraId="5E9235F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1.报价应为完成本项目所需的全部费用，包括但不限于：</w:t>
            </w:r>
          </w:p>
          <w:p w14:paraId="7BEA24E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（1）人工费、技术服务费、管理费；</w:t>
            </w:r>
          </w:p>
          <w:p w14:paraId="2066A70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（2）开发工具、系统功能模块、插件、第三方组件、接口授权、系统对接等软件及工具费用；</w:t>
            </w:r>
          </w:p>
          <w:p w14:paraId="2A6870E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（3）差旅、食宿、交通等履约相关费用；</w:t>
            </w:r>
          </w:p>
          <w:p w14:paraId="4663A56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（4）税费及其他（如部署、调试、培训、技术支持、售后服务、更新升级、验收等）费用；</w:t>
            </w:r>
          </w:p>
          <w:p w14:paraId="4D01CF22">
            <w:pPr>
              <w:spacing w:line="500" w:lineRule="exact"/>
              <w:jc w:val="left"/>
              <w:rPr>
                <w:color w:val="auto"/>
                <w:highlight w:val="none"/>
              </w:rPr>
            </w:pPr>
            <w:r>
              <w:rPr>
                <w:rFonts w:hint="eastAsia" w:ascii="宋体" w:hAnsi="宋体" w:cs="宋体"/>
                <w:color w:val="auto"/>
                <w:szCs w:val="21"/>
                <w:highlight w:val="none"/>
              </w:rPr>
              <w:t>（5）招标文件所要求的相关服务，以及合同明示或暗示的所有责任、义务和一般风险等费用。合同履行过程中，采购人不再支付合同以外的其他费用。</w:t>
            </w:r>
          </w:p>
          <w:p w14:paraId="260B970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保密要求：由于本项目实施和服务过程中，需要了解或知悉采购人的相关业务信息，为确保采购人业务信息的安全，中标供应商应遵守《中华人民共和国保守国家秘密法》，必须对本项目所有项目信息予以保密，未经采购人书面许可，中标供应商不得以任何形式向第三方透露本项目的任何内容，并与采购人签订相关的《保密协议书》。</w:t>
            </w:r>
          </w:p>
          <w:p w14:paraId="725981B1">
            <w:pPr>
              <w:pStyle w:val="7"/>
              <w:wordWrap w:val="0"/>
              <w:spacing w:line="360" w:lineRule="auto"/>
              <w:ind w:left="0" w:leftChars="0" w:firstLine="0" w:firstLineChars="0"/>
              <w:rPr>
                <w:rFonts w:hint="eastAsia" w:ascii="宋体" w:hAnsi="宋体" w:cs="宋体"/>
                <w:color w:val="auto"/>
                <w:szCs w:val="21"/>
                <w:highlight w:val="none"/>
              </w:rPr>
            </w:pPr>
            <w:r>
              <w:rPr>
                <w:rFonts w:hint="eastAsia" w:ascii="宋体" w:hAnsi="宋体" w:cs="宋体"/>
                <w:color w:val="auto"/>
                <w:szCs w:val="21"/>
                <w:highlight w:val="none"/>
              </w:rPr>
              <w:t>3.在合同签订及项目实施过程中发现中标供应商存在虚假应标的情况，采购人无条件解除合同之外，上报财政部门并追究其法律责任和经济赔偿。</w:t>
            </w:r>
          </w:p>
          <w:p w14:paraId="29E0E511">
            <w:pPr>
              <w:spacing w:line="360" w:lineRule="auto"/>
              <w:rPr>
                <w:color w:val="auto"/>
                <w:highlight w:val="none"/>
              </w:rPr>
            </w:pPr>
            <w:r>
              <w:rPr>
                <w:rFonts w:hint="eastAsia" w:ascii="宋体" w:hAnsi="宋体" w:cs="宋体"/>
                <w:color w:val="auto"/>
                <w:szCs w:val="21"/>
                <w:highlight w:val="none"/>
              </w:rPr>
              <w:t>4.知识产权：采购人在中华人民共和国境内使用中标供应商提供的产品及服务时免受第三方提出的侵犯其专利权或其它知识产权的起诉。如果第三方提出侵权指控，中标供应商应承担由此而引起的一切法律责任和费用。</w:t>
            </w:r>
          </w:p>
        </w:tc>
      </w:tr>
      <w:tr w14:paraId="5B17B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8" w:type="dxa"/>
            <w:tcBorders>
              <w:top w:val="single" w:color="auto" w:sz="4" w:space="0"/>
              <w:left w:val="single" w:color="auto" w:sz="4" w:space="0"/>
              <w:bottom w:val="single" w:color="auto" w:sz="4" w:space="0"/>
              <w:right w:val="single" w:color="auto" w:sz="4" w:space="0"/>
            </w:tcBorders>
            <w:vAlign w:val="center"/>
          </w:tcPr>
          <w:p w14:paraId="0A8307A7">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其他说明</w:t>
            </w:r>
          </w:p>
        </w:tc>
        <w:tc>
          <w:tcPr>
            <w:tcW w:w="10054" w:type="dxa"/>
            <w:gridSpan w:val="7"/>
            <w:tcBorders>
              <w:top w:val="single" w:color="auto" w:sz="4" w:space="0"/>
              <w:left w:val="single" w:color="auto" w:sz="4" w:space="0"/>
              <w:bottom w:val="single" w:color="auto" w:sz="4" w:space="0"/>
              <w:right w:val="single" w:color="auto" w:sz="4" w:space="0"/>
            </w:tcBorders>
            <w:vAlign w:val="center"/>
          </w:tcPr>
          <w:p w14:paraId="3029D83F">
            <w:pPr>
              <w:widowControl/>
              <w:wordWrap w:val="0"/>
              <w:spacing w:line="360" w:lineRule="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1.本项目采购标的需执行的国家相关标准、行业标准、地方标准或其他强制性标准、规范等要求：按国家相关标准、中标供应商承诺进行验收。</w:t>
            </w:r>
          </w:p>
          <w:p w14:paraId="0C5BE80C">
            <w:pPr>
              <w:widowControl/>
              <w:wordWrap w:val="0"/>
              <w:spacing w:line="360" w:lineRule="auto"/>
              <w:rPr>
                <w:rFonts w:hint="eastAsia" w:ascii="宋体" w:hAnsi="宋体" w:cs="宋体"/>
                <w:color w:val="auto"/>
                <w:szCs w:val="21"/>
                <w:highlight w:val="none"/>
              </w:rPr>
            </w:pPr>
            <w:r>
              <w:rPr>
                <w:rFonts w:hint="eastAsia" w:ascii="宋体" w:hAnsi="宋体" w:cs="宋体"/>
                <w:bCs/>
                <w:color w:val="auto"/>
                <w:kern w:val="0"/>
                <w:szCs w:val="21"/>
                <w:highlight w:val="none"/>
              </w:rPr>
              <w:t>2.合同延续年限、条件和方式：本项目经本次采购确定</w:t>
            </w:r>
            <w:r>
              <w:rPr>
                <w:rFonts w:hint="eastAsia" w:ascii="宋体" w:hAnsi="宋体" w:cs="宋体"/>
                <w:bCs/>
                <w:strike w:val="0"/>
                <w:dstrike w:val="0"/>
                <w:color w:val="auto"/>
                <w:kern w:val="0"/>
                <w:sz w:val="21"/>
                <w:szCs w:val="21"/>
                <w:highlight w:val="none"/>
                <w:lang w:val="en-US" w:eastAsia="zh-CN"/>
              </w:rPr>
              <w:t>中标供应商</w:t>
            </w:r>
            <w:r>
              <w:rPr>
                <w:rFonts w:hint="eastAsia" w:ascii="宋体" w:hAnsi="宋体" w:cs="宋体"/>
                <w:bCs/>
                <w:color w:val="auto"/>
                <w:kern w:val="0"/>
                <w:szCs w:val="21"/>
                <w:highlight w:val="none"/>
              </w:rPr>
              <w:t>后，在</w:t>
            </w:r>
            <w:r>
              <w:rPr>
                <w:rFonts w:hint="eastAsia" w:ascii="宋体" w:hAnsi="宋体" w:cs="宋体"/>
                <w:bCs/>
                <w:strike w:val="0"/>
                <w:dstrike w:val="0"/>
                <w:color w:val="auto"/>
                <w:kern w:val="0"/>
                <w:sz w:val="21"/>
                <w:szCs w:val="21"/>
                <w:highlight w:val="none"/>
                <w:lang w:val="en-US" w:eastAsia="zh-CN"/>
              </w:rPr>
              <w:t>招标</w:t>
            </w:r>
            <w:r>
              <w:rPr>
                <w:rFonts w:hint="eastAsia" w:ascii="宋体" w:hAnsi="宋体" w:cs="宋体"/>
                <w:bCs/>
                <w:color w:val="auto"/>
                <w:kern w:val="0"/>
                <w:szCs w:val="21"/>
                <w:highlight w:val="none"/>
              </w:rPr>
              <w:t>文件及合同约定框架下，结合项目服务履约评价结果及实际业务需求，依据《财政部关于推进和完善服务项目政府采购有关问题的通知》（财库〔2014〕37号）相关规定，在年度预算予以保障的前提下，针对购买内容相对固定、连续性强、经费来源稳定、价格变化幅度小的本项目服务，可采取一年一签方式续签订合同，含首年服务期在内累计总服务期限不得超过3年；若履约评价不达标、预算无法保障或业务需求发生重大变化，采购</w:t>
            </w:r>
            <w:r>
              <w:rPr>
                <w:rFonts w:hint="eastAsia" w:ascii="宋体" w:hAnsi="宋体" w:cs="宋体"/>
                <w:bCs/>
                <w:color w:val="auto"/>
                <w:kern w:val="0"/>
                <w:szCs w:val="21"/>
                <w:highlight w:val="none"/>
                <w:lang w:val="en-US" w:eastAsia="zh-CN"/>
              </w:rPr>
              <w:t>人</w:t>
            </w:r>
            <w:r>
              <w:rPr>
                <w:rFonts w:hint="eastAsia" w:ascii="宋体" w:hAnsi="宋体" w:cs="宋体"/>
                <w:bCs/>
                <w:color w:val="auto"/>
                <w:kern w:val="0"/>
                <w:szCs w:val="21"/>
                <w:highlight w:val="none"/>
              </w:rPr>
              <w:t>有权不予续签。</w:t>
            </w:r>
          </w:p>
        </w:tc>
        <w:bookmarkStart w:id="12" w:name="PO_TDCUS_ITEM_PB_REQ_TABLE_1_1"/>
      </w:tr>
      <w:bookmarkEnd w:id="8"/>
      <w:bookmarkEnd w:id="12"/>
    </w:tbl>
    <w:p w14:paraId="546CDAF4">
      <w:pPr>
        <w:ind w:firstLine="640"/>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p>
    <w:p w14:paraId="23A38972">
      <w:pPr>
        <w:wordWrap w:val="0"/>
        <w:spacing w:line="360" w:lineRule="auto"/>
        <w:ind w:firstLine="640"/>
        <w:outlineLvl w:val="1"/>
        <w:rPr>
          <w:rFonts w:hint="eastAsia" w:ascii="宋体" w:hAnsi="宋体" w:cs="宋体"/>
          <w:color w:val="auto"/>
          <w:sz w:val="32"/>
          <w:szCs w:val="32"/>
          <w:highlight w:val="none"/>
        </w:rPr>
      </w:pPr>
      <w:r>
        <w:rPr>
          <w:rFonts w:hint="eastAsia" w:ascii="宋体" w:hAnsi="宋体" w:cs="宋体"/>
          <w:color w:val="auto"/>
          <w:sz w:val="32"/>
          <w:szCs w:val="32"/>
          <w:highlight w:val="none"/>
        </w:rPr>
        <w:t>附件1：</w:t>
      </w:r>
    </w:p>
    <w:p w14:paraId="7F29B7B5">
      <w:pPr>
        <w:wordWrap w:val="0"/>
        <w:spacing w:line="360" w:lineRule="auto"/>
        <w:ind w:firstLine="340"/>
        <w:rPr>
          <w:rFonts w:hint="eastAsia" w:ascii="宋体" w:hAnsi="宋体" w:cs="宋体"/>
          <w:color w:val="auto"/>
          <w:sz w:val="17"/>
          <w:szCs w:val="17"/>
          <w:highlight w:val="none"/>
        </w:rPr>
      </w:pPr>
    </w:p>
    <w:p w14:paraId="6C3CB346">
      <w:pPr>
        <w:wordWrap w:val="0"/>
        <w:spacing w:line="360" w:lineRule="auto"/>
        <w:ind w:left="1871" w:firstLine="800"/>
        <w:rPr>
          <w:rFonts w:hint="eastAsia" w:ascii="宋体" w:hAnsi="宋体" w:cs="宋体"/>
          <w:color w:val="auto"/>
          <w:sz w:val="40"/>
          <w:szCs w:val="40"/>
          <w:highlight w:val="none"/>
        </w:rPr>
      </w:pPr>
      <w:r>
        <w:rPr>
          <w:rFonts w:hint="eastAsia" w:ascii="宋体" w:hAnsi="宋体" w:cs="宋体"/>
          <w:color w:val="auto"/>
          <w:sz w:val="40"/>
          <w:szCs w:val="40"/>
          <w:highlight w:val="none"/>
        </w:rPr>
        <w:t>节能产品政府采购品目清单</w:t>
      </w:r>
    </w:p>
    <w:tbl>
      <w:tblPr>
        <w:tblStyle w:val="22"/>
        <w:tblW w:w="9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080"/>
        <w:gridCol w:w="1320"/>
        <w:gridCol w:w="1620"/>
        <w:gridCol w:w="4540"/>
      </w:tblGrid>
      <w:tr w14:paraId="22AA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60" w:type="dxa"/>
          </w:tcPr>
          <w:p w14:paraId="1D4063CE">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品目序号</w:t>
            </w:r>
          </w:p>
        </w:tc>
        <w:tc>
          <w:tcPr>
            <w:tcW w:w="4020" w:type="dxa"/>
            <w:gridSpan w:val="3"/>
            <w:vAlign w:val="center"/>
          </w:tcPr>
          <w:p w14:paraId="58731ABD">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名称</w:t>
            </w:r>
          </w:p>
        </w:tc>
        <w:tc>
          <w:tcPr>
            <w:tcW w:w="4540" w:type="dxa"/>
            <w:vAlign w:val="center"/>
          </w:tcPr>
          <w:p w14:paraId="69E43499">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依据的标准</w:t>
            </w:r>
          </w:p>
        </w:tc>
      </w:tr>
      <w:tr w14:paraId="3826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vAlign w:val="center"/>
          </w:tcPr>
          <w:p w14:paraId="5C6D73A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080" w:type="dxa"/>
            <w:vMerge w:val="restart"/>
            <w:vAlign w:val="center"/>
          </w:tcPr>
          <w:p w14:paraId="1D81D4C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A020101计算机设备</w:t>
            </w:r>
          </w:p>
        </w:tc>
        <w:tc>
          <w:tcPr>
            <w:tcW w:w="1320" w:type="dxa"/>
            <w:vAlign w:val="center"/>
          </w:tcPr>
          <w:p w14:paraId="2D54F9B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★A02010104台式计算机</w:t>
            </w:r>
          </w:p>
        </w:tc>
        <w:tc>
          <w:tcPr>
            <w:tcW w:w="1620" w:type="dxa"/>
            <w:vAlign w:val="center"/>
          </w:tcPr>
          <w:p w14:paraId="4B452B6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6CB9230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0F00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1F7C8DE7">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D01AF94">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7BDE67B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★A02010105便携式计算机</w:t>
            </w:r>
          </w:p>
        </w:tc>
        <w:tc>
          <w:tcPr>
            <w:tcW w:w="1620" w:type="dxa"/>
            <w:vAlign w:val="center"/>
          </w:tcPr>
          <w:p w14:paraId="6DBF3B9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1ECDA97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4CF2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3ED33895">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6ADC0F4">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3C4D8242">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★A02010107平板式微型计算机</w:t>
            </w:r>
          </w:p>
        </w:tc>
        <w:tc>
          <w:tcPr>
            <w:tcW w:w="1620" w:type="dxa"/>
            <w:vAlign w:val="center"/>
          </w:tcPr>
          <w:p w14:paraId="54A1623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2408AE7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《微型计算机能效限定值及能效等级》（GB28380）</w:t>
            </w:r>
          </w:p>
        </w:tc>
      </w:tr>
      <w:tr w14:paraId="75EC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vAlign w:val="center"/>
          </w:tcPr>
          <w:p w14:paraId="43964B8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080" w:type="dxa"/>
            <w:vMerge w:val="restart"/>
            <w:vAlign w:val="center"/>
          </w:tcPr>
          <w:p w14:paraId="077FD82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A020106输入输出设备</w:t>
            </w:r>
          </w:p>
        </w:tc>
        <w:tc>
          <w:tcPr>
            <w:tcW w:w="1320" w:type="dxa"/>
            <w:vMerge w:val="restart"/>
            <w:vAlign w:val="center"/>
          </w:tcPr>
          <w:p w14:paraId="2C9FA3D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A02010601打印设备</w:t>
            </w:r>
          </w:p>
        </w:tc>
        <w:tc>
          <w:tcPr>
            <w:tcW w:w="1620" w:type="dxa"/>
            <w:vAlign w:val="center"/>
          </w:tcPr>
          <w:p w14:paraId="4ED1AC85">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A0201060101喷墨打印机</w:t>
            </w:r>
          </w:p>
        </w:tc>
        <w:tc>
          <w:tcPr>
            <w:tcW w:w="4540" w:type="dxa"/>
            <w:vAlign w:val="center"/>
          </w:tcPr>
          <w:p w14:paraId="4F6F847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25F6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66798C37">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87193C5">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1A34A0F4">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2B52CC0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★A0201060102激光打印机</w:t>
            </w:r>
          </w:p>
        </w:tc>
        <w:tc>
          <w:tcPr>
            <w:tcW w:w="4540" w:type="dxa"/>
            <w:vAlign w:val="center"/>
          </w:tcPr>
          <w:p w14:paraId="689B797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6E6C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439131A2">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0EAAE17">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0171F7D9">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73E4A98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★A0201060104针式打印机</w:t>
            </w:r>
          </w:p>
        </w:tc>
        <w:tc>
          <w:tcPr>
            <w:tcW w:w="4540" w:type="dxa"/>
            <w:vAlign w:val="center"/>
          </w:tcPr>
          <w:p w14:paraId="0B4848E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2FCE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2CEC2383">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5974F60">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6236F16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A02010604显示设备</w:t>
            </w:r>
          </w:p>
        </w:tc>
        <w:tc>
          <w:tcPr>
            <w:tcW w:w="1620" w:type="dxa"/>
            <w:vAlign w:val="center"/>
          </w:tcPr>
          <w:p w14:paraId="220DAE7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★A0201060401液晶显示器</w:t>
            </w:r>
          </w:p>
        </w:tc>
        <w:tc>
          <w:tcPr>
            <w:tcW w:w="4540" w:type="dxa"/>
            <w:vAlign w:val="center"/>
          </w:tcPr>
          <w:p w14:paraId="3EB5F69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《计算机显示器能效限定值及能效等级》（GB21520）</w:t>
            </w:r>
          </w:p>
        </w:tc>
      </w:tr>
      <w:tr w14:paraId="61A1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vMerge w:val="continue"/>
            <w:vAlign w:val="center"/>
          </w:tcPr>
          <w:p w14:paraId="1BF7D0F7">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2E69B604">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3A33119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A02010609图形图像输入设备</w:t>
            </w:r>
          </w:p>
        </w:tc>
        <w:tc>
          <w:tcPr>
            <w:tcW w:w="1620" w:type="dxa"/>
            <w:vAlign w:val="center"/>
          </w:tcPr>
          <w:p w14:paraId="429037C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A0201060901扫描仪</w:t>
            </w:r>
          </w:p>
        </w:tc>
        <w:tc>
          <w:tcPr>
            <w:tcW w:w="4540" w:type="dxa"/>
            <w:vAlign w:val="center"/>
          </w:tcPr>
          <w:p w14:paraId="686581F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参照《复印机、打印机和传真机能效限定值及能效等级》（GB21521中打印速度为15页/分的针式打印机相关要求中打印速度为15页/分的针式打印机相关要求</w:t>
            </w:r>
          </w:p>
        </w:tc>
      </w:tr>
      <w:tr w14:paraId="5DEB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67573B6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080" w:type="dxa"/>
            <w:vAlign w:val="center"/>
          </w:tcPr>
          <w:p w14:paraId="1E74FD9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A020202投影仪</w:t>
            </w:r>
          </w:p>
        </w:tc>
        <w:tc>
          <w:tcPr>
            <w:tcW w:w="1320" w:type="dxa"/>
            <w:vAlign w:val="center"/>
          </w:tcPr>
          <w:p w14:paraId="5F8ED95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51711A3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3504B7B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《投影机能效限定值及能效等级》（GB32028）</w:t>
            </w:r>
          </w:p>
        </w:tc>
      </w:tr>
      <w:tr w14:paraId="5AD1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2C44878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080" w:type="dxa"/>
            <w:vAlign w:val="center"/>
          </w:tcPr>
          <w:p w14:paraId="2DCE9B3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A020204多功能一体机</w:t>
            </w:r>
          </w:p>
        </w:tc>
        <w:tc>
          <w:tcPr>
            <w:tcW w:w="1320" w:type="dxa"/>
            <w:vAlign w:val="center"/>
          </w:tcPr>
          <w:p w14:paraId="07369282">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739342D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1BAEB92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《复印机、打印机和传真机能效限定值及能效等级》（GB21521）</w:t>
            </w:r>
          </w:p>
        </w:tc>
      </w:tr>
      <w:tr w14:paraId="4922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132C89F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080" w:type="dxa"/>
            <w:vAlign w:val="center"/>
          </w:tcPr>
          <w:p w14:paraId="69B8A04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A020519泵</w:t>
            </w:r>
          </w:p>
        </w:tc>
        <w:tc>
          <w:tcPr>
            <w:tcW w:w="1320" w:type="dxa"/>
            <w:vAlign w:val="center"/>
          </w:tcPr>
          <w:p w14:paraId="0F8BC2E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A02051901离心泵</w:t>
            </w:r>
          </w:p>
        </w:tc>
        <w:tc>
          <w:tcPr>
            <w:tcW w:w="1620" w:type="dxa"/>
            <w:vAlign w:val="center"/>
          </w:tcPr>
          <w:p w14:paraId="0CAFFE8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15A187D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《清水离心泵能效限定值及节能评价值》（GB19762）</w:t>
            </w:r>
          </w:p>
        </w:tc>
      </w:tr>
      <w:tr w14:paraId="2371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restart"/>
            <w:vAlign w:val="center"/>
          </w:tcPr>
          <w:p w14:paraId="4E7F6E2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080" w:type="dxa"/>
            <w:vMerge w:val="restart"/>
            <w:vAlign w:val="center"/>
          </w:tcPr>
          <w:p w14:paraId="04DDBB4E">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A020523制冷空调设备</w:t>
            </w:r>
          </w:p>
        </w:tc>
        <w:tc>
          <w:tcPr>
            <w:tcW w:w="1320" w:type="dxa"/>
            <w:vMerge w:val="restart"/>
            <w:vAlign w:val="center"/>
          </w:tcPr>
          <w:p w14:paraId="48D8F65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★A02052301制冷压缩机</w:t>
            </w:r>
          </w:p>
        </w:tc>
        <w:tc>
          <w:tcPr>
            <w:tcW w:w="1620" w:type="dxa"/>
            <w:vAlign w:val="center"/>
          </w:tcPr>
          <w:p w14:paraId="7A8B02C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冷水机组</w:t>
            </w:r>
          </w:p>
        </w:tc>
        <w:tc>
          <w:tcPr>
            <w:tcW w:w="4540" w:type="dxa"/>
            <w:vAlign w:val="center"/>
          </w:tcPr>
          <w:p w14:paraId="15D5C7E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《冷水机组能效限定值及能效等级》（GB19577），《低环境温度空气源热泵（冷水）机组能效限定值及能效等级》（GB37480）</w:t>
            </w:r>
          </w:p>
        </w:tc>
      </w:tr>
      <w:tr w14:paraId="26DA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6129BE97">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3011289">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3CB58645">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766865E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水源热泵机组</w:t>
            </w:r>
          </w:p>
        </w:tc>
        <w:tc>
          <w:tcPr>
            <w:tcW w:w="4540" w:type="dxa"/>
            <w:vAlign w:val="center"/>
          </w:tcPr>
          <w:p w14:paraId="7AFB84C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《水（地）源热泵机组能效限定值及能效等级》（GB30721）</w:t>
            </w:r>
          </w:p>
        </w:tc>
      </w:tr>
      <w:tr w14:paraId="11FB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47ED2136">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1FAEF7AD">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4096F466">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542FE21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溴化锂吸收式冷水机组</w:t>
            </w:r>
          </w:p>
        </w:tc>
        <w:tc>
          <w:tcPr>
            <w:tcW w:w="4540" w:type="dxa"/>
            <w:vAlign w:val="center"/>
          </w:tcPr>
          <w:p w14:paraId="6FED980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《溴化锂吸收式冷水机组能效限定值及能效等级》（GB29540）</w:t>
            </w:r>
          </w:p>
        </w:tc>
      </w:tr>
      <w:tr w14:paraId="38B4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10CBF10A">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4625C758">
            <w:pPr>
              <w:widowControl/>
              <w:wordWrap w:val="0"/>
              <w:spacing w:line="360" w:lineRule="auto"/>
              <w:jc w:val="left"/>
              <w:rPr>
                <w:rFonts w:hint="eastAsia" w:ascii="宋体" w:hAnsi="宋体" w:cs="宋体"/>
                <w:color w:val="auto"/>
                <w:kern w:val="0"/>
                <w:szCs w:val="21"/>
                <w:highlight w:val="none"/>
              </w:rPr>
            </w:pPr>
          </w:p>
        </w:tc>
        <w:tc>
          <w:tcPr>
            <w:tcW w:w="1320" w:type="dxa"/>
            <w:vMerge w:val="restart"/>
            <w:vAlign w:val="center"/>
          </w:tcPr>
          <w:p w14:paraId="425942F2">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★A02052305空调机组</w:t>
            </w:r>
          </w:p>
        </w:tc>
        <w:tc>
          <w:tcPr>
            <w:tcW w:w="1620" w:type="dxa"/>
            <w:vAlign w:val="center"/>
          </w:tcPr>
          <w:p w14:paraId="641DFDC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多联式空调（热泵）机组(制冷量&gt;14000W)</w:t>
            </w:r>
          </w:p>
        </w:tc>
        <w:tc>
          <w:tcPr>
            <w:tcW w:w="4540" w:type="dxa"/>
            <w:vAlign w:val="center"/>
          </w:tcPr>
          <w:p w14:paraId="7C8B42D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《多联式空调（热泵）机组能效限定值及能源效率等级》（GB21454）</w:t>
            </w:r>
          </w:p>
        </w:tc>
      </w:tr>
      <w:tr w14:paraId="731F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5A4F1D1A">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CAD6875">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25CC51CB">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32EB10D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单元式空气调节机(制冷量&gt;14000W</w:t>
            </w:r>
          </w:p>
        </w:tc>
        <w:tc>
          <w:tcPr>
            <w:tcW w:w="4540" w:type="dxa"/>
            <w:vAlign w:val="center"/>
          </w:tcPr>
          <w:p w14:paraId="7581C7A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《单元式空气调节机能效限定值及能效等级》（GB19576）《风管送风式空调机组能效限定值及能效等级》（GB37479）</w:t>
            </w:r>
          </w:p>
        </w:tc>
      </w:tr>
      <w:tr w14:paraId="03CB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129021E0">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77A57866">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5E9E2B0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★A02052309专用制冷、空调设备</w:t>
            </w:r>
          </w:p>
        </w:tc>
        <w:tc>
          <w:tcPr>
            <w:tcW w:w="1620" w:type="dxa"/>
            <w:vAlign w:val="center"/>
          </w:tcPr>
          <w:p w14:paraId="3EFE0E3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机房空调</w:t>
            </w:r>
          </w:p>
        </w:tc>
        <w:tc>
          <w:tcPr>
            <w:tcW w:w="4540" w:type="dxa"/>
            <w:vAlign w:val="center"/>
          </w:tcPr>
          <w:p w14:paraId="584790B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《单元式空气调节机能效限定值及能效等级》（GB19576）</w:t>
            </w:r>
          </w:p>
        </w:tc>
      </w:tr>
      <w:tr w14:paraId="3269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29003EF6">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2B122B39">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32B2087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A02052399其他制冷空调设备</w:t>
            </w:r>
          </w:p>
        </w:tc>
        <w:tc>
          <w:tcPr>
            <w:tcW w:w="1620" w:type="dxa"/>
            <w:vAlign w:val="center"/>
          </w:tcPr>
          <w:p w14:paraId="3EAC997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冷却塔</w:t>
            </w:r>
          </w:p>
        </w:tc>
        <w:tc>
          <w:tcPr>
            <w:tcW w:w="4540" w:type="dxa"/>
            <w:vAlign w:val="center"/>
          </w:tcPr>
          <w:p w14:paraId="2B74A44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《机械通风冷却塔第1部分：中小型开式冷却塔》（GB/T7190.1）；《机械通风冷却塔第2部分：大型开式冷却塔》（GB/T7190.2）</w:t>
            </w:r>
          </w:p>
        </w:tc>
      </w:tr>
      <w:tr w14:paraId="415C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34AB583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080" w:type="dxa"/>
            <w:vAlign w:val="center"/>
          </w:tcPr>
          <w:p w14:paraId="600BA29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A020601电机</w:t>
            </w:r>
          </w:p>
        </w:tc>
        <w:tc>
          <w:tcPr>
            <w:tcW w:w="1320" w:type="dxa"/>
            <w:vAlign w:val="center"/>
          </w:tcPr>
          <w:p w14:paraId="15C227A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7C0AA96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2FEA5E9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《中小型三相异步电动机能效限定值及能效等级》（GB18613）</w:t>
            </w:r>
          </w:p>
        </w:tc>
      </w:tr>
      <w:tr w14:paraId="1107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78D572E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080" w:type="dxa"/>
            <w:vAlign w:val="center"/>
          </w:tcPr>
          <w:p w14:paraId="66E2A46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A020602变压器</w:t>
            </w:r>
          </w:p>
        </w:tc>
        <w:tc>
          <w:tcPr>
            <w:tcW w:w="1320" w:type="dxa"/>
            <w:vAlign w:val="center"/>
          </w:tcPr>
          <w:p w14:paraId="0F272D7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配电变压器</w:t>
            </w:r>
          </w:p>
        </w:tc>
        <w:tc>
          <w:tcPr>
            <w:tcW w:w="1620" w:type="dxa"/>
            <w:vAlign w:val="center"/>
          </w:tcPr>
          <w:p w14:paraId="7FDB2CB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528AF85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《三相配电变压器能效限定值及能效等级》（GB20052）</w:t>
            </w:r>
          </w:p>
        </w:tc>
      </w:tr>
      <w:tr w14:paraId="25BC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2DC1B3C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080" w:type="dxa"/>
            <w:vAlign w:val="center"/>
          </w:tcPr>
          <w:p w14:paraId="2E28E8C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★A020609镇流器</w:t>
            </w:r>
          </w:p>
        </w:tc>
        <w:tc>
          <w:tcPr>
            <w:tcW w:w="1320" w:type="dxa"/>
            <w:vAlign w:val="center"/>
          </w:tcPr>
          <w:p w14:paraId="60DC7E3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管型荧光灯镇流器</w:t>
            </w:r>
          </w:p>
        </w:tc>
        <w:tc>
          <w:tcPr>
            <w:tcW w:w="1620" w:type="dxa"/>
            <w:vAlign w:val="center"/>
          </w:tcPr>
          <w:p w14:paraId="56B6A01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2727940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《管形荧光灯镇流器能效限定值及能效等级》（GB17896）</w:t>
            </w:r>
          </w:p>
        </w:tc>
      </w:tr>
      <w:tr w14:paraId="2A43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vAlign w:val="center"/>
          </w:tcPr>
          <w:p w14:paraId="3291CA3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080" w:type="dxa"/>
            <w:vMerge w:val="restart"/>
            <w:vAlign w:val="center"/>
          </w:tcPr>
          <w:p w14:paraId="6CC9403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A020618生活用电器</w:t>
            </w:r>
          </w:p>
        </w:tc>
        <w:tc>
          <w:tcPr>
            <w:tcW w:w="1320" w:type="dxa"/>
            <w:vAlign w:val="center"/>
          </w:tcPr>
          <w:p w14:paraId="093C980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A0206180101电冰箱</w:t>
            </w:r>
          </w:p>
        </w:tc>
        <w:tc>
          <w:tcPr>
            <w:tcW w:w="1620" w:type="dxa"/>
            <w:vAlign w:val="center"/>
          </w:tcPr>
          <w:p w14:paraId="791D9CD5">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220D8A2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《家用电冰箱耗电量限定值及能效等级》（GB 12021.2）</w:t>
            </w:r>
          </w:p>
        </w:tc>
      </w:tr>
      <w:tr w14:paraId="061B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vMerge w:val="continue"/>
            <w:vAlign w:val="center"/>
          </w:tcPr>
          <w:p w14:paraId="54A86BCA">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4CF36E48">
            <w:pPr>
              <w:widowControl/>
              <w:wordWrap w:val="0"/>
              <w:spacing w:line="360" w:lineRule="auto"/>
              <w:jc w:val="left"/>
              <w:rPr>
                <w:rFonts w:hint="eastAsia" w:ascii="宋体" w:hAnsi="宋体" w:cs="宋体"/>
                <w:color w:val="auto"/>
                <w:kern w:val="0"/>
                <w:szCs w:val="21"/>
                <w:highlight w:val="none"/>
              </w:rPr>
            </w:pPr>
          </w:p>
        </w:tc>
        <w:tc>
          <w:tcPr>
            <w:tcW w:w="1320" w:type="dxa"/>
            <w:vMerge w:val="restart"/>
            <w:vAlign w:val="center"/>
          </w:tcPr>
          <w:p w14:paraId="63D9431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★A0206180203空调机</w:t>
            </w:r>
          </w:p>
        </w:tc>
        <w:tc>
          <w:tcPr>
            <w:tcW w:w="1620" w:type="dxa"/>
            <w:vAlign w:val="center"/>
          </w:tcPr>
          <w:p w14:paraId="34A1B4C5">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房间空气调节器</w:t>
            </w:r>
          </w:p>
        </w:tc>
        <w:tc>
          <w:tcPr>
            <w:tcW w:w="4540" w:type="dxa"/>
            <w:vAlign w:val="center"/>
          </w:tcPr>
          <w:p w14:paraId="67BB4DC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《转速可控型房间空气调节器能效限定值及能效等级》（GB21455-2013），待2019年修订发布后，按《房间空气调节器能效限定值及能效等级》（GB21455-2019实施。</w:t>
            </w:r>
          </w:p>
        </w:tc>
      </w:tr>
      <w:tr w14:paraId="7DDF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6FC6C7E2">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D2DF663">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2EBF8B1F">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236C746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多联式空调（热泵）机组（制冷量≤ 14000W）</w:t>
            </w:r>
          </w:p>
        </w:tc>
        <w:tc>
          <w:tcPr>
            <w:tcW w:w="4540" w:type="dxa"/>
            <w:vAlign w:val="center"/>
          </w:tcPr>
          <w:p w14:paraId="64A3CC3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《多联式空调（热泵）机组能效限定值及能源效率等级》（GB21454）</w:t>
            </w:r>
          </w:p>
        </w:tc>
      </w:tr>
      <w:tr w14:paraId="643A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73A7FA05">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1AD06FF3">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22314947">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3712E83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单元式空气调节机(制冷量≤14000W)</w:t>
            </w:r>
          </w:p>
        </w:tc>
        <w:tc>
          <w:tcPr>
            <w:tcW w:w="4540" w:type="dxa"/>
            <w:vAlign w:val="center"/>
          </w:tcPr>
          <w:p w14:paraId="366559C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《单元式空气调节机能效限定值及能源效率等级》（GB19576）《风管送风式空调机组能效限定值及能效等级》（GB37479）</w:t>
            </w:r>
          </w:p>
        </w:tc>
      </w:tr>
      <w:tr w14:paraId="6CDF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3BAF06CC">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2AC3F2C">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74B6509E">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A0206180301洗衣机</w:t>
            </w:r>
          </w:p>
        </w:tc>
        <w:tc>
          <w:tcPr>
            <w:tcW w:w="1620" w:type="dxa"/>
            <w:vAlign w:val="center"/>
          </w:tcPr>
          <w:p w14:paraId="4C9F5715">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7439E70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《电动洗衣机能效水效限定值及等级》（GB12021.4）</w:t>
            </w:r>
          </w:p>
        </w:tc>
      </w:tr>
      <w:tr w14:paraId="6D66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125D2F09">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5D44F439">
            <w:pPr>
              <w:widowControl/>
              <w:wordWrap w:val="0"/>
              <w:spacing w:line="360" w:lineRule="auto"/>
              <w:jc w:val="left"/>
              <w:rPr>
                <w:rFonts w:hint="eastAsia" w:ascii="宋体" w:hAnsi="宋体" w:cs="宋体"/>
                <w:color w:val="auto"/>
                <w:kern w:val="0"/>
                <w:szCs w:val="21"/>
                <w:highlight w:val="none"/>
              </w:rPr>
            </w:pPr>
          </w:p>
        </w:tc>
        <w:tc>
          <w:tcPr>
            <w:tcW w:w="1320" w:type="dxa"/>
            <w:vMerge w:val="restart"/>
            <w:vAlign w:val="center"/>
          </w:tcPr>
          <w:p w14:paraId="206F60B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A02061808热水器</w:t>
            </w:r>
          </w:p>
        </w:tc>
        <w:tc>
          <w:tcPr>
            <w:tcW w:w="1620" w:type="dxa"/>
            <w:vAlign w:val="center"/>
          </w:tcPr>
          <w:p w14:paraId="64C1E77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★电热水器</w:t>
            </w:r>
          </w:p>
        </w:tc>
        <w:tc>
          <w:tcPr>
            <w:tcW w:w="4540" w:type="dxa"/>
            <w:vAlign w:val="center"/>
          </w:tcPr>
          <w:p w14:paraId="5ECFC5E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《储水式电热水器能效限定值及能效等级》（GB21519）</w:t>
            </w:r>
          </w:p>
        </w:tc>
      </w:tr>
      <w:tr w14:paraId="2F07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2541AF99">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7DD9BDC0">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30866FCB">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4F2ABC82">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燃气热水器</w:t>
            </w:r>
          </w:p>
        </w:tc>
        <w:tc>
          <w:tcPr>
            <w:tcW w:w="4540" w:type="dxa"/>
            <w:vAlign w:val="center"/>
          </w:tcPr>
          <w:p w14:paraId="290549D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《家用燃气快速热水器和燃气采暖热水炉能效限定值及能效等级》（GB20665）</w:t>
            </w:r>
          </w:p>
        </w:tc>
      </w:tr>
      <w:tr w14:paraId="6434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7D7042E5">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92A7EC5">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5EE79600">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3B290D8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热泵热水器</w:t>
            </w:r>
          </w:p>
        </w:tc>
        <w:tc>
          <w:tcPr>
            <w:tcW w:w="4540" w:type="dxa"/>
            <w:vAlign w:val="center"/>
          </w:tcPr>
          <w:p w14:paraId="02D50C5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《热泵热水机（器）能效限定值及能效等级》（GB29541）</w:t>
            </w:r>
          </w:p>
        </w:tc>
      </w:tr>
      <w:tr w14:paraId="7C07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1C3FC3E5">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47EE0837">
            <w:pPr>
              <w:widowControl/>
              <w:wordWrap w:val="0"/>
              <w:spacing w:line="360" w:lineRule="auto"/>
              <w:jc w:val="left"/>
              <w:rPr>
                <w:rFonts w:hint="eastAsia" w:ascii="宋体" w:hAnsi="宋体" w:cs="宋体"/>
                <w:color w:val="auto"/>
                <w:kern w:val="0"/>
                <w:szCs w:val="21"/>
                <w:highlight w:val="none"/>
              </w:rPr>
            </w:pPr>
          </w:p>
        </w:tc>
        <w:tc>
          <w:tcPr>
            <w:tcW w:w="1320" w:type="dxa"/>
            <w:vMerge w:val="continue"/>
            <w:vAlign w:val="center"/>
          </w:tcPr>
          <w:p w14:paraId="3371730B">
            <w:pPr>
              <w:widowControl/>
              <w:wordWrap w:val="0"/>
              <w:spacing w:line="360" w:lineRule="auto"/>
              <w:jc w:val="left"/>
              <w:rPr>
                <w:rFonts w:hint="eastAsia" w:ascii="宋体" w:hAnsi="宋体" w:cs="宋体"/>
                <w:color w:val="auto"/>
                <w:kern w:val="0"/>
                <w:szCs w:val="21"/>
                <w:highlight w:val="none"/>
              </w:rPr>
            </w:pPr>
          </w:p>
        </w:tc>
        <w:tc>
          <w:tcPr>
            <w:tcW w:w="1620" w:type="dxa"/>
            <w:vAlign w:val="center"/>
          </w:tcPr>
          <w:p w14:paraId="401C9CD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太阳能热水系统</w:t>
            </w:r>
          </w:p>
        </w:tc>
        <w:tc>
          <w:tcPr>
            <w:tcW w:w="4540" w:type="dxa"/>
            <w:vAlign w:val="center"/>
          </w:tcPr>
          <w:p w14:paraId="331A1C3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《家用太阳能热水系统能效限定值及能效等级》（GB26969）</w:t>
            </w:r>
          </w:p>
        </w:tc>
      </w:tr>
      <w:tr w14:paraId="1A48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restart"/>
            <w:vAlign w:val="center"/>
          </w:tcPr>
          <w:p w14:paraId="184D346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080" w:type="dxa"/>
            <w:vMerge w:val="restart"/>
            <w:vAlign w:val="center"/>
          </w:tcPr>
          <w:p w14:paraId="53CCE18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A020619照明设备</w:t>
            </w:r>
          </w:p>
        </w:tc>
        <w:tc>
          <w:tcPr>
            <w:tcW w:w="1320" w:type="dxa"/>
            <w:vAlign w:val="center"/>
          </w:tcPr>
          <w:p w14:paraId="7BE06FA4">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★普通照明用双端荧光灯</w:t>
            </w:r>
          </w:p>
        </w:tc>
        <w:tc>
          <w:tcPr>
            <w:tcW w:w="1620" w:type="dxa"/>
            <w:vAlign w:val="center"/>
          </w:tcPr>
          <w:p w14:paraId="3838380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2491B68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《普通照明用双端荧光灯能效限定值及能效等级》（GB19043）</w:t>
            </w:r>
          </w:p>
        </w:tc>
      </w:tr>
      <w:tr w14:paraId="4680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7F34F6A4">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662BA95F">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041EC2C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LED道路/隧道照明产品</w:t>
            </w:r>
          </w:p>
        </w:tc>
        <w:tc>
          <w:tcPr>
            <w:tcW w:w="1620" w:type="dxa"/>
            <w:vAlign w:val="center"/>
          </w:tcPr>
          <w:p w14:paraId="21548F0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40E6946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《道路和隧道照明用LED灯具能效限定值及能效等级》（GB37478）</w:t>
            </w:r>
          </w:p>
        </w:tc>
      </w:tr>
      <w:tr w14:paraId="44D1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6359422B">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3ACF3A81">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6B2EDDD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LED筒灯</w:t>
            </w:r>
          </w:p>
        </w:tc>
        <w:tc>
          <w:tcPr>
            <w:tcW w:w="1620" w:type="dxa"/>
            <w:vAlign w:val="center"/>
          </w:tcPr>
          <w:p w14:paraId="2128177B">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76354BC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《室内照明用LED产品能效限定值及能效等级》（GB30255）</w:t>
            </w:r>
          </w:p>
        </w:tc>
      </w:tr>
      <w:tr w14:paraId="7676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Merge w:val="continue"/>
            <w:vAlign w:val="center"/>
          </w:tcPr>
          <w:p w14:paraId="13F8DB15">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4599F880">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16AD106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普通照明用非定向自镇流LED灯</w:t>
            </w:r>
          </w:p>
        </w:tc>
        <w:tc>
          <w:tcPr>
            <w:tcW w:w="1620" w:type="dxa"/>
            <w:vAlign w:val="center"/>
          </w:tcPr>
          <w:p w14:paraId="13D5950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34ECE85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《室内照明用LED产品能效限定值及能效等级》（GB30255）</w:t>
            </w:r>
          </w:p>
        </w:tc>
      </w:tr>
      <w:tr w14:paraId="6B50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60" w:type="dxa"/>
            <w:vAlign w:val="center"/>
          </w:tcPr>
          <w:p w14:paraId="0B632F5E">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080" w:type="dxa"/>
            <w:vAlign w:val="center"/>
          </w:tcPr>
          <w:p w14:paraId="18AACE6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★A020910电视设备</w:t>
            </w:r>
          </w:p>
        </w:tc>
        <w:tc>
          <w:tcPr>
            <w:tcW w:w="1320" w:type="dxa"/>
            <w:vAlign w:val="center"/>
          </w:tcPr>
          <w:p w14:paraId="0479BC3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A02091001普通电视设备（电视机）</w:t>
            </w:r>
          </w:p>
        </w:tc>
        <w:tc>
          <w:tcPr>
            <w:tcW w:w="1620" w:type="dxa"/>
            <w:vAlign w:val="center"/>
          </w:tcPr>
          <w:p w14:paraId="74B448B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7117870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《平板电视能效限定值及能效等级》（GB24850）</w:t>
            </w:r>
          </w:p>
        </w:tc>
      </w:tr>
      <w:tr w14:paraId="027F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660" w:type="dxa"/>
            <w:vAlign w:val="center"/>
          </w:tcPr>
          <w:p w14:paraId="752DB3C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080" w:type="dxa"/>
            <w:vAlign w:val="center"/>
          </w:tcPr>
          <w:p w14:paraId="61E8204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★A020911视频设备</w:t>
            </w:r>
          </w:p>
        </w:tc>
        <w:tc>
          <w:tcPr>
            <w:tcW w:w="1320" w:type="dxa"/>
            <w:vAlign w:val="center"/>
          </w:tcPr>
          <w:p w14:paraId="2DD6C25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A02091107视频监控设备</w:t>
            </w:r>
          </w:p>
        </w:tc>
        <w:tc>
          <w:tcPr>
            <w:tcW w:w="1620" w:type="dxa"/>
            <w:vAlign w:val="center"/>
          </w:tcPr>
          <w:p w14:paraId="2B6B5E7D">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监视器</w:t>
            </w:r>
          </w:p>
        </w:tc>
        <w:tc>
          <w:tcPr>
            <w:tcW w:w="4540" w:type="dxa"/>
            <w:vAlign w:val="center"/>
          </w:tcPr>
          <w:p w14:paraId="268F421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以射频信号为主要信号输入的监视器应符合《平板电视能效限定值及能效等级》（GB24850），以数字信号为主要信号输入的监视器应符合《计算机显示器能效限定值及能效等级》（GB21520）</w:t>
            </w:r>
          </w:p>
        </w:tc>
      </w:tr>
      <w:tr w14:paraId="585C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57C7CD2E">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080" w:type="dxa"/>
            <w:vAlign w:val="center"/>
          </w:tcPr>
          <w:p w14:paraId="7121783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A031210饮食炊事机械</w:t>
            </w:r>
          </w:p>
        </w:tc>
        <w:tc>
          <w:tcPr>
            <w:tcW w:w="1320" w:type="dxa"/>
            <w:vAlign w:val="center"/>
          </w:tcPr>
          <w:p w14:paraId="4D90968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商用燃气灶具</w:t>
            </w:r>
          </w:p>
        </w:tc>
        <w:tc>
          <w:tcPr>
            <w:tcW w:w="1620" w:type="dxa"/>
            <w:vAlign w:val="center"/>
          </w:tcPr>
          <w:p w14:paraId="7F31CBE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4ED25CA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《商用燃气灶具能效限定值及能效等级》（GB30531）</w:t>
            </w:r>
          </w:p>
        </w:tc>
      </w:tr>
      <w:tr w14:paraId="7F0F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60" w:type="dxa"/>
            <w:vMerge w:val="restart"/>
            <w:vAlign w:val="center"/>
          </w:tcPr>
          <w:p w14:paraId="118DC02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080" w:type="dxa"/>
            <w:vMerge w:val="restart"/>
            <w:vAlign w:val="center"/>
          </w:tcPr>
          <w:p w14:paraId="12A80CB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★A060805便器</w:t>
            </w:r>
          </w:p>
        </w:tc>
        <w:tc>
          <w:tcPr>
            <w:tcW w:w="1320" w:type="dxa"/>
            <w:vAlign w:val="center"/>
          </w:tcPr>
          <w:p w14:paraId="2E7C613C">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坐便器</w:t>
            </w:r>
          </w:p>
        </w:tc>
        <w:tc>
          <w:tcPr>
            <w:tcW w:w="1620" w:type="dxa"/>
            <w:vAlign w:val="center"/>
          </w:tcPr>
          <w:p w14:paraId="229BB11A">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584CA73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《坐便器水效限定值及水效等级》（GB25502）</w:t>
            </w:r>
          </w:p>
        </w:tc>
      </w:tr>
      <w:tr w14:paraId="1E3D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46FB072D">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185E3DF4">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7A2B7B3F">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蹲便器</w:t>
            </w:r>
          </w:p>
        </w:tc>
        <w:tc>
          <w:tcPr>
            <w:tcW w:w="1620" w:type="dxa"/>
            <w:vAlign w:val="center"/>
          </w:tcPr>
          <w:p w14:paraId="50A85E97">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0516ECC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《蹲便器用水效率限定值及用水效率等级》（GB30717）</w:t>
            </w:r>
          </w:p>
        </w:tc>
      </w:tr>
      <w:tr w14:paraId="26A5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Merge w:val="continue"/>
            <w:vAlign w:val="center"/>
          </w:tcPr>
          <w:p w14:paraId="719C4C7B">
            <w:pPr>
              <w:widowControl/>
              <w:wordWrap w:val="0"/>
              <w:spacing w:line="360" w:lineRule="auto"/>
              <w:jc w:val="left"/>
              <w:rPr>
                <w:rFonts w:hint="eastAsia" w:ascii="宋体" w:hAnsi="宋体" w:cs="宋体"/>
                <w:color w:val="auto"/>
                <w:kern w:val="0"/>
                <w:szCs w:val="21"/>
                <w:highlight w:val="none"/>
              </w:rPr>
            </w:pPr>
          </w:p>
        </w:tc>
        <w:tc>
          <w:tcPr>
            <w:tcW w:w="1080" w:type="dxa"/>
            <w:vMerge w:val="continue"/>
            <w:vAlign w:val="center"/>
          </w:tcPr>
          <w:p w14:paraId="3C1F12D3">
            <w:pPr>
              <w:widowControl/>
              <w:wordWrap w:val="0"/>
              <w:spacing w:line="360" w:lineRule="auto"/>
              <w:jc w:val="left"/>
              <w:rPr>
                <w:rFonts w:hint="eastAsia" w:ascii="宋体" w:hAnsi="宋体" w:cs="宋体"/>
                <w:color w:val="auto"/>
                <w:kern w:val="0"/>
                <w:szCs w:val="21"/>
                <w:highlight w:val="none"/>
              </w:rPr>
            </w:pPr>
          </w:p>
        </w:tc>
        <w:tc>
          <w:tcPr>
            <w:tcW w:w="1320" w:type="dxa"/>
            <w:vAlign w:val="center"/>
          </w:tcPr>
          <w:p w14:paraId="315D2D55">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小便器</w:t>
            </w:r>
          </w:p>
        </w:tc>
        <w:tc>
          <w:tcPr>
            <w:tcW w:w="1620" w:type="dxa"/>
            <w:vAlign w:val="center"/>
          </w:tcPr>
          <w:p w14:paraId="6B9D360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79224FA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《小便器用水效率限定值及用水效率等级》（GB28377）</w:t>
            </w:r>
          </w:p>
        </w:tc>
      </w:tr>
      <w:tr w14:paraId="302C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356D1C09">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080" w:type="dxa"/>
            <w:vAlign w:val="center"/>
          </w:tcPr>
          <w:p w14:paraId="43CD51E2">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★A060806水嘴</w:t>
            </w:r>
          </w:p>
        </w:tc>
        <w:tc>
          <w:tcPr>
            <w:tcW w:w="1320" w:type="dxa"/>
            <w:vAlign w:val="center"/>
          </w:tcPr>
          <w:p w14:paraId="29617588">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056B6BDE">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0BF51D1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《水嘴用水效率限定值及用水效率等级》（GB 25501）</w:t>
            </w:r>
          </w:p>
        </w:tc>
      </w:tr>
      <w:tr w14:paraId="6C12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2C627FF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17</w:t>
            </w:r>
          </w:p>
        </w:tc>
        <w:tc>
          <w:tcPr>
            <w:tcW w:w="1080" w:type="dxa"/>
            <w:vAlign w:val="center"/>
          </w:tcPr>
          <w:p w14:paraId="28C9D93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A060807便器冲洗阀</w:t>
            </w:r>
          </w:p>
        </w:tc>
        <w:tc>
          <w:tcPr>
            <w:tcW w:w="1320" w:type="dxa"/>
            <w:vAlign w:val="center"/>
          </w:tcPr>
          <w:p w14:paraId="41E1154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110AB29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6E754C9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《便器冲洗阀用水效率限定值及用水效率等级》（GB28379）</w:t>
            </w:r>
          </w:p>
        </w:tc>
      </w:tr>
      <w:tr w14:paraId="6C9D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vAlign w:val="center"/>
          </w:tcPr>
          <w:p w14:paraId="14642FC6">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18</w:t>
            </w:r>
          </w:p>
        </w:tc>
        <w:tc>
          <w:tcPr>
            <w:tcW w:w="1080" w:type="dxa"/>
            <w:vAlign w:val="center"/>
          </w:tcPr>
          <w:p w14:paraId="37B55663">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A060810淋浴器</w:t>
            </w:r>
          </w:p>
        </w:tc>
        <w:tc>
          <w:tcPr>
            <w:tcW w:w="1320" w:type="dxa"/>
            <w:vAlign w:val="center"/>
          </w:tcPr>
          <w:p w14:paraId="34EF5B90">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1620" w:type="dxa"/>
            <w:vAlign w:val="center"/>
          </w:tcPr>
          <w:p w14:paraId="052537B1">
            <w:pPr>
              <w:widowControl/>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　</w:t>
            </w:r>
          </w:p>
        </w:tc>
        <w:tc>
          <w:tcPr>
            <w:tcW w:w="4540" w:type="dxa"/>
            <w:vAlign w:val="center"/>
          </w:tcPr>
          <w:p w14:paraId="35DC29E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《淋浴器用水效率限定值及用水效率等级》（GB28378）</w:t>
            </w:r>
          </w:p>
        </w:tc>
      </w:tr>
    </w:tbl>
    <w:p w14:paraId="1B4E7C49">
      <w:pPr>
        <w:pStyle w:val="9"/>
        <w:wordWrap w:val="0"/>
        <w:spacing w:after="0" w:line="360" w:lineRule="auto"/>
        <w:ind w:firstLine="408"/>
        <w:rPr>
          <w:rFonts w:hint="eastAsia" w:ascii="宋体" w:hAnsi="宋体" w:cs="宋体"/>
          <w:color w:val="auto"/>
          <w:spacing w:val="-3"/>
          <w:szCs w:val="21"/>
          <w:highlight w:val="none"/>
        </w:rPr>
      </w:pPr>
    </w:p>
    <w:p w14:paraId="16F6658B">
      <w:pPr>
        <w:pStyle w:val="9"/>
        <w:wordWrap w:val="0"/>
        <w:spacing w:after="0" w:line="360" w:lineRule="auto"/>
        <w:ind w:firstLine="408"/>
        <w:rPr>
          <w:rFonts w:hint="eastAsia" w:ascii="宋体" w:hAnsi="宋体" w:cs="宋体"/>
          <w:color w:val="auto"/>
          <w:szCs w:val="21"/>
          <w:highlight w:val="none"/>
        </w:rPr>
      </w:pPr>
      <w:r>
        <w:rPr>
          <w:rFonts w:hint="eastAsia" w:ascii="宋体" w:hAnsi="宋体" w:cs="宋体"/>
          <w:color w:val="auto"/>
          <w:spacing w:val="-3"/>
          <w:szCs w:val="21"/>
          <w:highlight w:val="none"/>
        </w:rPr>
        <w:t>注：1.节能产品认证应依据相关国家标准的最新版本，依据国家标准中二级能效（水效）</w:t>
      </w:r>
      <w:r>
        <w:rPr>
          <w:rFonts w:hint="eastAsia" w:ascii="宋体" w:hAnsi="宋体" w:cs="宋体"/>
          <w:color w:val="auto"/>
          <w:szCs w:val="21"/>
          <w:highlight w:val="none"/>
        </w:rPr>
        <w:t>指标。</w:t>
      </w:r>
    </w:p>
    <w:p w14:paraId="1C25BF5D">
      <w:pPr>
        <w:pStyle w:val="9"/>
        <w:wordWrap w:val="0"/>
        <w:spacing w:after="0" w:line="360" w:lineRule="auto"/>
        <w:rPr>
          <w:rFonts w:hint="eastAsia" w:ascii="宋体" w:hAnsi="宋体" w:cs="宋体"/>
          <w:b/>
          <w:bCs/>
          <w:color w:val="auto"/>
          <w:szCs w:val="21"/>
          <w:highlight w:val="none"/>
        </w:rPr>
      </w:pPr>
      <w:r>
        <w:rPr>
          <w:rFonts w:hint="eastAsia" w:ascii="宋体" w:hAnsi="宋体" w:cs="宋体"/>
          <w:color w:val="auto"/>
          <w:szCs w:val="21"/>
          <w:highlight w:val="none"/>
        </w:rPr>
        <w:t xml:space="preserve">    2</w:t>
      </w:r>
      <w:r>
        <w:rPr>
          <w:rFonts w:hint="eastAsia" w:ascii="宋体" w:hAnsi="宋体" w:cs="宋体"/>
          <w:b/>
          <w:bCs/>
          <w:color w:val="auto"/>
          <w:szCs w:val="21"/>
          <w:highlight w:val="none"/>
        </w:rPr>
        <w:t>.以“★”标注的为政府强制采购产品。</w:t>
      </w:r>
    </w:p>
    <w:p w14:paraId="1E902202">
      <w:pPr>
        <w:pStyle w:val="12"/>
        <w:wordWrap w:val="0"/>
        <w:spacing w:line="360" w:lineRule="auto"/>
        <w:jc w:val="left"/>
        <w:outlineLvl w:val="1"/>
        <w:rPr>
          <w:rFonts w:hint="eastAsia" w:hAnsi="宋体" w:cs="宋体"/>
          <w:color w:val="auto"/>
          <w:sz w:val="32"/>
          <w:szCs w:val="32"/>
          <w:highlight w:val="none"/>
        </w:rPr>
      </w:pPr>
      <w:r>
        <w:rPr>
          <w:rFonts w:hint="eastAsia" w:hAnsi="宋体" w:cs="宋体"/>
          <w:color w:val="auto"/>
          <w:highlight w:val="none"/>
        </w:rPr>
        <w:br w:type="page"/>
      </w:r>
      <w:r>
        <w:rPr>
          <w:rFonts w:hint="eastAsia" w:hAnsi="宋体" w:cs="宋体"/>
          <w:color w:val="auto"/>
          <w:sz w:val="32"/>
          <w:szCs w:val="32"/>
          <w:highlight w:val="none"/>
        </w:rPr>
        <w:t>附件2：</w:t>
      </w:r>
    </w:p>
    <w:p w14:paraId="03799F96">
      <w:pPr>
        <w:wordWrap w:val="0"/>
        <w:spacing w:line="360" w:lineRule="auto"/>
        <w:ind w:left="1871" w:firstLine="800"/>
        <w:rPr>
          <w:rFonts w:hint="eastAsia" w:ascii="宋体" w:hAnsi="宋体" w:cs="宋体"/>
          <w:color w:val="auto"/>
          <w:sz w:val="40"/>
          <w:szCs w:val="40"/>
          <w:highlight w:val="none"/>
        </w:rPr>
      </w:pPr>
      <w:r>
        <w:rPr>
          <w:rFonts w:hint="eastAsia" w:ascii="宋体" w:hAnsi="宋体" w:cs="宋体"/>
          <w:color w:val="auto"/>
          <w:sz w:val="40"/>
          <w:szCs w:val="40"/>
          <w:highlight w:val="none"/>
        </w:rPr>
        <w:t>中小微企业划型标准</w:t>
      </w:r>
    </w:p>
    <w:tbl>
      <w:tblPr>
        <w:tblStyle w:val="22"/>
        <w:tblW w:w="953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653"/>
        <w:gridCol w:w="1091"/>
        <w:gridCol w:w="1935"/>
        <w:gridCol w:w="1720"/>
        <w:gridCol w:w="1105"/>
      </w:tblGrid>
      <w:tr w14:paraId="38E4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3" w:type="dxa"/>
            <w:vAlign w:val="center"/>
          </w:tcPr>
          <w:p w14:paraId="118B3EA8">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行业名称</w:t>
            </w:r>
          </w:p>
        </w:tc>
        <w:tc>
          <w:tcPr>
            <w:tcW w:w="1653" w:type="dxa"/>
            <w:vAlign w:val="center"/>
          </w:tcPr>
          <w:p w14:paraId="3E0C0F9A">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指标名称</w:t>
            </w:r>
          </w:p>
        </w:tc>
        <w:tc>
          <w:tcPr>
            <w:tcW w:w="1091" w:type="dxa"/>
            <w:vAlign w:val="center"/>
          </w:tcPr>
          <w:p w14:paraId="397F76CC">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计量单位</w:t>
            </w:r>
          </w:p>
        </w:tc>
        <w:tc>
          <w:tcPr>
            <w:tcW w:w="1935" w:type="dxa"/>
            <w:vAlign w:val="center"/>
          </w:tcPr>
          <w:p w14:paraId="732633E2">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中型</w:t>
            </w:r>
          </w:p>
        </w:tc>
        <w:tc>
          <w:tcPr>
            <w:tcW w:w="1720" w:type="dxa"/>
            <w:vAlign w:val="center"/>
          </w:tcPr>
          <w:p w14:paraId="4D419A85">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小型</w:t>
            </w:r>
          </w:p>
        </w:tc>
        <w:tc>
          <w:tcPr>
            <w:tcW w:w="1105" w:type="dxa"/>
            <w:vAlign w:val="center"/>
          </w:tcPr>
          <w:p w14:paraId="795B31E5">
            <w:pPr>
              <w:widowControl/>
              <w:wordWrap w:val="0"/>
              <w:spacing w:line="360" w:lineRule="auto"/>
              <w:ind w:firstLine="422"/>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微型</w:t>
            </w:r>
          </w:p>
        </w:tc>
      </w:tr>
      <w:tr w14:paraId="5FD6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Align w:val="bottom"/>
          </w:tcPr>
          <w:p w14:paraId="53176875">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农、林、牧、渔</w:t>
            </w:r>
          </w:p>
        </w:tc>
        <w:tc>
          <w:tcPr>
            <w:tcW w:w="1653" w:type="dxa"/>
            <w:vAlign w:val="center"/>
          </w:tcPr>
          <w:p w14:paraId="1DBDD33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2FD39C0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338960B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500≤Y＜20000</w:t>
            </w:r>
          </w:p>
        </w:tc>
        <w:tc>
          <w:tcPr>
            <w:tcW w:w="1720" w:type="dxa"/>
            <w:vAlign w:val="center"/>
          </w:tcPr>
          <w:p w14:paraId="7C9AEF3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50≤Y＜500</w:t>
            </w:r>
          </w:p>
        </w:tc>
        <w:tc>
          <w:tcPr>
            <w:tcW w:w="1105" w:type="dxa"/>
            <w:vAlign w:val="center"/>
          </w:tcPr>
          <w:p w14:paraId="5C81223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w:t>
            </w:r>
          </w:p>
        </w:tc>
      </w:tr>
      <w:tr w14:paraId="3D3A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33" w:type="dxa"/>
            <w:vMerge w:val="restart"/>
            <w:vAlign w:val="bottom"/>
          </w:tcPr>
          <w:p w14:paraId="576E7A79">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工业</w:t>
            </w:r>
          </w:p>
        </w:tc>
        <w:tc>
          <w:tcPr>
            <w:tcW w:w="1653" w:type="dxa"/>
            <w:vAlign w:val="center"/>
          </w:tcPr>
          <w:p w14:paraId="3996143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0C59FCE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15688E9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20" w:type="dxa"/>
            <w:vAlign w:val="center"/>
          </w:tcPr>
          <w:p w14:paraId="367DE79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1105" w:type="dxa"/>
            <w:vAlign w:val="center"/>
          </w:tcPr>
          <w:p w14:paraId="156FAAE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7ED8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2BFC473C">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59D6811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238811C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255A925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2000≤Y＜40000</w:t>
            </w:r>
          </w:p>
        </w:tc>
        <w:tc>
          <w:tcPr>
            <w:tcW w:w="1720" w:type="dxa"/>
            <w:vAlign w:val="center"/>
          </w:tcPr>
          <w:p w14:paraId="594EC89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300≤Y＜2000</w:t>
            </w:r>
          </w:p>
        </w:tc>
        <w:tc>
          <w:tcPr>
            <w:tcW w:w="1105" w:type="dxa"/>
            <w:vAlign w:val="center"/>
          </w:tcPr>
          <w:p w14:paraId="78568AC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Y＜300</w:t>
            </w:r>
          </w:p>
        </w:tc>
      </w:tr>
      <w:tr w14:paraId="141C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4A1E24B1">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建筑业</w:t>
            </w:r>
          </w:p>
        </w:tc>
        <w:tc>
          <w:tcPr>
            <w:tcW w:w="1653" w:type="dxa"/>
            <w:vAlign w:val="center"/>
          </w:tcPr>
          <w:p w14:paraId="013AE11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4C1416B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21AECD8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6000≤Y＜80000</w:t>
            </w:r>
          </w:p>
        </w:tc>
        <w:tc>
          <w:tcPr>
            <w:tcW w:w="1720" w:type="dxa"/>
            <w:vAlign w:val="center"/>
          </w:tcPr>
          <w:p w14:paraId="3CA3D0B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300≤Y＜6000</w:t>
            </w:r>
          </w:p>
        </w:tc>
        <w:tc>
          <w:tcPr>
            <w:tcW w:w="1105" w:type="dxa"/>
            <w:vAlign w:val="center"/>
          </w:tcPr>
          <w:p w14:paraId="5E7AC18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Y＜300</w:t>
            </w:r>
          </w:p>
        </w:tc>
      </w:tr>
      <w:tr w14:paraId="5A91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4A7D1657">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3BBC08D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91" w:type="dxa"/>
            <w:vAlign w:val="center"/>
          </w:tcPr>
          <w:p w14:paraId="01C8F0F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22BBF69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5000≤Z＜80000</w:t>
            </w:r>
          </w:p>
        </w:tc>
        <w:tc>
          <w:tcPr>
            <w:tcW w:w="1720" w:type="dxa"/>
            <w:vAlign w:val="center"/>
          </w:tcPr>
          <w:p w14:paraId="2AF6F96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300≤Z＜5000</w:t>
            </w:r>
          </w:p>
        </w:tc>
        <w:tc>
          <w:tcPr>
            <w:tcW w:w="1105" w:type="dxa"/>
            <w:vAlign w:val="center"/>
          </w:tcPr>
          <w:p w14:paraId="408AAE9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Z＜300</w:t>
            </w:r>
          </w:p>
        </w:tc>
      </w:tr>
      <w:tr w14:paraId="58F6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0DA242BE">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批发业</w:t>
            </w:r>
          </w:p>
        </w:tc>
        <w:tc>
          <w:tcPr>
            <w:tcW w:w="1653" w:type="dxa"/>
            <w:vAlign w:val="center"/>
          </w:tcPr>
          <w:p w14:paraId="1F548AE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7FE2C91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103A2F9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20≤X＜200</w:t>
            </w:r>
          </w:p>
        </w:tc>
        <w:tc>
          <w:tcPr>
            <w:tcW w:w="1720" w:type="dxa"/>
            <w:vAlign w:val="center"/>
          </w:tcPr>
          <w:p w14:paraId="4274821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5≤X＜20</w:t>
            </w:r>
          </w:p>
        </w:tc>
        <w:tc>
          <w:tcPr>
            <w:tcW w:w="1105" w:type="dxa"/>
            <w:vAlign w:val="center"/>
          </w:tcPr>
          <w:p w14:paraId="49D1A28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X＜5</w:t>
            </w:r>
          </w:p>
        </w:tc>
      </w:tr>
      <w:tr w14:paraId="67D6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291D37BC">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3118AD3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557725F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6CCF921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5000≤Y＜40000</w:t>
            </w:r>
          </w:p>
        </w:tc>
        <w:tc>
          <w:tcPr>
            <w:tcW w:w="1720" w:type="dxa"/>
            <w:vAlign w:val="center"/>
          </w:tcPr>
          <w:p w14:paraId="7300C9D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1000≤Y＜5000</w:t>
            </w:r>
          </w:p>
        </w:tc>
        <w:tc>
          <w:tcPr>
            <w:tcW w:w="1105" w:type="dxa"/>
            <w:vAlign w:val="center"/>
          </w:tcPr>
          <w:p w14:paraId="23C546E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Y＜1000</w:t>
            </w:r>
          </w:p>
        </w:tc>
      </w:tr>
      <w:tr w14:paraId="1701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5E964257">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零售业</w:t>
            </w:r>
          </w:p>
        </w:tc>
        <w:tc>
          <w:tcPr>
            <w:tcW w:w="1653" w:type="dxa"/>
            <w:vAlign w:val="center"/>
          </w:tcPr>
          <w:p w14:paraId="5A61171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69ACA7B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4AD8C73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50≤X＜300</w:t>
            </w:r>
          </w:p>
        </w:tc>
        <w:tc>
          <w:tcPr>
            <w:tcW w:w="1720" w:type="dxa"/>
            <w:vAlign w:val="center"/>
          </w:tcPr>
          <w:p w14:paraId="5A47101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10≤X＜50</w:t>
            </w:r>
          </w:p>
        </w:tc>
        <w:tc>
          <w:tcPr>
            <w:tcW w:w="1105" w:type="dxa"/>
            <w:vAlign w:val="center"/>
          </w:tcPr>
          <w:p w14:paraId="1AD2048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0073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2D097131">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02F8046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5444B9F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5EE26EA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500≤Y＜20000</w:t>
            </w:r>
          </w:p>
        </w:tc>
        <w:tc>
          <w:tcPr>
            <w:tcW w:w="1720" w:type="dxa"/>
            <w:vAlign w:val="center"/>
          </w:tcPr>
          <w:p w14:paraId="0A4FC3A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100≤Y＜500</w:t>
            </w:r>
          </w:p>
        </w:tc>
        <w:tc>
          <w:tcPr>
            <w:tcW w:w="1105" w:type="dxa"/>
            <w:vAlign w:val="center"/>
          </w:tcPr>
          <w:p w14:paraId="1C7CD1E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103E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0E137D4C">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交通运输业</w:t>
            </w:r>
          </w:p>
        </w:tc>
        <w:tc>
          <w:tcPr>
            <w:tcW w:w="1653" w:type="dxa"/>
            <w:vAlign w:val="center"/>
          </w:tcPr>
          <w:p w14:paraId="3600D87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62D5F97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0E95A98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20" w:type="dxa"/>
            <w:vAlign w:val="center"/>
          </w:tcPr>
          <w:p w14:paraId="0FCD77A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1105" w:type="dxa"/>
            <w:vAlign w:val="center"/>
          </w:tcPr>
          <w:p w14:paraId="686A173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1521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2571E452">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017D51B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2765466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0679DAA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3000≤Y＜30000</w:t>
            </w:r>
          </w:p>
        </w:tc>
        <w:tc>
          <w:tcPr>
            <w:tcW w:w="1720" w:type="dxa"/>
            <w:vAlign w:val="center"/>
          </w:tcPr>
          <w:p w14:paraId="2DF6C16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200≤Y＜3000</w:t>
            </w:r>
          </w:p>
        </w:tc>
        <w:tc>
          <w:tcPr>
            <w:tcW w:w="1105" w:type="dxa"/>
            <w:vAlign w:val="center"/>
          </w:tcPr>
          <w:p w14:paraId="50D3FC3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Y＜200</w:t>
            </w:r>
          </w:p>
        </w:tc>
      </w:tr>
      <w:tr w14:paraId="6BE7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3537CD72">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仓储业</w:t>
            </w:r>
          </w:p>
        </w:tc>
        <w:tc>
          <w:tcPr>
            <w:tcW w:w="1653" w:type="dxa"/>
            <w:vAlign w:val="center"/>
          </w:tcPr>
          <w:p w14:paraId="21460E9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3315F47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0265EEB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100≤X＜200</w:t>
            </w:r>
          </w:p>
        </w:tc>
        <w:tc>
          <w:tcPr>
            <w:tcW w:w="1720" w:type="dxa"/>
            <w:vAlign w:val="center"/>
          </w:tcPr>
          <w:p w14:paraId="44DE903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20≤X＜100</w:t>
            </w:r>
          </w:p>
        </w:tc>
        <w:tc>
          <w:tcPr>
            <w:tcW w:w="1105" w:type="dxa"/>
            <w:vAlign w:val="center"/>
          </w:tcPr>
          <w:p w14:paraId="0FA286B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2107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17126932">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1D27AA0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0D6A37D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0BF181D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1000≤Y＜30000</w:t>
            </w:r>
          </w:p>
        </w:tc>
        <w:tc>
          <w:tcPr>
            <w:tcW w:w="1720" w:type="dxa"/>
            <w:vAlign w:val="center"/>
          </w:tcPr>
          <w:p w14:paraId="5845209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100≤Y＜1000</w:t>
            </w:r>
          </w:p>
        </w:tc>
        <w:tc>
          <w:tcPr>
            <w:tcW w:w="1105" w:type="dxa"/>
            <w:vAlign w:val="center"/>
          </w:tcPr>
          <w:p w14:paraId="1C36FE5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0423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4B2D4186">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邮政业</w:t>
            </w:r>
          </w:p>
        </w:tc>
        <w:tc>
          <w:tcPr>
            <w:tcW w:w="1653" w:type="dxa"/>
            <w:vAlign w:val="center"/>
          </w:tcPr>
          <w:p w14:paraId="2D3AF41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2770AA6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0105C86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20" w:type="dxa"/>
            <w:vAlign w:val="center"/>
          </w:tcPr>
          <w:p w14:paraId="0F88BB2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20≤X＜300</w:t>
            </w:r>
          </w:p>
        </w:tc>
        <w:tc>
          <w:tcPr>
            <w:tcW w:w="1105" w:type="dxa"/>
            <w:vAlign w:val="center"/>
          </w:tcPr>
          <w:p w14:paraId="325A6CD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X＜20</w:t>
            </w:r>
          </w:p>
        </w:tc>
      </w:tr>
      <w:tr w14:paraId="4C4B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385AC4E1">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39887AD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0077E55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31BEE14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2000≤Y＜30000</w:t>
            </w:r>
          </w:p>
        </w:tc>
        <w:tc>
          <w:tcPr>
            <w:tcW w:w="1720" w:type="dxa"/>
            <w:vAlign w:val="center"/>
          </w:tcPr>
          <w:p w14:paraId="78067CA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1105" w:type="dxa"/>
            <w:vAlign w:val="center"/>
          </w:tcPr>
          <w:p w14:paraId="5CA1542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3100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32AA8090">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住宿业</w:t>
            </w:r>
          </w:p>
        </w:tc>
        <w:tc>
          <w:tcPr>
            <w:tcW w:w="1653" w:type="dxa"/>
            <w:vAlign w:val="center"/>
          </w:tcPr>
          <w:p w14:paraId="5180C1A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231BD67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6084534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20" w:type="dxa"/>
            <w:vAlign w:val="center"/>
          </w:tcPr>
          <w:p w14:paraId="6CDBAA6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114FBEF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7BCA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77C0CD47">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7AF27F8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5BDAD33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6CE6A1D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2000≤Y＜10000</w:t>
            </w:r>
          </w:p>
        </w:tc>
        <w:tc>
          <w:tcPr>
            <w:tcW w:w="1720" w:type="dxa"/>
            <w:vAlign w:val="center"/>
          </w:tcPr>
          <w:p w14:paraId="4B690DC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1105" w:type="dxa"/>
            <w:vAlign w:val="center"/>
          </w:tcPr>
          <w:p w14:paraId="7535D57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166A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377E49FE">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餐饮业</w:t>
            </w:r>
          </w:p>
        </w:tc>
        <w:tc>
          <w:tcPr>
            <w:tcW w:w="1653" w:type="dxa"/>
            <w:vAlign w:val="center"/>
          </w:tcPr>
          <w:p w14:paraId="057EC71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6B366E8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19587C9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20" w:type="dxa"/>
            <w:vAlign w:val="center"/>
          </w:tcPr>
          <w:p w14:paraId="14FEF92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00A5B1E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65CA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0C5209B1">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5A1B97E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36A2185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001FF45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2000≤Y＜10000</w:t>
            </w:r>
          </w:p>
        </w:tc>
        <w:tc>
          <w:tcPr>
            <w:tcW w:w="1720" w:type="dxa"/>
            <w:vAlign w:val="center"/>
          </w:tcPr>
          <w:p w14:paraId="3D67992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100≤Y＜2000</w:t>
            </w:r>
          </w:p>
        </w:tc>
        <w:tc>
          <w:tcPr>
            <w:tcW w:w="1105" w:type="dxa"/>
            <w:vAlign w:val="center"/>
          </w:tcPr>
          <w:p w14:paraId="2BD2A3F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7A8B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24D0EABB">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信息传输业</w:t>
            </w:r>
          </w:p>
        </w:tc>
        <w:tc>
          <w:tcPr>
            <w:tcW w:w="1653" w:type="dxa"/>
            <w:vAlign w:val="center"/>
          </w:tcPr>
          <w:p w14:paraId="58253A1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05F55B2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647E6D2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100≤X＜2000</w:t>
            </w:r>
          </w:p>
        </w:tc>
        <w:tc>
          <w:tcPr>
            <w:tcW w:w="1720" w:type="dxa"/>
            <w:vAlign w:val="center"/>
          </w:tcPr>
          <w:p w14:paraId="2A9573A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3D70CE9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0B91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7E08C82B">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598573C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151BF1CF">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63AEF1A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1000≤Y＜100000</w:t>
            </w:r>
          </w:p>
        </w:tc>
        <w:tc>
          <w:tcPr>
            <w:tcW w:w="1720" w:type="dxa"/>
            <w:vAlign w:val="center"/>
          </w:tcPr>
          <w:p w14:paraId="07365B8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100≤Y＜1000</w:t>
            </w:r>
          </w:p>
        </w:tc>
        <w:tc>
          <w:tcPr>
            <w:tcW w:w="1105" w:type="dxa"/>
            <w:vAlign w:val="center"/>
          </w:tcPr>
          <w:p w14:paraId="2A470E2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0713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066CE085">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软件和信息技术服务业</w:t>
            </w:r>
          </w:p>
        </w:tc>
        <w:tc>
          <w:tcPr>
            <w:tcW w:w="1653" w:type="dxa"/>
            <w:vAlign w:val="center"/>
          </w:tcPr>
          <w:p w14:paraId="1BFA3A3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7EF585D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3986A06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20" w:type="dxa"/>
            <w:vAlign w:val="center"/>
          </w:tcPr>
          <w:p w14:paraId="5D7E997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19B4E86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2B10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341D9CE9">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2A19069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4973513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0062472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1000≤Y＜10000</w:t>
            </w:r>
          </w:p>
        </w:tc>
        <w:tc>
          <w:tcPr>
            <w:tcW w:w="1720" w:type="dxa"/>
            <w:vAlign w:val="center"/>
          </w:tcPr>
          <w:p w14:paraId="398E300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50≤Y＜1000</w:t>
            </w:r>
          </w:p>
        </w:tc>
        <w:tc>
          <w:tcPr>
            <w:tcW w:w="1105" w:type="dxa"/>
            <w:vAlign w:val="center"/>
          </w:tcPr>
          <w:p w14:paraId="214F8F6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w:t>
            </w:r>
          </w:p>
        </w:tc>
      </w:tr>
      <w:tr w14:paraId="1D7E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29C81AE2">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房地产开发经营</w:t>
            </w:r>
          </w:p>
        </w:tc>
        <w:tc>
          <w:tcPr>
            <w:tcW w:w="1653" w:type="dxa"/>
            <w:vAlign w:val="center"/>
          </w:tcPr>
          <w:p w14:paraId="77422F8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697640F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62A26375">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1000≤Y＜200000</w:t>
            </w:r>
          </w:p>
        </w:tc>
        <w:tc>
          <w:tcPr>
            <w:tcW w:w="1720" w:type="dxa"/>
            <w:vAlign w:val="center"/>
          </w:tcPr>
          <w:p w14:paraId="3B683E9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100≤X＜1000</w:t>
            </w:r>
          </w:p>
        </w:tc>
        <w:tc>
          <w:tcPr>
            <w:tcW w:w="1105" w:type="dxa"/>
            <w:vAlign w:val="center"/>
          </w:tcPr>
          <w:p w14:paraId="25250E3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X＜100</w:t>
            </w:r>
          </w:p>
        </w:tc>
      </w:tr>
      <w:tr w14:paraId="1198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5FF5A93F">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05FC32F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91" w:type="dxa"/>
            <w:vAlign w:val="center"/>
          </w:tcPr>
          <w:p w14:paraId="2743121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1C092BA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5000≤Z＜10000</w:t>
            </w:r>
          </w:p>
        </w:tc>
        <w:tc>
          <w:tcPr>
            <w:tcW w:w="1720" w:type="dxa"/>
            <w:vAlign w:val="center"/>
          </w:tcPr>
          <w:p w14:paraId="4DD0276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2000≤Y＜5000</w:t>
            </w:r>
          </w:p>
        </w:tc>
        <w:tc>
          <w:tcPr>
            <w:tcW w:w="1105" w:type="dxa"/>
            <w:vAlign w:val="center"/>
          </w:tcPr>
          <w:p w14:paraId="29CA6E4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Y＜2000</w:t>
            </w:r>
          </w:p>
        </w:tc>
      </w:tr>
      <w:tr w14:paraId="6EFB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32891F42">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物业管理</w:t>
            </w:r>
          </w:p>
        </w:tc>
        <w:tc>
          <w:tcPr>
            <w:tcW w:w="1653" w:type="dxa"/>
            <w:vAlign w:val="center"/>
          </w:tcPr>
          <w:p w14:paraId="4C7325F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2CB8D85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596BF80B">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300≤X＜1000</w:t>
            </w:r>
          </w:p>
        </w:tc>
        <w:tc>
          <w:tcPr>
            <w:tcW w:w="1720" w:type="dxa"/>
            <w:vAlign w:val="center"/>
          </w:tcPr>
          <w:p w14:paraId="0E9AD564">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105" w:type="dxa"/>
            <w:vAlign w:val="center"/>
          </w:tcPr>
          <w:p w14:paraId="165B38C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X＜100</w:t>
            </w:r>
          </w:p>
        </w:tc>
      </w:tr>
      <w:tr w14:paraId="1851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2A229AC1">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582DBDA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营业收入（Y）</w:t>
            </w:r>
          </w:p>
        </w:tc>
        <w:tc>
          <w:tcPr>
            <w:tcW w:w="1091" w:type="dxa"/>
            <w:vAlign w:val="center"/>
          </w:tcPr>
          <w:p w14:paraId="55C7C56E">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16E88D17">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1000≤Y＜5000</w:t>
            </w:r>
          </w:p>
        </w:tc>
        <w:tc>
          <w:tcPr>
            <w:tcW w:w="1720" w:type="dxa"/>
            <w:vAlign w:val="center"/>
          </w:tcPr>
          <w:p w14:paraId="397E119D">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500≤Y＜1000</w:t>
            </w:r>
          </w:p>
        </w:tc>
        <w:tc>
          <w:tcPr>
            <w:tcW w:w="1105" w:type="dxa"/>
            <w:vAlign w:val="center"/>
          </w:tcPr>
          <w:p w14:paraId="5BE25D7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Y＜500</w:t>
            </w:r>
          </w:p>
        </w:tc>
      </w:tr>
      <w:tr w14:paraId="047A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restart"/>
            <w:vAlign w:val="bottom"/>
          </w:tcPr>
          <w:p w14:paraId="4C77ECAB">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租赁和商务服务业</w:t>
            </w:r>
          </w:p>
        </w:tc>
        <w:tc>
          <w:tcPr>
            <w:tcW w:w="1653" w:type="dxa"/>
            <w:vAlign w:val="center"/>
          </w:tcPr>
          <w:p w14:paraId="17B5295C">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5FF5C4A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5854E04A">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20" w:type="dxa"/>
            <w:vAlign w:val="center"/>
          </w:tcPr>
          <w:p w14:paraId="6B207ED6">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46E2FDC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r w14:paraId="20AE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Merge w:val="continue"/>
            <w:vAlign w:val="center"/>
          </w:tcPr>
          <w:p w14:paraId="5FA3B655">
            <w:pPr>
              <w:widowControl/>
              <w:wordWrap w:val="0"/>
              <w:spacing w:line="360" w:lineRule="auto"/>
              <w:ind w:firstLine="422"/>
              <w:jc w:val="left"/>
              <w:rPr>
                <w:rFonts w:hint="eastAsia" w:ascii="宋体" w:hAnsi="宋体" w:cs="宋体"/>
                <w:b/>
                <w:bCs/>
                <w:color w:val="auto"/>
                <w:kern w:val="0"/>
                <w:szCs w:val="21"/>
                <w:highlight w:val="none"/>
              </w:rPr>
            </w:pPr>
          </w:p>
        </w:tc>
        <w:tc>
          <w:tcPr>
            <w:tcW w:w="1653" w:type="dxa"/>
            <w:vAlign w:val="center"/>
          </w:tcPr>
          <w:p w14:paraId="5484E41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资产总额（Z）</w:t>
            </w:r>
          </w:p>
        </w:tc>
        <w:tc>
          <w:tcPr>
            <w:tcW w:w="1091" w:type="dxa"/>
            <w:vAlign w:val="center"/>
          </w:tcPr>
          <w:p w14:paraId="0B46ED09">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万元</w:t>
            </w:r>
          </w:p>
        </w:tc>
        <w:tc>
          <w:tcPr>
            <w:tcW w:w="1935" w:type="dxa"/>
            <w:vAlign w:val="center"/>
          </w:tcPr>
          <w:p w14:paraId="5B08D00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8000≤Z＜120000</w:t>
            </w:r>
          </w:p>
        </w:tc>
        <w:tc>
          <w:tcPr>
            <w:tcW w:w="1720" w:type="dxa"/>
            <w:vAlign w:val="center"/>
          </w:tcPr>
          <w:p w14:paraId="0626A1C8">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100≤Z＜8000</w:t>
            </w:r>
          </w:p>
        </w:tc>
        <w:tc>
          <w:tcPr>
            <w:tcW w:w="1105" w:type="dxa"/>
            <w:vAlign w:val="center"/>
          </w:tcPr>
          <w:p w14:paraId="0CF439D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Y＜100</w:t>
            </w:r>
          </w:p>
        </w:tc>
      </w:tr>
      <w:tr w14:paraId="7447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033" w:type="dxa"/>
            <w:vAlign w:val="bottom"/>
          </w:tcPr>
          <w:p w14:paraId="0B7473D8">
            <w:pPr>
              <w:widowControl/>
              <w:wordWrap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其他未列明行业</w:t>
            </w:r>
          </w:p>
        </w:tc>
        <w:tc>
          <w:tcPr>
            <w:tcW w:w="1653" w:type="dxa"/>
            <w:vAlign w:val="center"/>
          </w:tcPr>
          <w:p w14:paraId="7F55F02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从业人员（X）</w:t>
            </w:r>
          </w:p>
        </w:tc>
        <w:tc>
          <w:tcPr>
            <w:tcW w:w="1091" w:type="dxa"/>
            <w:vAlign w:val="center"/>
          </w:tcPr>
          <w:p w14:paraId="3045B401">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人</w:t>
            </w:r>
          </w:p>
        </w:tc>
        <w:tc>
          <w:tcPr>
            <w:tcW w:w="1935" w:type="dxa"/>
            <w:vAlign w:val="center"/>
          </w:tcPr>
          <w:p w14:paraId="669E2280">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100≤X＜300</w:t>
            </w:r>
          </w:p>
        </w:tc>
        <w:tc>
          <w:tcPr>
            <w:tcW w:w="1720" w:type="dxa"/>
            <w:vAlign w:val="center"/>
          </w:tcPr>
          <w:p w14:paraId="79FD0953">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10≤X＜100</w:t>
            </w:r>
          </w:p>
        </w:tc>
        <w:tc>
          <w:tcPr>
            <w:tcW w:w="1105" w:type="dxa"/>
            <w:vAlign w:val="center"/>
          </w:tcPr>
          <w:p w14:paraId="6CB88CA2">
            <w:pPr>
              <w:widowControl/>
              <w:wordWrap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X＜10</w:t>
            </w:r>
          </w:p>
        </w:tc>
      </w:tr>
    </w:tbl>
    <w:p w14:paraId="057830D0">
      <w:pPr>
        <w:wordWrap w:val="0"/>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6866E7C">
      <w:pPr>
        <w:widowControl/>
        <w:wordWrap w:val="0"/>
        <w:spacing w:line="360" w:lineRule="auto"/>
        <w:jc w:val="left"/>
        <w:rPr>
          <w:rFonts w:hint="eastAsia" w:ascii="宋体" w:hAnsi="宋体" w:cs="宋体"/>
          <w:color w:val="auto"/>
          <w:szCs w:val="20"/>
          <w:highlight w:val="none"/>
        </w:rPr>
        <w:sectPr>
          <w:footerReference r:id="rId5" w:type="default"/>
          <w:pgSz w:w="11906" w:h="16838"/>
          <w:pgMar w:top="1440" w:right="1080" w:bottom="1440" w:left="1080" w:header="720" w:footer="720" w:gutter="0"/>
          <w:cols w:space="720" w:num="1"/>
          <w:docGrid w:type="lines" w:linePitch="331" w:charSpace="0"/>
        </w:sectPr>
      </w:pPr>
    </w:p>
    <w:p w14:paraId="7AD33826">
      <w:pPr>
        <w:pStyle w:val="12"/>
        <w:wordWrap w:val="0"/>
        <w:spacing w:line="360" w:lineRule="auto"/>
        <w:ind w:firstLine="723"/>
        <w:jc w:val="center"/>
        <w:outlineLvl w:val="0"/>
        <w:rPr>
          <w:rFonts w:hint="eastAsia" w:hAnsi="宋体" w:cs="宋体"/>
          <w:b/>
          <w:color w:val="auto"/>
          <w:sz w:val="36"/>
          <w:szCs w:val="36"/>
          <w:highlight w:val="none"/>
        </w:rPr>
      </w:pPr>
      <w:bookmarkStart w:id="13" w:name="_Toc12104"/>
      <w:bookmarkStart w:id="14" w:name="_Toc532545044"/>
      <w:r>
        <w:rPr>
          <w:rFonts w:hint="eastAsia" w:hAnsi="宋体" w:cs="宋体"/>
          <w:b/>
          <w:color w:val="auto"/>
          <w:sz w:val="36"/>
          <w:highlight w:val="none"/>
        </w:rPr>
        <w:t>第三章  投标人须知</w:t>
      </w:r>
      <w:bookmarkEnd w:id="13"/>
      <w:bookmarkEnd w:id="14"/>
    </w:p>
    <w:p w14:paraId="5016530E">
      <w:pPr>
        <w:pStyle w:val="12"/>
        <w:wordWrap w:val="0"/>
        <w:spacing w:line="360" w:lineRule="auto"/>
        <w:ind w:firstLine="602"/>
        <w:jc w:val="center"/>
        <w:outlineLvl w:val="1"/>
        <w:rPr>
          <w:rFonts w:hint="eastAsia" w:hAnsi="宋体" w:cs="宋体"/>
          <w:b/>
          <w:color w:val="auto"/>
          <w:sz w:val="30"/>
          <w:szCs w:val="30"/>
          <w:highlight w:val="none"/>
        </w:rPr>
      </w:pPr>
      <w:bookmarkStart w:id="15" w:name="_Toc14498"/>
      <w:r>
        <w:rPr>
          <w:rFonts w:hint="eastAsia" w:hAnsi="宋体" w:cs="宋体"/>
          <w:b/>
          <w:color w:val="auto"/>
          <w:sz w:val="30"/>
          <w:szCs w:val="30"/>
          <w:highlight w:val="none"/>
        </w:rPr>
        <w:t>第一节 投标人须知前附表</w:t>
      </w:r>
      <w:bookmarkEnd w:id="15"/>
    </w:p>
    <w:tbl>
      <w:tblPr>
        <w:tblStyle w:val="22"/>
        <w:tblW w:w="1043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2268"/>
        <w:gridCol w:w="7297"/>
      </w:tblGrid>
      <w:tr w14:paraId="764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47EDC686">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2268" w:type="dxa"/>
            <w:vAlign w:val="center"/>
          </w:tcPr>
          <w:p w14:paraId="031FBB1E">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项目内容</w:t>
            </w:r>
          </w:p>
        </w:tc>
        <w:tc>
          <w:tcPr>
            <w:tcW w:w="7297" w:type="dxa"/>
            <w:vAlign w:val="center"/>
          </w:tcPr>
          <w:p w14:paraId="7405D812">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编列内容</w:t>
            </w:r>
          </w:p>
        </w:tc>
      </w:tr>
      <w:tr w14:paraId="1471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795547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6.1</w:t>
            </w:r>
          </w:p>
        </w:tc>
        <w:tc>
          <w:tcPr>
            <w:tcW w:w="2268" w:type="dxa"/>
            <w:vAlign w:val="center"/>
          </w:tcPr>
          <w:p w14:paraId="61DD4C10">
            <w:pPr>
              <w:wordWrap w:val="0"/>
              <w:spacing w:line="360" w:lineRule="auto"/>
              <w:rPr>
                <w:rFonts w:hint="eastAsia" w:ascii="宋体" w:hAnsi="宋体" w:cs="宋体"/>
                <w:color w:val="auto"/>
                <w:szCs w:val="21"/>
                <w:highlight w:val="none"/>
              </w:rPr>
            </w:pPr>
            <w:bookmarkStart w:id="16" w:name="_5"/>
            <w:bookmarkEnd w:id="16"/>
            <w:bookmarkStart w:id="17" w:name="_8.1"/>
            <w:bookmarkEnd w:id="17"/>
            <w:bookmarkStart w:id="18" w:name="_9.2"/>
            <w:bookmarkEnd w:id="18"/>
            <w:r>
              <w:rPr>
                <w:rFonts w:hint="eastAsia" w:ascii="宋体" w:hAnsi="宋体" w:cs="宋体"/>
                <w:color w:val="auto"/>
                <w:szCs w:val="21"/>
                <w:highlight w:val="none"/>
              </w:rPr>
              <w:t>是否接受联合体投标</w:t>
            </w:r>
          </w:p>
        </w:tc>
        <w:tc>
          <w:tcPr>
            <w:tcW w:w="7297" w:type="dxa"/>
            <w:vAlign w:val="center"/>
          </w:tcPr>
          <w:p w14:paraId="45C8E586">
            <w:pPr>
              <w:pStyle w:val="8"/>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不允许联合体投标</w:t>
            </w:r>
          </w:p>
        </w:tc>
      </w:tr>
      <w:tr w14:paraId="65DD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6D95063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6.2</w:t>
            </w:r>
          </w:p>
        </w:tc>
        <w:tc>
          <w:tcPr>
            <w:tcW w:w="2268" w:type="dxa"/>
            <w:vAlign w:val="center"/>
          </w:tcPr>
          <w:p w14:paraId="1ED41F5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联合体投标要求</w:t>
            </w:r>
          </w:p>
        </w:tc>
        <w:tc>
          <w:tcPr>
            <w:tcW w:w="7297" w:type="dxa"/>
            <w:vAlign w:val="center"/>
          </w:tcPr>
          <w:p w14:paraId="73F44A61">
            <w:pPr>
              <w:pStyle w:val="8"/>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无</w:t>
            </w:r>
          </w:p>
        </w:tc>
      </w:tr>
      <w:tr w14:paraId="6C53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82ABF5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7.2</w:t>
            </w:r>
          </w:p>
        </w:tc>
        <w:tc>
          <w:tcPr>
            <w:tcW w:w="2268" w:type="dxa"/>
            <w:vAlign w:val="center"/>
          </w:tcPr>
          <w:p w14:paraId="23AFF9A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是否允许转包/分包</w:t>
            </w:r>
          </w:p>
        </w:tc>
        <w:tc>
          <w:tcPr>
            <w:tcW w:w="7297" w:type="dxa"/>
            <w:vAlign w:val="center"/>
          </w:tcPr>
          <w:p w14:paraId="7CBF1AEA">
            <w:pPr>
              <w:pStyle w:val="8"/>
              <w:wordWrap w:val="0"/>
              <w:spacing w:line="360" w:lineRule="auto"/>
              <w:rPr>
                <w:rFonts w:hint="eastAsia" w:ascii="宋体" w:hAnsi="宋体" w:cs="宋体"/>
                <w:color w:val="auto"/>
                <w:szCs w:val="21"/>
                <w:highlight w:val="none"/>
              </w:rPr>
            </w:pPr>
            <w:bookmarkStart w:id="19" w:name="PO_3000001866_PM044"/>
            <w:r>
              <w:rPr>
                <w:rFonts w:hint="eastAsia" w:ascii="宋体" w:hAnsi="宋体" w:cs="宋体"/>
                <w:color w:val="auto"/>
                <w:szCs w:val="21"/>
                <w:highlight w:val="none"/>
                <w:lang w:eastAsia="zh-CN"/>
              </w:rPr>
              <w:t>□</w:t>
            </w:r>
            <w:r>
              <w:rPr>
                <w:rFonts w:hint="eastAsia" w:ascii="宋体" w:hAnsi="宋体" w:cs="宋体"/>
                <w:color w:val="auto"/>
                <w:szCs w:val="21"/>
                <w:highlight w:val="none"/>
              </w:rPr>
              <w:t>不允许分包</w:t>
            </w:r>
            <w:bookmarkEnd w:id="19"/>
          </w:p>
          <w:p w14:paraId="77314366">
            <w:pPr>
              <w:pStyle w:val="8"/>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转包/分包内容：</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流量服务</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lang w:eastAsia="zh-CN"/>
              </w:rPr>
              <w:t>）号码认证服务</w:t>
            </w:r>
            <w:r>
              <w:rPr>
                <w:rFonts w:hint="eastAsia" w:ascii="宋体" w:hAnsi="宋体" w:cs="宋体"/>
                <w:color w:val="auto"/>
                <w:szCs w:val="21"/>
                <w:highlight w:val="none"/>
                <w:u w:val="single"/>
              </w:rPr>
              <w:t>。</w:t>
            </w:r>
          </w:p>
          <w:p w14:paraId="346FCA53">
            <w:pPr>
              <w:pStyle w:val="8"/>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转包/分包金额或者比例：</w:t>
            </w:r>
            <w:r>
              <w:rPr>
                <w:rFonts w:hint="eastAsia" w:ascii="宋体" w:hAnsi="宋体" w:cs="宋体"/>
                <w:color w:val="auto"/>
                <w:szCs w:val="21"/>
                <w:highlight w:val="none"/>
                <w:u w:val="single"/>
              </w:rPr>
              <w:t xml:space="preserve">  33.93%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tc>
      </w:tr>
      <w:tr w14:paraId="2A94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39836E1E">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11.4</w:t>
            </w:r>
          </w:p>
        </w:tc>
        <w:tc>
          <w:tcPr>
            <w:tcW w:w="2268" w:type="dxa"/>
            <w:vAlign w:val="center"/>
          </w:tcPr>
          <w:p w14:paraId="7F7AF24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媒体发布渠道</w:t>
            </w:r>
          </w:p>
        </w:tc>
        <w:tc>
          <w:tcPr>
            <w:tcW w:w="7297" w:type="dxa"/>
            <w:vAlign w:val="center"/>
          </w:tcPr>
          <w:p w14:paraId="6E09DDA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与本项目相关的政府采购业务澄清、更正及与之相关的事项将在采购公告中“六、其他补充事宜”中网上查询地址上发布</w:t>
            </w:r>
            <w:r>
              <w:rPr>
                <w:rFonts w:hint="eastAsia" w:ascii="宋体" w:hAnsi="宋体" w:cs="宋体"/>
                <w:color w:val="auto"/>
                <w:kern w:val="0"/>
                <w:szCs w:val="21"/>
                <w:highlight w:val="none"/>
              </w:rPr>
              <w:t>。</w:t>
            </w:r>
          </w:p>
        </w:tc>
      </w:tr>
      <w:tr w14:paraId="5814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537F69A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11.6</w:t>
            </w:r>
          </w:p>
        </w:tc>
        <w:tc>
          <w:tcPr>
            <w:tcW w:w="2268" w:type="dxa"/>
            <w:vAlign w:val="center"/>
          </w:tcPr>
          <w:p w14:paraId="01DE00E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是否组织标前答疑会</w:t>
            </w:r>
          </w:p>
        </w:tc>
        <w:tc>
          <w:tcPr>
            <w:tcW w:w="7297" w:type="dxa"/>
            <w:vAlign w:val="center"/>
          </w:tcPr>
          <w:p w14:paraId="4873F2B7">
            <w:pPr>
              <w:wordWrap w:val="0"/>
              <w:snapToGrid w:val="0"/>
              <w:spacing w:line="360" w:lineRule="auto"/>
              <w:rPr>
                <w:rFonts w:hint="eastAsia" w:ascii="宋体" w:hAnsi="宋体" w:cs="宋体"/>
                <w:color w:val="auto"/>
                <w:szCs w:val="21"/>
                <w:highlight w:val="none"/>
              </w:rPr>
            </w:pPr>
            <w:r>
              <w:rPr>
                <w:rFonts w:ascii="Segoe UI Symbol" w:hAnsi="Segoe UI Symbol" w:cs="Segoe UI Symbol"/>
                <w:color w:val="auto"/>
                <w:szCs w:val="21"/>
                <w:highlight w:val="none"/>
              </w:rPr>
              <w:t>☑</w:t>
            </w:r>
            <w:r>
              <w:rPr>
                <w:rFonts w:hint="eastAsia" w:ascii="宋体" w:hAnsi="宋体" w:cs="宋体"/>
                <w:color w:val="auto"/>
                <w:szCs w:val="21"/>
                <w:highlight w:val="none"/>
              </w:rPr>
              <w:t>不组织召开开标前答疑会</w:t>
            </w:r>
          </w:p>
          <w:p w14:paraId="08DFB06A">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□组织召开开标前答疑会</w:t>
            </w:r>
          </w:p>
          <w:p w14:paraId="6540058C">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会议开始时间：年  月  日  时</w:t>
            </w:r>
            <w:r>
              <w:rPr>
                <w:rFonts w:hint="eastAsia" w:ascii="宋体" w:hAnsi="宋体" w:cs="宋体"/>
                <w:color w:val="auto"/>
                <w:szCs w:val="21"/>
                <w:highlight w:val="none"/>
                <w:u w:val="single"/>
              </w:rPr>
              <w:t xml:space="preserve">  分</w:t>
            </w:r>
            <w:r>
              <w:rPr>
                <w:rFonts w:hint="eastAsia" w:ascii="宋体" w:hAnsi="宋体" w:cs="宋体"/>
                <w:color w:val="auto"/>
                <w:szCs w:val="21"/>
                <w:highlight w:val="none"/>
              </w:rPr>
              <w:t>，逾期后果自负。会议地点：</w:t>
            </w:r>
          </w:p>
        </w:tc>
      </w:tr>
      <w:tr w14:paraId="50C1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3B34D95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13.1</w:t>
            </w:r>
          </w:p>
        </w:tc>
        <w:tc>
          <w:tcPr>
            <w:tcW w:w="2268" w:type="dxa"/>
            <w:vAlign w:val="center"/>
          </w:tcPr>
          <w:p w14:paraId="78C2DBC7">
            <w:pPr>
              <w:wordWrap w:val="0"/>
              <w:snapToGrid w:val="0"/>
              <w:spacing w:line="360" w:lineRule="auto"/>
              <w:jc w:val="left"/>
              <w:rPr>
                <w:rFonts w:hint="eastAsia" w:ascii="宋体" w:hAnsi="宋体" w:cs="宋体"/>
                <w:color w:val="auto"/>
                <w:szCs w:val="21"/>
                <w:highlight w:val="none"/>
              </w:rPr>
            </w:pPr>
            <w:bookmarkStart w:id="20" w:name="_13.2"/>
            <w:bookmarkEnd w:id="20"/>
            <w:r>
              <w:rPr>
                <w:rFonts w:hint="eastAsia" w:ascii="宋体" w:hAnsi="宋体" w:cs="宋体"/>
                <w:color w:val="auto"/>
                <w:szCs w:val="21"/>
                <w:highlight w:val="none"/>
              </w:rPr>
              <w:t>资格证明文件组成</w:t>
            </w:r>
          </w:p>
        </w:tc>
        <w:tc>
          <w:tcPr>
            <w:tcW w:w="7297" w:type="dxa"/>
            <w:vAlign w:val="center"/>
          </w:tcPr>
          <w:p w14:paraId="7902AD03">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1.投标人为法人或者其他组织的，提供营业执照等证明文件（如营业执照或者事业单位法人证书或者</w:t>
            </w:r>
            <w:r>
              <w:rPr>
                <w:rStyle w:val="31"/>
                <w:rFonts w:hint="eastAsia"/>
                <w:color w:val="auto"/>
                <w:sz w:val="21"/>
                <w:szCs w:val="21"/>
                <w:highlight w:val="none"/>
              </w:rPr>
              <w:t>执业许可证</w:t>
            </w:r>
            <w:r>
              <w:rPr>
                <w:rFonts w:hint="eastAsia" w:ascii="宋体" w:hAnsi="宋体" w:cs="宋体"/>
                <w:color w:val="auto"/>
                <w:szCs w:val="21"/>
                <w:highlight w:val="none"/>
              </w:rPr>
              <w:t>等），投标人为自然人的，提供身份证复印件。（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EBC195E">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7</w:t>
            </w:r>
            <w:r>
              <w:rPr>
                <w:rFonts w:hint="eastAsia" w:ascii="宋体" w:hAnsi="宋体" w:cs="宋体"/>
                <w:color w:val="auto"/>
                <w:szCs w:val="21"/>
                <w:highlight w:val="none"/>
              </w:rPr>
              <w:t>月]连续</w:t>
            </w:r>
            <w:r>
              <w:rPr>
                <w:rFonts w:hint="eastAsia" w:ascii="宋体" w:hAnsi="宋体" w:cs="宋体"/>
                <w:color w:val="auto"/>
                <w:szCs w:val="21"/>
                <w:highlight w:val="none"/>
                <w:u w:val="single"/>
              </w:rPr>
              <w:t xml:space="preserve"> 三 </w:t>
            </w:r>
            <w:r>
              <w:rPr>
                <w:rFonts w:hint="eastAsia" w:ascii="宋体" w:hAnsi="宋体" w:cs="宋体"/>
                <w:color w:val="auto"/>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90C05B0">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3.投标人依法缴纳社会保障资金的相关材料[</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7</w:t>
            </w:r>
            <w:r>
              <w:rPr>
                <w:rFonts w:hint="eastAsia" w:ascii="宋体" w:hAnsi="宋体" w:cs="宋体"/>
                <w:color w:val="auto"/>
                <w:szCs w:val="21"/>
                <w:highlight w:val="none"/>
              </w:rPr>
              <w:t>月]连续</w:t>
            </w:r>
            <w:r>
              <w:rPr>
                <w:rFonts w:hint="eastAsia" w:ascii="宋体" w:hAnsi="宋体" w:cs="宋体"/>
                <w:color w:val="auto"/>
                <w:szCs w:val="21"/>
                <w:highlight w:val="none"/>
                <w:u w:val="single"/>
              </w:rPr>
              <w:t xml:space="preserve"> 三 </w:t>
            </w:r>
            <w:r>
              <w:rPr>
                <w:rFonts w:hint="eastAsia" w:ascii="宋体" w:hAnsi="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57EC298">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4.投标人财务状况报告：[</w:t>
            </w:r>
            <w:r>
              <w:rPr>
                <w:rFonts w:hint="eastAsia" w:ascii="宋体" w:hAnsi="宋体" w:cs="宋体"/>
                <w:color w:val="auto"/>
                <w:szCs w:val="21"/>
                <w:highlight w:val="none"/>
                <w:u w:val="single"/>
              </w:rPr>
              <w:t>2025</w:t>
            </w:r>
            <w:r>
              <w:rPr>
                <w:rFonts w:hint="eastAsia" w:ascii="宋体" w:hAnsi="宋体" w:cs="宋体"/>
                <w:color w:val="auto"/>
                <w:szCs w:val="21"/>
                <w:highlight w:val="none"/>
              </w:rPr>
              <w:t>年]财务状况报告复印件；供应商成立不满一年的应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3BB8E5BA">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5.投标人直接控股股东信息表、投标人直接管理关系信息表。（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112F3D75">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6.投标资格声明函。（</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2D64F49B">
            <w:pPr>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7.联合体协议书。</w:t>
            </w:r>
            <w:r>
              <w:rPr>
                <w:rFonts w:hint="eastAsia" w:ascii="宋体" w:hAnsi="宋体" w:cs="宋体"/>
                <w:b/>
                <w:bCs/>
                <w:color w:val="auto"/>
                <w:szCs w:val="21"/>
                <w:highlight w:val="none"/>
              </w:rPr>
              <w:t>（以联合体形式投标的，提供联合体协议；本项目不接受联合体投标或者投标人不以联合体形式投标的，则不需要提供）</w:t>
            </w:r>
          </w:p>
          <w:p w14:paraId="2FFB6FA0">
            <w:pPr>
              <w:snapToGrid w:val="0"/>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8.投标人《分包意向协议》（格式附后）；</w:t>
            </w:r>
            <w:r>
              <w:rPr>
                <w:rFonts w:hint="eastAsia" w:ascii="宋体" w:hAnsi="宋体" w:eastAsia="宋体" w:cs="宋体"/>
                <w:b/>
                <w:bCs/>
                <w:color w:val="auto"/>
                <w:szCs w:val="21"/>
                <w:highlight w:val="none"/>
                <w:lang w:val="en-US" w:eastAsia="zh-CN"/>
              </w:rPr>
              <w:t>（必须提供，否则按无效投标处理）</w:t>
            </w:r>
          </w:p>
          <w:p w14:paraId="1CD6C762">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.除招标文件规定必须提供以外，投标人认为需要提供的其他证明材料。</w:t>
            </w:r>
          </w:p>
          <w:p w14:paraId="6B16D8E9">
            <w:pPr>
              <w:wordWrap w:val="0"/>
              <w:snapToGrid w:val="0"/>
              <w:spacing w:line="360" w:lineRule="auto"/>
              <w:ind w:firstLine="422"/>
              <w:jc w:val="left"/>
              <w:rPr>
                <w:rFonts w:hint="eastAsia" w:ascii="宋体" w:hAnsi="宋体" w:cs="宋体"/>
                <w:b/>
                <w:color w:val="auto"/>
                <w:szCs w:val="21"/>
                <w:highlight w:val="none"/>
              </w:rPr>
            </w:pPr>
            <w:r>
              <w:rPr>
                <w:rFonts w:hint="eastAsia" w:ascii="宋体" w:hAnsi="宋体" w:cs="宋体"/>
                <w:b/>
                <w:bCs/>
                <w:color w:val="auto"/>
                <w:szCs w:val="21"/>
                <w:highlight w:val="none"/>
              </w:rPr>
              <w:t>注：1.以上标明“必须提供”的材料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p>
          <w:p w14:paraId="0AE6F36A">
            <w:pPr>
              <w:wordWrap w:val="0"/>
              <w:snapToGrid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color w:val="auto"/>
                <w:szCs w:val="21"/>
                <w:highlight w:val="none"/>
              </w:rPr>
              <w:t>2</w:t>
            </w:r>
            <w:r>
              <w:rPr>
                <w:rFonts w:hint="eastAsia" w:ascii="宋体" w:hAnsi="宋体" w:cs="宋体"/>
                <w:b/>
                <w:bCs/>
                <w:color w:val="auto"/>
                <w:szCs w:val="21"/>
                <w:highlight w:val="none"/>
              </w:rPr>
              <w:t>.联合体投标时，第1-5项资格证明文件联合体各方均必须分别提供，联合体各方分别盖章和签字，否则投标文件按无效投标处理。</w:t>
            </w:r>
          </w:p>
        </w:tc>
      </w:tr>
      <w:tr w14:paraId="43AF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D9ED23E">
            <w:pPr>
              <w:wordWrap w:val="0"/>
              <w:spacing w:line="360" w:lineRule="auto"/>
              <w:rPr>
                <w:rFonts w:hint="eastAsia" w:ascii="宋体" w:hAnsi="宋体" w:cs="宋体"/>
                <w:color w:val="auto"/>
                <w:szCs w:val="21"/>
                <w:highlight w:val="none"/>
              </w:rPr>
            </w:pPr>
          </w:p>
        </w:tc>
        <w:tc>
          <w:tcPr>
            <w:tcW w:w="2268" w:type="dxa"/>
            <w:vAlign w:val="center"/>
          </w:tcPr>
          <w:p w14:paraId="2110D6D4">
            <w:pPr>
              <w:wordWrap w:val="0"/>
              <w:snapToGrid w:val="0"/>
              <w:spacing w:line="360" w:lineRule="auto"/>
              <w:jc w:val="left"/>
              <w:rPr>
                <w:rFonts w:hint="eastAsia" w:ascii="宋体" w:hAnsi="宋体" w:cs="宋体"/>
                <w:color w:val="auto"/>
                <w:szCs w:val="21"/>
                <w:highlight w:val="none"/>
              </w:rPr>
            </w:pPr>
            <w:bookmarkStart w:id="21" w:name="_13.3"/>
            <w:bookmarkEnd w:id="21"/>
            <w:r>
              <w:rPr>
                <w:rFonts w:hint="eastAsia" w:ascii="宋体" w:hAnsi="宋体" w:cs="宋体"/>
                <w:color w:val="auto"/>
                <w:szCs w:val="21"/>
                <w:highlight w:val="none"/>
              </w:rPr>
              <w:t>商务文件组成</w:t>
            </w:r>
          </w:p>
        </w:tc>
        <w:tc>
          <w:tcPr>
            <w:tcW w:w="7297" w:type="dxa"/>
            <w:vAlign w:val="center"/>
          </w:tcPr>
          <w:p w14:paraId="1CAD38D7">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1.无串通投标行为的承诺函；（</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1351CBC1">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2.法定代表人身份证明及法定代表人有效身份证正反面复印件；（</w:t>
            </w:r>
            <w:r>
              <w:rPr>
                <w:rFonts w:hint="eastAsia" w:ascii="宋体" w:hAnsi="宋体" w:cs="宋体"/>
                <w:b/>
                <w:bCs/>
                <w:color w:val="auto"/>
                <w:szCs w:val="21"/>
                <w:highlight w:val="none"/>
              </w:rPr>
              <w:t>除自然人投标外</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6058C3BC">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委托时必须提供，否则作无效投标处理</w:t>
            </w:r>
            <w:r>
              <w:rPr>
                <w:rFonts w:hint="eastAsia" w:ascii="宋体" w:hAnsi="宋体" w:cs="宋体"/>
                <w:color w:val="auto"/>
                <w:szCs w:val="21"/>
                <w:highlight w:val="none"/>
              </w:rPr>
              <w:t>）</w:t>
            </w:r>
          </w:p>
          <w:p w14:paraId="6C27496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bCs/>
                <w:color w:val="auto"/>
                <w:szCs w:val="21"/>
                <w:highlight w:val="none"/>
              </w:rPr>
              <w:t>（必须提供，否则作无效投标处理）</w:t>
            </w:r>
          </w:p>
          <w:p w14:paraId="499420FD">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5.投标人情况介绍；</w:t>
            </w:r>
          </w:p>
          <w:p w14:paraId="2F699FBB">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6.投标人类似业绩的证明文件；（如有请提供）</w:t>
            </w:r>
          </w:p>
          <w:p w14:paraId="10E74313">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7.除招标文件规定必须提供以外，投标人认为需要提供的其他证明材料。（投标人根据“第二章 采购需求”及“第四章 评标方法及评标标准”提供有关证明材料）。</w:t>
            </w:r>
          </w:p>
          <w:p w14:paraId="509A149B">
            <w:pPr>
              <w:wordWrap w:val="0"/>
              <w:snapToGrid w:val="0"/>
              <w:spacing w:line="360" w:lineRule="auto"/>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注： 1.法定代表人授权委托书必须由法定代表人签字或盖章及委托代理人签字，并加盖投标人公章，否则作无效投标处理。</w:t>
            </w:r>
          </w:p>
          <w:p w14:paraId="505963C4">
            <w:pPr>
              <w:wordWrap w:val="0"/>
              <w:snapToGrid w:val="0"/>
              <w:spacing w:line="360" w:lineRule="auto"/>
              <w:ind w:firstLine="422" w:firstLineChars="200"/>
              <w:jc w:val="left"/>
              <w:rPr>
                <w:rFonts w:hint="eastAsia" w:ascii="宋体" w:hAnsi="宋体" w:cs="宋体"/>
                <w:b/>
                <w:color w:val="auto"/>
                <w:szCs w:val="21"/>
                <w:highlight w:val="none"/>
              </w:rPr>
            </w:pPr>
            <w:r>
              <w:rPr>
                <w:rFonts w:hint="eastAsia" w:ascii="宋体" w:hAnsi="宋体" w:cs="宋体"/>
                <w:b/>
                <w:bCs/>
                <w:color w:val="auto"/>
                <w:szCs w:val="21"/>
                <w:highlight w:val="none"/>
              </w:rPr>
              <w:t>2.以上标明“必须提供”的材料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14:paraId="4394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Merge w:val="restart"/>
            <w:vAlign w:val="center"/>
          </w:tcPr>
          <w:p w14:paraId="7B139724">
            <w:pPr>
              <w:wordWrap w:val="0"/>
              <w:spacing w:line="360" w:lineRule="auto"/>
              <w:rPr>
                <w:rFonts w:hint="eastAsia" w:ascii="宋体" w:hAnsi="宋体" w:cs="宋体"/>
                <w:color w:val="auto"/>
                <w:szCs w:val="21"/>
                <w:highlight w:val="none"/>
              </w:rPr>
            </w:pPr>
          </w:p>
        </w:tc>
        <w:tc>
          <w:tcPr>
            <w:tcW w:w="2268" w:type="dxa"/>
            <w:vAlign w:val="center"/>
          </w:tcPr>
          <w:p w14:paraId="5688D722">
            <w:pPr>
              <w:wordWrap w:val="0"/>
              <w:snapToGrid w:val="0"/>
              <w:spacing w:line="360" w:lineRule="auto"/>
              <w:jc w:val="left"/>
              <w:rPr>
                <w:rFonts w:hint="eastAsia" w:ascii="宋体" w:hAnsi="宋体" w:cs="宋体"/>
                <w:color w:val="auto"/>
                <w:szCs w:val="21"/>
                <w:highlight w:val="none"/>
              </w:rPr>
            </w:pPr>
            <w:bookmarkStart w:id="22" w:name="_13.4"/>
            <w:bookmarkEnd w:id="22"/>
            <w:r>
              <w:rPr>
                <w:rFonts w:hint="eastAsia" w:ascii="宋体" w:hAnsi="宋体" w:cs="宋体"/>
                <w:color w:val="auto"/>
                <w:szCs w:val="21"/>
                <w:highlight w:val="none"/>
              </w:rPr>
              <w:t>技术文件组成</w:t>
            </w:r>
          </w:p>
        </w:tc>
        <w:tc>
          <w:tcPr>
            <w:tcW w:w="7297" w:type="dxa"/>
            <w:vAlign w:val="center"/>
          </w:tcPr>
          <w:p w14:paraId="055294C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1.服务需求、技术需求偏离表；（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42F9F8AF">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2.组织服务方案【包括不限于技术服务方案、服务实施方案等】；（</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7DC278B4">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3.售后服务方案；（</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7DE7DE88">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4.项目实施人员一览表；（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1E3D7E08">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5.投标人对本项目的合理化建议和改进措施；（</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24DD78C8">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6.优惠条件及特殊承诺；（</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0C318954">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7.备品备件及供选择的配套零部件清单；（</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3BB73170">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8.培训计划（如有）；（</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45D56DD7">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9.认为需要的其他技术文件或说明。（</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2D693BBA">
            <w:pPr>
              <w:wordWrap w:val="0"/>
              <w:snapToGrid w:val="0"/>
              <w:spacing w:line="360" w:lineRule="auto"/>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14:paraId="5EB0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Merge w:val="continue"/>
            <w:vAlign w:val="center"/>
          </w:tcPr>
          <w:p w14:paraId="098032BC">
            <w:pPr>
              <w:widowControl/>
              <w:wordWrap w:val="0"/>
              <w:spacing w:line="360" w:lineRule="auto"/>
              <w:jc w:val="left"/>
              <w:rPr>
                <w:rFonts w:hint="eastAsia" w:ascii="宋体" w:hAnsi="宋体" w:cs="宋体"/>
                <w:color w:val="auto"/>
                <w:szCs w:val="21"/>
                <w:highlight w:val="none"/>
              </w:rPr>
            </w:pPr>
          </w:p>
        </w:tc>
        <w:tc>
          <w:tcPr>
            <w:tcW w:w="2268" w:type="dxa"/>
            <w:vAlign w:val="center"/>
          </w:tcPr>
          <w:p w14:paraId="1C3F61E4">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报价文件组成</w:t>
            </w:r>
          </w:p>
        </w:tc>
        <w:tc>
          <w:tcPr>
            <w:tcW w:w="7297" w:type="dxa"/>
            <w:vAlign w:val="center"/>
          </w:tcPr>
          <w:p w14:paraId="5B36ECC5">
            <w:pPr>
              <w:tabs>
                <w:tab w:val="left" w:pos="459"/>
              </w:tabs>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1.投标函；（</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329C068E">
            <w:pPr>
              <w:tabs>
                <w:tab w:val="left" w:pos="459"/>
              </w:tabs>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2.开标一览表；（</w:t>
            </w:r>
            <w:r>
              <w:rPr>
                <w:rFonts w:hint="eastAsia" w:ascii="宋体" w:hAnsi="宋体" w:cs="宋体"/>
                <w:b/>
                <w:color w:val="auto"/>
                <w:szCs w:val="21"/>
                <w:highlight w:val="none"/>
              </w:rPr>
              <w:t>必须提供，否则作无效投标处理</w:t>
            </w:r>
            <w:r>
              <w:rPr>
                <w:rFonts w:hint="eastAsia" w:ascii="宋体" w:hAnsi="宋体" w:cs="宋体"/>
                <w:color w:val="auto"/>
                <w:szCs w:val="21"/>
                <w:highlight w:val="none"/>
              </w:rPr>
              <w:t>）</w:t>
            </w:r>
          </w:p>
          <w:p w14:paraId="5EF9D26A">
            <w:pPr>
              <w:tabs>
                <w:tab w:val="left" w:pos="459"/>
              </w:tabs>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3.中小企业声明函或残疾人福利性单位声明函或监狱企业声明函。</w:t>
            </w:r>
            <w:r>
              <w:rPr>
                <w:rFonts w:hint="eastAsia" w:ascii="宋体" w:hAnsi="宋体" w:cs="宋体"/>
                <w:b/>
                <w:bCs/>
                <w:color w:val="auto"/>
                <w:szCs w:val="21"/>
                <w:highlight w:val="none"/>
              </w:rPr>
              <w:t>（如有请提供。）</w:t>
            </w:r>
          </w:p>
          <w:p w14:paraId="53E53273">
            <w:pPr>
              <w:tabs>
                <w:tab w:val="left" w:pos="459"/>
              </w:tabs>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4.投标人针对报价需要说明的其他文件和说明。（</w:t>
            </w:r>
            <w:r>
              <w:rPr>
                <w:rFonts w:hint="eastAsia" w:ascii="宋体" w:hAnsi="宋体" w:cs="宋体"/>
                <w:b/>
                <w:color w:val="auto"/>
                <w:szCs w:val="21"/>
                <w:highlight w:val="none"/>
              </w:rPr>
              <w:t>如有请提供</w:t>
            </w:r>
            <w:r>
              <w:rPr>
                <w:rFonts w:hint="eastAsia" w:ascii="宋体" w:hAnsi="宋体" w:cs="宋体"/>
                <w:color w:val="auto"/>
                <w:szCs w:val="21"/>
                <w:highlight w:val="none"/>
              </w:rPr>
              <w:t>）</w:t>
            </w:r>
          </w:p>
          <w:p w14:paraId="57CF87EA">
            <w:pPr>
              <w:tabs>
                <w:tab w:val="left" w:pos="459"/>
              </w:tabs>
              <w:wordWrap w:val="0"/>
              <w:snapToGrid w:val="0"/>
              <w:spacing w:line="360" w:lineRule="auto"/>
              <w:ind w:firstLine="422"/>
              <w:jc w:val="left"/>
              <w:rPr>
                <w:rFonts w:hint="eastAsia" w:ascii="宋体" w:hAnsi="宋体" w:cs="宋体"/>
                <w:color w:val="auto"/>
                <w:szCs w:val="21"/>
                <w:highlight w:val="none"/>
              </w:rPr>
            </w:pPr>
            <w:r>
              <w:rPr>
                <w:rFonts w:hint="eastAsia" w:ascii="宋体" w:hAnsi="宋体" w:cs="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cs="宋体"/>
                <w:b/>
                <w:bCs/>
                <w:color w:val="auto"/>
                <w:szCs w:val="21"/>
                <w:highlight w:val="none"/>
              </w:rPr>
              <w:t>，必须加盖投标人电子公章，否则</w:t>
            </w:r>
            <w:r>
              <w:rPr>
                <w:rFonts w:hint="eastAsia" w:ascii="宋体" w:hAnsi="宋体" w:cs="宋体"/>
                <w:b/>
                <w:color w:val="auto"/>
                <w:szCs w:val="21"/>
                <w:highlight w:val="none"/>
              </w:rPr>
              <w:t>作无效投标处理</w:t>
            </w:r>
            <w:r>
              <w:rPr>
                <w:rFonts w:hint="eastAsia" w:ascii="宋体" w:hAnsi="宋体" w:cs="宋体"/>
                <w:b/>
                <w:bCs/>
                <w:color w:val="auto"/>
                <w:szCs w:val="21"/>
                <w:highlight w:val="none"/>
              </w:rPr>
              <w:t>。</w:t>
            </w:r>
          </w:p>
        </w:tc>
      </w:tr>
      <w:tr w14:paraId="35B2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D22BB1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16.2</w:t>
            </w:r>
          </w:p>
        </w:tc>
        <w:tc>
          <w:tcPr>
            <w:tcW w:w="2268" w:type="dxa"/>
            <w:vAlign w:val="center"/>
          </w:tcPr>
          <w:p w14:paraId="2B9AACE2">
            <w:pPr>
              <w:wordWrap w:val="0"/>
              <w:spacing w:line="360" w:lineRule="auto"/>
              <w:rPr>
                <w:rFonts w:hint="eastAsia" w:ascii="宋体" w:hAnsi="宋体" w:cs="宋体"/>
                <w:color w:val="auto"/>
                <w:szCs w:val="21"/>
                <w:highlight w:val="none"/>
              </w:rPr>
            </w:pPr>
            <w:bookmarkStart w:id="23" w:name="_16.2"/>
            <w:bookmarkEnd w:id="23"/>
            <w:r>
              <w:rPr>
                <w:rFonts w:hint="eastAsia" w:ascii="宋体" w:hAnsi="宋体" w:cs="宋体"/>
                <w:color w:val="auto"/>
                <w:szCs w:val="21"/>
                <w:highlight w:val="none"/>
              </w:rPr>
              <w:t>投标报价要求</w:t>
            </w:r>
          </w:p>
        </w:tc>
        <w:tc>
          <w:tcPr>
            <w:tcW w:w="7297" w:type="dxa"/>
            <w:vAlign w:val="center"/>
          </w:tcPr>
          <w:p w14:paraId="3D6F76E7">
            <w:pPr>
              <w:wordWrap w:val="0"/>
              <w:snapToGrid w:val="0"/>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投标报价是履行合同的最终价格，必须包含满足本次投标全部采购需求所应提供的服务，以及伴随的货物和工程的价格；</w:t>
            </w:r>
          </w:p>
        </w:tc>
      </w:tr>
      <w:tr w14:paraId="78FE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6DFB189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17.2</w:t>
            </w:r>
          </w:p>
        </w:tc>
        <w:tc>
          <w:tcPr>
            <w:tcW w:w="2268" w:type="dxa"/>
            <w:vAlign w:val="center"/>
          </w:tcPr>
          <w:p w14:paraId="40F74A29">
            <w:pPr>
              <w:wordWrap w:val="0"/>
              <w:spacing w:line="360" w:lineRule="auto"/>
              <w:rPr>
                <w:rFonts w:hint="eastAsia" w:ascii="宋体" w:hAnsi="宋体" w:cs="宋体"/>
                <w:color w:val="auto"/>
                <w:szCs w:val="21"/>
                <w:highlight w:val="none"/>
              </w:rPr>
            </w:pPr>
            <w:bookmarkStart w:id="24" w:name="_17.1"/>
            <w:bookmarkEnd w:id="24"/>
            <w:r>
              <w:rPr>
                <w:rFonts w:hint="eastAsia" w:ascii="宋体" w:hAnsi="宋体" w:cs="宋体"/>
                <w:color w:val="auto"/>
                <w:szCs w:val="21"/>
                <w:highlight w:val="none"/>
              </w:rPr>
              <w:t>投标有效期</w:t>
            </w:r>
          </w:p>
        </w:tc>
        <w:tc>
          <w:tcPr>
            <w:tcW w:w="7297" w:type="dxa"/>
            <w:vAlign w:val="center"/>
          </w:tcPr>
          <w:p w14:paraId="0340E628">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自投标截止之日起</w:t>
            </w:r>
            <w:bookmarkStart w:id="25" w:name="PO_3000001866_PM046"/>
            <w:r>
              <w:rPr>
                <w:rFonts w:hint="eastAsia" w:ascii="宋体" w:hAnsi="宋体" w:cs="宋体"/>
                <w:color w:val="auto"/>
                <w:szCs w:val="21"/>
                <w:highlight w:val="none"/>
                <w:u w:val="single"/>
              </w:rPr>
              <w:t>60日历天</w:t>
            </w:r>
            <w:bookmarkEnd w:id="25"/>
            <w:r>
              <w:rPr>
                <w:rFonts w:hint="eastAsia" w:ascii="宋体" w:hAnsi="宋体" w:cs="宋体"/>
                <w:color w:val="auto"/>
                <w:szCs w:val="21"/>
                <w:highlight w:val="none"/>
              </w:rPr>
              <w:t>。</w:t>
            </w:r>
          </w:p>
        </w:tc>
      </w:tr>
      <w:tr w14:paraId="49F4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5498A29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18</w:t>
            </w:r>
          </w:p>
        </w:tc>
        <w:tc>
          <w:tcPr>
            <w:tcW w:w="2268" w:type="dxa"/>
            <w:vAlign w:val="center"/>
          </w:tcPr>
          <w:p w14:paraId="639F6577">
            <w:pPr>
              <w:wordWrap w:val="0"/>
              <w:spacing w:line="360" w:lineRule="auto"/>
              <w:rPr>
                <w:rFonts w:hint="eastAsia" w:ascii="宋体" w:hAnsi="宋体" w:cs="宋体"/>
                <w:color w:val="auto"/>
                <w:szCs w:val="21"/>
                <w:highlight w:val="none"/>
              </w:rPr>
            </w:pPr>
            <w:bookmarkStart w:id="26" w:name="_18"/>
            <w:bookmarkEnd w:id="26"/>
            <w:r>
              <w:rPr>
                <w:rFonts w:hint="eastAsia" w:ascii="宋体" w:hAnsi="宋体" w:cs="宋体"/>
                <w:color w:val="auto"/>
                <w:szCs w:val="21"/>
                <w:highlight w:val="none"/>
              </w:rPr>
              <w:t>投标保证金金额</w:t>
            </w:r>
          </w:p>
        </w:tc>
        <w:tc>
          <w:tcPr>
            <w:tcW w:w="7297" w:type="dxa"/>
            <w:vAlign w:val="center"/>
          </w:tcPr>
          <w:p w14:paraId="1B649407">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本项目不收取投标保证金。</w:t>
            </w:r>
          </w:p>
        </w:tc>
      </w:tr>
      <w:tr w14:paraId="5F0C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6A56D4C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19.1</w:t>
            </w:r>
          </w:p>
        </w:tc>
        <w:tc>
          <w:tcPr>
            <w:tcW w:w="2268" w:type="dxa"/>
            <w:vAlign w:val="center"/>
          </w:tcPr>
          <w:p w14:paraId="7C93CE0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投标文件编制要求</w:t>
            </w:r>
          </w:p>
        </w:tc>
        <w:tc>
          <w:tcPr>
            <w:tcW w:w="7297" w:type="dxa"/>
            <w:vAlign w:val="center"/>
          </w:tcPr>
          <w:p w14:paraId="061F778C">
            <w:pPr>
              <w:wordWrap w:val="0"/>
              <w:spacing w:line="360" w:lineRule="auto"/>
              <w:rPr>
                <w:rFonts w:hint="eastAsia" w:ascii="宋体" w:hAnsi="宋体" w:cs="宋体"/>
                <w:b/>
                <w:color w:val="auto"/>
                <w:szCs w:val="21"/>
                <w:highlight w:val="none"/>
                <w:u w:val="single"/>
              </w:rPr>
            </w:pPr>
            <w:r>
              <w:rPr>
                <w:rFonts w:hint="eastAsia" w:ascii="宋体" w:hAnsi="宋体" w:cs="宋体"/>
                <w:color w:val="auto"/>
                <w:szCs w:val="21"/>
                <w:highlight w:val="none"/>
              </w:rPr>
              <w:t>投标文件应按报价文件、资格证明文件、商务文件、技术文件分别编制，报价文件、资格证明文件分别生产电子文件，商务文件和技术文件按顺序合并生成电子文件。</w:t>
            </w:r>
            <w:r>
              <w:rPr>
                <w:rFonts w:hint="eastAsia" w:ascii="宋体" w:hAnsi="宋体" w:cs="宋体"/>
                <w:b/>
                <w:color w:val="auto"/>
                <w:szCs w:val="21"/>
                <w:highlight w:val="none"/>
                <w:u w:val="single"/>
              </w:rPr>
              <w:t>电子版投标文件制作方式见招标公告附件。</w:t>
            </w:r>
          </w:p>
        </w:tc>
      </w:tr>
      <w:tr w14:paraId="2C33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4EE2A4E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20</w:t>
            </w:r>
          </w:p>
        </w:tc>
        <w:tc>
          <w:tcPr>
            <w:tcW w:w="2268" w:type="dxa"/>
            <w:vAlign w:val="center"/>
          </w:tcPr>
          <w:p w14:paraId="3A73318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备份投标文件</w:t>
            </w:r>
          </w:p>
        </w:tc>
        <w:tc>
          <w:tcPr>
            <w:tcW w:w="7297" w:type="dxa"/>
            <w:vAlign w:val="center"/>
          </w:tcPr>
          <w:p w14:paraId="7351541E">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本项目不接受备份投标文件。</w:t>
            </w:r>
          </w:p>
        </w:tc>
      </w:tr>
      <w:tr w14:paraId="2205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67" w:type="dxa"/>
            <w:vMerge w:val="restart"/>
            <w:vAlign w:val="center"/>
          </w:tcPr>
          <w:p w14:paraId="5ACC245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21.1</w:t>
            </w:r>
          </w:p>
        </w:tc>
        <w:tc>
          <w:tcPr>
            <w:tcW w:w="2268" w:type="dxa"/>
            <w:vAlign w:val="center"/>
          </w:tcPr>
          <w:p w14:paraId="248D8779">
            <w:pPr>
              <w:wordWrap w:val="0"/>
              <w:spacing w:line="360" w:lineRule="auto"/>
              <w:rPr>
                <w:rFonts w:hint="eastAsia" w:ascii="宋体" w:hAnsi="宋体" w:cs="宋体"/>
                <w:color w:val="auto"/>
                <w:szCs w:val="21"/>
                <w:highlight w:val="none"/>
              </w:rPr>
            </w:pPr>
            <w:bookmarkStart w:id="27" w:name="_21.1"/>
            <w:bookmarkEnd w:id="27"/>
            <w:r>
              <w:rPr>
                <w:rFonts w:hint="eastAsia" w:ascii="宋体" w:hAnsi="宋体" w:cs="宋体"/>
                <w:color w:val="auto"/>
                <w:szCs w:val="21"/>
                <w:highlight w:val="none"/>
              </w:rPr>
              <w:t>投标截止时间</w:t>
            </w:r>
          </w:p>
        </w:tc>
        <w:tc>
          <w:tcPr>
            <w:tcW w:w="7297" w:type="dxa"/>
            <w:vAlign w:val="center"/>
          </w:tcPr>
          <w:p w14:paraId="4BB20477">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详见招标公告</w:t>
            </w:r>
          </w:p>
        </w:tc>
      </w:tr>
      <w:tr w14:paraId="27F1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vAlign w:val="center"/>
          </w:tcPr>
          <w:p w14:paraId="4140CE2C">
            <w:pPr>
              <w:widowControl/>
              <w:wordWrap w:val="0"/>
              <w:spacing w:line="360" w:lineRule="auto"/>
              <w:jc w:val="left"/>
              <w:rPr>
                <w:rFonts w:hint="eastAsia" w:ascii="宋体" w:hAnsi="宋体" w:cs="宋体"/>
                <w:color w:val="auto"/>
                <w:szCs w:val="21"/>
                <w:highlight w:val="none"/>
              </w:rPr>
            </w:pPr>
          </w:p>
        </w:tc>
        <w:tc>
          <w:tcPr>
            <w:tcW w:w="2268" w:type="dxa"/>
            <w:vAlign w:val="center"/>
          </w:tcPr>
          <w:p w14:paraId="2DCAABD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投标文件提交起止时间</w:t>
            </w:r>
          </w:p>
        </w:tc>
        <w:tc>
          <w:tcPr>
            <w:tcW w:w="7297" w:type="dxa"/>
            <w:vAlign w:val="center"/>
          </w:tcPr>
          <w:p w14:paraId="569BFF04">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详见招标公告</w:t>
            </w:r>
          </w:p>
        </w:tc>
      </w:tr>
      <w:tr w14:paraId="4415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vAlign w:val="center"/>
          </w:tcPr>
          <w:p w14:paraId="2D6F57B2">
            <w:pPr>
              <w:widowControl/>
              <w:wordWrap w:val="0"/>
              <w:spacing w:line="360" w:lineRule="auto"/>
              <w:jc w:val="left"/>
              <w:rPr>
                <w:rFonts w:hint="eastAsia" w:ascii="宋体" w:hAnsi="宋体" w:cs="宋体"/>
                <w:color w:val="auto"/>
                <w:szCs w:val="21"/>
                <w:highlight w:val="none"/>
              </w:rPr>
            </w:pPr>
          </w:p>
        </w:tc>
        <w:tc>
          <w:tcPr>
            <w:tcW w:w="2268" w:type="dxa"/>
            <w:vAlign w:val="center"/>
          </w:tcPr>
          <w:p w14:paraId="780BEF8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投标地点</w:t>
            </w:r>
          </w:p>
        </w:tc>
        <w:tc>
          <w:tcPr>
            <w:tcW w:w="7297" w:type="dxa"/>
            <w:vAlign w:val="center"/>
          </w:tcPr>
          <w:p w14:paraId="44FE4FE9">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详见招标公告</w:t>
            </w:r>
          </w:p>
        </w:tc>
      </w:tr>
      <w:tr w14:paraId="4634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7" w:type="dxa"/>
            <w:vMerge w:val="continue"/>
            <w:vAlign w:val="center"/>
          </w:tcPr>
          <w:p w14:paraId="45A67A2E">
            <w:pPr>
              <w:widowControl/>
              <w:wordWrap w:val="0"/>
              <w:spacing w:line="360" w:lineRule="auto"/>
              <w:jc w:val="left"/>
              <w:rPr>
                <w:rFonts w:hint="eastAsia" w:ascii="宋体" w:hAnsi="宋体" w:cs="宋体"/>
                <w:color w:val="auto"/>
                <w:szCs w:val="21"/>
                <w:highlight w:val="none"/>
              </w:rPr>
            </w:pPr>
          </w:p>
        </w:tc>
        <w:tc>
          <w:tcPr>
            <w:tcW w:w="2268" w:type="dxa"/>
            <w:vAlign w:val="center"/>
          </w:tcPr>
          <w:p w14:paraId="18C1C48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投标人递交投标样品截止时间及地点</w:t>
            </w:r>
          </w:p>
        </w:tc>
        <w:tc>
          <w:tcPr>
            <w:tcW w:w="7297" w:type="dxa"/>
            <w:vAlign w:val="center"/>
          </w:tcPr>
          <w:p w14:paraId="25CADB25">
            <w:pPr>
              <w:wordWrap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时间：</w:t>
            </w:r>
            <w:r>
              <w:rPr>
                <w:rFonts w:hint="eastAsia" w:ascii="宋体" w:hAnsi="宋体" w:cs="宋体"/>
                <w:bCs/>
                <w:color w:val="auto"/>
                <w:szCs w:val="21"/>
                <w:highlight w:val="none"/>
                <w:u w:val="single"/>
              </w:rPr>
              <w:t xml:space="preserve">    /年 /月 / 日 / 时  /分</w:t>
            </w:r>
            <w:r>
              <w:rPr>
                <w:rFonts w:hint="eastAsia" w:ascii="宋体" w:hAnsi="宋体" w:cs="宋体"/>
                <w:bCs/>
                <w:color w:val="auto"/>
                <w:szCs w:val="21"/>
                <w:highlight w:val="none"/>
              </w:rPr>
              <w:t>（北京时间）</w:t>
            </w:r>
          </w:p>
          <w:p w14:paraId="500C01E5">
            <w:pPr>
              <w:wordWrap w:val="0"/>
              <w:snapToGrid w:val="0"/>
              <w:spacing w:line="360" w:lineRule="auto"/>
              <w:rPr>
                <w:rFonts w:hint="eastAsia" w:ascii="宋体" w:hAnsi="宋体" w:cs="宋体"/>
                <w:color w:val="auto"/>
                <w:szCs w:val="21"/>
                <w:highlight w:val="none"/>
              </w:rPr>
            </w:pPr>
            <w:r>
              <w:rPr>
                <w:rFonts w:hint="eastAsia" w:ascii="宋体" w:hAnsi="宋体" w:cs="宋体"/>
                <w:bCs/>
                <w:color w:val="auto"/>
                <w:szCs w:val="21"/>
                <w:highlight w:val="none"/>
              </w:rPr>
              <w:t>地点：</w:t>
            </w:r>
            <w:r>
              <w:rPr>
                <w:rFonts w:hint="eastAsia" w:ascii="宋体" w:hAnsi="宋体" w:cs="宋体"/>
                <w:bCs/>
                <w:color w:val="auto"/>
                <w:szCs w:val="21"/>
                <w:highlight w:val="none"/>
                <w:u w:val="single"/>
              </w:rPr>
              <w:t xml:space="preserve">        /                        </w:t>
            </w:r>
          </w:p>
        </w:tc>
      </w:tr>
      <w:tr w14:paraId="2D8F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D6BF7A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23</w:t>
            </w:r>
          </w:p>
        </w:tc>
        <w:tc>
          <w:tcPr>
            <w:tcW w:w="2268" w:type="dxa"/>
            <w:vAlign w:val="center"/>
          </w:tcPr>
          <w:p w14:paraId="2F57AF56">
            <w:pPr>
              <w:wordWrap w:val="0"/>
              <w:spacing w:line="360" w:lineRule="auto"/>
              <w:rPr>
                <w:rFonts w:hint="eastAsia" w:ascii="宋体" w:hAnsi="宋体" w:cs="宋体"/>
                <w:color w:val="auto"/>
                <w:szCs w:val="21"/>
                <w:highlight w:val="none"/>
              </w:rPr>
            </w:pPr>
            <w:bookmarkStart w:id="28" w:name="_23"/>
            <w:bookmarkEnd w:id="28"/>
            <w:r>
              <w:rPr>
                <w:rFonts w:hint="eastAsia" w:ascii="宋体" w:hAnsi="宋体" w:cs="宋体"/>
                <w:color w:val="auto"/>
                <w:szCs w:val="21"/>
                <w:highlight w:val="none"/>
              </w:rPr>
              <w:t>开标时间、地点</w:t>
            </w:r>
          </w:p>
        </w:tc>
        <w:tc>
          <w:tcPr>
            <w:tcW w:w="7297" w:type="dxa"/>
            <w:vAlign w:val="center"/>
          </w:tcPr>
          <w:p w14:paraId="793FECC2">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详见招标公告 </w:t>
            </w:r>
          </w:p>
        </w:tc>
      </w:tr>
      <w:tr w14:paraId="2DA1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867" w:type="dxa"/>
            <w:vMerge w:val="restart"/>
            <w:vAlign w:val="center"/>
          </w:tcPr>
          <w:p w14:paraId="036D8E1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25.3（2）</w:t>
            </w:r>
          </w:p>
        </w:tc>
        <w:tc>
          <w:tcPr>
            <w:tcW w:w="2268" w:type="dxa"/>
            <w:vAlign w:val="center"/>
          </w:tcPr>
          <w:p w14:paraId="7CBAF8F1">
            <w:pPr>
              <w:wordWrap w:val="0"/>
              <w:spacing w:line="360" w:lineRule="auto"/>
              <w:rPr>
                <w:rFonts w:hint="eastAsia" w:ascii="宋体" w:hAnsi="宋体" w:cs="宋体"/>
                <w:color w:val="auto"/>
                <w:szCs w:val="21"/>
                <w:highlight w:val="none"/>
              </w:rPr>
            </w:pPr>
            <w:bookmarkStart w:id="29" w:name="_25.3"/>
            <w:bookmarkEnd w:id="29"/>
            <w:r>
              <w:rPr>
                <w:rFonts w:hint="eastAsia" w:ascii="宋体" w:hAnsi="宋体" w:cs="宋体"/>
                <w:color w:val="auto"/>
                <w:szCs w:val="21"/>
                <w:highlight w:val="none"/>
              </w:rPr>
              <w:t>投标人信用查询渠道</w:t>
            </w:r>
          </w:p>
        </w:tc>
        <w:tc>
          <w:tcPr>
            <w:tcW w:w="7297" w:type="dxa"/>
            <w:vAlign w:val="center"/>
          </w:tcPr>
          <w:p w14:paraId="2AAD748F">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采购人或者采购代理机构在资格审查结束前，对投标人进行信用查询。</w:t>
            </w:r>
          </w:p>
          <w:p w14:paraId="1E806B2B">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查询渠道：“信用中国”网站(www.creditchina.gov.cn) 、中国政府采购网(www.ccgp.gov.cn)。</w:t>
            </w:r>
          </w:p>
        </w:tc>
      </w:tr>
      <w:tr w14:paraId="011B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867" w:type="dxa"/>
            <w:vMerge w:val="continue"/>
            <w:vAlign w:val="center"/>
          </w:tcPr>
          <w:p w14:paraId="73557E84">
            <w:pPr>
              <w:widowControl/>
              <w:wordWrap w:val="0"/>
              <w:spacing w:line="360" w:lineRule="auto"/>
              <w:jc w:val="left"/>
              <w:rPr>
                <w:rFonts w:hint="eastAsia" w:ascii="宋体" w:hAnsi="宋体" w:cs="宋体"/>
                <w:color w:val="auto"/>
                <w:szCs w:val="21"/>
                <w:highlight w:val="none"/>
              </w:rPr>
            </w:pPr>
          </w:p>
        </w:tc>
        <w:tc>
          <w:tcPr>
            <w:tcW w:w="2268" w:type="dxa"/>
            <w:vAlign w:val="center"/>
          </w:tcPr>
          <w:p w14:paraId="7DD25FC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信用查询截止时点</w:t>
            </w:r>
          </w:p>
        </w:tc>
        <w:tc>
          <w:tcPr>
            <w:tcW w:w="7297" w:type="dxa"/>
            <w:vAlign w:val="center"/>
          </w:tcPr>
          <w:p w14:paraId="4FA5300B">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资格审查结束前</w:t>
            </w:r>
          </w:p>
        </w:tc>
      </w:tr>
      <w:tr w14:paraId="1F3A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67" w:type="dxa"/>
            <w:vMerge w:val="continue"/>
            <w:vAlign w:val="center"/>
          </w:tcPr>
          <w:p w14:paraId="4689EFA7">
            <w:pPr>
              <w:widowControl/>
              <w:wordWrap w:val="0"/>
              <w:spacing w:line="360" w:lineRule="auto"/>
              <w:jc w:val="left"/>
              <w:rPr>
                <w:rFonts w:hint="eastAsia" w:ascii="宋体" w:hAnsi="宋体" w:cs="宋体"/>
                <w:color w:val="auto"/>
                <w:szCs w:val="21"/>
                <w:highlight w:val="none"/>
              </w:rPr>
            </w:pPr>
          </w:p>
        </w:tc>
        <w:tc>
          <w:tcPr>
            <w:tcW w:w="2268" w:type="dxa"/>
            <w:vAlign w:val="center"/>
          </w:tcPr>
          <w:p w14:paraId="20802E5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查询记录和证据留存方式</w:t>
            </w:r>
          </w:p>
        </w:tc>
        <w:tc>
          <w:tcPr>
            <w:tcW w:w="7297" w:type="dxa"/>
            <w:vAlign w:val="center"/>
          </w:tcPr>
          <w:p w14:paraId="6A604B74">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在查询网站中直接截图查询记录，截图作为在“广西政府采购云”平台作为附件上传保存。</w:t>
            </w:r>
          </w:p>
        </w:tc>
      </w:tr>
      <w:tr w14:paraId="372E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867" w:type="dxa"/>
            <w:vMerge w:val="continue"/>
            <w:vAlign w:val="center"/>
          </w:tcPr>
          <w:p w14:paraId="78589EE5">
            <w:pPr>
              <w:widowControl/>
              <w:wordWrap w:val="0"/>
              <w:spacing w:line="360" w:lineRule="auto"/>
              <w:jc w:val="left"/>
              <w:rPr>
                <w:rFonts w:hint="eastAsia" w:ascii="宋体" w:hAnsi="宋体" w:cs="宋体"/>
                <w:color w:val="auto"/>
                <w:szCs w:val="21"/>
                <w:highlight w:val="none"/>
              </w:rPr>
            </w:pPr>
          </w:p>
        </w:tc>
        <w:tc>
          <w:tcPr>
            <w:tcW w:w="2268" w:type="dxa"/>
            <w:vAlign w:val="center"/>
          </w:tcPr>
          <w:p w14:paraId="581B924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信用信息使用规则</w:t>
            </w:r>
          </w:p>
        </w:tc>
        <w:tc>
          <w:tcPr>
            <w:tcW w:w="7297" w:type="dxa"/>
            <w:vAlign w:val="center"/>
          </w:tcPr>
          <w:p w14:paraId="102FA651">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2C3B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FEBC6E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29.1</w:t>
            </w:r>
          </w:p>
        </w:tc>
        <w:tc>
          <w:tcPr>
            <w:tcW w:w="2268" w:type="dxa"/>
            <w:vAlign w:val="center"/>
          </w:tcPr>
          <w:p w14:paraId="7F5CD177">
            <w:pPr>
              <w:wordWrap w:val="0"/>
              <w:spacing w:line="360" w:lineRule="auto"/>
              <w:rPr>
                <w:rFonts w:hint="eastAsia" w:ascii="宋体" w:hAnsi="宋体" w:cs="宋体"/>
                <w:color w:val="auto"/>
                <w:szCs w:val="21"/>
                <w:highlight w:val="none"/>
              </w:rPr>
            </w:pPr>
            <w:bookmarkStart w:id="30" w:name="_26"/>
            <w:bookmarkEnd w:id="30"/>
            <w:bookmarkStart w:id="31" w:name="_28.3"/>
            <w:bookmarkEnd w:id="31"/>
            <w:r>
              <w:rPr>
                <w:rFonts w:hint="eastAsia" w:ascii="宋体" w:hAnsi="宋体" w:cs="宋体"/>
                <w:color w:val="auto"/>
                <w:szCs w:val="21"/>
                <w:highlight w:val="none"/>
              </w:rPr>
              <w:t>评标方法</w:t>
            </w:r>
          </w:p>
        </w:tc>
        <w:tc>
          <w:tcPr>
            <w:tcW w:w="7297" w:type="dxa"/>
            <w:vAlign w:val="center"/>
          </w:tcPr>
          <w:p w14:paraId="53E367EF">
            <w:pPr>
              <w:wordWrap w:val="0"/>
              <w:autoSpaceDE w:val="0"/>
              <w:autoSpaceDN w:val="0"/>
              <w:snapToGrid w:val="0"/>
              <w:spacing w:line="360" w:lineRule="auto"/>
              <w:textAlignment w:val="bottom"/>
              <w:rPr>
                <w:rFonts w:hint="eastAsia" w:ascii="宋体" w:hAnsi="宋体" w:cs="宋体"/>
                <w:color w:val="auto"/>
                <w:szCs w:val="21"/>
                <w:highlight w:val="none"/>
              </w:rPr>
            </w:pPr>
            <w:r>
              <w:rPr>
                <w:rFonts w:ascii="Segoe UI Symbol" w:hAnsi="Segoe UI Symbol" w:cs="Segoe UI Symbol"/>
                <w:color w:val="auto"/>
                <w:szCs w:val="21"/>
                <w:highlight w:val="none"/>
              </w:rPr>
              <w:t>☑</w:t>
            </w:r>
            <w:r>
              <w:rPr>
                <w:rFonts w:hint="eastAsia" w:ascii="宋体" w:hAnsi="宋体" w:cs="宋体"/>
                <w:color w:val="auto"/>
                <w:szCs w:val="21"/>
                <w:highlight w:val="none"/>
              </w:rPr>
              <w:t>综合评分法</w:t>
            </w:r>
          </w:p>
          <w:p w14:paraId="3B05CA1F">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□最低评标价法</w:t>
            </w:r>
          </w:p>
        </w:tc>
      </w:tr>
      <w:tr w14:paraId="4AB0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67" w:type="dxa"/>
            <w:vAlign w:val="center"/>
          </w:tcPr>
          <w:p w14:paraId="3ED54BC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29.2</w:t>
            </w:r>
          </w:p>
        </w:tc>
        <w:tc>
          <w:tcPr>
            <w:tcW w:w="2268" w:type="dxa"/>
            <w:vAlign w:val="center"/>
          </w:tcPr>
          <w:p w14:paraId="7C4795FD">
            <w:pPr>
              <w:wordWrap w:val="0"/>
              <w:spacing w:line="360" w:lineRule="auto"/>
              <w:rPr>
                <w:rFonts w:hint="eastAsia" w:ascii="宋体" w:hAnsi="宋体" w:cs="宋体"/>
                <w:color w:val="auto"/>
                <w:szCs w:val="21"/>
                <w:highlight w:val="none"/>
              </w:rPr>
            </w:pPr>
            <w:bookmarkStart w:id="32" w:name="_29.2.2（2）"/>
            <w:bookmarkEnd w:id="32"/>
            <w:r>
              <w:rPr>
                <w:rFonts w:hint="eastAsia" w:ascii="宋体" w:hAnsi="宋体" w:cs="宋体"/>
                <w:color w:val="auto"/>
                <w:szCs w:val="21"/>
                <w:highlight w:val="none"/>
              </w:rPr>
              <w:t>允许负偏离项</w:t>
            </w:r>
          </w:p>
        </w:tc>
        <w:tc>
          <w:tcPr>
            <w:tcW w:w="7297" w:type="dxa"/>
            <w:vAlign w:val="center"/>
          </w:tcPr>
          <w:p w14:paraId="17B4AE14">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0</w:t>
            </w:r>
            <w:r>
              <w:rPr>
                <w:rFonts w:hint="eastAsia" w:ascii="宋体" w:hAnsi="宋体" w:cs="宋体"/>
                <w:color w:val="auto"/>
                <w:szCs w:val="21"/>
                <w:highlight w:val="none"/>
              </w:rPr>
              <w:t>项。</w:t>
            </w:r>
          </w:p>
          <w:p w14:paraId="25F0F369">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技术需求评审中允许负偏离的条款数为</w:t>
            </w:r>
            <w:r>
              <w:rPr>
                <w:rFonts w:hint="eastAsia" w:ascii="宋体" w:hAnsi="宋体" w:cs="宋体"/>
                <w:color w:val="auto"/>
                <w:szCs w:val="21"/>
                <w:highlight w:val="none"/>
                <w:u w:val="single"/>
              </w:rPr>
              <w:t xml:space="preserve">0 </w:t>
            </w:r>
            <w:r>
              <w:rPr>
                <w:rFonts w:hint="eastAsia" w:ascii="宋体" w:hAnsi="宋体" w:cs="宋体"/>
                <w:color w:val="auto"/>
                <w:szCs w:val="21"/>
                <w:highlight w:val="none"/>
              </w:rPr>
              <w:t>项。</w:t>
            </w:r>
          </w:p>
        </w:tc>
      </w:tr>
      <w:tr w14:paraId="5355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543F26D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30.1</w:t>
            </w:r>
          </w:p>
        </w:tc>
        <w:tc>
          <w:tcPr>
            <w:tcW w:w="2268" w:type="dxa"/>
            <w:vAlign w:val="center"/>
          </w:tcPr>
          <w:p w14:paraId="7A1AD61E">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确定中标供应商时，出现中标候选人分数并列的情形，确定中标供应商方式 </w:t>
            </w:r>
          </w:p>
        </w:tc>
        <w:tc>
          <w:tcPr>
            <w:tcW w:w="7297" w:type="dxa"/>
            <w:vAlign w:val="center"/>
          </w:tcPr>
          <w:p w14:paraId="74364529">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 xml:space="preserve">□采用最低评标价法的，投标文件满足招标文件全部实质性要求且投标报价最低的投标人为排名第一的中标候选人； </w:t>
            </w:r>
          </w:p>
          <w:p w14:paraId="4167CFC1">
            <w:pPr>
              <w:wordWrap w:val="0"/>
              <w:autoSpaceDE w:val="0"/>
              <w:autoSpaceDN w:val="0"/>
              <w:snapToGrid w:val="0"/>
              <w:spacing w:line="360" w:lineRule="auto"/>
              <w:textAlignment w:val="bottom"/>
              <w:rPr>
                <w:rFonts w:hint="eastAsia" w:ascii="宋体" w:hAnsi="宋体" w:cs="宋体"/>
                <w:b/>
                <w:color w:val="auto"/>
                <w:szCs w:val="21"/>
                <w:highlight w:val="none"/>
              </w:rPr>
            </w:pPr>
            <w:r>
              <w:rPr>
                <w:rFonts w:ascii="Segoe UI Symbol" w:hAnsi="Segoe UI Symbol" w:cs="Segoe UI Symbol"/>
                <w:color w:val="auto"/>
                <w:szCs w:val="21"/>
                <w:highlight w:val="none"/>
              </w:rPr>
              <w:t>☑</w:t>
            </w:r>
            <w:r>
              <w:rPr>
                <w:rFonts w:hint="eastAsia" w:ascii="宋体" w:hAnsi="宋体" w:cs="宋体"/>
                <w:color w:val="auto"/>
                <w:szCs w:val="21"/>
                <w:highlight w:val="none"/>
              </w:rPr>
              <w:t>采用综合评分法的，根据总得分由高到低排列次序并推荐中标候选供应商。总得分相同的，以投标报价由低到高顺序排列。得分相同且投标报价相同的并列，投标文件满足招标文件全部实质性要求，且按照评审因素的量化指标评审得分最高的投标人为排名第一的中标候选供应商。</w:t>
            </w:r>
          </w:p>
        </w:tc>
      </w:tr>
      <w:tr w14:paraId="2268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67" w:type="dxa"/>
            <w:vAlign w:val="center"/>
          </w:tcPr>
          <w:p w14:paraId="1789437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35</w:t>
            </w:r>
          </w:p>
        </w:tc>
        <w:tc>
          <w:tcPr>
            <w:tcW w:w="2268" w:type="dxa"/>
            <w:vAlign w:val="center"/>
          </w:tcPr>
          <w:p w14:paraId="69A36D9D">
            <w:pPr>
              <w:wordWrap w:val="0"/>
              <w:spacing w:line="360" w:lineRule="auto"/>
              <w:rPr>
                <w:rFonts w:hint="eastAsia" w:ascii="宋体" w:hAnsi="宋体" w:cs="宋体"/>
                <w:color w:val="auto"/>
                <w:szCs w:val="21"/>
                <w:highlight w:val="none"/>
              </w:rPr>
            </w:pPr>
            <w:bookmarkStart w:id="33" w:name="_39.1"/>
            <w:bookmarkEnd w:id="33"/>
            <w:r>
              <w:rPr>
                <w:rFonts w:hint="eastAsia" w:ascii="宋体" w:hAnsi="宋体" w:cs="宋体"/>
                <w:color w:val="auto"/>
                <w:szCs w:val="21"/>
                <w:highlight w:val="none"/>
              </w:rPr>
              <w:t>履约保证金金额</w:t>
            </w:r>
          </w:p>
        </w:tc>
        <w:tc>
          <w:tcPr>
            <w:tcW w:w="7297" w:type="dxa"/>
            <w:vAlign w:val="bottom"/>
          </w:tcPr>
          <w:p w14:paraId="0E4D19B8">
            <w:pPr>
              <w:wordWrap w:val="0"/>
              <w:autoSpaceDE w:val="0"/>
              <w:autoSpaceDN w:val="0"/>
              <w:snapToGrid w:val="0"/>
              <w:spacing w:line="360" w:lineRule="auto"/>
              <w:jc w:val="left"/>
              <w:textAlignment w:val="bottom"/>
              <w:rPr>
                <w:rFonts w:hint="eastAsia"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03A1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0B74F50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36.1</w:t>
            </w:r>
          </w:p>
        </w:tc>
        <w:tc>
          <w:tcPr>
            <w:tcW w:w="2268" w:type="dxa"/>
            <w:vAlign w:val="center"/>
          </w:tcPr>
          <w:p w14:paraId="27D55027">
            <w:pPr>
              <w:wordWrap w:val="0"/>
              <w:spacing w:line="360" w:lineRule="auto"/>
              <w:rPr>
                <w:rFonts w:hint="eastAsia" w:ascii="宋体" w:hAnsi="宋体" w:cs="宋体"/>
                <w:color w:val="auto"/>
                <w:szCs w:val="21"/>
                <w:highlight w:val="none"/>
              </w:rPr>
            </w:pPr>
            <w:bookmarkStart w:id="34" w:name="_40.1"/>
            <w:bookmarkEnd w:id="34"/>
            <w:r>
              <w:rPr>
                <w:rFonts w:hint="eastAsia" w:ascii="宋体" w:hAnsi="宋体" w:cs="宋体"/>
                <w:color w:val="auto"/>
                <w:szCs w:val="21"/>
                <w:highlight w:val="none"/>
              </w:rPr>
              <w:t>签订电子合同携带的材料</w:t>
            </w:r>
          </w:p>
        </w:tc>
        <w:tc>
          <w:tcPr>
            <w:tcW w:w="7297" w:type="dxa"/>
            <w:vAlign w:val="center"/>
          </w:tcPr>
          <w:p w14:paraId="632DBDA3">
            <w:pPr>
              <w:wordWrap w:val="0"/>
              <w:autoSpaceDE w:val="0"/>
              <w:autoSpaceDN w:val="0"/>
              <w:snapToGrid w:val="0"/>
              <w:spacing w:line="360" w:lineRule="auto"/>
              <w:textAlignment w:val="bottom"/>
              <w:rPr>
                <w:rFonts w:hint="eastAsia" w:ascii="宋体" w:hAnsi="宋体" w:cs="宋体"/>
                <w:color w:val="auto"/>
                <w:szCs w:val="21"/>
                <w:highlight w:val="none"/>
              </w:rPr>
            </w:pPr>
            <w:r>
              <w:rPr>
                <w:rFonts w:hint="eastAsia" w:ascii="宋体" w:hAnsi="宋体" w:cs="宋体"/>
                <w:color w:val="auto"/>
                <w:szCs w:val="21"/>
                <w:highlight w:val="none"/>
              </w:rPr>
              <w:t>电子采购合同需要供应商通过有效CA证书进行电子签署</w:t>
            </w:r>
          </w:p>
        </w:tc>
      </w:tr>
      <w:tr w14:paraId="5396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867" w:type="dxa"/>
            <w:vMerge w:val="restart"/>
            <w:vAlign w:val="center"/>
          </w:tcPr>
          <w:p w14:paraId="47180D0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38.2.1</w:t>
            </w:r>
          </w:p>
        </w:tc>
        <w:tc>
          <w:tcPr>
            <w:tcW w:w="2268" w:type="dxa"/>
            <w:vAlign w:val="center"/>
          </w:tcPr>
          <w:p w14:paraId="74B611B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w:t>
            </w:r>
          </w:p>
        </w:tc>
        <w:tc>
          <w:tcPr>
            <w:tcW w:w="7297" w:type="dxa"/>
            <w:vAlign w:val="center"/>
          </w:tcPr>
          <w:p w14:paraId="7C610435">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以书面形式</w:t>
            </w:r>
          </w:p>
        </w:tc>
      </w:tr>
      <w:tr w14:paraId="5B3A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vMerge w:val="continue"/>
            <w:vAlign w:val="center"/>
          </w:tcPr>
          <w:p w14:paraId="6C5DA86E">
            <w:pPr>
              <w:widowControl/>
              <w:wordWrap w:val="0"/>
              <w:spacing w:line="360" w:lineRule="auto"/>
              <w:jc w:val="left"/>
              <w:rPr>
                <w:rFonts w:hint="eastAsia" w:ascii="宋体" w:hAnsi="宋体" w:cs="宋体"/>
                <w:color w:val="auto"/>
                <w:szCs w:val="21"/>
                <w:highlight w:val="none"/>
              </w:rPr>
            </w:pPr>
          </w:p>
        </w:tc>
        <w:tc>
          <w:tcPr>
            <w:tcW w:w="2268" w:type="dxa"/>
            <w:vAlign w:val="center"/>
          </w:tcPr>
          <w:p w14:paraId="7BB5638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7297" w:type="dxa"/>
            <w:vAlign w:val="center"/>
          </w:tcPr>
          <w:p w14:paraId="5D242A98">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（1）</w:t>
            </w:r>
            <w:bookmarkStart w:id="35" w:name="PO_3000001866_PM031_3"/>
            <w:r>
              <w:rPr>
                <w:rFonts w:hint="eastAsia" w:ascii="宋体" w:hAnsi="宋体" w:cs="宋体"/>
                <w:color w:val="auto"/>
                <w:szCs w:val="21"/>
                <w:highlight w:val="none"/>
                <w:u w:val="single"/>
              </w:rPr>
              <w:t>广西邕政采购代理有限公司</w:t>
            </w:r>
            <w:bookmarkEnd w:id="35"/>
            <w:r>
              <w:rPr>
                <w:rFonts w:hint="eastAsia" w:ascii="宋体" w:hAnsi="宋体" w:cs="宋体"/>
                <w:color w:val="auto"/>
                <w:szCs w:val="21"/>
                <w:highlight w:val="none"/>
                <w:u w:val="single"/>
              </w:rPr>
              <w:t xml:space="preserve"> 部门；</w:t>
            </w:r>
          </w:p>
          <w:p w14:paraId="3D75C7A9">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联系电话：0771-2225338，</w:t>
            </w:r>
          </w:p>
          <w:p w14:paraId="4E757AA4">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通讯地址：南宁市青秀区民族大道180号（威壮大厦）22层2210～2217室 </w:t>
            </w:r>
          </w:p>
          <w:p w14:paraId="2BF69B44">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（2）</w:t>
            </w:r>
            <w:r>
              <w:rPr>
                <w:rFonts w:hint="eastAsia" w:ascii="宋体" w:hAnsi="宋体" w:cs="宋体"/>
                <w:color w:val="auto"/>
                <w:szCs w:val="21"/>
                <w:highlight w:val="none"/>
                <w:u w:val="single"/>
              </w:rPr>
              <w:t>南宁市社会保障卡管理办公室部门；</w:t>
            </w:r>
          </w:p>
          <w:p w14:paraId="253C3456">
            <w:pPr>
              <w:wordWrap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联系电话：0771-</w:t>
            </w:r>
            <w:r>
              <w:rPr>
                <w:rFonts w:hint="eastAsia" w:ascii="宋体" w:hAnsi="宋体" w:cs="宋体"/>
                <w:color w:val="auto"/>
                <w:szCs w:val="21"/>
                <w:highlight w:val="none"/>
                <w:u w:val="single"/>
                <w:lang w:val="en-US" w:eastAsia="zh-CN"/>
              </w:rPr>
              <w:t>5881530</w:t>
            </w:r>
          </w:p>
          <w:p w14:paraId="159A2726">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通讯地址：桂春路南二里4号</w:t>
            </w:r>
          </w:p>
        </w:tc>
      </w:tr>
      <w:tr w14:paraId="0EAF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vMerge w:val="continue"/>
            <w:vAlign w:val="center"/>
          </w:tcPr>
          <w:p w14:paraId="3656F2D8">
            <w:pPr>
              <w:widowControl/>
              <w:wordWrap w:val="0"/>
              <w:spacing w:line="360" w:lineRule="auto"/>
              <w:jc w:val="left"/>
              <w:rPr>
                <w:rFonts w:hint="eastAsia" w:ascii="宋体" w:hAnsi="宋体" w:cs="宋体"/>
                <w:color w:val="auto"/>
                <w:szCs w:val="21"/>
                <w:highlight w:val="none"/>
              </w:rPr>
            </w:pPr>
          </w:p>
        </w:tc>
        <w:tc>
          <w:tcPr>
            <w:tcW w:w="2268" w:type="dxa"/>
            <w:vAlign w:val="center"/>
          </w:tcPr>
          <w:p w14:paraId="0EA800B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现场提交质疑办理业务时间</w:t>
            </w:r>
          </w:p>
        </w:tc>
        <w:tc>
          <w:tcPr>
            <w:tcW w:w="7297" w:type="dxa"/>
            <w:vAlign w:val="center"/>
          </w:tcPr>
          <w:p w14:paraId="093023BD">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质疑期内每个工作日</w:t>
            </w:r>
            <w:r>
              <w:rPr>
                <w:rFonts w:hint="eastAsia" w:ascii="宋体" w:hAnsi="宋体" w:cs="宋体"/>
                <w:color w:val="auto"/>
                <w:szCs w:val="21"/>
                <w:highlight w:val="none"/>
                <w:u w:val="single"/>
              </w:rPr>
              <w:t xml:space="preserve"> 09 </w:t>
            </w:r>
            <w:r>
              <w:rPr>
                <w:rFonts w:hint="eastAsia" w:ascii="宋体" w:hAnsi="宋体" w:cs="宋体"/>
                <w:color w:val="auto"/>
                <w:szCs w:val="21"/>
                <w:highlight w:val="none"/>
              </w:rPr>
              <w:t>时</w:t>
            </w:r>
            <w:r>
              <w:rPr>
                <w:rFonts w:hint="eastAsia" w:ascii="宋体" w:hAnsi="宋体" w:cs="宋体"/>
                <w:color w:val="auto"/>
                <w:szCs w:val="21"/>
                <w:highlight w:val="none"/>
                <w:u w:val="single"/>
              </w:rPr>
              <w:t>00</w:t>
            </w:r>
            <w:r>
              <w:rPr>
                <w:rFonts w:hint="eastAsia" w:ascii="宋体" w:hAnsi="宋体" w:cs="宋体"/>
                <w:color w:val="auto"/>
                <w:szCs w:val="21"/>
                <w:highlight w:val="none"/>
              </w:rPr>
              <w:t>分到</w:t>
            </w:r>
            <w:r>
              <w:rPr>
                <w:rFonts w:hint="eastAsia" w:ascii="宋体" w:hAnsi="宋体" w:cs="宋体"/>
                <w:color w:val="auto"/>
                <w:szCs w:val="21"/>
                <w:highlight w:val="none"/>
                <w:u w:val="single"/>
              </w:rPr>
              <w:t xml:space="preserve"> 12  </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 00 </w:t>
            </w:r>
            <w:r>
              <w:rPr>
                <w:rFonts w:hint="eastAsia" w:ascii="宋体" w:hAnsi="宋体" w:cs="宋体"/>
                <w:color w:val="auto"/>
                <w:szCs w:val="21"/>
                <w:highlight w:val="none"/>
              </w:rPr>
              <w:t>分，</w:t>
            </w:r>
            <w:r>
              <w:rPr>
                <w:rFonts w:hint="eastAsia" w:ascii="宋体" w:hAnsi="宋体" w:cs="宋体"/>
                <w:color w:val="auto"/>
                <w:szCs w:val="21"/>
                <w:highlight w:val="none"/>
                <w:u w:val="single"/>
              </w:rPr>
              <w:t xml:space="preserve"> 15</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 00 </w:t>
            </w:r>
            <w:r>
              <w:rPr>
                <w:rFonts w:hint="eastAsia" w:ascii="宋体" w:hAnsi="宋体" w:cs="宋体"/>
                <w:color w:val="auto"/>
                <w:szCs w:val="21"/>
                <w:highlight w:val="none"/>
              </w:rPr>
              <w:t>分到</w:t>
            </w:r>
            <w:r>
              <w:rPr>
                <w:rFonts w:hint="eastAsia" w:ascii="宋体" w:hAnsi="宋体" w:cs="宋体"/>
                <w:color w:val="auto"/>
                <w:szCs w:val="21"/>
                <w:highlight w:val="none"/>
                <w:u w:val="single"/>
              </w:rPr>
              <w:t xml:space="preserve"> 18 </w:t>
            </w:r>
            <w:r>
              <w:rPr>
                <w:rFonts w:hint="eastAsia" w:ascii="宋体" w:hAnsi="宋体" w:cs="宋体"/>
                <w:color w:val="auto"/>
                <w:szCs w:val="21"/>
                <w:highlight w:val="none"/>
              </w:rPr>
              <w:t>时</w:t>
            </w:r>
            <w:r>
              <w:rPr>
                <w:rFonts w:hint="eastAsia" w:ascii="宋体" w:hAnsi="宋体" w:cs="宋体"/>
                <w:color w:val="auto"/>
                <w:szCs w:val="21"/>
                <w:highlight w:val="none"/>
                <w:u w:val="single"/>
              </w:rPr>
              <w:t xml:space="preserve">00 </w:t>
            </w:r>
            <w:r>
              <w:rPr>
                <w:rFonts w:hint="eastAsia" w:ascii="宋体" w:hAnsi="宋体" w:cs="宋体"/>
                <w:color w:val="auto"/>
                <w:szCs w:val="21"/>
                <w:highlight w:val="none"/>
              </w:rPr>
              <w:t>分</w:t>
            </w:r>
          </w:p>
        </w:tc>
      </w:tr>
      <w:tr w14:paraId="37EC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867" w:type="dxa"/>
            <w:vAlign w:val="center"/>
          </w:tcPr>
          <w:p w14:paraId="514DDB8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38.3.1</w:t>
            </w:r>
          </w:p>
        </w:tc>
        <w:tc>
          <w:tcPr>
            <w:tcW w:w="2268" w:type="dxa"/>
            <w:vAlign w:val="center"/>
          </w:tcPr>
          <w:p w14:paraId="1117965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投诉受理方式</w:t>
            </w:r>
          </w:p>
        </w:tc>
        <w:tc>
          <w:tcPr>
            <w:tcW w:w="7297" w:type="dxa"/>
            <w:vAlign w:val="center"/>
          </w:tcPr>
          <w:p w14:paraId="1AD9597B">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1.受理方式：纸质方式受理，投诉书正、副本（经过质疑的事项才可投诉）。</w:t>
            </w:r>
          </w:p>
          <w:p w14:paraId="73FC2202">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2.邮寄地址：</w:t>
            </w:r>
          </w:p>
          <w:p w14:paraId="3946F6F6">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名称：</w:t>
            </w:r>
            <w:bookmarkStart w:id="36" w:name="PO_3000001866_PM036"/>
            <w:r>
              <w:rPr>
                <w:rFonts w:hint="eastAsia" w:ascii="宋体" w:hAnsi="宋体" w:cs="宋体"/>
                <w:color w:val="auto"/>
                <w:szCs w:val="21"/>
                <w:highlight w:val="none"/>
              </w:rPr>
              <w:t>南宁市财政局政府采购监督管理科</w:t>
            </w:r>
            <w:bookmarkEnd w:id="36"/>
          </w:p>
          <w:p w14:paraId="7D533809">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地址：</w:t>
            </w:r>
            <w:bookmarkStart w:id="37" w:name="PO_3000001866_PM039"/>
            <w:r>
              <w:rPr>
                <w:rFonts w:hint="eastAsia" w:ascii="宋体" w:hAnsi="宋体" w:cs="宋体"/>
                <w:color w:val="auto"/>
                <w:szCs w:val="21"/>
                <w:highlight w:val="none"/>
              </w:rPr>
              <w:t xml:space="preserve">南宁市东葛路129号   </w:t>
            </w:r>
            <w:bookmarkEnd w:id="37"/>
          </w:p>
          <w:p w14:paraId="3CEF4263">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联系电话：</w:t>
            </w:r>
            <w:bookmarkStart w:id="38" w:name="PO_3000001866_PM038_1"/>
            <w:r>
              <w:rPr>
                <w:rFonts w:hint="eastAsia" w:ascii="宋体" w:hAnsi="宋体" w:cs="宋体"/>
                <w:color w:val="auto"/>
                <w:szCs w:val="21"/>
                <w:highlight w:val="none"/>
              </w:rPr>
              <w:t>0771-2189091</w:t>
            </w:r>
            <w:bookmarkEnd w:id="38"/>
          </w:p>
        </w:tc>
      </w:tr>
      <w:tr w14:paraId="738E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867" w:type="dxa"/>
            <w:vMerge w:val="restart"/>
            <w:vAlign w:val="center"/>
          </w:tcPr>
          <w:p w14:paraId="08878D5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40</w:t>
            </w:r>
          </w:p>
        </w:tc>
        <w:tc>
          <w:tcPr>
            <w:tcW w:w="2268" w:type="dxa"/>
            <w:vAlign w:val="center"/>
          </w:tcPr>
          <w:p w14:paraId="7F6F56C5">
            <w:pPr>
              <w:wordWrap w:val="0"/>
              <w:spacing w:line="360" w:lineRule="auto"/>
              <w:rPr>
                <w:rFonts w:hint="eastAsia" w:ascii="宋体" w:hAnsi="宋体" w:cs="宋体"/>
                <w:color w:val="auto"/>
                <w:szCs w:val="21"/>
                <w:highlight w:val="none"/>
              </w:rPr>
            </w:pPr>
            <w:bookmarkStart w:id="39" w:name="_41"/>
            <w:bookmarkEnd w:id="39"/>
            <w:bookmarkStart w:id="40" w:name="_42"/>
            <w:bookmarkEnd w:id="40"/>
            <w:r>
              <w:rPr>
                <w:rFonts w:hint="eastAsia" w:ascii="宋体" w:hAnsi="宋体" w:cs="宋体"/>
                <w:color w:val="auto"/>
                <w:szCs w:val="21"/>
                <w:highlight w:val="none"/>
              </w:rPr>
              <w:t>采购代理费支付方式</w:t>
            </w:r>
          </w:p>
        </w:tc>
        <w:tc>
          <w:tcPr>
            <w:tcW w:w="7297" w:type="dxa"/>
            <w:vAlign w:val="center"/>
          </w:tcPr>
          <w:p w14:paraId="0CE08F34">
            <w:pPr>
              <w:pStyle w:val="12"/>
              <w:wordWrap w:val="0"/>
              <w:snapToGrid w:val="0"/>
              <w:spacing w:line="360" w:lineRule="auto"/>
              <w:rPr>
                <w:rFonts w:hint="eastAsia" w:hAnsi="宋体" w:cs="宋体"/>
                <w:color w:val="auto"/>
                <w:szCs w:val="21"/>
                <w:highlight w:val="none"/>
              </w:rPr>
            </w:pPr>
            <w:r>
              <w:rPr>
                <w:rFonts w:ascii="Segoe UI Symbol" w:hAnsi="Segoe UI Symbol" w:cs="Segoe UI Symbol"/>
                <w:color w:val="auto"/>
                <w:szCs w:val="21"/>
                <w:highlight w:val="none"/>
              </w:rPr>
              <w:t>☑</w:t>
            </w:r>
            <w:r>
              <w:rPr>
                <w:rFonts w:hint="eastAsia" w:hAnsi="宋体" w:cs="宋体"/>
                <w:color w:val="auto"/>
                <w:szCs w:val="21"/>
                <w:highlight w:val="none"/>
              </w:rPr>
              <w:t>本项目代理服务费由</w:t>
            </w:r>
            <w:r>
              <w:rPr>
                <w:rFonts w:hint="eastAsia" w:hAnsi="宋体" w:cs="宋体"/>
                <w:color w:val="auto"/>
                <w:szCs w:val="21"/>
                <w:highlight w:val="none"/>
                <w:u w:val="single"/>
              </w:rPr>
              <w:t>中标供应商</w:t>
            </w:r>
            <w:r>
              <w:rPr>
                <w:rFonts w:hint="eastAsia" w:hAnsi="宋体" w:cs="宋体"/>
                <w:color w:val="auto"/>
                <w:szCs w:val="21"/>
                <w:highlight w:val="none"/>
              </w:rPr>
              <w:t>在领取中标通知书时，一次性向采购代理机构支付。</w:t>
            </w:r>
          </w:p>
          <w:p w14:paraId="503F59D1">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□采购人支付。</w:t>
            </w:r>
          </w:p>
          <w:p w14:paraId="7D80AE2E">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□本项目不收取代理服务费。</w:t>
            </w:r>
          </w:p>
        </w:tc>
      </w:tr>
      <w:tr w14:paraId="40DF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867" w:type="dxa"/>
            <w:vMerge w:val="continue"/>
            <w:vAlign w:val="center"/>
          </w:tcPr>
          <w:p w14:paraId="47EE5DF7">
            <w:pPr>
              <w:widowControl/>
              <w:wordWrap w:val="0"/>
              <w:spacing w:line="360" w:lineRule="auto"/>
              <w:jc w:val="left"/>
              <w:rPr>
                <w:rFonts w:hint="eastAsia" w:ascii="宋体" w:hAnsi="宋体" w:cs="宋体"/>
                <w:color w:val="auto"/>
                <w:szCs w:val="21"/>
                <w:highlight w:val="none"/>
              </w:rPr>
            </w:pPr>
          </w:p>
        </w:tc>
        <w:tc>
          <w:tcPr>
            <w:tcW w:w="2268" w:type="dxa"/>
            <w:vAlign w:val="center"/>
          </w:tcPr>
          <w:p w14:paraId="0FA20DD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采购代理</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费收取标准</w:t>
            </w:r>
          </w:p>
        </w:tc>
        <w:tc>
          <w:tcPr>
            <w:tcW w:w="7297" w:type="dxa"/>
            <w:vAlign w:val="center"/>
          </w:tcPr>
          <w:p w14:paraId="29F3A73C">
            <w:pPr>
              <w:pStyle w:val="12"/>
              <w:wordWrap w:val="0"/>
              <w:snapToGrid w:val="0"/>
              <w:spacing w:line="360" w:lineRule="auto"/>
              <w:rPr>
                <w:rFonts w:hint="eastAsia" w:hAnsi="宋体" w:cs="宋体"/>
                <w:color w:val="auto"/>
                <w:szCs w:val="21"/>
                <w:highlight w:val="none"/>
              </w:rPr>
            </w:pPr>
            <w:r>
              <w:rPr>
                <w:rFonts w:ascii="Segoe UI Symbol" w:hAnsi="Segoe UI Symbol" w:cs="Segoe UI Symbol"/>
                <w:color w:val="auto"/>
                <w:szCs w:val="21"/>
                <w:highlight w:val="none"/>
              </w:rPr>
              <w:t>☑</w:t>
            </w:r>
            <w:r>
              <w:rPr>
                <w:rFonts w:hint="eastAsia" w:hAnsi="宋体" w:cs="宋体"/>
                <w:color w:val="auto"/>
                <w:szCs w:val="21"/>
                <w:highlight w:val="none"/>
              </w:rPr>
              <w:t>以分标（☑中标金额/□采购预算/□暂定中标金额/□其他）为计费额，</w:t>
            </w:r>
            <w:r>
              <w:rPr>
                <w:rFonts w:hint="eastAsia" w:hAnsi="宋体" w:cs="宋体"/>
                <w:color w:val="auto"/>
                <w:szCs w:val="21"/>
                <w:highlight w:val="none"/>
                <w:lang w:val="en-US" w:eastAsia="zh-CN"/>
              </w:rPr>
              <w:t>参照</w:t>
            </w:r>
            <w:r>
              <w:rPr>
                <w:rFonts w:hint="eastAsia" w:hAnsi="宋体" w:cs="宋体"/>
                <w:color w:val="auto"/>
                <w:szCs w:val="21"/>
                <w:highlight w:val="none"/>
              </w:rPr>
              <w:t>国家计委（计价格[2002]1980号）规定的收费标准计取，</w:t>
            </w:r>
            <w:r>
              <w:rPr>
                <w:rFonts w:hint="eastAsia" w:ascii="宋体" w:hAnsi="宋体" w:cs="宋体"/>
                <w:color w:val="auto"/>
                <w:szCs w:val="21"/>
                <w:highlight w:val="none"/>
              </w:rPr>
              <w:t>采购代理</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费</w:t>
            </w:r>
            <w:r>
              <w:rPr>
                <w:rFonts w:hint="eastAsia" w:hAnsi="宋体" w:cs="宋体"/>
                <w:color w:val="auto"/>
                <w:szCs w:val="21"/>
                <w:highlight w:val="none"/>
              </w:rPr>
              <w:t>以（□收费基准价格/</w:t>
            </w:r>
            <w:r>
              <w:rPr>
                <w:rFonts w:hint="eastAsia" w:hAnsi="宋体" w:cs="宋体"/>
                <w:color w:val="auto"/>
                <w:szCs w:val="21"/>
                <w:highlight w:val="none"/>
                <w:lang w:eastAsia="zh-CN"/>
              </w:rPr>
              <w:t>☑</w:t>
            </w:r>
            <w:r>
              <w:rPr>
                <w:rFonts w:hint="eastAsia" w:hAnsi="宋体" w:cs="宋体"/>
                <w:color w:val="auto"/>
                <w:szCs w:val="21"/>
                <w:highlight w:val="none"/>
              </w:rPr>
              <w:t>收费基准价格下浮</w:t>
            </w:r>
            <w:r>
              <w:rPr>
                <w:rFonts w:hint="eastAsia" w:hAnsi="宋体" w:cs="宋体"/>
                <w:color w:val="auto"/>
                <w:szCs w:val="21"/>
                <w:highlight w:val="none"/>
                <w:u w:val="single"/>
              </w:rPr>
              <w:t xml:space="preserve"> 20 %</w:t>
            </w:r>
            <w:r>
              <w:rPr>
                <w:rFonts w:hint="eastAsia" w:hAnsi="宋体" w:cs="宋体"/>
                <w:color w:val="auto"/>
                <w:szCs w:val="21"/>
                <w:highlight w:val="none"/>
              </w:rPr>
              <w:t>/□收费基准价格上浮</w:t>
            </w:r>
            <w:r>
              <w:rPr>
                <w:rFonts w:hint="eastAsia" w:hAnsi="宋体" w:cs="宋体"/>
                <w:color w:val="auto"/>
                <w:szCs w:val="21"/>
                <w:highlight w:val="none"/>
                <w:u w:val="single"/>
              </w:rPr>
              <w:t xml:space="preserve">   %</w:t>
            </w:r>
            <w:r>
              <w:rPr>
                <w:rFonts w:hint="eastAsia" w:hAnsi="宋体" w:cs="宋体"/>
                <w:color w:val="auto"/>
                <w:szCs w:val="21"/>
                <w:highlight w:val="none"/>
              </w:rPr>
              <w:t>）收取。</w:t>
            </w:r>
          </w:p>
          <w:p w14:paraId="07B9EC5D">
            <w:pPr>
              <w:pStyle w:val="12"/>
              <w:wordWrap w:val="0"/>
              <w:snapToGrid w:val="0"/>
              <w:spacing w:line="360" w:lineRule="auto"/>
              <w:rPr>
                <w:rFonts w:hint="eastAsia" w:hAnsi="宋体" w:cs="宋体"/>
                <w:color w:val="auto"/>
                <w:szCs w:val="21"/>
                <w:highlight w:val="none"/>
                <w:u w:val="single"/>
              </w:rPr>
            </w:pPr>
            <w:r>
              <w:rPr>
                <w:rFonts w:hint="eastAsia" w:hAnsi="宋体" w:cs="宋体"/>
                <w:color w:val="auto"/>
                <w:szCs w:val="21"/>
                <w:highlight w:val="none"/>
              </w:rPr>
              <w:t>□</w:t>
            </w:r>
            <w:r>
              <w:rPr>
                <w:rFonts w:hint="eastAsia" w:hAnsi="宋体" w:cs="宋体"/>
                <w:b/>
                <w:bCs/>
                <w:color w:val="auto"/>
                <w:szCs w:val="21"/>
                <w:highlight w:val="none"/>
              </w:rPr>
              <w:t>固定采购代理</w:t>
            </w:r>
            <w:r>
              <w:rPr>
                <w:rFonts w:hint="eastAsia" w:hAnsi="宋体" w:cs="宋体"/>
                <w:b/>
                <w:bCs/>
                <w:color w:val="auto"/>
                <w:szCs w:val="21"/>
                <w:highlight w:val="none"/>
                <w:lang w:val="en-US" w:eastAsia="zh-CN"/>
              </w:rPr>
              <w:t>服务费</w:t>
            </w:r>
            <w:r>
              <w:rPr>
                <w:rFonts w:hint="eastAsia" w:hAnsi="宋体" w:cs="宋体"/>
                <w:b/>
                <w:bCs/>
                <w:color w:val="auto"/>
                <w:szCs w:val="21"/>
                <w:highlight w:val="none"/>
              </w:rPr>
              <w:t>收费</w:t>
            </w:r>
            <w:r>
              <w:rPr>
                <w:rFonts w:hint="eastAsia" w:hAnsi="宋体" w:cs="宋体"/>
                <w:b/>
                <w:bCs/>
                <w:color w:val="auto"/>
                <w:szCs w:val="21"/>
                <w:highlight w:val="none"/>
                <w:u w:val="single"/>
              </w:rPr>
              <w:t xml:space="preserve">  </w:t>
            </w:r>
            <w:r>
              <w:rPr>
                <w:rFonts w:hint="eastAsia" w:hAnsi="宋体" w:cs="宋体"/>
                <w:b/>
                <w:bCs/>
                <w:color w:val="auto"/>
                <w:szCs w:val="21"/>
                <w:highlight w:val="none"/>
                <w:u w:val="single"/>
                <w:lang w:val="en-US" w:eastAsia="zh-CN"/>
              </w:rPr>
              <w:t xml:space="preserve">   </w:t>
            </w:r>
            <w:r>
              <w:rPr>
                <w:rFonts w:hint="eastAsia" w:hAnsi="宋体" w:cs="宋体"/>
                <w:b/>
                <w:bCs/>
                <w:color w:val="auto"/>
                <w:szCs w:val="21"/>
                <w:highlight w:val="none"/>
                <w:u w:val="single"/>
              </w:rPr>
              <w:t>元。</w:t>
            </w:r>
          </w:p>
        </w:tc>
      </w:tr>
      <w:tr w14:paraId="69D5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867" w:type="dxa"/>
            <w:vMerge w:val="continue"/>
            <w:vAlign w:val="center"/>
          </w:tcPr>
          <w:p w14:paraId="4D786073">
            <w:pPr>
              <w:widowControl/>
              <w:wordWrap w:val="0"/>
              <w:spacing w:line="360" w:lineRule="auto"/>
              <w:jc w:val="left"/>
              <w:rPr>
                <w:rFonts w:hint="eastAsia" w:ascii="宋体" w:hAnsi="宋体" w:cs="宋体"/>
                <w:color w:val="auto"/>
                <w:szCs w:val="21"/>
                <w:highlight w:val="none"/>
              </w:rPr>
            </w:pPr>
          </w:p>
        </w:tc>
        <w:tc>
          <w:tcPr>
            <w:tcW w:w="2268" w:type="dxa"/>
            <w:vAlign w:val="center"/>
          </w:tcPr>
          <w:p w14:paraId="3B36491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代理服务费收款账户信息</w:t>
            </w:r>
          </w:p>
        </w:tc>
        <w:tc>
          <w:tcPr>
            <w:tcW w:w="7297" w:type="dxa"/>
            <w:vAlign w:val="center"/>
          </w:tcPr>
          <w:p w14:paraId="0FCF2DA1">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账户名称：广西邕政采购代理有限公司</w:t>
            </w:r>
          </w:p>
          <w:p w14:paraId="25F8A7D7">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开户银行：交通银行南宁东葛西支行</w:t>
            </w:r>
          </w:p>
          <w:p w14:paraId="36C27365">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 xml:space="preserve">银行账号：4510 6070 1018 1602 32818 </w:t>
            </w:r>
          </w:p>
          <w:p w14:paraId="50193C3E">
            <w:pPr>
              <w:pStyle w:val="12"/>
              <w:wordWrap w:val="0"/>
              <w:snapToGrid w:val="0"/>
              <w:spacing w:line="360" w:lineRule="auto"/>
              <w:rPr>
                <w:rFonts w:hint="eastAsia" w:hAnsi="宋体" w:cs="宋体"/>
                <w:color w:val="auto"/>
                <w:szCs w:val="21"/>
                <w:highlight w:val="none"/>
              </w:rPr>
            </w:pPr>
            <w:r>
              <w:rPr>
                <w:rFonts w:hint="eastAsia" w:hAnsi="宋体" w:cs="宋体"/>
                <w:color w:val="auto"/>
                <w:szCs w:val="21"/>
                <w:highlight w:val="none"/>
              </w:rPr>
              <w:t>开户行行号：301611000718</w:t>
            </w:r>
          </w:p>
        </w:tc>
      </w:tr>
      <w:tr w14:paraId="633B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F20A17C">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41.1</w:t>
            </w:r>
          </w:p>
        </w:tc>
        <w:tc>
          <w:tcPr>
            <w:tcW w:w="2268" w:type="dxa"/>
            <w:vAlign w:val="center"/>
          </w:tcPr>
          <w:p w14:paraId="4C59742D">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解释</w:t>
            </w:r>
          </w:p>
        </w:tc>
        <w:tc>
          <w:tcPr>
            <w:tcW w:w="7297" w:type="dxa"/>
            <w:vAlign w:val="center"/>
          </w:tcPr>
          <w:p w14:paraId="4B0D6E60">
            <w:pPr>
              <w:wordWrap w:val="0"/>
              <w:snapToGrid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解释权：</w:t>
            </w:r>
            <w:r>
              <w:rPr>
                <w:rFonts w:hint="eastAsia" w:ascii="宋体" w:hAnsi="宋体" w:cs="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cs="宋体"/>
                <w:b/>
                <w:color w:val="auto"/>
                <w:szCs w:val="21"/>
                <w:highlight w:val="none"/>
              </w:rPr>
              <w:t>，由采购人或者采购代理机构负责解释。</w:t>
            </w:r>
          </w:p>
          <w:p w14:paraId="3B560592">
            <w:pPr>
              <w:wordWrap w:val="0"/>
              <w:snapToGrid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法律责任：</w:t>
            </w:r>
          </w:p>
          <w:p w14:paraId="3DB53940">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本招标文件根据《中华人民共和国政府采购法》、《中华人民共和国民法典》；《中华人民共和国政府采购法实施条例》等有关法律、法规编制，参与本项目的各政府采购当事人依法享有上述法律法规所赋予的权利与义务。</w:t>
            </w:r>
          </w:p>
          <w:p w14:paraId="2CA5CBC0">
            <w:pPr>
              <w:wordWrap w:val="0"/>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688F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dxa"/>
            <w:vAlign w:val="center"/>
          </w:tcPr>
          <w:p w14:paraId="2E975CD3">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41.2</w:t>
            </w:r>
          </w:p>
        </w:tc>
        <w:tc>
          <w:tcPr>
            <w:tcW w:w="2268" w:type="dxa"/>
            <w:vAlign w:val="center"/>
          </w:tcPr>
          <w:p w14:paraId="11E155BD">
            <w:pPr>
              <w:wordWrap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其他释义</w:t>
            </w:r>
          </w:p>
        </w:tc>
        <w:tc>
          <w:tcPr>
            <w:tcW w:w="7297" w:type="dxa"/>
            <w:vAlign w:val="center"/>
          </w:tcPr>
          <w:p w14:paraId="29B9D4AF">
            <w:pPr>
              <w:pStyle w:val="12"/>
              <w:wordWrap w:val="0"/>
              <w:snapToGrid w:val="0"/>
              <w:spacing w:line="360" w:lineRule="auto"/>
              <w:ind w:firstLine="422"/>
              <w:rPr>
                <w:rFonts w:hint="eastAsia" w:hAnsi="宋体" w:cs="宋体"/>
                <w:b/>
                <w:bCs/>
                <w:color w:val="auto"/>
                <w:szCs w:val="21"/>
                <w:highlight w:val="none"/>
              </w:rPr>
            </w:pPr>
            <w:r>
              <w:rPr>
                <w:rFonts w:hint="eastAsia" w:hAnsi="宋体" w:cs="宋体"/>
                <w:b/>
                <w:bCs/>
                <w:color w:val="auto"/>
                <w:szCs w:val="21"/>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30597627">
            <w:pPr>
              <w:pStyle w:val="12"/>
              <w:wordWrap w:val="0"/>
              <w:snapToGrid w:val="0"/>
              <w:spacing w:line="360" w:lineRule="auto"/>
              <w:ind w:firstLine="422"/>
              <w:rPr>
                <w:rFonts w:hint="eastAsia" w:hAnsi="宋体" w:cs="宋体"/>
                <w:b/>
                <w:bCs/>
                <w:color w:val="auto"/>
                <w:szCs w:val="21"/>
                <w:highlight w:val="none"/>
              </w:rPr>
            </w:pPr>
            <w:r>
              <w:rPr>
                <w:rFonts w:hint="eastAsia" w:hAnsi="宋体" w:cs="宋体"/>
                <w:b/>
                <w:bCs/>
                <w:color w:val="auto"/>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044B6F11">
            <w:pPr>
              <w:pStyle w:val="12"/>
              <w:wordWrap w:val="0"/>
              <w:snapToGrid w:val="0"/>
              <w:spacing w:line="360" w:lineRule="auto"/>
              <w:ind w:firstLine="422"/>
              <w:rPr>
                <w:rFonts w:hint="eastAsia" w:hAnsi="宋体" w:cs="宋体"/>
                <w:b/>
                <w:bCs/>
                <w:color w:val="auto"/>
                <w:szCs w:val="21"/>
                <w:highlight w:val="none"/>
              </w:rPr>
            </w:pPr>
            <w:r>
              <w:rPr>
                <w:rFonts w:hint="eastAsia" w:hAnsi="宋体" w:cs="宋体"/>
                <w:b/>
                <w:bCs/>
                <w:color w:val="auto"/>
                <w:szCs w:val="21"/>
                <w:highlight w:val="none"/>
              </w:rPr>
              <w:t>3.本招标文件中描述投标人的“签字”是指投标人的法定代表人或者委托代理人亲自在文件规定签署处亲笔写上个人的名字的行为，私章、签字章、印鉴、影印等其他形式均不能代替亲笔签字。</w:t>
            </w:r>
          </w:p>
          <w:p w14:paraId="779D2576">
            <w:pPr>
              <w:pStyle w:val="12"/>
              <w:wordWrap w:val="0"/>
              <w:snapToGrid w:val="0"/>
              <w:spacing w:line="360" w:lineRule="auto"/>
              <w:ind w:firstLine="422"/>
              <w:rPr>
                <w:rFonts w:hint="eastAsia" w:hAnsi="宋体" w:cs="宋体"/>
                <w:b/>
                <w:bCs/>
                <w:color w:val="auto"/>
                <w:szCs w:val="21"/>
                <w:highlight w:val="none"/>
              </w:rPr>
            </w:pPr>
            <w:r>
              <w:rPr>
                <w:rFonts w:hint="eastAsia" w:hAnsi="宋体" w:cs="宋体"/>
                <w:b/>
                <w:bCs/>
                <w:color w:val="auto"/>
                <w:szCs w:val="21"/>
                <w:highlight w:val="none"/>
              </w:rPr>
              <w:t>4.自然人投标的，招标文件规定盖公章处由自然人摁手指指印。</w:t>
            </w:r>
          </w:p>
          <w:p w14:paraId="742298B5">
            <w:pPr>
              <w:wordWrap w:val="0"/>
              <w:spacing w:line="360" w:lineRule="auto"/>
              <w:ind w:firstLine="422"/>
              <w:jc w:val="left"/>
              <w:rPr>
                <w:rFonts w:hint="eastAsia" w:ascii="宋体" w:hAnsi="宋体" w:cs="宋体"/>
                <w:color w:val="auto"/>
                <w:szCs w:val="21"/>
                <w:highlight w:val="none"/>
              </w:rPr>
            </w:pPr>
            <w:r>
              <w:rPr>
                <w:rFonts w:hint="eastAsia" w:ascii="宋体" w:hAnsi="宋体" w:cs="宋体"/>
                <w:b/>
                <w:bCs/>
                <w:color w:val="auto"/>
                <w:szCs w:val="21"/>
                <w:highlight w:val="none"/>
              </w:rPr>
              <w:t>5.本招标文件所称的“以上”“以下”“以内”“届满”，包括本数；所称的“不满”“超过”“以外”，不包括本数。</w:t>
            </w:r>
          </w:p>
        </w:tc>
      </w:tr>
    </w:tbl>
    <w:p w14:paraId="082D3FC1">
      <w:pPr>
        <w:widowControl/>
        <w:wordWrap w:val="0"/>
        <w:spacing w:line="360" w:lineRule="auto"/>
        <w:ind w:firstLine="643"/>
        <w:jc w:val="left"/>
        <w:rPr>
          <w:rFonts w:hint="eastAsia" w:ascii="宋体" w:hAnsi="宋体" w:cs="宋体"/>
          <w:b/>
          <w:bCs/>
          <w:color w:val="auto"/>
          <w:sz w:val="32"/>
          <w:szCs w:val="32"/>
          <w:highlight w:val="none"/>
        </w:rPr>
        <w:sectPr>
          <w:footerReference r:id="rId6" w:type="default"/>
          <w:pgSz w:w="11906" w:h="16838"/>
          <w:pgMar w:top="1440" w:right="1080" w:bottom="1440" w:left="1080" w:header="720" w:footer="720" w:gutter="0"/>
          <w:cols w:space="720" w:num="1"/>
          <w:docGrid w:type="lines" w:linePitch="331" w:charSpace="0"/>
        </w:sectPr>
      </w:pPr>
    </w:p>
    <w:p w14:paraId="1EF7C8D1">
      <w:pPr>
        <w:wordWrap w:val="0"/>
        <w:spacing w:line="360" w:lineRule="auto"/>
        <w:rPr>
          <w:rFonts w:hint="eastAsia" w:ascii="宋体" w:hAnsi="宋体" w:cs="宋体"/>
          <w:color w:val="auto"/>
          <w:highlight w:val="none"/>
        </w:rPr>
      </w:pPr>
    </w:p>
    <w:p w14:paraId="01E829C4">
      <w:pPr>
        <w:pStyle w:val="3"/>
        <w:wordWrap w:val="0"/>
        <w:spacing w:before="0" w:after="0" w:line="360" w:lineRule="auto"/>
        <w:ind w:firstLine="643"/>
        <w:jc w:val="center"/>
        <w:rPr>
          <w:rFonts w:hint="eastAsia" w:ascii="宋体" w:hAnsi="宋体" w:eastAsia="宋体" w:cs="宋体"/>
          <w:color w:val="auto"/>
          <w:highlight w:val="none"/>
        </w:rPr>
      </w:pPr>
      <w:bookmarkStart w:id="41" w:name="_Toc9747"/>
      <w:r>
        <w:rPr>
          <w:rFonts w:hint="eastAsia" w:ascii="宋体" w:hAnsi="宋体" w:eastAsia="宋体" w:cs="宋体"/>
          <w:color w:val="auto"/>
          <w:highlight w:val="none"/>
        </w:rPr>
        <w:t>第二节 投标人须知正文</w:t>
      </w:r>
      <w:bookmarkEnd w:id="41"/>
    </w:p>
    <w:p w14:paraId="67AB5225">
      <w:pPr>
        <w:pStyle w:val="4"/>
        <w:keepNext w:val="0"/>
        <w:keepLines w:val="0"/>
        <w:wordWrap w:val="0"/>
        <w:spacing w:line="360" w:lineRule="auto"/>
        <w:jc w:val="center"/>
        <w:rPr>
          <w:rFonts w:hint="eastAsia" w:ascii="宋体" w:hAnsi="宋体" w:cs="宋体"/>
          <w:color w:val="auto"/>
          <w:highlight w:val="none"/>
        </w:rPr>
      </w:pPr>
      <w:bookmarkStart w:id="42" w:name="_Toc6643"/>
      <w:r>
        <w:rPr>
          <w:rFonts w:hint="eastAsia" w:ascii="宋体" w:hAnsi="宋体" w:cs="宋体"/>
          <w:color w:val="auto"/>
          <w:highlight w:val="none"/>
        </w:rPr>
        <w:t>一、总  则</w:t>
      </w:r>
      <w:bookmarkEnd w:id="42"/>
    </w:p>
    <w:p w14:paraId="56239E5D">
      <w:pPr>
        <w:wordWrap w:val="0"/>
        <w:spacing w:line="360" w:lineRule="auto"/>
        <w:ind w:firstLine="480" w:firstLineChars="200"/>
        <w:rPr>
          <w:rFonts w:hint="eastAsia" w:ascii="宋体" w:hAnsi="宋体" w:cs="宋体"/>
          <w:color w:val="auto"/>
          <w:sz w:val="24"/>
          <w:highlight w:val="none"/>
        </w:rPr>
      </w:pPr>
      <w:bookmarkStart w:id="43" w:name="_Toc254970527"/>
      <w:bookmarkStart w:id="44" w:name="_Toc254970668"/>
      <w:r>
        <w:rPr>
          <w:rFonts w:hint="eastAsia" w:ascii="宋体" w:hAnsi="宋体" w:cs="宋体"/>
          <w:color w:val="auto"/>
          <w:sz w:val="24"/>
          <w:highlight w:val="none"/>
        </w:rPr>
        <w:t>1.适用范围</w:t>
      </w:r>
      <w:bookmarkEnd w:id="43"/>
      <w:bookmarkEnd w:id="44"/>
    </w:p>
    <w:p w14:paraId="6C44107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312A717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1755DEC6">
      <w:pPr>
        <w:wordWrap w:val="0"/>
        <w:spacing w:line="360" w:lineRule="auto"/>
        <w:ind w:firstLine="480" w:firstLineChars="200"/>
        <w:rPr>
          <w:rFonts w:hint="eastAsia" w:ascii="宋体" w:hAnsi="宋体" w:cs="宋体"/>
          <w:color w:val="auto"/>
          <w:sz w:val="24"/>
          <w:highlight w:val="none"/>
        </w:rPr>
      </w:pPr>
      <w:bookmarkStart w:id="45" w:name="_Toc254970669"/>
      <w:bookmarkStart w:id="46" w:name="_Toc254970528"/>
      <w:r>
        <w:rPr>
          <w:rFonts w:hint="eastAsia" w:ascii="宋体" w:hAnsi="宋体" w:cs="宋体"/>
          <w:color w:val="auto"/>
          <w:sz w:val="24"/>
          <w:highlight w:val="none"/>
        </w:rPr>
        <w:t>2.定义</w:t>
      </w:r>
      <w:bookmarkEnd w:id="45"/>
      <w:bookmarkEnd w:id="46"/>
    </w:p>
    <w:p w14:paraId="2B75008A">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2.1“采购人”是指依法进行政府采购的国家机关、事业单位、团体组织。</w:t>
      </w:r>
    </w:p>
    <w:p w14:paraId="1F03D0C5">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2.2“采购代理机构” 指政府采购集中采购机构和集中采购机构以外的采购代理机构。</w:t>
      </w:r>
    </w:p>
    <w:p w14:paraId="026F29FF">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2.3“供应商”是指向采购人提供货物、工程或者服务的法人、其他组织或者自然人。</w:t>
      </w:r>
    </w:p>
    <w:p w14:paraId="3519BF9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2.4“投标人”是指响应招标、参加投标竞争的法人、非法人组织或者自然人。</w:t>
      </w:r>
    </w:p>
    <w:p w14:paraId="5D08B623">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2.5“服务”是指除货物和工程以外的其他政府采购对象。</w:t>
      </w:r>
    </w:p>
    <w:p w14:paraId="701DFF70">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2.6“书面形式”是指合同书、信件和数据电文（包括电报、电传、传真、短信、电子数据交换和电子邮件）等可以有形地表现所载内容的形式。</w:t>
      </w:r>
    </w:p>
    <w:p w14:paraId="071143C3">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2.7“实质性要求”是指招标文件中已经指明不满足则投标无效的条款，或者不能负偏离的条款，或者采购需求中带“</w:t>
      </w:r>
      <w:r>
        <w:rPr>
          <w:rFonts w:hint="eastAsia" w:ascii="宋体" w:hAnsi="宋体" w:cs="宋体"/>
          <w:b/>
          <w:bCs/>
          <w:color w:val="auto"/>
          <w:szCs w:val="21"/>
          <w:highlight w:val="none"/>
        </w:rPr>
        <w:t>▲</w:t>
      </w:r>
      <w:r>
        <w:rPr>
          <w:rFonts w:hint="eastAsia" w:ascii="宋体" w:hAnsi="宋体" w:cs="宋体"/>
          <w:b/>
          <w:color w:val="auto"/>
          <w:szCs w:val="21"/>
          <w:highlight w:val="none"/>
        </w:rPr>
        <w:t>”的条款。</w:t>
      </w:r>
    </w:p>
    <w:p w14:paraId="3A46036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2.8“正偏离”，是指投标文件对招标文件“采购需求”中有关条款作出的响应优于条款要求并有利于采购人的情形。</w:t>
      </w:r>
    </w:p>
    <w:p w14:paraId="14A1F6F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2.9“负偏离”，是指投标文件对招标文件“采购需求”中有关条款作出的响应不满足条款要求，导致采购人要求不能得到满足的情形。</w:t>
      </w:r>
    </w:p>
    <w:p w14:paraId="2C69C66B">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bookmarkStart w:id="47" w:name="_Toc254970670"/>
      <w:bookmarkStart w:id="48" w:name="_Toc254970529"/>
    </w:p>
    <w:p w14:paraId="5F74E45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bookmarkEnd w:id="47"/>
      <w:bookmarkEnd w:id="48"/>
      <w:r>
        <w:rPr>
          <w:rFonts w:hint="eastAsia" w:ascii="宋体" w:hAnsi="宋体" w:cs="宋体"/>
          <w:color w:val="auto"/>
          <w:sz w:val="24"/>
          <w:highlight w:val="none"/>
        </w:rPr>
        <w:t>投标人的资格要求</w:t>
      </w:r>
    </w:p>
    <w:p w14:paraId="7CC70C5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投标人的资格要求详见“招标公告”。</w:t>
      </w:r>
    </w:p>
    <w:p w14:paraId="6514BA90">
      <w:pPr>
        <w:wordWrap w:val="0"/>
        <w:spacing w:line="360" w:lineRule="auto"/>
        <w:ind w:firstLine="480" w:firstLineChars="200"/>
        <w:rPr>
          <w:rFonts w:hint="eastAsia" w:ascii="宋体" w:hAnsi="宋体" w:cs="宋体"/>
          <w:color w:val="auto"/>
          <w:sz w:val="24"/>
          <w:highlight w:val="none"/>
        </w:rPr>
      </w:pPr>
      <w:bookmarkStart w:id="49" w:name="_Toc254970671"/>
      <w:bookmarkStart w:id="50" w:name="_Toc254970530"/>
      <w:r>
        <w:rPr>
          <w:rFonts w:hint="eastAsia" w:ascii="宋体" w:hAnsi="宋体" w:cs="宋体"/>
          <w:color w:val="auto"/>
          <w:sz w:val="24"/>
          <w:highlight w:val="none"/>
        </w:rPr>
        <w:t>4.投标委托</w:t>
      </w:r>
      <w:bookmarkEnd w:id="49"/>
      <w:bookmarkEnd w:id="50"/>
    </w:p>
    <w:p w14:paraId="636E0B9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28ECD1FC">
      <w:pPr>
        <w:wordWrap w:val="0"/>
        <w:spacing w:line="360" w:lineRule="auto"/>
        <w:ind w:firstLine="480" w:firstLineChars="200"/>
        <w:rPr>
          <w:rFonts w:hint="eastAsia" w:ascii="宋体" w:hAnsi="宋体" w:cs="宋体"/>
          <w:color w:val="auto"/>
          <w:sz w:val="24"/>
          <w:highlight w:val="none"/>
        </w:rPr>
      </w:pPr>
      <w:bookmarkStart w:id="51" w:name="_5.投标费用"/>
      <w:bookmarkEnd w:id="51"/>
      <w:bookmarkStart w:id="52" w:name="_Toc254970672"/>
      <w:bookmarkStart w:id="53" w:name="_Toc254970531"/>
      <w:r>
        <w:rPr>
          <w:rFonts w:hint="eastAsia" w:ascii="宋体" w:hAnsi="宋体" w:cs="宋体"/>
          <w:color w:val="auto"/>
          <w:sz w:val="24"/>
          <w:highlight w:val="none"/>
        </w:rPr>
        <w:t>5.投标费用</w:t>
      </w:r>
      <w:bookmarkEnd w:id="52"/>
      <w:bookmarkEnd w:id="53"/>
    </w:p>
    <w:p w14:paraId="475709F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142BCF5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6.联合体投标</w:t>
      </w:r>
    </w:p>
    <w:p w14:paraId="57AADE5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6.1本项目是否接受联合体投标，详见“投标人须知前附表”。</w:t>
      </w:r>
    </w:p>
    <w:p w14:paraId="73B180AB">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6.2如接受联合体投标，联合体投标要求详见“投标人须知前附表”。</w:t>
      </w:r>
    </w:p>
    <w:p w14:paraId="0C3903D4">
      <w:pPr>
        <w:wordWrap w:val="0"/>
        <w:spacing w:line="360" w:lineRule="auto"/>
        <w:ind w:firstLine="420" w:firstLineChars="200"/>
        <w:rPr>
          <w:rFonts w:hint="eastAsia" w:ascii="宋体" w:hAnsi="宋体" w:cs="宋体"/>
          <w:bCs/>
          <w:color w:val="auto"/>
          <w:sz w:val="24"/>
          <w:szCs w:val="21"/>
          <w:highlight w:val="none"/>
          <w:shd w:val="clear" w:color="auto" w:fill="FFFFFF"/>
        </w:rPr>
      </w:pPr>
      <w:r>
        <w:rPr>
          <w:rFonts w:hint="eastAsia" w:ascii="宋体" w:hAnsi="宋体" w:cs="宋体"/>
          <w:bCs/>
          <w:color w:val="auto"/>
          <w:szCs w:val="21"/>
          <w:highlight w:val="none"/>
        </w:rPr>
        <w:t>6.3根据《政府采购促进中小企业发展管理办法》（财库[2020]46号）第九条、《广西壮族自治区财政厅关于持续优化政府采购营商环境推动高质量发展的通知》（桂财采〔2024〕55号）及《广西壮族自治区财政厅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418423A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7.转包与分包             </w:t>
      </w:r>
    </w:p>
    <w:p w14:paraId="674C2F1A">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05548BA0">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7.2根据《政府采购促进中小企业发展管理办法》（财库[2020]46号）第九条及《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7B3D4A7A">
      <w:pPr>
        <w:wordWrap w:val="0"/>
        <w:spacing w:line="360" w:lineRule="auto"/>
        <w:ind w:firstLine="480" w:firstLineChars="200"/>
        <w:rPr>
          <w:rFonts w:hint="eastAsia" w:ascii="宋体" w:hAnsi="宋体" w:cs="宋体"/>
          <w:color w:val="auto"/>
          <w:sz w:val="24"/>
          <w:highlight w:val="none"/>
        </w:rPr>
      </w:pPr>
      <w:bookmarkStart w:id="54" w:name="_Toc254970532"/>
      <w:bookmarkStart w:id="55" w:name="_Toc254970673"/>
      <w:r>
        <w:rPr>
          <w:rFonts w:hint="eastAsia" w:ascii="宋体" w:hAnsi="宋体" w:cs="宋体"/>
          <w:color w:val="auto"/>
          <w:sz w:val="24"/>
          <w:highlight w:val="none"/>
        </w:rPr>
        <w:t>8.特别说明：</w:t>
      </w:r>
      <w:bookmarkEnd w:id="54"/>
      <w:bookmarkEnd w:id="55"/>
      <w:bookmarkStart w:id="56" w:name="_8.1提供相同品牌产品且通过资格审查、符合性审查的不同投标人参加同一合"/>
      <w:bookmarkEnd w:id="56"/>
    </w:p>
    <w:p w14:paraId="776F3172">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8.1如果本招标文件要求投标人提供资格、信誉、荣誉、业绩与企业认证等材料的，则投标人所提供的以上材料必须为投标人所拥有。</w:t>
      </w:r>
    </w:p>
    <w:p w14:paraId="54DB9826">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8.2投标人应仔细阅读招标文件的所有内容，按照招标文件的要求提交投标文件，并对所提供的全部资料的真实性承担法律责任。</w:t>
      </w:r>
    </w:p>
    <w:p w14:paraId="5C1CC8EA">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8.3投标人在投标活动中提供任何虚假材料，将报监管部门查处；中标后发现的，中标供应商须依照《中华人民共和国消费者权益保护法》规定赔偿采购人，且民事赔偿并不免除违法投标人的行政与刑事责任。</w:t>
      </w:r>
    </w:p>
    <w:p w14:paraId="5C43FF8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9.回避与串通投标</w:t>
      </w:r>
    </w:p>
    <w:p w14:paraId="2CBE4EBD">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9.1在政府采购活动中，采购人员及相关人员与供应商有下列利害关系之一的，应当回避：</w:t>
      </w:r>
    </w:p>
    <w:p w14:paraId="5DDB52DD">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（1）参加采购活动前3年内与供应商存在劳动关系；</w:t>
      </w:r>
    </w:p>
    <w:p w14:paraId="0370872F">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（2）参加采购活动前3年内担任供应商的董事、监事；</w:t>
      </w:r>
    </w:p>
    <w:p w14:paraId="34FCF162">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（3）参加采购活动前3年内是供应商的控股股东或者实际控制人；</w:t>
      </w:r>
    </w:p>
    <w:p w14:paraId="2B401383">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（4）与供应商的法定代表人或者负责人有夫妻、直系血亲、三代以内旁系血亲或者近姻亲关系；</w:t>
      </w:r>
    </w:p>
    <w:p w14:paraId="2C47A1E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（5）与供应商有其他可能影响政府采购活动公平、公正进行的关系。</w:t>
      </w:r>
    </w:p>
    <w:p w14:paraId="3F9C579E">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C74402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9.2有下列情形之一的视为投标人相互串通投标，投标文件将被视为无效：</w:t>
      </w:r>
    </w:p>
    <w:p w14:paraId="5C5DD062">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（1）不同投标人的投标文件由同一单位或者个人编制；或者不同投标人报名的IP地址一致的；或者不同投标人报名的IP地址一致的；或者编制标书硬件设备CPU编号、硬盘编号、网卡地址一致的情况。</w:t>
      </w:r>
    </w:p>
    <w:p w14:paraId="33694090">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（2）不同投标人委托同一单位或者个人办理投标事宜；</w:t>
      </w:r>
    </w:p>
    <w:p w14:paraId="445C357D">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（3）不同的投标人的投标文件载明的项目管理员为同一个人；</w:t>
      </w:r>
    </w:p>
    <w:p w14:paraId="6B6D48D9">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（4）不同投标人的电子或纸质投标文件异常一致或者投标报价呈规律性差异；</w:t>
      </w:r>
    </w:p>
    <w:p w14:paraId="7A213551">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（5）不同投标人的纸质投标文件相互混装；</w:t>
      </w:r>
    </w:p>
    <w:p w14:paraId="3EF96150">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9.3供应商有下列情形之一的，属于恶意串通行为，将报同级监督管理部门：</w:t>
      </w:r>
    </w:p>
    <w:p w14:paraId="412A094C">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（1）供应商直接或者间接从采购人或者采购代理机构处获得其他供应商的相关信息并修改其投标文件或者投标文件；</w:t>
      </w:r>
    </w:p>
    <w:p w14:paraId="36652A0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（2）供应商按照采购人或者采购代理机构的授意撤换、修改投标文件或者投标文件；</w:t>
      </w:r>
    </w:p>
    <w:p w14:paraId="07C9F650">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（3）供应商之间协商报价、技术方案等投标文件或者投标文件的实质性内容；</w:t>
      </w:r>
    </w:p>
    <w:p w14:paraId="64F938E6">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（4）属于同一集团、协会、商会等组织成员的供应商按照该组织要求协同参加政府采购活动；</w:t>
      </w:r>
    </w:p>
    <w:p w14:paraId="0B39A4D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（5）供应商之间事先约定一致抬高或者压低投标报价，或者在招标项目中事先约定轮流以高价位或者低价位中标，或者事先约定由某一特定供应商中标，然后再参加投标；</w:t>
      </w:r>
    </w:p>
    <w:p w14:paraId="68D6F09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（6）供应商之间商定部分供应商放弃参加政府采购活动或者放弃中标；</w:t>
      </w:r>
    </w:p>
    <w:p w14:paraId="7AF46FE1">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（7）供应商与采购人或者采购代理机构之间、供应商相互之间，为谋求特定供应商中标或者排斥其他供应商的其他串通行为。</w:t>
      </w:r>
    </w:p>
    <w:p w14:paraId="78EF215B">
      <w:pPr>
        <w:pStyle w:val="12"/>
        <w:wordWrap w:val="0"/>
        <w:snapToGrid w:val="0"/>
        <w:spacing w:line="360" w:lineRule="auto"/>
        <w:ind w:left="2" w:leftChars="1" w:firstLine="422" w:firstLineChars="200"/>
        <w:rPr>
          <w:rFonts w:hint="eastAsia" w:hAnsi="宋体" w:cs="宋体"/>
          <w:b/>
          <w:color w:val="auto"/>
          <w:highlight w:val="none"/>
        </w:rPr>
      </w:pPr>
    </w:p>
    <w:p w14:paraId="4AC9FE76">
      <w:pPr>
        <w:pStyle w:val="4"/>
        <w:keepNext w:val="0"/>
        <w:keepLines w:val="0"/>
        <w:wordWrap w:val="0"/>
        <w:spacing w:line="360" w:lineRule="auto"/>
        <w:jc w:val="center"/>
        <w:rPr>
          <w:rFonts w:hint="eastAsia" w:ascii="宋体" w:hAnsi="宋体" w:cs="宋体"/>
          <w:color w:val="auto"/>
          <w:highlight w:val="none"/>
        </w:rPr>
      </w:pPr>
      <w:bookmarkStart w:id="57" w:name="_Toc254970534"/>
      <w:bookmarkStart w:id="58" w:name="_Toc16294"/>
      <w:bookmarkStart w:id="59" w:name="_Toc254970675"/>
      <w:r>
        <w:rPr>
          <w:rFonts w:hint="eastAsia" w:ascii="宋体" w:hAnsi="宋体" w:cs="宋体"/>
          <w:color w:val="auto"/>
          <w:highlight w:val="none"/>
        </w:rPr>
        <w:t>二、招标文件</w:t>
      </w:r>
      <w:bookmarkEnd w:id="57"/>
      <w:bookmarkEnd w:id="58"/>
      <w:bookmarkEnd w:id="59"/>
    </w:p>
    <w:p w14:paraId="0D69AC3C">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10.招标文件的组成</w:t>
      </w:r>
    </w:p>
    <w:p w14:paraId="0BA5C55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第一章 招标公告；</w:t>
      </w:r>
    </w:p>
    <w:p w14:paraId="7586B18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第二章 采购需求； </w:t>
      </w:r>
    </w:p>
    <w:p w14:paraId="6C65E92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第三章 投标人须知；</w:t>
      </w:r>
    </w:p>
    <w:p w14:paraId="49F90D9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第四章 评标方法及评标标准；</w:t>
      </w:r>
    </w:p>
    <w:p w14:paraId="27564D26">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第五章 拟签订的合同文本；</w:t>
      </w:r>
    </w:p>
    <w:p w14:paraId="4E0D0BD0">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第六章 投标文件格式；</w:t>
      </w:r>
    </w:p>
    <w:p w14:paraId="1012411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第七章 质疑、投诉材料格式</w:t>
      </w:r>
    </w:p>
    <w:p w14:paraId="4DC2CEC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根据本章第11.1项的规定对公开招标文件所做的澄清、修改，构成招标文件的组成部分。当公开招标文件与招标文件的澄清和修改就同一内容的表述不一致时，以最后澄清或修改公告为准。</w:t>
      </w:r>
    </w:p>
    <w:p w14:paraId="231DC18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11.招标文件的澄清、修改 、现场考察和答疑会</w:t>
      </w:r>
    </w:p>
    <w:p w14:paraId="3797192F">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792FC68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11.2 投标人应认真审阅本公开招标文件，如有疑问，或发现其中有误或有要求不合理的，应在投标人须知前附表规定的</w:t>
      </w:r>
      <w:r>
        <w:rPr>
          <w:rFonts w:hint="eastAsia" w:ascii="宋体" w:hAnsi="宋体" w:cs="宋体"/>
          <w:color w:val="auto"/>
          <w:kern w:val="0"/>
          <w:szCs w:val="21"/>
          <w:highlight w:val="none"/>
        </w:rPr>
        <w:t>投标截止时间</w:t>
      </w:r>
      <w:r>
        <w:rPr>
          <w:rFonts w:hint="eastAsia" w:ascii="宋体" w:hAnsi="宋体" w:cs="宋体"/>
          <w:color w:val="auto"/>
          <w:highlight w:val="none"/>
        </w:rPr>
        <w:t>前以书面形式要求采购人或采购代理机构对招标文件予以澄清；否则，由此产生的后果由投标人自行负责。</w:t>
      </w:r>
    </w:p>
    <w:p w14:paraId="537D1704">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auto"/>
          <w:szCs w:val="21"/>
          <w:highlight w:val="none"/>
        </w:rPr>
        <w:t>投标人须知前附表”</w:t>
      </w:r>
      <w:r>
        <w:rPr>
          <w:rFonts w:hint="eastAsia" w:ascii="宋体" w:hAnsi="宋体" w:cs="宋体"/>
          <w:color w:val="auto"/>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5C7FC29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11.4 采购人和采购代理机构可以视采购具体情况，变更投标截止时间和开标时间，将变更时间将在“</w:t>
      </w:r>
      <w:r>
        <w:rPr>
          <w:rFonts w:hint="eastAsia" w:ascii="宋体" w:hAnsi="宋体" w:cs="宋体"/>
          <w:color w:val="auto"/>
          <w:szCs w:val="21"/>
          <w:highlight w:val="none"/>
        </w:rPr>
        <w:t>投标人须知前附表”</w:t>
      </w:r>
      <w:r>
        <w:rPr>
          <w:rFonts w:hint="eastAsia" w:ascii="宋体" w:hAnsi="宋体" w:cs="宋体"/>
          <w:color w:val="auto"/>
          <w:kern w:val="0"/>
          <w:szCs w:val="21"/>
          <w:highlight w:val="none"/>
        </w:rPr>
        <w:t>规定的政府采购信息发布媒体上</w:t>
      </w:r>
      <w:r>
        <w:rPr>
          <w:rFonts w:hint="eastAsia" w:ascii="宋体" w:hAnsi="宋体" w:cs="宋体"/>
          <w:color w:val="auto"/>
          <w:highlight w:val="none"/>
        </w:rPr>
        <w:t>发布更正公告。</w:t>
      </w:r>
    </w:p>
    <w:p w14:paraId="2ADBD1A6">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w:t>
      </w:r>
      <w:bookmarkStart w:id="60" w:name="_Hlk53134511"/>
      <w:r>
        <w:rPr>
          <w:rFonts w:hint="eastAsia" w:ascii="宋体" w:hAnsi="宋体" w:cs="宋体"/>
          <w:color w:val="auto"/>
          <w:highlight w:val="none"/>
        </w:rPr>
        <w:t>5采购人或者采购代理机构可以在招标文件提供期限截止后，组织已获取招标文件的潜在投标人现场考察或者召开开标前答疑会，具体详见“投标人须知前附表”。</w:t>
      </w:r>
    </w:p>
    <w:bookmarkEnd w:id="60"/>
    <w:p w14:paraId="5CB0C7C0">
      <w:pPr>
        <w:pStyle w:val="4"/>
        <w:keepNext w:val="0"/>
        <w:keepLines w:val="0"/>
        <w:wordWrap w:val="0"/>
        <w:spacing w:line="360" w:lineRule="auto"/>
        <w:jc w:val="center"/>
        <w:rPr>
          <w:rFonts w:hint="eastAsia" w:ascii="宋体" w:hAnsi="宋体" w:cs="宋体"/>
          <w:color w:val="auto"/>
          <w:highlight w:val="none"/>
        </w:rPr>
      </w:pPr>
      <w:bookmarkStart w:id="61" w:name="_Toc26824"/>
      <w:bookmarkStart w:id="62" w:name="_Toc254970676"/>
      <w:bookmarkStart w:id="63" w:name="_Toc254970535"/>
      <w:r>
        <w:rPr>
          <w:rFonts w:hint="eastAsia" w:ascii="宋体" w:hAnsi="宋体" w:cs="宋体"/>
          <w:color w:val="auto"/>
          <w:highlight w:val="none"/>
        </w:rPr>
        <w:t>三、投标文件的编制</w:t>
      </w:r>
      <w:bookmarkEnd w:id="61"/>
      <w:bookmarkEnd w:id="62"/>
      <w:bookmarkEnd w:id="63"/>
    </w:p>
    <w:p w14:paraId="676C5BCE">
      <w:pPr>
        <w:wordWrap w:val="0"/>
        <w:spacing w:line="360" w:lineRule="auto"/>
        <w:ind w:firstLine="480" w:firstLineChars="200"/>
        <w:rPr>
          <w:rFonts w:hint="eastAsia" w:ascii="宋体" w:hAnsi="宋体" w:cs="宋体"/>
          <w:color w:val="auto"/>
          <w:sz w:val="24"/>
          <w:highlight w:val="none"/>
        </w:rPr>
      </w:pPr>
      <w:bookmarkStart w:id="64" w:name="_Toc254970677"/>
      <w:bookmarkStart w:id="65" w:name="_Toc254970536"/>
      <w:r>
        <w:rPr>
          <w:rFonts w:hint="eastAsia" w:ascii="宋体" w:hAnsi="宋体" w:cs="宋体"/>
          <w:color w:val="auto"/>
          <w:sz w:val="24"/>
          <w:highlight w:val="none"/>
        </w:rPr>
        <w:t>12.投标文件的编制原则</w:t>
      </w:r>
    </w:p>
    <w:p w14:paraId="035BE28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12.1投标人必须按照招标文件的要求编制投标文件。投标文件必须对招标文件提出的要求和条件作出明确响应。</w:t>
      </w:r>
    </w:p>
    <w:p w14:paraId="5F241AD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1A83515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13.投标文件的组成</w:t>
      </w:r>
      <w:bookmarkEnd w:id="64"/>
      <w:bookmarkEnd w:id="65"/>
    </w:p>
    <w:p w14:paraId="70203AC2">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13.1投标文件由报价文件、资格证明文件、商务文件、技术文件四部分组成。</w:t>
      </w:r>
    </w:p>
    <w:p w14:paraId="0721EB1A">
      <w:pPr>
        <w:wordWrap w:val="0"/>
        <w:spacing w:line="360" w:lineRule="auto"/>
        <w:ind w:firstLine="420" w:firstLineChars="200"/>
        <w:rPr>
          <w:rFonts w:hint="eastAsia" w:ascii="宋体" w:hAnsi="宋体" w:cs="宋体"/>
          <w:bCs/>
          <w:color w:val="auto"/>
          <w:szCs w:val="21"/>
          <w:highlight w:val="none"/>
        </w:rPr>
      </w:pPr>
      <w:bookmarkStart w:id="66" w:name="_13.1报价文件:_具体材料见“投标人须知前附表”。"/>
      <w:bookmarkEnd w:id="66"/>
      <w:bookmarkStart w:id="67" w:name="_13.2资格证明文件：具体材料见“投标人须知前附表”。"/>
      <w:bookmarkEnd w:id="67"/>
      <w:r>
        <w:rPr>
          <w:rFonts w:hint="eastAsia" w:ascii="宋体" w:hAnsi="宋体" w:cs="宋体"/>
          <w:bCs/>
          <w:color w:val="auto"/>
          <w:szCs w:val="21"/>
          <w:highlight w:val="none"/>
        </w:rPr>
        <w:t>（1）资格证明文件：具体材料见“投标人须知前附表”。</w:t>
      </w:r>
    </w:p>
    <w:p w14:paraId="1E832B31">
      <w:pPr>
        <w:wordWrap w:val="0"/>
        <w:spacing w:line="360" w:lineRule="auto"/>
        <w:ind w:firstLine="420" w:firstLineChars="200"/>
        <w:rPr>
          <w:rFonts w:hint="eastAsia" w:ascii="宋体" w:hAnsi="宋体" w:cs="宋体"/>
          <w:bCs/>
          <w:color w:val="auto"/>
          <w:szCs w:val="21"/>
          <w:highlight w:val="none"/>
        </w:rPr>
      </w:pPr>
      <w:bookmarkStart w:id="68" w:name="_13.3商务文件:_具体材料见“投标人须知前附表”。"/>
      <w:bookmarkEnd w:id="68"/>
      <w:r>
        <w:rPr>
          <w:rFonts w:hint="eastAsia" w:ascii="宋体" w:hAnsi="宋体" w:cs="宋体"/>
          <w:bCs/>
          <w:color w:val="auto"/>
          <w:szCs w:val="21"/>
          <w:highlight w:val="none"/>
        </w:rPr>
        <w:t>（2）商务文件：具体材料见“投标人须知前附表”。</w:t>
      </w:r>
    </w:p>
    <w:p w14:paraId="0F97CA76">
      <w:pPr>
        <w:wordWrap w:val="0"/>
        <w:spacing w:line="360" w:lineRule="auto"/>
        <w:ind w:firstLine="420" w:firstLineChars="200"/>
        <w:rPr>
          <w:rFonts w:hint="eastAsia" w:ascii="宋体" w:hAnsi="宋体" w:cs="宋体"/>
          <w:bCs/>
          <w:color w:val="auto"/>
          <w:szCs w:val="21"/>
          <w:highlight w:val="none"/>
        </w:rPr>
      </w:pPr>
      <w:bookmarkStart w:id="69" w:name="_13.4技术文件：具体材料见“投标人须知前附表”。"/>
      <w:bookmarkEnd w:id="69"/>
      <w:r>
        <w:rPr>
          <w:rFonts w:hint="eastAsia" w:ascii="宋体" w:hAnsi="宋体" w:cs="宋体"/>
          <w:bCs/>
          <w:color w:val="auto"/>
          <w:szCs w:val="21"/>
          <w:highlight w:val="none"/>
        </w:rPr>
        <w:t xml:space="preserve">（3）技术文件：具体材料见“投标人须知前附表”。 </w:t>
      </w:r>
    </w:p>
    <w:p w14:paraId="1AC7D095">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（4）报价文件： 具体材料见“投标人须知前附表”。</w:t>
      </w:r>
    </w:p>
    <w:p w14:paraId="0E60D445">
      <w:pPr>
        <w:wordWrap w:val="0"/>
        <w:spacing w:line="360" w:lineRule="auto"/>
        <w:ind w:firstLine="420" w:firstLineChars="200"/>
        <w:rPr>
          <w:rFonts w:hint="eastAsia" w:ascii="宋体" w:hAnsi="宋体" w:cs="宋体"/>
          <w:bCs/>
          <w:color w:val="auto"/>
          <w:szCs w:val="21"/>
          <w:highlight w:val="none"/>
        </w:rPr>
      </w:pPr>
      <w:bookmarkStart w:id="70" w:name="_13.5投标文件电子版：具体材料见“投标人须知前附表”。"/>
      <w:bookmarkEnd w:id="70"/>
      <w:r>
        <w:rPr>
          <w:rFonts w:hint="eastAsia" w:ascii="宋体" w:hAnsi="宋体" w:cs="宋体"/>
          <w:bCs/>
          <w:color w:val="auto"/>
          <w:szCs w:val="21"/>
          <w:highlight w:val="none"/>
        </w:rPr>
        <w:t>13.2投标文件电子版：具体要求见本节19.投标文件编制。</w:t>
      </w:r>
    </w:p>
    <w:p w14:paraId="1B587C38">
      <w:pPr>
        <w:wordWrap w:val="0"/>
        <w:spacing w:line="360" w:lineRule="auto"/>
        <w:ind w:firstLine="480" w:firstLineChars="200"/>
        <w:rPr>
          <w:rFonts w:hint="eastAsia" w:ascii="宋体" w:hAnsi="宋体" w:cs="宋体"/>
          <w:color w:val="auto"/>
          <w:sz w:val="24"/>
          <w:highlight w:val="none"/>
        </w:rPr>
      </w:pPr>
      <w:bookmarkStart w:id="71" w:name="_Toc254970678"/>
      <w:bookmarkStart w:id="72" w:name="_Toc254970537"/>
      <w:r>
        <w:rPr>
          <w:rFonts w:hint="eastAsia" w:ascii="宋体" w:hAnsi="宋体" w:cs="宋体"/>
          <w:color w:val="auto"/>
          <w:sz w:val="24"/>
          <w:highlight w:val="none"/>
        </w:rPr>
        <w:t>14.投标文件的语言及计量</w:t>
      </w:r>
      <w:bookmarkEnd w:id="71"/>
      <w:bookmarkEnd w:id="72"/>
    </w:p>
    <w:p w14:paraId="009A580D">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14.1语言文字</w:t>
      </w:r>
    </w:p>
    <w:p w14:paraId="5DE9E936">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21C0AD1B">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14.2投标计量单位</w:t>
      </w:r>
    </w:p>
    <w:p w14:paraId="046E7224">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592472D7">
      <w:pPr>
        <w:wordWrap w:val="0"/>
        <w:spacing w:line="360" w:lineRule="auto"/>
        <w:ind w:firstLine="480" w:firstLineChars="200"/>
        <w:rPr>
          <w:rFonts w:hint="eastAsia" w:ascii="宋体" w:hAnsi="宋体" w:cs="宋体"/>
          <w:color w:val="auto"/>
          <w:sz w:val="24"/>
          <w:highlight w:val="none"/>
        </w:rPr>
      </w:pPr>
      <w:bookmarkStart w:id="73" w:name="_Toc254970679"/>
      <w:bookmarkStart w:id="74" w:name="_Toc254970538"/>
      <w:r>
        <w:rPr>
          <w:rFonts w:hint="eastAsia" w:ascii="宋体" w:hAnsi="宋体" w:cs="宋体"/>
          <w:color w:val="auto"/>
          <w:sz w:val="24"/>
          <w:highlight w:val="none"/>
        </w:rPr>
        <w:t>15.投标的风险</w:t>
      </w:r>
    </w:p>
    <w:p w14:paraId="3670930E">
      <w:pPr>
        <w:wordWrap w:val="0"/>
        <w:spacing w:line="360" w:lineRule="auto"/>
        <w:ind w:firstLine="420" w:firstLineChars="200"/>
        <w:rPr>
          <w:rFonts w:hint="eastAsia" w:ascii="宋体" w:hAnsi="宋体" w:cs="宋体"/>
          <w:b/>
          <w:bCs/>
          <w:color w:val="auto"/>
          <w:highlight w:val="none"/>
        </w:rPr>
      </w:pPr>
      <w:r>
        <w:rPr>
          <w:rFonts w:hint="eastAsia" w:ascii="宋体" w:hAnsi="宋体" w:cs="宋体"/>
          <w:color w:val="auto"/>
          <w:highlight w:val="none"/>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w:t>
      </w:r>
      <w:r>
        <w:rPr>
          <w:rFonts w:hint="eastAsia" w:ascii="宋体" w:hAnsi="宋体" w:cs="宋体"/>
          <w:b/>
          <w:bCs/>
          <w:color w:val="auto"/>
          <w:highlight w:val="none"/>
        </w:rPr>
        <w:t>投标文件未按规定的格式编制的、没有按照招标文件要求提供全部资料、没有对招标文件作出实质性响应，投标无效；</w:t>
      </w:r>
    </w:p>
    <w:p w14:paraId="594BB32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16.投标报价</w:t>
      </w:r>
      <w:bookmarkEnd w:id="73"/>
      <w:bookmarkEnd w:id="74"/>
    </w:p>
    <w:p w14:paraId="34F34E24">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16.1投标报价应</w:t>
      </w:r>
      <w:r>
        <w:rPr>
          <w:rFonts w:hint="eastAsia" w:ascii="宋体" w:hAnsi="宋体" w:cs="宋体"/>
          <w:bCs/>
          <w:color w:val="auto"/>
          <w:szCs w:val="20"/>
          <w:highlight w:val="none"/>
        </w:rPr>
        <w:t>按“第六章　投标文件格式”中“开标一览表”格式填写。</w:t>
      </w:r>
    </w:p>
    <w:p w14:paraId="68BCFE7E">
      <w:pPr>
        <w:wordWrap w:val="0"/>
        <w:spacing w:line="360" w:lineRule="auto"/>
        <w:ind w:firstLine="420" w:firstLineChars="200"/>
        <w:rPr>
          <w:rFonts w:hint="eastAsia" w:ascii="宋体" w:hAnsi="宋体" w:cs="宋体"/>
          <w:bCs/>
          <w:color w:val="auto"/>
          <w:szCs w:val="21"/>
          <w:highlight w:val="none"/>
        </w:rPr>
      </w:pPr>
      <w:bookmarkStart w:id="75" w:name="_16.2投标报价具体定义见投标人须知前附表。"/>
      <w:bookmarkEnd w:id="75"/>
      <w:r>
        <w:rPr>
          <w:rFonts w:hint="eastAsia" w:ascii="宋体" w:hAnsi="宋体" w:cs="宋体"/>
          <w:bCs/>
          <w:color w:val="auto"/>
          <w:szCs w:val="21"/>
          <w:highlight w:val="none"/>
        </w:rPr>
        <w:t>16.2投标报价具体包括内容详见“投标人须知前附表”。</w:t>
      </w:r>
    </w:p>
    <w:p w14:paraId="5AA648BD">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16.3投标人必须就所投每个分标的全部内容分别作完整唯一总价报价，不得存在漏项报价；投标人必须就所投分标的单项内容作唯一报价。</w:t>
      </w:r>
    </w:p>
    <w:p w14:paraId="1688CD3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17.投标有效期</w:t>
      </w:r>
    </w:p>
    <w:p w14:paraId="35E3392A">
      <w:pPr>
        <w:wordWrap w:val="0"/>
        <w:spacing w:line="360" w:lineRule="auto"/>
        <w:ind w:firstLine="420" w:firstLineChars="200"/>
        <w:rPr>
          <w:rFonts w:hint="eastAsia" w:ascii="宋体" w:hAnsi="宋体" w:cs="宋体"/>
          <w:bCs/>
          <w:color w:val="auto"/>
          <w:szCs w:val="21"/>
          <w:highlight w:val="none"/>
        </w:rPr>
      </w:pPr>
      <w:bookmarkStart w:id="76" w:name="_17.1投标有效期应按“投标人须知中的前附表”规定的期限。"/>
      <w:bookmarkEnd w:id="76"/>
      <w:r>
        <w:rPr>
          <w:rFonts w:hint="eastAsia" w:ascii="宋体" w:hAnsi="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14:paraId="41497467">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17.2</w:t>
      </w:r>
      <w:bookmarkStart w:id="77" w:name="_Toc254970681"/>
      <w:bookmarkStart w:id="78" w:name="_Toc254970540"/>
      <w:r>
        <w:rPr>
          <w:rFonts w:hint="eastAsia" w:ascii="宋体" w:hAnsi="宋体" w:cs="宋体"/>
          <w:bCs/>
          <w:color w:val="auto"/>
          <w:szCs w:val="21"/>
          <w:highlight w:val="none"/>
        </w:rPr>
        <w:t xml:space="preserve"> 投标有效期应按规定的期限作出承诺，具体详见“投标人须知前附表”。</w:t>
      </w:r>
    </w:p>
    <w:p w14:paraId="09FC352D">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17.3投标人的投标文件在投标有效期内均保持有效。</w:t>
      </w:r>
      <w:bookmarkEnd w:id="77"/>
      <w:bookmarkEnd w:id="78"/>
    </w:p>
    <w:p w14:paraId="54ED20AD">
      <w:pPr>
        <w:wordWrap w:val="0"/>
        <w:spacing w:line="360" w:lineRule="auto"/>
        <w:ind w:firstLine="480" w:firstLineChars="200"/>
        <w:rPr>
          <w:rFonts w:hint="eastAsia" w:ascii="宋体" w:hAnsi="宋体" w:cs="宋体"/>
          <w:color w:val="auto"/>
          <w:sz w:val="24"/>
          <w:highlight w:val="none"/>
        </w:rPr>
      </w:pPr>
      <w:bookmarkStart w:id="79" w:name="_18.投标保证金"/>
      <w:bookmarkEnd w:id="79"/>
      <w:bookmarkStart w:id="80" w:name="_Toc254970541"/>
      <w:bookmarkStart w:id="81" w:name="_Toc254970682"/>
      <w:r>
        <w:rPr>
          <w:rFonts w:hint="eastAsia" w:ascii="宋体" w:hAnsi="宋体" w:cs="宋体"/>
          <w:color w:val="auto"/>
          <w:sz w:val="24"/>
          <w:highlight w:val="none"/>
        </w:rPr>
        <w:t>18.投标保证金</w:t>
      </w:r>
      <w:bookmarkEnd w:id="80"/>
      <w:bookmarkEnd w:id="81"/>
    </w:p>
    <w:p w14:paraId="6A43BAAB">
      <w:pPr>
        <w:wordWrap w:val="0"/>
        <w:spacing w:line="360" w:lineRule="auto"/>
        <w:ind w:firstLine="420" w:firstLineChars="200"/>
        <w:rPr>
          <w:rFonts w:hint="eastAsia" w:ascii="宋体" w:hAnsi="宋体" w:cs="宋体"/>
          <w:color w:val="auto"/>
          <w:szCs w:val="21"/>
          <w:highlight w:val="none"/>
        </w:rPr>
      </w:pPr>
      <w:bookmarkStart w:id="82" w:name="_Toc254970683"/>
      <w:bookmarkStart w:id="83" w:name="_Toc254970542"/>
      <w:r>
        <w:rPr>
          <w:rFonts w:hint="eastAsia" w:ascii="宋体" w:hAnsi="宋体" w:cs="宋体"/>
          <w:color w:val="auto"/>
          <w:szCs w:val="21"/>
          <w:highlight w:val="none"/>
        </w:rPr>
        <w:t>见“投标人须知前附表”。</w:t>
      </w:r>
    </w:p>
    <w:p w14:paraId="6C6ED4B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19.投标文件的</w:t>
      </w:r>
      <w:bookmarkEnd w:id="82"/>
      <w:bookmarkEnd w:id="83"/>
      <w:r>
        <w:rPr>
          <w:rFonts w:hint="eastAsia" w:ascii="宋体" w:hAnsi="宋体" w:cs="宋体"/>
          <w:color w:val="auto"/>
          <w:sz w:val="24"/>
          <w:highlight w:val="none"/>
        </w:rPr>
        <w:t>编制</w:t>
      </w:r>
    </w:p>
    <w:p w14:paraId="5CDBBB2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84" w:name="_19.2投标文件应按报价文件、资格证明文件、商务文件、技术文件分别编制"/>
      <w:bookmarkEnd w:id="84"/>
    </w:p>
    <w:p w14:paraId="6CD3C2F6">
      <w:pPr>
        <w:pStyle w:val="32"/>
        <w:wordWrap w:val="0"/>
        <w:snapToGri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19.2投标文件按照招标文件第六章格式要求在规定位置进行签署、盖章。投标人的投标文件未按照招标文件要求签署、盖章的，</w:t>
      </w:r>
      <w:r>
        <w:rPr>
          <w:rFonts w:hint="eastAsia" w:ascii="宋体" w:hAnsi="宋体" w:cs="宋体"/>
          <w:b/>
          <w:color w:val="auto"/>
          <w:sz w:val="21"/>
          <w:szCs w:val="21"/>
          <w:highlight w:val="none"/>
        </w:rPr>
        <w:t>其投标无效。</w:t>
      </w:r>
      <w:r>
        <w:rPr>
          <w:rFonts w:hint="eastAsia" w:ascii="宋体" w:hAnsi="宋体" w:cs="宋体"/>
          <w:color w:val="auto"/>
          <w:sz w:val="21"/>
          <w:szCs w:val="21"/>
          <w:highlight w:val="none"/>
        </w:rPr>
        <w:t>骑缝盖公章不视为在规定位置盖章。</w:t>
      </w:r>
    </w:p>
    <w:p w14:paraId="7B497DCB">
      <w:pPr>
        <w:pStyle w:val="32"/>
        <w:wordWrap w:val="0"/>
        <w:snapToGri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19.3为确保网上操作合法、有效和安全，投标人应当在投标截止时间前完成在“广西政府采购云”平台的身份认证，确保在电子投标过程中能够对相关数据电文进行加密和使用电子签名。</w:t>
      </w:r>
    </w:p>
    <w:p w14:paraId="4AD19B72">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s="宋体"/>
          <w:color w:val="auto"/>
          <w:szCs w:val="21"/>
          <w:highlight w:val="none"/>
        </w:rPr>
        <w:t>否则作无效投标处理</w:t>
      </w:r>
      <w:r>
        <w:rPr>
          <w:rFonts w:hint="eastAsia" w:ascii="宋体" w:hAnsi="宋体" w:cs="宋体"/>
          <w:b/>
          <w:color w:val="auto"/>
          <w:szCs w:val="21"/>
          <w:highlight w:val="none"/>
        </w:rPr>
        <w:t>。</w:t>
      </w:r>
    </w:p>
    <w:p w14:paraId="031E90A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19.5投标文件应避免涂改、行间插字或者删除，</w:t>
      </w:r>
      <w:r>
        <w:rPr>
          <w:rFonts w:hint="eastAsia" w:ascii="宋体" w:hAnsi="宋体" w:cs="宋体"/>
          <w:b/>
          <w:color w:val="auto"/>
          <w:szCs w:val="21"/>
          <w:highlight w:val="none"/>
        </w:rPr>
        <w:t>否则其投标无效。</w:t>
      </w:r>
    </w:p>
    <w:p w14:paraId="08774090">
      <w:pPr>
        <w:wordWrap w:val="0"/>
        <w:spacing w:line="360" w:lineRule="auto"/>
        <w:ind w:firstLine="525" w:firstLineChars="250"/>
        <w:rPr>
          <w:rFonts w:hint="eastAsia" w:ascii="宋体" w:hAnsi="宋体" w:cs="宋体"/>
          <w:color w:val="auto"/>
          <w:highlight w:val="none"/>
        </w:rPr>
      </w:pPr>
      <w:r>
        <w:rPr>
          <w:rFonts w:hint="eastAsia" w:ascii="宋体" w:hAnsi="宋体" w:cs="宋体"/>
          <w:color w:val="auto"/>
          <w:highlight w:val="none"/>
        </w:rPr>
        <w:t>19.6 对招标文件的实质性要求和条件作出响应是指投标人必须对招标文件中标注为实质性要求和条件的</w:t>
      </w:r>
      <w:r>
        <w:rPr>
          <w:rFonts w:hint="eastAsia" w:ascii="宋体" w:hAnsi="宋体" w:cs="宋体"/>
          <w:color w:val="auto"/>
          <w:szCs w:val="21"/>
          <w:highlight w:val="none"/>
        </w:rPr>
        <w:t>服务内容及要求</w:t>
      </w:r>
      <w:r>
        <w:rPr>
          <w:rFonts w:hint="eastAsia" w:ascii="宋体" w:hAnsi="宋体" w:cs="宋体"/>
          <w:color w:val="auto"/>
          <w:highlight w:val="none"/>
        </w:rPr>
        <w:t>、商务条款及其它内容</w:t>
      </w:r>
      <w:r>
        <w:rPr>
          <w:rFonts w:hint="eastAsia" w:ascii="宋体" w:hAnsi="宋体" w:cs="宋体"/>
          <w:b/>
          <w:color w:val="auto"/>
          <w:highlight w:val="none"/>
        </w:rPr>
        <w:t>作出满足或者优于原要求和条件的承诺</w:t>
      </w:r>
      <w:r>
        <w:rPr>
          <w:rFonts w:hint="eastAsia" w:ascii="宋体" w:hAnsi="宋体" w:cs="宋体"/>
          <w:color w:val="auto"/>
          <w:highlight w:val="none"/>
        </w:rPr>
        <w:t>。</w:t>
      </w:r>
    </w:p>
    <w:p w14:paraId="68B5685C">
      <w:pPr>
        <w:wordWrap w:val="0"/>
        <w:spacing w:line="360" w:lineRule="auto"/>
        <w:ind w:firstLine="422" w:firstLineChars="200"/>
        <w:rPr>
          <w:rFonts w:hint="eastAsia" w:ascii="宋体" w:hAnsi="宋体" w:cs="宋体"/>
          <w:b/>
          <w:color w:val="auto"/>
          <w:szCs w:val="21"/>
          <w:highlight w:val="none"/>
          <w:u w:val="single"/>
        </w:rPr>
      </w:pPr>
      <w:r>
        <w:rPr>
          <w:rFonts w:hint="eastAsia" w:ascii="宋体" w:hAnsi="宋体" w:cs="宋体"/>
          <w:b/>
          <w:color w:val="auto"/>
          <w:szCs w:val="21"/>
          <w:highlight w:val="none"/>
          <w:u w:val="single"/>
        </w:rPr>
        <w:t>19.7本项目为南宁市全流程电子化项目，异常情况见“第二节 投标人须知正文”中“四、24.2开标程序。</w:t>
      </w:r>
    </w:p>
    <w:p w14:paraId="733E275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20.备份投标文件</w:t>
      </w:r>
    </w:p>
    <w:p w14:paraId="78BE187D">
      <w:pPr>
        <w:wordWrap w:val="0"/>
        <w:spacing w:line="360" w:lineRule="auto"/>
        <w:ind w:firstLine="420" w:firstLineChars="200"/>
        <w:rPr>
          <w:rFonts w:hint="eastAsia" w:ascii="宋体" w:hAnsi="宋体" w:cs="宋体"/>
          <w:color w:val="auto"/>
          <w:sz w:val="24"/>
          <w:highlight w:val="none"/>
        </w:rPr>
      </w:pPr>
      <w:r>
        <w:rPr>
          <w:rFonts w:hint="eastAsia" w:ascii="宋体" w:hAnsi="宋体" w:cs="宋体"/>
          <w:bCs/>
          <w:color w:val="auto"/>
          <w:szCs w:val="21"/>
          <w:highlight w:val="none"/>
        </w:rPr>
        <w:t>详见在“投标人须知前附表”。</w:t>
      </w:r>
    </w:p>
    <w:p w14:paraId="4BF6EF3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21.投标文件的提交</w:t>
      </w:r>
    </w:p>
    <w:p w14:paraId="25CA14F4">
      <w:pPr>
        <w:wordWrap w:val="0"/>
        <w:spacing w:line="360" w:lineRule="auto"/>
        <w:ind w:firstLine="420" w:firstLineChars="200"/>
        <w:rPr>
          <w:rFonts w:hint="eastAsia" w:ascii="宋体" w:hAnsi="宋体" w:cs="宋体"/>
          <w:b/>
          <w:color w:val="auto"/>
          <w:highlight w:val="none"/>
        </w:rPr>
      </w:pPr>
      <w:bookmarkStart w:id="85" w:name="_21.1投标人必须在“投标人须知中的前附表”规定的投标文件接收时间和投"/>
      <w:bookmarkEnd w:id="85"/>
      <w:r>
        <w:rPr>
          <w:rFonts w:hint="eastAsia" w:ascii="宋体" w:hAnsi="宋体" w:cs="宋体"/>
          <w:bCs/>
          <w:color w:val="auto"/>
          <w:szCs w:val="21"/>
          <w:highlight w:val="none"/>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广西政府采购云平台”。 </w:t>
      </w:r>
    </w:p>
    <w:p w14:paraId="34BD19F7">
      <w:pPr>
        <w:wordWrap w:val="0"/>
        <w:spacing w:line="360" w:lineRule="auto"/>
        <w:ind w:firstLine="422" w:firstLineChars="200"/>
        <w:rPr>
          <w:rFonts w:hint="eastAsia" w:ascii="宋体" w:hAnsi="宋体" w:cs="宋体"/>
          <w:b/>
          <w:color w:val="auto"/>
          <w:szCs w:val="20"/>
          <w:highlight w:val="none"/>
        </w:rPr>
      </w:pPr>
      <w:r>
        <w:rPr>
          <w:rFonts w:hint="eastAsia" w:ascii="宋体" w:hAnsi="宋体" w:cs="宋体"/>
          <w:b/>
          <w:color w:val="auto"/>
          <w:szCs w:val="21"/>
          <w:highlight w:val="none"/>
        </w:rPr>
        <w:t>21.2未在规定时间内提交或者未按照招标文件要求密封或者标记的电子投标文件，“广西政府采购云”平台将拒收。</w:t>
      </w:r>
    </w:p>
    <w:p w14:paraId="6FA833B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21.3电子版投标文件提交方式见“招标公告”中“四、提交投标文件截止时间、开标时间和地点”</w:t>
      </w:r>
      <w:r>
        <w:rPr>
          <w:rFonts w:hint="eastAsia" w:ascii="宋体" w:hAnsi="宋体" w:cs="宋体"/>
          <w:b/>
          <w:color w:val="auto"/>
          <w:szCs w:val="21"/>
          <w:highlight w:val="none"/>
        </w:rPr>
        <w:t xml:space="preserve"> 。</w:t>
      </w:r>
    </w:p>
    <w:p w14:paraId="10714A5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 投标文件的补充、修改、撤回与退回</w:t>
      </w:r>
      <w:bookmarkStart w:id="86" w:name="_Toc254970684"/>
      <w:bookmarkStart w:id="87" w:name="_Toc254970543"/>
    </w:p>
    <w:p w14:paraId="61671E42">
      <w:pPr>
        <w:wordWrap w:val="0"/>
        <w:spacing w:line="360" w:lineRule="auto"/>
        <w:ind w:firstLine="420" w:firstLineChars="200"/>
        <w:rPr>
          <w:rFonts w:hint="eastAsia" w:ascii="宋体" w:hAnsi="宋体" w:cs="宋体"/>
          <w:color w:val="auto"/>
          <w:sz w:val="24"/>
          <w:highlight w:val="none"/>
        </w:rPr>
      </w:pPr>
      <w:r>
        <w:rPr>
          <w:rFonts w:hint="eastAsia" w:ascii="宋体" w:hAnsi="宋体" w:cs="宋体"/>
          <w:color w:val="auto"/>
          <w:szCs w:val="21"/>
          <w:highlight w:val="none"/>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76A4CFA4">
      <w:pPr>
        <w:pStyle w:val="32"/>
        <w:wordWrap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22.2“广西政府采购云”平台收到投标文件，将妥善保存并即时向供应商发出确认回执通知。在投标截止时间前，除供应商补充、修改或者撤回投标文件外，任何单位和个人不得解密或提取投标文件。</w:t>
      </w:r>
    </w:p>
    <w:bookmarkEnd w:id="86"/>
    <w:bookmarkEnd w:id="87"/>
    <w:p w14:paraId="70C59FC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22.3在投标截止时间止提交电子版投标文件的投标人不足3家时，电子版投标文件由代理机构在“广西政府采购云”平台操作退回，除此之外采购人和采购代理机构对已提交的投标文件概不退回。</w:t>
      </w:r>
    </w:p>
    <w:p w14:paraId="36742493">
      <w:pPr>
        <w:pStyle w:val="10"/>
        <w:wordWrap w:val="0"/>
        <w:snapToGrid w:val="0"/>
        <w:spacing w:line="360" w:lineRule="auto"/>
        <w:ind w:firstLine="404"/>
        <w:rPr>
          <w:rFonts w:hint="eastAsia" w:hAnsi="宋体" w:cs="宋体"/>
          <w:snapToGrid w:val="0"/>
          <w:color w:val="auto"/>
          <w:sz w:val="21"/>
          <w:szCs w:val="21"/>
          <w:highlight w:val="none"/>
        </w:rPr>
      </w:pPr>
    </w:p>
    <w:p w14:paraId="78D07C5B">
      <w:pPr>
        <w:pStyle w:val="4"/>
        <w:keepNext w:val="0"/>
        <w:keepLines w:val="0"/>
        <w:wordWrap w:val="0"/>
        <w:spacing w:line="360" w:lineRule="auto"/>
        <w:jc w:val="center"/>
        <w:rPr>
          <w:rFonts w:hint="eastAsia" w:ascii="宋体" w:hAnsi="宋体" w:cs="宋体"/>
          <w:color w:val="auto"/>
          <w:highlight w:val="none"/>
        </w:rPr>
      </w:pPr>
      <w:bookmarkStart w:id="88" w:name="_Toc254970544"/>
      <w:bookmarkStart w:id="89" w:name="_Toc1057"/>
      <w:bookmarkStart w:id="90" w:name="_Toc254970685"/>
      <w:r>
        <w:rPr>
          <w:rFonts w:hint="eastAsia" w:ascii="宋体" w:hAnsi="宋体" w:cs="宋体"/>
          <w:color w:val="auto"/>
          <w:highlight w:val="none"/>
        </w:rPr>
        <w:t>四、开    标</w:t>
      </w:r>
      <w:bookmarkEnd w:id="88"/>
      <w:bookmarkEnd w:id="89"/>
      <w:bookmarkEnd w:id="90"/>
    </w:p>
    <w:p w14:paraId="55D6CB76">
      <w:pPr>
        <w:wordWrap w:val="0"/>
        <w:spacing w:line="360" w:lineRule="auto"/>
        <w:ind w:firstLine="480" w:firstLineChars="200"/>
        <w:rPr>
          <w:rFonts w:hint="eastAsia" w:ascii="宋体" w:hAnsi="宋体" w:cs="宋体"/>
          <w:color w:val="auto"/>
          <w:sz w:val="24"/>
          <w:highlight w:val="none"/>
        </w:rPr>
      </w:pPr>
      <w:bookmarkStart w:id="91" w:name="_23.开标时间和地点"/>
      <w:bookmarkEnd w:id="91"/>
      <w:r>
        <w:rPr>
          <w:rFonts w:hint="eastAsia" w:ascii="宋体" w:hAnsi="宋体" w:cs="宋体"/>
          <w:color w:val="auto"/>
          <w:sz w:val="24"/>
          <w:highlight w:val="none"/>
        </w:rPr>
        <w:t>23.开标时间和地点</w:t>
      </w:r>
    </w:p>
    <w:p w14:paraId="24B00843">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23.1开标时间及地点详见“投标人须知前附表”</w:t>
      </w:r>
    </w:p>
    <w:p w14:paraId="349ECAD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23.2如</w:t>
      </w:r>
      <w:r>
        <w:rPr>
          <w:rFonts w:hint="eastAsia" w:ascii="宋体" w:hAnsi="宋体" w:cs="宋体"/>
          <w:bCs/>
          <w:color w:val="auto"/>
          <w:highlight w:val="none"/>
        </w:rPr>
        <w:t>投标人成功解密投标文件，但未在“广西政府采购云”电子开标大厅参加开标的，视同认可开标过程和结果，</w:t>
      </w:r>
      <w:r>
        <w:rPr>
          <w:rFonts w:hint="eastAsia" w:ascii="宋体" w:hAnsi="宋体" w:cs="宋体"/>
          <w:color w:val="auto"/>
          <w:highlight w:val="none"/>
        </w:rPr>
        <w:t>由此产生的后果由投标人自行负责。 投标人不足3家的，不得开标。</w:t>
      </w:r>
    </w:p>
    <w:p w14:paraId="3C2BC4D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24.开标程序</w:t>
      </w:r>
    </w:p>
    <w:p w14:paraId="339FE0A1">
      <w:pPr>
        <w:wordWrap w:val="0"/>
        <w:autoSpaceDE w:val="0"/>
        <w:autoSpaceDN w:val="0"/>
        <w:adjustRightInd w:val="0"/>
        <w:spacing w:line="360" w:lineRule="auto"/>
        <w:ind w:firstLine="420" w:firstLineChars="200"/>
        <w:rPr>
          <w:rFonts w:hint="eastAsia" w:ascii="宋体" w:hAnsi="宋体" w:cs="宋体"/>
          <w:color w:val="auto"/>
          <w:kern w:val="0"/>
          <w:szCs w:val="21"/>
          <w:highlight w:val="none"/>
        </w:rPr>
      </w:pPr>
      <w:r>
        <w:rPr>
          <w:rFonts w:hint="eastAsia" w:ascii="宋体" w:hAnsi="宋体" w:cs="宋体"/>
          <w:bCs/>
          <w:color w:val="auto"/>
          <w:szCs w:val="21"/>
          <w:highlight w:val="none"/>
        </w:rPr>
        <w:t>24.1</w:t>
      </w:r>
      <w:r>
        <w:rPr>
          <w:rFonts w:hint="eastAsia" w:ascii="宋体" w:hAnsi="宋体" w:cs="宋体"/>
          <w:color w:val="auto"/>
          <w:kern w:val="0"/>
          <w:szCs w:val="21"/>
          <w:highlight w:val="none"/>
        </w:rPr>
        <w:t>开标形式：</w:t>
      </w:r>
    </w:p>
    <w:p w14:paraId="45A701B5">
      <w:pPr>
        <w:wordWrap w:val="0"/>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（1）</w:t>
      </w:r>
      <w:r>
        <w:rPr>
          <w:rFonts w:hint="eastAsia" w:ascii="宋体" w:hAnsi="宋体" w:cs="宋体"/>
          <w:bCs/>
          <w:color w:val="auto"/>
          <w:szCs w:val="21"/>
          <w:highlight w:val="none"/>
        </w:rPr>
        <w:t>开标的准备工作由采购代理机构负责落实，采购代理机构必须基于“广西政府采购云”平台选取评审专家，如采购代理机构未按规定选取专家的，视为本次开评标无效，应当重新采购；</w:t>
      </w:r>
    </w:p>
    <w:p w14:paraId="287038AD">
      <w:pPr>
        <w:wordWrap w:val="0"/>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41712168">
      <w:pPr>
        <w:wordWrap w:val="0"/>
        <w:autoSpaceDE w:val="0"/>
        <w:autoSpaceDN w:val="0"/>
        <w:adjustRightIn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24.2开标程序：</w:t>
      </w:r>
    </w:p>
    <w:p w14:paraId="1794E741">
      <w:pPr>
        <w:pStyle w:val="12"/>
        <w:wordWrap w:val="0"/>
        <w:snapToGrid w:val="0"/>
        <w:spacing w:line="360" w:lineRule="auto"/>
        <w:ind w:firstLine="422" w:firstLineChars="200"/>
        <w:rPr>
          <w:rFonts w:hint="eastAsia" w:hAnsi="宋体" w:cs="宋体"/>
          <w:color w:val="auto"/>
          <w:szCs w:val="21"/>
          <w:highlight w:val="none"/>
        </w:rPr>
      </w:pPr>
      <w:r>
        <w:rPr>
          <w:rFonts w:hint="eastAsia" w:hAnsi="宋体" w:cs="宋体"/>
          <w:b/>
          <w:color w:val="auto"/>
          <w:szCs w:val="21"/>
          <w:highlight w:val="none"/>
        </w:rPr>
        <w:t>（1）解密电子投标文件。“</w:t>
      </w:r>
      <w:r>
        <w:rPr>
          <w:rFonts w:hint="eastAsia" w:hAnsi="宋体" w:cs="宋体"/>
          <w:color w:val="auto"/>
          <w:szCs w:val="21"/>
          <w:highlight w:val="none"/>
        </w:rPr>
        <w:t>广西政府采购云”平台按开标时间自动提取所有投标文件。采购代理机构依托“广西政府采购云”平台向各投标人发出电子加密投标文件【开始解密】通知，由投标人按招标文件规定的时间内自行进行投标文件解密。投标人的法定代表人或其委托代理人</w:t>
      </w:r>
      <w:r>
        <w:rPr>
          <w:rFonts w:hint="eastAsia" w:hAnsi="宋体" w:cs="宋体"/>
          <w:b/>
          <w:color w:val="auto"/>
          <w:szCs w:val="21"/>
          <w:highlight w:val="none"/>
        </w:rPr>
        <w:t>须携带加密时所用的CA锁准时登录到“广西政府采购云”平台电子开标大厅签到并对电子投标文件解密</w:t>
      </w:r>
      <w:r>
        <w:rPr>
          <w:rFonts w:hint="eastAsia" w:hAnsi="宋体" w:cs="宋体"/>
          <w:color w:val="auto"/>
          <w:szCs w:val="21"/>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hAnsi="宋体" w:cs="宋体"/>
          <w:b/>
          <w:color w:val="auto"/>
          <w:szCs w:val="21"/>
          <w:highlight w:val="none"/>
        </w:rPr>
        <w:t>均视为无效投标。</w:t>
      </w:r>
    </w:p>
    <w:p w14:paraId="664727BA">
      <w:pPr>
        <w:pStyle w:val="12"/>
        <w:wordWrap w:val="0"/>
        <w:snapToGrid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（解密</w:t>
      </w:r>
      <w:r>
        <w:rPr>
          <w:rFonts w:hint="eastAsia" w:hAnsi="宋体" w:cs="宋体"/>
          <w:bCs/>
          <w:color w:val="auto"/>
          <w:szCs w:val="21"/>
          <w:highlight w:val="none"/>
        </w:rPr>
        <w:t>异常情况处理：详见本章</w:t>
      </w:r>
      <w:r>
        <w:rPr>
          <w:rFonts w:hint="eastAsia" w:hAnsi="宋体" w:cs="宋体"/>
          <w:color w:val="auto"/>
          <w:highlight w:val="none"/>
        </w:rPr>
        <w:t>29.3 电子交易活动的中止。</w:t>
      </w:r>
      <w:r>
        <w:rPr>
          <w:rFonts w:hint="eastAsia" w:hAnsi="宋体" w:cs="宋体"/>
          <w:color w:val="auto"/>
          <w:szCs w:val="21"/>
          <w:highlight w:val="none"/>
        </w:rPr>
        <w:t>）</w:t>
      </w:r>
    </w:p>
    <w:p w14:paraId="43E7BC0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rPr>
        <w:t>电子唱标。</w:t>
      </w:r>
      <w:r>
        <w:rPr>
          <w:rFonts w:hint="eastAsia" w:ascii="宋体" w:hAnsi="宋体" w:cs="宋体"/>
          <w:color w:val="auto"/>
          <w:szCs w:val="21"/>
          <w:highlight w:val="none"/>
        </w:rPr>
        <w:t>投标文件解密结束，各投标人报价均在“广西政府采购云”平台远程不见面开标大厅展示；</w:t>
      </w:r>
    </w:p>
    <w:p w14:paraId="295A08F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color w:val="auto"/>
          <w:szCs w:val="21"/>
          <w:highlight w:val="none"/>
        </w:rPr>
        <w:t>签署电子《政府采购活动现场确认声明书》。</w:t>
      </w:r>
      <w:r>
        <w:rPr>
          <w:rFonts w:hint="eastAsia" w:ascii="宋体" w:hAnsi="宋体" w:cs="宋体"/>
          <w:color w:val="auto"/>
          <w:szCs w:val="21"/>
          <w:highlight w:val="none"/>
        </w:rPr>
        <w:t>通过邮件形式在远程不见面开标大厅发送各投标人签署电子《政府采购活动现场确认声明书》。</w:t>
      </w:r>
    </w:p>
    <w:p w14:paraId="44858FB3">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35712758">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386524AC">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（6）开标结束。</w:t>
      </w:r>
    </w:p>
    <w:p w14:paraId="21E91A73">
      <w:pPr>
        <w:pStyle w:val="12"/>
        <w:wordWrap w:val="0"/>
        <w:snapToGrid w:val="0"/>
        <w:spacing w:line="360" w:lineRule="auto"/>
        <w:ind w:firstLine="422" w:firstLineChars="200"/>
        <w:rPr>
          <w:rFonts w:hint="eastAsia" w:hAnsi="宋体" w:cs="宋体"/>
          <w:color w:val="auto"/>
          <w:szCs w:val="21"/>
          <w:highlight w:val="none"/>
        </w:rPr>
      </w:pPr>
      <w:r>
        <w:rPr>
          <w:rFonts w:hint="eastAsia" w:hAnsi="宋体" w:cs="宋体"/>
          <w:b/>
          <w:bCs/>
          <w:color w:val="auto"/>
          <w:szCs w:val="21"/>
          <w:highlight w:val="none"/>
        </w:rPr>
        <w:t>特别说明：</w:t>
      </w:r>
      <w:r>
        <w:rPr>
          <w:rFonts w:hint="eastAsia" w:hAnsi="宋体" w:cs="宋体"/>
          <w:color w:val="auto"/>
          <w:szCs w:val="21"/>
          <w:highlight w:val="none"/>
        </w:rPr>
        <w:t>如遇“广西政府采购云”平台电子化开标或评审程序调整的，按调整后执行。</w:t>
      </w:r>
    </w:p>
    <w:p w14:paraId="498D7B52">
      <w:pPr>
        <w:pStyle w:val="12"/>
        <w:wordWrap w:val="0"/>
        <w:snapToGrid w:val="0"/>
        <w:spacing w:line="360" w:lineRule="auto"/>
        <w:ind w:left="689" w:leftChars="228" w:hanging="210" w:hangingChars="100"/>
        <w:rPr>
          <w:rFonts w:hint="eastAsia" w:hAnsi="宋体" w:cs="宋体"/>
          <w:color w:val="auto"/>
          <w:highlight w:val="none"/>
        </w:rPr>
      </w:pPr>
    </w:p>
    <w:p w14:paraId="55CC1201">
      <w:pPr>
        <w:pStyle w:val="4"/>
        <w:keepNext w:val="0"/>
        <w:keepLines w:val="0"/>
        <w:wordWrap w:val="0"/>
        <w:spacing w:line="360" w:lineRule="auto"/>
        <w:jc w:val="center"/>
        <w:rPr>
          <w:rFonts w:hint="eastAsia" w:ascii="宋体" w:hAnsi="宋体" w:cs="宋体"/>
          <w:color w:val="auto"/>
          <w:highlight w:val="none"/>
        </w:rPr>
      </w:pPr>
      <w:bookmarkStart w:id="92" w:name="_Toc32134"/>
      <w:r>
        <w:rPr>
          <w:rFonts w:hint="eastAsia" w:ascii="宋体" w:hAnsi="宋体" w:cs="宋体"/>
          <w:color w:val="auto"/>
          <w:highlight w:val="none"/>
        </w:rPr>
        <w:t>五、资格审查</w:t>
      </w:r>
      <w:bookmarkEnd w:id="92"/>
    </w:p>
    <w:p w14:paraId="29DF4BEF">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25.资格审查</w:t>
      </w:r>
    </w:p>
    <w:p w14:paraId="5100E7F5">
      <w:pPr>
        <w:wordWrap w:val="0"/>
        <w:spacing w:line="360" w:lineRule="auto"/>
        <w:ind w:firstLine="422" w:firstLineChars="200"/>
        <w:rPr>
          <w:rFonts w:hint="eastAsia" w:ascii="宋体" w:hAnsi="宋体" w:cs="宋体"/>
          <w:b/>
          <w:bCs/>
          <w:color w:val="auto"/>
          <w:szCs w:val="20"/>
          <w:highlight w:val="none"/>
        </w:rPr>
      </w:pPr>
      <w:r>
        <w:rPr>
          <w:rFonts w:hint="eastAsia" w:ascii="宋体" w:hAnsi="宋体" w:cs="宋体"/>
          <w:b/>
          <w:bCs/>
          <w:color w:val="auto"/>
          <w:szCs w:val="20"/>
          <w:highlight w:val="none"/>
        </w:rPr>
        <w:t xml:space="preserve"> 25.1开标结束后，采购人或采购机构依法通过电子投标文件对投标人的资格进行线上审查。</w:t>
      </w:r>
    </w:p>
    <w:p w14:paraId="39E45E02">
      <w:pPr>
        <w:wordWrap w:val="0"/>
        <w:spacing w:line="360" w:lineRule="auto"/>
        <w:ind w:firstLine="422" w:firstLineChars="200"/>
        <w:rPr>
          <w:rFonts w:hint="eastAsia" w:ascii="宋体" w:hAnsi="宋体" w:cs="宋体"/>
          <w:b/>
          <w:bCs/>
          <w:color w:val="auto"/>
          <w:szCs w:val="20"/>
          <w:highlight w:val="none"/>
        </w:rPr>
      </w:pPr>
      <w:r>
        <w:rPr>
          <w:rFonts w:hint="eastAsia" w:ascii="宋体" w:hAnsi="宋体" w:cs="宋体"/>
          <w:b/>
          <w:bCs/>
          <w:color w:val="auto"/>
          <w:szCs w:val="20"/>
          <w:highlight w:val="none"/>
        </w:rPr>
        <w:t xml:space="preserve"> 25.2采购人或采购机构依据法律法规和招标文件的规定，对投标人的基本资格条件、特定资格条件进行审查。</w:t>
      </w:r>
    </w:p>
    <w:p w14:paraId="7373301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4F5B62AC">
      <w:pPr>
        <w:wordWrap w:val="0"/>
        <w:spacing w:line="360" w:lineRule="auto"/>
        <w:ind w:firstLine="422" w:firstLineChars="200"/>
        <w:rPr>
          <w:rFonts w:hint="eastAsia" w:ascii="宋体" w:hAnsi="宋体" w:cs="宋体"/>
          <w:b/>
          <w:bCs/>
          <w:color w:val="auto"/>
          <w:szCs w:val="20"/>
          <w:highlight w:val="none"/>
        </w:rPr>
      </w:pPr>
      <w:bookmarkStart w:id="93" w:name="_25.3_投标人有下列情形之一的，资格审查不通过而导致其投标无效："/>
      <w:bookmarkEnd w:id="93"/>
      <w:r>
        <w:rPr>
          <w:rFonts w:hint="eastAsia" w:ascii="宋体" w:hAnsi="宋体" w:cs="宋体"/>
          <w:b/>
          <w:bCs/>
          <w:color w:val="auto"/>
          <w:szCs w:val="20"/>
          <w:highlight w:val="none"/>
        </w:rPr>
        <w:t>25.4投标人有下列情形之一的，资格审查不通过，作无效投标处理：</w:t>
      </w:r>
    </w:p>
    <w:p w14:paraId="4854C98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（1）不具备招标文件中规定的资格要求的；（注：其中信用查询规则见“投标人须知前附表”，“广西政府采购云”平台已与“信用中国”平台做接口，审查专家可直接在线查询）</w:t>
      </w:r>
    </w:p>
    <w:p w14:paraId="03B05E23">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（2）投标文件未提供任一项“投标人须知前附表”资格证明文件规定的“必须提供”的文件资料的；</w:t>
      </w:r>
    </w:p>
    <w:p w14:paraId="3351B45E">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（3）投标文件提供的资格证明文件出现任一项不符合“投标人须知前附表”资格证明文件规定的“必须提供”的文件资料要求或者无效的。</w:t>
      </w:r>
    </w:p>
    <w:p w14:paraId="2E829ADA">
      <w:pPr>
        <w:wordWrap w:val="0"/>
        <w:spacing w:line="360" w:lineRule="auto"/>
        <w:ind w:firstLine="420" w:firstLineChars="200"/>
        <w:rPr>
          <w:rFonts w:hint="eastAsia" w:ascii="宋体" w:hAnsi="宋体" w:cs="宋体"/>
          <w:color w:val="auto"/>
          <w:szCs w:val="20"/>
          <w:highlight w:val="none"/>
        </w:rPr>
      </w:pPr>
      <w:r>
        <w:rPr>
          <w:rFonts w:hint="eastAsia" w:ascii="宋体" w:hAnsi="宋体" w:cs="宋体"/>
          <w:color w:val="auto"/>
          <w:szCs w:val="20"/>
          <w:highlight w:val="none"/>
        </w:rPr>
        <w:t>25.5资格审查的合格投标人不足3家的，不得评标。</w:t>
      </w:r>
    </w:p>
    <w:p w14:paraId="3DE21576">
      <w:pPr>
        <w:pStyle w:val="4"/>
        <w:keepNext w:val="0"/>
        <w:keepLines w:val="0"/>
        <w:wordWrap w:val="0"/>
        <w:spacing w:line="360" w:lineRule="auto"/>
        <w:jc w:val="center"/>
        <w:rPr>
          <w:rFonts w:hint="eastAsia" w:ascii="宋体" w:hAnsi="宋体" w:cs="宋体"/>
          <w:color w:val="auto"/>
          <w:highlight w:val="none"/>
        </w:rPr>
      </w:pPr>
      <w:bookmarkStart w:id="94" w:name="_Toc16376"/>
      <w:r>
        <w:rPr>
          <w:rFonts w:hint="eastAsia" w:ascii="宋体" w:hAnsi="宋体" w:cs="宋体"/>
          <w:color w:val="auto"/>
          <w:highlight w:val="none"/>
        </w:rPr>
        <w:t>六、评   标</w:t>
      </w:r>
      <w:bookmarkEnd w:id="94"/>
    </w:p>
    <w:p w14:paraId="4BDAD09F">
      <w:pPr>
        <w:wordWrap w:val="0"/>
        <w:spacing w:line="360" w:lineRule="auto"/>
        <w:ind w:firstLine="480" w:firstLineChars="200"/>
        <w:rPr>
          <w:rFonts w:hint="eastAsia" w:ascii="宋体" w:hAnsi="宋体" w:cs="宋体"/>
          <w:color w:val="auto"/>
          <w:sz w:val="24"/>
          <w:highlight w:val="none"/>
        </w:rPr>
      </w:pPr>
      <w:bookmarkStart w:id="95" w:name="_26.组建评标委员会"/>
      <w:bookmarkEnd w:id="95"/>
      <w:r>
        <w:rPr>
          <w:rFonts w:hint="eastAsia" w:ascii="宋体" w:hAnsi="宋体" w:cs="宋体"/>
          <w:color w:val="auto"/>
          <w:sz w:val="24"/>
          <w:highlight w:val="none"/>
        </w:rPr>
        <w:t>26.组建评标委员会</w:t>
      </w:r>
    </w:p>
    <w:p w14:paraId="5DF4E03C">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评标委员会由采购人代表和评审专家组成，人数为5人以上单数，其中评审专家不得少于成员总数的三分之二。</w:t>
      </w:r>
    </w:p>
    <w:p w14:paraId="65D08B68">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参加过采购项目前期咨询论证的专家，不得参加该采购项目的评审活动。</w:t>
      </w:r>
    </w:p>
    <w:p w14:paraId="62C4363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27.评标的依据</w:t>
      </w:r>
    </w:p>
    <w:p w14:paraId="5F975047">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评标委员会以招标文件为依据对投标文件进行评审，“第四章 评标方法和评标标准”没有规定的方法、评审因素和标准，不作为评标依据。</w:t>
      </w:r>
    </w:p>
    <w:p w14:paraId="3A92985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28.评标原则</w:t>
      </w:r>
    </w:p>
    <w:p w14:paraId="0396B8C7">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6C88FE0">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96" w:name="_28.3评标方法。本项目将按须知前附表规定的评标办法进行评标，具体评标"/>
      <w:bookmarkEnd w:id="96"/>
    </w:p>
    <w:p w14:paraId="4251D52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400D92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28.4评标过程的监控。本项目电子评标过程实行网上留痕、全程录音、录像监控，投标人在评标过程中所进行的试图影响评标结果的不公正活动，可能导致其投标按无效处理。</w:t>
      </w:r>
    </w:p>
    <w:p w14:paraId="0C8E5EBF">
      <w:pPr>
        <w:widowControl/>
        <w:wordWrap w:val="0"/>
        <w:spacing w:line="360" w:lineRule="auto"/>
        <w:ind w:firstLine="420" w:firstLineChars="200"/>
        <w:jc w:val="left"/>
        <w:textAlignment w:val="baseline"/>
        <w:rPr>
          <w:rFonts w:hint="eastAsia" w:ascii="宋体" w:hAnsi="宋体" w:cs="宋体"/>
          <w:color w:val="auto"/>
          <w:highlight w:val="none"/>
        </w:rPr>
      </w:pPr>
      <w:r>
        <w:rPr>
          <w:rFonts w:hint="eastAsia" w:ascii="宋体" w:hAnsi="宋体" w:cs="宋体"/>
          <w:color w:val="auto"/>
          <w:highlight w:val="none"/>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E90AA3B">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29.评标方法及评标标准</w:t>
      </w:r>
    </w:p>
    <w:p w14:paraId="4247035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29.1本项目的评标方法详见“投标人须知前附表”。</w:t>
      </w:r>
    </w:p>
    <w:p w14:paraId="5F59259F">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29.2 评标委员会按照</w:t>
      </w:r>
      <w:r>
        <w:rPr>
          <w:rFonts w:hint="eastAsia" w:ascii="宋体" w:hAnsi="宋体" w:cs="宋体"/>
          <w:b/>
          <w:color w:val="auto"/>
          <w:highlight w:val="none"/>
        </w:rPr>
        <w:t>“第四章 评标方法和评标标准”</w:t>
      </w:r>
      <w:r>
        <w:rPr>
          <w:rFonts w:hint="eastAsia" w:ascii="宋体" w:hAnsi="宋体" w:cs="宋体"/>
          <w:color w:val="auto"/>
          <w:highlight w:val="none"/>
        </w:rPr>
        <w:t>规定的方法、评审因素、标准和程序对投标文件进行评审。</w:t>
      </w:r>
    </w:p>
    <w:p w14:paraId="03052F0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29.3 电子交易活动的中止。采购过程中出现以下情形，导致电子交易平台无法正常运行，或者无法保证电子交易的公平、公正和安全时，采购机构可中止电子交易活动：</w:t>
      </w:r>
    </w:p>
    <w:p w14:paraId="00F1B663">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430E62E2">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55BBB5AD">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48CCA078">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3FF3C25F">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（4）其他无法保证电子交易的公平、公正和安全的情况。</w:t>
      </w:r>
    </w:p>
    <w:p w14:paraId="1AA826B2">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B999D9A">
      <w:pPr>
        <w:pStyle w:val="12"/>
        <w:wordWrap w:val="0"/>
        <w:snapToGrid w:val="0"/>
        <w:spacing w:line="360" w:lineRule="auto"/>
        <w:ind w:firstLine="420" w:firstLineChars="200"/>
        <w:rPr>
          <w:rFonts w:hint="eastAsia" w:hAnsi="宋体" w:cs="宋体"/>
          <w:color w:val="auto"/>
          <w:highlight w:val="none"/>
        </w:rPr>
      </w:pPr>
    </w:p>
    <w:p w14:paraId="2F7C9533">
      <w:pPr>
        <w:pStyle w:val="4"/>
        <w:keepNext w:val="0"/>
        <w:keepLines w:val="0"/>
        <w:wordWrap w:val="0"/>
        <w:spacing w:line="360" w:lineRule="auto"/>
        <w:jc w:val="center"/>
        <w:rPr>
          <w:rFonts w:hint="eastAsia" w:ascii="宋体" w:hAnsi="宋体" w:cs="宋体"/>
          <w:color w:val="auto"/>
          <w:highlight w:val="none"/>
        </w:rPr>
      </w:pPr>
      <w:bookmarkStart w:id="97" w:name="_Toc254970687"/>
      <w:bookmarkStart w:id="98" w:name="_Toc254970546"/>
      <w:bookmarkStart w:id="99" w:name="_Toc31214"/>
      <w:r>
        <w:rPr>
          <w:rFonts w:hint="eastAsia" w:ascii="宋体" w:hAnsi="宋体" w:cs="宋体"/>
          <w:color w:val="auto"/>
          <w:highlight w:val="none"/>
        </w:rPr>
        <w:t>七、</w:t>
      </w:r>
      <w:bookmarkEnd w:id="97"/>
      <w:bookmarkEnd w:id="98"/>
      <w:r>
        <w:rPr>
          <w:rFonts w:hint="eastAsia" w:ascii="宋体" w:hAnsi="宋体" w:cs="宋体"/>
          <w:color w:val="auto"/>
          <w:highlight w:val="none"/>
        </w:rPr>
        <w:t>中标和合同</w:t>
      </w:r>
      <w:bookmarkEnd w:id="99"/>
    </w:p>
    <w:p w14:paraId="5CAAD3B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30.确定中标供应商</w:t>
      </w:r>
    </w:p>
    <w:p w14:paraId="3FAB49CD">
      <w:pPr>
        <w:wordWrap w:val="0"/>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30.1本项目授权评标委员会直接按第四章“评标方法及标准”的规定排列中标候选人顺序，并依照次序确定中标供应商。</w:t>
      </w:r>
    </w:p>
    <w:p w14:paraId="24DB163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供应商的，应当依法另行确定中标供应商；否则应当重新开展采购活动。</w:t>
      </w:r>
    </w:p>
    <w:p w14:paraId="7A533D5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30.3中标供应商无正当理由拒签合同的，根据《中华人民共和国政府采购法》第七十七条第一款规定处理。</w:t>
      </w:r>
    </w:p>
    <w:p w14:paraId="1593DE4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30.4根据《中华人民共和国民法典》</w:t>
      </w:r>
      <w:r>
        <w:rPr>
          <w:rFonts w:hint="eastAsia" w:ascii="宋体" w:hAnsi="宋体" w:cs="宋体"/>
          <w:color w:val="auto"/>
          <w:sz w:val="19"/>
          <w:szCs w:val="19"/>
          <w:highlight w:val="none"/>
        </w:rPr>
        <w:t>第五百六十三条</w:t>
      </w:r>
      <w:r>
        <w:rPr>
          <w:rFonts w:hint="eastAsia" w:ascii="宋体" w:hAnsi="宋体" w:cs="宋体"/>
          <w:color w:val="auto"/>
          <w:szCs w:val="21"/>
          <w:highlight w:val="none"/>
        </w:rPr>
        <w:t>，因不可抗力致使不能实现合同目的的，当事人可以解除合同。</w:t>
      </w:r>
    </w:p>
    <w:p w14:paraId="4EBAD6D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 结果公告</w:t>
      </w:r>
    </w:p>
    <w:p w14:paraId="07A7FF68">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31.1</w:t>
      </w:r>
      <w:r>
        <w:rPr>
          <w:rFonts w:hint="eastAsia" w:ascii="宋体" w:hAnsi="宋体" w:cs="宋体"/>
          <w:color w:val="auto"/>
          <w:highlight w:val="none"/>
        </w:rPr>
        <w:t>在中标供应商确定之日起2个工作日内，由采购代理机构</w:t>
      </w:r>
      <w:r>
        <w:rPr>
          <w:rFonts w:hint="eastAsia" w:ascii="宋体" w:hAnsi="宋体" w:cs="宋体"/>
          <w:b/>
          <w:color w:val="auto"/>
          <w:szCs w:val="21"/>
          <w:highlight w:val="none"/>
        </w:rPr>
        <w:t>在招标公告发布媒体上</w:t>
      </w:r>
      <w:r>
        <w:rPr>
          <w:rFonts w:hint="eastAsia" w:ascii="宋体" w:hAnsi="宋体" w:cs="宋体"/>
          <w:color w:val="auto"/>
          <w:highlight w:val="none"/>
        </w:rPr>
        <w:t>发布中标结果公告，中标结果公告期限为1个工作日，发布中标结果公告的同时向中标供应商发出中标通知书。</w:t>
      </w:r>
      <w:r>
        <w:rPr>
          <w:rFonts w:hint="eastAsia" w:ascii="宋体" w:hAnsi="宋体" w:cs="宋体"/>
          <w:b/>
          <w:color w:val="auto"/>
          <w:szCs w:val="21"/>
          <w:highlight w:val="none"/>
        </w:rPr>
        <w:t>采购代理机构发出中标通知书前，应当对中标供应商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供应商。</w:t>
      </w:r>
      <w:r>
        <w:rPr>
          <w:rFonts w:hint="eastAsia" w:ascii="宋体" w:hAnsi="宋体" w:cs="宋体"/>
          <w:color w:val="auto"/>
          <w:szCs w:val="21"/>
          <w:highlight w:val="none"/>
        </w:rPr>
        <w:t>排名第二的中标候选人因前款规定的同样原因被取消中标资格的，授权的评标委员会可以确定排名第三的中标候选人为中标供应商，以此类推。</w:t>
      </w:r>
    </w:p>
    <w:p w14:paraId="1ACFFF8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以上信息查询记录及相关证据与采购文件一并保存。</w:t>
      </w:r>
    </w:p>
    <w:p w14:paraId="6F753794">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1A238809">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32.发出中标通知书</w:t>
      </w:r>
    </w:p>
    <w:p w14:paraId="2395E39A">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32.1在发布中标公告的同时，采购代理机构向中标供应商通过“广西政府采购云”平台发出电子中标通知书。</w:t>
      </w:r>
    </w:p>
    <w:p w14:paraId="07CCA966">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32.2对未通过资格审查的投标人，采购人或采购机构应当告知其未通过的原因；采用综合评分办法评审的，采购人或采购机构还应当告知未中标供应商本人的评审得分与排序。</w:t>
      </w:r>
    </w:p>
    <w:p w14:paraId="57A5A2E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 无义务解释未中标原因</w:t>
      </w:r>
    </w:p>
    <w:p w14:paraId="61FAFBB6">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采购代理机构无义务向未中标的投标人解释未中标原因和退还投标文件。</w:t>
      </w:r>
    </w:p>
    <w:p w14:paraId="2C1866F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34.合同授予标准</w:t>
      </w:r>
    </w:p>
    <w:p w14:paraId="162DD69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合同将授予被确定实质上响应招标文件要求，具备履行合同能力的中标供应商（招标文件另有约定多名中标供应商的除外）。</w:t>
      </w:r>
    </w:p>
    <w:p w14:paraId="7B0CBD0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35.履约保证金</w:t>
      </w:r>
    </w:p>
    <w:p w14:paraId="12AD4889">
      <w:pPr>
        <w:wordWrap w:val="0"/>
        <w:spacing w:line="360" w:lineRule="auto"/>
        <w:ind w:firstLine="420" w:firstLineChars="200"/>
        <w:rPr>
          <w:rFonts w:hint="eastAsia" w:ascii="宋体" w:hAnsi="宋体" w:cs="宋体"/>
          <w:color w:val="auto"/>
          <w:szCs w:val="21"/>
          <w:highlight w:val="none"/>
        </w:rPr>
      </w:pPr>
      <w:bookmarkStart w:id="100" w:name="_39.1中标人须于签订合同前按本须知前附表规定的金额转账或电汇到指定账"/>
      <w:bookmarkEnd w:id="100"/>
      <w:r>
        <w:rPr>
          <w:rFonts w:hint="eastAsia" w:ascii="宋体" w:hAnsi="宋体" w:cs="宋体"/>
          <w:color w:val="auto"/>
          <w:szCs w:val="21"/>
          <w:highlight w:val="none"/>
        </w:rPr>
        <w:t>见“投标人须知前附表”。</w:t>
      </w:r>
    </w:p>
    <w:p w14:paraId="2AEA29A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36.签订合同</w:t>
      </w:r>
    </w:p>
    <w:p w14:paraId="13310876">
      <w:pPr>
        <w:pStyle w:val="32"/>
        <w:wordWrap w:val="0"/>
        <w:snapToGrid w:val="0"/>
        <w:spacing w:before="0"/>
        <w:ind w:firstLine="422"/>
        <w:rPr>
          <w:rFonts w:hint="eastAsia" w:ascii="宋体" w:hAnsi="宋体" w:cs="宋体"/>
          <w:color w:val="auto"/>
          <w:kern w:val="0"/>
          <w:sz w:val="21"/>
          <w:szCs w:val="21"/>
          <w:highlight w:val="none"/>
          <w:lang w:val="zh-CN"/>
        </w:rPr>
      </w:pPr>
      <w:bookmarkStart w:id="101" w:name="_40.1投标人接到中标通知书后，按须知前附表规定向采购人出示相关资格证"/>
      <w:bookmarkEnd w:id="101"/>
      <w:r>
        <w:rPr>
          <w:rFonts w:hint="eastAsia" w:ascii="宋体" w:hAnsi="宋体" w:cs="宋体"/>
          <w:b/>
          <w:color w:val="auto"/>
          <w:sz w:val="21"/>
          <w:szCs w:val="21"/>
          <w:highlight w:val="none"/>
        </w:rPr>
        <w:t xml:space="preserve"> 36.1中标供应商领取电子中标通知书后，</w:t>
      </w:r>
      <w:r>
        <w:rPr>
          <w:rFonts w:hint="eastAsia" w:ascii="宋体" w:hAnsi="宋体" w:cs="宋体"/>
          <w:color w:val="auto"/>
          <w:kern w:val="0"/>
          <w:sz w:val="21"/>
          <w:szCs w:val="21"/>
          <w:highlight w:val="none"/>
          <w:lang w:val="zh-CN"/>
        </w:rPr>
        <w:t>按规定的日期、时间、地点，由法定代表人或其授权代表与采购人代表签订电子采购合同。如中标供应商为联合体的，由联合体成员各方法定代表人或其授权代表与采购人代表签订合同，签订携带资料详见“投标人须知前附表”。</w:t>
      </w:r>
    </w:p>
    <w:p w14:paraId="5C5AAA23">
      <w:pPr>
        <w:pStyle w:val="32"/>
        <w:wordWrap w:val="0"/>
        <w:snapToGrid w:val="0"/>
        <w:spacing w:before="0"/>
        <w:ind w:firstLine="420"/>
        <w:rPr>
          <w:rFonts w:hint="eastAsia" w:ascii="宋体" w:hAnsi="宋体" w:cs="宋体"/>
          <w:color w:val="auto"/>
          <w:kern w:val="0"/>
          <w:sz w:val="21"/>
          <w:szCs w:val="21"/>
          <w:highlight w:val="none"/>
          <w:lang w:val="zh-CN"/>
        </w:rPr>
      </w:pPr>
      <w:r>
        <w:rPr>
          <w:rFonts w:hint="eastAsia" w:ascii="宋体" w:hAnsi="宋体" w:cs="宋体"/>
          <w:color w:val="auto"/>
          <w:kern w:val="0"/>
          <w:sz w:val="21"/>
          <w:szCs w:val="21"/>
          <w:highlight w:val="none"/>
          <w:lang w:val="zh-CN"/>
        </w:rPr>
        <w:t>36.2</w:t>
      </w:r>
      <w:r>
        <w:rPr>
          <w:rFonts w:hint="eastAsia" w:ascii="宋体" w:hAnsi="宋体" w:cs="宋体"/>
          <w:color w:val="auto"/>
          <w:sz w:val="21"/>
          <w:szCs w:val="21"/>
          <w:highlight w:val="none"/>
        </w:rPr>
        <w:t>采购合同由采购人与中标供应商根据招标文件、投标文件等内容通过政府采购电子交易平台在线签订，自动备案。</w:t>
      </w:r>
    </w:p>
    <w:p w14:paraId="6065A9AA">
      <w:pPr>
        <w:pStyle w:val="32"/>
        <w:wordWrap w:val="0"/>
        <w:snapToGri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36.3签订合同时间：按中标通知书规定的时间与采购人签订合同（最长不能超过25日）。</w:t>
      </w:r>
    </w:p>
    <w:p w14:paraId="4E7F4EF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36.4中标供应商拒绝与采购人签订合同的，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01E4AE1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95EE06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0F69767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36.7如签订合同并生效后，供应商无故拒绝或延期，除按照合同条款处理外，将承担相应的法律责任。</w:t>
      </w:r>
    </w:p>
    <w:p w14:paraId="0853CAB6">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64E0A183">
      <w:pPr>
        <w:wordWrap w:val="0"/>
        <w:spacing w:line="360" w:lineRule="auto"/>
        <w:ind w:firstLine="480" w:firstLineChars="200"/>
        <w:rPr>
          <w:rFonts w:hint="eastAsia" w:ascii="宋体" w:hAnsi="宋体" w:cs="宋体"/>
          <w:color w:val="auto"/>
          <w:sz w:val="24"/>
          <w:highlight w:val="none"/>
        </w:rPr>
      </w:pPr>
      <w:bookmarkStart w:id="102" w:name="_41.政府采购合同公告"/>
      <w:bookmarkEnd w:id="102"/>
      <w:r>
        <w:rPr>
          <w:rFonts w:hint="eastAsia" w:ascii="宋体" w:hAnsi="宋体" w:cs="宋体"/>
          <w:color w:val="auto"/>
          <w:sz w:val="24"/>
          <w:highlight w:val="none"/>
        </w:rPr>
        <w:t>37.政府采购合同公告</w:t>
      </w:r>
    </w:p>
    <w:p w14:paraId="563D407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采购人或者受托采购代理机构应当自政府采购合同签订之日起2个工作日内，将政府采购合同</w:t>
      </w:r>
      <w:r>
        <w:rPr>
          <w:rFonts w:hint="eastAsia" w:ascii="宋体" w:hAnsi="宋体" w:cs="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ascii="宋体" w:hAnsi="宋体" w:cs="宋体"/>
          <w:color w:val="auto"/>
          <w:highlight w:val="none"/>
        </w:rPr>
        <w:t>上公告，但政府采购合同中涉及国家秘密、商业秘密的内容除外。</w:t>
      </w:r>
      <w:permStart w:id="0" w:edGrp="everyone"/>
      <w:permEnd w:id="0"/>
    </w:p>
    <w:p w14:paraId="26517F7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38. 询问、质疑和投诉</w:t>
      </w:r>
    </w:p>
    <w:p w14:paraId="28448C8A">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38.1询问</w:t>
      </w:r>
    </w:p>
    <w:p w14:paraId="60AD62F7">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38.1.1供应商在开标前对政府采购活动事项有疑问的，可以向采购人或采购代理机构项目负责人提出询问。</w:t>
      </w:r>
    </w:p>
    <w:p w14:paraId="2BA585FF">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38.1.2采购人或采购人委托的采购代理机构自受理询问之日起3个工作日内对供应商依法提出的询问作出答复，</w:t>
      </w:r>
      <w:r>
        <w:rPr>
          <w:rFonts w:hint="eastAsia" w:ascii="宋体" w:hAnsi="宋体" w:cs="宋体"/>
          <w:color w:val="auto"/>
          <w:highlight w:val="none"/>
        </w:rPr>
        <w:t>但答复内容不得涉及商业秘密</w:t>
      </w:r>
      <w:r>
        <w:rPr>
          <w:rFonts w:hint="eastAsia" w:ascii="宋体" w:hAnsi="宋体" w:cs="宋体"/>
          <w:bCs/>
          <w:color w:val="auto"/>
          <w:szCs w:val="21"/>
          <w:highlight w:val="none"/>
        </w:rPr>
        <w:t>。</w:t>
      </w:r>
    </w:p>
    <w:p w14:paraId="2160098A">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38.1.3 询问事项可能影响中标、成交结果的，采购人应当暂停签订合同，已经签订合同的，应当中止履行合同。</w:t>
      </w:r>
    </w:p>
    <w:p w14:paraId="29A541A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38.2质疑</w:t>
      </w:r>
    </w:p>
    <w:p w14:paraId="57BC9866">
      <w:pPr>
        <w:wordWrap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38.2.1</w:t>
      </w:r>
      <w:r>
        <w:rPr>
          <w:rFonts w:hint="eastAsia" w:ascii="宋体" w:hAnsi="宋体" w:cs="宋体"/>
          <w:b/>
          <w:color w:val="auto"/>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2A3CE55D">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（1）潜在供应商依法获取公开招标文件后，认为采购文件使自己的权益受到损害的，应当在公开招标文件公告期限届满之日起7个工作日内提出质疑。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0C0C913B">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13CE44F">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（3）供应商认为中标或者成交结果使自己的权益受到损害的，应当在中标或者成交结果公告期限届满之日起7个工作日内提出质疑，由采购人受理并负责答复。</w:t>
      </w:r>
    </w:p>
    <w:p w14:paraId="6E209F46">
      <w:pPr>
        <w:wordWrap w:val="0"/>
        <w:spacing w:line="360" w:lineRule="auto"/>
        <w:ind w:firstLine="422" w:firstLineChars="200"/>
        <w:rPr>
          <w:rFonts w:hint="eastAsia" w:ascii="宋体" w:hAnsi="宋体" w:cs="宋体"/>
          <w:bCs/>
          <w:color w:val="auto"/>
          <w:szCs w:val="21"/>
          <w:highlight w:val="none"/>
        </w:rPr>
      </w:pPr>
      <w:r>
        <w:rPr>
          <w:rFonts w:hint="eastAsia" w:ascii="宋体" w:hAnsi="宋体" w:cs="宋体"/>
          <w:b/>
          <w:bCs/>
          <w:color w:val="auto"/>
          <w:szCs w:val="21"/>
          <w:highlight w:val="none"/>
        </w:rPr>
        <w:t>38.2.2</w:t>
      </w:r>
      <w:r>
        <w:rPr>
          <w:rFonts w:hint="eastAsia" w:ascii="宋体" w:hAnsi="宋体" w:cs="宋体"/>
          <w:bCs/>
          <w:color w:val="auto"/>
          <w:szCs w:val="21"/>
          <w:highlight w:val="none"/>
        </w:rPr>
        <w:t>供应商质疑实行实名制，其质疑应当有具体的质疑事项及事实根据，质疑应当坚持依法依规、诚实信用原则，不得进行虚假、恶意质疑。</w:t>
      </w:r>
    </w:p>
    <w:p w14:paraId="64134D10">
      <w:pPr>
        <w:wordWrap w:val="0"/>
        <w:spacing w:line="360" w:lineRule="auto"/>
        <w:ind w:firstLine="422" w:firstLineChars="200"/>
        <w:rPr>
          <w:rFonts w:hint="eastAsia" w:ascii="宋体" w:hAnsi="宋体" w:cs="宋体"/>
          <w:bCs/>
          <w:color w:val="auto"/>
          <w:highlight w:val="none"/>
        </w:rPr>
      </w:pPr>
      <w:r>
        <w:rPr>
          <w:rFonts w:hint="eastAsia" w:ascii="宋体" w:hAnsi="宋体" w:cs="宋体"/>
          <w:b/>
          <w:bCs/>
          <w:color w:val="auto"/>
          <w:highlight w:val="none"/>
        </w:rPr>
        <w:t>38.2.3</w:t>
      </w:r>
      <w:r>
        <w:rPr>
          <w:rFonts w:hint="eastAsia" w:ascii="宋体" w:hAnsi="宋体" w:cs="宋体"/>
          <w:bCs/>
          <w:color w:val="auto"/>
          <w:highlight w:val="none"/>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highlight w:val="none"/>
        </w:rPr>
        <w:t>。</w:t>
      </w:r>
    </w:p>
    <w:p w14:paraId="4A6637B0">
      <w:pPr>
        <w:wordWrap w:val="0"/>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rPr>
        <w:t>38.2.4 质疑供应商提起质疑应当符合下列条件：</w:t>
      </w:r>
    </w:p>
    <w:p w14:paraId="6E0FE4A3">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（1）质疑供应商是参与所质疑</w:t>
      </w:r>
      <w:r>
        <w:rPr>
          <w:rFonts w:hint="eastAsia" w:ascii="宋体" w:hAnsi="宋体" w:cs="宋体"/>
          <w:bCs/>
          <w:color w:val="auto"/>
          <w:szCs w:val="21"/>
          <w:highlight w:val="none"/>
        </w:rPr>
        <w:t>项目</w:t>
      </w:r>
      <w:r>
        <w:rPr>
          <w:rFonts w:hint="eastAsia" w:ascii="宋体" w:hAnsi="宋体" w:cs="宋体"/>
          <w:bCs/>
          <w:color w:val="auto"/>
          <w:highlight w:val="none"/>
        </w:rPr>
        <w:t>采购活动的供应商（潜在供应商已依法获取可之一的采购文件的，可以对该采购文件质疑）；</w:t>
      </w:r>
    </w:p>
    <w:p w14:paraId="1602EBB9">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（2）质疑函内容符合本章第38.2.5项的规定；</w:t>
      </w:r>
    </w:p>
    <w:p w14:paraId="5152C286">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（3）在质疑有效期限内提起质疑；</w:t>
      </w:r>
    </w:p>
    <w:p w14:paraId="0BC4FC05">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（4）属于所质疑的采购人或采购人委托的采购代理机构组织的采购活动；</w:t>
      </w:r>
    </w:p>
    <w:p w14:paraId="0010FCCF">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xml:space="preserve">（5）同一质疑事项未经采购人或采购人委托的采购代理机构质疑处理； </w:t>
      </w:r>
    </w:p>
    <w:p w14:paraId="7E17C407">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（6）供应商对同一采购程序环节的质疑应当在质疑有效期内一次性提出；</w:t>
      </w:r>
    </w:p>
    <w:p w14:paraId="2CDDC67A">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（7）供应商提交质疑应当提交必要的证明材料，证明材料应以合法手段取得；</w:t>
      </w:r>
    </w:p>
    <w:p w14:paraId="70D1B7F5">
      <w:pPr>
        <w:wordWrap w:val="0"/>
        <w:spacing w:line="360" w:lineRule="auto"/>
        <w:ind w:firstLine="420" w:firstLineChars="200"/>
        <w:rPr>
          <w:rFonts w:hint="eastAsia" w:ascii="宋体" w:hAnsi="宋体" w:cs="宋体"/>
          <w:color w:val="auto"/>
          <w:highlight w:val="none"/>
        </w:rPr>
      </w:pPr>
      <w:r>
        <w:rPr>
          <w:rFonts w:hint="eastAsia" w:ascii="宋体" w:hAnsi="宋体" w:cs="宋体"/>
          <w:bCs/>
          <w:color w:val="auto"/>
          <w:highlight w:val="none"/>
        </w:rPr>
        <w:t>（8）财政部门规定的其他条件。</w:t>
      </w:r>
    </w:p>
    <w:p w14:paraId="6928E1CE">
      <w:pPr>
        <w:wordWrap w:val="0"/>
        <w:spacing w:line="360" w:lineRule="auto"/>
        <w:ind w:firstLine="420" w:firstLineChars="200"/>
        <w:rPr>
          <w:rFonts w:hint="eastAsia" w:ascii="宋体" w:hAnsi="宋体" w:cs="宋体"/>
          <w:b/>
          <w:color w:val="auto"/>
          <w:szCs w:val="21"/>
          <w:highlight w:val="none"/>
        </w:rPr>
      </w:pPr>
      <w:bookmarkStart w:id="103" w:name="_9.2质疑、投诉应当采用书面形式，质疑函、投诉书均应明确阐述招标文件、"/>
      <w:bookmarkEnd w:id="103"/>
      <w:r>
        <w:rPr>
          <w:rFonts w:hint="eastAsia" w:ascii="宋体" w:hAnsi="宋体" w:cs="宋体"/>
          <w:color w:val="auto"/>
          <w:szCs w:val="21"/>
          <w:highlight w:val="none"/>
        </w:rPr>
        <w:t xml:space="preserve"> 38.2.5 </w:t>
      </w:r>
      <w:r>
        <w:rPr>
          <w:rFonts w:hint="eastAsia" w:ascii="宋体" w:hAnsi="宋体" w:cs="宋体"/>
          <w:bCs/>
          <w:color w:val="auto"/>
          <w:highlight w:val="none"/>
        </w:rPr>
        <w:t>供应商提出质疑应当提交质疑函和必要的证明材料，针对同一采购程序环节的质疑必须在法定质疑期内一次性提出。质疑函应当包括下列内容（质疑函格式后附）：</w:t>
      </w:r>
    </w:p>
    <w:p w14:paraId="6A666698">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（1）供应商的姓名或者名称、地址、邮编、联系人及联系电话；</w:t>
      </w:r>
    </w:p>
    <w:p w14:paraId="6343D5A8">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（2）质疑项目的名称、编号；</w:t>
      </w:r>
    </w:p>
    <w:p w14:paraId="3A037763">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（3）具体、明确的质疑事项和与质疑事项相关的请求；</w:t>
      </w:r>
    </w:p>
    <w:p w14:paraId="51BBE302">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（4）事实依据（列明权益受到损害的事实和理由）；</w:t>
      </w:r>
    </w:p>
    <w:p w14:paraId="44B9E85A">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（5）必要的法律依据；</w:t>
      </w:r>
    </w:p>
    <w:p w14:paraId="172A5EFC">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（6）提出质疑的日期。</w:t>
      </w:r>
    </w:p>
    <w:p w14:paraId="18AFE6B9">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供应商为自然人的，应当由本人签字；供应商为法人或者其他组织的，应当由法定代表人、主要负责人，或者其委托代理人签字或者盖章，并加盖公章。</w:t>
      </w:r>
    </w:p>
    <w:p w14:paraId="3EB4153D">
      <w:pPr>
        <w:wordWrap w:val="0"/>
        <w:spacing w:line="360" w:lineRule="auto"/>
        <w:ind w:firstLine="422" w:firstLineChars="200"/>
        <w:rPr>
          <w:rFonts w:hint="eastAsia" w:ascii="宋体" w:hAnsi="宋体" w:cs="宋体"/>
          <w:b/>
          <w:color w:val="auto"/>
          <w:szCs w:val="20"/>
          <w:highlight w:val="none"/>
        </w:rPr>
      </w:pPr>
      <w:r>
        <w:rPr>
          <w:rFonts w:hint="eastAsia" w:ascii="宋体" w:hAnsi="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4B77D205">
      <w:pPr>
        <w:wordWrap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3</w:t>
      </w:r>
      <w:r>
        <w:rPr>
          <w:rFonts w:hint="eastAsia" w:ascii="宋体" w:hAnsi="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46D22EEA">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227DF890">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03ECC3F8">
      <w:pPr>
        <w:wordWrap w:val="0"/>
        <w:spacing w:line="360"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质疑答复导致中标结果改变的，采购人或者采购代理机构应当将有关情况书面报告本级财政部门。</w:t>
      </w:r>
    </w:p>
    <w:p w14:paraId="0C7B5510">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38.3投诉</w:t>
      </w:r>
    </w:p>
    <w:p w14:paraId="12018BC9">
      <w:pPr>
        <w:wordWrap w:val="0"/>
        <w:spacing w:line="360" w:lineRule="auto"/>
        <w:ind w:firstLine="422" w:firstLineChars="200"/>
        <w:rPr>
          <w:rFonts w:hint="eastAsia" w:ascii="宋体" w:hAnsi="宋体" w:cs="宋体"/>
          <w:bCs/>
          <w:color w:val="auto"/>
          <w:highlight w:val="none"/>
        </w:rPr>
      </w:pPr>
      <w:r>
        <w:rPr>
          <w:rFonts w:hint="eastAsia" w:ascii="宋体" w:hAnsi="宋体" w:cs="宋体"/>
          <w:b/>
          <w:color w:val="auto"/>
          <w:highlight w:val="none"/>
        </w:rPr>
        <w:t>38.3</w:t>
      </w:r>
      <w:r>
        <w:rPr>
          <w:rFonts w:hint="eastAsia" w:ascii="宋体" w:hAnsi="宋体" w:cs="宋体"/>
          <w:bCs/>
          <w:color w:val="auto"/>
          <w:highlight w:val="none"/>
        </w:rPr>
        <w:t>.</w:t>
      </w:r>
      <w:r>
        <w:rPr>
          <w:rFonts w:hint="eastAsia" w:ascii="宋体" w:hAnsi="宋体" w:cs="宋体"/>
          <w:b/>
          <w:bCs/>
          <w:color w:val="auto"/>
          <w:highlight w:val="none"/>
        </w:rPr>
        <w:t xml:space="preserve">1 </w:t>
      </w:r>
      <w:r>
        <w:rPr>
          <w:rFonts w:hint="eastAsia" w:ascii="宋体" w:hAnsi="宋体" w:cs="宋体"/>
          <w:bCs/>
          <w:color w:val="auto"/>
          <w:highlight w:val="none"/>
        </w:rPr>
        <w:t xml:space="preserve"> 供应商认为采购文件、采购过程、中标和成交结果使自己的合法权益受到损害的，应当首先依法向采购人或采购人委托的</w:t>
      </w:r>
      <w:r>
        <w:rPr>
          <w:rFonts w:hint="eastAsia" w:ascii="宋体" w:hAnsi="宋体" w:cs="宋体"/>
          <w:color w:val="auto"/>
          <w:highlight w:val="none"/>
        </w:rPr>
        <w:t>采购代理机构</w:t>
      </w:r>
      <w:r>
        <w:rPr>
          <w:rFonts w:hint="eastAsia" w:ascii="宋体" w:hAnsi="宋体" w:cs="宋体"/>
          <w:bCs/>
          <w:color w:val="auto"/>
          <w:highlight w:val="none"/>
        </w:rPr>
        <w:t>提出质疑。对采购人、</w:t>
      </w:r>
      <w:r>
        <w:rPr>
          <w:rFonts w:hint="eastAsia" w:ascii="宋体" w:hAnsi="宋体" w:cs="宋体"/>
          <w:color w:val="auto"/>
          <w:highlight w:val="none"/>
        </w:rPr>
        <w:t>采购代理机构</w:t>
      </w:r>
      <w:r>
        <w:rPr>
          <w:rFonts w:hint="eastAsia" w:ascii="宋体" w:hAnsi="宋体" w:cs="宋体"/>
          <w:bCs/>
          <w:color w:val="auto"/>
          <w:highlight w:val="none"/>
        </w:rPr>
        <w:t>的答复不满意，或者采购人、</w:t>
      </w:r>
      <w:r>
        <w:rPr>
          <w:rFonts w:hint="eastAsia" w:ascii="宋体" w:hAnsi="宋体" w:cs="宋体"/>
          <w:color w:val="auto"/>
          <w:highlight w:val="none"/>
        </w:rPr>
        <w:t>采购代理机构</w:t>
      </w:r>
      <w:r>
        <w:rPr>
          <w:rFonts w:hint="eastAsia" w:ascii="宋体" w:hAnsi="宋体" w:cs="宋体"/>
          <w:bCs/>
          <w:color w:val="auto"/>
          <w:highlight w:val="none"/>
        </w:rPr>
        <w:t>未在规定期限内做出答复的，供应商可以在答复期满后15个工作日内向南宁市政府采购监督管理部门提起投诉，投诉方式见“投标人须知前附表”。</w:t>
      </w:r>
    </w:p>
    <w:p w14:paraId="287A4695">
      <w:pPr>
        <w:wordWrap w:val="0"/>
        <w:spacing w:line="360" w:lineRule="auto"/>
        <w:ind w:firstLine="422" w:firstLineChars="200"/>
        <w:rPr>
          <w:rFonts w:hint="eastAsia" w:ascii="宋体" w:hAnsi="宋体" w:cs="宋体"/>
          <w:bCs/>
          <w:color w:val="auto"/>
          <w:highlight w:val="none"/>
        </w:rPr>
      </w:pPr>
      <w:r>
        <w:rPr>
          <w:rFonts w:hint="eastAsia" w:ascii="宋体" w:hAnsi="宋体" w:cs="宋体"/>
          <w:b/>
          <w:color w:val="auto"/>
          <w:highlight w:val="none"/>
        </w:rPr>
        <w:t xml:space="preserve">38.3.2 </w:t>
      </w:r>
      <w:r>
        <w:rPr>
          <w:rFonts w:hint="eastAsia" w:ascii="宋体" w:hAnsi="宋体" w:cs="宋体"/>
          <w:color w:val="auto"/>
          <w:highlight w:val="none"/>
        </w:rPr>
        <w:t xml:space="preserve"> 投诉人投诉时，应当提交投诉书，并按照被投诉采购人、采购代理机构和与投诉事项有关的供应商数量提供投诉书的副本。投诉书</w:t>
      </w:r>
      <w:r>
        <w:rPr>
          <w:rFonts w:hint="eastAsia" w:ascii="宋体" w:hAnsi="宋体" w:cs="宋体"/>
          <w:color w:val="auto"/>
          <w:szCs w:val="21"/>
          <w:highlight w:val="none"/>
        </w:rPr>
        <w:t>应当包括下列主要内容</w:t>
      </w:r>
      <w:r>
        <w:rPr>
          <w:rFonts w:hint="eastAsia" w:ascii="宋体" w:hAnsi="宋体" w:cs="宋体"/>
          <w:color w:val="auto"/>
          <w:highlight w:val="none"/>
        </w:rPr>
        <w:t>（如材料中有外文资料应同时附上对应的中文译本）</w:t>
      </w:r>
      <w:r>
        <w:rPr>
          <w:rFonts w:hint="eastAsia" w:ascii="宋体" w:hAnsi="宋体" w:cs="宋体"/>
          <w:bCs/>
          <w:color w:val="auto"/>
          <w:highlight w:val="none"/>
        </w:rPr>
        <w:t>（投诉书格式后附）</w:t>
      </w:r>
      <w:r>
        <w:rPr>
          <w:rFonts w:hint="eastAsia" w:ascii="宋体" w:hAnsi="宋体" w:cs="宋体"/>
          <w:color w:val="auto"/>
          <w:szCs w:val="21"/>
          <w:highlight w:val="none"/>
        </w:rPr>
        <w:t>：</w:t>
      </w:r>
    </w:p>
    <w:p w14:paraId="47B6311E">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（1）投诉人和被投诉人的名称、地址、邮编、联系人及联系电话等； </w:t>
      </w:r>
    </w:p>
    <w:p w14:paraId="27804272">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（2）质疑和质疑答复情况及相关证明材料； </w:t>
      </w:r>
    </w:p>
    <w:p w14:paraId="65388022">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（3）具体、明确的投诉事项和与投诉事项相关的投诉请求；</w:t>
      </w:r>
    </w:p>
    <w:p w14:paraId="4FFD83E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58465D5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（5）法律依据；</w:t>
      </w:r>
    </w:p>
    <w:p w14:paraId="08DB2CD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（6）提起投诉的日期。</w:t>
      </w:r>
    </w:p>
    <w:p w14:paraId="2DBBB90D">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（7）附件材料：营业执照副本内页复印件（要求证件有效并清晰反映企业法人经营范围；近期连续三个月依法缴纳税收和在职职工社会保障资金证明材料（复印件）。</w:t>
      </w:r>
      <w:r>
        <w:rPr>
          <w:rFonts w:hint="eastAsia" w:ascii="宋体" w:hAnsi="宋体" w:cs="宋体"/>
          <w:color w:val="auto"/>
          <w:highlight w:val="none"/>
        </w:rPr>
        <w:tab/>
      </w:r>
    </w:p>
    <w:p w14:paraId="0B7EDC78">
      <w:pPr>
        <w:wordWrap w:val="0"/>
        <w:spacing w:line="360" w:lineRule="auto"/>
        <w:ind w:firstLine="422" w:firstLineChars="200"/>
        <w:rPr>
          <w:rFonts w:hint="eastAsia" w:ascii="宋体" w:hAnsi="宋体" w:cs="宋体"/>
          <w:bCs/>
          <w:color w:val="auto"/>
          <w:highlight w:val="none"/>
        </w:rPr>
      </w:pPr>
      <w:r>
        <w:rPr>
          <w:rFonts w:hint="eastAsia" w:ascii="宋体" w:hAnsi="宋体" w:cs="宋体"/>
          <w:b/>
          <w:color w:val="auto"/>
          <w:highlight w:val="none"/>
        </w:rPr>
        <w:t xml:space="preserve">38.3.3  </w:t>
      </w:r>
      <w:r>
        <w:rPr>
          <w:rFonts w:hint="eastAsia" w:ascii="宋体" w:hAnsi="宋体" w:cs="宋体"/>
          <w:color w:val="auto"/>
          <w:highlight w:val="none"/>
        </w:rPr>
        <w:t>投诉人可以委托代理人办理投诉事务。</w:t>
      </w:r>
      <w:r>
        <w:rPr>
          <w:rFonts w:hint="eastAsia" w:ascii="宋体" w:hAnsi="宋体" w:cs="宋体"/>
          <w:bCs/>
          <w:color w:val="auto"/>
          <w:highlight w:val="none"/>
        </w:rPr>
        <w:t>委托代理人应熟悉相关业务情况。</w:t>
      </w:r>
      <w:r>
        <w:rPr>
          <w:rFonts w:hint="eastAsia" w:ascii="宋体" w:hAnsi="宋体" w:cs="宋体"/>
          <w:color w:val="auto"/>
          <w:highlight w:val="none"/>
        </w:rPr>
        <w:t>代理人办理投诉事务时，除提交投诉书外，还应当提交投诉人的授权委托书和委托代理人身份证明复印件。</w:t>
      </w:r>
    </w:p>
    <w:p w14:paraId="05BD1653">
      <w:pPr>
        <w:wordWrap w:val="0"/>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t>38.3.4</w:t>
      </w:r>
      <w:r>
        <w:rPr>
          <w:rFonts w:hint="eastAsia" w:ascii="宋体" w:hAnsi="宋体" w:cs="宋体"/>
          <w:color w:val="auto"/>
          <w:highlight w:val="none"/>
        </w:rPr>
        <w:t xml:space="preserve">  投诉人提起投诉应当符合下列条件：</w:t>
      </w:r>
    </w:p>
    <w:p w14:paraId="38828AF0">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（1）投诉人是参与所投诉政府采购活动的供应商；</w:t>
      </w:r>
    </w:p>
    <w:p w14:paraId="5A4ADD26">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（2）提起投诉前已依法进行质疑；</w:t>
      </w:r>
    </w:p>
    <w:p w14:paraId="4EA3D076">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（3）投诉书内容符合本章第38.3.2项的规定；</w:t>
      </w:r>
    </w:p>
    <w:p w14:paraId="111E67F8">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（4）在投诉有效期限内提起投诉；</w:t>
      </w:r>
    </w:p>
    <w:p w14:paraId="12463E31">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（5）属于南宁市政府采购监督管理部门管辖；</w:t>
      </w:r>
    </w:p>
    <w:p w14:paraId="5BCACEED">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（6）同一投诉事项未经</w:t>
      </w:r>
      <w:r>
        <w:rPr>
          <w:rFonts w:hint="eastAsia" w:ascii="宋体" w:hAnsi="宋体" w:cs="宋体"/>
          <w:bCs/>
          <w:color w:val="auto"/>
          <w:highlight w:val="none"/>
        </w:rPr>
        <w:t>南宁市政府采购监督管理部门</w:t>
      </w:r>
      <w:r>
        <w:rPr>
          <w:rFonts w:hint="eastAsia" w:ascii="宋体" w:hAnsi="宋体" w:cs="宋体"/>
          <w:color w:val="auto"/>
          <w:highlight w:val="none"/>
        </w:rPr>
        <w:t>投诉处理；</w:t>
      </w:r>
    </w:p>
    <w:p w14:paraId="7ABAF0E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（7）国务院财政部门规定的其他条件。</w:t>
      </w:r>
    </w:p>
    <w:p w14:paraId="2AF19256">
      <w:pPr>
        <w:wordWrap w:val="0"/>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t>38.3.5</w:t>
      </w:r>
      <w:r>
        <w:rPr>
          <w:rFonts w:hint="eastAsia" w:ascii="宋体" w:hAnsi="宋体" w:cs="宋体"/>
          <w:color w:val="auto"/>
          <w:highlight w:val="none"/>
        </w:rPr>
        <w:t xml:space="preserve">  南宁市政府采购监督管理部门自受理投诉之日起30个工作日内，对投诉事项作出处理决定，并以书面形式通知投诉人、被投诉人及其他与投诉处理结果有利害关系的政府采购当事人。并将投诉结果在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cs="宋体"/>
          <w:color w:val="auto"/>
          <w:kern w:val="0"/>
          <w:szCs w:val="21"/>
          <w:highlight w:val="none"/>
        </w:rPr>
        <w:t>“广西政府采购网”（http://zfcg.gxzf.gov.cn）</w:t>
      </w:r>
      <w:r>
        <w:rPr>
          <w:rFonts w:hint="eastAsia" w:ascii="宋体" w:hAnsi="宋体" w:cs="宋体"/>
          <w:color w:val="auto"/>
          <w:highlight w:val="none"/>
        </w:rPr>
        <w:t>发布。</w:t>
      </w:r>
    </w:p>
    <w:p w14:paraId="073A0888">
      <w:pPr>
        <w:wordWrap w:val="0"/>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t>38.3.6</w:t>
      </w:r>
      <w:r>
        <w:rPr>
          <w:rFonts w:hint="eastAsia" w:ascii="宋体" w:hAnsi="宋体" w:cs="宋体"/>
          <w:color w:val="auto"/>
          <w:highlight w:val="none"/>
        </w:rPr>
        <w:t xml:space="preserve">  南宁市政府采购监督管理部门在处理投诉事项期间，可以视具体情况暂停采购活动。</w:t>
      </w:r>
    </w:p>
    <w:p w14:paraId="068C881C">
      <w:pPr>
        <w:wordWrap w:val="0"/>
        <w:snapToGrid w:val="0"/>
        <w:spacing w:line="360" w:lineRule="auto"/>
        <w:ind w:left="120" w:leftChars="57" w:firstLine="482" w:firstLineChars="150"/>
        <w:jc w:val="center"/>
        <w:outlineLvl w:val="2"/>
        <w:rPr>
          <w:rFonts w:hint="eastAsia" w:ascii="宋体" w:hAnsi="宋体" w:cs="宋体"/>
          <w:b/>
          <w:bCs/>
          <w:color w:val="auto"/>
          <w:sz w:val="32"/>
          <w:szCs w:val="32"/>
          <w:highlight w:val="none"/>
        </w:rPr>
      </w:pPr>
      <w:bookmarkStart w:id="104" w:name="_Toc24730"/>
      <w:r>
        <w:rPr>
          <w:rFonts w:hint="eastAsia" w:ascii="宋体" w:hAnsi="宋体" w:cs="宋体"/>
          <w:b/>
          <w:bCs/>
          <w:color w:val="auto"/>
          <w:sz w:val="32"/>
          <w:szCs w:val="32"/>
          <w:highlight w:val="none"/>
        </w:rPr>
        <w:t>八、验收</w:t>
      </w:r>
      <w:bookmarkEnd w:id="104"/>
    </w:p>
    <w:p w14:paraId="38D5BD2F">
      <w:pPr>
        <w:wordWrap w:val="0"/>
        <w:spacing w:line="360" w:lineRule="auto"/>
        <w:ind w:firstLine="422" w:firstLineChars="200"/>
        <w:rPr>
          <w:rFonts w:hint="eastAsia" w:ascii="宋体" w:hAnsi="宋体" w:cs="宋体"/>
          <w:b/>
          <w:color w:val="auto"/>
          <w:highlight w:val="none"/>
        </w:rPr>
      </w:pPr>
      <w:r>
        <w:rPr>
          <w:rFonts w:hint="eastAsia" w:ascii="宋体" w:hAnsi="宋体" w:cs="宋体"/>
          <w:b/>
          <w:color w:val="auto"/>
          <w:highlight w:val="none"/>
        </w:rPr>
        <w:t>39.验收</w:t>
      </w:r>
    </w:p>
    <w:p w14:paraId="75A5A392">
      <w:pPr>
        <w:tabs>
          <w:tab w:val="left" w:pos="0"/>
        </w:tabs>
        <w:wordWrap w:val="0"/>
        <w:spacing w:line="360" w:lineRule="auto"/>
        <w:ind w:firstLine="420"/>
        <w:rPr>
          <w:rFonts w:hint="eastAsia" w:ascii="宋体" w:hAnsi="宋体" w:cs="宋体"/>
          <w:color w:val="auto"/>
          <w:highlight w:val="none"/>
        </w:rPr>
      </w:pPr>
      <w:r>
        <w:rPr>
          <w:rFonts w:hint="eastAsia" w:ascii="宋体" w:hAnsi="宋体" w:cs="宋体"/>
          <w:color w:val="auto"/>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559CF52">
      <w:pPr>
        <w:tabs>
          <w:tab w:val="left" w:pos="0"/>
        </w:tabs>
        <w:wordWrap w:val="0"/>
        <w:spacing w:line="360" w:lineRule="auto"/>
        <w:ind w:firstLine="420"/>
        <w:rPr>
          <w:rFonts w:hint="eastAsia" w:ascii="宋体" w:hAnsi="宋体" w:cs="宋体"/>
          <w:color w:val="auto"/>
          <w:highlight w:val="none"/>
        </w:rPr>
      </w:pPr>
      <w:r>
        <w:rPr>
          <w:rFonts w:hint="eastAsia" w:ascii="宋体" w:hAnsi="宋体" w:cs="宋体"/>
          <w:color w:val="auto"/>
          <w:highlight w:val="none"/>
        </w:rPr>
        <w:t>39.2采购人可以邀请参加本项目的其他投标人或者第三方机构参与验收。参与验收的投标人或者第三方机构的意见作为验收书的参考资料一并存档。</w:t>
      </w:r>
    </w:p>
    <w:p w14:paraId="6C0AE216">
      <w:pPr>
        <w:tabs>
          <w:tab w:val="left" w:pos="0"/>
        </w:tabs>
        <w:wordWrap w:val="0"/>
        <w:spacing w:line="360" w:lineRule="auto"/>
        <w:ind w:firstLine="420"/>
        <w:rPr>
          <w:rFonts w:hint="eastAsia" w:ascii="宋体" w:hAnsi="宋体" w:cs="宋体"/>
          <w:color w:val="auto"/>
          <w:highlight w:val="none"/>
        </w:rPr>
      </w:pPr>
      <w:r>
        <w:rPr>
          <w:rFonts w:hint="eastAsia" w:ascii="宋体" w:hAnsi="宋体" w:cs="宋体"/>
          <w:color w:val="auto"/>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36BDD95E">
      <w:pPr>
        <w:tabs>
          <w:tab w:val="left" w:pos="0"/>
        </w:tabs>
        <w:wordWrap w:val="0"/>
        <w:spacing w:line="360" w:lineRule="auto"/>
        <w:ind w:firstLine="420"/>
        <w:rPr>
          <w:rFonts w:hint="eastAsia" w:ascii="宋体" w:hAnsi="宋体" w:cs="宋体"/>
          <w:color w:val="auto"/>
          <w:highlight w:val="none"/>
        </w:rPr>
      </w:pPr>
      <w:r>
        <w:rPr>
          <w:rFonts w:hint="eastAsia" w:ascii="宋体" w:hAnsi="宋体" w:cs="宋体"/>
          <w:color w:val="auto"/>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E00D28E">
      <w:pPr>
        <w:pStyle w:val="12"/>
        <w:wordWrap w:val="0"/>
        <w:snapToGrid w:val="0"/>
        <w:spacing w:line="360" w:lineRule="auto"/>
        <w:rPr>
          <w:rFonts w:hint="eastAsia" w:hAnsi="宋体" w:cs="宋体"/>
          <w:color w:val="auto"/>
          <w:highlight w:val="none"/>
        </w:rPr>
      </w:pPr>
    </w:p>
    <w:p w14:paraId="3E2B3980">
      <w:pPr>
        <w:pStyle w:val="4"/>
        <w:keepNext w:val="0"/>
        <w:keepLines w:val="0"/>
        <w:wordWrap w:val="0"/>
        <w:spacing w:line="360" w:lineRule="auto"/>
        <w:jc w:val="center"/>
        <w:rPr>
          <w:rFonts w:hint="eastAsia" w:ascii="宋体" w:hAnsi="宋体" w:cs="宋体"/>
          <w:color w:val="auto"/>
          <w:highlight w:val="none"/>
        </w:rPr>
      </w:pPr>
      <w:bookmarkStart w:id="105" w:name="_八、其他事项"/>
      <w:bookmarkEnd w:id="105"/>
      <w:bookmarkStart w:id="106" w:name="_Toc26013"/>
      <w:r>
        <w:rPr>
          <w:rFonts w:hint="eastAsia" w:ascii="宋体" w:hAnsi="宋体" w:cs="宋体"/>
          <w:color w:val="auto"/>
          <w:highlight w:val="none"/>
        </w:rPr>
        <w:t>九、其他事项</w:t>
      </w:r>
      <w:bookmarkEnd w:id="106"/>
    </w:p>
    <w:p w14:paraId="46C588C2">
      <w:pPr>
        <w:wordWrap w:val="0"/>
        <w:spacing w:line="360" w:lineRule="auto"/>
        <w:ind w:firstLine="480" w:firstLineChars="200"/>
        <w:rPr>
          <w:rFonts w:hint="eastAsia" w:ascii="宋体" w:hAnsi="宋体" w:cs="宋体"/>
          <w:color w:val="auto"/>
          <w:sz w:val="24"/>
          <w:highlight w:val="none"/>
        </w:rPr>
      </w:pPr>
      <w:bookmarkStart w:id="107" w:name="_42.代理服务费"/>
      <w:bookmarkEnd w:id="107"/>
      <w:r>
        <w:rPr>
          <w:rFonts w:hint="eastAsia" w:ascii="宋体" w:hAnsi="宋体" w:cs="宋体"/>
          <w:color w:val="auto"/>
          <w:sz w:val="24"/>
          <w:highlight w:val="none"/>
        </w:rPr>
        <w:t>40.</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rPr>
        <w:t>代理服务费</w:t>
      </w:r>
    </w:p>
    <w:p w14:paraId="6BB4FB52">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采购</w:t>
      </w:r>
      <w:r>
        <w:rPr>
          <w:rFonts w:hint="eastAsia" w:ascii="宋体" w:hAnsi="宋体" w:cs="宋体"/>
          <w:b/>
          <w:color w:val="auto"/>
          <w:szCs w:val="21"/>
          <w:highlight w:val="none"/>
        </w:rPr>
        <w:t>代理服务收费标准及缴费账户详见“投标人须知前附表”，投标人为联合体的，可以由联合体中的一方或者多方共同交纳代理服务费。</w:t>
      </w:r>
    </w:p>
    <w:p w14:paraId="368A4FE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 需要补充的其他内容</w:t>
      </w:r>
    </w:p>
    <w:p w14:paraId="288CE2E7">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41.1本招标文件解释规则详见“投标人须知前附表”。</w:t>
      </w:r>
    </w:p>
    <w:p w14:paraId="3F9D98E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41.2 其他事项详见“投标人须知前附表”。</w:t>
      </w:r>
    </w:p>
    <w:p w14:paraId="051A4B74">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4AA7DEBC">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以联合体形式参加政府采购活动，联合体各方均为中小企业的，联合体视同中小企业。其中，联合体各方均为小微企业的，联合体视同小微企业。</w:t>
      </w:r>
    </w:p>
    <w:p w14:paraId="77958620">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依据本文件规定享受扶持政策获得政府采购合同的，小微企业不得将合同分包给大中型企业，中型企业不得将合同分包给大型企业。</w:t>
      </w:r>
    </w:p>
    <w:p w14:paraId="10FAA85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42. 政采贷相关说明</w:t>
      </w:r>
    </w:p>
    <w:p w14:paraId="78100417">
      <w:pPr>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12495463">
      <w:pPr>
        <w:numPr>
          <w:ilvl w:val="0"/>
          <w:numId w:val="2"/>
        </w:numPr>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线下渠道：在“南宁市公共资源交易中心”官网（网址：</w:t>
      </w:r>
      <w:r>
        <w:rPr>
          <w:color w:val="auto"/>
          <w:highlight w:val="none"/>
        </w:rPr>
        <w:fldChar w:fldCharType="begin"/>
      </w:r>
      <w:r>
        <w:rPr>
          <w:color w:val="auto"/>
          <w:highlight w:val="none"/>
        </w:rPr>
        <w:instrText xml:space="preserve"> HYPERLINK "http://www.nnggzy.org.cn）" </w:instrText>
      </w:r>
      <w:r>
        <w:rPr>
          <w:color w:val="auto"/>
          <w:highlight w:val="none"/>
        </w:rPr>
        <w:fldChar w:fldCharType="separate"/>
      </w:r>
      <w:r>
        <w:rPr>
          <w:rStyle w:val="27"/>
          <w:rFonts w:hint="eastAsia" w:ascii="宋体" w:hAnsi="宋体" w:cs="宋体"/>
          <w:color w:val="auto"/>
          <w:highlight w:val="none"/>
        </w:rPr>
        <w:t>http://www.nnggzy.org.cn）“交易信息-政府采购-政府采购信用融资”中融资银行和南宁市企业融资服务中心专栏信息申请政府采购信用融资。</w:t>
      </w:r>
      <w:r>
        <w:rPr>
          <w:rStyle w:val="27"/>
          <w:rFonts w:hint="eastAsia" w:ascii="宋体" w:hAnsi="宋体" w:cs="宋体"/>
          <w:color w:val="auto"/>
          <w:highlight w:val="none"/>
        </w:rPr>
        <w:fldChar w:fldCharType="end"/>
      </w:r>
    </w:p>
    <w:p w14:paraId="675EE6E6">
      <w:pPr>
        <w:numPr>
          <w:ilvl w:val="0"/>
          <w:numId w:val="2"/>
        </w:numPr>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cs="宋体"/>
          <w:color w:val="auto"/>
          <w:highlight w:val="none"/>
        </w:rPr>
        <w:br w:type="page"/>
      </w:r>
      <w:bookmarkStart w:id="108" w:name="_Toc532545043"/>
    </w:p>
    <w:p w14:paraId="6F61D483">
      <w:pPr>
        <w:pStyle w:val="12"/>
        <w:wordWrap w:val="0"/>
        <w:spacing w:line="360" w:lineRule="auto"/>
        <w:ind w:firstLine="723"/>
        <w:jc w:val="center"/>
        <w:outlineLvl w:val="0"/>
        <w:rPr>
          <w:rFonts w:hint="eastAsia" w:hAnsi="宋体" w:cs="宋体"/>
          <w:b/>
          <w:color w:val="auto"/>
          <w:sz w:val="36"/>
          <w:highlight w:val="none"/>
        </w:rPr>
      </w:pPr>
      <w:bookmarkStart w:id="109" w:name="_Toc1905"/>
      <w:r>
        <w:rPr>
          <w:rFonts w:hint="eastAsia" w:hAnsi="宋体" w:cs="宋体"/>
          <w:b/>
          <w:color w:val="auto"/>
          <w:sz w:val="36"/>
          <w:highlight w:val="none"/>
        </w:rPr>
        <w:t>第四章  评标方法</w:t>
      </w:r>
      <w:bookmarkEnd w:id="108"/>
      <w:r>
        <w:rPr>
          <w:rFonts w:hint="eastAsia" w:hAnsi="宋体" w:cs="宋体"/>
          <w:b/>
          <w:color w:val="auto"/>
          <w:sz w:val="36"/>
          <w:highlight w:val="none"/>
        </w:rPr>
        <w:t>及评分标准</w:t>
      </w:r>
      <w:bookmarkEnd w:id="109"/>
    </w:p>
    <w:p w14:paraId="757A8760">
      <w:pPr>
        <w:pStyle w:val="12"/>
        <w:wordWrap w:val="0"/>
        <w:spacing w:line="360" w:lineRule="auto"/>
        <w:ind w:firstLine="643"/>
        <w:jc w:val="center"/>
        <w:outlineLvl w:val="1"/>
        <w:rPr>
          <w:rFonts w:hint="eastAsia" w:hAnsi="宋体" w:cs="宋体"/>
          <w:b/>
          <w:bCs/>
          <w:color w:val="auto"/>
          <w:sz w:val="32"/>
          <w:szCs w:val="32"/>
          <w:highlight w:val="none"/>
        </w:rPr>
      </w:pPr>
      <w:bookmarkStart w:id="110" w:name="_Toc15245"/>
      <w:r>
        <w:rPr>
          <w:rFonts w:hint="eastAsia" w:hAnsi="宋体" w:cs="宋体"/>
          <w:b/>
          <w:bCs/>
          <w:color w:val="auto"/>
          <w:sz w:val="32"/>
          <w:szCs w:val="32"/>
          <w:highlight w:val="none"/>
        </w:rPr>
        <w:t>第一节 评标方法</w:t>
      </w:r>
      <w:bookmarkEnd w:id="110"/>
    </w:p>
    <w:p w14:paraId="6A0C09CE">
      <w:pPr>
        <w:pStyle w:val="12"/>
        <w:tabs>
          <w:tab w:val="left" w:pos="2472"/>
        </w:tabs>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本项目采用</w:t>
      </w:r>
      <w:r>
        <w:rPr>
          <w:rFonts w:hint="eastAsia" w:hAnsi="宋体" w:cs="宋体"/>
          <w:color w:val="auto"/>
          <w:szCs w:val="21"/>
          <w:highlight w:val="none"/>
          <w:u w:val="single"/>
        </w:rPr>
        <w:t xml:space="preserve"> 以下勾选的方式</w:t>
      </w:r>
      <w:r>
        <w:rPr>
          <w:rFonts w:hint="eastAsia" w:hAnsi="宋体" w:cs="宋体"/>
          <w:color w:val="auto"/>
          <w:szCs w:val="21"/>
          <w:highlight w:val="none"/>
        </w:rPr>
        <w:t>进行评审。</w:t>
      </w:r>
    </w:p>
    <w:p w14:paraId="5E7A4CBC">
      <w:pPr>
        <w:pStyle w:val="12"/>
        <w:wordWrap w:val="0"/>
        <w:spacing w:line="360" w:lineRule="auto"/>
        <w:ind w:firstLine="420"/>
        <w:rPr>
          <w:rFonts w:hint="eastAsia" w:hAnsi="宋体" w:cs="宋体"/>
          <w:color w:val="auto"/>
          <w:highlight w:val="none"/>
        </w:rPr>
      </w:pPr>
      <w:r>
        <w:rPr>
          <w:rFonts w:hint="eastAsia" w:hAnsi="宋体" w:cs="宋体"/>
          <w:color w:val="auto"/>
          <w:szCs w:val="21"/>
          <w:highlight w:val="none"/>
        </w:rPr>
        <w:t>□最低评标价法，是指投标文件满足招标文件</w:t>
      </w:r>
      <w:r>
        <w:rPr>
          <w:rFonts w:hint="eastAsia" w:hAnsi="宋体" w:cs="宋体"/>
          <w:color w:val="auto"/>
          <w:highlight w:val="none"/>
        </w:rPr>
        <w:t>全部实质性要求，且投标报价最低的投标人为中标候选人的评标方法。</w:t>
      </w:r>
    </w:p>
    <w:p w14:paraId="2E122414">
      <w:pPr>
        <w:wordWrap w:val="0"/>
        <w:autoSpaceDE w:val="0"/>
        <w:autoSpaceDN w:val="0"/>
        <w:adjustRightInd w:val="0"/>
        <w:spacing w:line="360" w:lineRule="auto"/>
        <w:ind w:firstLine="420" w:firstLineChars="200"/>
        <w:rPr>
          <w:rFonts w:hint="eastAsia" w:ascii="宋体" w:hAnsi="宋体" w:cs="宋体"/>
          <w:color w:val="auto"/>
          <w:sz w:val="24"/>
          <w:highlight w:val="none"/>
        </w:rPr>
      </w:pPr>
      <w:r>
        <w:rPr>
          <w:rFonts w:ascii="Segoe UI Symbol" w:hAnsi="Segoe UI Symbol" w:cs="Segoe UI Symbol"/>
          <w:color w:val="auto"/>
          <w:szCs w:val="21"/>
          <w:highlight w:val="none"/>
        </w:rPr>
        <w:t>☑</w:t>
      </w:r>
      <w:r>
        <w:rPr>
          <w:rFonts w:hint="eastAsia" w:ascii="宋体" w:hAnsi="宋体" w:cs="宋体"/>
          <w:color w:val="auto"/>
          <w:highlight w:val="none"/>
        </w:rPr>
        <w:t>综合评分法，</w:t>
      </w:r>
      <w:r>
        <w:rPr>
          <w:rFonts w:hint="eastAsia" w:ascii="宋体" w:hAnsi="宋体" w:cs="宋体"/>
          <w:color w:val="auto"/>
          <w:szCs w:val="20"/>
          <w:highlight w:val="none"/>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660AEA8F">
      <w:pPr>
        <w:pStyle w:val="12"/>
        <w:wordWrap w:val="0"/>
        <w:spacing w:line="360" w:lineRule="auto"/>
        <w:ind w:firstLine="420"/>
        <w:rPr>
          <w:rFonts w:hint="eastAsia" w:hAnsi="宋体" w:cs="宋体"/>
          <w:color w:val="auto"/>
          <w:highlight w:val="none"/>
        </w:rPr>
      </w:pPr>
    </w:p>
    <w:p w14:paraId="1082D6FB">
      <w:pPr>
        <w:pStyle w:val="12"/>
        <w:tabs>
          <w:tab w:val="left" w:pos="2472"/>
        </w:tabs>
        <w:wordWrap w:val="0"/>
        <w:spacing w:line="360" w:lineRule="auto"/>
        <w:ind w:firstLine="643"/>
        <w:jc w:val="center"/>
        <w:outlineLvl w:val="1"/>
        <w:rPr>
          <w:rFonts w:hint="eastAsia" w:hAnsi="宋体" w:cs="宋体"/>
          <w:b/>
          <w:bCs/>
          <w:color w:val="auto"/>
          <w:sz w:val="32"/>
          <w:szCs w:val="32"/>
          <w:highlight w:val="none"/>
        </w:rPr>
      </w:pPr>
      <w:bookmarkStart w:id="111" w:name="_Toc3552"/>
      <w:r>
        <w:rPr>
          <w:rFonts w:hint="eastAsia" w:hAnsi="宋体" w:cs="宋体"/>
          <w:b/>
          <w:bCs/>
          <w:color w:val="auto"/>
          <w:sz w:val="32"/>
          <w:szCs w:val="32"/>
          <w:highlight w:val="none"/>
        </w:rPr>
        <w:t>第二节 评标程序</w:t>
      </w:r>
      <w:bookmarkEnd w:id="111"/>
    </w:p>
    <w:p w14:paraId="22F36E3D">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1.符合性审查</w:t>
      </w:r>
    </w:p>
    <w:p w14:paraId="1D50AA3B">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评标委员会应当对符合资格的投标人的投标文件进行投标报价、商务、技术等实质性内容符合性审查，以确定其是否满足招标文件的实质性要求。</w:t>
      </w:r>
    </w:p>
    <w:p w14:paraId="63D869EF">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2.符合性审查不通过而导致投标无效的情形</w:t>
      </w:r>
    </w:p>
    <w:p w14:paraId="1BD9E03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投标人的投标文件中存在对招标文件的任何实质性要求和条件的负偏离，将被视为投标无效。</w:t>
      </w:r>
    </w:p>
    <w:p w14:paraId="14759E1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2.1在报价评审时，如发现下列情形之一的，将被视为投标无效：</w:t>
      </w:r>
    </w:p>
    <w:p w14:paraId="2ED8C790">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（1）投标文件未提供“投标人须知前附表”第13.1条规定中“必须提供”的文件资料的;</w:t>
      </w:r>
    </w:p>
    <w:p w14:paraId="15A99B2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（2）未采用人民币报价或者未按照招标文件标明的币种报价的；</w:t>
      </w:r>
    </w:p>
    <w:p w14:paraId="155CAE82">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（3）报价超出招标文件规定最高限价，或者超出采购预算金额（包括分项预算）的；</w:t>
      </w:r>
    </w:p>
    <w:p w14:paraId="1201944B">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055884C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（5）修正后的报价，投标人不确认的；</w:t>
      </w:r>
    </w:p>
    <w:p w14:paraId="23F8488B">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（6）投标人属于本章第5条第（2）项情形的。</w:t>
      </w:r>
    </w:p>
    <w:p w14:paraId="054D042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2.2在商务评审时，如发现下列情形之一的，将被视为投标无效：</w:t>
      </w:r>
    </w:p>
    <w:p w14:paraId="20149C2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（1）投标文件未按招标文件要求签署、盖章的；</w:t>
      </w:r>
    </w:p>
    <w:p w14:paraId="0D64DB0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（2）委托代理人未能出具有效身份证明或者出具的身份证明与授权委托书中的信息不符的； </w:t>
      </w:r>
    </w:p>
    <w:p w14:paraId="5D3F98A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（3）投标文件未提供“投标人须知前附表”第13.1条规定中“必须提供”或者“委托时必须提供”的文件资料的;</w:t>
      </w:r>
    </w:p>
    <w:p w14:paraId="27CD741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（4）投标有效期、项目完成时间（交货时间、服务完成时间或者服务期等）、质保期、售后服务等招标文件中标“▲”的商务条款发生负偏离的；</w:t>
      </w:r>
    </w:p>
    <w:p w14:paraId="5C23EF97">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（5）商务条款评审允许负偏离的条款数超过“投标人须知前附表”规定项数的。</w:t>
      </w:r>
    </w:p>
    <w:p w14:paraId="792964C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（6）投标文件的实质性内容未使用中文表述、使用计量单位不符合招标文件要求的；</w:t>
      </w:r>
    </w:p>
    <w:p w14:paraId="3D5A232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（7）投标文件中的文件资料因填写不齐全或者内容虚假或者出现其他情形而导致被评标委员会认定无效的；</w:t>
      </w:r>
    </w:p>
    <w:p w14:paraId="47A2D402">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（8）投标文件含有采购人不能接受的附加条件的；</w:t>
      </w:r>
    </w:p>
    <w:p w14:paraId="5857AE1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（9）未响应招标文件实质性要求的；</w:t>
      </w:r>
    </w:p>
    <w:p w14:paraId="78E0048E">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（10）属于投标人须知正文第9.2条情形的；</w:t>
      </w:r>
    </w:p>
    <w:p w14:paraId="6FF3CF3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（11）法律、法规和招标文件规定的其他无效情形。</w:t>
      </w:r>
    </w:p>
    <w:p w14:paraId="3BFF997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2.3在技术评审时，如发现下列情形之一的，将被视为投标无效：</w:t>
      </w:r>
    </w:p>
    <w:p w14:paraId="484BA83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（1）不满足招标文件要求的服务内容、技术要求、安全、质量标准，或者与招标文件中标“▲”的技术需求发生负偏离的；</w:t>
      </w:r>
    </w:p>
    <w:p w14:paraId="5586EF8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（2）技术需求评审允许负偏离的条款数超过“投标人须知前附表”规定项数的；</w:t>
      </w:r>
    </w:p>
    <w:p w14:paraId="0818ED71">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（3）投标文件未提供“投标人须知前附表”第13.1条规定中“必须提供”的文件资料的;</w:t>
      </w:r>
    </w:p>
    <w:p w14:paraId="58EC96D3">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（4）虚假投标，或者出现其他情形而导致被评标委员会认定无效的；</w:t>
      </w:r>
    </w:p>
    <w:p w14:paraId="48CB3CD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（5）如招标文件需要提供技术方案的，投标技术方案不明确，招标文件未允许但存在一个或者一个以上备选（替代）投标方案的。</w:t>
      </w:r>
    </w:p>
    <w:p w14:paraId="070CFA02">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3.澄清补正、说明或者补正</w:t>
      </w:r>
    </w:p>
    <w:p w14:paraId="2088E0C5">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11516D9C">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0E6A886B">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4.投标文件修正</w:t>
      </w:r>
    </w:p>
    <w:p w14:paraId="35B6D296">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4.1投标文件报价出现前后不一致的，按照下列规定修正： </w:t>
      </w:r>
    </w:p>
    <w:p w14:paraId="21C69829">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（1）报价文件中“开标一览表”内容与投标文件中相应内容不一致的，以“开标一览表”为准；</w:t>
      </w:r>
    </w:p>
    <w:p w14:paraId="5FBB7BCE">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（2）大写金额和小写金额不一致的，以大写金额为准；</w:t>
      </w:r>
    </w:p>
    <w:p w14:paraId="48FE83A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（3）单价金额小数点或者百分比有明显错位的，以开标一览表的总价为准，并修改单价；</w:t>
      </w:r>
    </w:p>
    <w:p w14:paraId="1305A80A">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（4）总价金额与按单价汇总金额不一致的，以单价金额计算结果为准。</w:t>
      </w:r>
    </w:p>
    <w:p w14:paraId="71A10C7D">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同时出现两种以上不一致的，按照以上（1）-（4）规定的顺序修正。修正后的报价经投标人确认后产生约束力，投标人不确认的，其投标无效。</w:t>
      </w:r>
    </w:p>
    <w:p w14:paraId="35EDD63B">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4.2经投标人确认修正后的报价若超过采购预算金额或者最高限价，投标人的投标文件作无效投标处理。</w:t>
      </w:r>
    </w:p>
    <w:p w14:paraId="31BF4AB0">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4.3经投标人确认修正后的报价作为签订合同的依据，并以此报价计算价格分。</w:t>
      </w:r>
    </w:p>
    <w:p w14:paraId="065E256A">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5.比较与评价</w:t>
      </w:r>
    </w:p>
    <w:p w14:paraId="2AAF4057">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5.1评标委员会按照招标文件中规定的评标方法和评标标准，对符合性审查合格的投标文件进行商务和技术评估，综合比较与评价。</w:t>
      </w:r>
    </w:p>
    <w:p w14:paraId="1131212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5.2评标委员会独立对每个投标人的投标文件进行评价，并汇总每个投标人的得分。</w:t>
      </w:r>
    </w:p>
    <w:p w14:paraId="503A4678">
      <w:pPr>
        <w:widowControl/>
        <w:numPr>
          <w:ilvl w:val="0"/>
          <w:numId w:val="3"/>
        </w:numPr>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8ADB3E6">
      <w:pPr>
        <w:widowControl/>
        <w:numPr>
          <w:ilvl w:val="0"/>
          <w:numId w:val="3"/>
        </w:numPr>
        <w:wordWrap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82E365C">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5.3评标委员会按照招标文件中规定的评标方法和标准计算各投标人的报价得分。在计算过程中，不得去掉最高报价或者最低报价。</w:t>
      </w:r>
    </w:p>
    <w:p w14:paraId="15FF63B8">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5.4各投标人的得分为所有评委的有效评分的算术平均数。</w:t>
      </w:r>
    </w:p>
    <w:p w14:paraId="33B1416C">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5.5评标委员会按照招标文件中的规定推荐中标候选人。</w:t>
      </w:r>
    </w:p>
    <w:p w14:paraId="760A3F5E">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14BDA7BD">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w:t>
      </w:r>
      <w:r>
        <w:rPr>
          <w:rFonts w:hint="eastAsia" w:ascii="宋体" w:hAnsi="宋体" w:cs="宋体"/>
          <w:b/>
          <w:bCs/>
          <w:color w:val="auto"/>
          <w:szCs w:val="21"/>
          <w:highlight w:val="none"/>
        </w:rPr>
        <w:t>异常低价审查</w:t>
      </w:r>
    </w:p>
    <w:p w14:paraId="2B6CD9EA">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6.1根据《关于推动解决政府采购异常低价问题的通知》(财库〔2026〕2号)规定，政府采购评审中出现异常低价下列情形之一的，评审委员会应当启动异常低价投标审查程序：</w:t>
      </w:r>
    </w:p>
    <w:p w14:paraId="04404EB9">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7E41AD24">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691FDCE8">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4AA6D578">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330EFBDF">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（5）相关法律法规对供应商报价有规定的，从其规定。</w:t>
      </w:r>
    </w:p>
    <w:p w14:paraId="7E1C4E22">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6.2资料要求: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8DF8DE9">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6.3审查要求：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EF5DC49">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6.4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75B4BE2">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6.5记录及归档：异常低价投标（响应）审查的启动原因、审查意见和审查结果应当在评审报告中记录，并随供应商提供的相关书面说明及证明材料，以及评审委员会有关互联网浏览、查询历史一并归档。</w:t>
      </w:r>
    </w:p>
    <w:p w14:paraId="7C90D2EB">
      <w:pPr>
        <w:wordWrap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7.评审复核</w:t>
      </w:r>
    </w:p>
    <w:p w14:paraId="5ED39E5D">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7.1评标报告签署前，评标委员会要对评审结果进行复核，复核意见要体现在评标报告中。</w:t>
      </w:r>
    </w:p>
    <w:p w14:paraId="6DFBF143">
      <w:pPr>
        <w:widowControl/>
        <w:wordWrap w:val="0"/>
        <w:spacing w:line="360" w:lineRule="auto"/>
        <w:ind w:firstLine="420" w:firstLineChars="200"/>
        <w:jc w:val="left"/>
        <w:textAlignment w:val="baseline"/>
        <w:rPr>
          <w:rFonts w:hint="eastAsia" w:ascii="宋体" w:hAnsi="宋体" w:cs="宋体"/>
          <w:color w:val="auto"/>
          <w:highlight w:val="none"/>
        </w:rPr>
      </w:pPr>
      <w:r>
        <w:rPr>
          <w:rFonts w:hint="eastAsia" w:ascii="宋体" w:hAnsi="宋体" w:cs="宋体"/>
          <w:color w:val="auto"/>
          <w:highlight w:val="none"/>
        </w:rPr>
        <w:t>7.2评标结果汇总完成后，除下列情形外，任何人不得修改评标结果：</w:t>
      </w:r>
    </w:p>
    <w:p w14:paraId="7BEE483B">
      <w:pPr>
        <w:widowControl/>
        <w:wordWrap w:val="0"/>
        <w:spacing w:line="360" w:lineRule="auto"/>
        <w:jc w:val="left"/>
        <w:textAlignment w:val="baseline"/>
        <w:rPr>
          <w:rFonts w:hint="eastAsia" w:ascii="宋体" w:hAnsi="宋体" w:cs="宋体"/>
          <w:color w:val="auto"/>
          <w:highlight w:val="none"/>
        </w:rPr>
      </w:pPr>
      <w:r>
        <w:rPr>
          <w:rFonts w:hint="eastAsia" w:ascii="宋体" w:hAnsi="宋体" w:cs="宋体"/>
          <w:color w:val="auto"/>
          <w:highlight w:val="none"/>
        </w:rPr>
        <w:t>　　（一）分值汇总计算错误的；</w:t>
      </w:r>
    </w:p>
    <w:p w14:paraId="18FA1191">
      <w:pPr>
        <w:widowControl/>
        <w:wordWrap w:val="0"/>
        <w:spacing w:line="360" w:lineRule="auto"/>
        <w:jc w:val="left"/>
        <w:textAlignment w:val="baseline"/>
        <w:rPr>
          <w:rFonts w:hint="eastAsia" w:ascii="宋体" w:hAnsi="宋体" w:cs="宋体"/>
          <w:color w:val="auto"/>
          <w:highlight w:val="none"/>
        </w:rPr>
      </w:pPr>
      <w:r>
        <w:rPr>
          <w:rFonts w:hint="eastAsia" w:ascii="宋体" w:hAnsi="宋体" w:cs="宋体"/>
          <w:color w:val="auto"/>
          <w:highlight w:val="none"/>
        </w:rPr>
        <w:t>　　（二）分项评分超出评分标准范围的；</w:t>
      </w:r>
    </w:p>
    <w:p w14:paraId="3E512E59">
      <w:pPr>
        <w:widowControl/>
        <w:wordWrap w:val="0"/>
        <w:spacing w:line="360" w:lineRule="auto"/>
        <w:jc w:val="left"/>
        <w:textAlignment w:val="baseline"/>
        <w:rPr>
          <w:rFonts w:hint="eastAsia" w:ascii="宋体" w:hAnsi="宋体" w:cs="宋体"/>
          <w:color w:val="auto"/>
          <w:highlight w:val="none"/>
        </w:rPr>
      </w:pPr>
      <w:r>
        <w:rPr>
          <w:rFonts w:hint="eastAsia" w:ascii="宋体" w:hAnsi="宋体" w:cs="宋体"/>
          <w:color w:val="auto"/>
          <w:highlight w:val="none"/>
        </w:rPr>
        <w:t>　　（三）评标委员会成员对客观评审因素评分不一致的；</w:t>
      </w:r>
    </w:p>
    <w:p w14:paraId="45BF3BAD">
      <w:pPr>
        <w:widowControl/>
        <w:wordWrap w:val="0"/>
        <w:spacing w:line="360" w:lineRule="auto"/>
        <w:jc w:val="left"/>
        <w:textAlignment w:val="baseline"/>
        <w:rPr>
          <w:rFonts w:hint="eastAsia" w:ascii="宋体" w:hAnsi="宋体" w:cs="宋体"/>
          <w:color w:val="auto"/>
          <w:highlight w:val="none"/>
        </w:rPr>
      </w:pPr>
      <w:r>
        <w:rPr>
          <w:rFonts w:hint="eastAsia" w:ascii="宋体" w:hAnsi="宋体" w:cs="宋体"/>
          <w:color w:val="auto"/>
          <w:highlight w:val="none"/>
        </w:rPr>
        <w:t>　　（四）经评标委员会认定评分畸高、畸低的。</w:t>
      </w:r>
    </w:p>
    <w:p w14:paraId="0EA28EF5">
      <w:pPr>
        <w:wordWrap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6722E6A">
      <w:pPr>
        <w:pStyle w:val="3"/>
        <w:wordWrap w:val="0"/>
        <w:spacing w:before="0" w:after="0" w:line="360" w:lineRule="auto"/>
        <w:ind w:firstLine="600"/>
        <w:jc w:val="center"/>
        <w:rPr>
          <w:rFonts w:hint="eastAsia" w:ascii="宋体" w:hAnsi="宋体" w:eastAsia="宋体" w:cs="宋体"/>
          <w:b w:val="0"/>
          <w:color w:val="auto"/>
          <w:sz w:val="30"/>
          <w:szCs w:val="30"/>
          <w:highlight w:val="none"/>
        </w:rPr>
      </w:pPr>
      <w:bookmarkStart w:id="112" w:name="_Toc22689"/>
      <w:bookmarkStart w:id="113" w:name="PO_TDCUS_ITEM_SM_TABLE_1"/>
      <w:r>
        <w:rPr>
          <w:rFonts w:hint="eastAsia" w:ascii="宋体" w:hAnsi="宋体" w:eastAsia="宋体" w:cs="宋体"/>
          <w:b w:val="0"/>
          <w:color w:val="auto"/>
          <w:sz w:val="30"/>
          <w:szCs w:val="30"/>
          <w:highlight w:val="none"/>
        </w:rPr>
        <w:t>第三节 评分标准</w:t>
      </w:r>
      <w:bookmarkEnd w:id="112"/>
    </w:p>
    <w:p w14:paraId="5C5B4611">
      <w:pPr>
        <w:pStyle w:val="12"/>
        <w:widowControl/>
        <w:wordWrap w:val="0"/>
        <w:spacing w:line="360" w:lineRule="auto"/>
        <w:ind w:firstLine="602" w:firstLineChars="200"/>
        <w:jc w:val="center"/>
        <w:rPr>
          <w:rFonts w:hint="eastAsia" w:hAnsi="宋体" w:cs="宋体"/>
          <w:b/>
          <w:color w:val="auto"/>
          <w:sz w:val="30"/>
          <w:szCs w:val="30"/>
          <w:highlight w:val="none"/>
        </w:rPr>
      </w:pPr>
      <w:r>
        <w:rPr>
          <w:rFonts w:hint="eastAsia" w:hAnsi="宋体" w:cs="宋体"/>
          <w:b/>
          <w:color w:val="auto"/>
          <w:sz w:val="30"/>
          <w:szCs w:val="30"/>
          <w:highlight w:val="none"/>
        </w:rPr>
        <w:t>二、综合评分法</w:t>
      </w:r>
    </w:p>
    <w:p w14:paraId="117515C8">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注：1.计分方法按四舍五入取至百分位。</w:t>
      </w:r>
    </w:p>
    <w:p w14:paraId="0FC1F27B">
      <w:pPr>
        <w:wordWrap w:val="0"/>
        <w:spacing w:line="360" w:lineRule="auto"/>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总得分=报价分+技术分+商务分</w:t>
      </w:r>
    </w:p>
    <w:p w14:paraId="72D90789">
      <w:pPr>
        <w:wordWrap w:val="0"/>
        <w:spacing w:line="440" w:lineRule="exact"/>
        <w:ind w:firstLine="840" w:firstLineChars="400"/>
        <w:rPr>
          <w:rFonts w:hint="eastAsia" w:ascii="宋体" w:hAnsi="宋体" w:cs="宋体"/>
          <w:bCs/>
          <w:color w:val="auto"/>
          <w:highlight w:val="none"/>
        </w:rPr>
      </w:pPr>
      <w:r>
        <w:rPr>
          <w:rFonts w:hint="eastAsia" w:ascii="宋体" w:hAnsi="宋体" w:cs="宋体"/>
          <w:color w:val="auto"/>
          <w:szCs w:val="21"/>
          <w:highlight w:val="none"/>
        </w:rPr>
        <w:t>2.商务技术评审因素为客观评分项的，应在评分项目或评分标准中予以标注为‘客观分’。对投标人的客观评分项目，各评标专家评分应当一致。</w:t>
      </w:r>
      <w:bookmarkStart w:id="114" w:name="PO_TDCUS_ITEM_SM_TITLE_1"/>
    </w:p>
    <w:bookmarkEnd w:id="114"/>
    <w:tbl>
      <w:tblPr>
        <w:tblStyle w:val="22"/>
        <w:tblW w:w="10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649"/>
        <w:gridCol w:w="6613"/>
        <w:gridCol w:w="1183"/>
      </w:tblGrid>
      <w:tr w14:paraId="6679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tcBorders>
              <w:top w:val="single" w:color="auto" w:sz="4" w:space="0"/>
              <w:left w:val="single" w:color="auto" w:sz="4" w:space="0"/>
              <w:bottom w:val="single" w:color="auto" w:sz="4" w:space="0"/>
              <w:right w:val="single" w:color="auto" w:sz="4" w:space="0"/>
            </w:tcBorders>
          </w:tcPr>
          <w:p w14:paraId="4C8E60F3">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序号</w:t>
            </w:r>
          </w:p>
        </w:tc>
        <w:tc>
          <w:tcPr>
            <w:tcW w:w="1649" w:type="dxa"/>
            <w:tcBorders>
              <w:top w:val="single" w:color="auto" w:sz="4" w:space="0"/>
              <w:left w:val="single" w:color="auto" w:sz="4" w:space="0"/>
              <w:bottom w:val="single" w:color="auto" w:sz="4" w:space="0"/>
              <w:right w:val="single" w:color="auto" w:sz="4" w:space="0"/>
            </w:tcBorders>
          </w:tcPr>
          <w:p w14:paraId="640D6F30">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评分类型</w:t>
            </w:r>
          </w:p>
        </w:tc>
        <w:tc>
          <w:tcPr>
            <w:tcW w:w="6613" w:type="dxa"/>
            <w:tcBorders>
              <w:top w:val="single" w:color="auto" w:sz="4" w:space="0"/>
              <w:left w:val="single" w:color="auto" w:sz="4" w:space="0"/>
              <w:bottom w:val="single" w:color="auto" w:sz="4" w:space="0"/>
              <w:right w:val="single" w:color="auto" w:sz="4" w:space="0"/>
            </w:tcBorders>
          </w:tcPr>
          <w:p w14:paraId="08801BC3">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评分标准</w:t>
            </w:r>
          </w:p>
        </w:tc>
        <w:tc>
          <w:tcPr>
            <w:tcW w:w="1183" w:type="dxa"/>
            <w:tcBorders>
              <w:top w:val="single" w:color="auto" w:sz="4" w:space="0"/>
              <w:left w:val="single" w:color="auto" w:sz="4" w:space="0"/>
              <w:bottom w:val="single" w:color="auto" w:sz="4" w:space="0"/>
              <w:right w:val="single" w:color="auto" w:sz="4" w:space="0"/>
            </w:tcBorders>
          </w:tcPr>
          <w:p w14:paraId="7B2397C0">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分值</w:t>
            </w:r>
          </w:p>
        </w:tc>
      </w:tr>
      <w:tr w14:paraId="418B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tcBorders>
              <w:top w:val="single" w:color="auto" w:sz="4" w:space="0"/>
              <w:left w:val="single" w:color="auto" w:sz="4" w:space="0"/>
              <w:bottom w:val="single" w:color="auto" w:sz="4" w:space="0"/>
              <w:right w:val="single" w:color="auto" w:sz="4" w:space="0"/>
            </w:tcBorders>
            <w:vAlign w:val="center"/>
          </w:tcPr>
          <w:p w14:paraId="34DAE5E3">
            <w:pPr>
              <w:pStyle w:val="12"/>
              <w:widowControl/>
              <w:wordWrap w:val="0"/>
              <w:spacing w:line="360" w:lineRule="auto"/>
              <w:jc w:val="center"/>
              <w:rPr>
                <w:rFonts w:hint="eastAsia" w:hAnsi="宋体" w:cs="宋体"/>
                <w:bCs/>
                <w:color w:val="auto"/>
                <w:szCs w:val="21"/>
                <w:highlight w:val="none"/>
              </w:rPr>
            </w:pPr>
            <w:r>
              <w:rPr>
                <w:rFonts w:hint="eastAsia" w:hAnsi="宋体" w:cs="宋体"/>
                <w:bCs/>
                <w:color w:val="auto"/>
                <w:szCs w:val="21"/>
                <w:highlight w:val="none"/>
              </w:rPr>
              <w:t>1</w:t>
            </w:r>
          </w:p>
        </w:tc>
        <w:tc>
          <w:tcPr>
            <w:tcW w:w="1649" w:type="dxa"/>
            <w:tcBorders>
              <w:top w:val="single" w:color="auto" w:sz="4" w:space="0"/>
              <w:left w:val="single" w:color="auto" w:sz="4" w:space="0"/>
              <w:bottom w:val="single" w:color="auto" w:sz="4" w:space="0"/>
              <w:right w:val="single" w:color="auto" w:sz="4" w:space="0"/>
            </w:tcBorders>
            <w:vAlign w:val="center"/>
          </w:tcPr>
          <w:p w14:paraId="7A6934C3">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价格分</w:t>
            </w:r>
          </w:p>
          <w:p w14:paraId="15EAB7D2">
            <w:pPr>
              <w:pStyle w:val="12"/>
              <w:widowControl/>
              <w:wordWrap w:val="0"/>
              <w:spacing w:line="360" w:lineRule="auto"/>
              <w:jc w:val="center"/>
              <w:rPr>
                <w:rFonts w:hint="eastAsia" w:ascii="宋体" w:hAnsi="宋体" w:cs="宋体"/>
                <w:bCs/>
                <w:color w:val="auto"/>
                <w:szCs w:val="21"/>
                <w:highlight w:val="none"/>
              </w:rPr>
            </w:pPr>
            <w:r>
              <w:rPr>
                <w:rFonts w:hint="eastAsia" w:ascii="宋体" w:hAnsi="宋体" w:cs="宋体"/>
                <w:b/>
                <w:color w:val="auto"/>
                <w:szCs w:val="21"/>
                <w:highlight w:val="none"/>
              </w:rPr>
              <w:t>（满分</w:t>
            </w:r>
            <w:r>
              <w:rPr>
                <w:rFonts w:hint="eastAsia" w:hAnsi="宋体" w:cs="宋体"/>
                <w:b/>
                <w:color w:val="auto"/>
                <w:szCs w:val="21"/>
                <w:highlight w:val="none"/>
                <w:lang w:val="en-US" w:eastAsia="zh-CN"/>
              </w:rPr>
              <w:t>20</w:t>
            </w:r>
            <w:r>
              <w:rPr>
                <w:rFonts w:hint="eastAsia" w:ascii="宋体" w:hAnsi="宋体" w:cs="宋体"/>
                <w:b/>
                <w:color w:val="auto"/>
                <w:szCs w:val="21"/>
                <w:highlight w:val="none"/>
              </w:rPr>
              <w:t>分）</w:t>
            </w:r>
          </w:p>
        </w:tc>
        <w:tc>
          <w:tcPr>
            <w:tcW w:w="6613" w:type="dxa"/>
            <w:tcBorders>
              <w:top w:val="single" w:color="auto" w:sz="4" w:space="0"/>
              <w:left w:val="single" w:color="auto" w:sz="4" w:space="0"/>
              <w:bottom w:val="single" w:color="auto" w:sz="4" w:space="0"/>
              <w:right w:val="single" w:color="auto" w:sz="4" w:space="0"/>
            </w:tcBorders>
            <w:vAlign w:val="center"/>
          </w:tcPr>
          <w:p w14:paraId="0ACAFE4E">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（1）评标报价为投标人的投标报价进行政策性扣除后的价格，评标报价只是作为评标时使用。最终中标供应商的中标金额等于投标报价。</w:t>
            </w:r>
          </w:p>
          <w:p w14:paraId="4EF45E33">
            <w:pPr>
              <w:pStyle w:val="12"/>
              <w:spacing w:line="440" w:lineRule="exact"/>
              <w:ind w:firstLine="420" w:firstLineChars="200"/>
              <w:rPr>
                <w:rFonts w:hint="eastAsia" w:hAnsi="宋体" w:cs="宋体"/>
                <w:bCs/>
                <w:color w:val="auto"/>
                <w:szCs w:val="21"/>
                <w:highlight w:val="none"/>
              </w:rPr>
            </w:pPr>
            <w:r>
              <w:rPr>
                <w:rFonts w:hint="eastAsia" w:hAnsi="宋体" w:cs="宋体"/>
                <w:bCs/>
                <w:color w:val="auto"/>
                <w:szCs w:val="21"/>
                <w:highlight w:val="none"/>
              </w:rPr>
              <w:t>（2）按照《政府采购促进中小企业发展管理办法》（财库〔2020〕46号）的规定，投标人在其投标文件中提供《中小企业声明函》，且其服务为小型和微型企业承接的，对其最后报价给予10%的扣除。</w:t>
            </w:r>
          </w:p>
          <w:p w14:paraId="5920C69D">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4D601DC2">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9E65F42">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（5）政策性扣除计算方法。</w:t>
            </w:r>
          </w:p>
          <w:p w14:paraId="2CC2A0EE">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6%的扣除，用扣除后的价格参加评审，扣除后的价格为评标报价，即评标报价=投标报价×（1-6%）。除上述情况外，评标报价=投标报价。</w:t>
            </w:r>
          </w:p>
          <w:p w14:paraId="295981F4">
            <w:pPr>
              <w:spacing w:line="44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（6）满足招标文件要求且评标报价最低的评标报价为评标基准价，其价格分为满分。</w:t>
            </w:r>
          </w:p>
          <w:p w14:paraId="14B9AEC4">
            <w:pPr>
              <w:spacing w:line="440" w:lineRule="exact"/>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（7）价格分计算公式：</w:t>
            </w:r>
            <w:r>
              <w:rPr>
                <w:rFonts w:hint="eastAsia" w:ascii="宋体" w:hAnsi="宋体" w:cs="宋体"/>
                <w:bCs/>
                <w:color w:val="auto"/>
                <w:szCs w:val="21"/>
                <w:highlight w:val="none"/>
              </w:rPr>
              <w:t>价格分=(评标基准价／评标报价)×</w:t>
            </w:r>
            <w:r>
              <w:rPr>
                <w:rFonts w:hint="eastAsia" w:ascii="宋体" w:hAnsi="宋体" w:cs="宋体"/>
                <w:bCs/>
                <w:color w:val="auto"/>
                <w:szCs w:val="21"/>
                <w:highlight w:val="none"/>
                <w:lang w:val="en-US" w:eastAsia="zh-CN"/>
              </w:rPr>
              <w:t>20</w:t>
            </w:r>
            <w:r>
              <w:rPr>
                <w:rFonts w:hint="eastAsia" w:ascii="宋体" w:hAnsi="宋体" w:cs="宋体"/>
                <w:bCs/>
                <w:color w:val="auto"/>
                <w:szCs w:val="21"/>
                <w:highlight w:val="none"/>
              </w:rPr>
              <w:t>分</w:t>
            </w:r>
          </w:p>
        </w:tc>
        <w:tc>
          <w:tcPr>
            <w:tcW w:w="1183" w:type="dxa"/>
            <w:tcBorders>
              <w:top w:val="single" w:color="auto" w:sz="4" w:space="0"/>
              <w:left w:val="single" w:color="auto" w:sz="4" w:space="0"/>
              <w:bottom w:val="single" w:color="auto" w:sz="4" w:space="0"/>
              <w:right w:val="single" w:color="auto" w:sz="4" w:space="0"/>
            </w:tcBorders>
            <w:vAlign w:val="center"/>
          </w:tcPr>
          <w:p w14:paraId="5F2936EE">
            <w:pPr>
              <w:pStyle w:val="12"/>
              <w:widowControl/>
              <w:wordWrap w:val="0"/>
              <w:spacing w:line="360" w:lineRule="auto"/>
              <w:jc w:val="center"/>
              <w:rPr>
                <w:rFonts w:hint="eastAsia" w:hAnsi="宋体" w:cs="宋体"/>
                <w:bCs/>
                <w:color w:val="auto"/>
                <w:szCs w:val="21"/>
                <w:highlight w:val="none"/>
              </w:rPr>
            </w:pPr>
            <w:r>
              <w:rPr>
                <w:rFonts w:hint="eastAsia" w:hAnsi="宋体" w:cs="宋体"/>
                <w:bCs/>
                <w:color w:val="auto"/>
                <w:szCs w:val="21"/>
                <w:highlight w:val="none"/>
              </w:rPr>
              <w:t>0~</w:t>
            </w:r>
            <w:r>
              <w:rPr>
                <w:rFonts w:hint="eastAsia" w:hAnsi="宋体" w:cs="宋体"/>
                <w:bCs/>
                <w:color w:val="auto"/>
                <w:szCs w:val="21"/>
                <w:highlight w:val="none"/>
                <w:lang w:val="en-US" w:eastAsia="zh-CN"/>
              </w:rPr>
              <w:t>20</w:t>
            </w:r>
            <w:r>
              <w:rPr>
                <w:rFonts w:hint="eastAsia" w:hAnsi="宋体" w:cs="宋体"/>
                <w:bCs/>
                <w:color w:val="auto"/>
                <w:szCs w:val="21"/>
                <w:highlight w:val="none"/>
              </w:rPr>
              <w:t>分</w:t>
            </w:r>
          </w:p>
        </w:tc>
      </w:tr>
      <w:tr w14:paraId="1FE1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restart"/>
            <w:tcBorders>
              <w:top w:val="single" w:color="auto" w:sz="4" w:space="0"/>
              <w:left w:val="single" w:color="auto" w:sz="4" w:space="0"/>
              <w:right w:val="single" w:color="auto" w:sz="4" w:space="0"/>
            </w:tcBorders>
            <w:vAlign w:val="center"/>
          </w:tcPr>
          <w:p w14:paraId="4AB74335">
            <w:pPr>
              <w:pStyle w:val="12"/>
              <w:widowControl/>
              <w:wordWrap w:val="0"/>
              <w:spacing w:line="360" w:lineRule="auto"/>
              <w:jc w:val="center"/>
              <w:rPr>
                <w:rFonts w:hint="eastAsia" w:hAnsi="宋体" w:cs="宋体"/>
                <w:bCs/>
                <w:color w:val="auto"/>
                <w:szCs w:val="21"/>
                <w:highlight w:val="none"/>
              </w:rPr>
            </w:pPr>
            <w:r>
              <w:rPr>
                <w:rFonts w:hint="eastAsia" w:hAnsi="宋体" w:cs="宋体"/>
                <w:bCs/>
                <w:color w:val="auto"/>
                <w:szCs w:val="21"/>
                <w:highlight w:val="none"/>
              </w:rPr>
              <w:t>2</w:t>
            </w:r>
          </w:p>
        </w:tc>
        <w:tc>
          <w:tcPr>
            <w:tcW w:w="1649" w:type="dxa"/>
            <w:tcBorders>
              <w:top w:val="single" w:color="auto" w:sz="4" w:space="0"/>
              <w:left w:val="single" w:color="auto" w:sz="4" w:space="0"/>
              <w:bottom w:val="single" w:color="auto" w:sz="4" w:space="0"/>
              <w:right w:val="single" w:color="auto" w:sz="4" w:space="0"/>
            </w:tcBorders>
          </w:tcPr>
          <w:p w14:paraId="71DCC235">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技术分</w:t>
            </w:r>
          </w:p>
          <w:p w14:paraId="79FAFCA5">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（满分54分）</w:t>
            </w:r>
          </w:p>
        </w:tc>
        <w:tc>
          <w:tcPr>
            <w:tcW w:w="6613" w:type="dxa"/>
            <w:tcBorders>
              <w:top w:val="single" w:color="auto" w:sz="4" w:space="0"/>
              <w:left w:val="single" w:color="auto" w:sz="4" w:space="0"/>
              <w:bottom w:val="single" w:color="auto" w:sz="4" w:space="0"/>
              <w:right w:val="single" w:color="auto" w:sz="4" w:space="0"/>
            </w:tcBorders>
            <w:vAlign w:val="center"/>
          </w:tcPr>
          <w:p w14:paraId="3A8B7FA3">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评审因素</w:t>
            </w:r>
          </w:p>
        </w:tc>
        <w:tc>
          <w:tcPr>
            <w:tcW w:w="1183" w:type="dxa"/>
            <w:tcBorders>
              <w:top w:val="single" w:color="auto" w:sz="4" w:space="0"/>
              <w:left w:val="single" w:color="auto" w:sz="4" w:space="0"/>
              <w:bottom w:val="single" w:color="auto" w:sz="4" w:space="0"/>
              <w:right w:val="single" w:color="auto" w:sz="4" w:space="0"/>
            </w:tcBorders>
            <w:vAlign w:val="center"/>
          </w:tcPr>
          <w:p w14:paraId="44F665C3">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分值</w:t>
            </w:r>
          </w:p>
        </w:tc>
      </w:tr>
      <w:tr w14:paraId="5486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6F9F001E">
            <w:pPr>
              <w:pStyle w:val="12"/>
              <w:widowControl/>
              <w:wordWrap w:val="0"/>
              <w:spacing w:line="360" w:lineRule="auto"/>
              <w:rPr>
                <w:rFonts w:hint="eastAsia" w:hAnsi="宋体" w:cs="宋体"/>
                <w:bCs/>
                <w:color w:val="auto"/>
                <w:szCs w:val="21"/>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2AE66309">
            <w:pPr>
              <w:pStyle w:val="12"/>
              <w:widowControl/>
              <w:wordWrap w:val="0"/>
              <w:spacing w:line="360" w:lineRule="auto"/>
              <w:jc w:val="left"/>
              <w:rPr>
                <w:rFonts w:hint="eastAsia" w:hAnsi="宋体" w:cs="宋体"/>
                <w:color w:val="auto"/>
                <w:szCs w:val="21"/>
                <w:highlight w:val="none"/>
              </w:rPr>
            </w:pPr>
            <w:r>
              <w:rPr>
                <w:rFonts w:hint="eastAsia" w:hAnsi="宋体" w:cs="宋体"/>
                <w:b/>
                <w:bCs/>
                <w:color w:val="auto"/>
                <w:kern w:val="0"/>
                <w:szCs w:val="21"/>
                <w:highlight w:val="none"/>
              </w:rPr>
              <w:t>（1）</w:t>
            </w:r>
            <w:r>
              <w:rPr>
                <w:rFonts w:hint="eastAsia" w:hAnsi="宋体" w:cs="宋体"/>
                <w:b/>
                <w:bCs/>
                <w:color w:val="auto"/>
                <w:szCs w:val="21"/>
                <w:highlight w:val="none"/>
              </w:rPr>
              <w:t>技术服务方案（满分18分）</w:t>
            </w:r>
          </w:p>
        </w:tc>
        <w:tc>
          <w:tcPr>
            <w:tcW w:w="6613" w:type="dxa"/>
            <w:tcBorders>
              <w:top w:val="single" w:color="auto" w:sz="4" w:space="0"/>
              <w:left w:val="single" w:color="auto" w:sz="4" w:space="0"/>
              <w:bottom w:val="single" w:color="auto" w:sz="4" w:space="0"/>
              <w:right w:val="single" w:color="auto" w:sz="4" w:space="0"/>
            </w:tcBorders>
          </w:tcPr>
          <w:p w14:paraId="7646B1FC">
            <w:pPr>
              <w:pStyle w:val="12"/>
              <w:spacing w:line="440" w:lineRule="exact"/>
              <w:ind w:firstLine="420" w:firstLineChars="200"/>
              <w:rPr>
                <w:rFonts w:hint="eastAsia" w:hAnsi="宋体" w:cs="宋体"/>
                <w:bCs/>
                <w:color w:val="auto"/>
                <w:kern w:val="0"/>
                <w:szCs w:val="21"/>
                <w:highlight w:val="none"/>
              </w:rPr>
            </w:pPr>
            <w:bookmarkStart w:id="115" w:name="OLE_LINK17"/>
            <w:r>
              <w:rPr>
                <w:rFonts w:hint="eastAsia" w:hAnsi="宋体" w:cs="宋体"/>
                <w:bCs/>
                <w:color w:val="auto"/>
                <w:kern w:val="0"/>
                <w:szCs w:val="21"/>
                <w:highlight w:val="none"/>
              </w:rPr>
              <w:t>一档（6分）：提供消息智能推送服务、人社多媒体互动配套流量服务、政务外呼配套话务服务基础技术服务方案，内容简略、架构单一；对项目认知浅显，仅对采购需求做表层分析，仅满足项目最低基础使用要求；</w:t>
            </w:r>
          </w:p>
          <w:p w14:paraId="1809285C">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二档（</w:t>
            </w:r>
            <w:r>
              <w:rPr>
                <w:rFonts w:hint="eastAsia" w:hAnsi="宋体" w:cs="宋体"/>
                <w:bCs/>
                <w:color w:val="auto"/>
                <w:kern w:val="0"/>
                <w:szCs w:val="21"/>
                <w:highlight w:val="none"/>
                <w:lang w:val="en-US" w:eastAsia="zh-CN"/>
              </w:rPr>
              <w:t>12</w:t>
            </w:r>
            <w:r>
              <w:rPr>
                <w:rFonts w:hint="eastAsia" w:hAnsi="宋体" w:cs="宋体"/>
                <w:bCs/>
                <w:color w:val="auto"/>
                <w:kern w:val="0"/>
                <w:szCs w:val="21"/>
                <w:highlight w:val="none"/>
              </w:rPr>
              <w:t>分）：技术服务方案优于一档，全面了解项目概况与业务场景，需求分析与服务思路贴合采购要求；完整描述短信平台架构、核心功能、技术原理及实现方式，同时完整说明流量服务技术架构、资源能力、调度模式及基础管控能力，</w:t>
            </w:r>
            <w:r>
              <w:rPr>
                <w:rFonts w:hAnsi="宋体" w:cs="宋体"/>
                <w:bCs/>
                <w:color w:val="auto"/>
                <w:kern w:val="0"/>
                <w:szCs w:val="21"/>
                <w:highlight w:val="none"/>
              </w:rPr>
              <w:t>同时完整说明模拟中继线路话务服务的线路架构，</w:t>
            </w:r>
            <w:r>
              <w:rPr>
                <w:rFonts w:hint="eastAsia" w:hAnsi="宋体" w:cs="宋体"/>
                <w:bCs/>
                <w:color w:val="auto"/>
                <w:kern w:val="0"/>
                <w:szCs w:val="21"/>
                <w:highlight w:val="none"/>
              </w:rPr>
              <w:t>技术路线合理，可满足项目常规业务需求；</w:t>
            </w:r>
          </w:p>
          <w:p w14:paraId="06C1117E">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三档（18分）：</w:t>
            </w:r>
            <w:bookmarkEnd w:id="115"/>
            <w:r>
              <w:rPr>
                <w:rFonts w:hint="eastAsia" w:hAnsi="宋体" w:cs="宋体"/>
                <w:bCs/>
                <w:color w:val="auto"/>
                <w:kern w:val="0"/>
                <w:szCs w:val="21"/>
                <w:highlight w:val="none"/>
              </w:rPr>
              <w:t>技术服务方案优于二档，精准把握项目运行环境、业务痛点、应用场景与核心需求；建设目标清晰、技术路线成熟先进，详细阐述短信平台整体架构、核心模块、安全机制、并发能力、稳定性设计及落地实现方案；同时全面说明流量服务资源保障、调度管控、运行支撑机制；</w:t>
            </w:r>
            <w:r>
              <w:rPr>
                <w:rFonts w:hAnsi="宋体" w:cs="宋体"/>
                <w:bCs/>
                <w:color w:val="auto"/>
                <w:kern w:val="0"/>
                <w:szCs w:val="21"/>
                <w:highlight w:val="none"/>
              </w:rPr>
              <w:t>同时全面说明模拟中继线路话务服务的线路资源保障、并发能力保障、通话质量保障及运行支撑机制；</w:t>
            </w:r>
            <w:r>
              <w:rPr>
                <w:rFonts w:hint="eastAsia" w:hAnsi="宋体" w:cs="宋体"/>
                <w:bCs/>
                <w:color w:val="auto"/>
                <w:kern w:val="0"/>
                <w:szCs w:val="21"/>
                <w:highlight w:val="none"/>
              </w:rPr>
              <w:t>服务模式、技术指标完全匹配本项目采购要求，具备高可用、高安全、高并发技术支撑能力，可全面满足本项目各项服务运行保障要求。</w:t>
            </w:r>
          </w:p>
          <w:p w14:paraId="1AF330FA">
            <w:pPr>
              <w:pStyle w:val="8"/>
              <w:wordWrap w:val="0"/>
              <w:spacing w:line="440" w:lineRule="exact"/>
              <w:ind w:firstLine="211" w:firstLineChars="100"/>
              <w:rPr>
                <w:rFonts w:hint="eastAsia" w:ascii="宋体" w:hAnsi="宋体" w:cs="宋体"/>
                <w:b/>
                <w:color w:val="auto"/>
                <w:szCs w:val="21"/>
                <w:highlight w:val="none"/>
                <w:lang w:val="zh-CN"/>
              </w:rPr>
            </w:pPr>
            <w:r>
              <w:rPr>
                <w:rFonts w:hint="eastAsia" w:ascii="宋体" w:hAnsi="宋体" w:cs="宋体"/>
                <w:b/>
                <w:color w:val="auto"/>
                <w:kern w:val="0"/>
                <w:szCs w:val="21"/>
                <w:highlight w:val="none"/>
              </w:rPr>
              <w:t>注：不满足最低入档条件的或未提供技术服务方案的，得0分。</w:t>
            </w:r>
          </w:p>
        </w:tc>
        <w:tc>
          <w:tcPr>
            <w:tcW w:w="1183" w:type="dxa"/>
            <w:tcBorders>
              <w:top w:val="single" w:color="auto" w:sz="4" w:space="0"/>
              <w:left w:val="single" w:color="auto" w:sz="4" w:space="0"/>
              <w:bottom w:val="single" w:color="auto" w:sz="4" w:space="0"/>
              <w:right w:val="single" w:color="auto" w:sz="4" w:space="0"/>
            </w:tcBorders>
            <w:vAlign w:val="center"/>
          </w:tcPr>
          <w:p w14:paraId="63986630">
            <w:pPr>
              <w:wordWrap w:val="0"/>
              <w:spacing w:line="360" w:lineRule="auto"/>
              <w:jc w:val="center"/>
              <w:rPr>
                <w:rFonts w:hint="eastAsia" w:ascii="宋体" w:hAnsi="宋体" w:cs="宋体"/>
                <w:bCs/>
                <w:color w:val="auto"/>
                <w:kern w:val="0"/>
                <w:szCs w:val="21"/>
                <w:highlight w:val="none"/>
              </w:rPr>
            </w:pPr>
            <w:r>
              <w:rPr>
                <w:rFonts w:hint="eastAsia" w:ascii="宋体" w:hAnsi="宋体" w:cs="宋体"/>
                <w:color w:val="auto"/>
                <w:kern w:val="0"/>
                <w:szCs w:val="21"/>
                <w:highlight w:val="none"/>
              </w:rPr>
              <w:t>0~18分</w:t>
            </w:r>
          </w:p>
        </w:tc>
      </w:tr>
      <w:tr w14:paraId="7039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0EBE9463">
            <w:pPr>
              <w:pStyle w:val="12"/>
              <w:widowControl/>
              <w:wordWrap w:val="0"/>
              <w:spacing w:line="360" w:lineRule="auto"/>
              <w:rPr>
                <w:rFonts w:hint="eastAsia" w:hAnsi="宋体" w:cs="宋体"/>
                <w:bCs/>
                <w:color w:val="auto"/>
                <w:szCs w:val="21"/>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3D66EB09">
            <w:pPr>
              <w:pStyle w:val="12"/>
              <w:widowControl/>
              <w:wordWrap w:val="0"/>
              <w:spacing w:line="360" w:lineRule="auto"/>
              <w:jc w:val="left"/>
              <w:rPr>
                <w:rFonts w:hint="eastAsia" w:hAnsi="宋体" w:cs="宋体"/>
                <w:bCs/>
                <w:color w:val="auto"/>
                <w:kern w:val="0"/>
                <w:szCs w:val="21"/>
                <w:highlight w:val="none"/>
              </w:rPr>
            </w:pPr>
            <w:r>
              <w:rPr>
                <w:rFonts w:hint="eastAsia" w:hAnsi="宋体" w:cs="宋体"/>
                <w:b/>
                <w:bCs/>
                <w:color w:val="auto"/>
                <w:szCs w:val="21"/>
                <w:highlight w:val="none"/>
              </w:rPr>
              <w:t>（2）服务实施方案分（满分18分）</w:t>
            </w:r>
          </w:p>
        </w:tc>
        <w:tc>
          <w:tcPr>
            <w:tcW w:w="6613" w:type="dxa"/>
            <w:tcBorders>
              <w:top w:val="single" w:color="auto" w:sz="4" w:space="0"/>
              <w:left w:val="single" w:color="auto" w:sz="4" w:space="0"/>
              <w:bottom w:val="single" w:color="auto" w:sz="4" w:space="0"/>
              <w:right w:val="single" w:color="auto" w:sz="4" w:space="0"/>
            </w:tcBorders>
          </w:tcPr>
          <w:p w14:paraId="0F68A30A">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一档（6分）：消息智能推送服务、人社多媒体互动配套流量服务、政务外呼配套话务服务实施方案内容简单，有基本的实施进度计划和实施保证措施；有基本服务质量控制保证方案，能在合同签订后5个日历日内完成业务交付；</w:t>
            </w:r>
          </w:p>
          <w:p w14:paraId="10A35518">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二档（</w:t>
            </w:r>
            <w:r>
              <w:rPr>
                <w:rFonts w:hint="eastAsia" w:hAnsi="宋体" w:cs="宋体"/>
                <w:bCs/>
                <w:color w:val="auto"/>
                <w:kern w:val="0"/>
                <w:szCs w:val="21"/>
                <w:highlight w:val="none"/>
                <w:lang w:val="en-US" w:eastAsia="zh-CN"/>
              </w:rPr>
              <w:t>12</w:t>
            </w:r>
            <w:r>
              <w:rPr>
                <w:rFonts w:hint="eastAsia" w:hAnsi="宋体" w:cs="宋体"/>
                <w:bCs/>
                <w:color w:val="auto"/>
                <w:kern w:val="0"/>
                <w:szCs w:val="21"/>
                <w:highlight w:val="none"/>
              </w:rPr>
              <w:t>分）：消息智能推送服务、人社多媒体互动配套流量服务、政务外呼配套话务服务实施方案内容较为详实，有专门的项目实施技术力量和人力资源安排，有较好的实施进度计划和实施保证措施；有较好的服务质量控制保证方案，实施质量保证措施及质量管理程序，提供赶工计划及提前完工承诺，能在合同签订后4个日历日内完成业务交付；</w:t>
            </w:r>
          </w:p>
          <w:p w14:paraId="5EDF3AFE">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三档（18分）：消息智能推送服务、人社多媒体互动配套流量服务、政务外呼配套话务服务实施方案详细具体、可落地性强，项目专属技术及人力配置充足、分工明确，有完善的实施进度保障方案，有细化的项目进度计划流程，有完善的服务质量控制保证方案，实施质量保证措施及质量管理程序，提供赶工计划及提前完工承诺，能在合同签订后3个日历日内完成业务交付。</w:t>
            </w:r>
          </w:p>
          <w:p w14:paraId="5E03F70F">
            <w:pPr>
              <w:pStyle w:val="8"/>
              <w:spacing w:line="440" w:lineRule="exact"/>
              <w:ind w:firstLine="422"/>
              <w:rPr>
                <w:rFonts w:hint="eastAsia" w:ascii="宋体" w:hAnsi="宋体" w:cs="宋体"/>
                <w:color w:val="auto"/>
                <w:kern w:val="0"/>
                <w:szCs w:val="21"/>
                <w:highlight w:val="none"/>
              </w:rPr>
            </w:pPr>
            <w:r>
              <w:rPr>
                <w:rFonts w:hint="eastAsia" w:ascii="宋体" w:hAnsi="宋体" w:cs="宋体"/>
                <w:b/>
                <w:color w:val="auto"/>
                <w:kern w:val="0"/>
                <w:szCs w:val="21"/>
                <w:highlight w:val="none"/>
              </w:rPr>
              <w:t>注：不满足最低入档条件的或未提供项目服务实施方案的，得0分。</w:t>
            </w:r>
          </w:p>
        </w:tc>
        <w:tc>
          <w:tcPr>
            <w:tcW w:w="1183" w:type="dxa"/>
            <w:tcBorders>
              <w:top w:val="single" w:color="auto" w:sz="4" w:space="0"/>
              <w:left w:val="single" w:color="auto" w:sz="4" w:space="0"/>
              <w:bottom w:val="single" w:color="auto" w:sz="4" w:space="0"/>
              <w:right w:val="single" w:color="auto" w:sz="4" w:space="0"/>
            </w:tcBorders>
            <w:vAlign w:val="center"/>
          </w:tcPr>
          <w:p w14:paraId="619E2BF9">
            <w:pPr>
              <w:wordWrap w:val="0"/>
              <w:spacing w:line="360" w:lineRule="auto"/>
              <w:jc w:val="center"/>
              <w:rPr>
                <w:rFonts w:hint="eastAsia" w:ascii="宋体" w:hAnsi="宋体" w:cs="宋体"/>
                <w:bCs/>
                <w:color w:val="auto"/>
                <w:szCs w:val="21"/>
                <w:highlight w:val="none"/>
              </w:rPr>
            </w:pPr>
            <w:r>
              <w:rPr>
                <w:rFonts w:hint="eastAsia" w:ascii="宋体" w:hAnsi="宋体" w:cs="宋体"/>
                <w:color w:val="auto"/>
                <w:kern w:val="0"/>
                <w:szCs w:val="21"/>
                <w:highlight w:val="none"/>
              </w:rPr>
              <w:t>0~18分</w:t>
            </w:r>
          </w:p>
        </w:tc>
      </w:tr>
      <w:tr w14:paraId="739F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4475026D">
            <w:pPr>
              <w:pStyle w:val="12"/>
              <w:widowControl/>
              <w:wordWrap w:val="0"/>
              <w:spacing w:line="360" w:lineRule="auto"/>
              <w:rPr>
                <w:rFonts w:hint="eastAsia" w:hAnsi="宋体" w:cs="宋体"/>
                <w:bCs/>
                <w:color w:val="auto"/>
                <w:szCs w:val="21"/>
                <w:highlight w:val="none"/>
              </w:rPr>
            </w:pPr>
          </w:p>
        </w:tc>
        <w:tc>
          <w:tcPr>
            <w:tcW w:w="1649" w:type="dxa"/>
            <w:tcBorders>
              <w:top w:val="single" w:color="auto" w:sz="4" w:space="0"/>
              <w:left w:val="single" w:color="auto" w:sz="4" w:space="0"/>
              <w:bottom w:val="single" w:color="auto" w:sz="4" w:space="0"/>
              <w:right w:val="single" w:color="auto" w:sz="4" w:space="0"/>
            </w:tcBorders>
            <w:vAlign w:val="center"/>
          </w:tcPr>
          <w:p w14:paraId="1F9F30D9">
            <w:pPr>
              <w:wordWrap w:val="0"/>
              <w:autoSpaceDE w:val="0"/>
              <w:autoSpaceDN w:val="0"/>
              <w:adjustRightInd w:val="0"/>
              <w:spacing w:line="360" w:lineRule="auto"/>
              <w:jc w:val="both"/>
              <w:rPr>
                <w:rFonts w:hint="eastAsia" w:ascii="宋体" w:hAnsi="宋体" w:cs="宋体"/>
                <w:bCs/>
                <w:color w:val="auto"/>
                <w:kern w:val="0"/>
                <w:szCs w:val="21"/>
                <w:highlight w:val="none"/>
              </w:rPr>
            </w:pPr>
            <w:r>
              <w:rPr>
                <w:rFonts w:hint="eastAsia" w:ascii="宋体" w:hAnsi="宋体" w:cs="宋体"/>
                <w:b/>
                <w:color w:val="auto"/>
                <w:szCs w:val="21"/>
                <w:highlight w:val="none"/>
              </w:rPr>
              <w:t>（3）售后服务方案分（满分18分）</w:t>
            </w:r>
          </w:p>
        </w:tc>
        <w:tc>
          <w:tcPr>
            <w:tcW w:w="6613" w:type="dxa"/>
            <w:tcBorders>
              <w:top w:val="single" w:color="auto" w:sz="4" w:space="0"/>
              <w:left w:val="single" w:color="auto" w:sz="4" w:space="0"/>
              <w:bottom w:val="single" w:color="auto" w:sz="4" w:space="0"/>
              <w:right w:val="single" w:color="auto" w:sz="4" w:space="0"/>
            </w:tcBorders>
          </w:tcPr>
          <w:p w14:paraId="4FE7FD88">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一档（6分）：提供基础售后服务内容，售后方案内容简单，仅列明基础服务内容及一般性保障响应措施；</w:t>
            </w:r>
          </w:p>
          <w:p w14:paraId="233247B8">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二档（12分）：售后服务方案较为完善，明确服务响应时限、问题处置流程及固定专人对接机制；售后保障机制健全，服务响应及时、问题处置规范，可较好满足本项目日常服务保障需求；</w:t>
            </w:r>
          </w:p>
          <w:p w14:paraId="5E9FE7B2">
            <w:pPr>
              <w:pStyle w:val="12"/>
              <w:spacing w:line="440" w:lineRule="exact"/>
              <w:ind w:firstLine="420" w:firstLineChars="200"/>
              <w:rPr>
                <w:rFonts w:hint="eastAsia" w:hAnsi="宋体" w:cs="宋体"/>
                <w:bCs/>
                <w:color w:val="auto"/>
                <w:kern w:val="0"/>
                <w:szCs w:val="21"/>
                <w:highlight w:val="none"/>
              </w:rPr>
            </w:pPr>
            <w:r>
              <w:rPr>
                <w:rFonts w:hint="eastAsia" w:hAnsi="宋体" w:cs="宋体"/>
                <w:bCs/>
                <w:color w:val="auto"/>
                <w:kern w:val="0"/>
                <w:szCs w:val="21"/>
                <w:highlight w:val="none"/>
              </w:rPr>
              <w:t>三档（18分）：整体售后服务体系完整成熟、运维响应机制高效规范，提供7×24小时不间断技术响应、远程排查、故障处置；建立定期巡检、运行监测、风险主动预警、版本优化升级、专项技术支撑等长效服务机制；具备完善的突发事件应急预案、故障复盘及客户回访制度，全面保障项目持续稳定运行。</w:t>
            </w:r>
          </w:p>
          <w:p w14:paraId="35B705B0">
            <w:pPr>
              <w:pStyle w:val="8"/>
              <w:wordWrap w:val="0"/>
              <w:spacing w:line="440" w:lineRule="exact"/>
              <w:ind w:firstLine="211" w:firstLineChars="100"/>
              <w:rPr>
                <w:rFonts w:hint="eastAsia" w:ascii="宋体" w:hAnsi="宋体" w:cs="宋体"/>
                <w:bCs/>
                <w:color w:val="auto"/>
                <w:kern w:val="0"/>
                <w:szCs w:val="21"/>
                <w:highlight w:val="none"/>
              </w:rPr>
            </w:pPr>
            <w:r>
              <w:rPr>
                <w:rFonts w:hint="eastAsia" w:ascii="宋体" w:hAnsi="宋体" w:cs="宋体"/>
                <w:b/>
                <w:color w:val="auto"/>
                <w:kern w:val="0"/>
                <w:szCs w:val="21"/>
                <w:highlight w:val="none"/>
              </w:rPr>
              <w:t>注：不满足最低入档条件的或未提供售后服务承诺的，得0分。</w:t>
            </w:r>
          </w:p>
        </w:tc>
        <w:tc>
          <w:tcPr>
            <w:tcW w:w="1183" w:type="dxa"/>
            <w:tcBorders>
              <w:top w:val="single" w:color="auto" w:sz="4" w:space="0"/>
              <w:left w:val="single" w:color="auto" w:sz="4" w:space="0"/>
              <w:bottom w:val="single" w:color="auto" w:sz="4" w:space="0"/>
              <w:right w:val="single" w:color="auto" w:sz="4" w:space="0"/>
            </w:tcBorders>
            <w:vAlign w:val="center"/>
          </w:tcPr>
          <w:p w14:paraId="0D34C982">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0~18分</w:t>
            </w:r>
          </w:p>
          <w:p w14:paraId="2FB1DBC4">
            <w:pPr>
              <w:wordWrap w:val="0"/>
              <w:spacing w:line="360" w:lineRule="auto"/>
              <w:jc w:val="center"/>
              <w:rPr>
                <w:rFonts w:hint="eastAsia" w:ascii="宋体" w:hAnsi="宋体" w:cs="宋体"/>
                <w:bCs/>
                <w:color w:val="auto"/>
                <w:kern w:val="0"/>
                <w:szCs w:val="21"/>
                <w:highlight w:val="none"/>
              </w:rPr>
            </w:pPr>
          </w:p>
        </w:tc>
      </w:tr>
      <w:tr w14:paraId="55E4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restart"/>
            <w:tcBorders>
              <w:top w:val="single" w:color="auto" w:sz="4" w:space="0"/>
              <w:left w:val="single" w:color="auto" w:sz="4" w:space="0"/>
              <w:right w:val="single" w:color="auto" w:sz="4" w:space="0"/>
            </w:tcBorders>
            <w:vAlign w:val="center"/>
          </w:tcPr>
          <w:p w14:paraId="5739CC58">
            <w:pPr>
              <w:pStyle w:val="12"/>
              <w:widowControl/>
              <w:wordWrap w:val="0"/>
              <w:spacing w:line="360" w:lineRule="auto"/>
              <w:jc w:val="center"/>
              <w:rPr>
                <w:rFonts w:hint="eastAsia" w:hAnsi="宋体" w:cs="宋体"/>
                <w:bCs/>
                <w:color w:val="auto"/>
                <w:szCs w:val="21"/>
                <w:highlight w:val="none"/>
              </w:rPr>
            </w:pPr>
            <w:r>
              <w:rPr>
                <w:rFonts w:hint="eastAsia" w:hAnsi="宋体" w:cs="宋体"/>
                <w:bCs/>
                <w:color w:val="auto"/>
                <w:szCs w:val="21"/>
                <w:highlight w:val="none"/>
              </w:rPr>
              <w:t>3</w:t>
            </w:r>
          </w:p>
        </w:tc>
        <w:tc>
          <w:tcPr>
            <w:tcW w:w="1649" w:type="dxa"/>
            <w:tcBorders>
              <w:top w:val="single" w:color="auto" w:sz="4" w:space="0"/>
              <w:left w:val="single" w:color="auto" w:sz="4" w:space="0"/>
              <w:right w:val="single" w:color="auto" w:sz="4" w:space="0"/>
            </w:tcBorders>
          </w:tcPr>
          <w:p w14:paraId="0055960F">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商务分</w:t>
            </w:r>
          </w:p>
          <w:p w14:paraId="580E0F2A">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（满分</w:t>
            </w:r>
            <w:r>
              <w:rPr>
                <w:rFonts w:hint="eastAsia" w:hAnsi="宋体" w:cs="宋体"/>
                <w:b/>
                <w:color w:val="auto"/>
                <w:szCs w:val="21"/>
                <w:highlight w:val="none"/>
                <w:lang w:val="en-US" w:eastAsia="zh-CN"/>
              </w:rPr>
              <w:t>26</w:t>
            </w:r>
            <w:r>
              <w:rPr>
                <w:rFonts w:hint="eastAsia" w:hAnsi="宋体" w:cs="宋体"/>
                <w:b/>
                <w:color w:val="auto"/>
                <w:szCs w:val="21"/>
                <w:highlight w:val="none"/>
              </w:rPr>
              <w:t>分）</w:t>
            </w:r>
          </w:p>
        </w:tc>
        <w:tc>
          <w:tcPr>
            <w:tcW w:w="6613" w:type="dxa"/>
            <w:tcBorders>
              <w:top w:val="single" w:color="auto" w:sz="4" w:space="0"/>
              <w:left w:val="single" w:color="auto" w:sz="4" w:space="0"/>
              <w:right w:val="single" w:color="auto" w:sz="4" w:space="0"/>
            </w:tcBorders>
            <w:vAlign w:val="center"/>
          </w:tcPr>
          <w:p w14:paraId="4C90DBAF">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评审因素</w:t>
            </w:r>
          </w:p>
        </w:tc>
        <w:tc>
          <w:tcPr>
            <w:tcW w:w="1183" w:type="dxa"/>
            <w:tcBorders>
              <w:top w:val="single" w:color="auto" w:sz="4" w:space="0"/>
              <w:left w:val="single" w:color="auto" w:sz="4" w:space="0"/>
              <w:bottom w:val="single" w:color="auto" w:sz="4" w:space="0"/>
              <w:right w:val="single" w:color="auto" w:sz="4" w:space="0"/>
            </w:tcBorders>
            <w:vAlign w:val="center"/>
          </w:tcPr>
          <w:p w14:paraId="7D8EC0E4">
            <w:pPr>
              <w:pStyle w:val="12"/>
              <w:widowControl/>
              <w:wordWrap w:val="0"/>
              <w:spacing w:line="360" w:lineRule="auto"/>
              <w:jc w:val="center"/>
              <w:rPr>
                <w:rFonts w:hint="eastAsia" w:hAnsi="宋体" w:cs="宋体"/>
                <w:b/>
                <w:color w:val="auto"/>
                <w:szCs w:val="21"/>
                <w:highlight w:val="none"/>
              </w:rPr>
            </w:pPr>
            <w:r>
              <w:rPr>
                <w:rFonts w:hint="eastAsia" w:hAnsi="宋体" w:cs="宋体"/>
                <w:b/>
                <w:color w:val="auto"/>
                <w:szCs w:val="21"/>
                <w:highlight w:val="none"/>
              </w:rPr>
              <w:t>分值</w:t>
            </w:r>
          </w:p>
        </w:tc>
      </w:tr>
      <w:tr w14:paraId="778C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0C54DF64">
            <w:pPr>
              <w:pStyle w:val="12"/>
              <w:widowControl/>
              <w:wordWrap w:val="0"/>
              <w:spacing w:line="360" w:lineRule="auto"/>
              <w:rPr>
                <w:rFonts w:hint="eastAsia" w:hAnsi="宋体" w:cs="宋体"/>
                <w:bCs/>
                <w:color w:val="auto"/>
                <w:szCs w:val="21"/>
                <w:highlight w:val="none"/>
              </w:rPr>
            </w:pPr>
          </w:p>
        </w:tc>
        <w:tc>
          <w:tcPr>
            <w:tcW w:w="1649" w:type="dxa"/>
            <w:tcBorders>
              <w:left w:val="single" w:color="auto" w:sz="4" w:space="0"/>
              <w:right w:val="single" w:color="auto" w:sz="4" w:space="0"/>
            </w:tcBorders>
            <w:vAlign w:val="center"/>
          </w:tcPr>
          <w:p w14:paraId="7DBDA14E">
            <w:pPr>
              <w:wordWrap w:val="0"/>
              <w:autoSpaceDE w:val="0"/>
              <w:autoSpaceDN w:val="0"/>
              <w:adjustRightInd w:val="0"/>
              <w:spacing w:line="360" w:lineRule="auto"/>
              <w:jc w:val="both"/>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rPr>
              <w:t>（1）信誉分（满分</w:t>
            </w:r>
            <w:r>
              <w:rPr>
                <w:rFonts w:hint="eastAsia" w:ascii="宋体" w:hAnsi="宋体" w:cs="宋体"/>
                <w:b/>
                <w:bCs w:val="0"/>
                <w:color w:val="auto"/>
                <w:kern w:val="0"/>
                <w:szCs w:val="21"/>
                <w:highlight w:val="none"/>
                <w:lang w:val="en-US" w:eastAsia="zh-CN"/>
              </w:rPr>
              <w:t>4</w:t>
            </w:r>
            <w:r>
              <w:rPr>
                <w:rFonts w:hint="eastAsia" w:ascii="宋体" w:hAnsi="宋体" w:cs="宋体"/>
                <w:b/>
                <w:bCs w:val="0"/>
                <w:color w:val="auto"/>
                <w:kern w:val="0"/>
                <w:szCs w:val="21"/>
                <w:highlight w:val="none"/>
              </w:rPr>
              <w:t>分）</w:t>
            </w:r>
          </w:p>
        </w:tc>
        <w:tc>
          <w:tcPr>
            <w:tcW w:w="6613" w:type="dxa"/>
            <w:tcBorders>
              <w:top w:val="single" w:color="auto" w:sz="4" w:space="0"/>
              <w:left w:val="single" w:color="auto" w:sz="4" w:space="0"/>
              <w:right w:val="single" w:color="auto" w:sz="4" w:space="0"/>
            </w:tcBorders>
            <w:vAlign w:val="center"/>
          </w:tcPr>
          <w:p w14:paraId="186FF433">
            <w:pPr>
              <w:wordWrap w:val="0"/>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bCs/>
                <w:color w:val="auto"/>
                <w:kern w:val="0"/>
                <w:szCs w:val="21"/>
                <w:highlight w:val="none"/>
              </w:rPr>
              <w:t>获得GB/T 19001/ISO 9001 质量管理体系认证证书的得</w:t>
            </w: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分，ISO/IEC20000信息技术服务管理体系认证证书的得</w:t>
            </w: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分，获得ISO/IEC27001信息安全管理体系认证证书的得</w:t>
            </w: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分，获得ITSS信息技术服务运行维护标准符合性证书的得</w:t>
            </w: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分，满分</w:t>
            </w: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分。</w:t>
            </w:r>
          </w:p>
        </w:tc>
        <w:tc>
          <w:tcPr>
            <w:tcW w:w="1183" w:type="dxa"/>
            <w:tcBorders>
              <w:top w:val="single" w:color="auto" w:sz="4" w:space="0"/>
              <w:left w:val="single" w:color="auto" w:sz="4" w:space="0"/>
              <w:bottom w:val="single" w:color="auto" w:sz="4" w:space="0"/>
              <w:right w:val="single" w:color="auto" w:sz="4" w:space="0"/>
            </w:tcBorders>
            <w:vAlign w:val="center"/>
          </w:tcPr>
          <w:p w14:paraId="4513F56F">
            <w:pPr>
              <w:pStyle w:val="12"/>
              <w:widowControl/>
              <w:wordWrap w:val="0"/>
              <w:spacing w:line="360" w:lineRule="auto"/>
              <w:jc w:val="both"/>
              <w:rPr>
                <w:rFonts w:hint="eastAsia" w:hAnsi="宋体" w:cs="宋体"/>
                <w:bCs/>
                <w:color w:val="auto"/>
                <w:szCs w:val="21"/>
                <w:highlight w:val="none"/>
              </w:rPr>
            </w:pPr>
            <w:r>
              <w:rPr>
                <w:rFonts w:hint="eastAsia" w:hAnsi="宋体" w:cs="宋体"/>
                <w:bCs/>
                <w:color w:val="auto"/>
                <w:szCs w:val="21"/>
                <w:highlight w:val="none"/>
              </w:rPr>
              <w:t>0~</w:t>
            </w:r>
            <w:r>
              <w:rPr>
                <w:rFonts w:hint="eastAsia" w:hAnsi="宋体" w:cs="宋体"/>
                <w:bCs/>
                <w:color w:val="auto"/>
                <w:szCs w:val="21"/>
                <w:highlight w:val="none"/>
                <w:lang w:val="en-US" w:eastAsia="zh-CN"/>
              </w:rPr>
              <w:t>4</w:t>
            </w:r>
            <w:r>
              <w:rPr>
                <w:rFonts w:hint="eastAsia" w:hAnsi="宋体" w:cs="宋体"/>
                <w:bCs/>
                <w:color w:val="auto"/>
                <w:szCs w:val="21"/>
                <w:highlight w:val="none"/>
              </w:rPr>
              <w:t>分（客观分）</w:t>
            </w:r>
          </w:p>
        </w:tc>
      </w:tr>
      <w:tr w14:paraId="1C65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233FA098">
            <w:pPr>
              <w:pStyle w:val="12"/>
              <w:widowControl/>
              <w:wordWrap w:val="0"/>
              <w:spacing w:line="360" w:lineRule="auto"/>
              <w:rPr>
                <w:rFonts w:hint="eastAsia" w:hAnsi="宋体" w:cs="宋体"/>
                <w:bCs/>
                <w:color w:val="auto"/>
                <w:szCs w:val="21"/>
                <w:highlight w:val="none"/>
              </w:rPr>
            </w:pPr>
          </w:p>
        </w:tc>
        <w:tc>
          <w:tcPr>
            <w:tcW w:w="1649" w:type="dxa"/>
            <w:tcBorders>
              <w:left w:val="single" w:color="auto" w:sz="4" w:space="0"/>
              <w:right w:val="single" w:color="auto" w:sz="4" w:space="0"/>
            </w:tcBorders>
            <w:vAlign w:val="center"/>
          </w:tcPr>
          <w:p w14:paraId="0638B87C">
            <w:pPr>
              <w:wordWrap w:val="0"/>
              <w:autoSpaceDE w:val="0"/>
              <w:autoSpaceDN w:val="0"/>
              <w:adjustRightInd w:val="0"/>
              <w:spacing w:line="360" w:lineRule="auto"/>
              <w:jc w:val="both"/>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rPr>
              <w:t>（2）业绩分（满分</w:t>
            </w:r>
            <w:r>
              <w:rPr>
                <w:rFonts w:hint="eastAsia" w:ascii="宋体" w:hAnsi="宋体" w:cs="宋体"/>
                <w:b/>
                <w:bCs w:val="0"/>
                <w:color w:val="auto"/>
                <w:kern w:val="0"/>
                <w:szCs w:val="21"/>
                <w:highlight w:val="none"/>
                <w:lang w:val="en-US" w:eastAsia="zh-CN"/>
              </w:rPr>
              <w:t>10</w:t>
            </w:r>
            <w:r>
              <w:rPr>
                <w:rFonts w:hint="eastAsia" w:ascii="宋体" w:hAnsi="宋体" w:cs="宋体"/>
                <w:b/>
                <w:bCs w:val="0"/>
                <w:color w:val="auto"/>
                <w:kern w:val="0"/>
                <w:szCs w:val="21"/>
                <w:highlight w:val="none"/>
              </w:rPr>
              <w:t>分）</w:t>
            </w:r>
          </w:p>
        </w:tc>
        <w:tc>
          <w:tcPr>
            <w:tcW w:w="6613" w:type="dxa"/>
            <w:tcBorders>
              <w:top w:val="single" w:color="auto" w:sz="4" w:space="0"/>
              <w:left w:val="single" w:color="auto" w:sz="4" w:space="0"/>
              <w:right w:val="single" w:color="auto" w:sz="4" w:space="0"/>
            </w:tcBorders>
            <w:vAlign w:val="center"/>
          </w:tcPr>
          <w:p w14:paraId="0AF05D4D">
            <w:pPr>
              <w:wordWrap w:val="0"/>
              <w:spacing w:line="360" w:lineRule="auto"/>
              <w:rPr>
                <w:rFonts w:hint="eastAsia" w:ascii="宋体" w:hAnsi="宋体" w:cs="宋体"/>
                <w:bCs/>
                <w:color w:val="auto"/>
                <w:szCs w:val="21"/>
                <w:highlight w:val="none"/>
              </w:rPr>
            </w:pPr>
            <w:r>
              <w:rPr>
                <w:rFonts w:hint="eastAsia" w:ascii="宋体" w:hAnsi="宋体" w:cs="宋体"/>
                <w:color w:val="auto"/>
                <w:szCs w:val="21"/>
                <w:highlight w:val="none"/>
              </w:rPr>
              <w:t>投标人2023年</w:t>
            </w:r>
            <w:r>
              <w:rPr>
                <w:rFonts w:hint="eastAsia" w:ascii="宋体" w:hAnsi="宋体" w:cs="宋体"/>
                <w:color w:val="auto"/>
                <w:szCs w:val="21"/>
                <w:highlight w:val="none"/>
                <w:lang w:val="en-US" w:eastAsia="zh-CN"/>
              </w:rPr>
              <w:t>自</w:t>
            </w:r>
            <w:r>
              <w:rPr>
                <w:rFonts w:hint="eastAsia" w:ascii="宋体" w:hAnsi="宋体" w:cs="宋体"/>
                <w:color w:val="auto"/>
                <w:szCs w:val="21"/>
                <w:highlight w:val="none"/>
              </w:rPr>
              <w:t>以来</w:t>
            </w:r>
            <w:r>
              <w:rPr>
                <w:rFonts w:hint="eastAsia" w:ascii="宋体" w:hAnsi="宋体" w:cs="宋体"/>
                <w:i w:val="0"/>
                <w:iCs w:val="0"/>
                <w:color w:val="auto"/>
                <w:szCs w:val="21"/>
                <w:highlight w:val="none"/>
                <w:lang w:val="en-US" w:eastAsia="zh-CN"/>
              </w:rPr>
              <w:t>具有</w:t>
            </w:r>
            <w:r>
              <w:rPr>
                <w:rFonts w:hint="eastAsia" w:ascii="宋体" w:hAnsi="宋体" w:cs="宋体"/>
                <w:color w:val="auto"/>
                <w:szCs w:val="21"/>
                <w:highlight w:val="none"/>
              </w:rPr>
              <w:t>同类服务业绩，每提供一个业绩得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分。（注：投标文件中须提供有效的中标（成交）通知书或合同复印件加盖投标人公章（或电子公章），否则不予计分。）</w:t>
            </w:r>
          </w:p>
        </w:tc>
        <w:tc>
          <w:tcPr>
            <w:tcW w:w="1183" w:type="dxa"/>
            <w:tcBorders>
              <w:top w:val="single" w:color="auto" w:sz="4" w:space="0"/>
              <w:left w:val="single" w:color="auto" w:sz="4" w:space="0"/>
              <w:bottom w:val="single" w:color="auto" w:sz="4" w:space="0"/>
              <w:right w:val="single" w:color="auto" w:sz="4" w:space="0"/>
            </w:tcBorders>
            <w:vAlign w:val="center"/>
          </w:tcPr>
          <w:p w14:paraId="26220E72">
            <w:pPr>
              <w:pStyle w:val="12"/>
              <w:widowControl/>
              <w:wordWrap w:val="0"/>
              <w:spacing w:line="360" w:lineRule="auto"/>
              <w:jc w:val="both"/>
              <w:rPr>
                <w:rFonts w:hint="eastAsia" w:hAnsi="宋体" w:cs="宋体"/>
                <w:bCs/>
                <w:color w:val="auto"/>
                <w:szCs w:val="21"/>
                <w:highlight w:val="none"/>
              </w:rPr>
            </w:pPr>
            <w:r>
              <w:rPr>
                <w:rFonts w:hint="eastAsia" w:hAnsi="宋体" w:cs="宋体"/>
                <w:bCs/>
                <w:color w:val="auto"/>
                <w:szCs w:val="21"/>
                <w:highlight w:val="none"/>
              </w:rPr>
              <w:t>0~</w:t>
            </w:r>
            <w:r>
              <w:rPr>
                <w:rFonts w:hint="eastAsia" w:hAnsi="宋体" w:cs="宋体"/>
                <w:bCs/>
                <w:color w:val="auto"/>
                <w:szCs w:val="21"/>
                <w:highlight w:val="none"/>
                <w:lang w:val="en-US" w:eastAsia="zh-CN"/>
              </w:rPr>
              <w:t>10</w:t>
            </w:r>
            <w:r>
              <w:rPr>
                <w:rFonts w:hint="eastAsia" w:hAnsi="宋体" w:cs="宋体"/>
                <w:bCs/>
                <w:color w:val="auto"/>
                <w:szCs w:val="21"/>
                <w:highlight w:val="none"/>
              </w:rPr>
              <w:t>分（客观分）</w:t>
            </w:r>
          </w:p>
        </w:tc>
      </w:tr>
      <w:tr w14:paraId="19D7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85" w:type="dxa"/>
            <w:vMerge w:val="continue"/>
            <w:tcBorders>
              <w:left w:val="single" w:color="auto" w:sz="4" w:space="0"/>
              <w:right w:val="single" w:color="auto" w:sz="4" w:space="0"/>
            </w:tcBorders>
          </w:tcPr>
          <w:p w14:paraId="46F66F34">
            <w:pPr>
              <w:pStyle w:val="12"/>
              <w:widowControl/>
              <w:wordWrap w:val="0"/>
              <w:spacing w:line="360" w:lineRule="auto"/>
              <w:rPr>
                <w:rFonts w:hint="eastAsia" w:hAnsi="宋体" w:cs="宋体"/>
                <w:bCs/>
                <w:color w:val="auto"/>
                <w:szCs w:val="21"/>
                <w:highlight w:val="none"/>
              </w:rPr>
            </w:pPr>
          </w:p>
        </w:tc>
        <w:tc>
          <w:tcPr>
            <w:tcW w:w="1649" w:type="dxa"/>
            <w:tcBorders>
              <w:left w:val="single" w:color="auto" w:sz="4" w:space="0"/>
              <w:right w:val="single" w:color="auto" w:sz="4" w:space="0"/>
            </w:tcBorders>
            <w:vAlign w:val="center"/>
          </w:tcPr>
          <w:p w14:paraId="11AA8F45">
            <w:pPr>
              <w:wordWrap w:val="0"/>
              <w:autoSpaceDE w:val="0"/>
              <w:autoSpaceDN w:val="0"/>
              <w:adjustRightInd w:val="0"/>
              <w:spacing w:line="360" w:lineRule="auto"/>
              <w:jc w:val="both"/>
              <w:rPr>
                <w:rFonts w:hint="eastAsia" w:ascii="宋体" w:hAnsi="宋体" w:cs="宋体"/>
                <w:b/>
                <w:bCs w:val="0"/>
                <w:color w:val="auto"/>
                <w:kern w:val="0"/>
                <w:szCs w:val="21"/>
                <w:highlight w:val="none"/>
              </w:rPr>
            </w:pPr>
            <w:r>
              <w:rPr>
                <w:rFonts w:hint="eastAsia" w:ascii="宋体" w:hAnsi="宋体" w:cs="宋体"/>
                <w:b/>
                <w:bCs w:val="0"/>
                <w:color w:val="auto"/>
                <w:kern w:val="0"/>
                <w:szCs w:val="21"/>
                <w:highlight w:val="none"/>
              </w:rPr>
              <w:t>（3）人员配置分（满分12分）</w:t>
            </w:r>
          </w:p>
        </w:tc>
        <w:tc>
          <w:tcPr>
            <w:tcW w:w="6613" w:type="dxa"/>
            <w:tcBorders>
              <w:top w:val="single" w:color="auto" w:sz="4" w:space="0"/>
              <w:left w:val="single" w:color="auto" w:sz="4" w:space="0"/>
              <w:right w:val="single" w:color="auto" w:sz="4" w:space="0"/>
            </w:tcBorders>
            <w:vAlign w:val="center"/>
          </w:tcPr>
          <w:p w14:paraId="5F89BC6D">
            <w:pPr>
              <w:wordWrap w:val="0"/>
              <w:spacing w:line="360" w:lineRule="auto"/>
              <w:jc w:val="left"/>
              <w:rPr>
                <w:rFonts w:hint="eastAsia" w:ascii="宋体" w:hAnsi="宋体" w:cs="宋体"/>
                <w:color w:val="auto"/>
                <w:szCs w:val="21"/>
                <w:highlight w:val="none"/>
              </w:rPr>
            </w:pPr>
            <w:r>
              <w:rPr>
                <w:rFonts w:hint="eastAsia" w:ascii="Calibri" w:hAnsi="Calibri" w:cs="Calibri"/>
                <w:color w:val="auto"/>
                <w:szCs w:val="21"/>
                <w:highlight w:val="none"/>
              </w:rPr>
              <w:t>①</w:t>
            </w:r>
            <w:r>
              <w:rPr>
                <w:rFonts w:hint="eastAsia" w:ascii="宋体" w:hAnsi="宋体" w:cs="宋体"/>
                <w:color w:val="auto"/>
                <w:szCs w:val="21"/>
                <w:highlight w:val="none"/>
              </w:rPr>
              <w:t>拟投入专职运维服务团队中的1名技术负责人（不得与实施负责人、售后负责人为同一人）具备：通信或信息类</w:t>
            </w:r>
            <w:r>
              <w:rPr>
                <w:rFonts w:hint="eastAsia" w:ascii="宋体" w:hAnsi="宋体" w:cs="宋体"/>
                <w:color w:val="auto"/>
                <w:szCs w:val="21"/>
                <w:highlight w:val="none"/>
                <w:lang w:val="en-US" w:eastAsia="zh-CN"/>
              </w:rPr>
              <w:t>副</w:t>
            </w:r>
            <w:r>
              <w:rPr>
                <w:rFonts w:hint="eastAsia" w:ascii="宋体" w:hAnsi="宋体" w:cs="宋体"/>
                <w:color w:val="auto"/>
                <w:szCs w:val="21"/>
                <w:highlight w:val="none"/>
              </w:rPr>
              <w:t>高级</w:t>
            </w:r>
            <w:r>
              <w:rPr>
                <w:rFonts w:hint="eastAsia" w:ascii="宋体" w:hAnsi="宋体" w:cs="宋体"/>
                <w:color w:val="auto"/>
                <w:szCs w:val="21"/>
                <w:highlight w:val="none"/>
                <w:lang w:val="en-US" w:eastAsia="zh-CN"/>
              </w:rPr>
              <w:t>及以上</w:t>
            </w:r>
            <w:r>
              <w:rPr>
                <w:rFonts w:hint="eastAsia" w:ascii="宋体" w:hAnsi="宋体" w:cs="宋体"/>
                <w:color w:val="auto"/>
                <w:szCs w:val="21"/>
                <w:highlight w:val="none"/>
              </w:rPr>
              <w:t>职称证书得2分，信息系统项目管理师证书得1分、网络安全能力认证（CCSC）网络安全技术Ⅰ级及以上证书</w:t>
            </w:r>
            <w:r>
              <w:rPr>
                <w:rFonts w:hint="eastAsia" w:ascii="宋体" w:hAnsi="宋体" w:cs="宋体"/>
                <w:color w:val="auto"/>
                <w:szCs w:val="21"/>
                <w:highlight w:val="none"/>
                <w:lang w:val="en-US" w:eastAsia="zh-CN"/>
              </w:rPr>
              <w:t>得</w:t>
            </w:r>
            <w:r>
              <w:rPr>
                <w:rFonts w:hint="eastAsia" w:ascii="宋体" w:hAnsi="宋体" w:cs="宋体"/>
                <w:color w:val="auto"/>
                <w:szCs w:val="21"/>
                <w:highlight w:val="none"/>
              </w:rPr>
              <w:t>1分，</w:t>
            </w:r>
            <w:r>
              <w:rPr>
                <w:rFonts w:hint="eastAsia" w:ascii="宋体" w:hAnsi="宋体" w:cs="宋体"/>
                <w:color w:val="auto"/>
                <w:szCs w:val="21"/>
                <w:highlight w:val="none"/>
                <w:lang w:val="en-US" w:eastAsia="zh-CN"/>
              </w:rPr>
              <w:t>本项</w:t>
            </w:r>
            <w:r>
              <w:rPr>
                <w:rFonts w:hint="eastAsia" w:ascii="宋体" w:hAnsi="宋体" w:cs="宋体"/>
                <w:color w:val="auto"/>
                <w:szCs w:val="21"/>
                <w:highlight w:val="none"/>
              </w:rPr>
              <w:t>满分4分。</w:t>
            </w:r>
          </w:p>
          <w:p w14:paraId="2E56067E">
            <w:pPr>
              <w:wordWrap w:val="0"/>
              <w:spacing w:line="360" w:lineRule="auto"/>
              <w:jc w:val="left"/>
              <w:rPr>
                <w:rFonts w:hint="eastAsia" w:ascii="宋体" w:hAnsi="宋体" w:cs="宋体"/>
                <w:color w:val="auto"/>
                <w:szCs w:val="21"/>
                <w:highlight w:val="none"/>
              </w:rPr>
            </w:pPr>
            <w:r>
              <w:rPr>
                <w:rFonts w:hint="eastAsia" w:ascii="Calibri" w:hAnsi="Calibri" w:cs="Calibri"/>
                <w:color w:val="auto"/>
                <w:szCs w:val="21"/>
                <w:highlight w:val="none"/>
              </w:rPr>
              <w:t>②</w:t>
            </w:r>
            <w:r>
              <w:rPr>
                <w:rFonts w:hint="eastAsia" w:ascii="宋体" w:hAnsi="宋体" w:cs="宋体"/>
                <w:color w:val="auto"/>
                <w:szCs w:val="21"/>
                <w:highlight w:val="none"/>
              </w:rPr>
              <w:t>拟投入专职运维服务团队中的1名实施负责人（不得与技术负责人、售后负责人为同一人）具备：信息系统项目管理师证书</w:t>
            </w:r>
            <w:r>
              <w:rPr>
                <w:rFonts w:hint="eastAsia" w:ascii="宋体" w:hAnsi="宋体" w:cs="宋体"/>
                <w:color w:val="auto"/>
                <w:szCs w:val="21"/>
                <w:highlight w:val="none"/>
                <w:lang w:val="en-US" w:eastAsia="zh-CN"/>
              </w:rPr>
              <w:t>得2分，</w:t>
            </w:r>
            <w:r>
              <w:rPr>
                <w:rFonts w:hint="eastAsia" w:ascii="宋体" w:hAnsi="宋体" w:cs="宋体"/>
                <w:color w:val="auto"/>
                <w:szCs w:val="21"/>
                <w:highlight w:val="none"/>
              </w:rPr>
              <w:t>通信专业技术人员职业资格证书</w:t>
            </w:r>
            <w:r>
              <w:rPr>
                <w:rFonts w:hint="eastAsia" w:ascii="宋体" w:hAnsi="宋体" w:cs="宋体"/>
                <w:color w:val="auto"/>
                <w:szCs w:val="21"/>
                <w:highlight w:val="none"/>
                <w:lang w:val="en-US" w:eastAsia="zh-CN"/>
              </w:rPr>
              <w:t>得2分</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本项满分</w:t>
            </w:r>
            <w:r>
              <w:rPr>
                <w:rFonts w:hint="eastAsia" w:ascii="宋体" w:hAnsi="宋体" w:cs="宋体"/>
                <w:color w:val="auto"/>
                <w:szCs w:val="21"/>
                <w:highlight w:val="none"/>
              </w:rPr>
              <w:t>4分。</w:t>
            </w:r>
          </w:p>
          <w:p w14:paraId="5FA4D2B7">
            <w:pPr>
              <w:wordWrap w:val="0"/>
              <w:spacing w:line="360" w:lineRule="auto"/>
              <w:jc w:val="left"/>
              <w:rPr>
                <w:rFonts w:hint="eastAsia" w:ascii="宋体" w:hAnsi="宋体" w:cs="宋体"/>
                <w:color w:val="auto"/>
                <w:szCs w:val="21"/>
                <w:highlight w:val="none"/>
              </w:rPr>
            </w:pPr>
            <w:r>
              <w:rPr>
                <w:rFonts w:hint="eastAsia" w:ascii="Calibri" w:hAnsi="Calibri" w:cs="Calibri"/>
                <w:color w:val="auto"/>
                <w:szCs w:val="21"/>
                <w:highlight w:val="none"/>
              </w:rPr>
              <w:t>③</w:t>
            </w:r>
            <w:r>
              <w:rPr>
                <w:rFonts w:hint="eastAsia" w:ascii="宋体" w:hAnsi="宋体" w:cs="宋体"/>
                <w:color w:val="auto"/>
                <w:szCs w:val="21"/>
                <w:highlight w:val="none"/>
              </w:rPr>
              <w:t>拟投入专职运维服务团队中的1名售后负责人（不得与实施负责人、技术负责人为同一人）具备：通信或信息类副高级或以上职称证书</w:t>
            </w:r>
            <w:r>
              <w:rPr>
                <w:rFonts w:hint="eastAsia" w:ascii="宋体" w:hAnsi="宋体" w:cs="宋体"/>
                <w:color w:val="auto"/>
                <w:szCs w:val="21"/>
                <w:highlight w:val="none"/>
                <w:lang w:val="en-US" w:eastAsia="zh-CN"/>
              </w:rPr>
              <w:t>得2分</w:t>
            </w:r>
            <w:r>
              <w:rPr>
                <w:rFonts w:hint="eastAsia" w:ascii="宋体" w:hAnsi="宋体" w:cs="宋体"/>
                <w:color w:val="auto"/>
                <w:szCs w:val="21"/>
                <w:highlight w:val="none"/>
              </w:rPr>
              <w:t>，通信工程质量监督工程师证书</w:t>
            </w:r>
            <w:r>
              <w:rPr>
                <w:rFonts w:hint="eastAsia" w:ascii="宋体" w:hAnsi="宋体" w:cs="宋体"/>
                <w:color w:val="auto"/>
                <w:szCs w:val="21"/>
                <w:highlight w:val="none"/>
                <w:lang w:val="en-US" w:eastAsia="zh-CN"/>
              </w:rPr>
              <w:t>得2分</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本项满分</w:t>
            </w:r>
            <w:r>
              <w:rPr>
                <w:rFonts w:hint="eastAsia" w:ascii="宋体" w:hAnsi="宋体" w:cs="宋体"/>
                <w:color w:val="auto"/>
                <w:szCs w:val="21"/>
                <w:highlight w:val="none"/>
              </w:rPr>
              <w:t>4分。</w:t>
            </w:r>
          </w:p>
        </w:tc>
        <w:tc>
          <w:tcPr>
            <w:tcW w:w="1183" w:type="dxa"/>
            <w:tcBorders>
              <w:top w:val="single" w:color="auto" w:sz="4" w:space="0"/>
              <w:left w:val="single" w:color="auto" w:sz="4" w:space="0"/>
              <w:bottom w:val="single" w:color="auto" w:sz="4" w:space="0"/>
              <w:right w:val="single" w:color="auto" w:sz="4" w:space="0"/>
            </w:tcBorders>
            <w:vAlign w:val="center"/>
          </w:tcPr>
          <w:p w14:paraId="191D41E2">
            <w:pPr>
              <w:pStyle w:val="12"/>
              <w:widowControl/>
              <w:wordWrap w:val="0"/>
              <w:spacing w:line="360" w:lineRule="auto"/>
              <w:jc w:val="both"/>
              <w:rPr>
                <w:rFonts w:hint="eastAsia" w:hAnsi="宋体" w:cs="宋体"/>
                <w:bCs/>
                <w:color w:val="auto"/>
                <w:szCs w:val="21"/>
                <w:highlight w:val="none"/>
              </w:rPr>
            </w:pPr>
            <w:r>
              <w:rPr>
                <w:rFonts w:hint="eastAsia" w:hAnsi="宋体" w:cs="宋体"/>
                <w:bCs/>
                <w:color w:val="auto"/>
                <w:szCs w:val="21"/>
                <w:highlight w:val="none"/>
              </w:rPr>
              <w:t>0~12分（客观分）</w:t>
            </w:r>
          </w:p>
        </w:tc>
      </w:tr>
      <w:tr w14:paraId="12AA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130" w:type="dxa"/>
            <w:gridSpan w:val="4"/>
            <w:tcBorders>
              <w:left w:val="single" w:color="auto" w:sz="4" w:space="0"/>
              <w:bottom w:val="single" w:color="auto" w:sz="4" w:space="0"/>
              <w:right w:val="single" w:color="auto" w:sz="4" w:space="0"/>
            </w:tcBorders>
          </w:tcPr>
          <w:p w14:paraId="32675C8B">
            <w:pPr>
              <w:pStyle w:val="12"/>
              <w:widowControl/>
              <w:wordWrap w:val="0"/>
              <w:spacing w:line="360" w:lineRule="auto"/>
              <w:ind w:firstLine="422"/>
              <w:rPr>
                <w:rFonts w:hint="eastAsia" w:hAnsi="宋体" w:cs="宋体"/>
                <w:bCs/>
                <w:color w:val="auto"/>
                <w:szCs w:val="21"/>
                <w:highlight w:val="none"/>
              </w:rPr>
            </w:pPr>
            <w:r>
              <w:rPr>
                <w:rFonts w:hint="eastAsia" w:hAnsi="宋体" w:cs="宋体"/>
                <w:b/>
                <w:bCs/>
                <w:color w:val="auto"/>
                <w:szCs w:val="21"/>
                <w:highlight w:val="none"/>
              </w:rPr>
              <w:t>总得分=1+2+3</w:t>
            </w:r>
          </w:p>
        </w:tc>
      </w:tr>
    </w:tbl>
    <w:p w14:paraId="4134DD80">
      <w:pPr>
        <w:pStyle w:val="12"/>
        <w:wordWrap w:val="0"/>
        <w:spacing w:line="360" w:lineRule="auto"/>
        <w:ind w:firstLine="480"/>
        <w:rPr>
          <w:rFonts w:hint="eastAsia" w:hAnsi="宋体" w:cs="宋体"/>
          <w:bCs/>
          <w:color w:val="auto"/>
          <w:sz w:val="24"/>
          <w:szCs w:val="24"/>
          <w:highlight w:val="none"/>
        </w:rPr>
      </w:pPr>
    </w:p>
    <w:p w14:paraId="4103EFD3">
      <w:pPr>
        <w:rPr>
          <w:rFonts w:hint="eastAsia" w:ascii="宋体" w:hAnsi="宋体" w:cs="宋体"/>
          <w:color w:val="auto"/>
          <w:highlight w:val="none"/>
        </w:rPr>
        <w:sectPr>
          <w:pgSz w:w="11906" w:h="16838"/>
          <w:pgMar w:top="1440" w:right="1080" w:bottom="1440" w:left="1080" w:header="720" w:footer="720" w:gutter="0"/>
          <w:cols w:space="720" w:num="1"/>
          <w:docGrid w:type="lines" w:linePitch="331" w:charSpace="0"/>
        </w:sectPr>
      </w:pPr>
    </w:p>
    <w:bookmarkEnd w:id="113"/>
    <w:p w14:paraId="6EC3C91D">
      <w:pPr>
        <w:pStyle w:val="3"/>
        <w:wordWrap w:val="0"/>
        <w:spacing w:before="0" w:after="0" w:line="360" w:lineRule="auto"/>
        <w:ind w:firstLine="600"/>
        <w:jc w:val="center"/>
        <w:rPr>
          <w:rFonts w:hint="eastAsia" w:ascii="宋体" w:hAnsi="宋体" w:eastAsia="宋体" w:cs="宋体"/>
          <w:b w:val="0"/>
          <w:color w:val="auto"/>
          <w:sz w:val="30"/>
          <w:szCs w:val="30"/>
          <w:highlight w:val="none"/>
        </w:rPr>
      </w:pPr>
      <w:bookmarkStart w:id="116" w:name="_Toc18980"/>
      <w:r>
        <w:rPr>
          <w:rFonts w:hint="eastAsia" w:ascii="宋体" w:hAnsi="宋体" w:eastAsia="宋体" w:cs="宋体"/>
          <w:b w:val="0"/>
          <w:color w:val="auto"/>
          <w:sz w:val="30"/>
          <w:szCs w:val="30"/>
          <w:highlight w:val="none"/>
        </w:rPr>
        <w:t>第四节 中标候选人推荐原则</w:t>
      </w:r>
      <w:bookmarkEnd w:id="116"/>
    </w:p>
    <w:p w14:paraId="53BE27FA">
      <w:pPr>
        <w:pStyle w:val="12"/>
        <w:wordWrap w:val="0"/>
        <w:spacing w:line="360" w:lineRule="auto"/>
        <w:ind w:left="1237" w:firstLine="422"/>
        <w:contextualSpacing/>
        <w:rPr>
          <w:rFonts w:hint="eastAsia" w:hAnsi="宋体" w:cs="宋体"/>
          <w:b/>
          <w:bCs/>
          <w:color w:val="auto"/>
          <w:szCs w:val="21"/>
          <w:highlight w:val="none"/>
        </w:rPr>
      </w:pPr>
      <w:r>
        <w:rPr>
          <w:rFonts w:hint="eastAsia" w:hAnsi="宋体" w:cs="宋体"/>
          <w:b/>
          <w:bCs/>
          <w:color w:val="auto"/>
          <w:szCs w:val="21"/>
          <w:highlight w:val="none"/>
        </w:rPr>
        <w:t>（一）综合评分法</w:t>
      </w:r>
    </w:p>
    <w:p w14:paraId="3359F6C8">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评标委员会将根据总得分由高到低排列次序并推荐中标候选供应商。总得分相同的，以投标报价由低到高顺序排列。得分相同且投标报价相同的并列，投标文件满足招标文件全部实质性要求，且按照评审因素的量化指标评审得分最高的投标人为排名第一的中标候选供应商。</w:t>
      </w:r>
    </w:p>
    <w:p w14:paraId="138F2D01">
      <w:pPr>
        <w:pStyle w:val="3"/>
        <w:wordWrap w:val="0"/>
        <w:spacing w:before="0" w:after="0" w:line="360" w:lineRule="auto"/>
        <w:ind w:firstLine="600" w:firstLineChars="200"/>
        <w:jc w:val="center"/>
        <w:rPr>
          <w:rFonts w:hint="eastAsia" w:ascii="宋体" w:hAnsi="宋体" w:eastAsia="宋体" w:cs="宋体"/>
          <w:b w:val="0"/>
          <w:color w:val="auto"/>
          <w:sz w:val="30"/>
          <w:szCs w:val="30"/>
          <w:highlight w:val="none"/>
        </w:rPr>
      </w:pPr>
      <w:bookmarkStart w:id="117" w:name="_Toc31612"/>
      <w:r>
        <w:rPr>
          <w:rFonts w:hint="eastAsia" w:ascii="宋体" w:hAnsi="宋体" w:eastAsia="宋体" w:cs="宋体"/>
          <w:b w:val="0"/>
          <w:color w:val="auto"/>
          <w:sz w:val="30"/>
          <w:szCs w:val="30"/>
          <w:highlight w:val="none"/>
        </w:rPr>
        <w:t>第五节 评标报告</w:t>
      </w:r>
      <w:bookmarkEnd w:id="117"/>
    </w:p>
    <w:p w14:paraId="0B966D53">
      <w:pPr>
        <w:pStyle w:val="32"/>
        <w:wordWrap w:val="0"/>
        <w:spacing w:before="0"/>
        <w:ind w:firstLine="422"/>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（一）评标报告与推荐中标候选人</w:t>
      </w:r>
    </w:p>
    <w:p w14:paraId="3B732D7E">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评标委员会根据原始评标记录和评标结果编写评标报告，并通过电子交易平台向采购人、采购代理机构提交。</w:t>
      </w:r>
    </w:p>
    <w:p w14:paraId="04DB6812">
      <w:pPr>
        <w:widowControl/>
        <w:wordWrap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（二）评标争议事项处理</w:t>
      </w:r>
    </w:p>
    <w:p w14:paraId="3192BE41">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4DB01F49">
      <w:pPr>
        <w:widowControl/>
        <w:wordWrap w:val="0"/>
        <w:spacing w:line="360" w:lineRule="auto"/>
        <w:ind w:firstLine="723"/>
        <w:jc w:val="left"/>
        <w:rPr>
          <w:rFonts w:hint="eastAsia" w:ascii="宋体" w:hAnsi="宋体" w:cs="宋体"/>
          <w:b/>
          <w:color w:val="auto"/>
          <w:sz w:val="36"/>
          <w:szCs w:val="20"/>
          <w:highlight w:val="none"/>
        </w:rPr>
        <w:sectPr>
          <w:pgSz w:w="11906" w:h="16838"/>
          <w:pgMar w:top="1440" w:right="1080" w:bottom="1440" w:left="1080" w:header="720" w:footer="720" w:gutter="0"/>
          <w:cols w:space="720" w:num="1"/>
          <w:docGrid w:type="lines" w:linePitch="331" w:charSpace="0"/>
        </w:sectPr>
      </w:pPr>
    </w:p>
    <w:p w14:paraId="1ABAFBE8">
      <w:pPr>
        <w:pStyle w:val="12"/>
        <w:tabs>
          <w:tab w:val="left" w:pos="2472"/>
        </w:tabs>
        <w:wordWrap w:val="0"/>
        <w:spacing w:line="360" w:lineRule="auto"/>
        <w:ind w:firstLine="723"/>
        <w:jc w:val="center"/>
        <w:outlineLvl w:val="0"/>
        <w:rPr>
          <w:rFonts w:hint="eastAsia" w:hAnsi="宋体" w:cs="宋体"/>
          <w:b/>
          <w:color w:val="auto"/>
          <w:sz w:val="36"/>
          <w:highlight w:val="none"/>
        </w:rPr>
      </w:pPr>
      <w:bookmarkStart w:id="118" w:name="_Toc9281"/>
      <w:r>
        <w:rPr>
          <w:rFonts w:hint="eastAsia" w:hAnsi="宋体" w:cs="宋体"/>
          <w:b/>
          <w:color w:val="auto"/>
          <w:sz w:val="36"/>
          <w:highlight w:val="none"/>
        </w:rPr>
        <w:t>第五章 拟签订的合同文本</w:t>
      </w:r>
      <w:bookmarkEnd w:id="118"/>
    </w:p>
    <w:p w14:paraId="767799FC">
      <w:pPr>
        <w:wordWrap w:val="0"/>
        <w:spacing w:line="360" w:lineRule="auto"/>
        <w:ind w:firstLine="480"/>
        <w:rPr>
          <w:rFonts w:hint="eastAsia" w:ascii="宋体" w:hAnsi="宋体" w:cs="宋体"/>
          <w:color w:val="auto"/>
          <w:sz w:val="24"/>
          <w:highlight w:val="none"/>
        </w:rPr>
      </w:pPr>
    </w:p>
    <w:p w14:paraId="6AE8E01D">
      <w:pPr>
        <w:wordWrap w:val="0"/>
        <w:spacing w:line="360" w:lineRule="auto"/>
        <w:ind w:firstLine="480"/>
        <w:rPr>
          <w:rFonts w:hint="eastAsia" w:ascii="宋体" w:hAnsi="宋体" w:cs="宋体"/>
          <w:color w:val="auto"/>
          <w:sz w:val="24"/>
          <w:highlight w:val="none"/>
          <w:u w:val="single"/>
        </w:rPr>
      </w:pPr>
      <w:r>
        <w:rPr>
          <w:rFonts w:hint="eastAsia" w:ascii="宋体" w:hAnsi="宋体" w:cs="宋体"/>
          <w:color w:val="auto"/>
          <w:sz w:val="24"/>
          <w:highlight w:val="none"/>
        </w:rPr>
        <w:t>“广西政府采购云”平台合同编号：</w:t>
      </w:r>
    </w:p>
    <w:p w14:paraId="0314F069">
      <w:pPr>
        <w:wordWrap w:val="0"/>
        <w:spacing w:line="360" w:lineRule="auto"/>
        <w:ind w:firstLine="1044"/>
        <w:jc w:val="center"/>
        <w:rPr>
          <w:rFonts w:hint="eastAsia" w:ascii="宋体" w:hAnsi="宋体" w:cs="宋体"/>
          <w:b/>
          <w:bCs/>
          <w:color w:val="auto"/>
          <w:sz w:val="52"/>
          <w:highlight w:val="none"/>
        </w:rPr>
      </w:pPr>
    </w:p>
    <w:p w14:paraId="7AD0AEB2">
      <w:pPr>
        <w:wordWrap w:val="0"/>
        <w:spacing w:line="360" w:lineRule="auto"/>
        <w:ind w:firstLine="1044"/>
        <w:jc w:val="center"/>
        <w:rPr>
          <w:rFonts w:hint="eastAsia" w:ascii="宋体" w:hAnsi="宋体" w:cs="宋体"/>
          <w:b/>
          <w:bCs/>
          <w:color w:val="auto"/>
          <w:sz w:val="52"/>
          <w:highlight w:val="none"/>
        </w:rPr>
      </w:pPr>
    </w:p>
    <w:p w14:paraId="4BD9192D">
      <w:pPr>
        <w:wordWrap w:val="0"/>
        <w:spacing w:line="360" w:lineRule="auto"/>
        <w:ind w:firstLine="1044"/>
        <w:jc w:val="center"/>
        <w:rPr>
          <w:rFonts w:hint="eastAsia" w:ascii="宋体" w:hAnsi="宋体" w:cs="宋体"/>
          <w:b/>
          <w:bCs/>
          <w:color w:val="auto"/>
          <w:sz w:val="52"/>
          <w:highlight w:val="none"/>
        </w:rPr>
      </w:pPr>
      <w:r>
        <w:rPr>
          <w:rFonts w:hint="eastAsia" w:ascii="宋体" w:hAnsi="宋体" w:cs="宋体"/>
          <w:b/>
          <w:bCs/>
          <w:color w:val="auto"/>
          <w:sz w:val="52"/>
          <w:highlight w:val="none"/>
        </w:rPr>
        <w:t>南 宁 市 政 府 采 购</w:t>
      </w:r>
    </w:p>
    <w:p w14:paraId="677D3300">
      <w:pPr>
        <w:wordWrap w:val="0"/>
        <w:spacing w:line="360" w:lineRule="auto"/>
        <w:ind w:firstLine="420" w:firstLineChars="200"/>
        <w:rPr>
          <w:rFonts w:hint="eastAsia" w:ascii="宋体" w:hAnsi="宋体" w:cs="宋体"/>
          <w:color w:val="auto"/>
          <w:highlight w:val="none"/>
        </w:rPr>
      </w:pPr>
    </w:p>
    <w:p w14:paraId="68012143">
      <w:pPr>
        <w:wordWrap w:val="0"/>
        <w:spacing w:line="360" w:lineRule="auto"/>
        <w:ind w:firstLine="420" w:firstLineChars="200"/>
        <w:rPr>
          <w:rFonts w:hint="eastAsia" w:ascii="宋体" w:hAnsi="宋体" w:cs="宋体"/>
          <w:color w:val="auto"/>
          <w:highlight w:val="none"/>
        </w:rPr>
      </w:pPr>
    </w:p>
    <w:p w14:paraId="53FE3A9A">
      <w:pPr>
        <w:wordWrap w:val="0"/>
        <w:spacing w:line="360" w:lineRule="auto"/>
        <w:ind w:firstLine="883"/>
        <w:jc w:val="center"/>
        <w:rPr>
          <w:rFonts w:hint="eastAsia" w:ascii="宋体" w:hAnsi="宋体" w:cs="宋体"/>
          <w:b/>
          <w:bCs/>
          <w:color w:val="auto"/>
          <w:sz w:val="44"/>
          <w:highlight w:val="none"/>
        </w:rPr>
      </w:pPr>
      <w:r>
        <w:rPr>
          <w:rFonts w:hint="eastAsia" w:ascii="宋体" w:hAnsi="宋体" w:cs="宋体"/>
          <w:b/>
          <w:bCs/>
          <w:color w:val="auto"/>
          <w:sz w:val="44"/>
          <w:highlight w:val="none"/>
          <w:u w:val="single"/>
        </w:rPr>
        <w:t xml:space="preserve">           </w:t>
      </w:r>
      <w:r>
        <w:rPr>
          <w:rFonts w:hint="eastAsia" w:ascii="宋体" w:hAnsi="宋体" w:cs="宋体"/>
          <w:b/>
          <w:bCs/>
          <w:color w:val="auto"/>
          <w:sz w:val="44"/>
          <w:highlight w:val="none"/>
        </w:rPr>
        <w:t>合同</w:t>
      </w:r>
    </w:p>
    <w:p w14:paraId="02293C18">
      <w:pPr>
        <w:wordWrap w:val="0"/>
        <w:spacing w:line="360" w:lineRule="auto"/>
        <w:ind w:firstLine="3507" w:firstLineChars="794"/>
        <w:rPr>
          <w:rFonts w:hint="eastAsia" w:ascii="宋体" w:hAnsi="宋体" w:cs="宋体"/>
          <w:b/>
          <w:bCs/>
          <w:color w:val="auto"/>
          <w:sz w:val="44"/>
          <w:highlight w:val="none"/>
        </w:rPr>
      </w:pPr>
    </w:p>
    <w:p w14:paraId="55A701AC">
      <w:pPr>
        <w:wordWrap w:val="0"/>
        <w:spacing w:line="360" w:lineRule="auto"/>
        <w:ind w:firstLine="1063" w:firstLineChars="294"/>
        <w:jc w:val="left"/>
        <w:rPr>
          <w:rFonts w:hint="eastAsia" w:ascii="宋体" w:hAnsi="宋体" w:cs="宋体"/>
          <w:b/>
          <w:color w:val="auto"/>
          <w:sz w:val="36"/>
          <w:szCs w:val="36"/>
          <w:highlight w:val="none"/>
        </w:rPr>
      </w:pPr>
      <w:r>
        <w:rPr>
          <w:rFonts w:hint="eastAsia" w:ascii="宋体" w:hAnsi="宋体" w:cs="宋体"/>
          <w:b/>
          <w:color w:val="auto"/>
          <w:sz w:val="36"/>
          <w:szCs w:val="36"/>
          <w:highlight w:val="none"/>
        </w:rPr>
        <w:t xml:space="preserve">项目编号：   </w:t>
      </w:r>
    </w:p>
    <w:p w14:paraId="2D8248C8">
      <w:pPr>
        <w:wordWrap w:val="0"/>
        <w:spacing w:line="360" w:lineRule="auto"/>
        <w:ind w:firstLine="1063" w:firstLineChars="294"/>
        <w:jc w:val="left"/>
        <w:rPr>
          <w:rFonts w:hint="eastAsia" w:ascii="宋体" w:hAnsi="宋体" w:cs="宋体"/>
          <w:b/>
          <w:color w:val="auto"/>
          <w:sz w:val="36"/>
          <w:szCs w:val="36"/>
          <w:highlight w:val="none"/>
        </w:rPr>
      </w:pPr>
      <w:r>
        <w:rPr>
          <w:rFonts w:hint="eastAsia" w:ascii="宋体" w:hAnsi="宋体" w:cs="宋体"/>
          <w:b/>
          <w:color w:val="auto"/>
          <w:sz w:val="36"/>
          <w:szCs w:val="36"/>
          <w:highlight w:val="none"/>
        </w:rPr>
        <w:t>计划编号：</w:t>
      </w:r>
    </w:p>
    <w:p w14:paraId="2032B611">
      <w:pPr>
        <w:tabs>
          <w:tab w:val="left" w:pos="7200"/>
        </w:tabs>
        <w:wordWrap w:val="0"/>
        <w:spacing w:line="360" w:lineRule="auto"/>
        <w:ind w:firstLine="1995" w:firstLineChars="552"/>
        <w:rPr>
          <w:rFonts w:hint="eastAsia" w:ascii="宋体" w:hAnsi="宋体" w:cs="宋体"/>
          <w:b/>
          <w:color w:val="auto"/>
          <w:sz w:val="36"/>
          <w:szCs w:val="36"/>
          <w:highlight w:val="none"/>
        </w:rPr>
      </w:pPr>
    </w:p>
    <w:p w14:paraId="66BC830A">
      <w:pPr>
        <w:pStyle w:val="9"/>
        <w:rPr>
          <w:rFonts w:hint="eastAsia" w:ascii="宋体" w:hAnsi="宋体" w:cs="宋体"/>
          <w:color w:val="auto"/>
          <w:highlight w:val="none"/>
        </w:rPr>
      </w:pPr>
    </w:p>
    <w:p w14:paraId="2167C2D1">
      <w:pPr>
        <w:tabs>
          <w:tab w:val="left" w:pos="7200"/>
        </w:tabs>
        <w:wordWrap w:val="0"/>
        <w:spacing w:line="360" w:lineRule="auto"/>
        <w:ind w:firstLine="1995" w:firstLineChars="552"/>
        <w:rPr>
          <w:rFonts w:hint="eastAsia" w:ascii="宋体" w:hAnsi="宋体" w:cs="宋体"/>
          <w:b/>
          <w:color w:val="auto"/>
          <w:sz w:val="36"/>
          <w:szCs w:val="36"/>
          <w:highlight w:val="none"/>
          <w:u w:val="single"/>
        </w:rPr>
      </w:pPr>
      <w:r>
        <w:rPr>
          <w:rFonts w:hint="eastAsia" w:ascii="宋体" w:hAnsi="宋体" w:cs="宋体"/>
          <w:b/>
          <w:color w:val="auto"/>
          <w:sz w:val="36"/>
          <w:szCs w:val="36"/>
          <w:highlight w:val="none"/>
        </w:rPr>
        <w:t>采购人：</w:t>
      </w:r>
    </w:p>
    <w:p w14:paraId="0AEA1C6D">
      <w:pPr>
        <w:tabs>
          <w:tab w:val="left" w:pos="7380"/>
        </w:tabs>
        <w:wordWrap w:val="0"/>
        <w:spacing w:line="360" w:lineRule="auto"/>
        <w:ind w:firstLine="1995" w:firstLineChars="552"/>
        <w:rPr>
          <w:rFonts w:hint="eastAsia" w:ascii="宋体" w:hAnsi="宋体" w:cs="宋体"/>
          <w:b/>
          <w:bCs/>
          <w:color w:val="auto"/>
          <w:sz w:val="44"/>
          <w:highlight w:val="none"/>
        </w:rPr>
      </w:pPr>
      <w:r>
        <w:rPr>
          <w:rFonts w:hint="eastAsia" w:ascii="宋体" w:hAnsi="宋体" w:cs="宋体"/>
          <w:b/>
          <w:color w:val="auto"/>
          <w:sz w:val="36"/>
          <w:szCs w:val="36"/>
          <w:highlight w:val="none"/>
        </w:rPr>
        <w:t>中标供应商：</w:t>
      </w:r>
    </w:p>
    <w:p w14:paraId="59BD1390">
      <w:pPr>
        <w:tabs>
          <w:tab w:val="left" w:pos="7380"/>
        </w:tabs>
        <w:wordWrap w:val="0"/>
        <w:spacing w:line="360" w:lineRule="auto"/>
        <w:ind w:firstLine="883"/>
        <w:rPr>
          <w:rFonts w:hint="eastAsia" w:ascii="宋体" w:hAnsi="宋体" w:cs="宋体"/>
          <w:b/>
          <w:bCs/>
          <w:color w:val="auto"/>
          <w:sz w:val="44"/>
          <w:highlight w:val="none"/>
        </w:rPr>
      </w:pPr>
    </w:p>
    <w:p w14:paraId="56EF5EAE">
      <w:pPr>
        <w:wordWrap w:val="0"/>
        <w:spacing w:line="360" w:lineRule="auto"/>
        <w:ind w:firstLine="480"/>
        <w:rPr>
          <w:rFonts w:hint="eastAsia" w:ascii="宋体" w:hAnsi="宋体" w:cs="宋体"/>
          <w:color w:val="auto"/>
          <w:sz w:val="24"/>
          <w:highlight w:val="none"/>
        </w:rPr>
      </w:pPr>
    </w:p>
    <w:p w14:paraId="48E9E53C">
      <w:pPr>
        <w:wordWrap w:val="0"/>
        <w:spacing w:line="360" w:lineRule="auto"/>
        <w:ind w:firstLine="2280" w:firstLineChars="950"/>
        <w:rPr>
          <w:rFonts w:hint="eastAsia" w:ascii="宋体" w:hAnsi="宋体" w:cs="宋体"/>
          <w:b/>
          <w:bCs/>
          <w:color w:val="auto"/>
          <w:sz w:val="44"/>
          <w:highlight w:val="none"/>
        </w:rPr>
      </w:pPr>
      <w:r>
        <w:rPr>
          <w:rFonts w:hint="eastAsia" w:ascii="宋体" w:hAnsi="宋体" w:cs="宋体"/>
          <w:color w:val="auto"/>
          <w:sz w:val="24"/>
          <w:highlight w:val="none"/>
        </w:rPr>
        <w:t>签订日期：    年   月   日</w:t>
      </w:r>
    </w:p>
    <w:p w14:paraId="764F382D">
      <w:pPr>
        <w:wordWrap w:val="0"/>
        <w:snapToGrid w:val="0"/>
        <w:spacing w:line="360" w:lineRule="auto"/>
        <w:ind w:firstLine="883"/>
        <w:jc w:val="center"/>
        <w:rPr>
          <w:rFonts w:hint="eastAsia" w:ascii="宋体" w:hAnsi="宋体" w:cs="宋体"/>
          <w:b/>
          <w:bCs/>
          <w:color w:val="auto"/>
          <w:sz w:val="44"/>
          <w:highlight w:val="none"/>
        </w:rPr>
      </w:pPr>
      <w:r>
        <w:rPr>
          <w:rFonts w:hint="eastAsia" w:ascii="宋体" w:hAnsi="宋体" w:cs="宋体"/>
          <w:b/>
          <w:bCs/>
          <w:color w:val="auto"/>
          <w:sz w:val="44"/>
          <w:highlight w:val="none"/>
        </w:rPr>
        <w:br w:type="page"/>
      </w:r>
    </w:p>
    <w:p w14:paraId="2A544D52">
      <w:pPr>
        <w:wordWrap w:val="0"/>
        <w:snapToGrid w:val="0"/>
        <w:spacing w:line="360" w:lineRule="auto"/>
        <w:ind w:firstLine="883"/>
        <w:jc w:val="center"/>
        <w:rPr>
          <w:rFonts w:hint="eastAsia" w:ascii="宋体" w:hAnsi="宋体" w:cs="宋体"/>
          <w:b/>
          <w:bCs/>
          <w:color w:val="auto"/>
          <w:sz w:val="44"/>
          <w:highlight w:val="none"/>
        </w:rPr>
      </w:pPr>
    </w:p>
    <w:p w14:paraId="12E9D21C">
      <w:pPr>
        <w:wordWrap w:val="0"/>
        <w:snapToGrid w:val="0"/>
        <w:spacing w:line="360" w:lineRule="auto"/>
        <w:ind w:firstLine="482"/>
        <w:jc w:val="center"/>
        <w:rPr>
          <w:rFonts w:hint="eastAsia" w:ascii="宋体" w:hAnsi="宋体" w:cs="宋体"/>
          <w:b/>
          <w:color w:val="auto"/>
          <w:sz w:val="24"/>
          <w:highlight w:val="none"/>
        </w:rPr>
      </w:pPr>
      <w:r>
        <w:rPr>
          <w:rFonts w:hint="eastAsia" w:ascii="宋体" w:hAnsi="宋体" w:cs="宋体"/>
          <w:b/>
          <w:color w:val="auto"/>
          <w:sz w:val="24"/>
          <w:highlight w:val="none"/>
        </w:rPr>
        <w:t>合同目录</w:t>
      </w:r>
    </w:p>
    <w:p w14:paraId="4BFE745D">
      <w:pPr>
        <w:wordWrap w:val="0"/>
        <w:snapToGrid w:val="0"/>
        <w:spacing w:line="360" w:lineRule="auto"/>
        <w:ind w:firstLine="883"/>
        <w:jc w:val="center"/>
        <w:rPr>
          <w:rFonts w:hint="eastAsia" w:ascii="宋体" w:hAnsi="宋体" w:cs="宋体"/>
          <w:b/>
          <w:bCs/>
          <w:color w:val="auto"/>
          <w:sz w:val="44"/>
          <w:highlight w:val="none"/>
        </w:rPr>
      </w:pPr>
    </w:p>
    <w:p w14:paraId="70BC28A5">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第一部分 合同书</w:t>
      </w:r>
      <w:r>
        <w:rPr>
          <w:rFonts w:hint="eastAsia" w:ascii="宋体" w:hAnsi="宋体" w:cs="宋体"/>
          <w:color w:val="auto"/>
          <w:kern w:val="0"/>
          <w:sz w:val="24"/>
          <w:highlight w:val="none"/>
        </w:rPr>
        <w:t>……………………………………………………………（页码）</w:t>
      </w:r>
    </w:p>
    <w:p w14:paraId="36BFA3AE">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二、第二部分 合同一般条款……………………………………………………（页码）</w:t>
      </w:r>
    </w:p>
    <w:p w14:paraId="3BC70CBC">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三、第三部分 合同专用条款……………………………………………………（页码）</w:t>
      </w:r>
    </w:p>
    <w:p w14:paraId="53DC1B14">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四、</w:t>
      </w:r>
      <w:r>
        <w:rPr>
          <w:rFonts w:hint="eastAsia" w:ascii="宋体" w:hAnsi="宋体" w:cs="宋体"/>
          <w:color w:val="auto"/>
          <w:sz w:val="24"/>
          <w:highlight w:val="none"/>
        </w:rPr>
        <w:t>第四部分 合同附件</w:t>
      </w:r>
      <w:r>
        <w:rPr>
          <w:rFonts w:hint="eastAsia" w:ascii="宋体" w:hAnsi="宋体" w:cs="宋体"/>
          <w:color w:val="auto"/>
          <w:kern w:val="0"/>
          <w:sz w:val="24"/>
          <w:highlight w:val="none"/>
        </w:rPr>
        <w:t>…………………………………………………………（页码）</w:t>
      </w:r>
    </w:p>
    <w:p w14:paraId="0DD22EDE">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4.1中标通知书 …………………………………………………………………（页码）</w:t>
      </w:r>
    </w:p>
    <w:p w14:paraId="6B42EE95">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4.2招标文件服务需求一览表 …………………………………………………（页码）</w:t>
      </w:r>
    </w:p>
    <w:p w14:paraId="5FA78459">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4.3招标文件的更改通知（如有） ……………………………………………（页码）</w:t>
      </w:r>
    </w:p>
    <w:p w14:paraId="1AE5ED5F">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4.4投标函 ………………………………………………………………………（页码）</w:t>
      </w:r>
    </w:p>
    <w:p w14:paraId="2986CB41">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4.5报价表 ………………………………………………………………………（页码）</w:t>
      </w:r>
    </w:p>
    <w:p w14:paraId="5CD21FFE">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4.6投标服务技术资料表 ………………………………………………………（页码）</w:t>
      </w:r>
    </w:p>
    <w:p w14:paraId="7971EE30">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4.7商务条款偏离表 ……………………………………………………………（页码）</w:t>
      </w:r>
    </w:p>
    <w:p w14:paraId="28EB14AA">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4.8中标供应商澄清函（如有请提供） ………………………………………（页码）</w:t>
      </w:r>
    </w:p>
    <w:p w14:paraId="627ACA46">
      <w:pPr>
        <w:wordWrap w:val="0"/>
        <w:snapToGrid w:val="0"/>
        <w:spacing w:line="360" w:lineRule="auto"/>
        <w:ind w:firstLine="420" w:firstLineChars="175"/>
        <w:rPr>
          <w:rFonts w:hint="eastAsia" w:ascii="宋体" w:hAnsi="宋体" w:cs="宋体"/>
          <w:color w:val="auto"/>
          <w:kern w:val="0"/>
          <w:sz w:val="24"/>
          <w:highlight w:val="none"/>
        </w:rPr>
      </w:pPr>
      <w:r>
        <w:rPr>
          <w:rFonts w:hint="eastAsia" w:ascii="宋体" w:hAnsi="宋体" w:cs="宋体"/>
          <w:color w:val="auto"/>
          <w:kern w:val="0"/>
          <w:sz w:val="24"/>
          <w:highlight w:val="none"/>
        </w:rPr>
        <w:t>4.9其他与本合同相关的资料（如有请提供） ………………………………（页码）</w:t>
      </w:r>
    </w:p>
    <w:p w14:paraId="4CFF24EF">
      <w:pPr>
        <w:wordWrap w:val="0"/>
        <w:snapToGrid w:val="0"/>
        <w:spacing w:line="360" w:lineRule="auto"/>
        <w:ind w:firstLine="480"/>
        <w:rPr>
          <w:rFonts w:hint="eastAsia" w:ascii="宋体" w:hAnsi="宋体" w:cs="宋体"/>
          <w:color w:val="auto"/>
          <w:kern w:val="0"/>
          <w:sz w:val="24"/>
          <w:highlight w:val="none"/>
        </w:rPr>
      </w:pPr>
    </w:p>
    <w:p w14:paraId="2F7F2250">
      <w:pPr>
        <w:widowControl/>
        <w:wordWrap w:val="0"/>
        <w:spacing w:line="360" w:lineRule="auto"/>
        <w:ind w:firstLine="344"/>
        <w:jc w:val="left"/>
        <w:rPr>
          <w:rFonts w:hint="eastAsia" w:ascii="宋体" w:hAnsi="宋体" w:cs="宋体"/>
          <w:color w:val="auto"/>
          <w:spacing w:val="-4"/>
          <w:sz w:val="18"/>
          <w:szCs w:val="20"/>
          <w:highlight w:val="none"/>
        </w:rPr>
        <w:sectPr>
          <w:pgSz w:w="11906" w:h="16838"/>
          <w:pgMar w:top="1440" w:right="1080" w:bottom="1440" w:left="1080" w:header="720" w:footer="720" w:gutter="0"/>
          <w:cols w:space="720" w:num="1"/>
          <w:docGrid w:type="lines" w:linePitch="331" w:charSpace="0"/>
        </w:sectPr>
      </w:pPr>
    </w:p>
    <w:p w14:paraId="40A36D6C">
      <w:pPr>
        <w:pStyle w:val="34"/>
        <w:wordWrap w:val="0"/>
        <w:spacing w:after="0"/>
        <w:ind w:firstLine="562"/>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第一部分 合同书</w:t>
      </w:r>
    </w:p>
    <w:p w14:paraId="22C73E2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lang w:val="zh-CN"/>
        </w:rPr>
        <w:t>日</w:t>
      </w:r>
      <w:r>
        <w:rPr>
          <w:rFonts w:hint="eastAsia" w:ascii="宋体" w:hAnsi="宋体" w:cs="宋体"/>
          <w:color w:val="auto"/>
          <w:sz w:val="24"/>
          <w:highlight w:val="none"/>
        </w:rPr>
        <w:t>，</w:t>
      </w:r>
      <w:r>
        <w:rPr>
          <w:rFonts w:hint="eastAsia" w:ascii="宋体" w:hAnsi="宋体" w:cs="宋体"/>
          <w:color w:val="auto"/>
          <w:sz w:val="24"/>
          <w:highlight w:val="none"/>
          <w:u w:val="single"/>
        </w:rPr>
        <w:t>南宁市社会保障卡管理办公室</w:t>
      </w:r>
      <w:r>
        <w:rPr>
          <w:rFonts w:hint="eastAsia" w:ascii="宋体" w:hAnsi="宋体" w:cs="宋体"/>
          <w:color w:val="auto"/>
          <w:sz w:val="24"/>
          <w:highlight w:val="none"/>
        </w:rPr>
        <w:t>以</w:t>
      </w:r>
      <w:r>
        <w:rPr>
          <w:rFonts w:hint="eastAsia" w:ascii="宋体" w:hAnsi="宋体" w:cs="宋体"/>
          <w:color w:val="auto"/>
          <w:sz w:val="24"/>
          <w:highlight w:val="none"/>
          <w:u w:val="single"/>
        </w:rPr>
        <w:t xml:space="preserve">   公开招标方式  </w:t>
      </w:r>
      <w:r>
        <w:rPr>
          <w:rFonts w:hint="eastAsia" w:ascii="宋体" w:hAnsi="宋体" w:cs="宋体"/>
          <w:color w:val="auto"/>
          <w:sz w:val="24"/>
          <w:highlight w:val="none"/>
        </w:rPr>
        <w:t>对</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项目进行了采购。经</w:t>
      </w:r>
      <w:r>
        <w:rPr>
          <w:rFonts w:hint="eastAsia" w:ascii="宋体" w:hAnsi="宋体" w:cs="宋体"/>
          <w:color w:val="auto"/>
          <w:sz w:val="24"/>
          <w:highlight w:val="none"/>
          <w:u w:val="single"/>
        </w:rPr>
        <w:t xml:space="preserve">  评标委员会  </w:t>
      </w:r>
      <w:r>
        <w:rPr>
          <w:rFonts w:hint="eastAsia" w:ascii="宋体" w:hAnsi="宋体" w:cs="宋体"/>
          <w:color w:val="auto"/>
          <w:sz w:val="24"/>
          <w:highlight w:val="none"/>
        </w:rPr>
        <w:t>评定，</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rPr>
        <w:t>为该项目中标供应商。现于中标通知书发出之日起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日内（根据项目实际情况填写，不能超过25日），按照采购文件确定的事项签订本合同。</w:t>
      </w:r>
    </w:p>
    <w:p w14:paraId="414196DB">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cs="宋体"/>
          <w:color w:val="auto"/>
          <w:sz w:val="24"/>
          <w:highlight w:val="none"/>
          <w:u w:val="single"/>
        </w:rPr>
        <w:t xml:space="preserve">   （采购人名称）   </w:t>
      </w:r>
      <w:r>
        <w:rPr>
          <w:rFonts w:hint="eastAsia" w:ascii="宋体" w:hAnsi="宋体" w:cs="宋体"/>
          <w:color w:val="auto"/>
          <w:sz w:val="24"/>
          <w:highlight w:val="none"/>
          <w:lang w:val="zh-CN"/>
        </w:rPr>
        <w:t>(以下简称：甲方)和</w:t>
      </w:r>
      <w:r>
        <w:rPr>
          <w:rFonts w:hint="eastAsia" w:ascii="宋体" w:hAnsi="宋体" w:cs="宋体"/>
          <w:color w:val="auto"/>
          <w:sz w:val="24"/>
          <w:highlight w:val="none"/>
          <w:u w:val="single"/>
        </w:rPr>
        <w:t xml:space="preserve">   （中标供应商名称）   </w:t>
      </w:r>
      <w:r>
        <w:rPr>
          <w:rFonts w:hint="eastAsia" w:ascii="宋体" w:hAnsi="宋体" w:cs="宋体"/>
          <w:color w:val="auto"/>
          <w:sz w:val="24"/>
          <w:highlight w:val="none"/>
          <w:lang w:val="zh-CN"/>
        </w:rPr>
        <w:t>(以下简称：乙方)协商一致，约定以下合同</w:t>
      </w:r>
      <w:r>
        <w:rPr>
          <w:rFonts w:hint="eastAsia" w:ascii="宋体" w:hAnsi="宋体" w:cs="宋体"/>
          <w:color w:val="auto"/>
          <w:sz w:val="24"/>
          <w:highlight w:val="none"/>
        </w:rPr>
        <w:t>条款，以兹共同遵守、全面履行。</w:t>
      </w:r>
    </w:p>
    <w:p w14:paraId="77E5C0EA">
      <w:pPr>
        <w:wordWrap w:val="0"/>
        <w:spacing w:line="360" w:lineRule="auto"/>
        <w:ind w:firstLine="482" w:firstLineChars="200"/>
        <w:rPr>
          <w:rFonts w:hint="eastAsia" w:ascii="宋体" w:hAnsi="宋体" w:cs="宋体"/>
          <w:b/>
          <w:color w:val="auto"/>
          <w:sz w:val="24"/>
          <w:highlight w:val="none"/>
        </w:rPr>
      </w:pPr>
      <w:bookmarkStart w:id="119" w:name="_Toc24059"/>
      <w:bookmarkStart w:id="120" w:name="_Toc3029"/>
      <w:bookmarkStart w:id="121" w:name="_Toc2232"/>
      <w:r>
        <w:rPr>
          <w:rFonts w:hint="eastAsia" w:ascii="宋体" w:hAnsi="宋体" w:cs="宋体"/>
          <w:b/>
          <w:color w:val="auto"/>
          <w:sz w:val="24"/>
          <w:highlight w:val="none"/>
        </w:rPr>
        <w:t>1.1 合同组成部分</w:t>
      </w:r>
      <w:bookmarkEnd w:id="119"/>
      <w:bookmarkEnd w:id="120"/>
      <w:bookmarkEnd w:id="121"/>
    </w:p>
    <w:p w14:paraId="7E4D2A0F">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6B897A6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1.1.1 本合同及其补充合同、变更协议；</w:t>
      </w:r>
    </w:p>
    <w:p w14:paraId="08ACED4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1.1.2 中标通知书；</w:t>
      </w:r>
    </w:p>
    <w:p w14:paraId="0BBA33C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1.1.3 投标文件及“投标报价”（含澄清或者说明文件）；</w:t>
      </w:r>
    </w:p>
    <w:p w14:paraId="1744A9F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1.1.4 招标文件（含澄清或者修改文件）；</w:t>
      </w:r>
    </w:p>
    <w:p w14:paraId="4D54D22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1.1.5 其他相关采购文件。</w:t>
      </w:r>
    </w:p>
    <w:p w14:paraId="714AE86E">
      <w:pPr>
        <w:wordWrap w:val="0"/>
        <w:spacing w:line="360" w:lineRule="auto"/>
        <w:ind w:firstLine="482" w:firstLineChars="200"/>
        <w:rPr>
          <w:rFonts w:hint="eastAsia" w:ascii="宋体" w:hAnsi="宋体" w:cs="宋体"/>
          <w:b/>
          <w:color w:val="auto"/>
          <w:sz w:val="24"/>
          <w:highlight w:val="none"/>
        </w:rPr>
      </w:pPr>
      <w:bookmarkStart w:id="122" w:name="_Toc21295"/>
      <w:bookmarkStart w:id="123" w:name="_Toc27126"/>
      <w:bookmarkStart w:id="124" w:name="_Toc24300"/>
      <w:r>
        <w:rPr>
          <w:rFonts w:hint="eastAsia" w:ascii="宋体" w:hAnsi="宋体" w:cs="宋体"/>
          <w:b/>
          <w:color w:val="auto"/>
          <w:sz w:val="24"/>
          <w:highlight w:val="none"/>
        </w:rPr>
        <w:t>1.2 标的物</w:t>
      </w:r>
      <w:bookmarkEnd w:id="122"/>
      <w:bookmarkEnd w:id="123"/>
      <w:bookmarkEnd w:id="124"/>
    </w:p>
    <w:p w14:paraId="7F972B3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1.2.1 标的物信息</w:t>
      </w:r>
    </w:p>
    <w:p w14:paraId="1ACE8EA3">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1.2.1.1名称：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FA6C1A1">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1.2.1.2数量：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06385C8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1.2.1.3质量：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C7A38F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p>
    <w:p w14:paraId="1829F36C">
      <w:pPr>
        <w:wordWrap w:val="0"/>
        <w:spacing w:line="360" w:lineRule="auto"/>
        <w:ind w:firstLine="482" w:firstLineChars="200"/>
        <w:rPr>
          <w:rFonts w:hint="eastAsia" w:ascii="宋体" w:hAnsi="宋体" w:cs="宋体"/>
          <w:b/>
          <w:color w:val="auto"/>
          <w:sz w:val="24"/>
          <w:highlight w:val="none"/>
        </w:rPr>
      </w:pPr>
      <w:bookmarkStart w:id="125" w:name="_Toc21631"/>
      <w:bookmarkStart w:id="126" w:name="_Toc21551"/>
      <w:bookmarkStart w:id="127" w:name="_Toc23292"/>
      <w:r>
        <w:rPr>
          <w:rFonts w:hint="eastAsia" w:ascii="宋体" w:hAnsi="宋体" w:cs="宋体"/>
          <w:b/>
          <w:color w:val="auto"/>
          <w:sz w:val="24"/>
          <w:highlight w:val="none"/>
        </w:rPr>
        <w:t>1.3 价款</w:t>
      </w:r>
      <w:bookmarkEnd w:id="125"/>
      <w:bookmarkEnd w:id="126"/>
      <w:bookmarkEnd w:id="127"/>
    </w:p>
    <w:p w14:paraId="1E4E82A3">
      <w:pPr>
        <w:wordWrap w:val="0"/>
        <w:spacing w:line="360" w:lineRule="auto"/>
        <w:ind w:firstLine="480" w:firstLineChars="200"/>
        <w:rPr>
          <w:rFonts w:hint="eastAsia" w:ascii="宋体" w:hAnsi="宋体" w:cs="宋体"/>
          <w:color w:val="auto"/>
          <w:highlight w:val="none"/>
        </w:rPr>
      </w:pPr>
      <w:r>
        <w:rPr>
          <w:rFonts w:hint="eastAsia" w:ascii="宋体" w:hAnsi="宋体" w:cs="宋体"/>
          <w:color w:val="auto"/>
          <w:sz w:val="24"/>
          <w:highlight w:val="none"/>
        </w:rPr>
        <w:t>本合同总价为：大写人民币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元，含税）。</w:t>
      </w:r>
    </w:p>
    <w:p w14:paraId="76F09E5E">
      <w:pPr>
        <w:wordWrap w:val="0"/>
        <w:spacing w:line="360" w:lineRule="auto"/>
        <w:ind w:firstLine="482" w:firstLineChars="200"/>
        <w:rPr>
          <w:rFonts w:hint="eastAsia" w:ascii="宋体" w:hAnsi="宋体" w:cs="宋体"/>
          <w:b/>
          <w:color w:val="auto"/>
          <w:sz w:val="24"/>
          <w:highlight w:val="none"/>
        </w:rPr>
      </w:pPr>
      <w:bookmarkStart w:id="128" w:name="_Toc1814"/>
      <w:bookmarkStart w:id="129" w:name="_Toc10340"/>
      <w:bookmarkStart w:id="130" w:name="_Toc22618"/>
      <w:r>
        <w:rPr>
          <w:rFonts w:hint="eastAsia" w:ascii="宋体" w:hAnsi="宋体" w:cs="宋体"/>
          <w:b/>
          <w:color w:val="auto"/>
          <w:sz w:val="24"/>
          <w:highlight w:val="none"/>
        </w:rPr>
        <w:t>1.4 付款方式和发票开具方式</w:t>
      </w:r>
      <w:bookmarkEnd w:id="128"/>
      <w:bookmarkEnd w:id="129"/>
      <w:bookmarkEnd w:id="130"/>
    </w:p>
    <w:p w14:paraId="4794B4B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1.4.1 付款方式：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24875AD">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1.4.2 发票开具方式：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62C0792">
      <w:pPr>
        <w:wordWrap w:val="0"/>
        <w:spacing w:line="360" w:lineRule="auto"/>
        <w:ind w:firstLine="482" w:firstLineChars="200"/>
        <w:rPr>
          <w:rFonts w:hint="eastAsia" w:ascii="宋体" w:hAnsi="宋体" w:cs="宋体"/>
          <w:b/>
          <w:color w:val="auto"/>
          <w:sz w:val="24"/>
          <w:highlight w:val="none"/>
        </w:rPr>
      </w:pPr>
      <w:bookmarkStart w:id="131" w:name="_Toc2846"/>
      <w:bookmarkStart w:id="132" w:name="_Toc32071"/>
      <w:bookmarkStart w:id="133" w:name="_Toc19304"/>
      <w:r>
        <w:rPr>
          <w:rFonts w:hint="eastAsia" w:ascii="宋体" w:hAnsi="宋体" w:cs="宋体"/>
          <w:b/>
          <w:color w:val="auto"/>
          <w:sz w:val="24"/>
          <w:highlight w:val="none"/>
        </w:rPr>
        <w:t>1.5 标的物交付期限、地点、方式</w:t>
      </w:r>
      <w:bookmarkEnd w:id="131"/>
      <w:bookmarkEnd w:id="132"/>
      <w:bookmarkEnd w:id="133"/>
      <w:r>
        <w:rPr>
          <w:rFonts w:hint="eastAsia" w:ascii="宋体" w:hAnsi="宋体" w:cs="宋体"/>
          <w:b/>
          <w:color w:val="auto"/>
          <w:sz w:val="24"/>
          <w:highlight w:val="none"/>
        </w:rPr>
        <w:t>和服务期限</w:t>
      </w:r>
    </w:p>
    <w:p w14:paraId="076CCA42">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1.5.1 提交服务时间：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EFC6849">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1.5.2 服务地点：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F4F57A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1.5.3 交付方式：</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6BB624E">
      <w:pPr>
        <w:wordWrap w:val="0"/>
        <w:spacing w:line="360" w:lineRule="auto"/>
        <w:ind w:firstLine="482" w:firstLineChars="200"/>
        <w:rPr>
          <w:rFonts w:hint="eastAsia" w:ascii="宋体" w:hAnsi="宋体" w:cs="宋体"/>
          <w:b/>
          <w:color w:val="auto"/>
          <w:sz w:val="24"/>
          <w:highlight w:val="none"/>
        </w:rPr>
      </w:pPr>
      <w:bookmarkStart w:id="134" w:name="_Toc19554"/>
      <w:bookmarkStart w:id="135" w:name="_Toc27250"/>
      <w:bookmarkStart w:id="136" w:name="_Toc21423"/>
      <w:r>
        <w:rPr>
          <w:rFonts w:hint="eastAsia" w:ascii="宋体" w:hAnsi="宋体" w:cs="宋体"/>
          <w:b/>
          <w:color w:val="auto"/>
          <w:sz w:val="24"/>
          <w:highlight w:val="none"/>
        </w:rPr>
        <w:t>1.6 违约责任</w:t>
      </w:r>
      <w:bookmarkEnd w:id="134"/>
      <w:bookmarkEnd w:id="135"/>
      <w:bookmarkEnd w:id="136"/>
    </w:p>
    <w:p w14:paraId="167D017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（根据项目实际填写，一般为万分之五）计算，最高限额为本合同总价的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%（根据项目实际填写，一般为20%）；迟延超过【  】（根据项目实际填写）日的，甲方有权在要求乙方支付违约金的同时，书面通知乙方解除本合同，乙方应退回全部已收取的合同价款并按合同总金额的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（根据项目实际填写，一般为20%）向甲方支付违约金；</w:t>
      </w:r>
    </w:p>
    <w:p w14:paraId="424DBB6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（根据项目实际填写，一般为万分之五）计算，最高限额为欠付金额的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%（根据项目实际填写，一般为20%）；迟延付款的违约金计算数额达到前述最高限额之日起，乙方有权在要求甲方支付违约金的同时，书面通知甲方解除本合同；</w:t>
      </w:r>
    </w:p>
    <w:p w14:paraId="78DEBCF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9E984E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1.6.4乙方在质保期内未按承诺提供售后等服务的，每发生一次向甲方支付违约金额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元。（根据项目实际填写）</w:t>
      </w:r>
    </w:p>
    <w:p w14:paraId="4E37482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FB7C35F">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905FB1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644FC196">
      <w:pPr>
        <w:wordWrap w:val="0"/>
        <w:spacing w:line="360" w:lineRule="auto"/>
        <w:ind w:firstLine="482" w:firstLineChars="200"/>
        <w:rPr>
          <w:rFonts w:hint="eastAsia" w:ascii="宋体" w:hAnsi="宋体" w:cs="宋体"/>
          <w:b/>
          <w:color w:val="auto"/>
          <w:sz w:val="24"/>
          <w:highlight w:val="none"/>
        </w:rPr>
      </w:pPr>
      <w:bookmarkStart w:id="137" w:name="_Toc15583"/>
      <w:bookmarkStart w:id="138" w:name="_Toc16021"/>
      <w:bookmarkStart w:id="139" w:name="_Toc28375"/>
      <w:r>
        <w:rPr>
          <w:rFonts w:hint="eastAsia" w:ascii="宋体" w:hAnsi="宋体" w:cs="宋体"/>
          <w:b/>
          <w:color w:val="auto"/>
          <w:sz w:val="24"/>
          <w:highlight w:val="none"/>
        </w:rPr>
        <w:t>1.7 合同争议的解决</w:t>
      </w:r>
      <w:bookmarkEnd w:id="137"/>
      <w:bookmarkEnd w:id="138"/>
      <w:bookmarkEnd w:id="139"/>
    </w:p>
    <w:p w14:paraId="590FB26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本合同履行过程中发生的任何争议，双方当事人均应通过友好协商的方式和解或者调解解决；不愿和解、调解或者和解、调解不成的，可以选择下列第</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种方式解决：</w:t>
      </w:r>
    </w:p>
    <w:p w14:paraId="217BE729">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1.7.1 将争议提交</w:t>
      </w:r>
      <w:r>
        <w:rPr>
          <w:rFonts w:hint="eastAsia" w:ascii="宋体" w:hAnsi="宋体" w:cs="宋体"/>
          <w:color w:val="auto"/>
          <w:sz w:val="24"/>
          <w:highlight w:val="none"/>
          <w:u w:val="single"/>
        </w:rPr>
        <w:t>南宁市</w:t>
      </w:r>
      <w:r>
        <w:rPr>
          <w:rFonts w:hint="eastAsia" w:ascii="宋体" w:hAnsi="宋体" w:cs="宋体"/>
          <w:color w:val="auto"/>
          <w:sz w:val="24"/>
          <w:highlight w:val="none"/>
        </w:rPr>
        <w:t>仲裁委员会依申请仲裁时其现行有效的仲裁规则裁决；</w:t>
      </w:r>
    </w:p>
    <w:p w14:paraId="6ECB8DE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1.7.2 向</w:t>
      </w:r>
      <w:r>
        <w:rPr>
          <w:rFonts w:hint="eastAsia" w:ascii="宋体" w:hAnsi="宋体" w:cs="宋体"/>
          <w:color w:val="auto"/>
          <w:sz w:val="24"/>
          <w:highlight w:val="none"/>
          <w:u w:val="single"/>
        </w:rPr>
        <w:t xml:space="preserve"> 甲方所在地 </w:t>
      </w:r>
      <w:r>
        <w:rPr>
          <w:rFonts w:hint="eastAsia" w:ascii="宋体" w:hAnsi="宋体" w:cs="宋体"/>
          <w:color w:val="auto"/>
          <w:sz w:val="24"/>
          <w:highlight w:val="none"/>
        </w:rPr>
        <w:t>有管辖权的人民法院起诉。</w:t>
      </w:r>
    </w:p>
    <w:p w14:paraId="06A1EF29">
      <w:pPr>
        <w:wordWrap w:val="0"/>
        <w:spacing w:line="360" w:lineRule="auto"/>
        <w:ind w:firstLine="482" w:firstLineChars="200"/>
        <w:rPr>
          <w:rFonts w:hint="eastAsia" w:ascii="宋体" w:hAnsi="宋体" w:cs="宋体"/>
          <w:b/>
          <w:color w:val="auto"/>
          <w:sz w:val="24"/>
          <w:highlight w:val="none"/>
        </w:rPr>
      </w:pPr>
      <w:bookmarkStart w:id="140" w:name="_Toc7245"/>
      <w:bookmarkStart w:id="141" w:name="_Toc11173"/>
      <w:bookmarkStart w:id="142" w:name="_Toc15322"/>
      <w:r>
        <w:rPr>
          <w:rFonts w:hint="eastAsia" w:ascii="宋体" w:hAnsi="宋体" w:cs="宋体"/>
          <w:b/>
          <w:color w:val="auto"/>
          <w:sz w:val="24"/>
          <w:highlight w:val="none"/>
        </w:rPr>
        <w:t>1.8 合同生效</w:t>
      </w:r>
      <w:bookmarkEnd w:id="140"/>
      <w:bookmarkEnd w:id="141"/>
      <w:bookmarkEnd w:id="142"/>
    </w:p>
    <w:p w14:paraId="52CAEF25">
      <w:pPr>
        <w:wordWrap w:val="0"/>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本合同自双方当事人加盖有效公章时生效。</w:t>
      </w:r>
    </w:p>
    <w:p w14:paraId="521AC64D">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甲方：                                  乙方：</w:t>
      </w:r>
    </w:p>
    <w:p w14:paraId="15CB576D">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统一社会信用代码：                      统一社会信用代码或身份证号码：</w:t>
      </w:r>
    </w:p>
    <w:p w14:paraId="13E1764F">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住所：                                   住所：</w:t>
      </w:r>
    </w:p>
    <w:p w14:paraId="62FF4479">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法定代表人或                             法定代表人</w:t>
      </w:r>
    </w:p>
    <w:p w14:paraId="60C71B27">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授权代表（签字）：                       或授权代表（签字）: </w:t>
      </w:r>
    </w:p>
    <w:p w14:paraId="10566A84">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联系人：                                 联系人：</w:t>
      </w:r>
    </w:p>
    <w:p w14:paraId="1BE2B94D">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约定送达地址：                           约定送达地址：</w:t>
      </w:r>
    </w:p>
    <w:p w14:paraId="303CD568">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邮政编码：                               邮政编码：</w:t>
      </w:r>
    </w:p>
    <w:p w14:paraId="54347B16">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电话:                                    电话: </w:t>
      </w:r>
    </w:p>
    <w:p w14:paraId="1CE1EB2D">
      <w:pPr>
        <w:wordWrap w:val="0"/>
        <w:spacing w:line="360" w:lineRule="auto"/>
        <w:ind w:firstLine="480"/>
        <w:rPr>
          <w:rFonts w:hint="eastAsia" w:ascii="宋体" w:hAnsi="宋体" w:cs="宋体"/>
          <w:color w:val="auto"/>
          <w:sz w:val="24"/>
          <w:highlight w:val="none"/>
          <w:lang w:val="zh-CN"/>
        </w:rPr>
      </w:pPr>
      <w:r>
        <w:rPr>
          <w:rFonts w:hint="eastAsia" w:ascii="宋体" w:hAnsi="宋体" w:cs="宋体"/>
          <w:color w:val="auto"/>
          <w:sz w:val="24"/>
          <w:highlight w:val="none"/>
          <w:lang w:val="zh-CN"/>
        </w:rPr>
        <w:t>传真:                                    传真:</w:t>
      </w:r>
    </w:p>
    <w:p w14:paraId="26B7F9B6">
      <w:pPr>
        <w:wordWrap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zh-CN"/>
        </w:rPr>
        <w:t>电子邮箱：                               电子邮箱：</w:t>
      </w:r>
    </w:p>
    <w:p w14:paraId="10FCD36C">
      <w:pPr>
        <w:wordWrap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开户银行：                               开户银行： </w:t>
      </w:r>
    </w:p>
    <w:p w14:paraId="02FB2841">
      <w:pPr>
        <w:wordWrap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开户名称：                               开户名称： </w:t>
      </w:r>
    </w:p>
    <w:p w14:paraId="6680DE27">
      <w:pPr>
        <w:wordWrap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开户账号：                               开户账号：</w:t>
      </w:r>
    </w:p>
    <w:p w14:paraId="5EF0C46D">
      <w:pPr>
        <w:wordWrap w:val="0"/>
        <w:spacing w:line="360" w:lineRule="auto"/>
        <w:ind w:firstLine="422"/>
        <w:jc w:val="center"/>
        <w:rPr>
          <w:rFonts w:hint="eastAsia" w:ascii="宋体" w:hAnsi="宋体" w:cs="宋体"/>
          <w:b/>
          <w:color w:val="auto"/>
          <w:sz w:val="28"/>
          <w:szCs w:val="28"/>
          <w:highlight w:val="none"/>
        </w:rPr>
      </w:pPr>
      <w:r>
        <w:rPr>
          <w:rFonts w:hint="eastAsia" w:ascii="宋体" w:hAnsi="宋体" w:cs="宋体"/>
          <w:b/>
          <w:color w:val="auto"/>
          <w:highlight w:val="none"/>
        </w:rPr>
        <w:br w:type="page"/>
      </w:r>
      <w:bookmarkStart w:id="143" w:name="_Toc331685783"/>
      <w:r>
        <w:rPr>
          <w:rFonts w:hint="eastAsia" w:ascii="宋体" w:hAnsi="宋体" w:cs="宋体"/>
          <w:b/>
          <w:color w:val="auto"/>
          <w:sz w:val="28"/>
          <w:szCs w:val="28"/>
          <w:highlight w:val="none"/>
        </w:rPr>
        <w:t>第二部分 合同一般条款</w:t>
      </w:r>
      <w:bookmarkEnd w:id="143"/>
    </w:p>
    <w:p w14:paraId="4176596D">
      <w:pPr>
        <w:wordWrap w:val="0"/>
        <w:spacing w:line="360" w:lineRule="auto"/>
        <w:ind w:firstLine="482" w:firstLineChars="200"/>
        <w:rPr>
          <w:rFonts w:hint="eastAsia" w:ascii="宋体" w:hAnsi="宋体" w:cs="宋体"/>
          <w:b/>
          <w:color w:val="auto"/>
          <w:sz w:val="24"/>
          <w:highlight w:val="none"/>
        </w:rPr>
      </w:pPr>
      <w:bookmarkStart w:id="144" w:name="_Ref467379195"/>
      <w:bookmarkStart w:id="145" w:name="_Toc16917"/>
      <w:bookmarkStart w:id="146" w:name="_Toc279701240"/>
      <w:bookmarkStart w:id="147" w:name="_Ref467379109"/>
      <w:bookmarkStart w:id="148" w:name="_Ref467378499"/>
      <w:bookmarkStart w:id="149" w:name="_Ref467379101"/>
      <w:bookmarkStart w:id="150" w:name="_Ref467378463"/>
      <w:bookmarkStart w:id="151" w:name="_Ref467378404"/>
      <w:bookmarkStart w:id="152" w:name="_Ref467379214"/>
      <w:bookmarkStart w:id="153" w:name="_Ref467379205"/>
      <w:bookmarkStart w:id="154" w:name="_Toc28763"/>
      <w:bookmarkStart w:id="155" w:name="_Ref467379225"/>
      <w:bookmarkStart w:id="156" w:name="_Toc19614"/>
      <w:bookmarkStart w:id="157" w:name="_Ref467379094"/>
      <w:bookmarkStart w:id="158" w:name="_Toc259093669"/>
      <w:bookmarkStart w:id="159" w:name="_Toc487900349"/>
      <w:r>
        <w:rPr>
          <w:rFonts w:hint="eastAsia" w:ascii="宋体" w:hAnsi="宋体" w:cs="宋体"/>
          <w:b/>
          <w:color w:val="auto"/>
          <w:sz w:val="24"/>
          <w:highlight w:val="none"/>
        </w:rPr>
        <w:t>2.1 定义</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7422D46C">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本合同中的下列词语应按以下内容进行解释：</w:t>
      </w:r>
    </w:p>
    <w:p w14:paraId="3ABB4FA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2.1.1 “合同”系指采购人和中标供应商签订的载明双方当事人所达成的协议，并包括所有的附件、附录和构成合同的其他文件。</w:t>
      </w:r>
    </w:p>
    <w:p w14:paraId="04707EC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2.1.2 “合同价”系指根据合同约定，中标供应商在完全履行合同义务后，采购人应支付给中标供应商的价格。</w:t>
      </w:r>
    </w:p>
    <w:p w14:paraId="3207351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 “标的物”系指中标供应商根据合同约定应向采购人交付的一切各种形态和种类的货物、服务和工程，包括但不限于原材料、燃料、设备、机械、仪表、备件、计算机软件、信息化系统、信息化维保、物业服务、产品等，并包括工具、手册等其他相关资料。</w:t>
      </w:r>
    </w:p>
    <w:p w14:paraId="31C9B43B">
      <w:pPr>
        <w:wordWrap w:val="0"/>
        <w:spacing w:line="360" w:lineRule="auto"/>
        <w:ind w:firstLine="480" w:firstLineChars="200"/>
        <w:rPr>
          <w:rFonts w:hint="eastAsia" w:ascii="宋体" w:hAnsi="宋体" w:cs="宋体"/>
          <w:color w:val="auto"/>
          <w:sz w:val="24"/>
          <w:highlight w:val="none"/>
        </w:rPr>
      </w:pPr>
      <w:bookmarkStart w:id="160" w:name="_Ref467378840"/>
      <w:r>
        <w:rPr>
          <w:rFonts w:hint="eastAsia" w:ascii="宋体" w:hAnsi="宋体" w:cs="宋体"/>
          <w:color w:val="auto"/>
          <w:sz w:val="24"/>
          <w:highlight w:val="none"/>
        </w:rPr>
        <w:t>2.1.4 “甲方”系指与中标供应商签署合同的采购人</w:t>
      </w:r>
      <w:bookmarkEnd w:id="160"/>
      <w:r>
        <w:rPr>
          <w:rFonts w:hint="eastAsia" w:ascii="宋体" w:hAnsi="宋体" w:cs="宋体"/>
          <w:color w:val="auto"/>
          <w:sz w:val="24"/>
          <w:highlight w:val="none"/>
        </w:rPr>
        <w:t>；采购人委托采购机构代表其与乙方签订合同的，采购人的授权委托书作为合同附件。</w:t>
      </w:r>
    </w:p>
    <w:p w14:paraId="2D72DE2D">
      <w:pPr>
        <w:wordWrap w:val="0"/>
        <w:spacing w:line="360" w:lineRule="auto"/>
        <w:ind w:firstLine="480" w:firstLineChars="200"/>
        <w:rPr>
          <w:rFonts w:hint="eastAsia" w:ascii="宋体" w:hAnsi="宋体" w:cs="宋体"/>
          <w:color w:val="auto"/>
          <w:sz w:val="24"/>
          <w:highlight w:val="none"/>
        </w:rPr>
      </w:pPr>
      <w:bookmarkStart w:id="161" w:name="_Ref467379400"/>
      <w:r>
        <w:rPr>
          <w:rFonts w:hint="eastAsia" w:ascii="宋体" w:hAnsi="宋体" w:cs="宋体"/>
          <w:color w:val="auto"/>
          <w:sz w:val="24"/>
          <w:highlight w:val="none"/>
        </w:rPr>
        <w:t>2.1.5 “乙方”系指根据合同约定交付标的物的</w:t>
      </w:r>
      <w:bookmarkEnd w:id="161"/>
      <w:r>
        <w:rPr>
          <w:rFonts w:hint="eastAsia" w:ascii="宋体" w:hAnsi="宋体" w:cs="宋体"/>
          <w:color w:val="auto"/>
          <w:sz w:val="24"/>
          <w:highlight w:val="none"/>
        </w:rPr>
        <w:t>中标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F682F02">
      <w:pPr>
        <w:wordWrap w:val="0"/>
        <w:spacing w:line="360" w:lineRule="auto"/>
        <w:ind w:firstLine="480" w:firstLineChars="200"/>
        <w:rPr>
          <w:rFonts w:hint="eastAsia" w:ascii="宋体" w:hAnsi="宋体" w:cs="宋体"/>
          <w:color w:val="auto"/>
          <w:sz w:val="24"/>
          <w:highlight w:val="none"/>
        </w:rPr>
      </w:pPr>
      <w:bookmarkStart w:id="162" w:name="_Ref467379436"/>
      <w:r>
        <w:rPr>
          <w:rFonts w:hint="eastAsia" w:ascii="宋体" w:hAnsi="宋体" w:cs="宋体"/>
          <w:color w:val="auto"/>
          <w:sz w:val="24"/>
          <w:highlight w:val="none"/>
        </w:rPr>
        <w:t>2.1.6 “现场”系指合同约定标的物将要运至或者实施或者安装的地点。</w:t>
      </w:r>
      <w:bookmarkEnd w:id="162"/>
    </w:p>
    <w:p w14:paraId="4051FC6A">
      <w:pPr>
        <w:wordWrap w:val="0"/>
        <w:spacing w:line="360" w:lineRule="auto"/>
        <w:ind w:firstLine="482" w:firstLineChars="200"/>
        <w:rPr>
          <w:rFonts w:hint="eastAsia" w:ascii="宋体" w:hAnsi="宋体" w:cs="宋体"/>
          <w:b/>
          <w:color w:val="auto"/>
          <w:sz w:val="24"/>
          <w:highlight w:val="none"/>
        </w:rPr>
      </w:pPr>
      <w:bookmarkStart w:id="163" w:name="_Toc259093670"/>
      <w:bookmarkStart w:id="164" w:name="_Toc13336"/>
      <w:bookmarkStart w:id="165" w:name="_Toc27635"/>
      <w:bookmarkStart w:id="166" w:name="_Toc32504"/>
      <w:bookmarkStart w:id="167" w:name="_Toc487900350"/>
      <w:bookmarkStart w:id="168" w:name="_Toc279701241"/>
      <w:r>
        <w:rPr>
          <w:rFonts w:hint="eastAsia" w:ascii="宋体" w:hAnsi="宋体" w:cs="宋体"/>
          <w:b/>
          <w:color w:val="auto"/>
          <w:sz w:val="24"/>
          <w:highlight w:val="none"/>
        </w:rPr>
        <w:t>2.2 技术规范</w:t>
      </w:r>
      <w:bookmarkEnd w:id="163"/>
      <w:bookmarkEnd w:id="164"/>
      <w:bookmarkEnd w:id="165"/>
      <w:bookmarkEnd w:id="166"/>
      <w:bookmarkEnd w:id="167"/>
      <w:bookmarkEnd w:id="168"/>
    </w:p>
    <w:p w14:paraId="4C795FC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6BFA9419">
      <w:pPr>
        <w:wordWrap w:val="0"/>
        <w:spacing w:line="360" w:lineRule="auto"/>
        <w:ind w:firstLine="482" w:firstLineChars="200"/>
        <w:rPr>
          <w:rFonts w:hint="eastAsia" w:ascii="宋体" w:hAnsi="宋体" w:cs="宋体"/>
          <w:b/>
          <w:color w:val="auto"/>
          <w:sz w:val="24"/>
          <w:highlight w:val="none"/>
        </w:rPr>
      </w:pPr>
      <w:bookmarkStart w:id="169" w:name="_Toc31634"/>
      <w:bookmarkStart w:id="170" w:name="_Toc27853"/>
      <w:bookmarkStart w:id="171" w:name="_Toc259093671"/>
      <w:bookmarkStart w:id="172" w:name="_Toc487900351"/>
      <w:bookmarkStart w:id="173" w:name="_Toc9829"/>
      <w:bookmarkStart w:id="174" w:name="_Toc279701242"/>
      <w:r>
        <w:rPr>
          <w:rFonts w:hint="eastAsia" w:ascii="宋体" w:hAnsi="宋体" w:cs="宋体"/>
          <w:b/>
          <w:color w:val="auto"/>
          <w:sz w:val="24"/>
          <w:highlight w:val="none"/>
        </w:rPr>
        <w:t>2.3 知识产权</w:t>
      </w:r>
      <w:bookmarkEnd w:id="169"/>
      <w:bookmarkEnd w:id="170"/>
      <w:bookmarkEnd w:id="171"/>
      <w:bookmarkEnd w:id="172"/>
      <w:bookmarkEnd w:id="173"/>
      <w:bookmarkEnd w:id="174"/>
    </w:p>
    <w:p w14:paraId="53FEEEEB">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64AA165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2.3.2具有知识产权的计算机软件等标的物的知识产权归属，详见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10DEFB6A">
      <w:pPr>
        <w:wordWrap w:val="0"/>
        <w:spacing w:line="360" w:lineRule="auto"/>
        <w:ind w:firstLine="482" w:firstLineChars="200"/>
        <w:rPr>
          <w:rFonts w:hint="eastAsia" w:ascii="宋体" w:hAnsi="宋体" w:cs="宋体"/>
          <w:b/>
          <w:color w:val="auto"/>
          <w:sz w:val="24"/>
          <w:highlight w:val="none"/>
        </w:rPr>
      </w:pPr>
      <w:bookmarkStart w:id="175" w:name="_Toc11932"/>
      <w:bookmarkStart w:id="176" w:name="_Toc29149"/>
      <w:bookmarkStart w:id="177" w:name="_Toc4194"/>
      <w:r>
        <w:rPr>
          <w:rFonts w:hint="eastAsia" w:ascii="宋体" w:hAnsi="宋体" w:cs="宋体"/>
          <w:b/>
          <w:color w:val="auto"/>
          <w:sz w:val="24"/>
          <w:highlight w:val="none"/>
        </w:rPr>
        <w:t>2.4 包装和装运</w:t>
      </w:r>
      <w:bookmarkEnd w:id="175"/>
      <w:bookmarkEnd w:id="176"/>
      <w:bookmarkEnd w:id="177"/>
    </w:p>
    <w:p w14:paraId="1FC7D53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2.4.1除</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6E9DA2E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2.4.2 装运标的物的要求和通知，详见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68A3BAE4">
      <w:pPr>
        <w:wordWrap w:val="0"/>
        <w:spacing w:line="360" w:lineRule="auto"/>
        <w:ind w:firstLine="482" w:firstLineChars="200"/>
        <w:rPr>
          <w:rFonts w:hint="eastAsia" w:ascii="宋体" w:hAnsi="宋体" w:cs="宋体"/>
          <w:b/>
          <w:color w:val="auto"/>
          <w:sz w:val="24"/>
          <w:highlight w:val="none"/>
        </w:rPr>
      </w:pPr>
      <w:bookmarkStart w:id="178" w:name="_Toc487900354"/>
      <w:bookmarkStart w:id="179" w:name="_Ref467378541"/>
      <w:bookmarkStart w:id="180" w:name="_Ref467379536"/>
      <w:bookmarkStart w:id="181" w:name="_Ref467378591"/>
      <w:bookmarkStart w:id="182" w:name="_Toc259093674"/>
      <w:bookmarkStart w:id="183" w:name="_Ref467379527"/>
      <w:bookmarkStart w:id="184" w:name="_Toc279701245"/>
      <w:bookmarkStart w:id="185" w:name="_Ref467379542"/>
      <w:bookmarkStart w:id="186" w:name="_Toc30272"/>
      <w:bookmarkStart w:id="187" w:name="_Toc26182"/>
      <w:bookmarkStart w:id="188" w:name="_Toc19074"/>
      <w:r>
        <w:rPr>
          <w:rFonts w:hint="eastAsia" w:ascii="宋体" w:hAnsi="宋体" w:cs="宋体"/>
          <w:b/>
          <w:color w:val="auto"/>
          <w:sz w:val="24"/>
          <w:highlight w:val="none"/>
        </w:rPr>
        <w:t>2.</w:t>
      </w:r>
      <w:bookmarkEnd w:id="178"/>
      <w:bookmarkEnd w:id="179"/>
      <w:bookmarkEnd w:id="180"/>
      <w:bookmarkEnd w:id="181"/>
      <w:bookmarkEnd w:id="182"/>
      <w:bookmarkEnd w:id="183"/>
      <w:bookmarkEnd w:id="184"/>
      <w:bookmarkEnd w:id="185"/>
      <w:r>
        <w:rPr>
          <w:rFonts w:hint="eastAsia" w:ascii="宋体" w:hAnsi="宋体" w:cs="宋体"/>
          <w:b/>
          <w:color w:val="auto"/>
          <w:sz w:val="24"/>
          <w:highlight w:val="none"/>
        </w:rPr>
        <w:t>5 履约检查和问题反馈</w:t>
      </w:r>
      <w:bookmarkEnd w:id="186"/>
      <w:bookmarkEnd w:id="187"/>
      <w:bookmarkEnd w:id="188"/>
    </w:p>
    <w:p w14:paraId="5EED7585">
      <w:pPr>
        <w:wordWrap w:val="0"/>
        <w:spacing w:line="360" w:lineRule="auto"/>
        <w:ind w:firstLine="480" w:firstLineChars="200"/>
        <w:rPr>
          <w:rFonts w:hint="eastAsia" w:ascii="宋体" w:hAnsi="宋体" w:cs="宋体"/>
          <w:color w:val="auto"/>
          <w:sz w:val="24"/>
          <w:highlight w:val="none"/>
        </w:rPr>
      </w:pPr>
      <w:bookmarkStart w:id="189" w:name="_Ref467379657"/>
      <w:r>
        <w:rPr>
          <w:rFonts w:hint="eastAsia" w:ascii="宋体" w:hAnsi="宋体" w:cs="宋体"/>
          <w:color w:val="auto"/>
          <w:sz w:val="24"/>
          <w:highlight w:val="none"/>
        </w:rPr>
        <w:t>2.5.1</w:t>
      </w:r>
      <w:bookmarkEnd w:id="189"/>
      <w:bookmarkStart w:id="190" w:name="_Toc186431854"/>
      <w:bookmarkStart w:id="191" w:name="_Toc487900357"/>
      <w:bookmarkStart w:id="192" w:name="_Ref467379793"/>
      <w:bookmarkStart w:id="193" w:name="_Toc259093676"/>
      <w:bookmarkStart w:id="194" w:name="_Toc279701247"/>
      <w:bookmarkStart w:id="195" w:name="_Ref467379807"/>
      <w:r>
        <w:rPr>
          <w:rFonts w:hint="eastAsia" w:ascii="宋体" w:hAnsi="宋体" w:cs="宋体"/>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473EC24F">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2.5.2 合同履行期间，甲方有权将履行过程中出现的问题反馈给乙方，双方当事人应以书面形式约定需要完善和改进的内容</w:t>
      </w:r>
      <w:bookmarkEnd w:id="190"/>
      <w:bookmarkStart w:id="196" w:name="_Toc186431855"/>
      <w:r>
        <w:rPr>
          <w:rFonts w:hint="eastAsia" w:ascii="宋体" w:hAnsi="宋体" w:cs="宋体"/>
          <w:color w:val="auto"/>
          <w:sz w:val="24"/>
          <w:highlight w:val="none"/>
        </w:rPr>
        <w:t>。</w:t>
      </w:r>
    </w:p>
    <w:bookmarkEnd w:id="196"/>
    <w:p w14:paraId="52FA08F2">
      <w:pPr>
        <w:wordWrap w:val="0"/>
        <w:spacing w:line="360" w:lineRule="auto"/>
        <w:ind w:firstLine="482" w:firstLineChars="200"/>
        <w:rPr>
          <w:rFonts w:hint="eastAsia" w:ascii="宋体" w:hAnsi="宋体" w:cs="宋体"/>
          <w:b/>
          <w:color w:val="auto"/>
          <w:sz w:val="24"/>
          <w:highlight w:val="none"/>
        </w:rPr>
      </w:pPr>
      <w:bookmarkStart w:id="197" w:name="_Toc28451"/>
      <w:bookmarkStart w:id="198" w:name="_Toc7836"/>
      <w:bookmarkStart w:id="199" w:name="_Toc19219"/>
      <w:r>
        <w:rPr>
          <w:rFonts w:hint="eastAsia" w:ascii="宋体" w:hAnsi="宋体" w:cs="宋体"/>
          <w:b/>
          <w:color w:val="auto"/>
          <w:sz w:val="24"/>
          <w:highlight w:val="none"/>
        </w:rPr>
        <w:t>2.6 结算方式和付款条件</w:t>
      </w:r>
      <w:bookmarkEnd w:id="191"/>
      <w:bookmarkEnd w:id="192"/>
      <w:bookmarkEnd w:id="193"/>
      <w:bookmarkEnd w:id="194"/>
      <w:bookmarkEnd w:id="195"/>
      <w:bookmarkEnd w:id="197"/>
      <w:bookmarkEnd w:id="198"/>
      <w:bookmarkEnd w:id="199"/>
    </w:p>
    <w:p w14:paraId="78AF860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249CE773">
      <w:pPr>
        <w:wordWrap w:val="0"/>
        <w:spacing w:line="360" w:lineRule="auto"/>
        <w:ind w:firstLine="482" w:firstLineChars="200"/>
        <w:rPr>
          <w:rFonts w:hint="eastAsia" w:ascii="宋体" w:hAnsi="宋体" w:cs="宋体"/>
          <w:b/>
          <w:color w:val="auto"/>
          <w:sz w:val="24"/>
          <w:highlight w:val="none"/>
        </w:rPr>
      </w:pPr>
      <w:bookmarkStart w:id="200" w:name="_Toc487900358"/>
      <w:bookmarkStart w:id="201" w:name="_Ref467379923"/>
      <w:bookmarkStart w:id="202" w:name="_Ref467379852"/>
      <w:bookmarkStart w:id="203" w:name="_Toc279701248"/>
      <w:bookmarkStart w:id="204" w:name="_Ref467379863"/>
      <w:bookmarkStart w:id="205" w:name="_Toc259093677"/>
      <w:bookmarkStart w:id="206" w:name="_Toc16110"/>
      <w:bookmarkStart w:id="207" w:name="_Toc3225"/>
      <w:bookmarkStart w:id="208" w:name="_Toc774"/>
      <w:r>
        <w:rPr>
          <w:rFonts w:hint="eastAsia" w:ascii="宋体" w:hAnsi="宋体" w:cs="宋体"/>
          <w:b/>
          <w:color w:val="auto"/>
          <w:sz w:val="24"/>
          <w:highlight w:val="none"/>
        </w:rPr>
        <w:t>2.7 技术资料</w:t>
      </w:r>
      <w:bookmarkEnd w:id="200"/>
      <w:bookmarkEnd w:id="201"/>
      <w:bookmarkEnd w:id="202"/>
      <w:bookmarkEnd w:id="203"/>
      <w:bookmarkEnd w:id="204"/>
      <w:bookmarkEnd w:id="205"/>
      <w:r>
        <w:rPr>
          <w:rFonts w:hint="eastAsia" w:ascii="宋体" w:hAnsi="宋体" w:cs="宋体"/>
          <w:b/>
          <w:color w:val="auto"/>
          <w:sz w:val="24"/>
          <w:highlight w:val="none"/>
        </w:rPr>
        <w:t>和保密义务</w:t>
      </w:r>
      <w:bookmarkEnd w:id="206"/>
      <w:bookmarkEnd w:id="207"/>
      <w:bookmarkEnd w:id="208"/>
    </w:p>
    <w:p w14:paraId="68DCE0BC">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2.7.1 乙方有权依据合同约定和项目需要，向甲方了解有关情况，调阅有关资料等，甲方应予积极配合；</w:t>
      </w:r>
    </w:p>
    <w:p w14:paraId="20B9E5BF">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2.7.2 乙方有义务妥善保管和保护由甲方提供的前款信息和资料等；</w:t>
      </w:r>
    </w:p>
    <w:p w14:paraId="017D14F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30DA1AEB">
      <w:pPr>
        <w:wordWrap w:val="0"/>
        <w:spacing w:line="360" w:lineRule="auto"/>
        <w:ind w:firstLine="482" w:firstLineChars="200"/>
        <w:rPr>
          <w:rFonts w:hint="eastAsia" w:ascii="宋体" w:hAnsi="宋体" w:cs="宋体"/>
          <w:b/>
          <w:color w:val="auto"/>
          <w:sz w:val="24"/>
          <w:highlight w:val="none"/>
        </w:rPr>
      </w:pPr>
      <w:bookmarkStart w:id="209" w:name="_Toc7860"/>
      <w:r>
        <w:rPr>
          <w:rFonts w:hint="eastAsia" w:ascii="宋体" w:hAnsi="宋体" w:cs="宋体"/>
          <w:b/>
          <w:color w:val="auto"/>
          <w:sz w:val="24"/>
          <w:highlight w:val="none"/>
        </w:rPr>
        <w:t>2.8 质量保证</w:t>
      </w:r>
      <w:bookmarkEnd w:id="209"/>
    </w:p>
    <w:p w14:paraId="0C465FBC">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2.8.1 乙方应建立和完善履行合同的内部质量保证体系，并提供相关内部规章制度给甲方，以便甲方进行监督检查；</w:t>
      </w:r>
    </w:p>
    <w:p w14:paraId="0AF8AFFB">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2.8.2 乙方应保证履行合同的人员数量和素质、软件和硬件设备的配置、场地、环境和设施等满足全面履行合同的要求，并应接受甲方的监督检查。</w:t>
      </w:r>
    </w:p>
    <w:p w14:paraId="13E70744">
      <w:pPr>
        <w:wordWrap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cs="宋体"/>
          <w:color w:val="auto"/>
          <w:kern w:val="0"/>
          <w:sz w:val="24"/>
          <w:highlight w:val="none"/>
        </w:rPr>
        <w:t>甲方有权放弃或终止合同，并没收履约保证金。</w:t>
      </w:r>
    </w:p>
    <w:p w14:paraId="59C8858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（根据项目实际情况填写，一般为30%）。</w:t>
      </w:r>
    </w:p>
    <w:p w14:paraId="7E6A766F">
      <w:pPr>
        <w:wordWrap w:val="0"/>
        <w:spacing w:line="360" w:lineRule="auto"/>
        <w:ind w:firstLine="482" w:firstLineChars="200"/>
        <w:rPr>
          <w:rFonts w:hint="eastAsia" w:ascii="宋体" w:hAnsi="宋体" w:cs="宋体"/>
          <w:b/>
          <w:color w:val="auto"/>
          <w:sz w:val="24"/>
          <w:highlight w:val="none"/>
        </w:rPr>
      </w:pPr>
      <w:bookmarkStart w:id="210" w:name="_Toc17244"/>
      <w:bookmarkStart w:id="211" w:name="_Toc487900362"/>
      <w:bookmarkStart w:id="212" w:name="_Toc279701252"/>
      <w:bookmarkStart w:id="213" w:name="_Toc259093681"/>
      <w:r>
        <w:rPr>
          <w:rFonts w:hint="eastAsia" w:ascii="宋体" w:hAnsi="宋体" w:cs="宋体"/>
          <w:b/>
          <w:color w:val="auto"/>
          <w:sz w:val="24"/>
          <w:highlight w:val="none"/>
        </w:rPr>
        <w:t>2.9 标的物的风险负担</w:t>
      </w:r>
      <w:bookmarkEnd w:id="210"/>
    </w:p>
    <w:p w14:paraId="4030127A">
      <w:pPr>
        <w:wordWrap w:val="0"/>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标的物或者在途标的物或者交付给第一承运人后的标的物毁损、灭失的风险负担详见</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w:t>
      </w:r>
    </w:p>
    <w:p w14:paraId="595154B0">
      <w:pPr>
        <w:wordWrap w:val="0"/>
        <w:spacing w:line="360" w:lineRule="auto"/>
        <w:ind w:firstLine="482" w:firstLineChars="200"/>
        <w:rPr>
          <w:rFonts w:hint="eastAsia" w:ascii="宋体" w:hAnsi="宋体" w:cs="宋体"/>
          <w:b/>
          <w:color w:val="auto"/>
          <w:sz w:val="24"/>
          <w:highlight w:val="none"/>
        </w:rPr>
      </w:pPr>
      <w:bookmarkStart w:id="214" w:name="_Toc14055"/>
      <w:r>
        <w:rPr>
          <w:rFonts w:hint="eastAsia" w:ascii="宋体" w:hAnsi="宋体" w:cs="宋体"/>
          <w:b/>
          <w:color w:val="auto"/>
          <w:sz w:val="24"/>
          <w:highlight w:val="none"/>
        </w:rPr>
        <w:t>2.10 延迟交货</w:t>
      </w:r>
      <w:bookmarkEnd w:id="211"/>
      <w:bookmarkEnd w:id="212"/>
      <w:bookmarkEnd w:id="213"/>
      <w:bookmarkEnd w:id="214"/>
      <w:r>
        <w:rPr>
          <w:rFonts w:hint="eastAsia" w:ascii="宋体" w:hAnsi="宋体" w:cs="宋体"/>
          <w:b/>
          <w:color w:val="auto"/>
          <w:sz w:val="24"/>
          <w:highlight w:val="none"/>
        </w:rPr>
        <w:t>/交付</w:t>
      </w:r>
    </w:p>
    <w:p w14:paraId="706F10F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9C3F415">
      <w:pPr>
        <w:wordWrap w:val="0"/>
        <w:spacing w:line="360" w:lineRule="auto"/>
        <w:ind w:firstLine="482" w:firstLineChars="200"/>
        <w:rPr>
          <w:rFonts w:hint="eastAsia" w:ascii="宋体" w:hAnsi="宋体" w:cs="宋体"/>
          <w:b/>
          <w:color w:val="auto"/>
          <w:sz w:val="24"/>
          <w:highlight w:val="none"/>
        </w:rPr>
      </w:pPr>
      <w:bookmarkStart w:id="215" w:name="_Toc7502"/>
      <w:bookmarkStart w:id="216" w:name="_Toc279701254"/>
      <w:bookmarkStart w:id="217" w:name="_Toc259093683"/>
      <w:bookmarkStart w:id="218" w:name="_Toc487900364"/>
      <w:bookmarkStart w:id="219" w:name="_Ref467378121"/>
      <w:r>
        <w:rPr>
          <w:rFonts w:hint="eastAsia" w:ascii="宋体" w:hAnsi="宋体" w:cs="宋体"/>
          <w:b/>
          <w:color w:val="auto"/>
          <w:sz w:val="24"/>
          <w:highlight w:val="none"/>
        </w:rPr>
        <w:t>2.11 合同变更</w:t>
      </w:r>
      <w:bookmarkEnd w:id="215"/>
    </w:p>
    <w:p w14:paraId="7C7B6B1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3D69C05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20" w:name="_Toc279701259"/>
      <w:bookmarkStart w:id="221" w:name="_Toc259093688"/>
      <w:bookmarkStart w:id="222" w:name="_Toc487900369"/>
    </w:p>
    <w:p w14:paraId="09B3188A">
      <w:pPr>
        <w:wordWrap w:val="0"/>
        <w:spacing w:line="360" w:lineRule="auto"/>
        <w:ind w:firstLine="482" w:firstLineChars="200"/>
        <w:rPr>
          <w:rFonts w:hint="eastAsia" w:ascii="宋体" w:hAnsi="宋体" w:cs="宋体"/>
          <w:b/>
          <w:color w:val="auto"/>
          <w:sz w:val="24"/>
          <w:highlight w:val="none"/>
        </w:rPr>
      </w:pPr>
      <w:bookmarkStart w:id="223" w:name="_Toc15237"/>
      <w:bookmarkStart w:id="224" w:name="_Toc10366"/>
      <w:bookmarkStart w:id="225" w:name="_Toc22955"/>
      <w:r>
        <w:rPr>
          <w:rFonts w:hint="eastAsia" w:ascii="宋体" w:hAnsi="宋体" w:cs="宋体"/>
          <w:b/>
          <w:color w:val="auto"/>
          <w:sz w:val="24"/>
          <w:highlight w:val="none"/>
        </w:rPr>
        <w:t>2.12 合同转让</w:t>
      </w:r>
      <w:bookmarkEnd w:id="220"/>
      <w:bookmarkEnd w:id="221"/>
      <w:bookmarkEnd w:id="222"/>
      <w:r>
        <w:rPr>
          <w:rFonts w:hint="eastAsia" w:ascii="宋体" w:hAnsi="宋体" w:cs="宋体"/>
          <w:b/>
          <w:color w:val="auto"/>
          <w:sz w:val="24"/>
          <w:highlight w:val="none"/>
        </w:rPr>
        <w:t>和分包</w:t>
      </w:r>
      <w:bookmarkEnd w:id="223"/>
      <w:bookmarkEnd w:id="224"/>
      <w:bookmarkEnd w:id="225"/>
    </w:p>
    <w:p w14:paraId="0A59325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55FC1634">
      <w:pPr>
        <w:wordWrap w:val="0"/>
        <w:spacing w:line="360" w:lineRule="auto"/>
        <w:ind w:firstLine="482" w:firstLineChars="200"/>
        <w:rPr>
          <w:rFonts w:hint="eastAsia" w:ascii="宋体" w:hAnsi="宋体" w:cs="宋体"/>
          <w:b/>
          <w:color w:val="auto"/>
          <w:sz w:val="24"/>
          <w:highlight w:val="none"/>
        </w:rPr>
      </w:pPr>
      <w:bookmarkStart w:id="226" w:name="_Toc16508"/>
      <w:bookmarkStart w:id="227" w:name="_Toc13566"/>
      <w:bookmarkStart w:id="228" w:name="_Toc14066"/>
      <w:r>
        <w:rPr>
          <w:rFonts w:hint="eastAsia" w:ascii="宋体" w:hAnsi="宋体" w:cs="宋体"/>
          <w:b/>
          <w:color w:val="auto"/>
          <w:sz w:val="24"/>
          <w:highlight w:val="none"/>
        </w:rPr>
        <w:t>2.13 不可抗力</w:t>
      </w:r>
      <w:bookmarkEnd w:id="226"/>
      <w:bookmarkEnd w:id="227"/>
      <w:bookmarkEnd w:id="228"/>
    </w:p>
    <w:p w14:paraId="30FCC97A">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2.13.1如果任何一方遭遇法律规定的不可抗力，致使合同履行受阻时，履行合同的期限应予延长，延长的期限应相当于不可抗力所影响的时间；</w:t>
      </w:r>
    </w:p>
    <w:p w14:paraId="0CCED00B">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2.13.2受不可抗力影响的一方在不可抗力发生后，应在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约定时间内以书面形式通知对方当事人，并在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约定时间内，将有关部门出具的证明文件送达对方当事人。</w:t>
      </w:r>
    </w:p>
    <w:p w14:paraId="4A539988">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2.13.3 因不可抗力致使不能实现合同目的的，当事人可以解除合同；</w:t>
      </w:r>
    </w:p>
    <w:p w14:paraId="79B8376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2.13.4 因不可抗力致使合同有变更必要的，双方当事人应在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约定时间内以书面形式变更合同；</w:t>
      </w:r>
    </w:p>
    <w:p w14:paraId="143A16A5">
      <w:pPr>
        <w:wordWrap w:val="0"/>
        <w:spacing w:line="360" w:lineRule="auto"/>
        <w:ind w:firstLine="482" w:firstLineChars="200"/>
        <w:rPr>
          <w:rFonts w:hint="eastAsia" w:ascii="宋体" w:hAnsi="宋体" w:cs="宋体"/>
          <w:b/>
          <w:color w:val="auto"/>
          <w:sz w:val="24"/>
          <w:highlight w:val="none"/>
        </w:rPr>
      </w:pPr>
      <w:bookmarkStart w:id="229" w:name="_Toc30676"/>
      <w:bookmarkStart w:id="230" w:name="_Toc689"/>
      <w:bookmarkStart w:id="231" w:name="_Toc6969"/>
      <w:bookmarkStart w:id="232" w:name="_Toc279701255"/>
      <w:bookmarkStart w:id="233" w:name="_Toc259093684"/>
      <w:bookmarkStart w:id="234" w:name="_Toc487900365"/>
      <w:r>
        <w:rPr>
          <w:rFonts w:hint="eastAsia" w:ascii="宋体" w:hAnsi="宋体" w:cs="宋体"/>
          <w:b/>
          <w:color w:val="auto"/>
          <w:sz w:val="24"/>
          <w:highlight w:val="none"/>
        </w:rPr>
        <w:t>2.14 税费</w:t>
      </w:r>
      <w:bookmarkEnd w:id="229"/>
      <w:bookmarkEnd w:id="230"/>
      <w:bookmarkEnd w:id="231"/>
      <w:bookmarkEnd w:id="232"/>
      <w:bookmarkEnd w:id="233"/>
      <w:bookmarkEnd w:id="234"/>
    </w:p>
    <w:p w14:paraId="7D11A35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与合同有关的一切税费，均按照中华人民共和国法律的相关规定执行。</w:t>
      </w:r>
    </w:p>
    <w:p w14:paraId="38C6B830">
      <w:pPr>
        <w:wordWrap w:val="0"/>
        <w:spacing w:line="360" w:lineRule="auto"/>
        <w:ind w:firstLine="482" w:firstLineChars="200"/>
        <w:rPr>
          <w:rFonts w:hint="eastAsia" w:ascii="宋体" w:hAnsi="宋体" w:cs="宋体"/>
          <w:b/>
          <w:color w:val="auto"/>
          <w:sz w:val="24"/>
          <w:highlight w:val="none"/>
        </w:rPr>
      </w:pPr>
      <w:bookmarkStart w:id="235" w:name="_Toc7102"/>
      <w:bookmarkStart w:id="236" w:name="_Toc279701258"/>
      <w:bookmarkStart w:id="237" w:name="_Toc259093687"/>
      <w:bookmarkStart w:id="238" w:name="_Toc8298"/>
      <w:bookmarkStart w:id="239" w:name="_Toc16959"/>
      <w:bookmarkStart w:id="240" w:name="_Toc487900368"/>
      <w:r>
        <w:rPr>
          <w:rFonts w:hint="eastAsia" w:ascii="宋体" w:hAnsi="宋体" w:cs="宋体"/>
          <w:b/>
          <w:color w:val="auto"/>
          <w:sz w:val="24"/>
          <w:highlight w:val="none"/>
        </w:rPr>
        <w:t>2.15 乙方破产</w:t>
      </w:r>
      <w:bookmarkEnd w:id="235"/>
      <w:bookmarkEnd w:id="236"/>
      <w:bookmarkEnd w:id="237"/>
      <w:bookmarkEnd w:id="238"/>
      <w:bookmarkEnd w:id="239"/>
      <w:bookmarkEnd w:id="240"/>
    </w:p>
    <w:p w14:paraId="71EE714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3C72BCD">
      <w:pPr>
        <w:wordWrap w:val="0"/>
        <w:spacing w:line="360" w:lineRule="auto"/>
        <w:ind w:firstLine="482" w:firstLineChars="200"/>
        <w:rPr>
          <w:rFonts w:hint="eastAsia" w:ascii="宋体" w:hAnsi="宋体" w:cs="宋体"/>
          <w:b/>
          <w:color w:val="auto"/>
          <w:sz w:val="24"/>
          <w:highlight w:val="none"/>
        </w:rPr>
      </w:pPr>
      <w:bookmarkStart w:id="241" w:name="_Toc15387"/>
      <w:bookmarkStart w:id="242" w:name="_Toc29333"/>
      <w:bookmarkStart w:id="243" w:name="_Toc6134"/>
      <w:r>
        <w:rPr>
          <w:rFonts w:hint="eastAsia" w:ascii="宋体" w:hAnsi="宋体" w:cs="宋体"/>
          <w:b/>
          <w:color w:val="auto"/>
          <w:sz w:val="24"/>
          <w:highlight w:val="none"/>
        </w:rPr>
        <w:t>2.16 合同中止、终止</w:t>
      </w:r>
      <w:bookmarkEnd w:id="241"/>
      <w:bookmarkEnd w:id="242"/>
      <w:bookmarkEnd w:id="243"/>
    </w:p>
    <w:p w14:paraId="71F801C1">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2.16.1 双方当事人不得擅自中止或者终止合同；</w:t>
      </w:r>
    </w:p>
    <w:p w14:paraId="35E45B1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73A78ECC">
      <w:pPr>
        <w:wordWrap w:val="0"/>
        <w:spacing w:line="360" w:lineRule="auto"/>
        <w:ind w:firstLine="482" w:firstLineChars="200"/>
        <w:rPr>
          <w:rFonts w:hint="eastAsia" w:ascii="宋体" w:hAnsi="宋体" w:cs="宋体"/>
          <w:b/>
          <w:color w:val="auto"/>
          <w:sz w:val="24"/>
          <w:highlight w:val="none"/>
        </w:rPr>
      </w:pPr>
      <w:bookmarkStart w:id="244" w:name="_Toc6596"/>
      <w:bookmarkStart w:id="245" w:name="_Toc14563"/>
      <w:bookmarkStart w:id="246" w:name="_Toc1125"/>
      <w:r>
        <w:rPr>
          <w:rFonts w:hint="eastAsia" w:ascii="宋体" w:hAnsi="宋体" w:cs="宋体"/>
          <w:b/>
          <w:color w:val="auto"/>
          <w:sz w:val="24"/>
          <w:highlight w:val="none"/>
        </w:rPr>
        <w:t>2.17 检验和验收</w:t>
      </w:r>
      <w:bookmarkEnd w:id="244"/>
      <w:bookmarkEnd w:id="245"/>
      <w:bookmarkEnd w:id="246"/>
    </w:p>
    <w:p w14:paraId="4EA8F069">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cs="宋体"/>
          <w:b/>
          <w:i/>
          <w:color w:val="auto"/>
          <w:sz w:val="24"/>
          <w:highlight w:val="none"/>
          <w:u w:val="single"/>
        </w:rPr>
        <w:t>合同专用条款</w:t>
      </w:r>
      <w:r>
        <w:rPr>
          <w:rFonts w:hint="eastAsia" w:ascii="宋体" w:hAnsi="宋体" w:cs="宋体"/>
          <w:color w:val="auto"/>
          <w:sz w:val="24"/>
          <w:highlight w:val="none"/>
        </w:rPr>
        <w:t>约定时间内组织验收，并可依法邀请相关方参加，验收应出具验收书。</w:t>
      </w:r>
    </w:p>
    <w:p w14:paraId="357EF3B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031D9B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2.17.3 检验和验收标准、程序等具体内容以及前述验收书的效力详见</w:t>
      </w:r>
      <w:r>
        <w:rPr>
          <w:rFonts w:hint="eastAsia" w:ascii="宋体" w:hAnsi="宋体" w:cs="宋体"/>
          <w:b/>
          <w:i/>
          <w:color w:val="auto"/>
          <w:sz w:val="24"/>
          <w:highlight w:val="none"/>
          <w:u w:val="single"/>
        </w:rPr>
        <w:t>合同专用条款</w:t>
      </w:r>
      <w:r>
        <w:rPr>
          <w:rFonts w:hint="eastAsia" w:ascii="宋体" w:hAnsi="宋体" w:cs="宋体"/>
          <w:i/>
          <w:color w:val="auto"/>
          <w:sz w:val="24"/>
          <w:highlight w:val="none"/>
        </w:rPr>
        <w:t>。</w:t>
      </w:r>
    </w:p>
    <w:bookmarkEnd w:id="216"/>
    <w:bookmarkEnd w:id="217"/>
    <w:bookmarkEnd w:id="218"/>
    <w:bookmarkEnd w:id="219"/>
    <w:p w14:paraId="2C576A1A">
      <w:pPr>
        <w:wordWrap w:val="0"/>
        <w:spacing w:line="360" w:lineRule="auto"/>
        <w:ind w:firstLine="482" w:firstLineChars="200"/>
        <w:rPr>
          <w:rFonts w:hint="eastAsia" w:ascii="宋体" w:hAnsi="宋体" w:cs="宋体"/>
          <w:b/>
          <w:color w:val="auto"/>
          <w:sz w:val="24"/>
          <w:highlight w:val="none"/>
        </w:rPr>
      </w:pPr>
      <w:bookmarkStart w:id="247" w:name="_Toc259093690"/>
      <w:bookmarkStart w:id="248" w:name="_Toc487900371"/>
      <w:bookmarkStart w:id="249" w:name="_Toc279701261"/>
      <w:bookmarkStart w:id="250" w:name="_Toc25182"/>
      <w:bookmarkStart w:id="251" w:name="_Toc11284"/>
      <w:bookmarkStart w:id="252" w:name="_Toc19604"/>
      <w:r>
        <w:rPr>
          <w:rFonts w:hint="eastAsia" w:ascii="宋体" w:hAnsi="宋体" w:cs="宋体"/>
          <w:b/>
          <w:color w:val="auto"/>
          <w:sz w:val="24"/>
          <w:highlight w:val="none"/>
        </w:rPr>
        <w:t>2.18 通知</w:t>
      </w:r>
      <w:bookmarkEnd w:id="247"/>
      <w:bookmarkEnd w:id="248"/>
      <w:bookmarkEnd w:id="249"/>
      <w:r>
        <w:rPr>
          <w:rFonts w:hint="eastAsia" w:ascii="宋体" w:hAnsi="宋体" w:cs="宋体"/>
          <w:b/>
          <w:color w:val="auto"/>
          <w:sz w:val="24"/>
          <w:highlight w:val="none"/>
        </w:rPr>
        <w:t>和送达</w:t>
      </w:r>
      <w:bookmarkEnd w:id="250"/>
      <w:bookmarkEnd w:id="251"/>
      <w:bookmarkEnd w:id="252"/>
    </w:p>
    <w:p w14:paraId="0F9AD466">
      <w:pPr>
        <w:wordWrap w:val="0"/>
        <w:spacing w:line="360" w:lineRule="auto"/>
        <w:ind w:firstLine="480" w:firstLineChars="200"/>
        <w:rPr>
          <w:rFonts w:hint="eastAsia" w:ascii="宋体" w:hAnsi="宋体" w:cs="宋体"/>
          <w:color w:val="auto"/>
          <w:sz w:val="24"/>
          <w:highlight w:val="none"/>
        </w:rPr>
      </w:pPr>
      <w:bookmarkStart w:id="253" w:name="_Toc6698"/>
      <w:bookmarkStart w:id="254" w:name="_Toc3135"/>
      <w:bookmarkStart w:id="255" w:name="_Toc259093691"/>
      <w:bookmarkStart w:id="256" w:name="_Toc487900372"/>
      <w:bookmarkStart w:id="257" w:name="_Toc279701262"/>
      <w:r>
        <w:rPr>
          <w:rFonts w:hint="eastAsia" w:ascii="宋体" w:hAnsi="宋体" w:cs="宋体"/>
          <w:color w:val="auto"/>
          <w:sz w:val="24"/>
          <w:highlight w:val="none"/>
        </w:rPr>
        <w:t>2.18.1 任何一方因履行合同而以合同第一部分尾部所列明的</w:t>
      </w:r>
      <w:r>
        <w:rPr>
          <w:rFonts w:hint="eastAsia" w:ascii="宋体" w:hAnsi="宋体" w:cs="宋体"/>
          <w:color w:val="auto"/>
          <w:sz w:val="24"/>
          <w:highlight w:val="none"/>
          <w:u w:val="single"/>
        </w:rPr>
        <w:t>“约定送达地址”</w:t>
      </w:r>
      <w:r>
        <w:rPr>
          <w:rFonts w:hint="eastAsia" w:ascii="宋体" w:hAnsi="宋体" w:cs="宋体"/>
          <w:color w:val="auto"/>
          <w:sz w:val="24"/>
          <w:highlight w:val="none"/>
        </w:rPr>
        <w:t>为收件地址的所有通知、文件、材料，均视为已向对方当事人送达；任何一方变更上述送达方式或者地址的，应于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个工作日（根据项目实际情况填写）内书面通知对方当事人，在对方当事人收到有关变更通知之前，变更前的约定送达方式或者地址仍视为有效。</w:t>
      </w:r>
      <w:bookmarkEnd w:id="253"/>
      <w:bookmarkEnd w:id="254"/>
    </w:p>
    <w:p w14:paraId="3FA9D394">
      <w:pPr>
        <w:wordWrap w:val="0"/>
        <w:spacing w:line="360" w:lineRule="auto"/>
        <w:ind w:firstLine="480" w:firstLineChars="200"/>
        <w:rPr>
          <w:rFonts w:hint="eastAsia" w:ascii="宋体" w:hAnsi="宋体" w:cs="宋体"/>
          <w:color w:val="auto"/>
          <w:sz w:val="24"/>
          <w:highlight w:val="none"/>
        </w:rPr>
      </w:pPr>
      <w:bookmarkStart w:id="258" w:name="_Toc23128"/>
      <w:bookmarkStart w:id="259" w:name="_Toc23294"/>
      <w:r>
        <w:rPr>
          <w:rFonts w:hint="eastAsia" w:ascii="宋体" w:hAnsi="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8"/>
      <w:bookmarkEnd w:id="259"/>
    </w:p>
    <w:p w14:paraId="1B282D89">
      <w:pPr>
        <w:wordWrap w:val="0"/>
        <w:spacing w:line="360" w:lineRule="auto"/>
        <w:ind w:firstLine="482" w:firstLineChars="200"/>
        <w:rPr>
          <w:rFonts w:hint="eastAsia" w:ascii="宋体" w:hAnsi="宋体" w:cs="宋体"/>
          <w:b/>
          <w:color w:val="auto"/>
          <w:sz w:val="24"/>
          <w:highlight w:val="none"/>
        </w:rPr>
      </w:pPr>
      <w:bookmarkStart w:id="260" w:name="_Toc30599"/>
      <w:bookmarkStart w:id="261" w:name="_Toc18540"/>
      <w:bookmarkStart w:id="262" w:name="_Toc4355"/>
      <w:r>
        <w:rPr>
          <w:rFonts w:hint="eastAsia" w:ascii="宋体" w:hAnsi="宋体" w:cs="宋体"/>
          <w:b/>
          <w:color w:val="auto"/>
          <w:sz w:val="24"/>
          <w:highlight w:val="none"/>
        </w:rPr>
        <w:t>2.19 计量单位</w:t>
      </w:r>
      <w:bookmarkEnd w:id="255"/>
      <w:bookmarkEnd w:id="256"/>
      <w:bookmarkEnd w:id="257"/>
      <w:bookmarkEnd w:id="260"/>
      <w:bookmarkEnd w:id="261"/>
      <w:bookmarkEnd w:id="262"/>
    </w:p>
    <w:p w14:paraId="69E0037C">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除技术规范中另有规定外,合同的计量单位均使用国家法定计量单位。</w:t>
      </w:r>
    </w:p>
    <w:p w14:paraId="0167042A">
      <w:pPr>
        <w:wordWrap w:val="0"/>
        <w:spacing w:line="360" w:lineRule="auto"/>
        <w:ind w:firstLine="482" w:firstLineChars="200"/>
        <w:rPr>
          <w:rFonts w:hint="eastAsia" w:ascii="宋体" w:hAnsi="宋体" w:cs="宋体"/>
          <w:b/>
          <w:color w:val="auto"/>
          <w:sz w:val="24"/>
          <w:highlight w:val="none"/>
        </w:rPr>
      </w:pPr>
      <w:bookmarkStart w:id="263" w:name="_Toc279701263"/>
      <w:bookmarkStart w:id="264" w:name="_Toc12773"/>
      <w:bookmarkStart w:id="265" w:name="_Toc487900373"/>
      <w:bookmarkStart w:id="266" w:name="_Toc259093692"/>
      <w:bookmarkStart w:id="267" w:name="_Toc10330"/>
      <w:bookmarkStart w:id="268" w:name="_Toc18567"/>
      <w:r>
        <w:rPr>
          <w:rFonts w:hint="eastAsia" w:ascii="宋体" w:hAnsi="宋体" w:cs="宋体"/>
          <w:b/>
          <w:color w:val="auto"/>
          <w:sz w:val="24"/>
          <w:highlight w:val="none"/>
        </w:rPr>
        <w:t>2.20 合同使用的文字和适用的法律</w:t>
      </w:r>
      <w:bookmarkEnd w:id="263"/>
      <w:bookmarkEnd w:id="264"/>
      <w:bookmarkEnd w:id="265"/>
      <w:bookmarkEnd w:id="266"/>
      <w:bookmarkEnd w:id="267"/>
      <w:bookmarkEnd w:id="268"/>
    </w:p>
    <w:p w14:paraId="70D0B6D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2.20.1 合同使用汉语书就、变更和解释；</w:t>
      </w:r>
    </w:p>
    <w:p w14:paraId="340816D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2.20.2 合同适用中华人民共和国法律。</w:t>
      </w:r>
    </w:p>
    <w:p w14:paraId="658B2489">
      <w:pPr>
        <w:wordWrap w:val="0"/>
        <w:spacing w:line="360" w:lineRule="auto"/>
        <w:ind w:firstLine="482" w:firstLineChars="200"/>
        <w:rPr>
          <w:rFonts w:hint="eastAsia" w:ascii="宋体" w:hAnsi="宋体" w:cs="宋体"/>
          <w:b/>
          <w:color w:val="auto"/>
          <w:sz w:val="24"/>
          <w:highlight w:val="none"/>
        </w:rPr>
      </w:pPr>
      <w:bookmarkStart w:id="269" w:name="_Toc279701264"/>
      <w:bookmarkStart w:id="270" w:name="_Toc259093693"/>
      <w:bookmarkStart w:id="271" w:name="_Toc3148"/>
      <w:bookmarkStart w:id="272" w:name="_Toc12004"/>
      <w:bookmarkStart w:id="273" w:name="_Toc16673"/>
      <w:bookmarkStart w:id="274" w:name="_Toc487900374"/>
      <w:r>
        <w:rPr>
          <w:rFonts w:hint="eastAsia" w:ascii="宋体" w:hAnsi="宋体" w:cs="宋体"/>
          <w:b/>
          <w:color w:val="auto"/>
          <w:sz w:val="24"/>
          <w:highlight w:val="none"/>
        </w:rPr>
        <w:t>2.21 履约保证金</w:t>
      </w:r>
      <w:bookmarkEnd w:id="269"/>
      <w:bookmarkEnd w:id="270"/>
      <w:bookmarkEnd w:id="271"/>
      <w:bookmarkEnd w:id="272"/>
      <w:bookmarkEnd w:id="273"/>
    </w:p>
    <w:p w14:paraId="09AF6A6A">
      <w:pPr>
        <w:wordWrap w:val="0"/>
        <w:spacing w:line="360" w:lineRule="auto"/>
        <w:ind w:firstLine="480" w:firstLineChars="200"/>
        <w:rPr>
          <w:rFonts w:hint="eastAsia" w:ascii="宋体" w:hAnsi="宋体" w:cs="宋体"/>
          <w:snapToGrid w:val="0"/>
          <w:color w:val="auto"/>
          <w:kern w:val="0"/>
          <w:sz w:val="24"/>
          <w:highlight w:val="none"/>
        </w:rPr>
      </w:pPr>
      <w:r>
        <w:rPr>
          <w:rFonts w:hint="eastAsia" w:ascii="宋体" w:hAnsi="宋体" w:cs="宋体"/>
          <w:color w:val="auto"/>
          <w:sz w:val="24"/>
          <w:highlight w:val="none"/>
        </w:rPr>
        <w:t>本项目不收取履约保证金</w:t>
      </w:r>
    </w:p>
    <w:p w14:paraId="3985DBC5">
      <w:pPr>
        <w:wordWrap w:val="0"/>
        <w:spacing w:line="360" w:lineRule="auto"/>
        <w:ind w:firstLine="482" w:firstLineChars="200"/>
        <w:rPr>
          <w:rFonts w:hint="eastAsia" w:ascii="宋体" w:hAnsi="宋体" w:cs="宋体"/>
          <w:color w:val="auto"/>
          <w:kern w:val="0"/>
          <w:sz w:val="24"/>
          <w:highlight w:val="none"/>
          <w:lang w:val="zh-CN"/>
        </w:rPr>
      </w:pPr>
      <w:r>
        <w:rPr>
          <w:rFonts w:hint="eastAsia" w:ascii="宋体" w:hAnsi="宋体" w:cs="宋体"/>
          <w:b/>
          <w:color w:val="auto"/>
          <w:sz w:val="24"/>
          <w:highlight w:val="none"/>
        </w:rPr>
        <w:t xml:space="preserve">2.22 </w:t>
      </w:r>
      <w:r>
        <w:rPr>
          <w:rFonts w:hint="eastAsia" w:ascii="宋体" w:hAnsi="宋体" w:cs="宋体"/>
          <w:b/>
          <w:bCs/>
          <w:color w:val="auto"/>
          <w:kern w:val="0"/>
          <w:sz w:val="24"/>
          <w:highlight w:val="none"/>
        </w:rPr>
        <w:t>中小</w:t>
      </w:r>
      <w:r>
        <w:rPr>
          <w:rFonts w:hint="eastAsia" w:ascii="宋体" w:hAnsi="宋体" w:cs="宋体"/>
          <w:b/>
          <w:bCs/>
          <w:color w:val="auto"/>
          <w:sz w:val="24"/>
          <w:highlight w:val="none"/>
        </w:rPr>
        <w:t>企</w:t>
      </w:r>
      <w:r>
        <w:rPr>
          <w:rFonts w:hint="eastAsia" w:ascii="宋体" w:hAnsi="宋体" w:cs="宋体"/>
          <w:b/>
          <w:color w:val="auto"/>
          <w:sz w:val="24"/>
          <w:highlight w:val="none"/>
        </w:rPr>
        <w:t>业政策</w:t>
      </w:r>
    </w:p>
    <w:p w14:paraId="7FFA2B07">
      <w:pPr>
        <w:wordWrap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2.22.1本合同（□是  □否）为</w:t>
      </w:r>
      <w:r>
        <w:rPr>
          <w:rFonts w:hint="eastAsia" w:ascii="宋体" w:hAnsi="宋体" w:cs="宋体"/>
          <w:color w:val="auto"/>
          <w:kern w:val="0"/>
          <w:sz w:val="24"/>
          <w:highlight w:val="none"/>
        </w:rPr>
        <w:t>中小</w:t>
      </w:r>
      <w:r>
        <w:rPr>
          <w:rFonts w:hint="eastAsia" w:ascii="宋体" w:hAnsi="宋体" w:cs="宋体"/>
          <w:color w:val="auto"/>
          <w:kern w:val="0"/>
          <w:sz w:val="24"/>
          <w:highlight w:val="none"/>
          <w:lang w:val="zh-CN"/>
        </w:rPr>
        <w:t>企业“政采贷”可融资合同，关于</w:t>
      </w:r>
      <w:r>
        <w:rPr>
          <w:rFonts w:hint="eastAsia" w:ascii="宋体" w:hAnsi="宋体" w:cs="宋体"/>
          <w:color w:val="auto"/>
          <w:kern w:val="0"/>
          <w:sz w:val="24"/>
          <w:highlight w:val="none"/>
        </w:rPr>
        <w:t>中小</w:t>
      </w:r>
      <w:r>
        <w:rPr>
          <w:rFonts w:hint="eastAsia" w:ascii="宋体" w:hAnsi="宋体" w:cs="宋体"/>
          <w:color w:val="auto"/>
          <w:kern w:val="0"/>
          <w:sz w:val="24"/>
          <w:highlight w:val="none"/>
          <w:lang w:val="zh-CN"/>
        </w:rPr>
        <w:t>企业信用融资事项见采购文件“投标人须知正文”。</w:t>
      </w:r>
    </w:p>
    <w:p w14:paraId="3F5D2B65">
      <w:pPr>
        <w:wordWrap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2.22.2本合同（□是  □否）为</w:t>
      </w:r>
      <w:r>
        <w:rPr>
          <w:rFonts w:hint="eastAsia" w:ascii="宋体" w:hAnsi="宋体" w:cs="宋体"/>
          <w:color w:val="auto"/>
          <w:kern w:val="0"/>
          <w:sz w:val="24"/>
          <w:highlight w:val="none"/>
        </w:rPr>
        <w:t>中小</w:t>
      </w:r>
      <w:r>
        <w:rPr>
          <w:rFonts w:hint="eastAsia" w:ascii="宋体" w:hAnsi="宋体" w:cs="宋体"/>
          <w:color w:val="auto"/>
          <w:kern w:val="0"/>
          <w:sz w:val="24"/>
          <w:highlight w:val="none"/>
          <w:lang w:val="zh-CN"/>
        </w:rPr>
        <w:t>企业预留合同。</w:t>
      </w:r>
    </w:p>
    <w:bookmarkEnd w:id="274"/>
    <w:p w14:paraId="581892D5">
      <w:pPr>
        <w:wordWrap w:val="0"/>
        <w:spacing w:line="360" w:lineRule="auto"/>
        <w:ind w:firstLine="482" w:firstLineChars="200"/>
        <w:rPr>
          <w:rFonts w:hint="eastAsia" w:ascii="宋体" w:hAnsi="宋体" w:cs="宋体"/>
          <w:b/>
          <w:color w:val="auto"/>
          <w:sz w:val="24"/>
          <w:highlight w:val="none"/>
        </w:rPr>
      </w:pPr>
      <w:bookmarkStart w:id="275" w:name="_Toc14001"/>
      <w:bookmarkStart w:id="276" w:name="_Toc6885"/>
      <w:bookmarkStart w:id="277" w:name="_Toc19890"/>
      <w:r>
        <w:rPr>
          <w:rFonts w:hint="eastAsia" w:ascii="宋体" w:hAnsi="宋体" w:cs="宋体"/>
          <w:b/>
          <w:color w:val="auto"/>
          <w:sz w:val="24"/>
          <w:highlight w:val="none"/>
        </w:rPr>
        <w:t>2.23 合同份数</w:t>
      </w:r>
      <w:bookmarkEnd w:id="275"/>
      <w:bookmarkEnd w:id="276"/>
      <w:bookmarkEnd w:id="277"/>
    </w:p>
    <w:p w14:paraId="07B3C5A4">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本合同壹式份，甲方执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份，乙方执</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份，采购代理机构执</w:t>
      </w:r>
      <w:r>
        <w:rPr>
          <w:rFonts w:hint="eastAsia" w:ascii="宋体" w:hAnsi="宋体" w:cs="宋体"/>
          <w:color w:val="auto"/>
          <w:sz w:val="24"/>
          <w:highlight w:val="none"/>
          <w:u w:val="single"/>
        </w:rPr>
        <w:t xml:space="preserve"> 贰 </w:t>
      </w:r>
      <w:r>
        <w:rPr>
          <w:rFonts w:hint="eastAsia" w:ascii="宋体" w:hAnsi="宋体" w:cs="宋体"/>
          <w:color w:val="auto"/>
          <w:sz w:val="24"/>
          <w:highlight w:val="none"/>
        </w:rPr>
        <w:t>份。每份均具有同等法律效力。</w:t>
      </w:r>
    </w:p>
    <w:p w14:paraId="54DFDE3D">
      <w:pPr>
        <w:wordWrap w:val="0"/>
        <w:spacing w:line="360" w:lineRule="auto"/>
        <w:jc w:val="center"/>
        <w:rPr>
          <w:rFonts w:hint="eastAsia" w:ascii="宋体" w:hAnsi="宋体" w:cs="宋体"/>
          <w:b/>
          <w:color w:val="auto"/>
          <w:sz w:val="28"/>
          <w:szCs w:val="28"/>
          <w:highlight w:val="none"/>
        </w:rPr>
      </w:pPr>
      <w:r>
        <w:rPr>
          <w:rFonts w:hint="eastAsia" w:ascii="宋体" w:hAnsi="宋体" w:cs="宋体"/>
          <w:color w:val="auto"/>
          <w:highlight w:val="none"/>
        </w:rPr>
        <w:br w:type="page"/>
      </w:r>
      <w:bookmarkStart w:id="278" w:name="_Toc331685784"/>
      <w:r>
        <w:rPr>
          <w:rFonts w:hint="eastAsia" w:ascii="宋体" w:hAnsi="宋体" w:cs="宋体"/>
          <w:b/>
          <w:color w:val="auto"/>
          <w:sz w:val="28"/>
          <w:szCs w:val="28"/>
          <w:highlight w:val="none"/>
        </w:rPr>
        <w:t>第三部分  合同专用条款</w:t>
      </w:r>
      <w:bookmarkEnd w:id="278"/>
    </w:p>
    <w:p w14:paraId="39EAF72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34AD5347">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3.1具有知识产权的标的物知识产权归属：</w:t>
      </w:r>
      <w:r>
        <w:rPr>
          <w:rFonts w:hint="eastAsia" w:ascii="宋体" w:hAnsi="宋体" w:cs="宋体"/>
          <w:color w:val="auto"/>
          <w:sz w:val="24"/>
          <w:highlight w:val="none"/>
          <w:u w:val="single"/>
        </w:rPr>
        <w:t xml:space="preserve">                   </w:t>
      </w:r>
    </w:p>
    <w:p w14:paraId="2A29F0F3">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3.2包装和装运专用条款（如果有）：</w:t>
      </w:r>
      <w:r>
        <w:rPr>
          <w:rFonts w:hint="eastAsia" w:ascii="宋体" w:hAnsi="宋体" w:cs="宋体"/>
          <w:color w:val="auto"/>
          <w:sz w:val="24"/>
          <w:highlight w:val="none"/>
          <w:u w:val="single"/>
        </w:rPr>
        <w:t xml:space="preserve">                  </w:t>
      </w:r>
    </w:p>
    <w:p w14:paraId="5A4FA386">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3.3装运标的物的要求和通知：</w:t>
      </w:r>
      <w:r>
        <w:rPr>
          <w:rFonts w:hint="eastAsia" w:ascii="宋体" w:hAnsi="宋体" w:cs="宋体"/>
          <w:color w:val="auto"/>
          <w:sz w:val="24"/>
          <w:highlight w:val="none"/>
          <w:u w:val="single"/>
        </w:rPr>
        <w:t xml:space="preserve">                   </w:t>
      </w:r>
    </w:p>
    <w:p w14:paraId="509406D3">
      <w:pPr>
        <w:wordWrap w:val="0"/>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3.4</w:t>
      </w:r>
      <w:r>
        <w:rPr>
          <w:rFonts w:hint="eastAsia" w:ascii="宋体" w:hAnsi="宋体" w:cs="宋体"/>
          <w:b/>
          <w:color w:val="auto"/>
          <w:sz w:val="24"/>
          <w:highlight w:val="none"/>
        </w:rPr>
        <w:t>结算方式和付款条件</w:t>
      </w:r>
    </w:p>
    <w:p w14:paraId="643308F9">
      <w:pPr>
        <w:wordWrap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本次项目合同总价为大写人民币</w:t>
      </w:r>
      <w:r>
        <w:rPr>
          <w:rFonts w:hint="eastAsia" w:ascii="宋体" w:hAnsi="宋体" w:cs="宋体"/>
          <w:color w:val="auto"/>
          <w:kern w:val="0"/>
          <w:sz w:val="24"/>
          <w:highlight w:val="none"/>
          <w:u w:val="single"/>
          <w:lang w:val="zh-CN"/>
        </w:rPr>
        <w:t xml:space="preserve">            （￥    元）。</w:t>
      </w:r>
      <w:r>
        <w:rPr>
          <w:rFonts w:hint="eastAsia" w:ascii="宋体" w:hAnsi="宋体" w:cs="宋体"/>
          <w:color w:val="auto"/>
          <w:kern w:val="0"/>
          <w:sz w:val="24"/>
          <w:highlight w:val="none"/>
          <w:lang w:val="zh-CN"/>
        </w:rPr>
        <w:t>本项目采用以下勾选结算方式进行支付：</w:t>
      </w:r>
    </w:p>
    <w:p w14:paraId="30630E85">
      <w:pPr>
        <w:wordWrap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□采用一次性支付方式，付款条件为：</w:t>
      </w:r>
      <w:r>
        <w:rPr>
          <w:rFonts w:hint="eastAsia" w:ascii="宋体" w:hAnsi="宋体" w:cs="宋体"/>
          <w:color w:val="auto"/>
          <w:sz w:val="24"/>
          <w:highlight w:val="none"/>
          <w:u w:val="single"/>
        </w:rPr>
        <w:t xml:space="preserve">                   </w:t>
      </w:r>
    </w:p>
    <w:p w14:paraId="7B4632B9">
      <w:pPr>
        <w:wordWrap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□采用分期付款方式，付款条件为</w:t>
      </w:r>
      <w:r>
        <w:rPr>
          <w:rFonts w:hint="eastAsia" w:ascii="宋体" w:hAnsi="宋体" w:cs="宋体"/>
          <w:color w:val="auto"/>
          <w:kern w:val="0"/>
          <w:sz w:val="24"/>
          <w:highlight w:val="none"/>
        </w:rPr>
        <w:t>：</w:t>
      </w:r>
      <w:r>
        <w:rPr>
          <w:rFonts w:hint="eastAsia" w:ascii="宋体" w:hAnsi="宋体" w:cs="宋体"/>
          <w:color w:val="auto"/>
          <w:sz w:val="24"/>
          <w:highlight w:val="none"/>
          <w:u w:val="single"/>
        </w:rPr>
        <w:t xml:space="preserve">                   </w:t>
      </w:r>
    </w:p>
    <w:p w14:paraId="554CC9CB">
      <w:pPr>
        <w:wordWrap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4B75B8F9">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甲方无故逾期支付服务费用的，按照每逾期一日支付欠付服务费额度的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（根据项目实际填写，一般为万分之五）承担违约责任，违约金上限按照《合同书》约定执行。</w:t>
      </w:r>
    </w:p>
    <w:p w14:paraId="04E98726">
      <w:pPr>
        <w:wordWrap w:val="0"/>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3.5</w:t>
      </w:r>
      <w:r>
        <w:rPr>
          <w:rFonts w:hint="eastAsia" w:ascii="宋体" w:hAnsi="宋体" w:cs="宋体"/>
          <w:b/>
          <w:color w:val="auto"/>
          <w:sz w:val="24"/>
          <w:highlight w:val="none"/>
        </w:rPr>
        <w:t>标的物的风险负担</w:t>
      </w:r>
    </w:p>
    <w:p w14:paraId="4A9E4D0D">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标的物或者在途标的物或者交付给第一承运人后的标的物毁损、灭失的风险负担：</w:t>
      </w:r>
    </w:p>
    <w:p w14:paraId="13AD5A32">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u w:val="single"/>
        </w:rPr>
        <w:t xml:space="preserve">乙方                                                                       </w:t>
      </w:r>
    </w:p>
    <w:p w14:paraId="50BA23F5">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3.5.1受不可抗力影响的一方在不可抗力发生后，应在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日内（根据项目实际填写）以书面形式通知对方当事人，并在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日内，将有关部门出具的证明文件送达对方当事人。</w:t>
      </w:r>
    </w:p>
    <w:p w14:paraId="36FC4FF2">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3.5.2因不可抗力致使合同有变更必要的，双方当事人应在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日内（根据项目实际填写）以书面形式变更合同；</w:t>
      </w:r>
    </w:p>
    <w:p w14:paraId="63508200">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3.5.3标的物交付前，乙方应对标的物的质量、数量等方面进行详细、全面的检验，并向甲方出具证明标的物符合合同约定的文件；标的物交付时，乙方在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日内发（根据项目实际填写）起验收，并可依法邀请相关方参加，验收应出具验收书。</w:t>
      </w:r>
    </w:p>
    <w:p w14:paraId="026EE92E">
      <w:pPr>
        <w:wordWrap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3.5.4 检验和验收标准、程序等具体内容以及前述验收书的效力：</w:t>
      </w:r>
    </w:p>
    <w:p w14:paraId="26B87F0B">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u w:val="single"/>
        </w:rPr>
        <w:t xml:space="preserve">                                        </w:t>
      </w:r>
    </w:p>
    <w:p w14:paraId="09C22853">
      <w:pPr>
        <w:wordWrap w:val="0"/>
        <w:spacing w:line="360"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3.5.5 其他：</w:t>
      </w:r>
      <w:r>
        <w:rPr>
          <w:rFonts w:hint="eastAsia" w:ascii="宋体" w:hAnsi="宋体" w:cs="宋体"/>
          <w:color w:val="auto"/>
          <w:sz w:val="24"/>
          <w:highlight w:val="none"/>
          <w:u w:val="single"/>
        </w:rPr>
        <w:t xml:space="preserve">         </w:t>
      </w:r>
    </w:p>
    <w:p w14:paraId="65AA9F77">
      <w:pPr>
        <w:wordWrap w:val="0"/>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highlight w:val="none"/>
        </w:rPr>
        <w:t>3.6</w:t>
      </w:r>
      <w:r>
        <w:rPr>
          <w:rFonts w:hint="eastAsia" w:ascii="宋体" w:hAnsi="宋体" w:cs="宋体"/>
          <w:b/>
          <w:color w:val="auto"/>
          <w:sz w:val="24"/>
          <w:highlight w:val="none"/>
        </w:rPr>
        <w:t>项目验收：</w:t>
      </w:r>
    </w:p>
    <w:p w14:paraId="198C6A87">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6F1BCE5">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1D98AE72">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F713CE0">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3.6.4首次验收费用由</w:t>
      </w:r>
      <w:r>
        <w:rPr>
          <w:rFonts w:hint="eastAsia" w:ascii="宋体" w:hAnsi="宋体" w:cs="宋体"/>
          <w:color w:val="auto"/>
          <w:kern w:val="0"/>
          <w:sz w:val="24"/>
          <w:highlight w:val="none"/>
          <w:u w:val="single"/>
        </w:rPr>
        <w:t>乙方</w:t>
      </w:r>
      <w:r>
        <w:rPr>
          <w:rFonts w:hint="eastAsia" w:ascii="宋体" w:hAnsi="宋体" w:cs="宋体"/>
          <w:color w:val="auto"/>
          <w:kern w:val="0"/>
          <w:sz w:val="24"/>
          <w:highlight w:val="none"/>
        </w:rPr>
        <w:t>承担，如首次验收不合格，后续验收费用由</w:t>
      </w:r>
      <w:r>
        <w:rPr>
          <w:rFonts w:hint="eastAsia" w:ascii="宋体" w:hAnsi="宋体" w:cs="宋体"/>
          <w:color w:val="auto"/>
          <w:kern w:val="0"/>
          <w:sz w:val="24"/>
          <w:highlight w:val="none"/>
          <w:u w:val="single"/>
        </w:rPr>
        <w:t>乙方</w:t>
      </w:r>
      <w:r>
        <w:rPr>
          <w:rFonts w:hint="eastAsia" w:ascii="宋体" w:hAnsi="宋体" w:cs="宋体"/>
          <w:color w:val="auto"/>
          <w:kern w:val="0"/>
          <w:sz w:val="24"/>
          <w:highlight w:val="none"/>
        </w:rPr>
        <w:t>支付。</w:t>
      </w:r>
    </w:p>
    <w:p w14:paraId="669663EC">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3.6.5验收内容及资料要求：</w:t>
      </w:r>
    </w:p>
    <w:p w14:paraId="4424945E">
      <w:pPr>
        <w:tabs>
          <w:tab w:val="left" w:pos="904"/>
        </w:tabs>
        <w:wordWrap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根据采购文件确定的技术指标或者服务要求确定验收指标和标准。未进行相应约定的，应当符合国家强制性规定、政策要求、安全标准、行业或企业有关标准等。</w:t>
      </w:r>
    </w:p>
    <w:p w14:paraId="7C435490">
      <w:pPr>
        <w:tabs>
          <w:tab w:val="left" w:pos="904"/>
        </w:tabs>
        <w:wordWrap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3.6.6</w:t>
      </w:r>
      <w:r>
        <w:rPr>
          <w:rFonts w:hint="eastAsia" w:ascii="宋体" w:hAnsi="宋体" w:cs="宋体"/>
          <w:color w:val="auto"/>
          <w:sz w:val="24"/>
          <w:highlight w:val="none"/>
        </w:rPr>
        <w:t>验收内容</w:t>
      </w:r>
    </w:p>
    <w:tbl>
      <w:tblPr>
        <w:tblStyle w:val="22"/>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499"/>
        <w:gridCol w:w="5345"/>
      </w:tblGrid>
      <w:tr w14:paraId="1229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Borders>
              <w:top w:val="single" w:color="auto" w:sz="4" w:space="0"/>
              <w:left w:val="single" w:color="auto" w:sz="4" w:space="0"/>
              <w:bottom w:val="single" w:color="auto" w:sz="4" w:space="0"/>
              <w:right w:val="single" w:color="auto" w:sz="4" w:space="0"/>
            </w:tcBorders>
            <w:vAlign w:val="center"/>
          </w:tcPr>
          <w:p w14:paraId="5768FCF6">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序号</w:t>
            </w:r>
          </w:p>
        </w:tc>
        <w:tc>
          <w:tcPr>
            <w:tcW w:w="2499" w:type="dxa"/>
            <w:tcBorders>
              <w:top w:val="single" w:color="auto" w:sz="4" w:space="0"/>
              <w:left w:val="single" w:color="auto" w:sz="4" w:space="0"/>
              <w:bottom w:val="single" w:color="auto" w:sz="4" w:space="0"/>
              <w:right w:val="single" w:color="auto" w:sz="4" w:space="0"/>
            </w:tcBorders>
            <w:vAlign w:val="center"/>
          </w:tcPr>
          <w:p w14:paraId="169BE39F">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验收内容</w:t>
            </w:r>
          </w:p>
        </w:tc>
        <w:tc>
          <w:tcPr>
            <w:tcW w:w="5345" w:type="dxa"/>
            <w:tcBorders>
              <w:top w:val="single" w:color="auto" w:sz="4" w:space="0"/>
              <w:left w:val="single" w:color="auto" w:sz="4" w:space="0"/>
              <w:bottom w:val="single" w:color="auto" w:sz="4" w:space="0"/>
              <w:right w:val="single" w:color="auto" w:sz="4" w:space="0"/>
            </w:tcBorders>
            <w:vAlign w:val="center"/>
          </w:tcPr>
          <w:p w14:paraId="22C47079">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验收标准</w:t>
            </w:r>
          </w:p>
        </w:tc>
      </w:tr>
      <w:tr w14:paraId="2894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58" w:type="dxa"/>
            <w:tcBorders>
              <w:top w:val="single" w:color="auto" w:sz="4" w:space="0"/>
              <w:left w:val="single" w:color="auto" w:sz="4" w:space="0"/>
              <w:bottom w:val="single" w:color="auto" w:sz="4" w:space="0"/>
              <w:right w:val="single" w:color="auto" w:sz="4" w:space="0"/>
            </w:tcBorders>
            <w:vAlign w:val="center"/>
          </w:tcPr>
          <w:p w14:paraId="04AD651B">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1</w:t>
            </w:r>
          </w:p>
        </w:tc>
        <w:tc>
          <w:tcPr>
            <w:tcW w:w="2499" w:type="dxa"/>
            <w:tcBorders>
              <w:top w:val="single" w:color="auto" w:sz="4" w:space="0"/>
              <w:left w:val="single" w:color="auto" w:sz="4" w:space="0"/>
              <w:bottom w:val="single" w:color="auto" w:sz="4" w:space="0"/>
              <w:right w:val="single" w:color="auto" w:sz="4" w:space="0"/>
            </w:tcBorders>
            <w:vAlign w:val="center"/>
          </w:tcPr>
          <w:p w14:paraId="7F714902">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交付标的物数量</w:t>
            </w:r>
          </w:p>
        </w:tc>
        <w:tc>
          <w:tcPr>
            <w:tcW w:w="5345" w:type="dxa"/>
            <w:tcBorders>
              <w:top w:val="single" w:color="auto" w:sz="4" w:space="0"/>
              <w:left w:val="single" w:color="auto" w:sz="4" w:space="0"/>
              <w:bottom w:val="single" w:color="auto" w:sz="4" w:space="0"/>
              <w:right w:val="single" w:color="auto" w:sz="4" w:space="0"/>
            </w:tcBorders>
            <w:vAlign w:val="center"/>
          </w:tcPr>
          <w:p w14:paraId="501E4B87">
            <w:pPr>
              <w:widowControl/>
              <w:spacing w:line="360" w:lineRule="auto"/>
              <w:ind w:firstLine="480"/>
              <w:jc w:val="center"/>
              <w:rPr>
                <w:rFonts w:hint="eastAsia" w:ascii="宋体" w:hAnsi="宋体" w:cs="宋体"/>
                <w:color w:val="auto"/>
                <w:kern w:val="0"/>
                <w:sz w:val="24"/>
                <w:highlight w:val="none"/>
              </w:rPr>
            </w:pPr>
            <w:r>
              <w:rPr>
                <w:rFonts w:hint="eastAsia" w:ascii="宋体" w:hAnsi="宋体" w:cs="宋体"/>
                <w:bCs/>
                <w:color w:val="auto"/>
                <w:kern w:val="0"/>
                <w:sz w:val="24"/>
                <w:highlight w:val="none"/>
              </w:rPr>
              <w:t>按招标文件要求和投标文件承诺</w:t>
            </w:r>
          </w:p>
        </w:tc>
      </w:tr>
      <w:tr w14:paraId="2CBF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858" w:type="dxa"/>
            <w:tcBorders>
              <w:top w:val="single" w:color="auto" w:sz="4" w:space="0"/>
              <w:left w:val="single" w:color="auto" w:sz="4" w:space="0"/>
              <w:bottom w:val="single" w:color="auto" w:sz="4" w:space="0"/>
              <w:right w:val="single" w:color="auto" w:sz="4" w:space="0"/>
            </w:tcBorders>
            <w:vAlign w:val="center"/>
          </w:tcPr>
          <w:p w14:paraId="2AA51EA7">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2</w:t>
            </w:r>
          </w:p>
        </w:tc>
        <w:tc>
          <w:tcPr>
            <w:tcW w:w="2499" w:type="dxa"/>
            <w:tcBorders>
              <w:top w:val="single" w:color="auto" w:sz="4" w:space="0"/>
              <w:left w:val="single" w:color="auto" w:sz="4" w:space="0"/>
              <w:bottom w:val="single" w:color="auto" w:sz="4" w:space="0"/>
              <w:right w:val="single" w:color="auto" w:sz="4" w:space="0"/>
            </w:tcBorders>
            <w:vAlign w:val="center"/>
          </w:tcPr>
          <w:p w14:paraId="6B56BE54">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交付标的物质量文件</w:t>
            </w:r>
          </w:p>
        </w:tc>
        <w:tc>
          <w:tcPr>
            <w:tcW w:w="5345" w:type="dxa"/>
            <w:tcBorders>
              <w:top w:val="single" w:color="auto" w:sz="4" w:space="0"/>
              <w:left w:val="single" w:color="auto" w:sz="4" w:space="0"/>
              <w:bottom w:val="single" w:color="auto" w:sz="4" w:space="0"/>
              <w:right w:val="single" w:color="auto" w:sz="4" w:space="0"/>
            </w:tcBorders>
            <w:vAlign w:val="center"/>
          </w:tcPr>
          <w:p w14:paraId="03DDE8AF">
            <w:pPr>
              <w:spacing w:line="360" w:lineRule="auto"/>
              <w:ind w:firstLine="480"/>
              <w:jc w:val="center"/>
              <w:rPr>
                <w:rFonts w:hint="eastAsia" w:ascii="宋体" w:hAnsi="宋体" w:cs="宋体"/>
                <w:color w:val="auto"/>
                <w:kern w:val="0"/>
                <w:sz w:val="24"/>
                <w:highlight w:val="none"/>
              </w:rPr>
            </w:pPr>
            <w:r>
              <w:rPr>
                <w:rFonts w:hint="eastAsia" w:ascii="宋体" w:hAnsi="宋体" w:cs="宋体"/>
                <w:bCs/>
                <w:color w:val="auto"/>
                <w:kern w:val="0"/>
                <w:sz w:val="24"/>
                <w:highlight w:val="none"/>
              </w:rPr>
              <w:t>按招标文件要求和投标文件承诺</w:t>
            </w:r>
          </w:p>
        </w:tc>
      </w:tr>
      <w:tr w14:paraId="080F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858" w:type="dxa"/>
            <w:tcBorders>
              <w:top w:val="single" w:color="auto" w:sz="4" w:space="0"/>
              <w:left w:val="single" w:color="auto" w:sz="4" w:space="0"/>
              <w:bottom w:val="single" w:color="auto" w:sz="4" w:space="0"/>
              <w:right w:val="single" w:color="auto" w:sz="4" w:space="0"/>
            </w:tcBorders>
            <w:vAlign w:val="center"/>
          </w:tcPr>
          <w:p w14:paraId="0D61D986">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3</w:t>
            </w:r>
          </w:p>
        </w:tc>
        <w:tc>
          <w:tcPr>
            <w:tcW w:w="2499" w:type="dxa"/>
            <w:tcBorders>
              <w:top w:val="single" w:color="auto" w:sz="4" w:space="0"/>
              <w:left w:val="single" w:color="auto" w:sz="4" w:space="0"/>
              <w:bottom w:val="single" w:color="auto" w:sz="4" w:space="0"/>
              <w:right w:val="single" w:color="auto" w:sz="4" w:space="0"/>
            </w:tcBorders>
            <w:vAlign w:val="center"/>
          </w:tcPr>
          <w:p w14:paraId="15E6246E">
            <w:pPr>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交付标的物技术、性能指标</w:t>
            </w:r>
          </w:p>
        </w:tc>
        <w:tc>
          <w:tcPr>
            <w:tcW w:w="5345" w:type="dxa"/>
            <w:tcBorders>
              <w:top w:val="single" w:color="auto" w:sz="4" w:space="0"/>
              <w:left w:val="single" w:color="auto" w:sz="4" w:space="0"/>
              <w:bottom w:val="single" w:color="auto" w:sz="4" w:space="0"/>
              <w:right w:val="single" w:color="auto" w:sz="4" w:space="0"/>
            </w:tcBorders>
            <w:vAlign w:val="center"/>
          </w:tcPr>
          <w:p w14:paraId="5AA561F3">
            <w:pPr>
              <w:spacing w:line="360" w:lineRule="auto"/>
              <w:ind w:firstLine="480"/>
              <w:jc w:val="center"/>
              <w:rPr>
                <w:rFonts w:hint="eastAsia" w:ascii="宋体" w:hAnsi="宋体" w:cs="宋体"/>
                <w:color w:val="auto"/>
                <w:highlight w:val="none"/>
              </w:rPr>
            </w:pPr>
            <w:r>
              <w:rPr>
                <w:rFonts w:hint="eastAsia" w:ascii="宋体" w:hAnsi="宋体" w:cs="宋体"/>
                <w:bCs/>
                <w:color w:val="auto"/>
                <w:kern w:val="0"/>
                <w:sz w:val="24"/>
                <w:highlight w:val="none"/>
              </w:rPr>
              <w:t>按招标文件要求和投标文件承诺</w:t>
            </w:r>
          </w:p>
        </w:tc>
      </w:tr>
      <w:tr w14:paraId="5BC0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858" w:type="dxa"/>
            <w:tcBorders>
              <w:top w:val="single" w:color="auto" w:sz="4" w:space="0"/>
              <w:left w:val="single" w:color="auto" w:sz="4" w:space="0"/>
              <w:bottom w:val="single" w:color="auto" w:sz="4" w:space="0"/>
              <w:right w:val="single" w:color="auto" w:sz="4" w:space="0"/>
            </w:tcBorders>
            <w:vAlign w:val="center"/>
          </w:tcPr>
          <w:p w14:paraId="69BEFEB3">
            <w:pPr>
              <w:widowControl/>
              <w:wordWrap w:val="0"/>
              <w:spacing w:line="360" w:lineRule="auto"/>
              <w:ind w:firstLine="48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4</w:t>
            </w:r>
          </w:p>
        </w:tc>
        <w:tc>
          <w:tcPr>
            <w:tcW w:w="2499" w:type="dxa"/>
            <w:tcBorders>
              <w:top w:val="single" w:color="auto" w:sz="4" w:space="0"/>
              <w:left w:val="single" w:color="auto" w:sz="4" w:space="0"/>
              <w:bottom w:val="single" w:color="auto" w:sz="4" w:space="0"/>
              <w:right w:val="single" w:color="auto" w:sz="4" w:space="0"/>
            </w:tcBorders>
            <w:vAlign w:val="center"/>
          </w:tcPr>
          <w:p w14:paraId="0271A593">
            <w:pPr>
              <w:wordWrap w:val="0"/>
              <w:spacing w:line="360" w:lineRule="auto"/>
              <w:ind w:firstLine="480"/>
              <w:jc w:val="center"/>
              <w:rPr>
                <w:rFonts w:hint="eastAsia" w:ascii="宋体" w:hAnsi="宋体" w:cs="宋体"/>
                <w:color w:val="auto"/>
                <w:sz w:val="24"/>
                <w:highlight w:val="none"/>
              </w:rPr>
            </w:pPr>
            <w:r>
              <w:rPr>
                <w:rFonts w:hint="eastAsia" w:ascii="宋体" w:hAnsi="宋体" w:cs="宋体"/>
                <w:color w:val="auto"/>
                <w:sz w:val="24"/>
                <w:highlight w:val="none"/>
              </w:rPr>
              <w:t>售后服务承诺</w:t>
            </w:r>
          </w:p>
        </w:tc>
        <w:tc>
          <w:tcPr>
            <w:tcW w:w="5345" w:type="dxa"/>
            <w:tcBorders>
              <w:top w:val="single" w:color="auto" w:sz="4" w:space="0"/>
              <w:left w:val="single" w:color="auto" w:sz="4" w:space="0"/>
              <w:bottom w:val="single" w:color="auto" w:sz="4" w:space="0"/>
              <w:right w:val="single" w:color="auto" w:sz="4" w:space="0"/>
            </w:tcBorders>
            <w:vAlign w:val="center"/>
          </w:tcPr>
          <w:p w14:paraId="09EDEABB">
            <w:pPr>
              <w:spacing w:line="360" w:lineRule="auto"/>
              <w:ind w:firstLine="480"/>
              <w:jc w:val="center"/>
              <w:rPr>
                <w:rFonts w:hint="eastAsia" w:ascii="宋体" w:hAnsi="宋体" w:cs="宋体"/>
                <w:color w:val="auto"/>
                <w:kern w:val="0"/>
                <w:sz w:val="24"/>
                <w:highlight w:val="none"/>
              </w:rPr>
            </w:pPr>
            <w:r>
              <w:rPr>
                <w:rFonts w:hint="eastAsia" w:ascii="宋体" w:hAnsi="宋体" w:cs="宋体"/>
                <w:bCs/>
                <w:color w:val="auto"/>
                <w:kern w:val="0"/>
                <w:sz w:val="24"/>
                <w:highlight w:val="none"/>
              </w:rPr>
              <w:t>按招标文件要求和投标文件承诺</w:t>
            </w:r>
          </w:p>
        </w:tc>
      </w:tr>
      <w:tr w14:paraId="26A9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8" w:type="dxa"/>
            <w:tcBorders>
              <w:top w:val="single" w:color="auto" w:sz="4" w:space="0"/>
              <w:left w:val="single" w:color="auto" w:sz="4" w:space="0"/>
              <w:bottom w:val="single" w:color="auto" w:sz="4" w:space="0"/>
              <w:right w:val="single" w:color="auto" w:sz="4" w:space="0"/>
            </w:tcBorders>
            <w:vAlign w:val="center"/>
          </w:tcPr>
          <w:p w14:paraId="07ABD031">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5</w:t>
            </w:r>
          </w:p>
        </w:tc>
        <w:tc>
          <w:tcPr>
            <w:tcW w:w="2499" w:type="dxa"/>
            <w:tcBorders>
              <w:top w:val="single" w:color="auto" w:sz="4" w:space="0"/>
              <w:left w:val="single" w:color="auto" w:sz="4" w:space="0"/>
              <w:bottom w:val="single" w:color="auto" w:sz="4" w:space="0"/>
              <w:right w:val="single" w:color="auto" w:sz="4" w:space="0"/>
            </w:tcBorders>
            <w:vAlign w:val="center"/>
          </w:tcPr>
          <w:p w14:paraId="7DAF6102">
            <w:pPr>
              <w:widowControl/>
              <w:wordWrap w:val="0"/>
              <w:spacing w:line="360" w:lineRule="auto"/>
              <w:ind w:firstLine="480"/>
              <w:jc w:val="center"/>
              <w:rPr>
                <w:rFonts w:hint="eastAsia" w:ascii="宋体" w:hAnsi="宋体" w:cs="宋体"/>
                <w:bCs/>
                <w:color w:val="auto"/>
                <w:kern w:val="0"/>
                <w:sz w:val="24"/>
                <w:highlight w:val="none"/>
              </w:rPr>
            </w:pPr>
            <w:r>
              <w:rPr>
                <w:rFonts w:hint="eastAsia" w:ascii="宋体" w:hAnsi="宋体" w:cs="宋体"/>
                <w:bCs/>
                <w:color w:val="auto"/>
                <w:kern w:val="0"/>
                <w:sz w:val="24"/>
                <w:highlight w:val="none"/>
              </w:rPr>
              <w:t>其他工作</w:t>
            </w:r>
          </w:p>
        </w:tc>
        <w:tc>
          <w:tcPr>
            <w:tcW w:w="5345" w:type="dxa"/>
            <w:tcBorders>
              <w:top w:val="single" w:color="auto" w:sz="4" w:space="0"/>
              <w:left w:val="single" w:color="auto" w:sz="4" w:space="0"/>
              <w:bottom w:val="single" w:color="auto" w:sz="4" w:space="0"/>
              <w:right w:val="single" w:color="auto" w:sz="4" w:space="0"/>
            </w:tcBorders>
            <w:vAlign w:val="center"/>
          </w:tcPr>
          <w:p w14:paraId="2B523ED7">
            <w:pPr>
              <w:spacing w:line="360" w:lineRule="auto"/>
              <w:ind w:firstLine="480"/>
              <w:jc w:val="center"/>
              <w:rPr>
                <w:rFonts w:hint="eastAsia" w:ascii="宋体" w:hAnsi="宋体" w:cs="宋体"/>
                <w:color w:val="auto"/>
                <w:kern w:val="0"/>
                <w:sz w:val="24"/>
                <w:highlight w:val="none"/>
              </w:rPr>
            </w:pPr>
            <w:r>
              <w:rPr>
                <w:rFonts w:hint="eastAsia" w:ascii="宋体" w:hAnsi="宋体" w:cs="宋体"/>
                <w:bCs/>
                <w:color w:val="auto"/>
                <w:kern w:val="0"/>
                <w:sz w:val="24"/>
                <w:highlight w:val="none"/>
              </w:rPr>
              <w:t>按招标文件要求和投标文件承诺</w:t>
            </w:r>
          </w:p>
        </w:tc>
      </w:tr>
    </w:tbl>
    <w:p w14:paraId="54F3475A">
      <w:pPr>
        <w:tabs>
          <w:tab w:val="left" w:pos="904"/>
        </w:tabs>
        <w:wordWrap w:val="0"/>
        <w:snapToGrid w:val="0"/>
        <w:spacing w:line="360" w:lineRule="auto"/>
        <w:ind w:firstLine="480"/>
        <w:jc w:val="left"/>
        <w:rPr>
          <w:rFonts w:hint="eastAsia" w:ascii="宋体" w:hAnsi="宋体" w:cs="宋体"/>
          <w:color w:val="auto"/>
          <w:sz w:val="24"/>
          <w:highlight w:val="none"/>
        </w:rPr>
      </w:pPr>
    </w:p>
    <w:p w14:paraId="3DF432A1">
      <w:pPr>
        <w:tabs>
          <w:tab w:val="left" w:pos="904"/>
        </w:tabs>
        <w:wordWrap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3.6.7验收资料要求</w:t>
      </w:r>
    </w:p>
    <w:p w14:paraId="6494370C">
      <w:pPr>
        <w:tabs>
          <w:tab w:val="left" w:pos="904"/>
        </w:tabs>
        <w:wordWrap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验收资料要求包括（不限于）以下内容：</w:t>
      </w:r>
    </w:p>
    <w:p w14:paraId="50C01D3B">
      <w:pPr>
        <w:tabs>
          <w:tab w:val="left" w:pos="904"/>
        </w:tabs>
        <w:wordWrap w:val="0"/>
        <w:adjustRightInd w:val="0"/>
        <w:snapToGrid w:val="0"/>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sz w:val="24"/>
          <w:highlight w:val="none"/>
        </w:rPr>
        <w:t>（1）招标文件；</w:t>
      </w:r>
    </w:p>
    <w:p w14:paraId="56C0BBC8">
      <w:pPr>
        <w:tabs>
          <w:tab w:val="left" w:pos="904"/>
        </w:tabs>
        <w:wordWrap w:val="0"/>
        <w:adjustRightInd w:val="0"/>
        <w:snapToGrid w:val="0"/>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sz w:val="24"/>
          <w:highlight w:val="none"/>
        </w:rPr>
        <w:t>（2）投标文件；</w:t>
      </w:r>
    </w:p>
    <w:p w14:paraId="0BB550C5">
      <w:pPr>
        <w:tabs>
          <w:tab w:val="left" w:pos="904"/>
        </w:tabs>
        <w:wordWrap w:val="0"/>
        <w:adjustRightInd w:val="0"/>
        <w:snapToGrid w:val="0"/>
        <w:spacing w:line="360" w:lineRule="auto"/>
        <w:ind w:firstLine="240" w:firstLineChars="100"/>
        <w:jc w:val="left"/>
        <w:rPr>
          <w:rFonts w:hint="eastAsia" w:ascii="宋体" w:hAnsi="宋体" w:cs="宋体"/>
          <w:color w:val="auto"/>
          <w:sz w:val="24"/>
          <w:highlight w:val="none"/>
        </w:rPr>
      </w:pPr>
      <w:r>
        <w:rPr>
          <w:rFonts w:hint="eastAsia" w:ascii="宋体" w:hAnsi="宋体" w:cs="宋体"/>
          <w:color w:val="auto"/>
          <w:sz w:val="24"/>
          <w:highlight w:val="none"/>
        </w:rPr>
        <w:t>（3）采购合同；</w:t>
      </w:r>
    </w:p>
    <w:p w14:paraId="54425E2F">
      <w:pPr>
        <w:tabs>
          <w:tab w:val="left" w:pos="904"/>
        </w:tabs>
        <w:wordWrap w:val="0"/>
        <w:adjustRightInd w:val="0"/>
        <w:snapToGrid w:val="0"/>
        <w:spacing w:line="360" w:lineRule="auto"/>
        <w:ind w:firstLine="240" w:firstLineChars="100"/>
        <w:jc w:val="left"/>
        <w:rPr>
          <w:rFonts w:hint="eastAsia" w:ascii="宋体" w:hAnsi="宋体" w:cs="宋体"/>
          <w:b/>
          <w:color w:val="auto"/>
          <w:sz w:val="36"/>
          <w:szCs w:val="20"/>
          <w:highlight w:val="none"/>
        </w:rPr>
      </w:pPr>
      <w:r>
        <w:rPr>
          <w:rFonts w:hint="eastAsia" w:ascii="宋体" w:hAnsi="宋体" w:cs="宋体"/>
          <w:color w:val="auto"/>
          <w:sz w:val="24"/>
          <w:highlight w:val="none"/>
        </w:rPr>
        <w:t>（4）其他需提供的相关材料（业主根据项目实际增减第（4）点验收资料内容）。</w:t>
      </w:r>
    </w:p>
    <w:p w14:paraId="206B23C7">
      <w:pPr>
        <w:widowControl/>
        <w:wordWrap w:val="0"/>
        <w:spacing w:line="360" w:lineRule="auto"/>
        <w:jc w:val="left"/>
        <w:rPr>
          <w:rFonts w:hint="eastAsia" w:ascii="宋体" w:hAnsi="宋体" w:cs="宋体"/>
          <w:color w:val="auto"/>
          <w:highlight w:val="none"/>
        </w:rPr>
        <w:sectPr>
          <w:pgSz w:w="11906" w:h="16838"/>
          <w:pgMar w:top="1440" w:right="1080" w:bottom="1440" w:left="1080" w:header="720" w:footer="720" w:gutter="0"/>
          <w:cols w:space="720" w:num="1"/>
          <w:docGrid w:type="lines" w:linePitch="331" w:charSpace="0"/>
        </w:sectPr>
      </w:pPr>
    </w:p>
    <w:p w14:paraId="5D163068">
      <w:pPr>
        <w:pStyle w:val="12"/>
        <w:tabs>
          <w:tab w:val="left" w:pos="2472"/>
        </w:tabs>
        <w:wordWrap w:val="0"/>
        <w:spacing w:line="360" w:lineRule="auto"/>
        <w:ind w:firstLine="723"/>
        <w:rPr>
          <w:rFonts w:hint="eastAsia" w:hAnsi="宋体" w:cs="宋体"/>
          <w:b/>
          <w:color w:val="auto"/>
          <w:sz w:val="36"/>
          <w:highlight w:val="none"/>
        </w:rPr>
      </w:pPr>
    </w:p>
    <w:p w14:paraId="3015A5F6">
      <w:pPr>
        <w:pStyle w:val="12"/>
        <w:tabs>
          <w:tab w:val="left" w:pos="2472"/>
        </w:tabs>
        <w:wordWrap w:val="0"/>
        <w:spacing w:line="360" w:lineRule="auto"/>
        <w:ind w:firstLine="723"/>
        <w:rPr>
          <w:rFonts w:hint="eastAsia" w:hAnsi="宋体" w:cs="宋体"/>
          <w:b/>
          <w:color w:val="auto"/>
          <w:sz w:val="36"/>
          <w:highlight w:val="none"/>
        </w:rPr>
      </w:pPr>
    </w:p>
    <w:p w14:paraId="201CAEB1">
      <w:pPr>
        <w:pStyle w:val="12"/>
        <w:tabs>
          <w:tab w:val="left" w:pos="2472"/>
        </w:tabs>
        <w:wordWrap w:val="0"/>
        <w:spacing w:line="360" w:lineRule="auto"/>
        <w:ind w:firstLine="723"/>
        <w:rPr>
          <w:rFonts w:hint="eastAsia" w:hAnsi="宋体" w:cs="宋体"/>
          <w:b/>
          <w:color w:val="auto"/>
          <w:sz w:val="36"/>
          <w:highlight w:val="none"/>
        </w:rPr>
      </w:pPr>
    </w:p>
    <w:p w14:paraId="54CDB452">
      <w:pPr>
        <w:pStyle w:val="12"/>
        <w:tabs>
          <w:tab w:val="left" w:pos="2472"/>
        </w:tabs>
        <w:wordWrap w:val="0"/>
        <w:spacing w:line="360" w:lineRule="auto"/>
        <w:ind w:firstLine="723"/>
        <w:rPr>
          <w:rFonts w:hint="eastAsia" w:hAnsi="宋体" w:cs="宋体"/>
          <w:b/>
          <w:color w:val="auto"/>
          <w:sz w:val="36"/>
          <w:highlight w:val="none"/>
        </w:rPr>
      </w:pPr>
    </w:p>
    <w:p w14:paraId="67ED4402">
      <w:pPr>
        <w:pStyle w:val="12"/>
        <w:tabs>
          <w:tab w:val="left" w:pos="2472"/>
        </w:tabs>
        <w:wordWrap w:val="0"/>
        <w:spacing w:line="360" w:lineRule="auto"/>
        <w:ind w:firstLine="723"/>
        <w:rPr>
          <w:rFonts w:hint="eastAsia" w:hAnsi="宋体" w:cs="宋体"/>
          <w:b/>
          <w:color w:val="auto"/>
          <w:sz w:val="36"/>
          <w:highlight w:val="none"/>
        </w:rPr>
      </w:pPr>
    </w:p>
    <w:p w14:paraId="43F4F2B8">
      <w:pPr>
        <w:pStyle w:val="12"/>
        <w:tabs>
          <w:tab w:val="left" w:pos="2472"/>
        </w:tabs>
        <w:wordWrap w:val="0"/>
        <w:spacing w:line="360" w:lineRule="auto"/>
        <w:ind w:firstLine="723"/>
        <w:rPr>
          <w:rFonts w:hint="eastAsia" w:hAnsi="宋体" w:cs="宋体"/>
          <w:b/>
          <w:color w:val="auto"/>
          <w:sz w:val="36"/>
          <w:highlight w:val="none"/>
        </w:rPr>
      </w:pPr>
    </w:p>
    <w:p w14:paraId="0F273C61">
      <w:pPr>
        <w:pStyle w:val="12"/>
        <w:tabs>
          <w:tab w:val="left" w:pos="2472"/>
        </w:tabs>
        <w:wordWrap w:val="0"/>
        <w:spacing w:line="360" w:lineRule="auto"/>
        <w:ind w:firstLine="723"/>
        <w:rPr>
          <w:rFonts w:hint="eastAsia" w:hAnsi="宋体" w:cs="宋体"/>
          <w:b/>
          <w:color w:val="auto"/>
          <w:sz w:val="36"/>
          <w:highlight w:val="none"/>
        </w:rPr>
      </w:pPr>
    </w:p>
    <w:p w14:paraId="1E61EA2D">
      <w:pPr>
        <w:pStyle w:val="12"/>
        <w:tabs>
          <w:tab w:val="left" w:pos="2472"/>
        </w:tabs>
        <w:wordWrap w:val="0"/>
        <w:spacing w:line="360" w:lineRule="auto"/>
        <w:ind w:firstLine="723"/>
        <w:jc w:val="center"/>
        <w:outlineLvl w:val="0"/>
        <w:rPr>
          <w:rFonts w:hint="eastAsia" w:hAnsi="宋体" w:cs="宋体"/>
          <w:b/>
          <w:color w:val="auto"/>
          <w:sz w:val="36"/>
          <w:highlight w:val="none"/>
        </w:rPr>
      </w:pPr>
      <w:bookmarkStart w:id="279" w:name="_Toc18489"/>
      <w:r>
        <w:rPr>
          <w:rFonts w:hint="eastAsia" w:hAnsi="宋体" w:cs="宋体"/>
          <w:b/>
          <w:color w:val="auto"/>
          <w:sz w:val="36"/>
          <w:highlight w:val="none"/>
        </w:rPr>
        <w:t>第六章 投标文件格式</w:t>
      </w:r>
      <w:bookmarkEnd w:id="279"/>
    </w:p>
    <w:p w14:paraId="50E59414">
      <w:pPr>
        <w:widowControl/>
        <w:wordWrap w:val="0"/>
        <w:spacing w:line="360" w:lineRule="auto"/>
        <w:jc w:val="left"/>
        <w:rPr>
          <w:rFonts w:hint="eastAsia" w:ascii="宋体" w:hAnsi="宋体" w:cs="宋体"/>
          <w:color w:val="auto"/>
          <w:szCs w:val="20"/>
          <w:highlight w:val="none"/>
        </w:rPr>
        <w:sectPr>
          <w:pgSz w:w="11906" w:h="16838"/>
          <w:pgMar w:top="1440" w:right="1080" w:bottom="1440" w:left="1080" w:header="720" w:footer="720" w:gutter="0"/>
          <w:cols w:space="720" w:num="1"/>
          <w:docGrid w:type="lines" w:linePitch="331" w:charSpace="0"/>
        </w:sectPr>
      </w:pPr>
    </w:p>
    <w:p w14:paraId="21B6FD56">
      <w:pPr>
        <w:pStyle w:val="12"/>
        <w:wordWrap w:val="0"/>
        <w:spacing w:line="360" w:lineRule="auto"/>
        <w:ind w:firstLine="551" w:firstLineChars="196"/>
        <w:jc w:val="center"/>
        <w:outlineLvl w:val="1"/>
        <w:rPr>
          <w:rFonts w:hint="eastAsia" w:hAnsi="宋体" w:cs="宋体"/>
          <w:b/>
          <w:bCs/>
          <w:color w:val="auto"/>
          <w:sz w:val="28"/>
          <w:szCs w:val="28"/>
          <w:highlight w:val="none"/>
        </w:rPr>
      </w:pPr>
      <w:bookmarkStart w:id="280" w:name="_Toc17257"/>
      <w:r>
        <w:rPr>
          <w:rFonts w:hint="eastAsia" w:hAnsi="宋体" w:cs="宋体"/>
          <w:b/>
          <w:bCs/>
          <w:color w:val="auto"/>
          <w:sz w:val="28"/>
          <w:szCs w:val="28"/>
          <w:highlight w:val="none"/>
        </w:rPr>
        <w:t>第一节 投标文件外层包装封面</w:t>
      </w:r>
      <w:bookmarkEnd w:id="280"/>
    </w:p>
    <w:p w14:paraId="70051EB7">
      <w:pPr>
        <w:wordWrap w:val="0"/>
        <w:spacing w:line="360" w:lineRule="auto"/>
        <w:ind w:firstLine="960"/>
        <w:jc w:val="center"/>
        <w:rPr>
          <w:rFonts w:hint="eastAsia" w:ascii="宋体" w:hAnsi="宋体" w:cs="宋体"/>
          <w:color w:val="auto"/>
          <w:spacing w:val="20"/>
          <w:sz w:val="44"/>
          <w:szCs w:val="44"/>
          <w:highlight w:val="none"/>
        </w:rPr>
      </w:pPr>
    </w:p>
    <w:p w14:paraId="47051115">
      <w:pPr>
        <w:wordWrap w:val="0"/>
        <w:spacing w:line="360" w:lineRule="auto"/>
        <w:ind w:firstLine="960"/>
        <w:jc w:val="center"/>
        <w:rPr>
          <w:rFonts w:hint="eastAsia" w:ascii="宋体" w:hAnsi="宋体" w:cs="宋体"/>
          <w:color w:val="auto"/>
          <w:spacing w:val="20"/>
          <w:sz w:val="44"/>
          <w:szCs w:val="44"/>
          <w:highlight w:val="none"/>
        </w:rPr>
      </w:pPr>
    </w:p>
    <w:p w14:paraId="5AE8617B">
      <w:pPr>
        <w:wordWrap w:val="0"/>
        <w:spacing w:line="360" w:lineRule="auto"/>
        <w:ind w:firstLine="960"/>
        <w:jc w:val="center"/>
        <w:rPr>
          <w:rFonts w:hint="eastAsia" w:ascii="宋体" w:hAnsi="宋体" w:cs="宋体"/>
          <w:color w:val="auto"/>
          <w:spacing w:val="20"/>
          <w:sz w:val="44"/>
          <w:szCs w:val="44"/>
          <w:highlight w:val="none"/>
        </w:rPr>
      </w:pPr>
    </w:p>
    <w:p w14:paraId="7DA38F68">
      <w:pPr>
        <w:wordWrap w:val="0"/>
        <w:spacing w:line="360" w:lineRule="auto"/>
        <w:ind w:firstLine="960"/>
        <w:jc w:val="center"/>
        <w:rPr>
          <w:rFonts w:hint="eastAsia" w:ascii="宋体" w:hAnsi="宋体" w:cs="宋体"/>
          <w:color w:val="auto"/>
          <w:spacing w:val="20"/>
          <w:sz w:val="44"/>
          <w:szCs w:val="44"/>
          <w:highlight w:val="none"/>
        </w:rPr>
      </w:pPr>
    </w:p>
    <w:p w14:paraId="6DBEC0DE">
      <w:pPr>
        <w:wordWrap w:val="0"/>
        <w:spacing w:line="360" w:lineRule="auto"/>
        <w:ind w:firstLine="960"/>
        <w:jc w:val="center"/>
        <w:rPr>
          <w:rFonts w:hint="eastAsia" w:ascii="宋体" w:hAnsi="宋体" w:cs="宋体"/>
          <w:color w:val="auto"/>
          <w:spacing w:val="20"/>
          <w:sz w:val="44"/>
          <w:szCs w:val="44"/>
          <w:highlight w:val="none"/>
        </w:rPr>
      </w:pPr>
      <w:r>
        <w:rPr>
          <w:rFonts w:hint="eastAsia" w:ascii="宋体" w:hAnsi="宋体" w:cs="宋体"/>
          <w:color w:val="auto"/>
          <w:spacing w:val="20"/>
          <w:sz w:val="44"/>
          <w:szCs w:val="44"/>
          <w:highlight w:val="none"/>
          <w:u w:val="single"/>
        </w:rPr>
        <w:t xml:space="preserve">             </w:t>
      </w:r>
      <w:r>
        <w:rPr>
          <w:rFonts w:hint="eastAsia" w:ascii="宋体" w:hAnsi="宋体" w:cs="宋体"/>
          <w:color w:val="auto"/>
          <w:spacing w:val="20"/>
          <w:sz w:val="44"/>
          <w:szCs w:val="44"/>
          <w:highlight w:val="none"/>
        </w:rPr>
        <w:t>项目</w:t>
      </w:r>
    </w:p>
    <w:p w14:paraId="78481E91">
      <w:pPr>
        <w:wordWrap w:val="0"/>
        <w:spacing w:line="360" w:lineRule="auto"/>
        <w:ind w:firstLine="1123"/>
        <w:jc w:val="center"/>
        <w:rPr>
          <w:rFonts w:hint="eastAsia" w:ascii="宋体" w:hAnsi="宋体" w:cs="宋体"/>
          <w:color w:val="auto"/>
          <w:spacing w:val="40"/>
          <w:w w:val="110"/>
          <w:sz w:val="44"/>
          <w:szCs w:val="44"/>
          <w:highlight w:val="none"/>
        </w:rPr>
      </w:pPr>
      <w:r>
        <w:rPr>
          <w:rFonts w:hint="eastAsia" w:ascii="宋体" w:hAnsi="宋体" w:cs="宋体"/>
          <w:color w:val="auto"/>
          <w:spacing w:val="40"/>
          <w:w w:val="110"/>
          <w:sz w:val="44"/>
          <w:szCs w:val="44"/>
          <w:highlight w:val="none"/>
        </w:rPr>
        <w:t>投标文件</w:t>
      </w:r>
    </w:p>
    <w:p w14:paraId="69B02D79">
      <w:pPr>
        <w:wordWrap w:val="0"/>
        <w:spacing w:line="360" w:lineRule="auto"/>
        <w:ind w:firstLine="480"/>
        <w:jc w:val="center"/>
        <w:rPr>
          <w:rFonts w:hint="eastAsia" w:ascii="宋体" w:hAnsi="宋体" w:cs="宋体"/>
          <w:color w:val="auto"/>
          <w:sz w:val="24"/>
          <w:highlight w:val="none"/>
        </w:rPr>
      </w:pPr>
      <w:r>
        <w:rPr>
          <w:rFonts w:hint="eastAsia" w:ascii="宋体" w:hAnsi="宋体" w:cs="宋体"/>
          <w:color w:val="auto"/>
          <w:sz w:val="24"/>
          <w:highlight w:val="none"/>
        </w:rPr>
        <w:t>（电子投标文件）</w:t>
      </w:r>
    </w:p>
    <w:tbl>
      <w:tblPr>
        <w:tblStyle w:val="22"/>
        <w:tblW w:w="7773" w:type="dxa"/>
        <w:jc w:val="center"/>
        <w:tblLayout w:type="fixed"/>
        <w:tblCellMar>
          <w:top w:w="0" w:type="dxa"/>
          <w:left w:w="108" w:type="dxa"/>
          <w:bottom w:w="0" w:type="dxa"/>
          <w:right w:w="108" w:type="dxa"/>
        </w:tblCellMar>
      </w:tblPr>
      <w:tblGrid>
        <w:gridCol w:w="1601"/>
        <w:gridCol w:w="6172"/>
      </w:tblGrid>
      <w:tr w14:paraId="27D8A33F">
        <w:tblPrEx>
          <w:tblCellMar>
            <w:top w:w="0" w:type="dxa"/>
            <w:left w:w="108" w:type="dxa"/>
            <w:bottom w:w="0" w:type="dxa"/>
            <w:right w:w="108" w:type="dxa"/>
          </w:tblCellMar>
        </w:tblPrEx>
        <w:trPr>
          <w:jc w:val="center"/>
        </w:trPr>
        <w:tc>
          <w:tcPr>
            <w:tcW w:w="1601" w:type="dxa"/>
            <w:vAlign w:val="bottom"/>
          </w:tcPr>
          <w:p w14:paraId="32D5F3BB">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6172" w:type="dxa"/>
            <w:tcBorders>
              <w:top w:val="nil"/>
              <w:left w:val="nil"/>
              <w:bottom w:val="single" w:color="000000" w:sz="4" w:space="0"/>
              <w:right w:val="nil"/>
            </w:tcBorders>
            <w:vAlign w:val="bottom"/>
          </w:tcPr>
          <w:p w14:paraId="741D8FF3">
            <w:pPr>
              <w:wordWrap w:val="0"/>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tc>
      </w:tr>
      <w:tr w14:paraId="2B1E3627">
        <w:tblPrEx>
          <w:tblCellMar>
            <w:top w:w="0" w:type="dxa"/>
            <w:left w:w="108" w:type="dxa"/>
            <w:bottom w:w="0" w:type="dxa"/>
            <w:right w:w="108" w:type="dxa"/>
          </w:tblCellMar>
        </w:tblPrEx>
        <w:trPr>
          <w:jc w:val="center"/>
        </w:trPr>
        <w:tc>
          <w:tcPr>
            <w:tcW w:w="1601" w:type="dxa"/>
            <w:vAlign w:val="bottom"/>
          </w:tcPr>
          <w:p w14:paraId="5353B65F">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投标方式：</w:t>
            </w:r>
          </w:p>
        </w:tc>
        <w:tc>
          <w:tcPr>
            <w:tcW w:w="6172" w:type="dxa"/>
            <w:tcBorders>
              <w:top w:val="single" w:color="000000" w:sz="4" w:space="0"/>
              <w:left w:val="nil"/>
              <w:bottom w:val="single" w:color="000000" w:sz="4" w:space="0"/>
              <w:right w:val="nil"/>
            </w:tcBorders>
            <w:vAlign w:val="bottom"/>
          </w:tcPr>
          <w:p w14:paraId="28AB54A5">
            <w:pPr>
              <w:wordWrap w:val="0"/>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 线上投标</w:t>
            </w:r>
          </w:p>
        </w:tc>
      </w:tr>
      <w:tr w14:paraId="467FDB0F">
        <w:tblPrEx>
          <w:tblCellMar>
            <w:top w:w="0" w:type="dxa"/>
            <w:left w:w="108" w:type="dxa"/>
            <w:bottom w:w="0" w:type="dxa"/>
            <w:right w:w="108" w:type="dxa"/>
          </w:tblCellMar>
        </w:tblPrEx>
        <w:trPr>
          <w:jc w:val="center"/>
        </w:trPr>
        <w:tc>
          <w:tcPr>
            <w:tcW w:w="1601" w:type="dxa"/>
            <w:vAlign w:val="bottom"/>
          </w:tcPr>
          <w:p w14:paraId="56CB47B0">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项目编号：</w:t>
            </w:r>
          </w:p>
        </w:tc>
        <w:tc>
          <w:tcPr>
            <w:tcW w:w="6172" w:type="dxa"/>
            <w:tcBorders>
              <w:top w:val="single" w:color="000000" w:sz="4" w:space="0"/>
              <w:left w:val="nil"/>
              <w:bottom w:val="single" w:color="000000" w:sz="4" w:space="0"/>
              <w:right w:val="nil"/>
            </w:tcBorders>
            <w:vAlign w:val="bottom"/>
          </w:tcPr>
          <w:p w14:paraId="6CB1A085">
            <w:pPr>
              <w:wordWrap w:val="0"/>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 xml:space="preserve"> </w:t>
            </w:r>
          </w:p>
        </w:tc>
      </w:tr>
      <w:tr w14:paraId="4C447720">
        <w:tblPrEx>
          <w:tblCellMar>
            <w:top w:w="0" w:type="dxa"/>
            <w:left w:w="108" w:type="dxa"/>
            <w:bottom w:w="0" w:type="dxa"/>
            <w:right w:w="108" w:type="dxa"/>
          </w:tblCellMar>
        </w:tblPrEx>
        <w:trPr>
          <w:jc w:val="center"/>
        </w:trPr>
        <w:tc>
          <w:tcPr>
            <w:tcW w:w="1601" w:type="dxa"/>
            <w:vAlign w:val="bottom"/>
          </w:tcPr>
          <w:p w14:paraId="6A494B01">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所投分标：</w:t>
            </w:r>
          </w:p>
        </w:tc>
        <w:tc>
          <w:tcPr>
            <w:tcW w:w="6172" w:type="dxa"/>
            <w:tcBorders>
              <w:top w:val="single" w:color="000000" w:sz="4" w:space="0"/>
              <w:left w:val="nil"/>
              <w:bottom w:val="single" w:color="000000" w:sz="4" w:space="0"/>
              <w:right w:val="nil"/>
            </w:tcBorders>
            <w:vAlign w:val="bottom"/>
          </w:tcPr>
          <w:p w14:paraId="499A6844">
            <w:pPr>
              <w:wordWrap w:val="0"/>
              <w:spacing w:line="360" w:lineRule="auto"/>
              <w:ind w:firstLine="480"/>
              <w:jc w:val="left"/>
              <w:rPr>
                <w:rFonts w:hint="eastAsia" w:ascii="宋体" w:hAnsi="宋体" w:cs="宋体"/>
                <w:color w:val="auto"/>
                <w:sz w:val="24"/>
                <w:highlight w:val="none"/>
              </w:rPr>
            </w:pPr>
          </w:p>
        </w:tc>
      </w:tr>
      <w:tr w14:paraId="2966265B">
        <w:tblPrEx>
          <w:tblCellMar>
            <w:top w:w="0" w:type="dxa"/>
            <w:left w:w="108" w:type="dxa"/>
            <w:bottom w:w="0" w:type="dxa"/>
            <w:right w:w="108" w:type="dxa"/>
          </w:tblCellMar>
        </w:tblPrEx>
        <w:trPr>
          <w:jc w:val="center"/>
        </w:trPr>
        <w:tc>
          <w:tcPr>
            <w:tcW w:w="1601" w:type="dxa"/>
            <w:vAlign w:val="bottom"/>
          </w:tcPr>
          <w:p w14:paraId="2A8B6841">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投标人名称：</w:t>
            </w:r>
          </w:p>
        </w:tc>
        <w:tc>
          <w:tcPr>
            <w:tcW w:w="6172" w:type="dxa"/>
            <w:tcBorders>
              <w:top w:val="single" w:color="000000" w:sz="4" w:space="0"/>
              <w:left w:val="nil"/>
              <w:bottom w:val="single" w:color="000000" w:sz="4" w:space="0"/>
              <w:right w:val="nil"/>
            </w:tcBorders>
            <w:vAlign w:val="bottom"/>
          </w:tcPr>
          <w:p w14:paraId="31621D56">
            <w:pPr>
              <w:wordWrap w:val="0"/>
              <w:spacing w:line="360" w:lineRule="auto"/>
              <w:ind w:firstLine="480"/>
              <w:jc w:val="left"/>
              <w:rPr>
                <w:rFonts w:hint="eastAsia" w:ascii="宋体" w:hAnsi="宋体" w:cs="宋体"/>
                <w:color w:val="auto"/>
                <w:sz w:val="24"/>
                <w:highlight w:val="none"/>
              </w:rPr>
            </w:pPr>
          </w:p>
        </w:tc>
      </w:tr>
      <w:tr w14:paraId="172AE51E">
        <w:tblPrEx>
          <w:tblCellMar>
            <w:top w:w="0" w:type="dxa"/>
            <w:left w:w="108" w:type="dxa"/>
            <w:bottom w:w="0" w:type="dxa"/>
            <w:right w:w="108" w:type="dxa"/>
          </w:tblCellMar>
        </w:tblPrEx>
        <w:trPr>
          <w:jc w:val="center"/>
        </w:trPr>
        <w:tc>
          <w:tcPr>
            <w:tcW w:w="1601" w:type="dxa"/>
            <w:vAlign w:val="bottom"/>
          </w:tcPr>
          <w:p w14:paraId="5ECBCDCC">
            <w:pPr>
              <w:wordWrap w:val="0"/>
              <w:spacing w:line="360" w:lineRule="auto"/>
              <w:jc w:val="distribute"/>
              <w:rPr>
                <w:rFonts w:hint="eastAsia" w:ascii="宋体" w:hAnsi="宋体" w:cs="宋体"/>
                <w:color w:val="auto"/>
                <w:sz w:val="24"/>
                <w:highlight w:val="none"/>
              </w:rPr>
            </w:pPr>
            <w:r>
              <w:rPr>
                <w:rFonts w:hint="eastAsia" w:ascii="宋体" w:hAnsi="宋体" w:cs="宋体"/>
                <w:color w:val="auto"/>
                <w:sz w:val="24"/>
                <w:highlight w:val="none"/>
              </w:rPr>
              <w:t>投标人地址：</w:t>
            </w:r>
          </w:p>
        </w:tc>
        <w:tc>
          <w:tcPr>
            <w:tcW w:w="6172" w:type="dxa"/>
            <w:tcBorders>
              <w:top w:val="single" w:color="000000" w:sz="4" w:space="0"/>
              <w:left w:val="nil"/>
              <w:bottom w:val="single" w:color="000000" w:sz="4" w:space="0"/>
              <w:right w:val="nil"/>
            </w:tcBorders>
            <w:vAlign w:val="bottom"/>
          </w:tcPr>
          <w:p w14:paraId="086B9325">
            <w:pPr>
              <w:wordWrap w:val="0"/>
              <w:spacing w:line="360" w:lineRule="auto"/>
              <w:ind w:firstLine="480"/>
              <w:jc w:val="left"/>
              <w:rPr>
                <w:rFonts w:hint="eastAsia" w:ascii="宋体" w:hAnsi="宋体" w:cs="宋体"/>
                <w:color w:val="auto"/>
                <w:sz w:val="24"/>
                <w:highlight w:val="none"/>
              </w:rPr>
            </w:pPr>
          </w:p>
        </w:tc>
      </w:tr>
    </w:tbl>
    <w:p w14:paraId="1DA9BC74">
      <w:pPr>
        <w:wordWrap w:val="0"/>
        <w:spacing w:line="360" w:lineRule="auto"/>
        <w:ind w:firstLine="4200" w:firstLineChars="1750"/>
        <w:rPr>
          <w:rFonts w:hint="eastAsia" w:ascii="宋体" w:hAnsi="宋体" w:cs="宋体"/>
          <w:color w:val="auto"/>
          <w:sz w:val="24"/>
          <w:highlight w:val="none"/>
        </w:rPr>
      </w:pPr>
    </w:p>
    <w:p w14:paraId="4DB1A339">
      <w:pPr>
        <w:wordWrap w:val="0"/>
        <w:spacing w:line="360" w:lineRule="auto"/>
        <w:ind w:firstLine="4200" w:firstLineChars="1750"/>
        <w:rPr>
          <w:rFonts w:hint="eastAsia" w:ascii="宋体" w:hAnsi="宋体" w:cs="宋体"/>
          <w:color w:val="auto"/>
          <w:sz w:val="24"/>
          <w:highlight w:val="none"/>
        </w:rPr>
      </w:pPr>
    </w:p>
    <w:p w14:paraId="1BE374BF">
      <w:pPr>
        <w:wordWrap w:val="0"/>
        <w:spacing w:line="360" w:lineRule="auto"/>
        <w:ind w:firstLine="4200" w:firstLineChars="1750"/>
        <w:rPr>
          <w:rFonts w:hint="eastAsia" w:ascii="宋体" w:hAnsi="宋体" w:cs="宋体"/>
          <w:color w:val="auto"/>
          <w:sz w:val="24"/>
          <w:highlight w:val="none"/>
        </w:rPr>
      </w:pPr>
    </w:p>
    <w:p w14:paraId="3A3E0748">
      <w:pPr>
        <w:wordWrap w:val="0"/>
        <w:spacing w:line="360" w:lineRule="auto"/>
        <w:ind w:firstLine="5880" w:firstLineChars="2450"/>
        <w:rPr>
          <w:rFonts w:hint="eastAsia" w:ascii="宋体" w:hAnsi="宋体" w:cs="宋体"/>
          <w:color w:val="auto"/>
          <w:sz w:val="24"/>
          <w:highlight w:val="none"/>
        </w:rPr>
      </w:pPr>
      <w:r>
        <w:rPr>
          <w:rFonts w:hint="eastAsia" w:ascii="宋体" w:hAnsi="宋体" w:cs="宋体"/>
          <w:color w:val="auto"/>
          <w:sz w:val="24"/>
          <w:highlight w:val="none"/>
        </w:rPr>
        <w:t>投标截止时间前不得解密</w:t>
      </w:r>
    </w:p>
    <w:p w14:paraId="7F3ADA06">
      <w:pPr>
        <w:wordWrap w:val="0"/>
        <w:spacing w:line="360" w:lineRule="auto"/>
        <w:ind w:firstLine="6480" w:firstLineChars="2700"/>
        <w:rPr>
          <w:rFonts w:hint="eastAsia" w:ascii="宋体" w:hAnsi="宋体" w:cs="宋体"/>
          <w:color w:val="auto"/>
          <w:sz w:val="24"/>
          <w:highlight w:val="none"/>
        </w:rPr>
      </w:pPr>
      <w:r>
        <w:rPr>
          <w:rFonts w:hint="eastAsia" w:ascii="宋体" w:hAnsi="宋体" w:cs="宋体"/>
          <w:color w:val="auto"/>
          <w:sz w:val="24"/>
          <w:highlight w:val="none"/>
        </w:rPr>
        <w:t>年   月   日</w:t>
      </w:r>
    </w:p>
    <w:p w14:paraId="302F376C">
      <w:pPr>
        <w:widowControl/>
        <w:wordWrap w:val="0"/>
        <w:spacing w:line="360" w:lineRule="auto"/>
        <w:ind w:firstLine="480"/>
        <w:jc w:val="left"/>
        <w:rPr>
          <w:rFonts w:hint="eastAsia" w:ascii="宋体" w:hAnsi="宋体" w:cs="宋体"/>
          <w:color w:val="auto"/>
          <w:sz w:val="24"/>
          <w:highlight w:val="none"/>
        </w:rPr>
        <w:sectPr>
          <w:pgSz w:w="11907" w:h="16840"/>
          <w:pgMar w:top="1440" w:right="1080" w:bottom="1440" w:left="1080" w:header="720" w:footer="720" w:gutter="0"/>
          <w:cols w:space="720" w:num="1"/>
        </w:sectPr>
      </w:pPr>
    </w:p>
    <w:p w14:paraId="35ED2215">
      <w:pPr>
        <w:pStyle w:val="12"/>
        <w:wordWrap w:val="0"/>
        <w:spacing w:line="360" w:lineRule="auto"/>
        <w:ind w:firstLine="562"/>
        <w:jc w:val="center"/>
        <w:outlineLvl w:val="1"/>
        <w:rPr>
          <w:rFonts w:hint="eastAsia" w:hAnsi="宋体" w:cs="宋体"/>
          <w:b/>
          <w:bCs/>
          <w:color w:val="auto"/>
          <w:sz w:val="28"/>
          <w:szCs w:val="28"/>
          <w:highlight w:val="none"/>
        </w:rPr>
      </w:pPr>
      <w:bookmarkStart w:id="281" w:name="_Toc5824"/>
      <w:r>
        <w:rPr>
          <w:rFonts w:hint="eastAsia" w:hAnsi="宋体" w:cs="宋体"/>
          <w:b/>
          <w:bCs/>
          <w:color w:val="auto"/>
          <w:sz w:val="28"/>
          <w:szCs w:val="28"/>
          <w:highlight w:val="none"/>
        </w:rPr>
        <w:t>第二节 资格证明文件格式</w:t>
      </w:r>
      <w:bookmarkEnd w:id="281"/>
    </w:p>
    <w:p w14:paraId="5D5FE43E">
      <w:pPr>
        <w:pStyle w:val="12"/>
        <w:wordWrap w:val="0"/>
        <w:spacing w:line="360" w:lineRule="auto"/>
        <w:ind w:firstLine="600"/>
        <w:rPr>
          <w:rFonts w:hint="eastAsia" w:hAnsi="宋体" w:cs="宋体"/>
          <w:color w:val="auto"/>
          <w:sz w:val="30"/>
          <w:highlight w:val="none"/>
        </w:rPr>
      </w:pPr>
    </w:p>
    <w:p w14:paraId="755508CF">
      <w:pPr>
        <w:wordWrap w:val="0"/>
        <w:snapToGrid w:val="0"/>
        <w:spacing w:line="360" w:lineRule="auto"/>
        <w:ind w:firstLine="48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10EB25A7">
      <w:pPr>
        <w:wordWrap w:val="0"/>
        <w:snapToGrid w:val="0"/>
        <w:spacing w:line="360" w:lineRule="auto"/>
        <w:ind w:firstLine="480"/>
        <w:rPr>
          <w:rFonts w:hint="eastAsia" w:ascii="宋体" w:hAnsi="宋体" w:cs="宋体"/>
          <w:color w:val="auto"/>
          <w:sz w:val="24"/>
          <w:szCs w:val="20"/>
          <w:highlight w:val="none"/>
        </w:rPr>
      </w:pPr>
    </w:p>
    <w:p w14:paraId="740F9FDA">
      <w:pPr>
        <w:wordWrap w:val="0"/>
        <w:snapToGrid w:val="0"/>
        <w:spacing w:line="360" w:lineRule="auto"/>
        <w:ind w:firstLine="643"/>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资格证明文件（封面）</w:t>
      </w:r>
    </w:p>
    <w:p w14:paraId="74FC51FF">
      <w:pPr>
        <w:wordWrap w:val="0"/>
        <w:snapToGrid w:val="0"/>
        <w:spacing w:line="360" w:lineRule="auto"/>
        <w:ind w:firstLine="480"/>
        <w:rPr>
          <w:rFonts w:hint="eastAsia" w:ascii="宋体" w:hAnsi="宋体" w:cs="宋体"/>
          <w:bCs/>
          <w:color w:val="auto"/>
          <w:sz w:val="24"/>
          <w:szCs w:val="20"/>
          <w:highlight w:val="none"/>
        </w:rPr>
      </w:pPr>
    </w:p>
    <w:p w14:paraId="0CBD483F">
      <w:pPr>
        <w:wordWrap w:val="0"/>
        <w:snapToGrid w:val="0"/>
        <w:spacing w:line="360" w:lineRule="auto"/>
        <w:ind w:firstLine="480"/>
        <w:rPr>
          <w:rFonts w:hint="eastAsia" w:ascii="宋体" w:hAnsi="宋体" w:cs="宋体"/>
          <w:bCs/>
          <w:color w:val="auto"/>
          <w:sz w:val="24"/>
          <w:szCs w:val="20"/>
          <w:highlight w:val="none"/>
        </w:rPr>
      </w:pPr>
    </w:p>
    <w:p w14:paraId="77EA326D">
      <w:pPr>
        <w:wordWrap w:val="0"/>
        <w:snapToGrid w:val="0"/>
        <w:spacing w:line="360" w:lineRule="auto"/>
        <w:ind w:firstLine="480"/>
        <w:rPr>
          <w:rFonts w:hint="eastAsia" w:ascii="宋体" w:hAnsi="宋体" w:cs="宋体"/>
          <w:bCs/>
          <w:color w:val="auto"/>
          <w:sz w:val="24"/>
          <w:szCs w:val="20"/>
          <w:highlight w:val="none"/>
        </w:rPr>
      </w:pPr>
    </w:p>
    <w:p w14:paraId="74F392CF">
      <w:pPr>
        <w:wordWrap w:val="0"/>
        <w:snapToGrid w:val="0"/>
        <w:spacing w:line="360" w:lineRule="auto"/>
        <w:ind w:firstLine="480"/>
        <w:rPr>
          <w:rFonts w:hint="eastAsia" w:ascii="宋体" w:hAnsi="宋体" w:cs="宋体"/>
          <w:bCs/>
          <w:color w:val="auto"/>
          <w:sz w:val="24"/>
          <w:szCs w:val="20"/>
          <w:highlight w:val="none"/>
        </w:rPr>
      </w:pPr>
    </w:p>
    <w:p w14:paraId="1536A468">
      <w:pPr>
        <w:wordWrap w:val="0"/>
        <w:snapToGrid w:val="0"/>
        <w:spacing w:line="360" w:lineRule="auto"/>
        <w:ind w:firstLine="480"/>
        <w:rPr>
          <w:rFonts w:hint="eastAsia" w:ascii="宋体" w:hAnsi="宋体" w:cs="宋体"/>
          <w:bCs/>
          <w:color w:val="auto"/>
          <w:sz w:val="24"/>
          <w:szCs w:val="20"/>
          <w:highlight w:val="none"/>
        </w:rPr>
      </w:pPr>
    </w:p>
    <w:p w14:paraId="63BA3B2B">
      <w:pPr>
        <w:wordWrap w:val="0"/>
        <w:snapToGrid w:val="0"/>
        <w:spacing w:line="360" w:lineRule="auto"/>
        <w:ind w:firstLine="480"/>
        <w:rPr>
          <w:rFonts w:hint="eastAsia" w:ascii="宋体" w:hAnsi="宋体" w:cs="宋体"/>
          <w:bCs/>
          <w:color w:val="auto"/>
          <w:sz w:val="24"/>
          <w:szCs w:val="20"/>
          <w:highlight w:val="none"/>
        </w:rPr>
      </w:pPr>
    </w:p>
    <w:p w14:paraId="287DB30B">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64F8C339">
      <w:pPr>
        <w:wordWrap w:val="0"/>
        <w:snapToGrid w:val="0"/>
        <w:spacing w:line="360" w:lineRule="auto"/>
        <w:ind w:firstLine="540" w:firstLineChars="225"/>
        <w:rPr>
          <w:rFonts w:hint="eastAsia" w:ascii="宋体" w:hAnsi="宋体" w:cs="宋体"/>
          <w:bCs/>
          <w:color w:val="auto"/>
          <w:sz w:val="24"/>
          <w:szCs w:val="20"/>
          <w:highlight w:val="none"/>
        </w:rPr>
      </w:pPr>
    </w:p>
    <w:p w14:paraId="0AE15CE0">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3738CD8D">
      <w:pPr>
        <w:wordWrap w:val="0"/>
        <w:snapToGrid w:val="0"/>
        <w:spacing w:line="360" w:lineRule="auto"/>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2A8231C8">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06C47043">
      <w:pPr>
        <w:wordWrap w:val="0"/>
        <w:snapToGrid w:val="0"/>
        <w:spacing w:line="360" w:lineRule="auto"/>
        <w:ind w:firstLine="540" w:firstLineChars="225"/>
        <w:rPr>
          <w:rFonts w:hint="eastAsia" w:ascii="宋体" w:hAnsi="宋体" w:cs="宋体"/>
          <w:bCs/>
          <w:color w:val="auto"/>
          <w:sz w:val="24"/>
          <w:szCs w:val="20"/>
          <w:highlight w:val="none"/>
        </w:rPr>
      </w:pPr>
    </w:p>
    <w:p w14:paraId="5D97B30B">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4DC7CF9B">
      <w:pPr>
        <w:pStyle w:val="7"/>
        <w:wordWrap w:val="0"/>
        <w:snapToGrid w:val="0"/>
        <w:spacing w:line="360" w:lineRule="auto"/>
        <w:ind w:firstLine="540" w:firstLineChars="225"/>
        <w:rPr>
          <w:rFonts w:hint="eastAsia" w:ascii="宋体" w:hAnsi="宋体" w:cs="宋体"/>
          <w:bCs/>
          <w:color w:val="auto"/>
          <w:sz w:val="24"/>
          <w:szCs w:val="24"/>
          <w:highlight w:val="none"/>
        </w:rPr>
      </w:pPr>
    </w:p>
    <w:p w14:paraId="268DA5B8">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2159061F">
      <w:pPr>
        <w:pStyle w:val="7"/>
        <w:wordWrap w:val="0"/>
        <w:snapToGrid w:val="0"/>
        <w:spacing w:line="360" w:lineRule="auto"/>
        <w:ind w:firstLine="960" w:firstLineChars="400"/>
        <w:rPr>
          <w:rFonts w:hint="eastAsia" w:ascii="宋体" w:hAnsi="宋体" w:cs="宋体"/>
          <w:bCs/>
          <w:color w:val="auto"/>
          <w:sz w:val="24"/>
          <w:szCs w:val="24"/>
          <w:highlight w:val="none"/>
        </w:rPr>
      </w:pPr>
    </w:p>
    <w:p w14:paraId="21BF4132">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7C0C3C5E">
      <w:pPr>
        <w:widowControl/>
        <w:wordWrap w:val="0"/>
        <w:spacing w:line="360" w:lineRule="auto"/>
        <w:ind w:firstLine="600"/>
        <w:jc w:val="left"/>
        <w:rPr>
          <w:rFonts w:hint="eastAsia"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08A51390">
      <w:pPr>
        <w:wordWrap w:val="0"/>
        <w:spacing w:line="360" w:lineRule="auto"/>
        <w:ind w:firstLine="723"/>
        <w:jc w:val="center"/>
        <w:rPr>
          <w:rFonts w:hint="eastAsia" w:ascii="宋体" w:hAnsi="宋体" w:cs="宋体"/>
          <w:b/>
          <w:color w:val="auto"/>
          <w:kern w:val="0"/>
          <w:sz w:val="36"/>
          <w:szCs w:val="36"/>
          <w:highlight w:val="none"/>
        </w:rPr>
      </w:pPr>
      <w:r>
        <w:rPr>
          <w:rFonts w:hint="eastAsia" w:ascii="宋体" w:hAnsi="宋体" w:cs="宋体"/>
          <w:b/>
          <w:color w:val="auto"/>
          <w:kern w:val="0"/>
          <w:sz w:val="36"/>
          <w:szCs w:val="36"/>
          <w:highlight w:val="none"/>
        </w:rPr>
        <w:t>资格证明文件目录</w:t>
      </w:r>
    </w:p>
    <w:p w14:paraId="4D805182">
      <w:pPr>
        <w:wordWrap w:val="0"/>
        <w:snapToGrid w:val="0"/>
        <w:spacing w:line="360" w:lineRule="auto"/>
        <w:ind w:firstLine="480"/>
        <w:rPr>
          <w:rFonts w:hint="eastAsia" w:ascii="宋体" w:hAnsi="宋体" w:cs="宋体"/>
          <w:color w:val="auto"/>
          <w:kern w:val="0"/>
          <w:sz w:val="24"/>
          <w:highlight w:val="none"/>
        </w:rPr>
      </w:pPr>
    </w:p>
    <w:p w14:paraId="62C7DAFC">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一、</w:t>
      </w:r>
      <w:r>
        <w:rPr>
          <w:rFonts w:hint="eastAsia" w:ascii="宋体" w:hAnsi="宋体" w:cs="宋体"/>
          <w:color w:val="auto"/>
          <w:sz w:val="24"/>
          <w:highlight w:val="none"/>
        </w:rPr>
        <w:t>营业执照(或事业法人登记证或其他工商等登记证明材料)复印件（投标人为自然人的，须提供</w:t>
      </w:r>
      <w:r>
        <w:rPr>
          <w:rFonts w:hint="eastAsia" w:ascii="宋体" w:hAnsi="宋体" w:cs="宋体"/>
          <w:color w:val="auto"/>
          <w:kern w:val="0"/>
          <w:sz w:val="24"/>
          <w:highlight w:val="none"/>
        </w:rPr>
        <w:t>自然人的身份证明</w:t>
      </w:r>
      <w:r>
        <w:rPr>
          <w:rFonts w:hint="eastAsia" w:ascii="宋体" w:hAnsi="宋体" w:cs="宋体"/>
          <w:color w:val="auto"/>
          <w:sz w:val="24"/>
          <w:highlight w:val="none"/>
        </w:rPr>
        <w:t>）</w:t>
      </w:r>
      <w:r>
        <w:rPr>
          <w:rFonts w:hint="eastAsia" w:ascii="宋体" w:hAnsi="宋体" w:cs="宋体"/>
          <w:color w:val="auto"/>
          <w:kern w:val="0"/>
          <w:sz w:val="24"/>
          <w:highlight w:val="none"/>
        </w:rPr>
        <w:t>…………………………………………………</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65760E7A">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二、符合参与政府采购活动的资格条件依法缴纳税收、社会保障资金等方面的材料………………………………………………………………………………</w:t>
      </w:r>
      <w:r>
        <w:rPr>
          <w:rFonts w:hint="eastAsia" w:ascii="宋体" w:hAnsi="宋体" w:cs="宋体"/>
          <w:color w:val="auto"/>
          <w:sz w:val="24"/>
          <w:highlight w:val="none"/>
        </w:rPr>
        <w:t>…</w:t>
      </w:r>
      <w:r>
        <w:rPr>
          <w:rFonts w:hint="eastAsia" w:ascii="宋体" w:hAnsi="宋体" w:cs="宋体"/>
          <w:color w:val="auto"/>
          <w:kern w:val="0"/>
          <w:sz w:val="24"/>
          <w:highlight w:val="none"/>
        </w:rPr>
        <w:t>…</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02B75644">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三、财务状况报告方面的材料…………………………………………………………（页码）</w:t>
      </w:r>
    </w:p>
    <w:p w14:paraId="439F2433">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sz w:val="24"/>
          <w:highlight w:val="none"/>
        </w:rPr>
        <w:t>四、投标人直接控股股东信息表</w:t>
      </w:r>
      <w:r>
        <w:rPr>
          <w:rFonts w:hint="eastAsia" w:ascii="宋体" w:hAnsi="宋体" w:cs="宋体"/>
          <w:color w:val="auto"/>
          <w:kern w:val="0"/>
          <w:sz w:val="24"/>
          <w:highlight w:val="none"/>
        </w:rPr>
        <w:t>…………………………………………………………（页码）</w:t>
      </w:r>
    </w:p>
    <w:p w14:paraId="320402D7">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sz w:val="24"/>
          <w:highlight w:val="none"/>
        </w:rPr>
        <w:t>五、投标人直接管理关系信息表</w:t>
      </w:r>
      <w:r>
        <w:rPr>
          <w:rFonts w:hint="eastAsia" w:ascii="宋体" w:hAnsi="宋体" w:cs="宋体"/>
          <w:color w:val="auto"/>
          <w:kern w:val="0"/>
          <w:sz w:val="24"/>
          <w:highlight w:val="none"/>
        </w:rPr>
        <w:t>………………………………………………………（页码）</w:t>
      </w:r>
    </w:p>
    <w:p w14:paraId="3F86837C">
      <w:pPr>
        <w:wordWrap w:val="0"/>
        <w:snapToGri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六、投标资格声明函……………………………………………………………………（页码）</w:t>
      </w:r>
    </w:p>
    <w:p w14:paraId="10855358">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kern w:val="0"/>
          <w:sz w:val="24"/>
          <w:highlight w:val="none"/>
        </w:rPr>
        <w:t>七、联合体协议书（</w:t>
      </w:r>
      <w:r>
        <w:rPr>
          <w:rFonts w:hint="eastAsia" w:ascii="宋体" w:hAnsi="宋体" w:cs="宋体"/>
          <w:color w:val="auto"/>
          <w:sz w:val="24"/>
          <w:highlight w:val="none"/>
        </w:rPr>
        <w:t>以联合体形式投标的，提供联合体协议；本项目不接受联合体投标或者投标人不以联合体形式投标的，则不需要提供）………………………………………（页码）</w:t>
      </w:r>
    </w:p>
    <w:p w14:paraId="0E523E67">
      <w:pPr>
        <w:wordWrap w:val="0"/>
        <w:snapToGrid w:val="0"/>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八、分包意向协议</w:t>
      </w:r>
      <w:r>
        <w:rPr>
          <w:rFonts w:hint="eastAsia" w:ascii="宋体" w:hAnsi="宋体" w:cs="宋体"/>
          <w:color w:val="auto"/>
          <w:kern w:val="0"/>
          <w:sz w:val="24"/>
          <w:highlight w:val="none"/>
        </w:rPr>
        <w:t>…………………………………………</w:t>
      </w:r>
      <w:r>
        <w:rPr>
          <w:rFonts w:hint="eastAsia" w:ascii="宋体" w:hAnsi="宋体" w:cs="宋体"/>
          <w:color w:val="auto"/>
          <w:sz w:val="24"/>
          <w:highlight w:val="none"/>
        </w:rPr>
        <w:t>…</w:t>
      </w:r>
      <w:r>
        <w:rPr>
          <w:rFonts w:hint="eastAsia" w:ascii="宋体" w:hAnsi="宋体" w:cs="宋体"/>
          <w:color w:val="auto"/>
          <w:kern w:val="0"/>
          <w:sz w:val="24"/>
          <w:highlight w:val="none"/>
        </w:rPr>
        <w:t>…</w:t>
      </w:r>
      <w:r>
        <w:rPr>
          <w:rFonts w:hint="eastAsia" w:ascii="宋体" w:hAnsi="宋体" w:cs="宋体"/>
          <w:color w:val="auto"/>
          <w:sz w:val="24"/>
          <w:highlight w:val="none"/>
        </w:rPr>
        <w:t>…</w:t>
      </w:r>
      <w:r>
        <w:rPr>
          <w:rFonts w:hint="eastAsia" w:ascii="宋体" w:hAnsi="宋体" w:cs="宋体"/>
          <w:color w:val="auto"/>
          <w:kern w:val="0"/>
          <w:sz w:val="24"/>
          <w:highlight w:val="none"/>
        </w:rPr>
        <w:t>……</w:t>
      </w:r>
      <w:r>
        <w:rPr>
          <w:rFonts w:hint="eastAsia" w:ascii="宋体" w:hAnsi="宋体" w:cs="宋体"/>
          <w:color w:val="auto"/>
          <w:sz w:val="24"/>
          <w:highlight w:val="none"/>
        </w:rPr>
        <w:t>……</w:t>
      </w:r>
      <w:r>
        <w:rPr>
          <w:rFonts w:hint="eastAsia" w:ascii="宋体" w:hAnsi="宋体" w:cs="宋体"/>
          <w:color w:val="auto"/>
          <w:kern w:val="0"/>
          <w:sz w:val="24"/>
          <w:highlight w:val="none"/>
        </w:rPr>
        <w:t>…………（页码）</w:t>
      </w:r>
    </w:p>
    <w:p w14:paraId="44E049ED">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九</w:t>
      </w:r>
      <w:r>
        <w:rPr>
          <w:rFonts w:hint="eastAsia" w:ascii="宋体" w:hAnsi="宋体" w:cs="宋体"/>
          <w:color w:val="auto"/>
          <w:sz w:val="24"/>
          <w:highlight w:val="none"/>
        </w:rPr>
        <w:t>、除招标文件规定必须提供以外，投标人认为需要提供的其他证明材料。</w:t>
      </w:r>
    </w:p>
    <w:p w14:paraId="6863C75F">
      <w:pPr>
        <w:wordWrap w:val="0"/>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0703BC72">
      <w:pPr>
        <w:widowControl/>
        <w:wordWrap w:val="0"/>
        <w:spacing w:line="360" w:lineRule="auto"/>
        <w:ind w:firstLine="600"/>
        <w:jc w:val="left"/>
        <w:rPr>
          <w:rFonts w:hint="eastAsia"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3B875794">
      <w:pPr>
        <w:wordWrap w:val="0"/>
        <w:snapToGrid w:val="0"/>
        <w:spacing w:line="360" w:lineRule="auto"/>
        <w:ind w:firstLine="643"/>
        <w:rPr>
          <w:rFonts w:hint="eastAsia" w:ascii="宋体" w:hAnsi="宋体" w:cs="宋体"/>
          <w:b/>
          <w:color w:val="auto"/>
          <w:kern w:val="0"/>
          <w:sz w:val="32"/>
          <w:szCs w:val="32"/>
          <w:highlight w:val="none"/>
          <w:lang w:val="zh-CN"/>
        </w:rPr>
      </w:pPr>
    </w:p>
    <w:p w14:paraId="013ED782">
      <w:pPr>
        <w:wordWrap w:val="0"/>
        <w:spacing w:line="360" w:lineRule="auto"/>
        <w:ind w:firstLine="643"/>
        <w:jc w:val="center"/>
        <w:rPr>
          <w:rFonts w:hint="eastAsia" w:ascii="宋体" w:hAnsi="宋体" w:cs="宋体"/>
          <w:b/>
          <w:color w:val="auto"/>
          <w:sz w:val="30"/>
          <w:szCs w:val="30"/>
          <w:highlight w:val="none"/>
        </w:rPr>
      </w:pPr>
      <w:r>
        <w:rPr>
          <w:rFonts w:hint="eastAsia" w:ascii="宋体" w:hAnsi="宋体" w:cs="宋体"/>
          <w:b/>
          <w:color w:val="auto"/>
          <w:kern w:val="0"/>
          <w:sz w:val="32"/>
          <w:szCs w:val="32"/>
          <w:highlight w:val="none"/>
          <w:lang w:val="zh-CN"/>
        </w:rPr>
        <w:t>一、</w:t>
      </w:r>
      <w:r>
        <w:rPr>
          <w:rFonts w:hint="eastAsia" w:ascii="宋体" w:hAnsi="宋体" w:cs="宋体"/>
          <w:b/>
          <w:color w:val="auto"/>
          <w:sz w:val="30"/>
          <w:szCs w:val="30"/>
          <w:highlight w:val="none"/>
        </w:rPr>
        <w:t>营业执照(或事业法人登记证或其他工商等登记证明材料)复印件（投标人为自然人的，提供自然人的身份证明）</w:t>
      </w:r>
    </w:p>
    <w:p w14:paraId="5EC3B30A">
      <w:pPr>
        <w:wordWrap w:val="0"/>
        <w:spacing w:line="360" w:lineRule="auto"/>
        <w:ind w:firstLine="602"/>
        <w:rPr>
          <w:rFonts w:hint="eastAsia" w:ascii="宋体" w:hAnsi="宋体" w:cs="宋体"/>
          <w:b/>
          <w:color w:val="auto"/>
          <w:sz w:val="30"/>
          <w:szCs w:val="30"/>
          <w:highlight w:val="none"/>
        </w:rPr>
      </w:pPr>
    </w:p>
    <w:p w14:paraId="523E19C2">
      <w:pPr>
        <w:wordWrap w:val="0"/>
        <w:snapToGrid w:val="0"/>
        <w:spacing w:line="360" w:lineRule="auto"/>
        <w:ind w:firstLine="480"/>
        <w:jc w:val="center"/>
        <w:rPr>
          <w:rFonts w:hint="eastAsia" w:ascii="宋体" w:hAnsi="宋体" w:cs="宋体"/>
          <w:color w:val="auto"/>
          <w:kern w:val="0"/>
          <w:szCs w:val="21"/>
          <w:highlight w:val="none"/>
          <w:lang w:val="zh-CN"/>
        </w:rPr>
      </w:pPr>
      <w:r>
        <w:rPr>
          <w:rFonts w:hint="eastAsia" w:ascii="宋体" w:hAnsi="宋体" w:cs="宋体"/>
          <w:color w:val="auto"/>
          <w:kern w:val="0"/>
          <w:sz w:val="24"/>
          <w:highlight w:val="none"/>
          <w:lang w:val="zh-CN"/>
        </w:rPr>
        <w:t xml:space="preserve">            </w:t>
      </w:r>
      <w:r>
        <w:rPr>
          <w:rFonts w:hint="eastAsia" w:ascii="宋体" w:hAnsi="宋体" w:cs="宋体"/>
          <w:color w:val="auto"/>
          <w:kern w:val="0"/>
          <w:szCs w:val="21"/>
          <w:highlight w:val="none"/>
          <w:lang w:val="zh-CN"/>
        </w:rPr>
        <w:t xml:space="preserve">   投标人名称(电子签章)：                              </w:t>
      </w:r>
    </w:p>
    <w:p w14:paraId="4C00C628">
      <w:pPr>
        <w:wordWrap w:val="0"/>
        <w:spacing w:line="360" w:lineRule="auto"/>
        <w:jc w:val="center"/>
        <w:rPr>
          <w:rFonts w:hint="eastAsia" w:ascii="宋体" w:hAnsi="宋体" w:cs="宋体"/>
          <w:b/>
          <w:color w:val="auto"/>
          <w:szCs w:val="21"/>
          <w:highlight w:val="none"/>
        </w:rPr>
      </w:pPr>
      <w:r>
        <w:rPr>
          <w:rFonts w:hint="eastAsia" w:ascii="宋体" w:hAnsi="宋体" w:cs="宋体"/>
          <w:color w:val="auto"/>
          <w:kern w:val="0"/>
          <w:szCs w:val="21"/>
          <w:highlight w:val="none"/>
          <w:lang w:val="zh-CN"/>
        </w:rPr>
        <w:t xml:space="preserve">                   日期：  年  月</w:t>
      </w:r>
    </w:p>
    <w:p w14:paraId="2AF62A2B">
      <w:pPr>
        <w:wordWrap w:val="0"/>
        <w:spacing w:line="360" w:lineRule="auto"/>
        <w:ind w:firstLine="602"/>
        <w:jc w:val="center"/>
        <w:rPr>
          <w:rFonts w:hint="eastAsia" w:ascii="宋体" w:hAnsi="宋体" w:cs="宋体"/>
          <w:b/>
          <w:color w:val="auto"/>
          <w:sz w:val="30"/>
          <w:szCs w:val="30"/>
          <w:highlight w:val="none"/>
        </w:rPr>
      </w:pPr>
    </w:p>
    <w:p w14:paraId="77018F53">
      <w:pPr>
        <w:wordWrap w:val="0"/>
        <w:snapToGrid w:val="0"/>
        <w:spacing w:line="360" w:lineRule="auto"/>
        <w:ind w:right="480" w:firstLine="602"/>
        <w:jc w:val="center"/>
        <w:rPr>
          <w:rFonts w:hint="eastAsia" w:ascii="宋体" w:hAnsi="宋体" w:cs="宋体"/>
          <w:b/>
          <w:color w:val="auto"/>
          <w:kern w:val="0"/>
          <w:sz w:val="32"/>
          <w:szCs w:val="32"/>
          <w:highlight w:val="none"/>
        </w:rPr>
      </w:pPr>
      <w:r>
        <w:rPr>
          <w:rFonts w:hint="eastAsia" w:ascii="宋体" w:hAnsi="宋体" w:cs="宋体"/>
          <w:b/>
          <w:color w:val="auto"/>
          <w:sz w:val="30"/>
          <w:szCs w:val="30"/>
          <w:highlight w:val="none"/>
        </w:rPr>
        <w:t>二、</w:t>
      </w:r>
      <w:r>
        <w:rPr>
          <w:rFonts w:hint="eastAsia" w:ascii="宋体" w:hAnsi="宋体" w:cs="宋体"/>
          <w:b/>
          <w:color w:val="auto"/>
          <w:kern w:val="0"/>
          <w:sz w:val="32"/>
          <w:szCs w:val="32"/>
          <w:highlight w:val="none"/>
        </w:rPr>
        <w:t>符合参与政府采购活动的资格条件依法缴纳税收、社会保障资金等方面的材料</w:t>
      </w:r>
    </w:p>
    <w:p w14:paraId="23818840">
      <w:pPr>
        <w:wordWrap w:val="0"/>
        <w:snapToGrid w:val="0"/>
        <w:spacing w:line="360" w:lineRule="auto"/>
        <w:ind w:firstLine="480" w:firstLineChars="200"/>
        <w:rPr>
          <w:rFonts w:hint="eastAsia" w:ascii="宋体" w:hAnsi="宋体" w:cs="宋体"/>
          <w:color w:val="auto"/>
          <w:sz w:val="24"/>
          <w:highlight w:val="none"/>
        </w:rPr>
      </w:pPr>
    </w:p>
    <w:p w14:paraId="35C37FEC">
      <w:pPr>
        <w:wordWrap w:val="0"/>
        <w:snapToGrid w:val="0"/>
        <w:spacing w:line="360" w:lineRule="auto"/>
        <w:ind w:firstLine="480"/>
        <w:rPr>
          <w:rFonts w:hint="eastAsia" w:ascii="宋体" w:hAnsi="宋体" w:cs="宋体"/>
          <w:color w:val="auto"/>
          <w:kern w:val="0"/>
          <w:szCs w:val="21"/>
          <w:highlight w:val="none"/>
          <w:lang w:val="zh-CN"/>
        </w:rPr>
      </w:pPr>
      <w:r>
        <w:rPr>
          <w:rFonts w:hint="eastAsia" w:ascii="宋体" w:hAnsi="宋体" w:cs="宋体"/>
          <w:color w:val="auto"/>
          <w:kern w:val="0"/>
          <w:sz w:val="24"/>
          <w:highlight w:val="none"/>
          <w:lang w:val="zh-CN"/>
        </w:rPr>
        <w:t xml:space="preserve">                                </w:t>
      </w:r>
      <w:r>
        <w:rPr>
          <w:rFonts w:hint="eastAsia" w:ascii="宋体" w:hAnsi="宋体" w:cs="宋体"/>
          <w:color w:val="auto"/>
          <w:kern w:val="0"/>
          <w:szCs w:val="21"/>
          <w:highlight w:val="none"/>
          <w:lang w:val="zh-CN"/>
        </w:rPr>
        <w:t xml:space="preserve">          </w:t>
      </w:r>
    </w:p>
    <w:p w14:paraId="4334D04B">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 xml:space="preserve"> 投标人名称(电子签章)：</w:t>
      </w:r>
    </w:p>
    <w:p w14:paraId="52565E67">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3FF36E26">
      <w:pPr>
        <w:wordWrap w:val="0"/>
        <w:spacing w:line="360" w:lineRule="auto"/>
        <w:ind w:firstLine="602"/>
        <w:jc w:val="center"/>
        <w:rPr>
          <w:rFonts w:hint="eastAsia" w:ascii="宋体" w:hAnsi="宋体" w:cs="宋体"/>
          <w:b/>
          <w:color w:val="auto"/>
          <w:sz w:val="30"/>
          <w:szCs w:val="30"/>
          <w:highlight w:val="none"/>
        </w:rPr>
      </w:pPr>
    </w:p>
    <w:p w14:paraId="4FB85A11">
      <w:pPr>
        <w:wordWrap w:val="0"/>
        <w:spacing w:line="360" w:lineRule="auto"/>
        <w:ind w:firstLine="602"/>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三、财务状况报告方面的材料</w:t>
      </w:r>
    </w:p>
    <w:p w14:paraId="37CD8230">
      <w:pPr>
        <w:wordWrap w:val="0"/>
        <w:snapToGrid w:val="0"/>
        <w:spacing w:line="360" w:lineRule="auto"/>
        <w:ind w:firstLine="480" w:firstLineChars="200"/>
        <w:rPr>
          <w:rFonts w:hint="eastAsia" w:ascii="宋体" w:hAnsi="宋体" w:cs="宋体"/>
          <w:color w:val="auto"/>
          <w:sz w:val="24"/>
          <w:highlight w:val="none"/>
        </w:rPr>
      </w:pPr>
    </w:p>
    <w:p w14:paraId="7624CD2A">
      <w:pPr>
        <w:wordWrap w:val="0"/>
        <w:snapToGrid w:val="0"/>
        <w:spacing w:line="360" w:lineRule="auto"/>
        <w:ind w:firstLine="480"/>
        <w:rPr>
          <w:rFonts w:hint="eastAsia" w:ascii="宋体" w:hAnsi="宋体" w:cs="宋体"/>
          <w:color w:val="auto"/>
          <w:kern w:val="0"/>
          <w:szCs w:val="21"/>
          <w:highlight w:val="none"/>
          <w:lang w:val="zh-CN"/>
        </w:rPr>
      </w:pPr>
      <w:r>
        <w:rPr>
          <w:rFonts w:hint="eastAsia" w:ascii="宋体" w:hAnsi="宋体" w:cs="宋体"/>
          <w:color w:val="auto"/>
          <w:kern w:val="0"/>
          <w:sz w:val="24"/>
          <w:highlight w:val="none"/>
          <w:lang w:val="zh-CN"/>
        </w:rPr>
        <w:t xml:space="preserve">                                       </w:t>
      </w:r>
      <w:r>
        <w:rPr>
          <w:rFonts w:hint="eastAsia" w:ascii="宋体" w:hAnsi="宋体" w:cs="宋体"/>
          <w:color w:val="auto"/>
          <w:kern w:val="0"/>
          <w:szCs w:val="21"/>
          <w:highlight w:val="none"/>
          <w:lang w:val="zh-CN"/>
        </w:rPr>
        <w:t xml:space="preserve">   </w:t>
      </w:r>
    </w:p>
    <w:p w14:paraId="069FF752">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 xml:space="preserve"> 投标人名称(电子签章)：</w:t>
      </w:r>
    </w:p>
    <w:p w14:paraId="604EDDBE">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554AA4E2">
      <w:pPr>
        <w:wordWrap w:val="0"/>
        <w:snapToGrid w:val="0"/>
        <w:spacing w:line="360" w:lineRule="auto"/>
        <w:ind w:firstLine="5160" w:firstLineChars="2150"/>
        <w:rPr>
          <w:rFonts w:hint="eastAsia" w:ascii="宋体" w:hAnsi="宋体" w:cs="宋体"/>
          <w:color w:val="auto"/>
          <w:kern w:val="0"/>
          <w:sz w:val="24"/>
          <w:highlight w:val="none"/>
          <w:lang w:val="zh-CN"/>
        </w:rPr>
      </w:pPr>
    </w:p>
    <w:p w14:paraId="47E02B36">
      <w:pPr>
        <w:wordWrap w:val="0"/>
        <w:snapToGrid w:val="0"/>
        <w:spacing w:line="360" w:lineRule="auto"/>
        <w:ind w:right="480" w:firstLine="643"/>
        <w:jc w:val="center"/>
        <w:rPr>
          <w:rFonts w:hint="eastAsia" w:ascii="宋体" w:hAnsi="宋体" w:cs="宋体"/>
          <w:b/>
          <w:color w:val="auto"/>
          <w:kern w:val="0"/>
          <w:sz w:val="32"/>
          <w:szCs w:val="32"/>
          <w:highlight w:val="none"/>
          <w:lang w:val="zh-CN"/>
        </w:rPr>
      </w:pPr>
    </w:p>
    <w:p w14:paraId="496A4F94">
      <w:pPr>
        <w:wordWrap w:val="0"/>
        <w:snapToGrid w:val="0"/>
        <w:spacing w:line="360" w:lineRule="auto"/>
        <w:ind w:right="480" w:firstLine="643"/>
        <w:jc w:val="center"/>
        <w:rPr>
          <w:rFonts w:hint="eastAsia" w:ascii="宋体" w:hAnsi="宋体" w:cs="宋体"/>
          <w:b/>
          <w:color w:val="auto"/>
          <w:sz w:val="28"/>
          <w:szCs w:val="28"/>
          <w:highlight w:val="none"/>
        </w:rPr>
      </w:pPr>
      <w:r>
        <w:rPr>
          <w:rFonts w:hint="eastAsia" w:ascii="宋体" w:hAnsi="宋体" w:cs="宋体"/>
          <w:b/>
          <w:color w:val="auto"/>
          <w:kern w:val="0"/>
          <w:sz w:val="32"/>
          <w:szCs w:val="32"/>
          <w:highlight w:val="none"/>
        </w:rPr>
        <w:br w:type="page"/>
      </w:r>
    </w:p>
    <w:p w14:paraId="53B1CD09">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四、投标人直接控股股东信息表</w:t>
      </w:r>
    </w:p>
    <w:tbl>
      <w:tblPr>
        <w:tblStyle w:val="22"/>
        <w:tblW w:w="9476" w:type="dxa"/>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2AF83A3F">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3A01F5">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EF70CF">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8BA1966">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60FB4D0">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FCFFA3">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320AEE11">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037D11">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3EDFD7">
            <w:pPr>
              <w:wordWrap w:val="0"/>
              <w:spacing w:line="360" w:lineRule="auto"/>
              <w:jc w:val="center"/>
              <w:rPr>
                <w:rFonts w:hint="eastAsia"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735968">
            <w:pPr>
              <w:wordWrap w:val="0"/>
              <w:spacing w:line="360" w:lineRule="auto"/>
              <w:jc w:val="center"/>
              <w:rPr>
                <w:rFonts w:hint="eastAsia"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A35E03">
            <w:pPr>
              <w:wordWrap w:val="0"/>
              <w:spacing w:line="360" w:lineRule="auto"/>
              <w:jc w:val="center"/>
              <w:rPr>
                <w:rFonts w:hint="eastAsia"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CA84E9">
            <w:pPr>
              <w:wordWrap w:val="0"/>
              <w:spacing w:line="360" w:lineRule="auto"/>
              <w:jc w:val="center"/>
              <w:rPr>
                <w:rFonts w:hint="eastAsia" w:ascii="宋体" w:hAnsi="宋体" w:cs="宋体"/>
                <w:color w:val="auto"/>
                <w:kern w:val="0"/>
                <w:szCs w:val="21"/>
                <w:highlight w:val="none"/>
              </w:rPr>
            </w:pPr>
          </w:p>
        </w:tc>
      </w:tr>
      <w:tr w14:paraId="3EAD54E1">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D244C7">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D7EC10">
            <w:pPr>
              <w:wordWrap w:val="0"/>
              <w:spacing w:line="360" w:lineRule="auto"/>
              <w:jc w:val="center"/>
              <w:rPr>
                <w:rFonts w:hint="eastAsia"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D917AA">
            <w:pPr>
              <w:wordWrap w:val="0"/>
              <w:spacing w:line="360" w:lineRule="auto"/>
              <w:jc w:val="center"/>
              <w:rPr>
                <w:rFonts w:hint="eastAsia"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39E8DE">
            <w:pPr>
              <w:wordWrap w:val="0"/>
              <w:spacing w:line="360" w:lineRule="auto"/>
              <w:jc w:val="center"/>
              <w:rPr>
                <w:rFonts w:hint="eastAsia"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5E4F42">
            <w:pPr>
              <w:wordWrap w:val="0"/>
              <w:spacing w:line="360" w:lineRule="auto"/>
              <w:jc w:val="center"/>
              <w:rPr>
                <w:rFonts w:hint="eastAsia" w:ascii="宋体" w:hAnsi="宋体" w:cs="宋体"/>
                <w:color w:val="auto"/>
                <w:kern w:val="0"/>
                <w:szCs w:val="21"/>
                <w:highlight w:val="none"/>
              </w:rPr>
            </w:pPr>
          </w:p>
        </w:tc>
      </w:tr>
      <w:tr w14:paraId="3BB422F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992B4E">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7E1A65">
            <w:pPr>
              <w:wordWrap w:val="0"/>
              <w:spacing w:line="360" w:lineRule="auto"/>
              <w:jc w:val="center"/>
              <w:rPr>
                <w:rFonts w:hint="eastAsia"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E5A2EB">
            <w:pPr>
              <w:wordWrap w:val="0"/>
              <w:spacing w:line="360" w:lineRule="auto"/>
              <w:jc w:val="center"/>
              <w:rPr>
                <w:rFonts w:hint="eastAsia"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63A608">
            <w:pPr>
              <w:wordWrap w:val="0"/>
              <w:spacing w:line="360" w:lineRule="auto"/>
              <w:jc w:val="center"/>
              <w:rPr>
                <w:rFonts w:hint="eastAsia"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9D4402">
            <w:pPr>
              <w:wordWrap w:val="0"/>
              <w:spacing w:line="360" w:lineRule="auto"/>
              <w:jc w:val="center"/>
              <w:rPr>
                <w:rFonts w:hint="eastAsia" w:ascii="宋体" w:hAnsi="宋体" w:cs="宋体"/>
                <w:color w:val="auto"/>
                <w:kern w:val="0"/>
                <w:szCs w:val="21"/>
                <w:highlight w:val="none"/>
              </w:rPr>
            </w:pPr>
          </w:p>
        </w:tc>
      </w:tr>
      <w:tr w14:paraId="08FCF64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81B045">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BAA33B">
            <w:pPr>
              <w:wordWrap w:val="0"/>
              <w:spacing w:line="360" w:lineRule="auto"/>
              <w:jc w:val="center"/>
              <w:rPr>
                <w:rFonts w:hint="eastAsia" w:ascii="宋体" w:hAnsi="宋体" w:cs="宋体"/>
                <w:color w:val="auto"/>
                <w:kern w:val="0"/>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E842ED">
            <w:pPr>
              <w:wordWrap w:val="0"/>
              <w:spacing w:line="360" w:lineRule="auto"/>
              <w:jc w:val="center"/>
              <w:rPr>
                <w:rFonts w:hint="eastAsia" w:ascii="宋体" w:hAnsi="宋体" w:cs="宋体"/>
                <w:color w:val="auto"/>
                <w:kern w:val="0"/>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F20709">
            <w:pPr>
              <w:wordWrap w:val="0"/>
              <w:spacing w:line="360" w:lineRule="auto"/>
              <w:jc w:val="center"/>
              <w:rPr>
                <w:rFonts w:hint="eastAsia" w:ascii="宋体" w:hAnsi="宋体" w:cs="宋体"/>
                <w:color w:val="auto"/>
                <w:kern w:val="0"/>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28ACA2">
            <w:pPr>
              <w:wordWrap w:val="0"/>
              <w:spacing w:line="360" w:lineRule="auto"/>
              <w:jc w:val="center"/>
              <w:rPr>
                <w:rFonts w:hint="eastAsia" w:ascii="宋体" w:hAnsi="宋体" w:cs="宋体"/>
                <w:color w:val="auto"/>
                <w:kern w:val="0"/>
                <w:szCs w:val="21"/>
                <w:highlight w:val="none"/>
              </w:rPr>
            </w:pPr>
          </w:p>
        </w:tc>
      </w:tr>
    </w:tbl>
    <w:p w14:paraId="707DEE2C">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4593F9E6">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C7E8D51">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0AEAD1CB">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275C1EAD">
      <w:pPr>
        <w:wordWrap w:val="0"/>
        <w:snapToGrid w:val="0"/>
        <w:spacing w:line="360" w:lineRule="auto"/>
        <w:jc w:val="left"/>
        <w:rPr>
          <w:rFonts w:hint="eastAsia" w:ascii="宋体" w:hAnsi="宋体" w:cs="宋体"/>
          <w:color w:val="auto"/>
          <w:szCs w:val="21"/>
          <w:highlight w:val="none"/>
        </w:rPr>
      </w:pPr>
    </w:p>
    <w:p w14:paraId="162AF4E5">
      <w:pPr>
        <w:wordWrap w:val="0"/>
        <w:snapToGrid w:val="0"/>
        <w:spacing w:line="360" w:lineRule="auto"/>
        <w:jc w:val="left"/>
        <w:rPr>
          <w:rFonts w:hint="eastAsia" w:ascii="宋体" w:hAnsi="宋体" w:cs="宋体"/>
          <w:color w:val="auto"/>
          <w:szCs w:val="21"/>
          <w:highlight w:val="none"/>
        </w:rPr>
      </w:pPr>
    </w:p>
    <w:p w14:paraId="79EFDA5D">
      <w:pPr>
        <w:wordWrap w:val="0"/>
        <w:snapToGrid w:val="0"/>
        <w:spacing w:line="360" w:lineRule="auto"/>
        <w:jc w:val="left"/>
        <w:rPr>
          <w:rFonts w:hint="eastAsia" w:ascii="宋体" w:hAnsi="宋体" w:cs="宋体"/>
          <w:color w:val="auto"/>
          <w:szCs w:val="21"/>
          <w:highlight w:val="none"/>
        </w:rPr>
      </w:pPr>
    </w:p>
    <w:p w14:paraId="577D4BBE">
      <w:pPr>
        <w:wordWrap w:val="0"/>
        <w:snapToGrid w:val="0"/>
        <w:spacing w:line="360" w:lineRule="auto"/>
        <w:jc w:val="left"/>
        <w:rPr>
          <w:rFonts w:hint="eastAsia" w:ascii="宋体" w:hAnsi="宋体" w:cs="宋体"/>
          <w:color w:val="auto"/>
          <w:szCs w:val="21"/>
          <w:highlight w:val="none"/>
        </w:rPr>
      </w:pPr>
    </w:p>
    <w:p w14:paraId="3B86FC82">
      <w:pPr>
        <w:wordWrap w:val="0"/>
        <w:snapToGrid w:val="0"/>
        <w:spacing w:line="360" w:lineRule="auto"/>
        <w:jc w:val="left"/>
        <w:rPr>
          <w:rFonts w:hint="eastAsia" w:ascii="宋体" w:hAnsi="宋体" w:cs="宋体"/>
          <w:color w:val="auto"/>
          <w:szCs w:val="21"/>
          <w:highlight w:val="none"/>
        </w:rPr>
      </w:pPr>
    </w:p>
    <w:p w14:paraId="242041F8">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356DB086">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4F60ACE1">
      <w:pPr>
        <w:wordWrap w:val="0"/>
        <w:snapToGrid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br w:type="page"/>
      </w:r>
    </w:p>
    <w:p w14:paraId="7CC4E533">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五、投标人直接管理关系信息表</w:t>
      </w:r>
    </w:p>
    <w:tbl>
      <w:tblPr>
        <w:tblStyle w:val="22"/>
        <w:tblW w:w="9652" w:type="dxa"/>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15F9BCE2">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5D68FB4">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43553D3">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5DFD4C8">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6A05AAA">
            <w:pPr>
              <w:wordWrap w:val="0"/>
              <w:spacing w:line="360" w:lineRule="auto"/>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5E1F58C0">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BABAB0">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E317AF">
            <w:pPr>
              <w:wordWrap w:val="0"/>
              <w:spacing w:line="360" w:lineRule="auto"/>
              <w:jc w:val="center"/>
              <w:rPr>
                <w:rFonts w:hint="eastAsia"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3DD773">
            <w:pPr>
              <w:wordWrap w:val="0"/>
              <w:spacing w:line="360" w:lineRule="auto"/>
              <w:jc w:val="center"/>
              <w:rPr>
                <w:rFonts w:hint="eastAsia"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4BA8FB">
            <w:pPr>
              <w:wordWrap w:val="0"/>
              <w:spacing w:line="360" w:lineRule="auto"/>
              <w:jc w:val="center"/>
              <w:rPr>
                <w:rFonts w:hint="eastAsia" w:ascii="宋体" w:hAnsi="宋体" w:cs="宋体"/>
                <w:color w:val="auto"/>
                <w:kern w:val="0"/>
                <w:szCs w:val="21"/>
                <w:highlight w:val="none"/>
              </w:rPr>
            </w:pPr>
          </w:p>
        </w:tc>
      </w:tr>
      <w:tr w14:paraId="588996F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B71DCB">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F4F785">
            <w:pPr>
              <w:wordWrap w:val="0"/>
              <w:spacing w:line="360" w:lineRule="auto"/>
              <w:jc w:val="center"/>
              <w:rPr>
                <w:rFonts w:hint="eastAsia"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76F3DC">
            <w:pPr>
              <w:wordWrap w:val="0"/>
              <w:spacing w:line="360" w:lineRule="auto"/>
              <w:jc w:val="center"/>
              <w:rPr>
                <w:rFonts w:hint="eastAsia"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14048A">
            <w:pPr>
              <w:wordWrap w:val="0"/>
              <w:spacing w:line="360" w:lineRule="auto"/>
              <w:jc w:val="center"/>
              <w:rPr>
                <w:rFonts w:hint="eastAsia" w:ascii="宋体" w:hAnsi="宋体" w:cs="宋体"/>
                <w:color w:val="auto"/>
                <w:kern w:val="0"/>
                <w:szCs w:val="21"/>
                <w:highlight w:val="none"/>
              </w:rPr>
            </w:pPr>
          </w:p>
        </w:tc>
      </w:tr>
      <w:tr w14:paraId="26E4123E">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A963DF">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01C721">
            <w:pPr>
              <w:wordWrap w:val="0"/>
              <w:spacing w:line="360" w:lineRule="auto"/>
              <w:jc w:val="center"/>
              <w:rPr>
                <w:rFonts w:hint="eastAsia"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C50221">
            <w:pPr>
              <w:wordWrap w:val="0"/>
              <w:spacing w:line="360" w:lineRule="auto"/>
              <w:jc w:val="center"/>
              <w:rPr>
                <w:rFonts w:hint="eastAsia"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C3B7C5">
            <w:pPr>
              <w:wordWrap w:val="0"/>
              <w:spacing w:line="360" w:lineRule="auto"/>
              <w:jc w:val="center"/>
              <w:rPr>
                <w:rFonts w:hint="eastAsia" w:ascii="宋体" w:hAnsi="宋体" w:cs="宋体"/>
                <w:color w:val="auto"/>
                <w:kern w:val="0"/>
                <w:szCs w:val="21"/>
                <w:highlight w:val="none"/>
              </w:rPr>
            </w:pPr>
          </w:p>
        </w:tc>
      </w:tr>
      <w:tr w14:paraId="1F238BF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1DF46F">
            <w:pPr>
              <w:wordWrap w:val="0"/>
              <w:spacing w:line="360"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563B18">
            <w:pPr>
              <w:wordWrap w:val="0"/>
              <w:spacing w:line="360" w:lineRule="auto"/>
              <w:jc w:val="center"/>
              <w:rPr>
                <w:rFonts w:hint="eastAsia" w:ascii="宋体" w:hAnsi="宋体" w:cs="宋体"/>
                <w:color w:val="auto"/>
                <w:kern w:val="0"/>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DE4444">
            <w:pPr>
              <w:wordWrap w:val="0"/>
              <w:spacing w:line="360" w:lineRule="auto"/>
              <w:jc w:val="center"/>
              <w:rPr>
                <w:rFonts w:hint="eastAsia" w:ascii="宋体" w:hAnsi="宋体" w:cs="宋体"/>
                <w:color w:val="auto"/>
                <w:kern w:val="0"/>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F63A25">
            <w:pPr>
              <w:wordWrap w:val="0"/>
              <w:spacing w:line="360" w:lineRule="auto"/>
              <w:jc w:val="center"/>
              <w:rPr>
                <w:rFonts w:hint="eastAsia" w:ascii="宋体" w:hAnsi="宋体" w:cs="宋体"/>
                <w:color w:val="auto"/>
                <w:kern w:val="0"/>
                <w:szCs w:val="21"/>
                <w:highlight w:val="none"/>
              </w:rPr>
            </w:pPr>
          </w:p>
        </w:tc>
      </w:tr>
    </w:tbl>
    <w:p w14:paraId="32362845">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2A527461">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62300DD1">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pacing w:val="-6"/>
          <w:szCs w:val="21"/>
          <w:highlight w:val="none"/>
        </w:rPr>
        <w:t>本表所指的管理关系仅限于直接管理关系，不包括间接的管理关系。</w:t>
      </w:r>
    </w:p>
    <w:p w14:paraId="3AEF7D49">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6332C01">
      <w:pPr>
        <w:wordWrap w:val="0"/>
        <w:snapToGrid w:val="0"/>
        <w:spacing w:line="360" w:lineRule="auto"/>
        <w:jc w:val="left"/>
        <w:rPr>
          <w:rFonts w:hint="eastAsia" w:ascii="宋体" w:hAnsi="宋体" w:cs="宋体"/>
          <w:color w:val="auto"/>
          <w:szCs w:val="21"/>
          <w:highlight w:val="none"/>
        </w:rPr>
      </w:pPr>
    </w:p>
    <w:p w14:paraId="681C5652">
      <w:pPr>
        <w:wordWrap w:val="0"/>
        <w:snapToGrid w:val="0"/>
        <w:spacing w:line="360" w:lineRule="auto"/>
        <w:jc w:val="left"/>
        <w:rPr>
          <w:rFonts w:hint="eastAsia" w:ascii="宋体" w:hAnsi="宋体" w:cs="宋体"/>
          <w:color w:val="auto"/>
          <w:szCs w:val="21"/>
          <w:highlight w:val="none"/>
        </w:rPr>
      </w:pPr>
    </w:p>
    <w:p w14:paraId="6FE0C3A5">
      <w:pPr>
        <w:wordWrap w:val="0"/>
        <w:snapToGrid w:val="0"/>
        <w:spacing w:line="360" w:lineRule="auto"/>
        <w:jc w:val="left"/>
        <w:rPr>
          <w:rFonts w:hint="eastAsia" w:ascii="宋体" w:hAnsi="宋体" w:cs="宋体"/>
          <w:color w:val="auto"/>
          <w:szCs w:val="21"/>
          <w:highlight w:val="none"/>
        </w:rPr>
      </w:pPr>
    </w:p>
    <w:p w14:paraId="65000F88">
      <w:pPr>
        <w:wordWrap w:val="0"/>
        <w:snapToGrid w:val="0"/>
        <w:spacing w:line="360" w:lineRule="auto"/>
        <w:jc w:val="left"/>
        <w:rPr>
          <w:rFonts w:hint="eastAsia" w:ascii="宋体" w:hAnsi="宋体" w:cs="宋体"/>
          <w:color w:val="auto"/>
          <w:szCs w:val="21"/>
          <w:highlight w:val="none"/>
        </w:rPr>
      </w:pPr>
    </w:p>
    <w:p w14:paraId="3F626F33">
      <w:pPr>
        <w:wordWrap w:val="0"/>
        <w:snapToGrid w:val="0"/>
        <w:spacing w:line="360" w:lineRule="auto"/>
        <w:jc w:val="left"/>
        <w:rPr>
          <w:rFonts w:hint="eastAsia" w:ascii="宋体" w:hAnsi="宋体" w:cs="宋体"/>
          <w:color w:val="auto"/>
          <w:szCs w:val="21"/>
          <w:highlight w:val="none"/>
        </w:rPr>
      </w:pPr>
    </w:p>
    <w:p w14:paraId="59D60AAD">
      <w:pPr>
        <w:wordWrap w:val="0"/>
        <w:snapToGrid w:val="0"/>
        <w:spacing w:line="360" w:lineRule="auto"/>
        <w:jc w:val="left"/>
        <w:rPr>
          <w:rFonts w:hint="eastAsia" w:ascii="宋体" w:hAnsi="宋体" w:cs="宋体"/>
          <w:color w:val="auto"/>
          <w:szCs w:val="21"/>
          <w:highlight w:val="none"/>
        </w:rPr>
      </w:pPr>
    </w:p>
    <w:p w14:paraId="6B006ABE">
      <w:pPr>
        <w:wordWrap w:val="0"/>
        <w:snapToGrid w:val="0"/>
        <w:spacing w:line="360" w:lineRule="auto"/>
        <w:jc w:val="left"/>
        <w:rPr>
          <w:rFonts w:hint="eastAsia" w:ascii="宋体" w:hAnsi="宋体" w:cs="宋体"/>
          <w:color w:val="auto"/>
          <w:szCs w:val="21"/>
          <w:highlight w:val="none"/>
        </w:rPr>
      </w:pPr>
    </w:p>
    <w:p w14:paraId="0132AD49">
      <w:pPr>
        <w:wordWrap w:val="0"/>
        <w:snapToGrid w:val="0"/>
        <w:spacing w:line="360" w:lineRule="auto"/>
        <w:jc w:val="left"/>
        <w:rPr>
          <w:rFonts w:hint="eastAsia" w:ascii="宋体" w:hAnsi="宋体" w:cs="宋体"/>
          <w:color w:val="auto"/>
          <w:szCs w:val="21"/>
          <w:highlight w:val="none"/>
        </w:rPr>
      </w:pPr>
    </w:p>
    <w:p w14:paraId="7E319607">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329FF370">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3ABC45CF">
      <w:pPr>
        <w:wordWrap w:val="0"/>
        <w:snapToGrid w:val="0"/>
        <w:spacing w:line="360" w:lineRule="auto"/>
        <w:jc w:val="left"/>
        <w:rPr>
          <w:rFonts w:hint="eastAsia" w:ascii="宋体" w:hAnsi="宋体" w:cs="宋体"/>
          <w:color w:val="auto"/>
          <w:szCs w:val="21"/>
          <w:highlight w:val="none"/>
        </w:rPr>
      </w:pPr>
    </w:p>
    <w:p w14:paraId="6FA41350">
      <w:pPr>
        <w:wordWrap w:val="0"/>
        <w:snapToGrid w:val="0"/>
        <w:spacing w:line="360" w:lineRule="auto"/>
        <w:ind w:firstLine="482"/>
        <w:jc w:val="left"/>
        <w:rPr>
          <w:rFonts w:hint="eastAsia" w:ascii="宋体" w:hAnsi="宋体" w:cs="宋体"/>
          <w:b/>
          <w:color w:val="auto"/>
          <w:sz w:val="24"/>
          <w:szCs w:val="20"/>
          <w:highlight w:val="none"/>
        </w:rPr>
      </w:pPr>
    </w:p>
    <w:p w14:paraId="01EFAB52">
      <w:pPr>
        <w:wordWrap w:val="0"/>
        <w:snapToGrid w:val="0"/>
        <w:spacing w:line="360" w:lineRule="auto"/>
        <w:ind w:firstLine="482"/>
        <w:jc w:val="left"/>
        <w:rPr>
          <w:rFonts w:hint="eastAsia" w:ascii="宋体" w:hAnsi="宋体" w:cs="宋体"/>
          <w:b/>
          <w:color w:val="auto"/>
          <w:sz w:val="24"/>
          <w:highlight w:val="none"/>
        </w:rPr>
      </w:pPr>
    </w:p>
    <w:p w14:paraId="6CEB886D">
      <w:pPr>
        <w:wordWrap w:val="0"/>
        <w:snapToGrid w:val="0"/>
        <w:spacing w:line="360" w:lineRule="auto"/>
        <w:ind w:firstLine="482"/>
        <w:jc w:val="left"/>
        <w:rPr>
          <w:rFonts w:hint="eastAsia" w:ascii="宋体" w:hAnsi="宋体" w:cs="宋体"/>
          <w:b/>
          <w:color w:val="auto"/>
          <w:sz w:val="24"/>
          <w:szCs w:val="20"/>
          <w:highlight w:val="none"/>
        </w:rPr>
      </w:pPr>
      <w:r>
        <w:rPr>
          <w:rFonts w:hint="eastAsia" w:ascii="宋体" w:hAnsi="宋体" w:cs="宋体"/>
          <w:b/>
          <w:color w:val="auto"/>
          <w:sz w:val="24"/>
          <w:szCs w:val="20"/>
          <w:highlight w:val="none"/>
        </w:rPr>
        <w:t xml:space="preserve"> </w:t>
      </w:r>
    </w:p>
    <w:p w14:paraId="384686FF">
      <w:pPr>
        <w:wordWrap w:val="0"/>
        <w:snapToGrid w:val="0"/>
        <w:spacing w:line="360" w:lineRule="auto"/>
        <w:ind w:firstLine="482"/>
        <w:jc w:val="left"/>
        <w:rPr>
          <w:rFonts w:hint="eastAsia" w:ascii="宋体" w:hAnsi="宋体" w:cs="宋体"/>
          <w:b/>
          <w:color w:val="auto"/>
          <w:sz w:val="24"/>
          <w:szCs w:val="20"/>
          <w:highlight w:val="none"/>
        </w:rPr>
      </w:pPr>
    </w:p>
    <w:p w14:paraId="7F357CD8">
      <w:pPr>
        <w:wordWrap w:val="0"/>
        <w:snapToGrid w:val="0"/>
        <w:spacing w:line="360" w:lineRule="auto"/>
        <w:jc w:val="left"/>
        <w:rPr>
          <w:rFonts w:hint="eastAsia" w:ascii="宋体" w:hAnsi="宋体" w:cs="宋体"/>
          <w:color w:val="auto"/>
          <w:highlight w:val="none"/>
        </w:rPr>
      </w:pPr>
    </w:p>
    <w:p w14:paraId="48CCC4FF">
      <w:pPr>
        <w:ind w:firstLine="643"/>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629EFF8E">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六、投标资格声明函</w:t>
      </w:r>
    </w:p>
    <w:p w14:paraId="14C9220C">
      <w:pPr>
        <w:tabs>
          <w:tab w:val="left" w:pos="7200"/>
        </w:tabs>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致：</w:t>
      </w:r>
      <w:bookmarkStart w:id="282" w:name="PO_3000001866_PM031_5"/>
      <w:r>
        <w:rPr>
          <w:rFonts w:hint="eastAsia" w:ascii="宋体" w:hAnsi="宋体" w:cs="宋体"/>
          <w:color w:val="auto"/>
          <w:szCs w:val="21"/>
          <w:highlight w:val="none"/>
          <w:u w:val="single"/>
        </w:rPr>
        <w:t>广西邕政采购代理有限公司</w:t>
      </w:r>
      <w:bookmarkEnd w:id="282"/>
      <w:r>
        <w:rPr>
          <w:rFonts w:hint="eastAsia" w:ascii="宋体" w:hAnsi="宋体" w:cs="宋体"/>
          <w:color w:val="auto"/>
          <w:szCs w:val="21"/>
          <w:highlight w:val="none"/>
          <w:u w:val="single"/>
        </w:rPr>
        <w:t xml:space="preserve"> </w:t>
      </w:r>
    </w:p>
    <w:p w14:paraId="2A2204B8">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我方愿意参加贵方组织的</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）项目的投标，为便于贵方公正、择优地确定中标供应商，我方就本次投标有关事项郑重声明如下：</w:t>
      </w:r>
    </w:p>
    <w:p w14:paraId="6A13B823">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6AC52390">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884FC02">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3.经查询，在“信用中国”和“中国政府采购网”网站我方未被列入失信被执行人、重大税收违法失信主体、政府采购严重违法失信行为记录名单。</w:t>
      </w:r>
    </w:p>
    <w:p w14:paraId="3164581E">
      <w:pPr>
        <w:wordWrap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4.以上事项如有虚假或隐瞒，我方愿意承担一切后果，并不再寻求任何旨在减轻或免除法律责任的辩解。 </w:t>
      </w:r>
    </w:p>
    <w:p w14:paraId="22655087">
      <w:pPr>
        <w:tabs>
          <w:tab w:val="left" w:pos="7200"/>
        </w:tabs>
        <w:wordWrap w:val="0"/>
        <w:spacing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说明：</w:t>
      </w:r>
    </w:p>
    <w:p w14:paraId="128BC5AF">
      <w:pPr>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0FEACF5E">
      <w:pPr>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614567B">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b/>
          <w:color w:val="auto"/>
          <w:szCs w:val="21"/>
          <w:highlight w:val="none"/>
        </w:rPr>
        <w:t xml:space="preserve">  3.如为联合体投标，盖章处须加盖联合体各方公章并由联合体各方法定代表人分别签署，否则投标无效。</w:t>
      </w:r>
    </w:p>
    <w:p w14:paraId="52C677C0">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1522DDA7">
      <w:pPr>
        <w:wordWrap w:val="0"/>
        <w:snapToGrid w:val="0"/>
        <w:spacing w:line="360" w:lineRule="auto"/>
        <w:ind w:left="7083" w:leftChars="2223" w:hanging="2415" w:hangingChars="1150"/>
        <w:jc w:val="left"/>
        <w:rPr>
          <w:rFonts w:hint="eastAsia" w:ascii="宋体" w:hAnsi="宋体" w:cs="宋体"/>
          <w:color w:val="auto"/>
          <w:kern w:val="0"/>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r>
        <w:rPr>
          <w:rFonts w:hint="eastAsia" w:ascii="宋体" w:hAnsi="宋体" w:cs="宋体"/>
          <w:color w:val="auto"/>
          <w:szCs w:val="21"/>
          <w:highlight w:val="none"/>
        </w:rPr>
        <w:t xml:space="preserve">                       年    月    日</w:t>
      </w:r>
    </w:p>
    <w:p w14:paraId="2FD727A8">
      <w:pPr>
        <w:pStyle w:val="12"/>
        <w:wordWrap w:val="0"/>
        <w:spacing w:line="360" w:lineRule="auto"/>
        <w:ind w:firstLine="602"/>
        <w:jc w:val="center"/>
        <w:rPr>
          <w:rFonts w:hint="eastAsia" w:hAnsi="宋体" w:cs="宋体"/>
          <w:b/>
          <w:bCs/>
          <w:color w:val="auto"/>
          <w:sz w:val="30"/>
          <w:szCs w:val="30"/>
          <w:highlight w:val="none"/>
        </w:rPr>
      </w:pPr>
    </w:p>
    <w:p w14:paraId="57C6BB5D">
      <w:pPr>
        <w:widowControl/>
        <w:wordWrap w:val="0"/>
        <w:spacing w:line="360" w:lineRule="auto"/>
        <w:ind w:firstLine="602"/>
        <w:jc w:val="left"/>
        <w:rPr>
          <w:rFonts w:hint="eastAsia" w:ascii="宋体" w:hAnsi="宋体" w:cs="宋体"/>
          <w:b/>
          <w:bCs/>
          <w:color w:val="auto"/>
          <w:sz w:val="30"/>
          <w:szCs w:val="30"/>
          <w:highlight w:val="none"/>
        </w:rPr>
        <w:sectPr>
          <w:pgSz w:w="11906" w:h="16838"/>
          <w:pgMar w:top="1440" w:right="1080" w:bottom="1440" w:left="1080" w:header="720" w:footer="720" w:gutter="0"/>
          <w:cols w:space="720" w:num="1"/>
          <w:docGrid w:type="lines" w:linePitch="331" w:charSpace="0"/>
        </w:sectPr>
      </w:pPr>
    </w:p>
    <w:p w14:paraId="6E7290D1">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七、联合体协议书</w:t>
      </w:r>
    </w:p>
    <w:p w14:paraId="593DD194">
      <w:pPr>
        <w:wordWrap w:val="0"/>
        <w:autoSpaceDE w:val="0"/>
        <w:autoSpaceDN w:val="0"/>
        <w:adjustRightInd w:val="0"/>
        <w:spacing w:line="360" w:lineRule="auto"/>
        <w:jc w:val="left"/>
        <w:rPr>
          <w:rFonts w:hint="eastAsia" w:ascii="宋体" w:hAnsi="宋体" w:cs="宋体"/>
          <w:color w:val="auto"/>
          <w:kern w:val="0"/>
          <w:szCs w:val="21"/>
          <w:highlight w:val="none"/>
          <w:u w:val="single"/>
        </w:rPr>
      </w:pPr>
    </w:p>
    <w:p w14:paraId="04B8C072">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（所有成员单位名称）自愿组成联合体，共同参加</w:t>
      </w:r>
      <w:r>
        <w:rPr>
          <w:rFonts w:hint="eastAsia" w:ascii="宋体" w:hAnsi="宋体" w:cs="宋体"/>
          <w:color w:val="auto"/>
          <w:kern w:val="0"/>
          <w:szCs w:val="21"/>
          <w:highlight w:val="none"/>
          <w:u w:val="single"/>
        </w:rPr>
        <w:t xml:space="preserve">     </w:t>
      </w:r>
      <w:bookmarkStart w:id="283" w:name="PO_3000001866_PM031_6"/>
      <w:r>
        <w:rPr>
          <w:rFonts w:hint="eastAsia" w:ascii="宋体" w:hAnsi="宋体" w:cs="宋体"/>
          <w:color w:val="auto"/>
          <w:kern w:val="0"/>
          <w:szCs w:val="21"/>
          <w:highlight w:val="none"/>
          <w:u w:val="single"/>
        </w:rPr>
        <w:t>广西邕政采购代理有限公司</w:t>
      </w:r>
      <w:bookmarkEnd w:id="283"/>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组织的</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（项目名称）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）投标。现就联合体投标事宜订立如下协议：</w:t>
      </w:r>
    </w:p>
    <w:p w14:paraId="20C5A435">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rPr>
        <w:t>________________________</w:t>
      </w:r>
      <w:r>
        <w:rPr>
          <w:rFonts w:hint="eastAsia" w:ascii="宋体" w:hAnsi="宋体" w:cs="宋体"/>
          <w:color w:val="auto"/>
          <w:kern w:val="0"/>
          <w:szCs w:val="21"/>
          <w:highlight w:val="none"/>
        </w:rPr>
        <w:t>（某成员单位名称）为联合体名称牵头人。</w:t>
      </w:r>
    </w:p>
    <w:p w14:paraId="6B97EC3B">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E86F3AD">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联合体各成员将严格按照招标文件、投标文件和合同的要求全面履行义务，并向招标人承担连带责任。</w:t>
      </w:r>
    </w:p>
    <w:p w14:paraId="06D6A5EB">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4、联合体各成员单位内部的职责分工如下</w:t>
      </w:r>
      <w:r>
        <w:rPr>
          <w:rFonts w:hint="eastAsia" w:ascii="宋体" w:hAnsi="宋体" w:cs="宋体"/>
          <w:color w:val="auto"/>
          <w:kern w:val="0"/>
          <w:szCs w:val="21"/>
          <w:highlight w:val="none"/>
          <w:u w:val="single"/>
        </w:rPr>
        <w:t>：</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7FBD6E0A">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kern w:val="0"/>
          <w:szCs w:val="21"/>
          <w:highlight w:val="none"/>
        </w:rPr>
        <w:t>5、本联合体中</w:t>
      </w:r>
      <w:r>
        <w:rPr>
          <w:rFonts w:hint="eastAsia" w:hAnsi="宋体" w:cs="宋体"/>
          <w:color w:val="auto"/>
          <w:kern w:val="0"/>
          <w:szCs w:val="21"/>
          <w:highlight w:val="none"/>
          <w:u w:val="single"/>
        </w:rPr>
        <w:t>，</w:t>
      </w:r>
      <w:r>
        <w:rPr>
          <w:rFonts w:hint="eastAsia" w:hAnsi="宋体" w:cs="宋体"/>
          <w:color w:val="auto"/>
          <w:szCs w:val="21"/>
          <w:highlight w:val="none"/>
          <w:u w:val="single"/>
        </w:rPr>
        <w:t xml:space="preserve">             </w:t>
      </w:r>
      <w:r>
        <w:rPr>
          <w:rFonts w:hint="eastAsia" w:hAnsi="宋体" w:cs="宋体"/>
          <w:color w:val="auto"/>
          <w:kern w:val="0"/>
          <w:szCs w:val="21"/>
          <w:highlight w:val="none"/>
          <w:u w:val="single"/>
        </w:rPr>
        <w:t>（某成员单位名称）为</w:t>
      </w:r>
      <w:r>
        <w:rPr>
          <w:rFonts w:hint="eastAsia" w:hAnsi="宋体" w:cs="宋体"/>
          <w:color w:val="auto"/>
          <w:szCs w:val="21"/>
          <w:highlight w:val="none"/>
          <w:u w:val="single"/>
        </w:rPr>
        <w:t xml:space="preserve">             </w:t>
      </w:r>
      <w:r>
        <w:rPr>
          <w:rFonts w:hint="eastAsia" w:hAnsi="宋体" w:cs="宋体"/>
          <w:color w:val="auto"/>
          <w:szCs w:val="21"/>
          <w:highlight w:val="none"/>
        </w:rPr>
        <w:t>（请填写：中型、小型、微型）企业，其协议合同金额占联合体协议合同总金额的</w:t>
      </w:r>
      <w:r>
        <w:rPr>
          <w:rFonts w:hint="eastAsia" w:hAnsi="宋体" w:cs="宋体"/>
          <w:color w:val="auto"/>
          <w:szCs w:val="21"/>
          <w:highlight w:val="none"/>
          <w:u w:val="single"/>
        </w:rPr>
        <w:t xml:space="preserve">             </w:t>
      </w:r>
      <w:r>
        <w:rPr>
          <w:rFonts w:hint="eastAsia" w:hAnsi="宋体" w:cs="宋体"/>
          <w:color w:val="auto"/>
          <w:szCs w:val="21"/>
          <w:highlight w:val="none"/>
        </w:rPr>
        <w:t>%。【如联合体成员中有小型、微型企业的，请填写此条，否则无需填写；如联合体成员中有多个小型、微型企业的，请逐一列出。】</w:t>
      </w:r>
    </w:p>
    <w:p w14:paraId="07B8D540">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6、本协议书自签署之日起生效，合同履行完毕后自动失效。</w:t>
      </w:r>
    </w:p>
    <w:p w14:paraId="729A6D1F">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0C939CB6">
      <w:pPr>
        <w:wordWrap w:val="0"/>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注：本协议书由法定代表人签字的，应附法定代表人身份证明；本协议书由委托代理人签字的，应附法定代表人授权委托书。</w:t>
      </w:r>
    </w:p>
    <w:p w14:paraId="0A305D1F">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牵头人名称：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5E5A9658">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（手写签名/电子签名）</w:t>
      </w:r>
    </w:p>
    <w:p w14:paraId="7FF72BFA">
      <w:pPr>
        <w:wordWrap w:val="0"/>
        <w:autoSpaceDE w:val="0"/>
        <w:autoSpaceDN w:val="0"/>
        <w:adjustRightInd w:val="0"/>
        <w:spacing w:line="360" w:lineRule="auto"/>
        <w:jc w:val="left"/>
        <w:rPr>
          <w:rFonts w:hint="eastAsia" w:ascii="宋体" w:hAnsi="宋体" w:cs="宋体"/>
          <w:color w:val="auto"/>
          <w:kern w:val="0"/>
          <w:szCs w:val="21"/>
          <w:highlight w:val="none"/>
        </w:rPr>
      </w:pPr>
    </w:p>
    <w:p w14:paraId="209D5F67">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成员一名称：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3E317C7A">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（手写签名/电子签名）</w:t>
      </w:r>
    </w:p>
    <w:p w14:paraId="749BB104">
      <w:pPr>
        <w:wordWrap w:val="0"/>
        <w:autoSpaceDE w:val="0"/>
        <w:autoSpaceDN w:val="0"/>
        <w:adjustRightIn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成员二名称：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（公章/电子签章）</w:t>
      </w:r>
    </w:p>
    <w:p w14:paraId="502673F1">
      <w:pPr>
        <w:pStyle w:val="12"/>
        <w:wordWrap w:val="0"/>
        <w:spacing w:line="360" w:lineRule="auto"/>
        <w:rPr>
          <w:rFonts w:hint="eastAsia" w:hAnsi="宋体" w:cs="宋体"/>
          <w:color w:val="auto"/>
          <w:szCs w:val="21"/>
          <w:highlight w:val="none"/>
        </w:rPr>
      </w:pPr>
      <w:r>
        <w:rPr>
          <w:rFonts w:hint="eastAsia" w:hAnsi="宋体" w:cs="宋体"/>
          <w:color w:val="auto"/>
          <w:kern w:val="0"/>
          <w:szCs w:val="21"/>
          <w:highlight w:val="none"/>
        </w:rPr>
        <w:t>法定代表人或其委托代理人：</w:t>
      </w:r>
      <w:r>
        <w:rPr>
          <w:rFonts w:hint="eastAsia" w:hAnsi="宋体" w:cs="宋体"/>
          <w:color w:val="auto"/>
          <w:kern w:val="0"/>
          <w:szCs w:val="21"/>
          <w:highlight w:val="none"/>
          <w:u w:val="single"/>
        </w:rPr>
        <w:t xml:space="preserve">                         </w:t>
      </w:r>
      <w:r>
        <w:rPr>
          <w:rFonts w:hint="eastAsia" w:hAnsi="宋体" w:cs="宋体"/>
          <w:color w:val="auto"/>
          <w:kern w:val="0"/>
          <w:szCs w:val="21"/>
          <w:highlight w:val="none"/>
        </w:rPr>
        <w:t>（手写签名/电子签名）</w:t>
      </w:r>
    </w:p>
    <w:p w14:paraId="356CDA73">
      <w:pPr>
        <w:wordWrap w:val="0"/>
        <w:spacing w:line="360" w:lineRule="auto"/>
        <w:rPr>
          <w:rFonts w:hint="eastAsia" w:ascii="宋体" w:hAnsi="宋体" w:cs="宋体"/>
          <w:color w:val="auto"/>
          <w:highlight w:val="none"/>
        </w:rPr>
      </w:pPr>
    </w:p>
    <w:p w14:paraId="1CAEA4D5">
      <w:pPr>
        <w:pStyle w:val="12"/>
        <w:wordWrap w:val="0"/>
        <w:spacing w:line="360" w:lineRule="auto"/>
        <w:ind w:firstLine="602"/>
        <w:jc w:val="center"/>
        <w:rPr>
          <w:rFonts w:hint="eastAsia" w:hAnsi="宋体" w:cs="宋体"/>
          <w:b/>
          <w:color w:val="auto"/>
          <w:sz w:val="30"/>
          <w:szCs w:val="30"/>
          <w:highlight w:val="none"/>
        </w:rPr>
        <w:sectPr>
          <w:pgSz w:w="11906" w:h="16838"/>
          <w:pgMar w:top="1440" w:right="1080" w:bottom="1440" w:left="1080" w:header="851" w:footer="992" w:gutter="0"/>
          <w:cols w:space="720" w:num="1"/>
        </w:sectPr>
      </w:pPr>
      <w:bookmarkStart w:id="284" w:name="_Toc19686838"/>
      <w:bookmarkStart w:id="285" w:name="_Toc8057"/>
    </w:p>
    <w:p w14:paraId="0BBDD16F">
      <w:pPr>
        <w:wordWrap w:val="0"/>
        <w:snapToGrid w:val="0"/>
        <w:spacing w:line="360" w:lineRule="auto"/>
        <w:ind w:right="480"/>
        <w:jc w:val="center"/>
        <w:rPr>
          <w:rFonts w:hint="default"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八、分包意向协议</w:t>
      </w:r>
    </w:p>
    <w:p w14:paraId="17735F12">
      <w:pPr>
        <w:wordWrap w:val="0"/>
        <w:snapToGrid w:val="0"/>
        <w:spacing w:line="360" w:lineRule="auto"/>
        <w:ind w:right="480" w:firstLine="643"/>
        <w:jc w:val="center"/>
        <w:rPr>
          <w:rFonts w:hint="default"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分包意向协议</w:t>
      </w:r>
    </w:p>
    <w:p w14:paraId="013105B5">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u w:val="single"/>
          <w:lang w:val="en-US" w:eastAsia="zh-CN"/>
        </w:rPr>
        <w:t>（甲公司全称）、（乙公司全称）、（公司全称）</w:t>
      </w:r>
      <w:r>
        <w:rPr>
          <w:rFonts w:hint="eastAsia" w:ascii="宋体" w:hAnsi="宋体" w:eastAsia="宋体" w:cs="宋体"/>
          <w:strike w:val="0"/>
          <w:dstrike w:val="0"/>
          <w:color w:val="auto"/>
          <w:sz w:val="24"/>
          <w:szCs w:val="24"/>
          <w:highlight w:val="none"/>
          <w:lang w:val="en-US" w:eastAsia="zh-CN"/>
        </w:rPr>
        <w:t>自愿达成分包意向，参加</w:t>
      </w:r>
      <w:r>
        <w:rPr>
          <w:rFonts w:hint="eastAsia" w:ascii="宋体" w:hAnsi="宋体" w:eastAsia="宋体" w:cs="宋体"/>
          <w:strike w:val="0"/>
          <w:dstrike w:val="0"/>
          <w:color w:val="auto"/>
          <w:sz w:val="24"/>
          <w:szCs w:val="24"/>
          <w:highlight w:val="none"/>
          <w:u w:val="single"/>
          <w:lang w:val="en-US" w:eastAsia="zh-CN"/>
        </w:rPr>
        <w:t>（项目名称）</w:t>
      </w:r>
      <w:r>
        <w:rPr>
          <w:rFonts w:hint="eastAsia" w:ascii="宋体" w:hAnsi="宋体" w:eastAsia="宋体" w:cs="宋体"/>
          <w:strike w:val="0"/>
          <w:dstrike w:val="0"/>
          <w:color w:val="auto"/>
          <w:sz w:val="24"/>
          <w:szCs w:val="24"/>
          <w:highlight w:val="none"/>
          <w:lang w:val="en-US" w:eastAsia="zh-CN"/>
        </w:rPr>
        <w:t>采购项目的投标活动。经各方充分协商一致，就项目的响应和合同实施阶段的有关事务协商一致订立意向如下：</w:t>
      </w:r>
    </w:p>
    <w:p w14:paraId="542657AC">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一、分包意向各方关系</w:t>
      </w:r>
    </w:p>
    <w:p w14:paraId="01D5E839">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为投标方、</w:t>
      </w:r>
      <w:r>
        <w:rPr>
          <w:rFonts w:hint="eastAsia" w:ascii="宋体" w:hAnsi="宋体" w:eastAsia="宋体" w:cs="宋体"/>
          <w:strike w:val="0"/>
          <w:dstrike w:val="0"/>
          <w:color w:val="auto"/>
          <w:sz w:val="24"/>
          <w:szCs w:val="24"/>
          <w:highlight w:val="none"/>
          <w:u w:val="single"/>
          <w:lang w:val="en-US" w:eastAsia="zh-CN"/>
        </w:rPr>
        <w:t>（乙公司全称）、（</w:t>
      </w:r>
      <w:r>
        <w:rPr>
          <w:rFonts w:hint="eastAsia" w:ascii="宋体" w:hAnsi="宋体" w:cs="宋体"/>
          <w:strike w:val="0"/>
          <w:dstrike w:val="0"/>
          <w:color w:val="auto"/>
          <w:sz w:val="24"/>
          <w:szCs w:val="24"/>
          <w:highlight w:val="none"/>
          <w:u w:val="single"/>
          <w:lang w:val="en-US" w:eastAsia="zh-CN"/>
        </w:rPr>
        <w:t xml:space="preserve">  </w:t>
      </w:r>
      <w:r>
        <w:rPr>
          <w:rFonts w:hint="eastAsia" w:ascii="宋体" w:hAnsi="宋体" w:eastAsia="宋体" w:cs="宋体"/>
          <w:strike w:val="0"/>
          <w:dstrike w:val="0"/>
          <w:color w:val="auto"/>
          <w:sz w:val="24"/>
          <w:szCs w:val="24"/>
          <w:highlight w:val="none"/>
          <w:u w:val="single"/>
          <w:lang w:val="en-US" w:eastAsia="zh-CN"/>
        </w:rPr>
        <w:t>公司全称）</w:t>
      </w:r>
      <w:r>
        <w:rPr>
          <w:rFonts w:hint="eastAsia" w:ascii="宋体" w:hAnsi="宋体" w:eastAsia="宋体" w:cs="宋体"/>
          <w:strike w:val="0"/>
          <w:dstrike w:val="0"/>
          <w:color w:val="auto"/>
          <w:sz w:val="24"/>
          <w:szCs w:val="24"/>
          <w:highlight w:val="none"/>
          <w:lang w:val="en-US" w:eastAsia="zh-CN"/>
        </w:rPr>
        <w:t>为分包意向供应商，</w:t>
      </w:r>
      <w:r>
        <w:rPr>
          <w:rFonts w:hint="eastAsia" w:ascii="宋体" w:hAnsi="宋体" w:eastAsia="宋体" w:cs="宋体"/>
          <w:strike w:val="0"/>
          <w:dstrike w:val="0"/>
          <w:color w:val="auto"/>
          <w:sz w:val="24"/>
          <w:szCs w:val="24"/>
          <w:highlight w:val="none"/>
          <w:u w:val="single"/>
          <w:lang w:val="en-US" w:eastAsia="zh-CN"/>
        </w:rPr>
        <w:t xml:space="preserve">（甲公司全称） </w:t>
      </w:r>
      <w:r>
        <w:rPr>
          <w:rFonts w:hint="eastAsia" w:ascii="宋体" w:hAnsi="宋体" w:eastAsia="宋体" w:cs="宋体"/>
          <w:strike w:val="0"/>
          <w:dstrike w:val="0"/>
          <w:color w:val="auto"/>
          <w:sz w:val="24"/>
          <w:szCs w:val="24"/>
          <w:highlight w:val="none"/>
          <w:lang w:val="en-US" w:eastAsia="zh-CN"/>
        </w:rPr>
        <w:t>以投标供应商的身份参加本项目的响应。若中标，</w:t>
      </w: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与采购人签订政府采购合同。承接分包意向的各供应商与</w:t>
      </w: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签订分包合同。</w:t>
      </w: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就采购项目和分包项目向采购人负责，</w:t>
      </w:r>
      <w:r>
        <w:rPr>
          <w:rFonts w:hint="eastAsia" w:ascii="宋体" w:hAnsi="宋体" w:eastAsia="宋体" w:cs="宋体"/>
          <w:strike w:val="0"/>
          <w:dstrike w:val="0"/>
          <w:color w:val="auto"/>
          <w:sz w:val="24"/>
          <w:szCs w:val="24"/>
          <w:highlight w:val="none"/>
          <w:u w:val="single"/>
          <w:lang w:val="en-US" w:eastAsia="zh-CN"/>
        </w:rPr>
        <w:t xml:space="preserve">      </w:t>
      </w:r>
      <w:r>
        <w:rPr>
          <w:rFonts w:hint="eastAsia" w:ascii="宋体" w:hAnsi="宋体" w:eastAsia="宋体" w:cs="宋体"/>
          <w:strike w:val="0"/>
          <w:dstrike w:val="0"/>
          <w:color w:val="auto"/>
          <w:sz w:val="24"/>
          <w:szCs w:val="24"/>
          <w:highlight w:val="none"/>
          <w:lang w:val="en-US" w:eastAsia="zh-CN"/>
        </w:rPr>
        <w:t>分包供应商就分包项目承担责任。</w:t>
      </w:r>
    </w:p>
    <w:p w14:paraId="531AAF14">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二、有关事项约定如下：</w:t>
      </w:r>
    </w:p>
    <w:p w14:paraId="5487F90E">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1.如中标，分包意向供应商分别与</w:t>
      </w: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签订合同，并就中标项目分包部分向采购人负责连带的和各自的法律责任；</w:t>
      </w:r>
    </w:p>
    <w:p w14:paraId="28C699C1">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2.如因违约过失责任而导致采购人经济损失或被索赔时，</w:t>
      </w:r>
      <w:r>
        <w:rPr>
          <w:rFonts w:hint="eastAsia" w:ascii="宋体" w:hAnsi="宋体" w:eastAsia="宋体" w:cs="宋体"/>
          <w:strike w:val="0"/>
          <w:dstrike w:val="0"/>
          <w:color w:val="auto"/>
          <w:sz w:val="24"/>
          <w:szCs w:val="24"/>
          <w:highlight w:val="none"/>
          <w:u w:val="single"/>
          <w:lang w:val="en-US" w:eastAsia="zh-CN"/>
        </w:rPr>
        <w:t>（甲公司全称）</w:t>
      </w:r>
      <w:r>
        <w:rPr>
          <w:rFonts w:hint="eastAsia" w:ascii="宋体" w:hAnsi="宋体" w:eastAsia="宋体" w:cs="宋体"/>
          <w:strike w:val="0"/>
          <w:dstrike w:val="0"/>
          <w:color w:val="auto"/>
          <w:sz w:val="24"/>
          <w:szCs w:val="24"/>
          <w:highlight w:val="none"/>
          <w:lang w:val="en-US" w:eastAsia="zh-CN"/>
        </w:rPr>
        <w:t>同意无条件优先清偿采购人的一切债务和经济赔偿。</w:t>
      </w:r>
    </w:p>
    <w:p w14:paraId="3406D10D">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3.如中标，分包意向供应商不得以任何理由提出终止本意向协议。</w:t>
      </w:r>
    </w:p>
    <w:p w14:paraId="17C09E3F">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三、合同份额声明：</w:t>
      </w:r>
    </w:p>
    <w:p w14:paraId="271536FC">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1.分包金额占合同总金额的</w:t>
      </w:r>
      <w:r>
        <w:rPr>
          <w:rFonts w:hint="eastAsia" w:ascii="宋体" w:hAnsi="宋体" w:eastAsia="宋体" w:cs="宋体"/>
          <w:strike w:val="0"/>
          <w:dstrike w:val="0"/>
          <w:color w:val="auto"/>
          <w:sz w:val="24"/>
          <w:szCs w:val="24"/>
          <w:highlight w:val="none"/>
          <w:u w:val="single"/>
          <w:lang w:val="en-US" w:eastAsia="zh-CN"/>
        </w:rPr>
        <w:tab/>
      </w:r>
      <w:r>
        <w:rPr>
          <w:rFonts w:hint="eastAsia" w:ascii="宋体" w:hAnsi="宋体" w:eastAsia="宋体" w:cs="宋体"/>
          <w:strike w:val="0"/>
          <w:dstrike w:val="0"/>
          <w:color w:val="auto"/>
          <w:sz w:val="24"/>
          <w:szCs w:val="24"/>
          <w:highlight w:val="none"/>
          <w:u w:val="single"/>
          <w:lang w:val="en-US" w:eastAsia="zh-CN"/>
        </w:rPr>
        <w:t xml:space="preserve">  %，人民币</w:t>
      </w:r>
      <w:r>
        <w:rPr>
          <w:rFonts w:hint="eastAsia" w:ascii="宋体" w:hAnsi="宋体" w:eastAsia="宋体" w:cs="宋体"/>
          <w:strike w:val="0"/>
          <w:dstrike w:val="0"/>
          <w:color w:val="auto"/>
          <w:sz w:val="24"/>
          <w:szCs w:val="24"/>
          <w:highlight w:val="none"/>
          <w:u w:val="single"/>
          <w:lang w:val="en-US" w:eastAsia="zh-CN"/>
        </w:rPr>
        <w:tab/>
      </w:r>
      <w:r>
        <w:rPr>
          <w:rFonts w:hint="eastAsia" w:ascii="宋体" w:hAnsi="宋体" w:eastAsia="宋体" w:cs="宋体"/>
          <w:strike w:val="0"/>
          <w:dstrike w:val="0"/>
          <w:color w:val="auto"/>
          <w:sz w:val="24"/>
          <w:szCs w:val="24"/>
          <w:highlight w:val="none"/>
          <w:u w:val="single"/>
          <w:lang w:val="en-US" w:eastAsia="zh-CN"/>
        </w:rPr>
        <w:tab/>
      </w:r>
      <w:r>
        <w:rPr>
          <w:rFonts w:hint="eastAsia" w:ascii="宋体" w:hAnsi="宋体" w:eastAsia="宋体" w:cs="宋体"/>
          <w:strike w:val="0"/>
          <w:dstrike w:val="0"/>
          <w:color w:val="auto"/>
          <w:sz w:val="24"/>
          <w:szCs w:val="24"/>
          <w:highlight w:val="none"/>
          <w:u w:val="single"/>
          <w:lang w:val="en-US" w:eastAsia="zh-CN"/>
        </w:rPr>
        <w:t xml:space="preserve">        （¥                  ）</w:t>
      </w:r>
      <w:r>
        <w:rPr>
          <w:rFonts w:hint="eastAsia" w:ascii="宋体" w:hAnsi="宋体" w:eastAsia="宋体" w:cs="宋体"/>
          <w:strike w:val="0"/>
          <w:dstrike w:val="0"/>
          <w:color w:val="auto"/>
          <w:sz w:val="24"/>
          <w:szCs w:val="24"/>
          <w:highlight w:val="none"/>
          <w:lang w:val="en-US" w:eastAsia="zh-CN"/>
        </w:rPr>
        <w:t>；</w:t>
      </w:r>
    </w:p>
    <w:p w14:paraId="0B04C7F3">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2.分包的工作内容：</w:t>
      </w:r>
      <w:r>
        <w:rPr>
          <w:rFonts w:hint="eastAsia" w:ascii="宋体" w:hAnsi="宋体" w:eastAsia="宋体" w:cs="宋体"/>
          <w:strike w:val="0"/>
          <w:dstrike w:val="0"/>
          <w:color w:val="auto"/>
          <w:sz w:val="24"/>
          <w:szCs w:val="24"/>
          <w:highlight w:val="none"/>
          <w:u w:val="single"/>
          <w:lang w:val="en-US" w:eastAsia="zh-CN"/>
        </w:rPr>
        <w:tab/>
      </w:r>
      <w:r>
        <w:rPr>
          <w:rFonts w:hint="eastAsia" w:ascii="宋体" w:hAnsi="宋体" w:eastAsia="宋体" w:cs="宋体"/>
          <w:strike w:val="0"/>
          <w:dstrike w:val="0"/>
          <w:color w:val="auto"/>
          <w:sz w:val="24"/>
          <w:szCs w:val="24"/>
          <w:highlight w:val="none"/>
          <w:u w:val="single"/>
          <w:lang w:val="en-US" w:eastAsia="zh-CN"/>
        </w:rPr>
        <w:tab/>
      </w:r>
      <w:r>
        <w:rPr>
          <w:rFonts w:hint="eastAsia" w:ascii="宋体" w:hAnsi="宋体" w:eastAsia="宋体" w:cs="宋体"/>
          <w:strike w:val="0"/>
          <w:dstrike w:val="0"/>
          <w:color w:val="auto"/>
          <w:sz w:val="24"/>
          <w:szCs w:val="24"/>
          <w:highlight w:val="none"/>
          <w:u w:val="single"/>
          <w:lang w:val="en-US" w:eastAsia="zh-CN"/>
        </w:rPr>
        <w:t xml:space="preserve">                                                    。</w:t>
      </w:r>
    </w:p>
    <w:p w14:paraId="293D07E2">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3.若我方在本采购活动中已享受扶持中小企业发展的政策，我方承诺在合同履行阶段不改变小型企业和微型企业承担本合同的金额及比例。合同履行阶段的分包商与《中小企业声明函》中列明的分包商一致。</w:t>
      </w:r>
    </w:p>
    <w:p w14:paraId="0DCA0574">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rPr>
      </w:pPr>
      <w:r>
        <w:rPr>
          <w:rFonts w:hint="eastAsia" w:ascii="宋体" w:hAnsi="宋体" w:eastAsia="宋体" w:cs="宋体"/>
          <w:strike w:val="0"/>
          <w:dstrike w:val="0"/>
          <w:color w:val="auto"/>
          <w:sz w:val="24"/>
          <w:szCs w:val="24"/>
          <w:highlight w:val="none"/>
          <w:lang w:val="en-US" w:eastAsia="zh-CN"/>
        </w:rPr>
        <w:t>四、本意向协议自签署之日起生效。</w:t>
      </w:r>
    </w:p>
    <w:p w14:paraId="4A29C5C8">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 xml:space="preserve">  </w:t>
      </w:r>
    </w:p>
    <w:p w14:paraId="56AB57D7">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投标人：甲公司全称（盖章）</w:t>
      </w:r>
    </w:p>
    <w:p w14:paraId="0965F0E2">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法定代表人或被授权人：     （签字）</w:t>
      </w:r>
    </w:p>
    <w:p w14:paraId="2400B2CB">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投标人：</w:t>
      </w:r>
      <w:r>
        <w:rPr>
          <w:rFonts w:hint="eastAsia" w:ascii="宋体" w:hAnsi="宋体" w:cs="宋体"/>
          <w:strike w:val="0"/>
          <w:dstrike w:val="0"/>
          <w:color w:val="auto"/>
          <w:sz w:val="24"/>
          <w:szCs w:val="24"/>
          <w:highlight w:val="none"/>
          <w:lang w:val="en-US" w:eastAsia="zh-CN"/>
        </w:rPr>
        <w:t>乙</w:t>
      </w:r>
      <w:r>
        <w:rPr>
          <w:rFonts w:hint="eastAsia" w:ascii="宋体" w:hAnsi="宋体" w:eastAsia="宋体" w:cs="宋体"/>
          <w:strike w:val="0"/>
          <w:dstrike w:val="0"/>
          <w:color w:val="auto"/>
          <w:sz w:val="24"/>
          <w:szCs w:val="24"/>
          <w:highlight w:val="none"/>
          <w:lang w:val="en-US" w:eastAsia="zh-CN"/>
        </w:rPr>
        <w:t>公司全称（盖章）</w:t>
      </w:r>
    </w:p>
    <w:p w14:paraId="2F4DB663">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法定代表人或被授权人：     （签字）</w:t>
      </w:r>
    </w:p>
    <w:p w14:paraId="7631457E">
      <w:pPr>
        <w:keepNext w:val="0"/>
        <w:keepLines w:val="0"/>
        <w:pageBreakBefore w:val="0"/>
        <w:kinsoku/>
        <w:overflowPunct/>
        <w:topLinePunct w:val="0"/>
        <w:bidi w:val="0"/>
        <w:snapToGrid w:val="0"/>
        <w:spacing w:beforeAutospacing="0" w:afterAutospacing="0" w:line="460" w:lineRule="exact"/>
        <w:ind w:left="0" w:leftChars="0" w:right="0" w:firstLine="480" w:firstLineChars="200"/>
        <w:jc w:val="both"/>
        <w:outlineLvl w:val="9"/>
        <w:rPr>
          <w:rFonts w:hint="default" w:ascii="宋体" w:hAnsi="宋体" w:eastAsia="宋体" w:cs="宋体"/>
          <w:strike w:val="0"/>
          <w:dstrike w:val="0"/>
          <w:color w:val="auto"/>
          <w:sz w:val="24"/>
          <w:szCs w:val="24"/>
          <w:highlight w:val="none"/>
          <w:lang w:val="en-US" w:eastAsia="zh-CN"/>
        </w:rPr>
        <w:sectPr>
          <w:pgSz w:w="11906" w:h="16838"/>
          <w:pgMar w:top="1440" w:right="1080" w:bottom="1440" w:left="1080" w:header="851" w:footer="992" w:gutter="0"/>
          <w:cols w:space="720" w:num="1"/>
        </w:sectPr>
      </w:pPr>
      <w:r>
        <w:rPr>
          <w:rFonts w:hint="eastAsia" w:ascii="宋体" w:hAnsi="宋体" w:eastAsia="宋体" w:cs="宋体"/>
          <w:strike w:val="0"/>
          <w:dstrike w:val="0"/>
          <w:color w:val="auto"/>
          <w:sz w:val="24"/>
          <w:szCs w:val="24"/>
          <w:highlight w:val="none"/>
          <w:lang w:val="en-US" w:eastAsia="zh-CN"/>
        </w:rPr>
        <w:t>日期：</w:t>
      </w:r>
    </w:p>
    <w:p w14:paraId="1128EF1E">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lang w:val="en-US" w:eastAsia="zh-CN"/>
        </w:rPr>
        <w:t>九</w:t>
      </w:r>
      <w:r>
        <w:rPr>
          <w:rFonts w:hint="eastAsia" w:ascii="宋体" w:hAnsi="宋体" w:cs="宋体"/>
          <w:b/>
          <w:color w:val="auto"/>
          <w:kern w:val="0"/>
          <w:sz w:val="32"/>
          <w:szCs w:val="32"/>
          <w:highlight w:val="none"/>
        </w:rPr>
        <w:t>、除招标文件规定必须提供以外，投标人认为需要提供的其他证明材料。</w:t>
      </w:r>
    </w:p>
    <w:p w14:paraId="6206FB69">
      <w:pPr>
        <w:wordWrap w:val="0"/>
        <w:spacing w:line="360" w:lineRule="auto"/>
        <w:ind w:firstLine="480"/>
        <w:jc w:val="center"/>
        <w:rPr>
          <w:rFonts w:hint="eastAsia" w:ascii="宋体" w:hAnsi="宋体" w:cs="宋体"/>
          <w:color w:val="auto"/>
          <w:sz w:val="24"/>
          <w:highlight w:val="none"/>
        </w:rPr>
      </w:pPr>
      <w:r>
        <w:rPr>
          <w:rFonts w:hint="eastAsia" w:ascii="宋体" w:hAnsi="宋体" w:cs="宋体"/>
          <w:color w:val="auto"/>
          <w:sz w:val="24"/>
          <w:highlight w:val="none"/>
        </w:rPr>
        <w:t>（由投标人根据采购需求自行编制）</w:t>
      </w:r>
    </w:p>
    <w:p w14:paraId="5D83E2C0">
      <w:pPr>
        <w:ind w:firstLine="562"/>
        <w:rPr>
          <w:rFonts w:hint="eastAsia" w:ascii="宋体" w:hAnsi="宋体" w:cs="宋体"/>
          <w:b/>
          <w:bCs/>
          <w:color w:val="auto"/>
          <w:sz w:val="28"/>
          <w:szCs w:val="28"/>
          <w:highlight w:val="none"/>
        </w:rPr>
      </w:pPr>
    </w:p>
    <w:p w14:paraId="7F2439FF">
      <w:pPr>
        <w:ind w:firstLine="562"/>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3D97194B">
      <w:pPr>
        <w:pStyle w:val="12"/>
        <w:wordWrap w:val="0"/>
        <w:spacing w:line="360" w:lineRule="auto"/>
        <w:ind w:firstLine="562"/>
        <w:jc w:val="center"/>
        <w:outlineLvl w:val="1"/>
        <w:rPr>
          <w:rFonts w:hint="eastAsia" w:hAnsi="宋体" w:cs="宋体"/>
          <w:b/>
          <w:bCs/>
          <w:color w:val="auto"/>
          <w:sz w:val="28"/>
          <w:szCs w:val="28"/>
          <w:highlight w:val="none"/>
        </w:rPr>
      </w:pPr>
      <w:r>
        <w:rPr>
          <w:rFonts w:hint="eastAsia" w:hAnsi="宋体" w:cs="宋体"/>
          <w:b/>
          <w:bCs/>
          <w:color w:val="auto"/>
          <w:sz w:val="28"/>
          <w:szCs w:val="28"/>
          <w:highlight w:val="none"/>
        </w:rPr>
        <w:t>第三节 商务文件格式</w:t>
      </w:r>
      <w:bookmarkEnd w:id="284"/>
      <w:bookmarkEnd w:id="285"/>
    </w:p>
    <w:p w14:paraId="4E752B74">
      <w:pPr>
        <w:wordWrap w:val="0"/>
        <w:snapToGrid w:val="0"/>
        <w:spacing w:line="360" w:lineRule="auto"/>
        <w:ind w:firstLine="600"/>
        <w:rPr>
          <w:rFonts w:hint="eastAsia" w:ascii="宋体" w:hAnsi="宋体" w:cs="宋体"/>
          <w:color w:val="auto"/>
          <w:sz w:val="30"/>
          <w:szCs w:val="20"/>
          <w:highlight w:val="none"/>
        </w:rPr>
      </w:pPr>
    </w:p>
    <w:p w14:paraId="7CDA4353">
      <w:pPr>
        <w:wordWrap w:val="0"/>
        <w:snapToGrid w:val="0"/>
        <w:spacing w:line="360" w:lineRule="auto"/>
        <w:ind w:firstLine="48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 xml:space="preserve">             电子投标文件</w:t>
      </w:r>
    </w:p>
    <w:p w14:paraId="0B55DDE1">
      <w:pPr>
        <w:wordWrap w:val="0"/>
        <w:snapToGrid w:val="0"/>
        <w:spacing w:line="360" w:lineRule="auto"/>
        <w:ind w:firstLine="480"/>
        <w:rPr>
          <w:rFonts w:hint="eastAsia" w:ascii="宋体" w:hAnsi="宋体" w:cs="宋体"/>
          <w:color w:val="auto"/>
          <w:sz w:val="24"/>
          <w:szCs w:val="20"/>
          <w:highlight w:val="none"/>
        </w:rPr>
      </w:pPr>
    </w:p>
    <w:p w14:paraId="35AB42DB">
      <w:pPr>
        <w:wordWrap w:val="0"/>
        <w:snapToGrid w:val="0"/>
        <w:spacing w:line="360" w:lineRule="auto"/>
        <w:ind w:firstLine="643"/>
        <w:jc w:val="center"/>
        <w:rPr>
          <w:rFonts w:hint="eastAsia" w:ascii="宋体" w:hAnsi="宋体" w:cs="宋体"/>
          <w:b/>
          <w:color w:val="auto"/>
          <w:sz w:val="24"/>
          <w:szCs w:val="20"/>
          <w:highlight w:val="none"/>
        </w:rPr>
      </w:pPr>
      <w:r>
        <w:rPr>
          <w:rFonts w:hint="eastAsia" w:ascii="宋体" w:hAnsi="宋体" w:cs="宋体"/>
          <w:b/>
          <w:color w:val="auto"/>
          <w:sz w:val="32"/>
          <w:szCs w:val="32"/>
          <w:highlight w:val="none"/>
        </w:rPr>
        <w:t>商务文件（封面）</w:t>
      </w:r>
    </w:p>
    <w:p w14:paraId="6DF21E3F">
      <w:pPr>
        <w:wordWrap w:val="0"/>
        <w:snapToGrid w:val="0"/>
        <w:spacing w:line="360" w:lineRule="auto"/>
        <w:ind w:firstLine="480"/>
        <w:rPr>
          <w:rFonts w:hint="eastAsia" w:ascii="宋体" w:hAnsi="宋体" w:cs="宋体"/>
          <w:bCs/>
          <w:color w:val="auto"/>
          <w:sz w:val="24"/>
          <w:szCs w:val="20"/>
          <w:highlight w:val="none"/>
        </w:rPr>
      </w:pPr>
    </w:p>
    <w:p w14:paraId="111D8E92">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79C0C3C7">
      <w:pPr>
        <w:wordWrap w:val="0"/>
        <w:snapToGrid w:val="0"/>
        <w:spacing w:line="360" w:lineRule="auto"/>
        <w:ind w:firstLine="540" w:firstLineChars="225"/>
        <w:rPr>
          <w:rFonts w:hint="eastAsia" w:ascii="宋体" w:hAnsi="宋体" w:cs="宋体"/>
          <w:bCs/>
          <w:color w:val="auto"/>
          <w:sz w:val="24"/>
          <w:szCs w:val="20"/>
          <w:highlight w:val="none"/>
        </w:rPr>
      </w:pPr>
    </w:p>
    <w:p w14:paraId="1FD18ED9">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3A488091">
      <w:pPr>
        <w:wordWrap w:val="0"/>
        <w:snapToGrid w:val="0"/>
        <w:spacing w:line="360" w:lineRule="auto"/>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166F1ED9">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796C5F6B">
      <w:pPr>
        <w:wordWrap w:val="0"/>
        <w:snapToGrid w:val="0"/>
        <w:spacing w:line="360" w:lineRule="auto"/>
        <w:ind w:firstLine="540" w:firstLineChars="225"/>
        <w:rPr>
          <w:rFonts w:hint="eastAsia" w:ascii="宋体" w:hAnsi="宋体" w:cs="宋体"/>
          <w:bCs/>
          <w:color w:val="auto"/>
          <w:sz w:val="24"/>
          <w:szCs w:val="20"/>
          <w:highlight w:val="none"/>
        </w:rPr>
      </w:pPr>
    </w:p>
    <w:p w14:paraId="0ADBD20C">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00845035">
      <w:pPr>
        <w:pStyle w:val="7"/>
        <w:wordWrap w:val="0"/>
        <w:snapToGrid w:val="0"/>
        <w:spacing w:line="360" w:lineRule="auto"/>
        <w:ind w:firstLine="540" w:firstLineChars="225"/>
        <w:rPr>
          <w:rFonts w:hint="eastAsia" w:ascii="宋体" w:hAnsi="宋体" w:cs="宋体"/>
          <w:bCs/>
          <w:color w:val="auto"/>
          <w:sz w:val="24"/>
          <w:szCs w:val="24"/>
          <w:highlight w:val="none"/>
        </w:rPr>
      </w:pPr>
    </w:p>
    <w:p w14:paraId="5C0D6830">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7489A02E">
      <w:pPr>
        <w:pStyle w:val="7"/>
        <w:wordWrap w:val="0"/>
        <w:snapToGrid w:val="0"/>
        <w:spacing w:line="360" w:lineRule="auto"/>
        <w:ind w:firstLine="960" w:firstLineChars="400"/>
        <w:rPr>
          <w:rFonts w:hint="eastAsia" w:ascii="宋体" w:hAnsi="宋体" w:cs="宋体"/>
          <w:bCs/>
          <w:color w:val="auto"/>
          <w:sz w:val="24"/>
          <w:szCs w:val="24"/>
          <w:highlight w:val="none"/>
        </w:rPr>
      </w:pPr>
    </w:p>
    <w:p w14:paraId="4C2779C1">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72BD9C50">
      <w:pPr>
        <w:wordWrap w:val="0"/>
        <w:snapToGrid w:val="0"/>
        <w:spacing w:line="360" w:lineRule="auto"/>
        <w:ind w:firstLine="480"/>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 </w:t>
      </w:r>
    </w:p>
    <w:p w14:paraId="5CD1EB2F">
      <w:pPr>
        <w:wordWrap w:val="0"/>
        <w:spacing w:line="360" w:lineRule="auto"/>
        <w:ind w:right="420" w:firstLine="480"/>
        <w:rPr>
          <w:rFonts w:hint="eastAsia" w:ascii="宋体" w:hAnsi="宋体" w:cs="宋体"/>
          <w:color w:val="auto"/>
          <w:sz w:val="24"/>
          <w:szCs w:val="20"/>
          <w:highlight w:val="none"/>
        </w:rPr>
      </w:pPr>
    </w:p>
    <w:p w14:paraId="666F8751">
      <w:pPr>
        <w:wordWrap w:val="0"/>
        <w:spacing w:line="360" w:lineRule="auto"/>
        <w:ind w:right="420" w:firstLine="480"/>
        <w:rPr>
          <w:rFonts w:hint="eastAsia" w:ascii="宋体" w:hAnsi="宋体" w:cs="宋体"/>
          <w:color w:val="auto"/>
          <w:sz w:val="24"/>
          <w:szCs w:val="20"/>
          <w:highlight w:val="none"/>
        </w:rPr>
      </w:pPr>
    </w:p>
    <w:p w14:paraId="13365A1E">
      <w:pPr>
        <w:wordWrap w:val="0"/>
        <w:spacing w:line="360" w:lineRule="auto"/>
        <w:ind w:right="420" w:firstLine="480"/>
        <w:rPr>
          <w:rFonts w:hint="eastAsia" w:ascii="宋体" w:hAnsi="宋体" w:cs="宋体"/>
          <w:color w:val="auto"/>
          <w:sz w:val="24"/>
          <w:szCs w:val="20"/>
          <w:highlight w:val="none"/>
        </w:rPr>
      </w:pPr>
    </w:p>
    <w:p w14:paraId="3692E582">
      <w:pPr>
        <w:wordWrap w:val="0"/>
        <w:spacing w:line="360" w:lineRule="auto"/>
        <w:ind w:right="420" w:firstLine="480"/>
        <w:rPr>
          <w:rFonts w:hint="eastAsia" w:ascii="宋体" w:hAnsi="宋体" w:cs="宋体"/>
          <w:color w:val="auto"/>
          <w:sz w:val="24"/>
          <w:szCs w:val="20"/>
          <w:highlight w:val="none"/>
        </w:rPr>
      </w:pPr>
    </w:p>
    <w:p w14:paraId="795632E6">
      <w:pPr>
        <w:wordWrap w:val="0"/>
        <w:spacing w:line="360" w:lineRule="auto"/>
        <w:ind w:right="420" w:firstLine="480"/>
        <w:rPr>
          <w:rFonts w:hint="eastAsia" w:ascii="宋体" w:hAnsi="宋体" w:cs="宋体"/>
          <w:color w:val="auto"/>
          <w:sz w:val="24"/>
          <w:szCs w:val="20"/>
          <w:highlight w:val="none"/>
        </w:rPr>
      </w:pPr>
    </w:p>
    <w:p w14:paraId="2C075DCD">
      <w:pPr>
        <w:wordWrap w:val="0"/>
        <w:spacing w:line="360" w:lineRule="auto"/>
        <w:ind w:right="420" w:firstLine="480"/>
        <w:rPr>
          <w:rFonts w:hint="eastAsia" w:ascii="宋体" w:hAnsi="宋体" w:cs="宋体"/>
          <w:color w:val="auto"/>
          <w:sz w:val="24"/>
          <w:szCs w:val="20"/>
          <w:highlight w:val="none"/>
        </w:rPr>
      </w:pPr>
    </w:p>
    <w:p w14:paraId="67CD14EF">
      <w:pPr>
        <w:wordWrap w:val="0"/>
        <w:spacing w:line="360" w:lineRule="auto"/>
        <w:ind w:right="420" w:firstLine="480"/>
        <w:rPr>
          <w:rFonts w:hint="eastAsia" w:ascii="宋体" w:hAnsi="宋体" w:cs="宋体"/>
          <w:color w:val="auto"/>
          <w:sz w:val="24"/>
          <w:szCs w:val="20"/>
          <w:highlight w:val="none"/>
        </w:rPr>
      </w:pPr>
    </w:p>
    <w:p w14:paraId="4CC2AE23">
      <w:pPr>
        <w:wordWrap w:val="0"/>
        <w:spacing w:line="360" w:lineRule="auto"/>
        <w:ind w:right="420" w:firstLine="480"/>
        <w:rPr>
          <w:rFonts w:hint="eastAsia" w:ascii="宋体" w:hAnsi="宋体" w:cs="宋体"/>
          <w:color w:val="auto"/>
          <w:sz w:val="24"/>
          <w:szCs w:val="20"/>
          <w:highlight w:val="none"/>
        </w:rPr>
      </w:pPr>
    </w:p>
    <w:p w14:paraId="4A049459">
      <w:pPr>
        <w:wordWrap w:val="0"/>
        <w:spacing w:line="360" w:lineRule="auto"/>
        <w:ind w:right="420" w:firstLine="480"/>
        <w:rPr>
          <w:rFonts w:hint="eastAsia" w:ascii="宋体" w:hAnsi="宋体" w:cs="宋体"/>
          <w:color w:val="auto"/>
          <w:sz w:val="24"/>
          <w:szCs w:val="20"/>
          <w:highlight w:val="none"/>
        </w:rPr>
      </w:pPr>
    </w:p>
    <w:p w14:paraId="44260A77">
      <w:pPr>
        <w:wordWrap w:val="0"/>
        <w:spacing w:line="360" w:lineRule="auto"/>
        <w:ind w:right="420" w:firstLine="723"/>
        <w:rPr>
          <w:rFonts w:hint="eastAsia" w:ascii="宋体" w:hAnsi="宋体" w:cs="宋体"/>
          <w:b/>
          <w:color w:val="auto"/>
          <w:kern w:val="0"/>
          <w:sz w:val="36"/>
          <w:szCs w:val="36"/>
          <w:highlight w:val="none"/>
        </w:rPr>
      </w:pPr>
      <w:r>
        <w:rPr>
          <w:rFonts w:hint="eastAsia" w:ascii="宋体" w:hAnsi="宋体" w:cs="宋体"/>
          <w:b/>
          <w:color w:val="auto"/>
          <w:kern w:val="0"/>
          <w:sz w:val="36"/>
          <w:szCs w:val="36"/>
          <w:highlight w:val="none"/>
        </w:rPr>
        <w:t xml:space="preserve"> </w:t>
      </w:r>
    </w:p>
    <w:p w14:paraId="6D58D789">
      <w:pPr>
        <w:wordWrap w:val="0"/>
        <w:spacing w:line="360" w:lineRule="auto"/>
        <w:ind w:firstLine="482"/>
        <w:rPr>
          <w:rFonts w:hint="eastAsia" w:ascii="宋体" w:hAnsi="宋体" w:cs="宋体"/>
          <w:b/>
          <w:color w:val="auto"/>
          <w:kern w:val="0"/>
          <w:sz w:val="24"/>
          <w:highlight w:val="none"/>
        </w:rPr>
      </w:pPr>
    </w:p>
    <w:p w14:paraId="075F47E7">
      <w:pPr>
        <w:wordWrap w:val="0"/>
        <w:spacing w:line="360" w:lineRule="auto"/>
        <w:ind w:firstLine="562"/>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商务文件目录</w:t>
      </w:r>
    </w:p>
    <w:p w14:paraId="5420465D">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一、无串通投标行为的承诺函……………………………………………………………（页码）</w:t>
      </w:r>
    </w:p>
    <w:p w14:paraId="154B88AD">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41C98563">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3F0C9B65">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6D1DD065">
      <w:pPr>
        <w:pStyle w:val="35"/>
        <w:wordWrap w:val="0"/>
        <w:spacing w:line="360" w:lineRule="auto"/>
        <w:rPr>
          <w:rFonts w:hint="eastAsia" w:ascii="宋体" w:hAnsi="宋体" w:eastAsia="宋体" w:cs="宋体"/>
          <w:color w:val="auto"/>
          <w:highlight w:val="none"/>
        </w:rPr>
      </w:pPr>
      <w:bookmarkStart w:id="286" w:name="OLE_LINK6"/>
      <w:bookmarkStart w:id="287" w:name="OLE_LINK7"/>
      <w:bookmarkStart w:id="288" w:name="OLE_LINK5"/>
      <w:r>
        <w:rPr>
          <w:rFonts w:hint="eastAsia" w:ascii="宋体" w:hAnsi="宋体" w:eastAsia="宋体" w:cs="宋体"/>
          <w:color w:val="auto"/>
          <w:highlight w:val="none"/>
        </w:rPr>
        <w:t>五、投标人情况介绍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86631F6">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六、投标人类似业绩的证明文件（如有要求）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286"/>
      <w:bookmarkEnd w:id="287"/>
    </w:p>
    <w:p w14:paraId="56DE290F">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七、除招标文件规定必须提供以外，投标人认为需要提供的其他证明材料。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288"/>
    <w:p w14:paraId="1FA813D7">
      <w:pPr>
        <w:wordWrap w:val="0"/>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2A812A21">
      <w:pPr>
        <w:ind w:firstLine="602"/>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br w:type="page"/>
      </w:r>
    </w:p>
    <w:p w14:paraId="4A6260F0">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一、无串通投标行为的承诺函</w:t>
      </w:r>
    </w:p>
    <w:p w14:paraId="695CFA58">
      <w:pPr>
        <w:wordWrap w:val="0"/>
        <w:snapToGrid w:val="0"/>
        <w:spacing w:line="360" w:lineRule="auto"/>
        <w:ind w:left="420" w:firstLine="643"/>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投标人参加本项目无串通投标行为的承诺函</w:t>
      </w:r>
    </w:p>
    <w:p w14:paraId="2F232038">
      <w:pPr>
        <w:wordWrap w:val="0"/>
        <w:snapToGrid w:val="0"/>
        <w:spacing w:line="360" w:lineRule="auto"/>
        <w:ind w:firstLine="422"/>
        <w:rPr>
          <w:rFonts w:hint="eastAsia" w:ascii="宋体" w:hAnsi="宋体" w:cs="宋体"/>
          <w:b/>
          <w:color w:val="auto"/>
          <w:szCs w:val="21"/>
          <w:highlight w:val="none"/>
        </w:rPr>
      </w:pPr>
    </w:p>
    <w:p w14:paraId="6590A24E">
      <w:pPr>
        <w:wordWrap w:val="0"/>
        <w:snapToGrid w:val="0"/>
        <w:spacing w:line="360" w:lineRule="auto"/>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一、我方承诺无下列相互串通投标的情形：</w:t>
      </w:r>
    </w:p>
    <w:p w14:paraId="35545C30">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1.不同投标人的投标文件由同一单位或者个人编制；或者不同投标人报名的IP地址一致的；或者编制标书硬件设备CPU编号、硬盘编号、网卡地址一致的情况。</w:t>
      </w:r>
    </w:p>
    <w:p w14:paraId="3A02ADDA">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2.不同投标人委托同一单位或者个人办理投标事宜；</w:t>
      </w:r>
    </w:p>
    <w:p w14:paraId="0D9E6348">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3.不同的投标人的投标文件载明的项目管理员为同一个人；</w:t>
      </w:r>
    </w:p>
    <w:p w14:paraId="088D60CB">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4.不同投标人的投标文件异常一致或者投标报价呈规律性差异；</w:t>
      </w:r>
    </w:p>
    <w:p w14:paraId="544A4C7C">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5.不同投标人的投标文件相互混装；</w:t>
      </w:r>
    </w:p>
    <w:p w14:paraId="3622E440">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6.不同投标人的投标保证金从同一单位或者个人账户转出。</w:t>
      </w:r>
    </w:p>
    <w:p w14:paraId="09828A87">
      <w:pPr>
        <w:wordWrap w:val="0"/>
        <w:snapToGrid w:val="0"/>
        <w:spacing w:line="360" w:lineRule="auto"/>
        <w:ind w:firstLine="422"/>
        <w:jc w:val="left"/>
        <w:rPr>
          <w:rFonts w:hint="eastAsia" w:ascii="宋体" w:hAnsi="宋体" w:cs="宋体"/>
          <w:color w:val="auto"/>
          <w:szCs w:val="21"/>
          <w:highlight w:val="none"/>
        </w:rPr>
      </w:pPr>
      <w:r>
        <w:rPr>
          <w:rFonts w:hint="eastAsia" w:ascii="宋体" w:hAnsi="宋体" w:cs="宋体"/>
          <w:b/>
          <w:color w:val="auto"/>
          <w:szCs w:val="21"/>
          <w:highlight w:val="none"/>
        </w:rPr>
        <w:t>二、我方承诺无下列恶意串通的情形：</w:t>
      </w:r>
    </w:p>
    <w:p w14:paraId="29DDBB8E">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1.投标人直接或者间接从采购人或者采购代理机构处获得其他投标人的相关信息并修改其投标文件或者投标文件；</w:t>
      </w:r>
    </w:p>
    <w:p w14:paraId="2ADE2927">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2.投标人按照采购人或者采购代理机构的授意撤换、修改投标文件或者投标文件；</w:t>
      </w:r>
    </w:p>
    <w:p w14:paraId="5C6CF4A0">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3.投标人之间协商报价、技术方案等投标文件或者投标文件的实质性内容；</w:t>
      </w:r>
    </w:p>
    <w:p w14:paraId="0A41952D">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4.属于同一集团、协会、商会等组织成员的投标人按照该组织要求协同参加政府采购活动；</w:t>
      </w:r>
    </w:p>
    <w:p w14:paraId="2851601B">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2A0448CD">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6.投标人之间商定部分投标人放弃参加政府采购活动或者放弃中标；</w:t>
      </w:r>
    </w:p>
    <w:p w14:paraId="00FEF37F">
      <w:pPr>
        <w:wordWrap w:val="0"/>
        <w:snapToGrid w:val="0"/>
        <w:spacing w:line="360" w:lineRule="auto"/>
        <w:ind w:firstLine="411" w:firstLineChars="196"/>
        <w:jc w:val="left"/>
        <w:rPr>
          <w:rFonts w:hint="eastAsia" w:ascii="宋体" w:hAnsi="宋体" w:cs="宋体"/>
          <w:color w:val="auto"/>
          <w:szCs w:val="21"/>
          <w:highlight w:val="none"/>
        </w:rPr>
      </w:pPr>
      <w:r>
        <w:rPr>
          <w:rFonts w:hint="eastAsia" w:ascii="宋体" w:hAnsi="宋体" w:cs="宋体"/>
          <w:color w:val="auto"/>
          <w:szCs w:val="21"/>
          <w:highlight w:val="none"/>
        </w:rPr>
        <w:t>7.投标人与采购人或者采购代理机构之间、投标人相互之间，为谋求特定投标人中标或者排斥其他投标人的其他串通行为。</w:t>
      </w:r>
    </w:p>
    <w:p w14:paraId="175FF134">
      <w:pPr>
        <w:wordWrap w:val="0"/>
        <w:snapToGrid w:val="0"/>
        <w:spacing w:line="360" w:lineRule="auto"/>
        <w:ind w:firstLine="413" w:firstLineChars="196"/>
        <w:jc w:val="left"/>
        <w:rPr>
          <w:rFonts w:hint="eastAsia" w:ascii="宋体" w:hAnsi="宋体" w:cs="宋体"/>
          <w:b/>
          <w:color w:val="auto"/>
          <w:szCs w:val="21"/>
          <w:highlight w:val="none"/>
        </w:rPr>
      </w:pPr>
      <w:r>
        <w:rPr>
          <w:rFonts w:hint="eastAsia" w:ascii="宋体" w:hAnsi="宋体" w:cs="宋体"/>
          <w:b/>
          <w:color w:val="auto"/>
          <w:szCs w:val="21"/>
          <w:highlight w:val="none"/>
        </w:rPr>
        <w:t>以上情形一经核查属实，我方愿意承担一切后果，接受政府采购监管部门对我方认定存在围标串标行为，并不再寻求任何旨在减轻或者免除法律责任的辩解。</w:t>
      </w:r>
    </w:p>
    <w:p w14:paraId="788984AF">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61FDA473">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1E1749FC">
      <w:pPr>
        <w:wordWrap w:val="0"/>
        <w:snapToGrid w:val="0"/>
        <w:spacing w:line="360" w:lineRule="auto"/>
        <w:ind w:right="480" w:firstLine="482"/>
        <w:jc w:val="center"/>
        <w:rPr>
          <w:rFonts w:hint="eastAsia" w:hAnsi="宋体" w:cs="宋体"/>
          <w:b/>
          <w:color w:val="auto"/>
          <w:sz w:val="24"/>
          <w:highlight w:val="none"/>
        </w:rPr>
      </w:pPr>
      <w:r>
        <w:rPr>
          <w:rFonts w:hint="eastAsia" w:hAnsi="宋体" w:cs="宋体"/>
          <w:b/>
          <w:color w:val="auto"/>
          <w:sz w:val="24"/>
          <w:highlight w:val="none"/>
        </w:rPr>
        <w:br w:type="page"/>
      </w:r>
      <w:r>
        <w:rPr>
          <w:rFonts w:hint="eastAsia" w:ascii="宋体" w:hAnsi="宋体" w:cs="宋体"/>
          <w:b/>
          <w:color w:val="auto"/>
          <w:kern w:val="0"/>
          <w:sz w:val="32"/>
          <w:szCs w:val="32"/>
          <w:highlight w:val="none"/>
        </w:rPr>
        <w:t>二、法定代表人身份证明及法定代表人有效身份证正反面复印件</w:t>
      </w:r>
    </w:p>
    <w:p w14:paraId="75AAF1DC">
      <w:pPr>
        <w:wordWrap w:val="0"/>
        <w:spacing w:line="360" w:lineRule="auto"/>
        <w:ind w:left="540" w:firstLine="643"/>
        <w:jc w:val="center"/>
        <w:rPr>
          <w:rFonts w:hint="eastAsia" w:ascii="宋体" w:hAnsi="宋体" w:cs="宋体"/>
          <w:b/>
          <w:color w:val="auto"/>
          <w:sz w:val="32"/>
          <w:szCs w:val="32"/>
          <w:highlight w:val="none"/>
        </w:rPr>
      </w:pPr>
    </w:p>
    <w:p w14:paraId="6E5880BB">
      <w:pPr>
        <w:wordWrap w:val="0"/>
        <w:spacing w:line="360" w:lineRule="auto"/>
        <w:ind w:left="540" w:firstLine="643"/>
        <w:jc w:val="center"/>
        <w:rPr>
          <w:rFonts w:hint="eastAsia" w:ascii="宋体" w:hAnsi="宋体" w:cs="宋体"/>
          <w:color w:val="auto"/>
          <w:sz w:val="32"/>
          <w:szCs w:val="32"/>
          <w:highlight w:val="none"/>
        </w:rPr>
      </w:pPr>
      <w:r>
        <w:rPr>
          <w:rFonts w:hint="eastAsia" w:ascii="宋体" w:hAnsi="宋体" w:cs="宋体"/>
          <w:b/>
          <w:color w:val="auto"/>
          <w:sz w:val="32"/>
          <w:szCs w:val="32"/>
          <w:highlight w:val="none"/>
        </w:rPr>
        <w:t>法定代表人身份证明</w:t>
      </w:r>
    </w:p>
    <w:p w14:paraId="755487CC">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投 标 人：</w:t>
      </w:r>
      <w:r>
        <w:rPr>
          <w:rFonts w:hint="eastAsia" w:ascii="宋体" w:hAnsi="宋体" w:cs="宋体"/>
          <w:color w:val="auto"/>
          <w:szCs w:val="21"/>
          <w:highlight w:val="none"/>
          <w:u w:val="single"/>
        </w:rPr>
        <w:t xml:space="preserve">                                                        </w:t>
      </w:r>
    </w:p>
    <w:p w14:paraId="4CBF2D7D">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00328735">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      别：</w:t>
      </w:r>
      <w:r>
        <w:rPr>
          <w:rFonts w:hint="eastAsia" w:ascii="宋体" w:hAnsi="宋体" w:cs="宋体"/>
          <w:color w:val="auto"/>
          <w:szCs w:val="21"/>
          <w:highlight w:val="none"/>
          <w:u w:val="single"/>
        </w:rPr>
        <w:t xml:space="preserve">                </w:t>
      </w:r>
    </w:p>
    <w:p w14:paraId="569406EC">
      <w:pPr>
        <w:wordWrap w:val="0"/>
        <w:spacing w:line="360" w:lineRule="auto"/>
        <w:ind w:left="540"/>
        <w:rPr>
          <w:rFonts w:hint="eastAsia" w:ascii="宋体" w:hAnsi="宋体" w:cs="宋体"/>
          <w:color w:val="auto"/>
          <w:szCs w:val="21"/>
          <w:highlight w:val="none"/>
          <w:u w:val="single"/>
        </w:rPr>
      </w:pPr>
      <w:r>
        <w:rPr>
          <w:rFonts w:hint="eastAsia" w:ascii="宋体" w:hAnsi="宋体" w:cs="宋体"/>
          <w:color w:val="auto"/>
          <w:szCs w:val="21"/>
          <w:highlight w:val="none"/>
        </w:rPr>
        <w:t>年    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p>
    <w:p w14:paraId="7DB80849">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2D824FD6">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（投标人名称）              </w:t>
      </w:r>
      <w:r>
        <w:rPr>
          <w:rFonts w:hint="eastAsia" w:ascii="宋体" w:hAnsi="宋体" w:cs="宋体"/>
          <w:color w:val="auto"/>
          <w:szCs w:val="21"/>
          <w:highlight w:val="none"/>
        </w:rPr>
        <w:t>的法定代表人。</w:t>
      </w:r>
    </w:p>
    <w:p w14:paraId="1BB5710A">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特此证明。</w:t>
      </w:r>
    </w:p>
    <w:p w14:paraId="03F2FB9A">
      <w:pPr>
        <w:wordWrap w:val="0"/>
        <w:spacing w:line="360" w:lineRule="auto"/>
        <w:ind w:left="540"/>
        <w:rPr>
          <w:rFonts w:hint="eastAsia" w:ascii="宋体" w:hAnsi="宋体" w:cs="宋体"/>
          <w:color w:val="auto"/>
          <w:szCs w:val="21"/>
          <w:highlight w:val="none"/>
        </w:rPr>
      </w:pPr>
    </w:p>
    <w:p w14:paraId="322AA932">
      <w:pPr>
        <w:wordWrap w:val="0"/>
        <w:spacing w:line="360" w:lineRule="auto"/>
        <w:ind w:left="540"/>
        <w:rPr>
          <w:rFonts w:hint="eastAsia" w:ascii="宋体" w:hAnsi="宋体" w:cs="宋体"/>
          <w:color w:val="auto"/>
          <w:szCs w:val="21"/>
          <w:highlight w:val="none"/>
        </w:rPr>
      </w:pPr>
    </w:p>
    <w:p w14:paraId="6BC5F2EC">
      <w:pPr>
        <w:wordWrap w:val="0"/>
        <w:spacing w:line="360" w:lineRule="auto"/>
        <w:ind w:left="540"/>
        <w:rPr>
          <w:rFonts w:hint="eastAsia" w:ascii="宋体" w:hAnsi="宋体" w:cs="宋体"/>
          <w:color w:val="auto"/>
          <w:szCs w:val="21"/>
          <w:highlight w:val="none"/>
        </w:rPr>
      </w:pPr>
      <w:r>
        <w:rPr>
          <w:rFonts w:hint="eastAsia" w:ascii="宋体" w:hAnsi="宋体" w:cs="宋体"/>
          <w:color w:val="auto"/>
          <w:szCs w:val="21"/>
          <w:highlight w:val="none"/>
        </w:rPr>
        <w:t>附件：法定代表人有效身份证正反面复印件</w:t>
      </w:r>
    </w:p>
    <w:p w14:paraId="27AE0887">
      <w:pPr>
        <w:wordWrap w:val="0"/>
        <w:spacing w:line="360" w:lineRule="auto"/>
        <w:ind w:left="540"/>
        <w:rPr>
          <w:rFonts w:hint="eastAsia" w:ascii="宋体" w:hAnsi="宋体" w:cs="宋体"/>
          <w:color w:val="auto"/>
          <w:szCs w:val="21"/>
          <w:highlight w:val="none"/>
        </w:rPr>
      </w:pPr>
    </w:p>
    <w:p w14:paraId="356F9219">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75E74F88">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72208F6D">
      <w:pPr>
        <w:wordWrap w:val="0"/>
        <w:snapToGrid w:val="0"/>
        <w:spacing w:line="360" w:lineRule="auto"/>
        <w:ind w:firstLine="422"/>
        <w:jc w:val="center"/>
        <w:rPr>
          <w:rFonts w:hint="eastAsia" w:ascii="宋体" w:hAnsi="宋体" w:cs="宋体"/>
          <w:b/>
          <w:color w:val="auto"/>
          <w:szCs w:val="21"/>
          <w:highlight w:val="none"/>
        </w:rPr>
      </w:pPr>
    </w:p>
    <w:p w14:paraId="491E742B">
      <w:pPr>
        <w:wordWrap w:val="0"/>
        <w:snapToGrid w:val="0"/>
        <w:spacing w:line="360" w:lineRule="auto"/>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注：自然人投标的无需提供</w:t>
      </w:r>
    </w:p>
    <w:p w14:paraId="2136215F">
      <w:pPr>
        <w:wordWrap w:val="0"/>
        <w:snapToGrid w:val="0"/>
        <w:spacing w:line="360" w:lineRule="auto"/>
        <w:ind w:firstLine="600" w:firstLineChars="250"/>
        <w:jc w:val="left"/>
        <w:rPr>
          <w:rFonts w:hint="eastAsia" w:ascii="宋体" w:hAnsi="宋体" w:cs="宋体"/>
          <w:color w:val="auto"/>
          <w:sz w:val="24"/>
          <w:highlight w:val="none"/>
        </w:rPr>
      </w:pPr>
    </w:p>
    <w:p w14:paraId="57EC63DD">
      <w:pPr>
        <w:wordWrap w:val="0"/>
        <w:snapToGrid w:val="0"/>
        <w:spacing w:line="360" w:lineRule="auto"/>
        <w:ind w:firstLine="602" w:firstLineChars="250"/>
        <w:jc w:val="left"/>
        <w:rPr>
          <w:rFonts w:hint="eastAsia" w:ascii="宋体" w:hAnsi="宋体" w:cs="宋体"/>
          <w:b/>
          <w:color w:val="auto"/>
          <w:sz w:val="24"/>
          <w:szCs w:val="20"/>
          <w:highlight w:val="none"/>
        </w:rPr>
      </w:pPr>
    </w:p>
    <w:tbl>
      <w:tblPr>
        <w:tblStyle w:val="22"/>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7EB9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653B4584">
            <w:pPr>
              <w:wordWrap w:val="0"/>
              <w:spacing w:line="360" w:lineRule="auto"/>
              <w:ind w:firstLine="422"/>
              <w:rPr>
                <w:rFonts w:hint="eastAsia" w:ascii="宋体" w:hAnsi="宋体" w:cs="宋体"/>
                <w:b/>
                <w:color w:val="auto"/>
                <w:szCs w:val="21"/>
                <w:highlight w:val="none"/>
              </w:rPr>
            </w:pPr>
          </w:p>
          <w:p w14:paraId="782C8C4C">
            <w:pPr>
              <w:wordWrap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法定代表身份证复印件粘帖处（正、反面）</w:t>
            </w:r>
          </w:p>
        </w:tc>
      </w:tr>
    </w:tbl>
    <w:p w14:paraId="2AC4E9DE">
      <w:pPr>
        <w:pStyle w:val="12"/>
        <w:wordWrap w:val="0"/>
        <w:snapToGrid w:val="0"/>
        <w:spacing w:line="360" w:lineRule="auto"/>
        <w:ind w:firstLine="422"/>
        <w:rPr>
          <w:rFonts w:hint="eastAsia" w:hAnsi="宋体" w:cs="宋体"/>
          <w:b/>
          <w:color w:val="auto"/>
          <w:sz w:val="24"/>
          <w:highlight w:val="none"/>
        </w:rPr>
      </w:pPr>
      <w:r>
        <w:rPr>
          <w:rFonts w:hint="eastAsia" w:hAnsi="宋体" w:cs="宋体"/>
          <w:b/>
          <w:color w:val="auto"/>
          <w:szCs w:val="21"/>
          <w:highlight w:val="none"/>
        </w:rPr>
        <w:t>附件：</w:t>
      </w:r>
      <w:r>
        <w:rPr>
          <w:rFonts w:hint="eastAsia" w:hAnsi="宋体" w:cs="宋体"/>
          <w:b/>
          <w:color w:val="auto"/>
          <w:sz w:val="24"/>
          <w:highlight w:val="none"/>
        </w:rPr>
        <w:br w:type="page"/>
      </w:r>
      <w:r>
        <w:rPr>
          <w:rFonts w:hint="eastAsia" w:hAnsi="宋体" w:cs="宋体"/>
          <w:b/>
          <w:color w:val="auto"/>
          <w:kern w:val="0"/>
          <w:sz w:val="32"/>
          <w:szCs w:val="32"/>
          <w:highlight w:val="none"/>
        </w:rPr>
        <w:t>三、法定代表人授权委托书及委托代理人有效身份证正反面复印件（如有委托时）</w:t>
      </w:r>
    </w:p>
    <w:p w14:paraId="50B93098">
      <w:pPr>
        <w:wordWrap w:val="0"/>
        <w:snapToGrid w:val="0"/>
        <w:spacing w:line="360" w:lineRule="auto"/>
        <w:ind w:firstLine="643"/>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法定代表人授权委托书</w:t>
      </w:r>
    </w:p>
    <w:p w14:paraId="244855D9">
      <w:pPr>
        <w:wordWrap w:val="0"/>
        <w:snapToGrid w:val="0"/>
        <w:spacing w:line="360" w:lineRule="auto"/>
        <w:ind w:firstLine="422"/>
        <w:jc w:val="center"/>
        <w:rPr>
          <w:rFonts w:hint="eastAsia" w:ascii="宋体" w:hAnsi="宋体" w:cs="宋体"/>
          <w:b/>
          <w:color w:val="auto"/>
          <w:szCs w:val="21"/>
          <w:highlight w:val="none"/>
        </w:rPr>
      </w:pPr>
    </w:p>
    <w:p w14:paraId="6D4C184E">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致：</w:t>
      </w:r>
      <w:r>
        <w:rPr>
          <w:rFonts w:hint="eastAsia" w:hAnsi="宋体" w:cs="宋体"/>
          <w:color w:val="auto"/>
          <w:szCs w:val="21"/>
          <w:highlight w:val="none"/>
          <w:u w:val="single"/>
        </w:rPr>
        <w:t xml:space="preserve"> </w:t>
      </w:r>
      <w:bookmarkStart w:id="289" w:name="PO_3000001866_PM031_7"/>
      <w:r>
        <w:rPr>
          <w:rFonts w:hint="eastAsia" w:hAnsi="宋体" w:cs="宋体"/>
          <w:color w:val="auto"/>
          <w:szCs w:val="21"/>
          <w:highlight w:val="none"/>
          <w:u w:val="single"/>
        </w:rPr>
        <w:t>广西邕政采购代理有限公司</w:t>
      </w:r>
      <w:bookmarkEnd w:id="289"/>
      <w:r>
        <w:rPr>
          <w:rFonts w:hint="eastAsia" w:hAnsi="宋体" w:cs="宋体"/>
          <w:color w:val="auto"/>
          <w:szCs w:val="21"/>
          <w:highlight w:val="none"/>
          <w:u w:val="single"/>
        </w:rPr>
        <w:t xml:space="preserve"> </w:t>
      </w:r>
    </w:p>
    <w:p w14:paraId="7FCCF306">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本人</w:t>
      </w:r>
      <w:r>
        <w:rPr>
          <w:rFonts w:hint="eastAsia" w:hAnsi="宋体" w:cs="宋体"/>
          <w:color w:val="auto"/>
          <w:szCs w:val="21"/>
          <w:highlight w:val="none"/>
          <w:u w:val="single"/>
        </w:rPr>
        <w:t xml:space="preserve">        </w:t>
      </w:r>
      <w:r>
        <w:rPr>
          <w:rFonts w:hint="eastAsia" w:hAnsi="宋体" w:cs="宋体"/>
          <w:color w:val="auto"/>
          <w:szCs w:val="21"/>
          <w:highlight w:val="none"/>
        </w:rPr>
        <w:t>（姓名）系</w:t>
      </w:r>
      <w:r>
        <w:rPr>
          <w:rFonts w:hint="eastAsia" w:hAnsi="宋体" w:cs="宋体"/>
          <w:color w:val="auto"/>
          <w:szCs w:val="21"/>
          <w:highlight w:val="none"/>
          <w:u w:val="single"/>
        </w:rPr>
        <w:t xml:space="preserve">                 </w:t>
      </w:r>
      <w:r>
        <w:rPr>
          <w:rFonts w:hint="eastAsia" w:hAnsi="宋体" w:cs="宋体"/>
          <w:color w:val="auto"/>
          <w:szCs w:val="21"/>
          <w:highlight w:val="none"/>
        </w:rPr>
        <w:t>（投标人名称）的法定代表人，现授权我单位在职正式员工</w:t>
      </w:r>
      <w:r>
        <w:rPr>
          <w:rFonts w:hint="eastAsia" w:hAnsi="宋体" w:cs="宋体"/>
          <w:color w:val="auto"/>
          <w:szCs w:val="21"/>
          <w:highlight w:val="none"/>
          <w:u w:val="single"/>
        </w:rPr>
        <w:t xml:space="preserve">        </w:t>
      </w:r>
      <w:r>
        <w:rPr>
          <w:rFonts w:hint="eastAsia" w:hAnsi="宋体" w:cs="宋体"/>
          <w:color w:val="auto"/>
          <w:szCs w:val="21"/>
          <w:highlight w:val="none"/>
        </w:rPr>
        <w:t>（姓名和职务）为我方代理人。代理人根据授权，以我方名义签署、澄清、说明、补正、递交、撤回、修改贵方组织的</w:t>
      </w:r>
      <w:r>
        <w:rPr>
          <w:rFonts w:hint="eastAsia" w:hAnsi="宋体" w:cs="宋体"/>
          <w:color w:val="auto"/>
          <w:szCs w:val="21"/>
          <w:highlight w:val="none"/>
          <w:u w:val="single"/>
        </w:rPr>
        <w:t xml:space="preserve"> （项目名称）  </w:t>
      </w:r>
      <w:r>
        <w:rPr>
          <w:rFonts w:hint="eastAsia" w:hAnsi="宋体" w:cs="宋体"/>
          <w:color w:val="auto"/>
          <w:szCs w:val="21"/>
          <w:highlight w:val="none"/>
        </w:rPr>
        <w:t>项目（项目编号</w:t>
      </w:r>
      <w:r>
        <w:rPr>
          <w:rFonts w:hint="eastAsia" w:hAnsi="宋体" w:cs="宋体"/>
          <w:color w:val="auto"/>
          <w:szCs w:val="21"/>
          <w:highlight w:val="none"/>
          <w:u w:val="single"/>
        </w:rPr>
        <w:t xml:space="preserve">：             </w:t>
      </w:r>
      <w:r>
        <w:rPr>
          <w:rFonts w:hint="eastAsia" w:hAnsi="宋体" w:cs="宋体"/>
          <w:color w:val="auto"/>
          <w:szCs w:val="21"/>
          <w:highlight w:val="none"/>
        </w:rPr>
        <w:t>）的投标文件、签订合同和处理一切有关事宜，其法律后果由我方承担。</w:t>
      </w:r>
    </w:p>
    <w:p w14:paraId="66B93034">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本授权书于</w:t>
      </w:r>
      <w:r>
        <w:rPr>
          <w:rFonts w:hint="eastAsia" w:hAnsi="宋体" w:cs="宋体"/>
          <w:color w:val="auto"/>
          <w:spacing w:val="10"/>
          <w:szCs w:val="21"/>
          <w:highlight w:val="none"/>
          <w:u w:val="single"/>
        </w:rPr>
        <w:t xml:space="preserve">    </w:t>
      </w:r>
      <w:r>
        <w:rPr>
          <w:rFonts w:hint="eastAsia" w:hAnsi="宋体" w:cs="宋体"/>
          <w:color w:val="auto"/>
          <w:szCs w:val="21"/>
          <w:highlight w:val="none"/>
        </w:rPr>
        <w:t>年</w:t>
      </w:r>
      <w:r>
        <w:rPr>
          <w:rFonts w:hint="eastAsia" w:hAnsi="宋体" w:cs="宋体"/>
          <w:color w:val="auto"/>
          <w:spacing w:val="10"/>
          <w:szCs w:val="21"/>
          <w:highlight w:val="none"/>
          <w:u w:val="single"/>
        </w:rPr>
        <w:t xml:space="preserve">    </w:t>
      </w:r>
      <w:r>
        <w:rPr>
          <w:rFonts w:hint="eastAsia" w:hAnsi="宋体" w:cs="宋体"/>
          <w:color w:val="auto"/>
          <w:szCs w:val="21"/>
          <w:highlight w:val="none"/>
        </w:rPr>
        <w:t>月</w:t>
      </w:r>
      <w:r>
        <w:rPr>
          <w:rFonts w:hint="eastAsia" w:hAnsi="宋体" w:cs="宋体"/>
          <w:color w:val="auto"/>
          <w:spacing w:val="10"/>
          <w:szCs w:val="21"/>
          <w:highlight w:val="none"/>
          <w:u w:val="single"/>
        </w:rPr>
        <w:t xml:space="preserve">    </w:t>
      </w:r>
      <w:r>
        <w:rPr>
          <w:rFonts w:hint="eastAsia" w:hAnsi="宋体" w:cs="宋体"/>
          <w:color w:val="auto"/>
          <w:szCs w:val="21"/>
          <w:highlight w:val="none"/>
        </w:rPr>
        <w:t>日签字生效，委托期限：</w:t>
      </w:r>
      <w:r>
        <w:rPr>
          <w:rFonts w:hint="eastAsia" w:hAnsi="宋体" w:cs="宋体"/>
          <w:color w:val="auto"/>
          <w:spacing w:val="10"/>
          <w:szCs w:val="21"/>
          <w:highlight w:val="none"/>
          <w:u w:val="single"/>
        </w:rPr>
        <w:t xml:space="preserve">    </w:t>
      </w:r>
      <w:r>
        <w:rPr>
          <w:rFonts w:hint="eastAsia" w:hAnsi="宋体" w:cs="宋体"/>
          <w:color w:val="auto"/>
          <w:szCs w:val="21"/>
          <w:highlight w:val="none"/>
        </w:rPr>
        <w:t>。</w:t>
      </w:r>
    </w:p>
    <w:p w14:paraId="5F224EF4">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代理人无转委托权。</w:t>
      </w:r>
    </w:p>
    <w:p w14:paraId="050A72BA">
      <w:pPr>
        <w:pStyle w:val="12"/>
        <w:wordWrap w:val="0"/>
        <w:spacing w:line="360" w:lineRule="auto"/>
        <w:ind w:firstLine="420"/>
        <w:rPr>
          <w:rFonts w:hint="eastAsia" w:hAnsi="宋体" w:cs="宋体"/>
          <w:color w:val="auto"/>
          <w:szCs w:val="21"/>
          <w:highlight w:val="none"/>
        </w:rPr>
      </w:pPr>
    </w:p>
    <w:p w14:paraId="751F2FF6">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投标人（或联合体投标</w:t>
      </w:r>
      <w:r>
        <w:rPr>
          <w:rFonts w:hint="eastAsia" w:hAnsi="宋体" w:cs="宋体"/>
          <w:color w:val="auto"/>
          <w:kern w:val="0"/>
          <w:szCs w:val="21"/>
          <w:highlight w:val="none"/>
        </w:rPr>
        <w:t>牵头人名称</w:t>
      </w:r>
      <w:r>
        <w:rPr>
          <w:rFonts w:hint="eastAsia" w:hAnsi="宋体" w:cs="宋体"/>
          <w:color w:val="auto"/>
          <w:szCs w:val="21"/>
          <w:highlight w:val="none"/>
        </w:rPr>
        <w:t>）（盖单位公章）：</w:t>
      </w:r>
      <w:r>
        <w:rPr>
          <w:rFonts w:hint="eastAsia" w:hAnsi="宋体" w:cs="宋体"/>
          <w:color w:val="auto"/>
          <w:szCs w:val="21"/>
          <w:highlight w:val="none"/>
          <w:u w:val="single"/>
        </w:rPr>
        <w:t xml:space="preserve">                                    </w:t>
      </w:r>
    </w:p>
    <w:p w14:paraId="1571E3F2">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法定代表人（签字或盖章）：</w:t>
      </w:r>
      <w:r>
        <w:rPr>
          <w:rFonts w:hint="eastAsia" w:hAnsi="宋体" w:cs="宋体"/>
          <w:color w:val="auto"/>
          <w:szCs w:val="21"/>
          <w:highlight w:val="none"/>
          <w:u w:val="single"/>
        </w:rPr>
        <w:t xml:space="preserve">                                </w:t>
      </w:r>
    </w:p>
    <w:p w14:paraId="144EABD6">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法定代表人身份证号码：</w:t>
      </w:r>
      <w:r>
        <w:rPr>
          <w:rFonts w:hint="eastAsia" w:hAnsi="宋体" w:cs="宋体"/>
          <w:color w:val="auto"/>
          <w:szCs w:val="21"/>
          <w:highlight w:val="none"/>
          <w:u w:val="single"/>
        </w:rPr>
        <w:t xml:space="preserve">                                   </w:t>
      </w:r>
    </w:p>
    <w:p w14:paraId="07CF0B5A">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委托代理人（签字或盖章）：</w:t>
      </w:r>
      <w:r>
        <w:rPr>
          <w:rFonts w:hint="eastAsia" w:hAnsi="宋体" w:cs="宋体"/>
          <w:color w:val="auto"/>
          <w:szCs w:val="21"/>
          <w:highlight w:val="none"/>
          <w:u w:val="single"/>
        </w:rPr>
        <w:t xml:space="preserve">                                </w:t>
      </w:r>
    </w:p>
    <w:p w14:paraId="3B402891">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委托代理人身份证号码：</w:t>
      </w:r>
      <w:r>
        <w:rPr>
          <w:rFonts w:hint="eastAsia" w:hAnsi="宋体" w:cs="宋体"/>
          <w:color w:val="auto"/>
          <w:szCs w:val="21"/>
          <w:highlight w:val="none"/>
          <w:u w:val="single"/>
        </w:rPr>
        <w:t xml:space="preserve">                                   </w:t>
      </w:r>
    </w:p>
    <w:p w14:paraId="141DC9B1">
      <w:pPr>
        <w:pStyle w:val="12"/>
        <w:wordWrap w:val="0"/>
        <w:spacing w:line="360" w:lineRule="auto"/>
        <w:ind w:firstLine="420"/>
        <w:rPr>
          <w:rFonts w:hint="eastAsia" w:hAnsi="宋体" w:cs="宋体"/>
          <w:color w:val="auto"/>
          <w:szCs w:val="21"/>
          <w:highlight w:val="none"/>
          <w:u w:val="single"/>
        </w:rPr>
      </w:pPr>
    </w:p>
    <w:p w14:paraId="0AC631E0">
      <w:pPr>
        <w:wordWrap w:val="0"/>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成员一名称（盖单位公章）：</w:t>
      </w:r>
      <w:r>
        <w:rPr>
          <w:rFonts w:hint="eastAsia" w:ascii="宋体" w:hAnsi="宋体" w:cs="宋体"/>
          <w:color w:val="auto"/>
          <w:kern w:val="0"/>
          <w:szCs w:val="21"/>
          <w:highlight w:val="none"/>
          <w:u w:val="single"/>
        </w:rPr>
        <w:t xml:space="preserve">                                       </w:t>
      </w:r>
    </w:p>
    <w:p w14:paraId="0C40231D">
      <w:pPr>
        <w:wordWrap w:val="0"/>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szCs w:val="21"/>
          <w:highlight w:val="none"/>
        </w:rPr>
        <w:t>（签字或盖章）</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w:t>
      </w:r>
    </w:p>
    <w:p w14:paraId="524BD1AB">
      <w:pPr>
        <w:pStyle w:val="12"/>
        <w:wordWrap w:val="0"/>
        <w:spacing w:line="360" w:lineRule="auto"/>
        <w:ind w:firstLine="420"/>
        <w:rPr>
          <w:rFonts w:hint="eastAsia" w:hAnsi="宋体" w:cs="宋体"/>
          <w:color w:val="auto"/>
          <w:szCs w:val="21"/>
          <w:highlight w:val="none"/>
          <w:u w:val="single"/>
        </w:rPr>
      </w:pPr>
    </w:p>
    <w:p w14:paraId="18BBF5FD">
      <w:pPr>
        <w:wordWrap w:val="0"/>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成员二名称（盖单位公章）：</w:t>
      </w:r>
      <w:r>
        <w:rPr>
          <w:rFonts w:hint="eastAsia" w:ascii="宋体" w:hAnsi="宋体" w:cs="宋体"/>
          <w:color w:val="auto"/>
          <w:kern w:val="0"/>
          <w:szCs w:val="21"/>
          <w:highlight w:val="none"/>
          <w:u w:val="single"/>
        </w:rPr>
        <w:t xml:space="preserve">                                       </w:t>
      </w:r>
    </w:p>
    <w:p w14:paraId="159BC0FD">
      <w:pPr>
        <w:wordWrap w:val="0"/>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法定代表人或其委托代理人</w:t>
      </w:r>
      <w:r>
        <w:rPr>
          <w:rFonts w:hint="eastAsia" w:ascii="宋体" w:hAnsi="宋体" w:cs="宋体"/>
          <w:color w:val="auto"/>
          <w:szCs w:val="21"/>
          <w:highlight w:val="none"/>
        </w:rPr>
        <w:t>（签字或盖章）</w:t>
      </w:r>
      <w:r>
        <w:rPr>
          <w:rFonts w:hint="eastAsia" w:ascii="宋体" w:hAnsi="宋体" w:cs="宋体"/>
          <w:color w:val="auto"/>
          <w:kern w:val="0"/>
          <w:szCs w:val="21"/>
          <w:highlight w:val="none"/>
        </w:rPr>
        <w:t>：</w:t>
      </w:r>
      <w:r>
        <w:rPr>
          <w:rFonts w:hint="eastAsia" w:ascii="宋体" w:hAnsi="宋体" w:cs="宋体"/>
          <w:color w:val="auto"/>
          <w:kern w:val="0"/>
          <w:szCs w:val="21"/>
          <w:highlight w:val="none"/>
          <w:u w:val="single"/>
        </w:rPr>
        <w:t xml:space="preserve">                         </w:t>
      </w:r>
    </w:p>
    <w:p w14:paraId="630E70C6">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w:t>
      </w:r>
    </w:p>
    <w:p w14:paraId="62E4D6C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w:t>
      </w:r>
    </w:p>
    <w:p w14:paraId="234C9D3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1.法定代表人和委托代理人必须在授权委托书上签字或盖章，</w:t>
      </w:r>
      <w:r>
        <w:rPr>
          <w:rFonts w:hint="eastAsia" w:ascii="宋体" w:hAnsi="宋体" w:cs="宋体"/>
          <w:b/>
          <w:bCs/>
          <w:color w:val="auto"/>
          <w:szCs w:val="21"/>
          <w:highlight w:val="none"/>
        </w:rPr>
        <w:t>否则作无效投标处理</w:t>
      </w:r>
      <w:r>
        <w:rPr>
          <w:rFonts w:hint="eastAsia" w:ascii="宋体" w:hAnsi="宋体" w:cs="宋体"/>
          <w:color w:val="auto"/>
          <w:szCs w:val="21"/>
          <w:highlight w:val="none"/>
        </w:rPr>
        <w:t>；</w:t>
      </w:r>
    </w:p>
    <w:p w14:paraId="5A121CAC">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2.以联合体形式投标的，本授权委托书应由联合体牵头人的法定代表人按上述规定签署。</w:t>
      </w:r>
    </w:p>
    <w:p w14:paraId="154A51BA">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0A7B000A">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4.若为联合体投标须各方签字或盖章。</w:t>
      </w:r>
    </w:p>
    <w:p w14:paraId="5781190F">
      <w:pPr>
        <w:wordWrap w:val="0"/>
        <w:spacing w:line="360" w:lineRule="auto"/>
        <w:ind w:firstLine="482"/>
        <w:rPr>
          <w:rFonts w:hint="eastAsia" w:ascii="宋体" w:hAnsi="宋体" w:cs="宋体"/>
          <w:b/>
          <w:color w:val="auto"/>
          <w:sz w:val="24"/>
          <w:highlight w:val="none"/>
        </w:rPr>
      </w:pPr>
    </w:p>
    <w:p w14:paraId="0C7B9E4B">
      <w:pPr>
        <w:ind w:firstLine="482"/>
        <w:rPr>
          <w:rFonts w:hint="eastAsia" w:ascii="宋体" w:hAnsi="宋体" w:cs="宋体"/>
          <w:b/>
          <w:color w:val="auto"/>
          <w:sz w:val="24"/>
          <w:highlight w:val="none"/>
        </w:rPr>
      </w:pPr>
      <w:r>
        <w:rPr>
          <w:rFonts w:hint="eastAsia" w:ascii="宋体" w:hAnsi="宋体" w:cs="宋体"/>
          <w:b/>
          <w:color w:val="auto"/>
          <w:sz w:val="24"/>
          <w:highlight w:val="none"/>
        </w:rPr>
        <w:br w:type="page"/>
      </w:r>
    </w:p>
    <w:p w14:paraId="061B3E47">
      <w:pPr>
        <w:wordWrap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附件：</w:t>
      </w:r>
    </w:p>
    <w:tbl>
      <w:tblPr>
        <w:tblStyle w:val="22"/>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1AAE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90" w:type="dxa"/>
            <w:tcBorders>
              <w:top w:val="single" w:color="auto" w:sz="4" w:space="0"/>
              <w:left w:val="single" w:color="auto" w:sz="4" w:space="0"/>
              <w:bottom w:val="single" w:color="auto" w:sz="4" w:space="0"/>
              <w:right w:val="single" w:color="auto" w:sz="4" w:space="0"/>
            </w:tcBorders>
          </w:tcPr>
          <w:p w14:paraId="7E448DB7">
            <w:pPr>
              <w:wordWrap w:val="0"/>
              <w:spacing w:line="360" w:lineRule="auto"/>
              <w:ind w:firstLine="422"/>
              <w:rPr>
                <w:rFonts w:hint="eastAsia" w:ascii="宋体" w:hAnsi="宋体" w:cs="宋体"/>
                <w:b/>
                <w:color w:val="auto"/>
                <w:szCs w:val="21"/>
                <w:highlight w:val="none"/>
              </w:rPr>
            </w:pPr>
          </w:p>
          <w:p w14:paraId="04B4E05A">
            <w:pPr>
              <w:wordWrap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全权代表身份证复印件粘帖处（正、反面）</w:t>
            </w:r>
          </w:p>
        </w:tc>
      </w:tr>
    </w:tbl>
    <w:p w14:paraId="58AAAEB3">
      <w:pPr>
        <w:wordWrap w:val="0"/>
        <w:snapToGrid w:val="0"/>
        <w:spacing w:line="360" w:lineRule="auto"/>
        <w:jc w:val="left"/>
        <w:rPr>
          <w:rFonts w:hint="eastAsia" w:ascii="宋体" w:hAnsi="宋体" w:cs="宋体"/>
          <w:color w:val="auto"/>
          <w:szCs w:val="21"/>
          <w:highlight w:val="none"/>
        </w:rPr>
      </w:pPr>
    </w:p>
    <w:p w14:paraId="7515E8FD">
      <w:pPr>
        <w:wordWrap w:val="0"/>
        <w:snapToGrid w:val="0"/>
        <w:spacing w:line="360" w:lineRule="auto"/>
        <w:ind w:firstLine="566" w:firstLineChars="236"/>
        <w:jc w:val="center"/>
        <w:rPr>
          <w:rFonts w:hint="eastAsia" w:ascii="宋体" w:hAnsi="宋体" w:cs="宋体"/>
          <w:color w:val="auto"/>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rPr>
        <w:br w:type="page"/>
      </w:r>
    </w:p>
    <w:p w14:paraId="6167258E">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四、商务条款偏离表</w:t>
      </w:r>
    </w:p>
    <w:p w14:paraId="7400F5DF">
      <w:pPr>
        <w:wordWrap w:val="0"/>
        <w:spacing w:line="360" w:lineRule="auto"/>
        <w:ind w:firstLine="600"/>
        <w:jc w:val="center"/>
        <w:rPr>
          <w:rFonts w:hint="eastAsia" w:ascii="宋体" w:hAnsi="宋体" w:cs="宋体"/>
          <w:b/>
          <w:color w:val="auto"/>
          <w:sz w:val="24"/>
          <w:szCs w:val="20"/>
          <w:highlight w:val="none"/>
        </w:rPr>
      </w:pPr>
      <w:r>
        <w:rPr>
          <w:rFonts w:hint="eastAsia" w:ascii="宋体" w:hAnsi="宋体" w:cs="宋体"/>
          <w:color w:val="auto"/>
          <w:sz w:val="30"/>
          <w:szCs w:val="20"/>
          <w:highlight w:val="none"/>
        </w:rPr>
        <w:t>(注：按项目需求表具体项目修改)</w:t>
      </w:r>
    </w:p>
    <w:p w14:paraId="073C3F34">
      <w:pPr>
        <w:wordWrap w:val="0"/>
        <w:snapToGrid w:val="0"/>
        <w:spacing w:line="360" w:lineRule="auto"/>
        <w:jc w:val="left"/>
        <w:rPr>
          <w:rFonts w:hint="eastAsia" w:ascii="宋体" w:hAnsi="宋体" w:cs="宋体"/>
          <w:color w:val="auto"/>
          <w:szCs w:val="21"/>
          <w:highlight w:val="none"/>
        </w:rPr>
      </w:pPr>
    </w:p>
    <w:p w14:paraId="3976C48B">
      <w:pPr>
        <w:pStyle w:val="12"/>
        <w:wordWrap w:val="0"/>
        <w:spacing w:line="360" w:lineRule="auto"/>
        <w:ind w:left="-424" w:leftChars="-202" w:firstLine="420"/>
        <w:rPr>
          <w:rFonts w:hint="eastAsia" w:hAnsi="宋体" w:cs="宋体"/>
          <w:color w:val="auto"/>
          <w:szCs w:val="21"/>
          <w:highlight w:val="none"/>
        </w:rPr>
      </w:pPr>
      <w:r>
        <w:rPr>
          <w:rFonts w:hint="eastAsia" w:hAnsi="宋体" w:cs="宋体"/>
          <w:color w:val="auto"/>
          <w:szCs w:val="21"/>
          <w:highlight w:val="none"/>
        </w:rPr>
        <w:t>请</w:t>
      </w:r>
      <w:r>
        <w:rPr>
          <w:rFonts w:hint="eastAsia" w:hAnsi="宋体" w:cs="宋体"/>
          <w:b/>
          <w:bCs/>
          <w:color w:val="auto"/>
          <w:szCs w:val="21"/>
          <w:highlight w:val="none"/>
        </w:rPr>
        <w:t>逐条对应</w:t>
      </w:r>
      <w:r>
        <w:rPr>
          <w:rFonts w:hint="eastAsia" w:hAnsi="宋体" w:cs="宋体"/>
          <w:color w:val="auto"/>
          <w:szCs w:val="21"/>
          <w:highlight w:val="none"/>
        </w:rPr>
        <w:t>本项目招标文件第二章“服务需求一览表”中“商务条款”的要求，详细填写相应的具体内容。“偏离说明”一栏应当选择“正偏离”、“负偏离”或“无偏离”进行填写。</w:t>
      </w:r>
    </w:p>
    <w:tbl>
      <w:tblPr>
        <w:tblStyle w:val="22"/>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55E9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tcPr>
          <w:p w14:paraId="5646A69E">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tcPr>
          <w:p w14:paraId="642C8C39">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招标文件的商务需求</w:t>
            </w:r>
          </w:p>
        </w:tc>
        <w:tc>
          <w:tcPr>
            <w:tcW w:w="2516" w:type="dxa"/>
            <w:tcBorders>
              <w:top w:val="single" w:color="auto" w:sz="4" w:space="0"/>
              <w:left w:val="single" w:color="auto" w:sz="4" w:space="0"/>
              <w:right w:val="single" w:color="auto" w:sz="4" w:space="0"/>
            </w:tcBorders>
          </w:tcPr>
          <w:p w14:paraId="1AD4365C">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tcPr>
          <w:p w14:paraId="3E65266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5994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4F88B24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tcPr>
          <w:p w14:paraId="6C922D9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1BEF01C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05DB789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7C0076CF">
            <w:pPr>
              <w:wordWrap w:val="0"/>
              <w:spacing w:line="360" w:lineRule="auto"/>
              <w:rPr>
                <w:rFonts w:hint="eastAsia" w:ascii="宋体" w:hAnsi="宋体" w:cs="宋体"/>
                <w:color w:val="auto"/>
                <w:szCs w:val="21"/>
                <w:highlight w:val="none"/>
              </w:rPr>
            </w:pPr>
          </w:p>
        </w:tc>
      </w:tr>
      <w:tr w14:paraId="7E05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71137CDA">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0CE9F8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4118AC13">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395814D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4958ADC2">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221A274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1B3EE378">
            <w:pPr>
              <w:wordWrap w:val="0"/>
              <w:spacing w:line="360" w:lineRule="auto"/>
              <w:rPr>
                <w:rFonts w:hint="eastAsia" w:ascii="宋体" w:hAnsi="宋体" w:cs="宋体"/>
                <w:color w:val="auto"/>
                <w:szCs w:val="21"/>
                <w:highlight w:val="none"/>
              </w:rPr>
            </w:pPr>
          </w:p>
        </w:tc>
      </w:tr>
      <w:tr w14:paraId="0750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70CEC749">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70469B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78337516">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6E7D72D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534FF337">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3DF5EC4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1EB436A0">
            <w:pPr>
              <w:wordWrap w:val="0"/>
              <w:spacing w:line="360" w:lineRule="auto"/>
              <w:rPr>
                <w:rFonts w:hint="eastAsia" w:ascii="宋体" w:hAnsi="宋体" w:cs="宋体"/>
                <w:color w:val="auto"/>
                <w:szCs w:val="21"/>
                <w:highlight w:val="none"/>
              </w:rPr>
            </w:pPr>
          </w:p>
        </w:tc>
      </w:tr>
      <w:tr w14:paraId="58F4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5CFD513F">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4AB2477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11F60E8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098FFC5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2DA9F9C6">
            <w:pPr>
              <w:wordWrap w:val="0"/>
              <w:spacing w:line="360" w:lineRule="auto"/>
              <w:rPr>
                <w:rFonts w:hint="eastAsia" w:ascii="宋体" w:hAnsi="宋体" w:cs="宋体"/>
                <w:color w:val="auto"/>
                <w:szCs w:val="21"/>
                <w:highlight w:val="none"/>
              </w:rPr>
            </w:pPr>
          </w:p>
        </w:tc>
      </w:tr>
      <w:tr w14:paraId="12CF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1198F71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tcPr>
          <w:p w14:paraId="2297BEC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30F8A0E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3D7E7BF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78A3028A">
            <w:pPr>
              <w:wordWrap w:val="0"/>
              <w:spacing w:line="360" w:lineRule="auto"/>
              <w:rPr>
                <w:rFonts w:hint="eastAsia" w:ascii="宋体" w:hAnsi="宋体" w:cs="宋体"/>
                <w:color w:val="auto"/>
                <w:szCs w:val="21"/>
                <w:highlight w:val="none"/>
              </w:rPr>
            </w:pPr>
          </w:p>
        </w:tc>
      </w:tr>
      <w:tr w14:paraId="0439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E33166E">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170ACD6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7A2D5C9D">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015263A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75D6B2A9">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4627491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5A7A6566">
            <w:pPr>
              <w:wordWrap w:val="0"/>
              <w:spacing w:line="360" w:lineRule="auto"/>
              <w:rPr>
                <w:rFonts w:hint="eastAsia" w:ascii="宋体" w:hAnsi="宋体" w:cs="宋体"/>
                <w:color w:val="auto"/>
                <w:szCs w:val="21"/>
                <w:highlight w:val="none"/>
              </w:rPr>
            </w:pPr>
          </w:p>
        </w:tc>
      </w:tr>
      <w:tr w14:paraId="79F3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3B8B5EB">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47D19B6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7809C484">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09DBE7C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4EDF665A">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238A9AF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7E7759D0">
            <w:pPr>
              <w:wordWrap w:val="0"/>
              <w:spacing w:line="360" w:lineRule="auto"/>
              <w:rPr>
                <w:rFonts w:hint="eastAsia" w:ascii="宋体" w:hAnsi="宋体" w:cs="宋体"/>
                <w:color w:val="auto"/>
                <w:szCs w:val="21"/>
                <w:highlight w:val="none"/>
              </w:rPr>
            </w:pPr>
          </w:p>
        </w:tc>
      </w:tr>
      <w:tr w14:paraId="5DF9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739594EB">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3E6AA78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3A0AA6A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35E8A3B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55C69E44">
            <w:pPr>
              <w:wordWrap w:val="0"/>
              <w:spacing w:line="360" w:lineRule="auto"/>
              <w:rPr>
                <w:rFonts w:hint="eastAsia" w:ascii="宋体" w:hAnsi="宋体" w:cs="宋体"/>
                <w:color w:val="auto"/>
                <w:szCs w:val="21"/>
                <w:highlight w:val="none"/>
              </w:rPr>
            </w:pPr>
          </w:p>
        </w:tc>
      </w:tr>
      <w:tr w14:paraId="30B9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551B845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tcPr>
          <w:p w14:paraId="0F12E24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0EC32C6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tc>
        <w:tc>
          <w:tcPr>
            <w:tcW w:w="2516" w:type="dxa"/>
            <w:tcBorders>
              <w:top w:val="single" w:color="auto" w:sz="4" w:space="0"/>
              <w:left w:val="single" w:color="auto" w:sz="4" w:space="0"/>
              <w:right w:val="single" w:color="auto" w:sz="4" w:space="0"/>
            </w:tcBorders>
          </w:tcPr>
          <w:p w14:paraId="7EFA4A6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50D4F79C">
            <w:pPr>
              <w:wordWrap w:val="0"/>
              <w:spacing w:line="360" w:lineRule="auto"/>
              <w:rPr>
                <w:rFonts w:hint="eastAsia" w:ascii="宋体" w:hAnsi="宋体" w:cs="宋体"/>
                <w:color w:val="auto"/>
                <w:szCs w:val="21"/>
                <w:highlight w:val="none"/>
              </w:rPr>
            </w:pPr>
          </w:p>
        </w:tc>
      </w:tr>
      <w:tr w14:paraId="7DE6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16D98D5">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3342E08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74053DB9">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2FD75B6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0FDF5450">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7238518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29D03544">
            <w:pPr>
              <w:wordWrap w:val="0"/>
              <w:spacing w:line="360" w:lineRule="auto"/>
              <w:rPr>
                <w:rFonts w:hint="eastAsia" w:ascii="宋体" w:hAnsi="宋体" w:cs="宋体"/>
                <w:color w:val="auto"/>
                <w:szCs w:val="21"/>
                <w:highlight w:val="none"/>
              </w:rPr>
            </w:pPr>
          </w:p>
        </w:tc>
      </w:tr>
      <w:tr w14:paraId="5583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5830569E">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687A429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6223EB0E">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15E1A4E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3FA0127E">
            <w:pPr>
              <w:wordWrap w:val="0"/>
              <w:spacing w:line="360" w:lineRule="auto"/>
              <w:rPr>
                <w:rFonts w:hint="eastAsia" w:ascii="宋体" w:hAnsi="宋体" w:cs="宋体"/>
                <w:color w:val="auto"/>
                <w:szCs w:val="21"/>
                <w:highlight w:val="none"/>
              </w:rPr>
            </w:pPr>
          </w:p>
        </w:tc>
        <w:tc>
          <w:tcPr>
            <w:tcW w:w="2516" w:type="dxa"/>
            <w:tcBorders>
              <w:left w:val="single" w:color="auto" w:sz="4" w:space="0"/>
              <w:right w:val="single" w:color="auto" w:sz="4" w:space="0"/>
            </w:tcBorders>
          </w:tcPr>
          <w:p w14:paraId="1AFB678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76420528">
            <w:pPr>
              <w:wordWrap w:val="0"/>
              <w:spacing w:line="360" w:lineRule="auto"/>
              <w:rPr>
                <w:rFonts w:hint="eastAsia" w:ascii="宋体" w:hAnsi="宋体" w:cs="宋体"/>
                <w:color w:val="auto"/>
                <w:szCs w:val="21"/>
                <w:highlight w:val="none"/>
              </w:rPr>
            </w:pPr>
          </w:p>
        </w:tc>
      </w:tr>
      <w:tr w14:paraId="11D0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680CA043">
            <w:pPr>
              <w:wordWrap w:val="0"/>
              <w:spacing w:line="360" w:lineRule="auto"/>
              <w:rPr>
                <w:rFonts w:hint="eastAsia" w:ascii="宋体" w:hAnsi="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5CD47D9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54B4388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516" w:type="dxa"/>
            <w:tcBorders>
              <w:left w:val="single" w:color="auto" w:sz="4" w:space="0"/>
              <w:bottom w:val="single" w:color="auto" w:sz="4" w:space="0"/>
              <w:right w:val="single" w:color="auto" w:sz="4" w:space="0"/>
            </w:tcBorders>
          </w:tcPr>
          <w:p w14:paraId="045032F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p w14:paraId="00BC0B7A">
            <w:pPr>
              <w:wordWrap w:val="0"/>
              <w:spacing w:line="360" w:lineRule="auto"/>
              <w:rPr>
                <w:rFonts w:hint="eastAsia" w:ascii="宋体" w:hAnsi="宋体" w:cs="宋体"/>
                <w:color w:val="auto"/>
                <w:szCs w:val="21"/>
                <w:highlight w:val="none"/>
              </w:rPr>
            </w:pPr>
          </w:p>
        </w:tc>
      </w:tr>
      <w:tr w14:paraId="6B1C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tcPr>
          <w:p w14:paraId="14ACDD5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bl>
    <w:p w14:paraId="22B0487A">
      <w:pPr>
        <w:pStyle w:val="12"/>
        <w:wordWrap w:val="0"/>
        <w:spacing w:line="360" w:lineRule="auto"/>
        <w:ind w:left="-708" w:leftChars="-337"/>
        <w:rPr>
          <w:rFonts w:hint="eastAsia" w:hAnsi="宋体" w:cs="宋体"/>
          <w:color w:val="auto"/>
          <w:szCs w:val="21"/>
          <w:highlight w:val="none"/>
        </w:rPr>
      </w:pPr>
    </w:p>
    <w:p w14:paraId="75286265">
      <w:pPr>
        <w:pStyle w:val="12"/>
        <w:wordWrap w:val="0"/>
        <w:spacing w:line="360" w:lineRule="auto"/>
        <w:ind w:left="-708" w:leftChars="-337"/>
        <w:rPr>
          <w:rFonts w:hint="eastAsia" w:hAnsi="宋体" w:cs="宋体"/>
          <w:color w:val="auto"/>
          <w:szCs w:val="21"/>
          <w:highlight w:val="none"/>
        </w:rPr>
      </w:pPr>
      <w:r>
        <w:rPr>
          <w:rFonts w:hint="eastAsia" w:hAnsi="宋体" w:cs="宋体"/>
          <w:color w:val="auto"/>
          <w:szCs w:val="21"/>
          <w:highlight w:val="none"/>
        </w:rPr>
        <w:t>注：</w:t>
      </w:r>
    </w:p>
    <w:p w14:paraId="14F82164">
      <w:pPr>
        <w:pStyle w:val="12"/>
        <w:wordWrap w:val="0"/>
        <w:spacing w:line="360" w:lineRule="auto"/>
        <w:ind w:left="-708" w:leftChars="-337" w:firstLine="420" w:firstLineChars="200"/>
        <w:rPr>
          <w:rFonts w:hint="eastAsia" w:hAnsi="宋体" w:cs="宋体"/>
          <w:color w:val="auto"/>
          <w:szCs w:val="21"/>
          <w:highlight w:val="none"/>
        </w:rPr>
      </w:pPr>
      <w:r>
        <w:rPr>
          <w:rFonts w:hint="eastAsia" w:hAnsi="宋体" w:cs="宋体"/>
          <w:color w:val="auto"/>
          <w:szCs w:val="21"/>
          <w:highlight w:val="none"/>
        </w:rPr>
        <w:t>1.表格内容均需按要求填写并盖章，不得留空，否则按投标无效处理。</w:t>
      </w:r>
    </w:p>
    <w:p w14:paraId="55CF3C35">
      <w:pPr>
        <w:pStyle w:val="12"/>
        <w:wordWrap w:val="0"/>
        <w:spacing w:line="360" w:lineRule="auto"/>
        <w:ind w:left="-1" w:leftChars="-136" w:hanging="285" w:hangingChars="135"/>
        <w:rPr>
          <w:rFonts w:hint="eastAsia" w:hAnsi="宋体" w:cs="宋体"/>
          <w:color w:val="auto"/>
          <w:szCs w:val="21"/>
          <w:highlight w:val="none"/>
        </w:rPr>
      </w:pPr>
      <w:r>
        <w:rPr>
          <w:rFonts w:hint="eastAsia" w:hAnsi="宋体" w:cs="宋体"/>
          <w:b/>
          <w:bCs/>
          <w:color w:val="auto"/>
          <w:szCs w:val="21"/>
          <w:highlight w:val="none"/>
        </w:rPr>
        <w:t>2.如果招标文件需求为小于或大于某个数值标准时，投标文件承诺不得直接复制招标文件需求，投标文件承诺内容应当写明投标货物具体参数或商务响应承诺的具体数值，否则按投标无效处理。</w:t>
      </w:r>
      <w:r>
        <w:rPr>
          <w:rFonts w:hint="eastAsia" w:hAnsi="宋体" w:cs="宋体"/>
          <w:color w:val="auto"/>
          <w:szCs w:val="21"/>
          <w:highlight w:val="none"/>
        </w:rPr>
        <w:t>如该采购需求属于不能明确具体数值的，采购人应在此采购需求的数值后标注◆号，对标注◆号的采购需求不适用上述“投标无效”条款。</w:t>
      </w:r>
    </w:p>
    <w:p w14:paraId="11F87116">
      <w:pPr>
        <w:pStyle w:val="12"/>
        <w:wordWrap w:val="0"/>
        <w:spacing w:line="360" w:lineRule="auto"/>
        <w:ind w:left="-603" w:leftChars="-287" w:firstLine="315" w:firstLineChars="150"/>
        <w:rPr>
          <w:rFonts w:hint="eastAsia" w:hAnsi="宋体" w:cs="宋体"/>
          <w:color w:val="auto"/>
          <w:szCs w:val="21"/>
          <w:highlight w:val="none"/>
        </w:rPr>
      </w:pPr>
      <w:r>
        <w:rPr>
          <w:rFonts w:hint="eastAsia" w:hAnsi="宋体" w:cs="宋体"/>
          <w:color w:val="auto"/>
          <w:szCs w:val="21"/>
          <w:highlight w:val="none"/>
        </w:rPr>
        <w:t>3.当投标文件的商务内容低于招标文件要求时，投标人应当如实写明“负偏离”，否则视为虚假应标。</w:t>
      </w:r>
    </w:p>
    <w:p w14:paraId="7744BC73">
      <w:pPr>
        <w:pStyle w:val="12"/>
        <w:wordWrap w:val="0"/>
        <w:spacing w:line="360" w:lineRule="auto"/>
        <w:ind w:left="-708" w:leftChars="-337" w:firstLine="420" w:firstLineChars="200"/>
        <w:rPr>
          <w:rFonts w:hint="eastAsia" w:hAnsi="宋体" w:cs="宋体"/>
          <w:color w:val="auto"/>
          <w:szCs w:val="21"/>
          <w:highlight w:val="none"/>
        </w:rPr>
      </w:pPr>
      <w:r>
        <w:rPr>
          <w:rFonts w:hint="eastAsia" w:hAnsi="宋体" w:cs="宋体"/>
          <w:color w:val="auto"/>
          <w:szCs w:val="21"/>
          <w:highlight w:val="none"/>
        </w:rPr>
        <w:t>4.采购需求中带“▲”及“★”的条款，也要分别在本表“投标文件的商务需求”、“投标文件承诺的商务条款”中标记。</w:t>
      </w:r>
    </w:p>
    <w:p w14:paraId="67A329D1">
      <w:pPr>
        <w:wordWrap w:val="0"/>
        <w:snapToGrid w:val="0"/>
        <w:spacing w:line="360" w:lineRule="auto"/>
        <w:rPr>
          <w:rFonts w:hint="eastAsia" w:ascii="宋体" w:hAnsi="宋体" w:cs="宋体"/>
          <w:color w:val="auto"/>
          <w:szCs w:val="21"/>
          <w:highlight w:val="none"/>
        </w:rPr>
      </w:pPr>
    </w:p>
    <w:p w14:paraId="467919E6">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5C1A31A9">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533F2864">
      <w:pPr>
        <w:widowControl/>
        <w:wordWrap w:val="0"/>
        <w:spacing w:line="360" w:lineRule="auto"/>
        <w:jc w:val="left"/>
        <w:rPr>
          <w:rFonts w:hint="eastAsia" w:ascii="宋体" w:hAnsi="宋体" w:cs="宋体"/>
          <w:color w:val="auto"/>
          <w:szCs w:val="21"/>
          <w:highlight w:val="none"/>
        </w:rPr>
        <w:sectPr>
          <w:pgSz w:w="11906" w:h="16838"/>
          <w:pgMar w:top="1440" w:right="1080" w:bottom="1440" w:left="1080" w:header="851" w:footer="992" w:gutter="0"/>
          <w:cols w:space="720" w:num="1"/>
        </w:sectPr>
      </w:pPr>
    </w:p>
    <w:p w14:paraId="4DAB2B62">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五、投标人情况介绍</w:t>
      </w:r>
    </w:p>
    <w:p w14:paraId="2E2FE6E9">
      <w:pPr>
        <w:wordWrap w:val="0"/>
        <w:spacing w:line="360" w:lineRule="auto"/>
        <w:ind w:firstLine="3542" w:firstLineChars="1687"/>
        <w:rPr>
          <w:rFonts w:hint="eastAsia" w:ascii="宋体" w:hAnsi="宋体" w:cs="宋体"/>
          <w:color w:val="auto"/>
          <w:kern w:val="0"/>
          <w:szCs w:val="21"/>
          <w:highlight w:val="none"/>
        </w:rPr>
      </w:pPr>
      <w:r>
        <w:rPr>
          <w:rFonts w:hint="eastAsia" w:ascii="宋体" w:hAnsi="宋体" w:cs="宋体"/>
          <w:color w:val="auto"/>
          <w:szCs w:val="21"/>
          <w:highlight w:val="none"/>
        </w:rPr>
        <w:t>（格式自拟）</w:t>
      </w:r>
    </w:p>
    <w:p w14:paraId="61DA3F7E">
      <w:pPr>
        <w:wordWrap w:val="0"/>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EDFD10D">
      <w:pPr>
        <w:wordWrap w:val="0"/>
        <w:snapToGrid w:val="0"/>
        <w:spacing w:line="360" w:lineRule="auto"/>
        <w:ind w:firstLine="4935" w:firstLineChars="2350"/>
        <w:rPr>
          <w:rFonts w:hint="eastAsia" w:ascii="宋体" w:hAnsi="宋体" w:cs="宋体"/>
          <w:color w:val="auto"/>
          <w:szCs w:val="21"/>
          <w:highlight w:val="none"/>
        </w:rPr>
      </w:pPr>
    </w:p>
    <w:p w14:paraId="44BBAD7C">
      <w:pPr>
        <w:wordWrap w:val="0"/>
        <w:snapToGrid w:val="0"/>
        <w:spacing w:line="360" w:lineRule="auto"/>
        <w:ind w:firstLine="4935" w:firstLineChars="2350"/>
        <w:rPr>
          <w:rFonts w:hint="eastAsia" w:ascii="宋体" w:hAnsi="宋体" w:cs="宋体"/>
          <w:color w:val="auto"/>
          <w:szCs w:val="21"/>
          <w:highlight w:val="none"/>
        </w:rPr>
      </w:pPr>
    </w:p>
    <w:p w14:paraId="4A2D2B6C">
      <w:pPr>
        <w:wordWrap w:val="0"/>
        <w:snapToGrid w:val="0"/>
        <w:spacing w:line="360" w:lineRule="auto"/>
        <w:ind w:firstLine="4935" w:firstLineChars="2350"/>
        <w:rPr>
          <w:rFonts w:hint="eastAsia" w:ascii="宋体" w:hAnsi="宋体" w:cs="宋体"/>
          <w:color w:val="auto"/>
          <w:szCs w:val="21"/>
          <w:highlight w:val="none"/>
        </w:rPr>
      </w:pPr>
    </w:p>
    <w:p w14:paraId="64CFF4C9">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448A8446">
      <w:pPr>
        <w:wordWrap w:val="0"/>
        <w:snapToGrid w:val="0"/>
        <w:spacing w:line="360" w:lineRule="auto"/>
        <w:ind w:firstLine="5460" w:firstLineChars="26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140B64D1">
      <w:pPr>
        <w:wordWrap w:val="0"/>
        <w:snapToGrid w:val="0"/>
        <w:spacing w:line="360" w:lineRule="auto"/>
        <w:ind w:firstLine="602" w:firstLineChars="200"/>
        <w:jc w:val="center"/>
        <w:rPr>
          <w:rFonts w:hint="eastAsia" w:ascii="宋体" w:hAnsi="宋体" w:cs="宋体"/>
          <w:b/>
          <w:bCs/>
          <w:color w:val="auto"/>
          <w:sz w:val="30"/>
          <w:szCs w:val="30"/>
          <w:highlight w:val="none"/>
        </w:rPr>
      </w:pPr>
    </w:p>
    <w:p w14:paraId="62759073">
      <w:pPr>
        <w:widowControl/>
        <w:wordWrap w:val="0"/>
        <w:spacing w:line="360" w:lineRule="auto"/>
        <w:ind w:firstLine="602"/>
        <w:jc w:val="left"/>
        <w:rPr>
          <w:rFonts w:hint="eastAsia" w:ascii="宋体" w:hAnsi="宋体" w:cs="宋体"/>
          <w:b/>
          <w:bCs/>
          <w:color w:val="auto"/>
          <w:sz w:val="30"/>
          <w:szCs w:val="30"/>
          <w:highlight w:val="none"/>
        </w:rPr>
        <w:sectPr>
          <w:pgSz w:w="11906" w:h="16838"/>
          <w:pgMar w:top="1440" w:right="1080" w:bottom="1440" w:left="1080" w:header="720" w:footer="720" w:gutter="0"/>
          <w:cols w:space="720" w:num="1"/>
          <w:docGrid w:type="lines" w:linePitch="331" w:charSpace="0"/>
        </w:sectPr>
      </w:pPr>
    </w:p>
    <w:p w14:paraId="72451676">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六、投标人类似的业绩证明文件（如有要求）</w:t>
      </w:r>
    </w:p>
    <w:p w14:paraId="042B7046">
      <w:pPr>
        <w:pStyle w:val="17"/>
        <w:wordWrap w:val="0"/>
        <w:snapToGrid w:val="0"/>
        <w:spacing w:line="360" w:lineRule="auto"/>
        <w:ind w:left="0" w:firstLine="0" w:firstLineChars="0"/>
        <w:rPr>
          <w:rFonts w:hint="eastAsia" w:ascii="宋体" w:hAnsi="宋体" w:cs="宋体"/>
          <w:color w:val="auto"/>
          <w:sz w:val="24"/>
          <w:highlight w:val="none"/>
        </w:rPr>
      </w:pPr>
    </w:p>
    <w:p w14:paraId="5A69C4AA">
      <w:pPr>
        <w:wordWrap w:val="0"/>
        <w:autoSpaceDE w:val="0"/>
        <w:autoSpaceDN w:val="0"/>
        <w:spacing w:line="360" w:lineRule="auto"/>
        <w:ind w:firstLine="422"/>
        <w:rPr>
          <w:rFonts w:hint="eastAsia" w:ascii="宋体" w:hAnsi="宋体" w:cs="宋体"/>
          <w:color w:val="auto"/>
          <w:szCs w:val="21"/>
          <w:highlight w:val="none"/>
        </w:rPr>
      </w:pPr>
      <w:r>
        <w:rPr>
          <w:rFonts w:hint="eastAsia" w:ascii="宋体" w:hAnsi="宋体" w:cs="宋体"/>
          <w:b/>
          <w:color w:val="auto"/>
          <w:szCs w:val="21"/>
          <w:highlight w:val="none"/>
        </w:rPr>
        <w:t>附表 :相关项目业绩一览表（投标人同类项目合同复印件/中标（或成交）通知书、用户验收报告（如有）、用户评价意见（如有）格式自拟）</w:t>
      </w:r>
    </w:p>
    <w:tbl>
      <w:tblPr>
        <w:tblStyle w:val="22"/>
        <w:tblW w:w="14567"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274106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6F58E376">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采购人名称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6B584487">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715" w:type="dxa"/>
            <w:vMerge w:val="restart"/>
            <w:tcBorders>
              <w:top w:val="single" w:color="auto" w:sz="4" w:space="0"/>
              <w:left w:val="single" w:color="auto" w:sz="4" w:space="0"/>
              <w:bottom w:val="single" w:color="auto" w:sz="4" w:space="0"/>
              <w:right w:val="single" w:color="auto" w:sz="4" w:space="0"/>
            </w:tcBorders>
            <w:vAlign w:val="center"/>
          </w:tcPr>
          <w:p w14:paraId="6A64FEAC">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w:t>
            </w:r>
          </w:p>
          <w:p w14:paraId="4AC045FC">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金额</w:t>
            </w:r>
          </w:p>
          <w:p w14:paraId="6E765D24">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4536" w:type="dxa"/>
            <w:gridSpan w:val="3"/>
            <w:tcBorders>
              <w:top w:val="single" w:color="auto" w:sz="4" w:space="0"/>
              <w:left w:val="single" w:color="auto" w:sz="4" w:space="0"/>
              <w:bottom w:val="single" w:color="auto" w:sz="4" w:space="0"/>
              <w:right w:val="single" w:color="auto" w:sz="4" w:space="0"/>
            </w:tcBorders>
            <w:vAlign w:val="center"/>
          </w:tcPr>
          <w:p w14:paraId="7BEB5C02">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14:paraId="14D00E4A">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采购人联系人及</w:t>
            </w:r>
          </w:p>
          <w:p w14:paraId="0568AA79">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联系电话</w:t>
            </w:r>
          </w:p>
        </w:tc>
      </w:tr>
      <w:tr w14:paraId="74BD55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486E85F4">
            <w:pPr>
              <w:widowControl/>
              <w:wordWrap w:val="0"/>
              <w:spacing w:line="360" w:lineRule="auto"/>
              <w:jc w:val="left"/>
              <w:rPr>
                <w:rFonts w:hint="eastAsia" w:ascii="宋体" w:hAnsi="宋体" w:cs="宋体"/>
                <w:color w:val="auto"/>
                <w:szCs w:val="21"/>
                <w:highlight w:val="none"/>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048C5F9C">
            <w:pPr>
              <w:widowControl/>
              <w:wordWrap w:val="0"/>
              <w:spacing w:line="360" w:lineRule="auto"/>
              <w:jc w:val="left"/>
              <w:rPr>
                <w:rFonts w:hint="eastAsia" w:ascii="宋体" w:hAnsi="宋体" w:cs="宋体"/>
                <w:color w:val="auto"/>
                <w:szCs w:val="21"/>
                <w:highlight w:val="none"/>
              </w:rPr>
            </w:pPr>
          </w:p>
        </w:tc>
        <w:tc>
          <w:tcPr>
            <w:tcW w:w="1715" w:type="dxa"/>
            <w:vMerge w:val="continue"/>
            <w:tcBorders>
              <w:top w:val="single" w:color="auto" w:sz="4" w:space="0"/>
              <w:left w:val="single" w:color="auto" w:sz="4" w:space="0"/>
              <w:bottom w:val="single" w:color="auto" w:sz="4" w:space="0"/>
              <w:right w:val="single" w:color="auto" w:sz="4" w:space="0"/>
            </w:tcBorders>
            <w:vAlign w:val="center"/>
          </w:tcPr>
          <w:p w14:paraId="12593651">
            <w:pPr>
              <w:widowControl/>
              <w:wordWrap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19670247">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合同</w:t>
            </w:r>
          </w:p>
        </w:tc>
        <w:tc>
          <w:tcPr>
            <w:tcW w:w="1559" w:type="dxa"/>
            <w:tcBorders>
              <w:top w:val="single" w:color="auto" w:sz="4" w:space="0"/>
              <w:left w:val="single" w:color="auto" w:sz="4" w:space="0"/>
              <w:bottom w:val="single" w:color="auto" w:sz="4" w:space="0"/>
              <w:right w:val="single" w:color="auto" w:sz="4" w:space="0"/>
            </w:tcBorders>
            <w:vAlign w:val="center"/>
          </w:tcPr>
          <w:p w14:paraId="10C4FF2D">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验收报告</w:t>
            </w:r>
          </w:p>
        </w:tc>
        <w:tc>
          <w:tcPr>
            <w:tcW w:w="1418" w:type="dxa"/>
            <w:tcBorders>
              <w:top w:val="single" w:color="auto" w:sz="4" w:space="0"/>
              <w:left w:val="single" w:color="auto" w:sz="4" w:space="0"/>
              <w:bottom w:val="single" w:color="auto" w:sz="4" w:space="0"/>
              <w:right w:val="single" w:color="auto" w:sz="4" w:space="0"/>
            </w:tcBorders>
            <w:vAlign w:val="center"/>
          </w:tcPr>
          <w:p w14:paraId="116133AD">
            <w:pPr>
              <w:wordWrap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用户评价</w:t>
            </w: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4F778CA9">
            <w:pPr>
              <w:widowControl/>
              <w:wordWrap w:val="0"/>
              <w:spacing w:line="360" w:lineRule="auto"/>
              <w:jc w:val="left"/>
              <w:rPr>
                <w:rFonts w:hint="eastAsia" w:ascii="宋体" w:hAnsi="宋体" w:cs="宋体"/>
                <w:color w:val="auto"/>
                <w:szCs w:val="21"/>
                <w:highlight w:val="none"/>
              </w:rPr>
            </w:pPr>
          </w:p>
        </w:tc>
      </w:tr>
      <w:tr w14:paraId="637A0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7A727B71">
            <w:pPr>
              <w:wordWrap w:val="0"/>
              <w:snapToGrid w:val="0"/>
              <w:spacing w:line="360" w:lineRule="auto"/>
              <w:jc w:val="left"/>
              <w:rPr>
                <w:rFonts w:hint="eastAsia" w:ascii="宋体" w:hAnsi="宋体" w:cs="宋体"/>
                <w:color w:val="auto"/>
                <w:szCs w:val="21"/>
                <w:highlight w:val="none"/>
              </w:rPr>
            </w:pPr>
          </w:p>
        </w:tc>
        <w:tc>
          <w:tcPr>
            <w:tcW w:w="3420" w:type="dxa"/>
            <w:tcBorders>
              <w:top w:val="single" w:color="auto" w:sz="4" w:space="0"/>
              <w:left w:val="single" w:color="auto" w:sz="4" w:space="0"/>
              <w:bottom w:val="single" w:color="auto" w:sz="4" w:space="0"/>
              <w:right w:val="single" w:color="auto" w:sz="4" w:space="0"/>
            </w:tcBorders>
          </w:tcPr>
          <w:p w14:paraId="6C244C49">
            <w:pPr>
              <w:wordWrap w:val="0"/>
              <w:snapToGrid w:val="0"/>
              <w:spacing w:line="360" w:lineRule="auto"/>
              <w:jc w:val="left"/>
              <w:rPr>
                <w:rFonts w:hint="eastAsia" w:ascii="宋体" w:hAnsi="宋体" w:cs="宋体"/>
                <w:color w:val="auto"/>
                <w:szCs w:val="21"/>
                <w:highlight w:val="none"/>
              </w:rPr>
            </w:pPr>
          </w:p>
        </w:tc>
        <w:tc>
          <w:tcPr>
            <w:tcW w:w="1715" w:type="dxa"/>
            <w:tcBorders>
              <w:top w:val="single" w:color="auto" w:sz="4" w:space="0"/>
              <w:left w:val="single" w:color="auto" w:sz="4" w:space="0"/>
              <w:bottom w:val="single" w:color="auto" w:sz="4" w:space="0"/>
              <w:right w:val="single" w:color="auto" w:sz="4" w:space="0"/>
            </w:tcBorders>
          </w:tcPr>
          <w:p w14:paraId="315E8E72">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4459CE7B">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5E5266AE">
            <w:pPr>
              <w:wordWrap w:val="0"/>
              <w:snapToGrid w:val="0"/>
              <w:spacing w:line="360" w:lineRule="auto"/>
              <w:jc w:val="left"/>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Pr>
          <w:p w14:paraId="71FF02F1">
            <w:pPr>
              <w:wordWrap w:val="0"/>
              <w:snapToGrid w:val="0"/>
              <w:spacing w:line="360" w:lineRule="auto"/>
              <w:jc w:val="left"/>
              <w:rPr>
                <w:rFonts w:hint="eastAsia"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tcPr>
          <w:p w14:paraId="6C3F229A">
            <w:pPr>
              <w:wordWrap w:val="0"/>
              <w:snapToGrid w:val="0"/>
              <w:spacing w:line="360" w:lineRule="auto"/>
              <w:jc w:val="left"/>
              <w:rPr>
                <w:rFonts w:hint="eastAsia" w:ascii="宋体" w:hAnsi="宋体" w:cs="宋体"/>
                <w:color w:val="auto"/>
                <w:szCs w:val="21"/>
                <w:highlight w:val="none"/>
              </w:rPr>
            </w:pPr>
          </w:p>
        </w:tc>
      </w:tr>
      <w:tr w14:paraId="77B91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5EFC5EE5">
            <w:pPr>
              <w:wordWrap w:val="0"/>
              <w:snapToGrid w:val="0"/>
              <w:spacing w:line="360" w:lineRule="auto"/>
              <w:jc w:val="left"/>
              <w:rPr>
                <w:rFonts w:hint="eastAsia" w:ascii="宋体" w:hAnsi="宋体" w:cs="宋体"/>
                <w:color w:val="auto"/>
                <w:szCs w:val="21"/>
                <w:highlight w:val="none"/>
              </w:rPr>
            </w:pPr>
          </w:p>
        </w:tc>
        <w:tc>
          <w:tcPr>
            <w:tcW w:w="3420" w:type="dxa"/>
            <w:tcBorders>
              <w:top w:val="single" w:color="auto" w:sz="4" w:space="0"/>
              <w:left w:val="single" w:color="auto" w:sz="4" w:space="0"/>
              <w:bottom w:val="single" w:color="auto" w:sz="4" w:space="0"/>
              <w:right w:val="single" w:color="auto" w:sz="4" w:space="0"/>
            </w:tcBorders>
          </w:tcPr>
          <w:p w14:paraId="3C602DCA">
            <w:pPr>
              <w:wordWrap w:val="0"/>
              <w:snapToGrid w:val="0"/>
              <w:spacing w:line="360" w:lineRule="auto"/>
              <w:jc w:val="left"/>
              <w:rPr>
                <w:rFonts w:hint="eastAsia" w:ascii="宋体" w:hAnsi="宋体" w:cs="宋体"/>
                <w:color w:val="auto"/>
                <w:szCs w:val="21"/>
                <w:highlight w:val="none"/>
              </w:rPr>
            </w:pPr>
          </w:p>
        </w:tc>
        <w:tc>
          <w:tcPr>
            <w:tcW w:w="1715" w:type="dxa"/>
            <w:tcBorders>
              <w:top w:val="single" w:color="auto" w:sz="4" w:space="0"/>
              <w:left w:val="single" w:color="auto" w:sz="4" w:space="0"/>
              <w:bottom w:val="single" w:color="auto" w:sz="4" w:space="0"/>
              <w:right w:val="single" w:color="auto" w:sz="4" w:space="0"/>
            </w:tcBorders>
          </w:tcPr>
          <w:p w14:paraId="13D5A269">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5C45D76C">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53E4F166">
            <w:pPr>
              <w:wordWrap w:val="0"/>
              <w:snapToGrid w:val="0"/>
              <w:spacing w:line="360" w:lineRule="auto"/>
              <w:jc w:val="left"/>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Pr>
          <w:p w14:paraId="5F74A83A">
            <w:pPr>
              <w:wordWrap w:val="0"/>
              <w:snapToGrid w:val="0"/>
              <w:spacing w:line="360" w:lineRule="auto"/>
              <w:jc w:val="left"/>
              <w:rPr>
                <w:rFonts w:hint="eastAsia"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tcPr>
          <w:p w14:paraId="3C7C5556">
            <w:pPr>
              <w:wordWrap w:val="0"/>
              <w:snapToGrid w:val="0"/>
              <w:spacing w:line="360" w:lineRule="auto"/>
              <w:jc w:val="left"/>
              <w:rPr>
                <w:rFonts w:hint="eastAsia" w:ascii="宋体" w:hAnsi="宋体" w:cs="宋体"/>
                <w:color w:val="auto"/>
                <w:szCs w:val="21"/>
                <w:highlight w:val="none"/>
              </w:rPr>
            </w:pPr>
          </w:p>
        </w:tc>
      </w:tr>
      <w:tr w14:paraId="3BB3EA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14130F1D">
            <w:pPr>
              <w:wordWrap w:val="0"/>
              <w:snapToGrid w:val="0"/>
              <w:spacing w:line="360" w:lineRule="auto"/>
              <w:jc w:val="left"/>
              <w:rPr>
                <w:rFonts w:hint="eastAsia" w:ascii="宋体" w:hAnsi="宋体" w:cs="宋体"/>
                <w:color w:val="auto"/>
                <w:szCs w:val="21"/>
                <w:highlight w:val="none"/>
              </w:rPr>
            </w:pPr>
          </w:p>
        </w:tc>
        <w:tc>
          <w:tcPr>
            <w:tcW w:w="3420" w:type="dxa"/>
            <w:tcBorders>
              <w:top w:val="single" w:color="auto" w:sz="4" w:space="0"/>
              <w:left w:val="single" w:color="auto" w:sz="4" w:space="0"/>
              <w:bottom w:val="single" w:color="auto" w:sz="4" w:space="0"/>
              <w:right w:val="single" w:color="auto" w:sz="4" w:space="0"/>
            </w:tcBorders>
          </w:tcPr>
          <w:p w14:paraId="5223E438">
            <w:pPr>
              <w:wordWrap w:val="0"/>
              <w:snapToGrid w:val="0"/>
              <w:spacing w:line="360" w:lineRule="auto"/>
              <w:jc w:val="left"/>
              <w:rPr>
                <w:rFonts w:hint="eastAsia" w:ascii="宋体" w:hAnsi="宋体" w:cs="宋体"/>
                <w:color w:val="auto"/>
                <w:szCs w:val="21"/>
                <w:highlight w:val="none"/>
              </w:rPr>
            </w:pPr>
          </w:p>
        </w:tc>
        <w:tc>
          <w:tcPr>
            <w:tcW w:w="1715" w:type="dxa"/>
            <w:tcBorders>
              <w:top w:val="single" w:color="auto" w:sz="4" w:space="0"/>
              <w:left w:val="single" w:color="auto" w:sz="4" w:space="0"/>
              <w:bottom w:val="single" w:color="auto" w:sz="4" w:space="0"/>
              <w:right w:val="single" w:color="auto" w:sz="4" w:space="0"/>
            </w:tcBorders>
          </w:tcPr>
          <w:p w14:paraId="6806C7D1">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200F30F1">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107C74FB">
            <w:pPr>
              <w:wordWrap w:val="0"/>
              <w:snapToGrid w:val="0"/>
              <w:spacing w:line="360" w:lineRule="auto"/>
              <w:jc w:val="left"/>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Pr>
          <w:p w14:paraId="52E828BC">
            <w:pPr>
              <w:wordWrap w:val="0"/>
              <w:snapToGrid w:val="0"/>
              <w:spacing w:line="360" w:lineRule="auto"/>
              <w:jc w:val="left"/>
              <w:rPr>
                <w:rFonts w:hint="eastAsia"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tcPr>
          <w:p w14:paraId="0C2D6EA6">
            <w:pPr>
              <w:wordWrap w:val="0"/>
              <w:snapToGrid w:val="0"/>
              <w:spacing w:line="360" w:lineRule="auto"/>
              <w:jc w:val="left"/>
              <w:rPr>
                <w:rFonts w:hint="eastAsia" w:ascii="宋体" w:hAnsi="宋体" w:cs="宋体"/>
                <w:color w:val="auto"/>
                <w:szCs w:val="21"/>
                <w:highlight w:val="none"/>
              </w:rPr>
            </w:pPr>
          </w:p>
        </w:tc>
      </w:tr>
      <w:tr w14:paraId="5888BA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13C18333">
            <w:pPr>
              <w:wordWrap w:val="0"/>
              <w:snapToGrid w:val="0"/>
              <w:spacing w:line="360" w:lineRule="auto"/>
              <w:jc w:val="left"/>
              <w:rPr>
                <w:rFonts w:hint="eastAsia" w:ascii="宋体" w:hAnsi="宋体" w:cs="宋体"/>
                <w:color w:val="auto"/>
                <w:szCs w:val="21"/>
                <w:highlight w:val="none"/>
              </w:rPr>
            </w:pPr>
          </w:p>
        </w:tc>
        <w:tc>
          <w:tcPr>
            <w:tcW w:w="3420" w:type="dxa"/>
            <w:tcBorders>
              <w:top w:val="single" w:color="auto" w:sz="4" w:space="0"/>
              <w:left w:val="single" w:color="auto" w:sz="4" w:space="0"/>
              <w:bottom w:val="single" w:color="auto" w:sz="4" w:space="0"/>
              <w:right w:val="single" w:color="auto" w:sz="4" w:space="0"/>
            </w:tcBorders>
          </w:tcPr>
          <w:p w14:paraId="2DFAFD95">
            <w:pPr>
              <w:wordWrap w:val="0"/>
              <w:snapToGrid w:val="0"/>
              <w:spacing w:line="360" w:lineRule="auto"/>
              <w:jc w:val="left"/>
              <w:rPr>
                <w:rFonts w:hint="eastAsia" w:ascii="宋体" w:hAnsi="宋体" w:cs="宋体"/>
                <w:color w:val="auto"/>
                <w:szCs w:val="21"/>
                <w:highlight w:val="none"/>
              </w:rPr>
            </w:pPr>
          </w:p>
        </w:tc>
        <w:tc>
          <w:tcPr>
            <w:tcW w:w="1715" w:type="dxa"/>
            <w:tcBorders>
              <w:top w:val="single" w:color="auto" w:sz="4" w:space="0"/>
              <w:left w:val="single" w:color="auto" w:sz="4" w:space="0"/>
              <w:bottom w:val="single" w:color="auto" w:sz="4" w:space="0"/>
              <w:right w:val="single" w:color="auto" w:sz="4" w:space="0"/>
            </w:tcBorders>
          </w:tcPr>
          <w:p w14:paraId="08BBDD6A">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15628D41">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483D2E97">
            <w:pPr>
              <w:wordWrap w:val="0"/>
              <w:snapToGrid w:val="0"/>
              <w:spacing w:line="360" w:lineRule="auto"/>
              <w:jc w:val="left"/>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Pr>
          <w:p w14:paraId="16613B5D">
            <w:pPr>
              <w:wordWrap w:val="0"/>
              <w:snapToGrid w:val="0"/>
              <w:spacing w:line="360" w:lineRule="auto"/>
              <w:jc w:val="left"/>
              <w:rPr>
                <w:rFonts w:hint="eastAsia"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tcPr>
          <w:p w14:paraId="09E84BFB">
            <w:pPr>
              <w:wordWrap w:val="0"/>
              <w:snapToGrid w:val="0"/>
              <w:spacing w:line="360" w:lineRule="auto"/>
              <w:jc w:val="left"/>
              <w:rPr>
                <w:rFonts w:hint="eastAsia" w:ascii="宋体" w:hAnsi="宋体" w:cs="宋体"/>
                <w:color w:val="auto"/>
                <w:szCs w:val="21"/>
                <w:highlight w:val="none"/>
              </w:rPr>
            </w:pPr>
          </w:p>
        </w:tc>
      </w:tr>
      <w:tr w14:paraId="7A437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093200F7">
            <w:pPr>
              <w:wordWrap w:val="0"/>
              <w:snapToGrid w:val="0"/>
              <w:spacing w:line="360" w:lineRule="auto"/>
              <w:jc w:val="left"/>
              <w:rPr>
                <w:rFonts w:hint="eastAsia" w:ascii="宋体" w:hAnsi="宋体" w:cs="宋体"/>
                <w:color w:val="auto"/>
                <w:szCs w:val="21"/>
                <w:highlight w:val="none"/>
              </w:rPr>
            </w:pPr>
          </w:p>
        </w:tc>
        <w:tc>
          <w:tcPr>
            <w:tcW w:w="3420" w:type="dxa"/>
            <w:tcBorders>
              <w:top w:val="single" w:color="auto" w:sz="4" w:space="0"/>
              <w:left w:val="single" w:color="auto" w:sz="4" w:space="0"/>
              <w:bottom w:val="single" w:color="auto" w:sz="4" w:space="0"/>
              <w:right w:val="single" w:color="auto" w:sz="4" w:space="0"/>
            </w:tcBorders>
          </w:tcPr>
          <w:p w14:paraId="1D87FBB3">
            <w:pPr>
              <w:wordWrap w:val="0"/>
              <w:snapToGrid w:val="0"/>
              <w:spacing w:line="360" w:lineRule="auto"/>
              <w:jc w:val="left"/>
              <w:rPr>
                <w:rFonts w:hint="eastAsia" w:ascii="宋体" w:hAnsi="宋体" w:cs="宋体"/>
                <w:color w:val="auto"/>
                <w:szCs w:val="21"/>
                <w:highlight w:val="none"/>
              </w:rPr>
            </w:pPr>
          </w:p>
        </w:tc>
        <w:tc>
          <w:tcPr>
            <w:tcW w:w="1715" w:type="dxa"/>
            <w:tcBorders>
              <w:top w:val="single" w:color="auto" w:sz="4" w:space="0"/>
              <w:left w:val="single" w:color="auto" w:sz="4" w:space="0"/>
              <w:bottom w:val="single" w:color="auto" w:sz="4" w:space="0"/>
              <w:right w:val="single" w:color="auto" w:sz="4" w:space="0"/>
            </w:tcBorders>
          </w:tcPr>
          <w:p w14:paraId="38B9E709">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68733B43">
            <w:pPr>
              <w:wordWrap w:val="0"/>
              <w:snapToGrid w:val="0"/>
              <w:spacing w:line="360" w:lineRule="auto"/>
              <w:jc w:val="left"/>
              <w:rPr>
                <w:rFonts w:hint="eastAsia" w:ascii="宋体" w:hAnsi="宋体" w:cs="宋体"/>
                <w:color w:val="auto"/>
                <w:szCs w:val="21"/>
                <w:highlight w:val="none"/>
              </w:rPr>
            </w:pPr>
          </w:p>
        </w:tc>
        <w:tc>
          <w:tcPr>
            <w:tcW w:w="1559" w:type="dxa"/>
            <w:tcBorders>
              <w:top w:val="single" w:color="auto" w:sz="4" w:space="0"/>
              <w:left w:val="single" w:color="auto" w:sz="4" w:space="0"/>
              <w:bottom w:val="single" w:color="auto" w:sz="4" w:space="0"/>
              <w:right w:val="single" w:color="auto" w:sz="4" w:space="0"/>
            </w:tcBorders>
          </w:tcPr>
          <w:p w14:paraId="0E682417">
            <w:pPr>
              <w:wordWrap w:val="0"/>
              <w:snapToGrid w:val="0"/>
              <w:spacing w:line="360" w:lineRule="auto"/>
              <w:jc w:val="left"/>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Pr>
          <w:p w14:paraId="1A150F52">
            <w:pPr>
              <w:wordWrap w:val="0"/>
              <w:snapToGrid w:val="0"/>
              <w:spacing w:line="360" w:lineRule="auto"/>
              <w:jc w:val="left"/>
              <w:rPr>
                <w:rFonts w:hint="eastAsia" w:ascii="宋体" w:hAnsi="宋体" w:cs="宋体"/>
                <w:color w:val="auto"/>
                <w:szCs w:val="21"/>
                <w:highlight w:val="none"/>
              </w:rPr>
            </w:pPr>
          </w:p>
        </w:tc>
        <w:tc>
          <w:tcPr>
            <w:tcW w:w="2268" w:type="dxa"/>
            <w:tcBorders>
              <w:top w:val="single" w:color="auto" w:sz="4" w:space="0"/>
              <w:left w:val="single" w:color="auto" w:sz="4" w:space="0"/>
              <w:bottom w:val="single" w:color="auto" w:sz="4" w:space="0"/>
              <w:right w:val="single" w:color="auto" w:sz="4" w:space="0"/>
            </w:tcBorders>
          </w:tcPr>
          <w:p w14:paraId="6C4338E0">
            <w:pPr>
              <w:wordWrap w:val="0"/>
              <w:snapToGrid w:val="0"/>
              <w:spacing w:line="360" w:lineRule="auto"/>
              <w:jc w:val="left"/>
              <w:rPr>
                <w:rFonts w:hint="eastAsia" w:ascii="宋体" w:hAnsi="宋体" w:cs="宋体"/>
                <w:color w:val="auto"/>
                <w:szCs w:val="21"/>
                <w:highlight w:val="none"/>
              </w:rPr>
            </w:pPr>
          </w:p>
        </w:tc>
      </w:tr>
    </w:tbl>
    <w:p w14:paraId="6BDDF703">
      <w:pPr>
        <w:pStyle w:val="12"/>
        <w:wordWrap w:val="0"/>
        <w:spacing w:line="360" w:lineRule="auto"/>
        <w:ind w:left="72"/>
        <w:rPr>
          <w:rFonts w:hint="eastAsia" w:hAnsi="宋体" w:cs="宋体"/>
          <w:color w:val="auto"/>
          <w:szCs w:val="21"/>
          <w:highlight w:val="none"/>
        </w:rPr>
      </w:pPr>
      <w:r>
        <w:rPr>
          <w:rFonts w:hint="eastAsia" w:hAnsi="宋体" w:cs="宋体"/>
          <w:color w:val="auto"/>
          <w:szCs w:val="21"/>
          <w:highlight w:val="none"/>
        </w:rPr>
        <w:t>注：投标人可按上述的格式自行编制，须随表提交相应的同类项目合同复印件/中标（或成交）通知书和用户单位验收证明（如有）并注明所在投标人商务技术文件页码。</w:t>
      </w:r>
    </w:p>
    <w:p w14:paraId="471DC4B3">
      <w:pPr>
        <w:wordWrap w:val="0"/>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0595F8A1">
      <w:pPr>
        <w:wordWrap w:val="0"/>
        <w:snapToGrid w:val="0"/>
        <w:spacing w:line="360" w:lineRule="auto"/>
        <w:ind w:firstLine="4935" w:firstLineChars="2350"/>
        <w:rPr>
          <w:rFonts w:hint="eastAsia" w:ascii="宋体" w:hAnsi="宋体" w:cs="宋体"/>
          <w:color w:val="auto"/>
          <w:szCs w:val="21"/>
          <w:highlight w:val="none"/>
        </w:rPr>
      </w:pPr>
    </w:p>
    <w:p w14:paraId="2038512E">
      <w:pPr>
        <w:wordWrap w:val="0"/>
        <w:snapToGrid w:val="0"/>
        <w:spacing w:line="360" w:lineRule="auto"/>
        <w:ind w:firstLine="10080" w:firstLineChars="480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1E7DA53A">
      <w:pPr>
        <w:wordWrap w:val="0"/>
        <w:snapToGrid w:val="0"/>
        <w:spacing w:line="360" w:lineRule="auto"/>
        <w:ind w:firstLine="8820" w:firstLineChars="4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6D9CF79C">
      <w:pPr>
        <w:widowControl/>
        <w:wordWrap w:val="0"/>
        <w:spacing w:line="360" w:lineRule="auto"/>
        <w:ind w:firstLine="480"/>
        <w:jc w:val="left"/>
        <w:rPr>
          <w:rFonts w:hint="eastAsia" w:ascii="宋体" w:hAnsi="宋体" w:cs="宋体"/>
          <w:color w:val="auto"/>
          <w:kern w:val="0"/>
          <w:sz w:val="24"/>
          <w:highlight w:val="none"/>
          <w:lang w:val="zh-CN"/>
        </w:rPr>
        <w:sectPr>
          <w:pgSz w:w="16838" w:h="11906" w:orient="landscape"/>
          <w:pgMar w:top="1440" w:right="1080" w:bottom="1440" w:left="1080" w:header="720" w:footer="720" w:gutter="0"/>
          <w:cols w:space="720" w:num="1"/>
          <w:docGrid w:type="lines" w:linePitch="331" w:charSpace="0"/>
        </w:sectPr>
      </w:pPr>
    </w:p>
    <w:p w14:paraId="02A70B73">
      <w:pPr>
        <w:wordWrap w:val="0"/>
        <w:snapToGrid w:val="0"/>
        <w:spacing w:line="360" w:lineRule="auto"/>
        <w:ind w:right="480" w:firstLine="643"/>
        <w:jc w:val="center"/>
        <w:rPr>
          <w:rFonts w:hint="eastAsia" w:ascii="宋体" w:hAnsi="宋体" w:cs="宋体"/>
          <w:b/>
          <w:color w:val="auto"/>
          <w:kern w:val="0"/>
          <w:sz w:val="32"/>
          <w:szCs w:val="32"/>
          <w:highlight w:val="none"/>
        </w:rPr>
      </w:pPr>
      <w:bookmarkStart w:id="290" w:name="_Toc19686839"/>
      <w:bookmarkStart w:id="291" w:name="_Toc18625"/>
      <w:r>
        <w:rPr>
          <w:rFonts w:hint="eastAsia" w:ascii="宋体" w:hAnsi="宋体" w:cs="宋体"/>
          <w:b/>
          <w:color w:val="auto"/>
          <w:kern w:val="0"/>
          <w:sz w:val="32"/>
          <w:szCs w:val="32"/>
          <w:highlight w:val="none"/>
        </w:rPr>
        <w:t>七、除招标文件规定必须提供以外，投标人认为需要提供的其他证明材料。</w:t>
      </w:r>
    </w:p>
    <w:p w14:paraId="67E27703">
      <w:pPr>
        <w:wordWrap w:val="0"/>
        <w:spacing w:line="360" w:lineRule="auto"/>
        <w:ind w:firstLine="600"/>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（由投标人根据采购需求自行编制）</w:t>
      </w:r>
    </w:p>
    <w:p w14:paraId="077D4021">
      <w:pPr>
        <w:numPr>
          <w:ilvl w:val="0"/>
          <w:numId w:val="4"/>
        </w:numPr>
        <w:ind w:firstLine="562"/>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22CE2757">
      <w:pPr>
        <w:pStyle w:val="12"/>
        <w:wordWrap w:val="0"/>
        <w:spacing w:line="360" w:lineRule="auto"/>
        <w:ind w:firstLine="562"/>
        <w:jc w:val="center"/>
        <w:outlineLvl w:val="1"/>
        <w:rPr>
          <w:rFonts w:hint="eastAsia" w:hAnsi="宋体" w:cs="宋体"/>
          <w:b/>
          <w:bCs/>
          <w:color w:val="auto"/>
          <w:sz w:val="28"/>
          <w:szCs w:val="28"/>
          <w:highlight w:val="none"/>
        </w:rPr>
      </w:pPr>
      <w:r>
        <w:rPr>
          <w:rFonts w:hint="eastAsia" w:hAnsi="宋体" w:cs="宋体"/>
          <w:b/>
          <w:bCs/>
          <w:color w:val="auto"/>
          <w:sz w:val="28"/>
          <w:szCs w:val="28"/>
          <w:highlight w:val="none"/>
        </w:rPr>
        <w:t>第四节 技术文件格式</w:t>
      </w:r>
      <w:bookmarkEnd w:id="290"/>
      <w:bookmarkEnd w:id="291"/>
    </w:p>
    <w:p w14:paraId="685771BA">
      <w:pPr>
        <w:wordWrap w:val="0"/>
        <w:snapToGrid w:val="0"/>
        <w:spacing w:line="360" w:lineRule="auto"/>
        <w:ind w:firstLine="48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57899A20">
      <w:pPr>
        <w:wordWrap w:val="0"/>
        <w:snapToGrid w:val="0"/>
        <w:spacing w:line="360" w:lineRule="auto"/>
        <w:ind w:firstLine="480"/>
        <w:rPr>
          <w:rFonts w:hint="eastAsia" w:ascii="宋体" w:hAnsi="宋体" w:cs="宋体"/>
          <w:color w:val="auto"/>
          <w:sz w:val="24"/>
          <w:szCs w:val="20"/>
          <w:highlight w:val="none"/>
        </w:rPr>
      </w:pPr>
    </w:p>
    <w:p w14:paraId="77F953E3">
      <w:pPr>
        <w:wordWrap w:val="0"/>
        <w:snapToGrid w:val="0"/>
        <w:spacing w:line="360" w:lineRule="auto"/>
        <w:ind w:firstLine="643"/>
        <w:jc w:val="center"/>
        <w:rPr>
          <w:rFonts w:hint="eastAsia" w:ascii="宋体" w:hAnsi="宋体" w:cs="宋体"/>
          <w:b/>
          <w:bCs/>
          <w:color w:val="auto"/>
          <w:sz w:val="32"/>
          <w:szCs w:val="32"/>
          <w:highlight w:val="none"/>
        </w:rPr>
      </w:pPr>
    </w:p>
    <w:p w14:paraId="75E7BB86">
      <w:pPr>
        <w:wordWrap w:val="0"/>
        <w:snapToGrid w:val="0"/>
        <w:spacing w:line="360" w:lineRule="auto"/>
        <w:ind w:firstLine="643"/>
        <w:jc w:val="center"/>
        <w:rPr>
          <w:rFonts w:hint="eastAsia" w:ascii="宋体" w:hAnsi="宋体" w:cs="宋体"/>
          <w:b/>
          <w:bCs/>
          <w:color w:val="auto"/>
          <w:sz w:val="32"/>
          <w:szCs w:val="32"/>
          <w:highlight w:val="none"/>
        </w:rPr>
      </w:pPr>
    </w:p>
    <w:p w14:paraId="74E57E69">
      <w:pPr>
        <w:wordWrap w:val="0"/>
        <w:snapToGrid w:val="0"/>
        <w:spacing w:line="360" w:lineRule="auto"/>
        <w:ind w:firstLine="643"/>
        <w:jc w:val="center"/>
        <w:rPr>
          <w:rFonts w:hint="eastAsia" w:ascii="宋体" w:hAnsi="宋体" w:cs="宋体"/>
          <w:b/>
          <w:bCs/>
          <w:color w:val="auto"/>
          <w:sz w:val="32"/>
          <w:szCs w:val="32"/>
          <w:highlight w:val="none"/>
        </w:rPr>
      </w:pPr>
    </w:p>
    <w:p w14:paraId="188D5F08">
      <w:pPr>
        <w:wordWrap w:val="0"/>
        <w:snapToGrid w:val="0"/>
        <w:spacing w:line="360" w:lineRule="auto"/>
        <w:ind w:firstLine="643"/>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技术文件（封面）</w:t>
      </w:r>
    </w:p>
    <w:p w14:paraId="43122C87">
      <w:pPr>
        <w:wordWrap w:val="0"/>
        <w:snapToGrid w:val="0"/>
        <w:spacing w:line="360" w:lineRule="auto"/>
        <w:ind w:firstLine="480"/>
        <w:rPr>
          <w:rFonts w:hint="eastAsia" w:ascii="宋体" w:hAnsi="宋体" w:cs="宋体"/>
          <w:bCs/>
          <w:color w:val="auto"/>
          <w:sz w:val="24"/>
          <w:szCs w:val="20"/>
          <w:highlight w:val="none"/>
        </w:rPr>
      </w:pPr>
    </w:p>
    <w:p w14:paraId="08CC3D63">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7D0FB259">
      <w:pPr>
        <w:wordWrap w:val="0"/>
        <w:snapToGrid w:val="0"/>
        <w:spacing w:line="360" w:lineRule="auto"/>
        <w:ind w:firstLine="540" w:firstLineChars="225"/>
        <w:rPr>
          <w:rFonts w:hint="eastAsia" w:ascii="宋体" w:hAnsi="宋体" w:cs="宋体"/>
          <w:bCs/>
          <w:color w:val="auto"/>
          <w:sz w:val="24"/>
          <w:szCs w:val="20"/>
          <w:highlight w:val="none"/>
        </w:rPr>
      </w:pPr>
    </w:p>
    <w:p w14:paraId="356D4FFD">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45877493">
      <w:pPr>
        <w:wordWrap w:val="0"/>
        <w:snapToGrid w:val="0"/>
        <w:spacing w:line="360" w:lineRule="auto"/>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2A34267E">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2767FC48">
      <w:pPr>
        <w:wordWrap w:val="0"/>
        <w:snapToGrid w:val="0"/>
        <w:spacing w:line="360" w:lineRule="auto"/>
        <w:ind w:firstLine="540" w:firstLineChars="225"/>
        <w:rPr>
          <w:rFonts w:hint="eastAsia" w:ascii="宋体" w:hAnsi="宋体" w:cs="宋体"/>
          <w:bCs/>
          <w:color w:val="auto"/>
          <w:sz w:val="24"/>
          <w:szCs w:val="20"/>
          <w:highlight w:val="none"/>
        </w:rPr>
      </w:pPr>
    </w:p>
    <w:p w14:paraId="483BB3A3">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7E5C4182">
      <w:pPr>
        <w:pStyle w:val="7"/>
        <w:wordWrap w:val="0"/>
        <w:snapToGrid w:val="0"/>
        <w:spacing w:line="360" w:lineRule="auto"/>
        <w:ind w:firstLine="540" w:firstLineChars="225"/>
        <w:rPr>
          <w:rFonts w:hint="eastAsia" w:ascii="宋体" w:hAnsi="宋体" w:cs="宋体"/>
          <w:bCs/>
          <w:color w:val="auto"/>
          <w:sz w:val="24"/>
          <w:szCs w:val="24"/>
          <w:highlight w:val="none"/>
        </w:rPr>
      </w:pPr>
    </w:p>
    <w:p w14:paraId="30EC887E">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4911C729">
      <w:pPr>
        <w:pStyle w:val="7"/>
        <w:wordWrap w:val="0"/>
        <w:snapToGrid w:val="0"/>
        <w:spacing w:line="360" w:lineRule="auto"/>
        <w:ind w:firstLine="960" w:firstLineChars="400"/>
        <w:rPr>
          <w:rFonts w:hint="eastAsia" w:ascii="宋体" w:hAnsi="宋体" w:cs="宋体"/>
          <w:bCs/>
          <w:color w:val="auto"/>
          <w:sz w:val="24"/>
          <w:szCs w:val="24"/>
          <w:highlight w:val="none"/>
        </w:rPr>
      </w:pPr>
    </w:p>
    <w:p w14:paraId="6263CD5B">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5B952B71">
      <w:pPr>
        <w:wordWrap w:val="0"/>
        <w:snapToGrid w:val="0"/>
        <w:spacing w:line="360" w:lineRule="auto"/>
        <w:ind w:firstLine="480"/>
        <w:jc w:val="center"/>
        <w:rPr>
          <w:rFonts w:hint="eastAsia" w:ascii="宋体" w:hAnsi="宋体" w:cs="宋体"/>
          <w:color w:val="auto"/>
          <w:sz w:val="24"/>
          <w:szCs w:val="20"/>
          <w:highlight w:val="none"/>
        </w:rPr>
      </w:pPr>
    </w:p>
    <w:p w14:paraId="7EFF818E">
      <w:pPr>
        <w:wordWrap w:val="0"/>
        <w:spacing w:line="360" w:lineRule="auto"/>
        <w:ind w:firstLine="482"/>
        <w:jc w:val="center"/>
        <w:rPr>
          <w:rFonts w:hint="eastAsia" w:ascii="宋体" w:hAnsi="宋体" w:cs="宋体"/>
          <w:b/>
          <w:color w:val="auto"/>
          <w:kern w:val="0"/>
          <w:sz w:val="28"/>
          <w:szCs w:val="28"/>
          <w:highlight w:val="none"/>
        </w:rPr>
      </w:pPr>
      <w:r>
        <w:rPr>
          <w:rFonts w:hint="eastAsia" w:ascii="宋体" w:hAnsi="宋体" w:cs="宋体"/>
          <w:b/>
          <w:bCs/>
          <w:color w:val="auto"/>
          <w:sz w:val="24"/>
          <w:highlight w:val="none"/>
        </w:rPr>
        <w:br w:type="page"/>
      </w:r>
      <w:r>
        <w:rPr>
          <w:rFonts w:hint="eastAsia" w:ascii="宋体" w:hAnsi="宋体" w:cs="宋体"/>
          <w:b/>
          <w:color w:val="auto"/>
          <w:kern w:val="0"/>
          <w:sz w:val="28"/>
          <w:szCs w:val="28"/>
          <w:highlight w:val="none"/>
        </w:rPr>
        <w:t>技术文件目录</w:t>
      </w:r>
    </w:p>
    <w:p w14:paraId="7C0A0C57">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一、服务需求、技术需求偏离表…………………………………………………（页码）</w:t>
      </w:r>
    </w:p>
    <w:p w14:paraId="1B2D8D26">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二、组织服务方案…………………………………………………………………（页码）</w:t>
      </w:r>
    </w:p>
    <w:p w14:paraId="3BA1C887">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三、售后服务方案 ………………………………</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E775EA6">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项目实施人员一览表 ………………………………</w:t>
      </w:r>
      <w:r>
        <w:rPr>
          <w:rFonts w:hint="eastAsia" w:ascii="宋体" w:hAnsi="宋体" w:eastAsia="宋体" w:cs="宋体"/>
          <w:color w:val="auto"/>
          <w:highlight w:val="none"/>
        </w:rPr>
        <w:t>………………………（页码）</w:t>
      </w:r>
    </w:p>
    <w:p w14:paraId="5B05DA46">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五、投标人对项目的合理化建议和改进措施</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9E5DC85">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六、优惠条件及特殊承诺（如有）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5236002">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七、备品备件及供选择的配套零部件清单（如有）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2A98ED3">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八、培训计划（如有）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DBAC992">
      <w:pPr>
        <w:pStyle w:val="35"/>
        <w:wordWrap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九、认为需要的其他技术文件或说明（如有）</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DC25DD1">
      <w:pPr>
        <w:wordWrap w:val="0"/>
        <w:spacing w:line="360" w:lineRule="auto"/>
        <w:ind w:firstLine="482"/>
        <w:rPr>
          <w:rFonts w:hint="eastAsia" w:ascii="宋体" w:hAnsi="宋体" w:cs="宋体"/>
          <w:b/>
          <w:bCs/>
          <w:color w:val="auto"/>
          <w:sz w:val="24"/>
          <w:highlight w:val="none"/>
        </w:rPr>
      </w:pPr>
      <w:r>
        <w:rPr>
          <w:rFonts w:hint="eastAsia" w:ascii="宋体" w:hAnsi="宋体" w:cs="宋体"/>
          <w:b/>
          <w:bCs/>
          <w:color w:val="auto"/>
          <w:sz w:val="24"/>
          <w:highlight w:val="none"/>
        </w:rPr>
        <w:t>注：以上目录是基本格式要求，各投标人可根据自身情况进一步向下增加内容或细化。</w:t>
      </w:r>
    </w:p>
    <w:p w14:paraId="38A75206">
      <w:pPr>
        <w:wordWrap w:val="0"/>
        <w:snapToGrid w:val="0"/>
        <w:spacing w:line="360" w:lineRule="auto"/>
        <w:ind w:left="143" w:leftChars="68" w:firstLine="472" w:firstLineChars="196"/>
        <w:jc w:val="left"/>
        <w:rPr>
          <w:rFonts w:hint="eastAsia" w:ascii="宋体" w:hAnsi="宋体" w:cs="宋体"/>
          <w:b/>
          <w:color w:val="auto"/>
          <w:sz w:val="24"/>
          <w:highlight w:val="none"/>
        </w:rPr>
      </w:pPr>
    </w:p>
    <w:p w14:paraId="3E1FDE7E">
      <w:pPr>
        <w:wordWrap w:val="0"/>
        <w:snapToGrid w:val="0"/>
        <w:spacing w:line="360" w:lineRule="auto"/>
        <w:ind w:left="143" w:leftChars="68" w:firstLine="472" w:firstLineChars="196"/>
        <w:jc w:val="left"/>
        <w:rPr>
          <w:rFonts w:hint="eastAsia" w:ascii="宋体" w:hAnsi="宋体" w:cs="宋体"/>
          <w:b/>
          <w:color w:val="auto"/>
          <w:sz w:val="24"/>
          <w:highlight w:val="none"/>
        </w:rPr>
      </w:pPr>
      <w:r>
        <w:rPr>
          <w:rFonts w:hint="eastAsia" w:ascii="宋体" w:hAnsi="宋体" w:cs="宋体"/>
          <w:b/>
          <w:color w:val="auto"/>
          <w:sz w:val="24"/>
          <w:highlight w:val="none"/>
        </w:rPr>
        <w:br w:type="page"/>
      </w:r>
      <w:r>
        <w:rPr>
          <w:rFonts w:hint="eastAsia" w:ascii="宋体" w:hAnsi="宋体" w:cs="宋体"/>
          <w:b/>
          <w:color w:val="auto"/>
          <w:sz w:val="24"/>
          <w:highlight w:val="none"/>
        </w:rPr>
        <w:t xml:space="preserve"> </w:t>
      </w:r>
    </w:p>
    <w:p w14:paraId="2862C243">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一、服务需求、技术需求偏离表</w:t>
      </w:r>
    </w:p>
    <w:p w14:paraId="6A8AB1B2">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请根据所投服务的实际技术参数，</w:t>
      </w:r>
      <w:r>
        <w:rPr>
          <w:rFonts w:hint="eastAsia" w:hAnsi="宋体" w:cs="宋体"/>
          <w:b/>
          <w:color w:val="auto"/>
          <w:szCs w:val="21"/>
          <w:highlight w:val="none"/>
        </w:rPr>
        <w:t>逐条对应</w:t>
      </w:r>
      <w:r>
        <w:rPr>
          <w:rFonts w:hint="eastAsia" w:hAnsi="宋体" w:cs="宋体"/>
          <w:color w:val="auto"/>
          <w:szCs w:val="21"/>
          <w:highlight w:val="none"/>
        </w:rPr>
        <w:t>本项目招标文件第二章“服务需求一览表”中的</w:t>
      </w:r>
      <w:r>
        <w:rPr>
          <w:rFonts w:hint="eastAsia" w:hAnsi="宋体" w:cs="宋体"/>
          <w:b/>
          <w:color w:val="auto"/>
          <w:szCs w:val="21"/>
          <w:highlight w:val="none"/>
        </w:rPr>
        <w:t>采购清单及服务参数</w:t>
      </w:r>
      <w:r>
        <w:rPr>
          <w:rFonts w:hint="eastAsia" w:hAnsi="宋体" w:cs="宋体"/>
          <w:color w:val="auto"/>
          <w:szCs w:val="21"/>
          <w:highlight w:val="none"/>
        </w:rPr>
        <w:t>详细填写相应的具体内容。“偏离说明”一栏应当选择“正偏离”、“负偏离”或“无偏离”进行填写。</w:t>
      </w:r>
    </w:p>
    <w:tbl>
      <w:tblPr>
        <w:tblStyle w:val="22"/>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66DA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4C1D6E3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1B90E799">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03CBE12E">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65004FE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40C1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55BFD06F">
            <w:pPr>
              <w:widowControl/>
              <w:wordWrap w:val="0"/>
              <w:spacing w:line="360" w:lineRule="auto"/>
              <w:jc w:val="left"/>
              <w:rPr>
                <w:rFonts w:hint="eastAsia" w:ascii="宋体" w:hAns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2CF12D4F">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vAlign w:val="center"/>
          </w:tcPr>
          <w:p w14:paraId="5B1BAFCC">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vAlign w:val="center"/>
          </w:tcPr>
          <w:p w14:paraId="4ED044EB">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vAlign w:val="center"/>
          </w:tcPr>
          <w:p w14:paraId="4A2CAD87">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0ADA6640">
            <w:pPr>
              <w:widowControl/>
              <w:wordWrap w:val="0"/>
              <w:spacing w:line="360" w:lineRule="auto"/>
              <w:jc w:val="left"/>
              <w:rPr>
                <w:rFonts w:hint="eastAsia" w:ascii="宋体" w:hAnsi="宋体" w:cs="宋体"/>
                <w:color w:val="auto"/>
                <w:szCs w:val="21"/>
                <w:highlight w:val="none"/>
              </w:rPr>
            </w:pPr>
          </w:p>
        </w:tc>
      </w:tr>
      <w:tr w14:paraId="3846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04CD967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1A67128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65B08A5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p w14:paraId="334D395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37C9D47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483CDCB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3912E3A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388FF41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p w14:paraId="1BBD78FD">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6183B20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5CFD683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4CFF36E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tc>
      </w:tr>
      <w:tr w14:paraId="5F2C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0D02E95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19E70A7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6A91C7F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p w14:paraId="6181C97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375E140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483EF4D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37610DD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1A38CA8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  ……</w:t>
            </w:r>
          </w:p>
          <w:p w14:paraId="54E7888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  ……</w:t>
            </w:r>
          </w:p>
          <w:p w14:paraId="44054D1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  ……</w:t>
            </w:r>
          </w:p>
          <w:p w14:paraId="360BBCC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06C0033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正偏离（负偏离或无偏离）</w:t>
            </w:r>
          </w:p>
        </w:tc>
      </w:tr>
      <w:tr w14:paraId="55CE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58B7CA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49BDD389">
            <w:pPr>
              <w:wordWrap w:val="0"/>
              <w:spacing w:line="360" w:lineRule="auto"/>
              <w:rPr>
                <w:rFonts w:hint="eastAsia" w:ascii="宋体" w:hAnsi="宋体" w:cs="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vAlign w:val="center"/>
          </w:tcPr>
          <w:p w14:paraId="29FFBAF9">
            <w:pPr>
              <w:wordWrap w:val="0"/>
              <w:spacing w:line="360" w:lineRule="auto"/>
              <w:rPr>
                <w:rFonts w:hint="eastAsia" w:ascii="宋体" w:hAnsi="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4EBC402C">
            <w:pPr>
              <w:wordWrap w:val="0"/>
              <w:spacing w:line="360" w:lineRule="auto"/>
              <w:rPr>
                <w:rFonts w:hint="eastAsia" w:ascii="宋体" w:hAnsi="宋体" w:cs="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vAlign w:val="center"/>
          </w:tcPr>
          <w:p w14:paraId="78B61F5F">
            <w:pPr>
              <w:wordWrap w:val="0"/>
              <w:spacing w:line="360" w:lineRule="auto"/>
              <w:rPr>
                <w:rFonts w:hint="eastAsia" w:ascii="宋体" w:hAnsi="宋体" w:cs="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vAlign w:val="center"/>
          </w:tcPr>
          <w:p w14:paraId="698ED597">
            <w:pPr>
              <w:wordWrap w:val="0"/>
              <w:spacing w:line="360" w:lineRule="auto"/>
              <w:rPr>
                <w:rFonts w:hint="eastAsia" w:ascii="宋体" w:hAnsi="宋体" w:cs="宋体"/>
                <w:color w:val="auto"/>
                <w:szCs w:val="21"/>
                <w:highlight w:val="none"/>
              </w:rPr>
            </w:pPr>
          </w:p>
        </w:tc>
      </w:tr>
      <w:tr w14:paraId="2684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551DCDDE">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bl>
    <w:p w14:paraId="2F90496B">
      <w:pPr>
        <w:pStyle w:val="12"/>
        <w:wordWrap w:val="0"/>
        <w:spacing w:line="360" w:lineRule="auto"/>
        <w:rPr>
          <w:rFonts w:hint="eastAsia" w:hAnsi="宋体" w:cs="宋体"/>
          <w:color w:val="auto"/>
          <w:szCs w:val="21"/>
          <w:highlight w:val="none"/>
        </w:rPr>
      </w:pPr>
      <w:r>
        <w:rPr>
          <w:rFonts w:hint="eastAsia" w:hAnsi="宋体" w:cs="宋体"/>
          <w:color w:val="auto"/>
          <w:szCs w:val="21"/>
          <w:highlight w:val="none"/>
        </w:rPr>
        <w:t>注：</w:t>
      </w:r>
    </w:p>
    <w:p w14:paraId="4450F29E">
      <w:pPr>
        <w:pStyle w:val="12"/>
        <w:wordWrap w:val="0"/>
        <w:spacing w:line="360" w:lineRule="auto"/>
        <w:rPr>
          <w:rFonts w:hint="eastAsia" w:hAnsi="宋体" w:cs="宋体"/>
          <w:color w:val="auto"/>
          <w:szCs w:val="21"/>
          <w:highlight w:val="none"/>
        </w:rPr>
      </w:pPr>
      <w:r>
        <w:rPr>
          <w:rFonts w:hint="eastAsia" w:hAnsi="宋体" w:cs="宋体"/>
          <w:color w:val="auto"/>
          <w:szCs w:val="21"/>
          <w:highlight w:val="none"/>
        </w:rPr>
        <w:t>1.表格内容均需按要求填写并盖章，不得留空，</w:t>
      </w:r>
      <w:r>
        <w:rPr>
          <w:rFonts w:hint="eastAsia" w:hAnsi="宋体" w:cs="宋体"/>
          <w:bCs/>
          <w:color w:val="auto"/>
          <w:szCs w:val="21"/>
          <w:highlight w:val="none"/>
        </w:rPr>
        <w:t>否则按投标无效处理</w:t>
      </w:r>
      <w:r>
        <w:rPr>
          <w:rFonts w:hint="eastAsia" w:hAnsi="宋体" w:cs="宋体"/>
          <w:color w:val="auto"/>
          <w:szCs w:val="21"/>
          <w:highlight w:val="none"/>
        </w:rPr>
        <w:t>。</w:t>
      </w:r>
    </w:p>
    <w:p w14:paraId="680E4037">
      <w:pPr>
        <w:pStyle w:val="12"/>
        <w:wordWrap w:val="0"/>
        <w:spacing w:line="360" w:lineRule="auto"/>
        <w:rPr>
          <w:rFonts w:hint="eastAsia" w:hAnsi="宋体" w:cs="宋体"/>
          <w:color w:val="auto"/>
          <w:szCs w:val="21"/>
          <w:highlight w:val="none"/>
        </w:rPr>
      </w:pPr>
      <w:r>
        <w:rPr>
          <w:rFonts w:hint="eastAsia" w:hAnsi="宋体" w:cs="宋体"/>
          <w:bCs/>
          <w:color w:val="auto"/>
          <w:szCs w:val="21"/>
          <w:highlight w:val="none"/>
        </w:rPr>
        <w:t>2.当投标文件的服务内容低于招标文件要求时，投标人应当如实写明“负偏离”，否则视为虚假应标。</w:t>
      </w:r>
    </w:p>
    <w:p w14:paraId="489864E3">
      <w:pPr>
        <w:pStyle w:val="12"/>
        <w:wordWrap w:val="0"/>
        <w:spacing w:line="360" w:lineRule="auto"/>
        <w:rPr>
          <w:rFonts w:hint="eastAsia" w:hAnsi="宋体" w:cs="宋体"/>
          <w:color w:val="auto"/>
          <w:szCs w:val="21"/>
          <w:highlight w:val="none"/>
        </w:rPr>
      </w:pPr>
      <w:r>
        <w:rPr>
          <w:rFonts w:hint="eastAsia" w:hAnsi="宋体" w:cs="宋体"/>
          <w:color w:val="auto"/>
          <w:szCs w:val="21"/>
          <w:highlight w:val="none"/>
        </w:rPr>
        <w:t>3.采购需求中带“▲”及“★”的条款，也要分别在本表“服务参数”、“所提供服务的内容”中标记。</w:t>
      </w:r>
    </w:p>
    <w:p w14:paraId="15ADCB0F">
      <w:pPr>
        <w:wordWrap w:val="0"/>
        <w:snapToGrid w:val="0"/>
        <w:spacing w:line="360" w:lineRule="auto"/>
        <w:ind w:firstLine="4935" w:firstLineChars="2350"/>
        <w:rPr>
          <w:rFonts w:hint="eastAsia" w:ascii="宋体" w:hAnsi="宋体" w:cs="宋体"/>
          <w:color w:val="auto"/>
          <w:kern w:val="0"/>
          <w:szCs w:val="21"/>
          <w:highlight w:val="none"/>
          <w:lang w:val="zh-CN"/>
        </w:rPr>
      </w:pPr>
    </w:p>
    <w:p w14:paraId="73B9A557">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63D45796">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010F629B">
      <w:pPr>
        <w:widowControl/>
        <w:wordWrap w:val="0"/>
        <w:spacing w:line="360" w:lineRule="auto"/>
        <w:ind w:firstLine="600"/>
        <w:jc w:val="left"/>
        <w:rPr>
          <w:rFonts w:hint="eastAsia" w:ascii="宋体" w:hAnsi="宋体" w:cs="宋体"/>
          <w:color w:val="auto"/>
          <w:sz w:val="30"/>
          <w:szCs w:val="20"/>
          <w:highlight w:val="none"/>
        </w:rPr>
        <w:sectPr>
          <w:pgSz w:w="11906" w:h="16838"/>
          <w:pgMar w:top="1440" w:right="1080" w:bottom="1440" w:left="1080" w:header="720" w:footer="720" w:gutter="0"/>
          <w:cols w:space="720" w:num="1"/>
          <w:docGrid w:type="lines" w:linePitch="331" w:charSpace="0"/>
        </w:sectPr>
      </w:pPr>
    </w:p>
    <w:p w14:paraId="5FA1D0D0">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二、组织服务方案</w:t>
      </w:r>
    </w:p>
    <w:p w14:paraId="71A3409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（由投标人根据采购需求及招标文件要求编制）</w:t>
      </w:r>
    </w:p>
    <w:p w14:paraId="402A791D">
      <w:pPr>
        <w:wordWrap w:val="0"/>
        <w:spacing w:line="360" w:lineRule="auto"/>
        <w:ind w:firstLine="422"/>
        <w:rPr>
          <w:rFonts w:hint="eastAsia" w:ascii="宋体" w:hAnsi="宋体" w:cs="宋体"/>
          <w:b/>
          <w:bCs/>
          <w:color w:val="auto"/>
          <w:kern w:val="0"/>
          <w:szCs w:val="21"/>
          <w:highlight w:val="none"/>
          <w:lang w:val="zh-CN"/>
        </w:rPr>
      </w:pPr>
    </w:p>
    <w:p w14:paraId="536A38FF">
      <w:pPr>
        <w:wordWrap w:val="0"/>
        <w:spacing w:line="360" w:lineRule="auto"/>
        <w:ind w:firstLine="422"/>
        <w:rPr>
          <w:rFonts w:hint="eastAsia" w:ascii="宋体" w:hAnsi="宋体" w:cs="宋体"/>
          <w:b/>
          <w:bCs/>
          <w:color w:val="auto"/>
          <w:kern w:val="0"/>
          <w:szCs w:val="21"/>
          <w:highlight w:val="none"/>
          <w:lang w:val="zh-CN"/>
        </w:rPr>
      </w:pPr>
    </w:p>
    <w:p w14:paraId="2F3D4362">
      <w:pPr>
        <w:wordWrap w:val="0"/>
        <w:spacing w:line="360" w:lineRule="auto"/>
        <w:ind w:firstLine="422"/>
        <w:rPr>
          <w:rFonts w:hint="eastAsia" w:ascii="宋体" w:hAnsi="宋体" w:cs="宋体"/>
          <w:b/>
          <w:bCs/>
          <w:color w:val="auto"/>
          <w:kern w:val="0"/>
          <w:szCs w:val="21"/>
          <w:highlight w:val="none"/>
          <w:lang w:val="zh-CN"/>
        </w:rPr>
      </w:pPr>
      <w:bookmarkStart w:id="292" w:name="_Toc78473822"/>
      <w:r>
        <w:rPr>
          <w:rFonts w:hint="eastAsia" w:ascii="宋体" w:hAnsi="宋体" w:cs="宋体"/>
          <w:b/>
          <w:bCs/>
          <w:color w:val="auto"/>
          <w:kern w:val="0"/>
          <w:szCs w:val="21"/>
          <w:highlight w:val="none"/>
          <w:lang w:val="zh-CN"/>
        </w:rPr>
        <w:t>附表:项目实施进度计划表</w:t>
      </w:r>
      <w:r>
        <w:rPr>
          <w:rFonts w:hint="eastAsia" w:ascii="宋体" w:hAnsi="宋体" w:cs="宋体"/>
          <w:b/>
          <w:color w:val="auto"/>
          <w:szCs w:val="21"/>
          <w:highlight w:val="none"/>
        </w:rPr>
        <w:t>(以生效日算起)</w:t>
      </w:r>
      <w:bookmarkEnd w:id="292"/>
      <w:r>
        <w:rPr>
          <w:rFonts w:hint="eastAsia" w:ascii="宋体" w:hAnsi="宋体" w:cs="宋体"/>
          <w:b/>
          <w:color w:val="auto"/>
          <w:szCs w:val="21"/>
          <w:highlight w:val="none"/>
        </w:rPr>
        <w:t xml:space="preserve"> </w:t>
      </w:r>
    </w:p>
    <w:tbl>
      <w:tblPr>
        <w:tblStyle w:val="2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1DAE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vAlign w:val="center"/>
          </w:tcPr>
          <w:p w14:paraId="5521830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073F42FD">
                                    <w:pPr>
                                      <w:snapToGrid w:val="0"/>
                                      <w:rPr>
                                        <w:sz w:val="24"/>
                                      </w:rPr>
                                    </w:pPr>
                                    <w:r>
                                      <w:rPr>
                                        <w:rFonts w:hint="eastAsia"/>
                                        <w:sz w:val="24"/>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61E1FEE0">
                                    <w:pPr>
                                      <w:snapToGrid w:val="0"/>
                                      <w:rPr>
                                        <w:sz w:val="24"/>
                                      </w:rPr>
                                    </w:pPr>
                                    <w:r>
                                      <w:rPr>
                                        <w:rFonts w:hint="eastAsia"/>
                                        <w:sz w:val="24"/>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39D7F549">
                                    <w:pPr>
                                      <w:snapToGrid w:val="0"/>
                                      <w:rPr>
                                        <w:sz w:val="24"/>
                                      </w:rPr>
                                    </w:pPr>
                                    <w:r>
                                      <w:rPr>
                                        <w:rFonts w:hint="eastAsia"/>
                                        <w:sz w:val="24"/>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73F42FD">
                              <w:pPr>
                                <w:snapToGrid w:val="0"/>
                                <w:rPr>
                                  <w:sz w:val="24"/>
                                </w:rPr>
                              </w:pPr>
                              <w:r>
                                <w:rPr>
                                  <w:rFonts w:hint="eastAsia"/>
                                  <w:sz w:val="24"/>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1E1FEE0">
                              <w:pPr>
                                <w:snapToGrid w:val="0"/>
                                <w:rPr>
                                  <w:sz w:val="24"/>
                                </w:rPr>
                              </w:pPr>
                              <w:r>
                                <w:rPr>
                                  <w:rFonts w:hint="eastAsia"/>
                                  <w:sz w:val="24"/>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9D7F549">
                              <w:pPr>
                                <w:snapToGrid w:val="0"/>
                                <w:rPr>
                                  <w:sz w:val="24"/>
                                </w:rPr>
                              </w:pPr>
                              <w:r>
                                <w:rPr>
                                  <w:rFonts w:hint="eastAsia"/>
                                  <w:sz w:val="24"/>
                                </w:rPr>
                                <w:t>日</w:t>
                              </w:r>
                            </w:p>
                          </w:txbxContent>
                        </v:textbox>
                      </v:shape>
                    </v:group>
                  </w:pict>
                </mc:Fallback>
              </mc:AlternateContent>
            </w:r>
          </w:p>
          <w:p w14:paraId="18A1CB2C">
            <w:pPr>
              <w:wordWrap w:val="0"/>
              <w:spacing w:line="360" w:lineRule="auto"/>
              <w:rPr>
                <w:rFonts w:hint="eastAsia" w:ascii="宋体" w:hAnsi="宋体" w:cs="宋体"/>
                <w:color w:val="auto"/>
                <w:szCs w:val="21"/>
                <w:highlight w:val="none"/>
              </w:rPr>
            </w:pPr>
          </w:p>
          <w:p w14:paraId="7D187277">
            <w:pPr>
              <w:wordWrap w:val="0"/>
              <w:spacing w:line="360" w:lineRule="auto"/>
              <w:rPr>
                <w:rFonts w:hint="eastAsia" w:ascii="宋体" w:hAnsi="宋体" w:cs="宋体"/>
                <w:color w:val="auto"/>
                <w:szCs w:val="21"/>
                <w:highlight w:val="none"/>
              </w:rPr>
            </w:pPr>
          </w:p>
          <w:p w14:paraId="4F23216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内容</w:t>
            </w:r>
          </w:p>
        </w:tc>
        <w:tc>
          <w:tcPr>
            <w:tcW w:w="552" w:type="dxa"/>
            <w:tcBorders>
              <w:top w:val="single" w:color="auto" w:sz="4" w:space="0"/>
              <w:left w:val="single" w:color="auto" w:sz="4" w:space="0"/>
              <w:bottom w:val="single" w:color="auto" w:sz="4" w:space="0"/>
              <w:right w:val="single" w:color="auto" w:sz="4" w:space="0"/>
            </w:tcBorders>
            <w:vAlign w:val="center"/>
          </w:tcPr>
          <w:p w14:paraId="2A26C02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552" w:type="dxa"/>
            <w:tcBorders>
              <w:top w:val="single" w:color="auto" w:sz="4" w:space="0"/>
              <w:left w:val="single" w:color="auto" w:sz="4" w:space="0"/>
              <w:bottom w:val="single" w:color="auto" w:sz="4" w:space="0"/>
              <w:right w:val="single" w:color="auto" w:sz="4" w:space="0"/>
            </w:tcBorders>
            <w:vAlign w:val="center"/>
          </w:tcPr>
          <w:p w14:paraId="2C224E0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552" w:type="dxa"/>
            <w:tcBorders>
              <w:top w:val="single" w:color="auto" w:sz="4" w:space="0"/>
              <w:left w:val="single" w:color="auto" w:sz="4" w:space="0"/>
              <w:bottom w:val="single" w:color="auto" w:sz="4" w:space="0"/>
              <w:right w:val="single" w:color="auto" w:sz="4" w:space="0"/>
            </w:tcBorders>
            <w:vAlign w:val="center"/>
          </w:tcPr>
          <w:p w14:paraId="1AF322C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p>
        </w:tc>
        <w:tc>
          <w:tcPr>
            <w:tcW w:w="552" w:type="dxa"/>
            <w:tcBorders>
              <w:top w:val="single" w:color="auto" w:sz="4" w:space="0"/>
              <w:left w:val="single" w:color="auto" w:sz="4" w:space="0"/>
              <w:bottom w:val="single" w:color="auto" w:sz="4" w:space="0"/>
              <w:right w:val="single" w:color="auto" w:sz="4" w:space="0"/>
            </w:tcBorders>
            <w:vAlign w:val="center"/>
          </w:tcPr>
          <w:p w14:paraId="46FD45C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p>
        </w:tc>
        <w:tc>
          <w:tcPr>
            <w:tcW w:w="552" w:type="dxa"/>
            <w:tcBorders>
              <w:top w:val="single" w:color="auto" w:sz="4" w:space="0"/>
              <w:left w:val="single" w:color="auto" w:sz="4" w:space="0"/>
              <w:bottom w:val="single" w:color="auto" w:sz="4" w:space="0"/>
              <w:right w:val="single" w:color="auto" w:sz="4" w:space="0"/>
            </w:tcBorders>
            <w:vAlign w:val="center"/>
          </w:tcPr>
          <w:p w14:paraId="5A032F0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p>
        </w:tc>
        <w:tc>
          <w:tcPr>
            <w:tcW w:w="552" w:type="dxa"/>
            <w:tcBorders>
              <w:top w:val="single" w:color="auto" w:sz="4" w:space="0"/>
              <w:left w:val="single" w:color="auto" w:sz="4" w:space="0"/>
              <w:bottom w:val="single" w:color="auto" w:sz="4" w:space="0"/>
              <w:right w:val="single" w:color="auto" w:sz="4" w:space="0"/>
            </w:tcBorders>
            <w:vAlign w:val="center"/>
          </w:tcPr>
          <w:p w14:paraId="335D1D1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p>
        </w:tc>
        <w:tc>
          <w:tcPr>
            <w:tcW w:w="553" w:type="dxa"/>
            <w:tcBorders>
              <w:top w:val="single" w:color="auto" w:sz="4" w:space="0"/>
              <w:left w:val="single" w:color="auto" w:sz="4" w:space="0"/>
              <w:bottom w:val="single" w:color="auto" w:sz="4" w:space="0"/>
              <w:right w:val="single" w:color="auto" w:sz="4" w:space="0"/>
            </w:tcBorders>
            <w:vAlign w:val="center"/>
          </w:tcPr>
          <w:p w14:paraId="7492F32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7</w:t>
            </w:r>
          </w:p>
        </w:tc>
        <w:tc>
          <w:tcPr>
            <w:tcW w:w="553" w:type="dxa"/>
            <w:tcBorders>
              <w:top w:val="single" w:color="auto" w:sz="4" w:space="0"/>
              <w:left w:val="single" w:color="auto" w:sz="4" w:space="0"/>
              <w:bottom w:val="single" w:color="auto" w:sz="4" w:space="0"/>
              <w:right w:val="single" w:color="auto" w:sz="4" w:space="0"/>
            </w:tcBorders>
            <w:vAlign w:val="center"/>
          </w:tcPr>
          <w:p w14:paraId="328D374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8</w:t>
            </w:r>
          </w:p>
        </w:tc>
        <w:tc>
          <w:tcPr>
            <w:tcW w:w="553" w:type="dxa"/>
            <w:tcBorders>
              <w:top w:val="single" w:color="auto" w:sz="4" w:space="0"/>
              <w:left w:val="single" w:color="auto" w:sz="4" w:space="0"/>
              <w:bottom w:val="single" w:color="auto" w:sz="4" w:space="0"/>
              <w:right w:val="single" w:color="auto" w:sz="4" w:space="0"/>
            </w:tcBorders>
            <w:vAlign w:val="center"/>
          </w:tcPr>
          <w:p w14:paraId="756222F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9</w:t>
            </w:r>
          </w:p>
        </w:tc>
        <w:tc>
          <w:tcPr>
            <w:tcW w:w="553" w:type="dxa"/>
            <w:tcBorders>
              <w:top w:val="single" w:color="auto" w:sz="4" w:space="0"/>
              <w:left w:val="single" w:color="auto" w:sz="4" w:space="0"/>
              <w:bottom w:val="single" w:color="auto" w:sz="4" w:space="0"/>
              <w:right w:val="single" w:color="auto" w:sz="4" w:space="0"/>
            </w:tcBorders>
            <w:vAlign w:val="center"/>
          </w:tcPr>
          <w:p w14:paraId="63B067E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10</w:t>
            </w:r>
          </w:p>
        </w:tc>
        <w:tc>
          <w:tcPr>
            <w:tcW w:w="553" w:type="dxa"/>
            <w:tcBorders>
              <w:top w:val="single" w:color="auto" w:sz="4" w:space="0"/>
              <w:left w:val="single" w:color="auto" w:sz="4" w:space="0"/>
              <w:bottom w:val="single" w:color="auto" w:sz="4" w:space="0"/>
              <w:right w:val="single" w:color="auto" w:sz="4" w:space="0"/>
            </w:tcBorders>
            <w:vAlign w:val="center"/>
          </w:tcPr>
          <w:p w14:paraId="382B8FD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11</w:t>
            </w:r>
          </w:p>
        </w:tc>
        <w:tc>
          <w:tcPr>
            <w:tcW w:w="553" w:type="dxa"/>
            <w:tcBorders>
              <w:top w:val="single" w:color="auto" w:sz="4" w:space="0"/>
              <w:left w:val="single" w:color="auto" w:sz="4" w:space="0"/>
              <w:bottom w:val="single" w:color="auto" w:sz="4" w:space="0"/>
              <w:right w:val="single" w:color="auto" w:sz="4" w:space="0"/>
            </w:tcBorders>
            <w:vAlign w:val="center"/>
          </w:tcPr>
          <w:p w14:paraId="5ABDD97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12</w:t>
            </w:r>
          </w:p>
        </w:tc>
        <w:tc>
          <w:tcPr>
            <w:tcW w:w="553" w:type="dxa"/>
            <w:tcBorders>
              <w:top w:val="single" w:color="auto" w:sz="4" w:space="0"/>
              <w:left w:val="single" w:color="auto" w:sz="4" w:space="0"/>
              <w:bottom w:val="single" w:color="auto" w:sz="4" w:space="0"/>
              <w:right w:val="single" w:color="auto" w:sz="4" w:space="0"/>
            </w:tcBorders>
            <w:vAlign w:val="center"/>
          </w:tcPr>
          <w:p w14:paraId="6A12DB3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13</w:t>
            </w:r>
          </w:p>
        </w:tc>
        <w:tc>
          <w:tcPr>
            <w:tcW w:w="553" w:type="dxa"/>
            <w:tcBorders>
              <w:top w:val="single" w:color="auto" w:sz="4" w:space="0"/>
              <w:left w:val="single" w:color="auto" w:sz="4" w:space="0"/>
              <w:bottom w:val="single" w:color="auto" w:sz="4" w:space="0"/>
              <w:right w:val="single" w:color="auto" w:sz="4" w:space="0"/>
            </w:tcBorders>
            <w:vAlign w:val="center"/>
          </w:tcPr>
          <w:p w14:paraId="546D7B4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14</w:t>
            </w:r>
          </w:p>
        </w:tc>
        <w:tc>
          <w:tcPr>
            <w:tcW w:w="553" w:type="dxa"/>
            <w:tcBorders>
              <w:top w:val="single" w:color="auto" w:sz="4" w:space="0"/>
              <w:left w:val="single" w:color="auto" w:sz="4" w:space="0"/>
              <w:bottom w:val="single" w:color="auto" w:sz="4" w:space="0"/>
              <w:right w:val="single" w:color="auto" w:sz="4" w:space="0"/>
            </w:tcBorders>
            <w:vAlign w:val="center"/>
          </w:tcPr>
          <w:p w14:paraId="16385EC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15</w:t>
            </w:r>
          </w:p>
        </w:tc>
        <w:tc>
          <w:tcPr>
            <w:tcW w:w="553" w:type="dxa"/>
            <w:tcBorders>
              <w:top w:val="single" w:color="auto" w:sz="4" w:space="0"/>
              <w:left w:val="single" w:color="auto" w:sz="4" w:space="0"/>
              <w:bottom w:val="single" w:color="auto" w:sz="4" w:space="0"/>
              <w:right w:val="single" w:color="auto" w:sz="4" w:space="0"/>
            </w:tcBorders>
            <w:vAlign w:val="center"/>
          </w:tcPr>
          <w:p w14:paraId="7177E49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r>
      <w:tr w14:paraId="49E6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33AEA76">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AEF24EE">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0CA76AC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0156BBF">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5374637D">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2FED085">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6B82EB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FD59FB5">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78D2BE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95A92E8">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DC3EFD6">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FEF110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DBA48B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34EF63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D00EC38">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5B99F8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291F5FF">
            <w:pPr>
              <w:wordWrap w:val="0"/>
              <w:spacing w:line="360" w:lineRule="auto"/>
              <w:rPr>
                <w:rFonts w:hint="eastAsia" w:ascii="宋体" w:hAnsi="宋体" w:cs="宋体"/>
                <w:color w:val="auto"/>
                <w:szCs w:val="21"/>
                <w:highlight w:val="none"/>
              </w:rPr>
            </w:pPr>
          </w:p>
        </w:tc>
      </w:tr>
      <w:tr w14:paraId="4D04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FAFBC9D">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AF2C76E">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0B3AE66">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3B8C699">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3DA7D92">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E4B14AC">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02E4C3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A32AF5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1A699A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863B30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DC11B0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95A4E4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20E67E9">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D0287E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BC6E9D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B2DDC8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255008D">
            <w:pPr>
              <w:wordWrap w:val="0"/>
              <w:spacing w:line="360" w:lineRule="auto"/>
              <w:rPr>
                <w:rFonts w:hint="eastAsia" w:ascii="宋体" w:hAnsi="宋体" w:cs="宋体"/>
                <w:color w:val="auto"/>
                <w:szCs w:val="21"/>
                <w:highlight w:val="none"/>
              </w:rPr>
            </w:pPr>
          </w:p>
        </w:tc>
      </w:tr>
      <w:tr w14:paraId="2F75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F0CF97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4AE103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50AECA0">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798D6A6">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30615F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6FEC66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458A39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C2DC39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8815C4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6AA5935">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923539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3DCC96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74EA404">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F3028D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74EE5C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6CE75D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9023E69">
            <w:pPr>
              <w:wordWrap w:val="0"/>
              <w:spacing w:line="360" w:lineRule="auto"/>
              <w:rPr>
                <w:rFonts w:hint="eastAsia" w:ascii="宋体" w:hAnsi="宋体" w:cs="宋体"/>
                <w:color w:val="auto"/>
                <w:szCs w:val="21"/>
                <w:highlight w:val="none"/>
              </w:rPr>
            </w:pPr>
          </w:p>
        </w:tc>
      </w:tr>
      <w:tr w14:paraId="726A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18441B9">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070930E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9B5830F">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9921A35">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5A31DDB8">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91DA6A0">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BBB749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024272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90AC36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7E07DD1">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393A31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521B1E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BD5B1C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40004B9">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8748484">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6E40CEA">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FD67A6B">
            <w:pPr>
              <w:wordWrap w:val="0"/>
              <w:spacing w:line="360" w:lineRule="auto"/>
              <w:rPr>
                <w:rFonts w:hint="eastAsia" w:ascii="宋体" w:hAnsi="宋体" w:cs="宋体"/>
                <w:color w:val="auto"/>
                <w:szCs w:val="21"/>
                <w:highlight w:val="none"/>
              </w:rPr>
            </w:pPr>
          </w:p>
        </w:tc>
      </w:tr>
      <w:tr w14:paraId="3C3C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B31BB4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2BF9C72B">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1C60410">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5EA77E5F">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9D95BD5">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C1D7402">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9E5AD3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8AB2EF5">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245242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DDB0DE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986AA4A">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01FA91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5DCDC23">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98E030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8120D88">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217713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5204DC4">
            <w:pPr>
              <w:wordWrap w:val="0"/>
              <w:spacing w:line="360" w:lineRule="auto"/>
              <w:rPr>
                <w:rFonts w:hint="eastAsia" w:ascii="宋体" w:hAnsi="宋体" w:cs="宋体"/>
                <w:color w:val="auto"/>
                <w:szCs w:val="21"/>
                <w:highlight w:val="none"/>
              </w:rPr>
            </w:pPr>
          </w:p>
        </w:tc>
      </w:tr>
      <w:tr w14:paraId="4A6F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2CF022B">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B53B8C2">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9C3E957">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C638318">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F0B348B">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0CB73A6">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ECF3DA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F5CDF4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FCE445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E3CE16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05D9CE9">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0908CF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5E2AE44">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273CD04">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2E020E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29673D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0F8A6FB">
            <w:pPr>
              <w:wordWrap w:val="0"/>
              <w:spacing w:line="360" w:lineRule="auto"/>
              <w:rPr>
                <w:rFonts w:hint="eastAsia" w:ascii="宋体" w:hAnsi="宋体" w:cs="宋体"/>
                <w:color w:val="auto"/>
                <w:szCs w:val="21"/>
                <w:highlight w:val="none"/>
              </w:rPr>
            </w:pPr>
          </w:p>
        </w:tc>
      </w:tr>
      <w:tr w14:paraId="5B7E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0AE637B">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56556F0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C70FA5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000C849E">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7BBE0DBA">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4F8796E">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0BC11A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08235D1">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BAD78C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794428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55CC31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D99669A">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BDA310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4F9A35F">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A904A36">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7BE8DF4">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15156C9">
            <w:pPr>
              <w:wordWrap w:val="0"/>
              <w:spacing w:line="360" w:lineRule="auto"/>
              <w:rPr>
                <w:rFonts w:hint="eastAsia" w:ascii="宋体" w:hAnsi="宋体" w:cs="宋体"/>
                <w:color w:val="auto"/>
                <w:szCs w:val="21"/>
                <w:highlight w:val="none"/>
              </w:rPr>
            </w:pPr>
          </w:p>
        </w:tc>
      </w:tr>
      <w:tr w14:paraId="51F3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59AAA8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9F11B48">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B06C1DC">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51EAD0C">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C0F3C4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164341F">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4B7DA96C">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E428BB2">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67578D5">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3E4D2B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793CC2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0BEA1A15">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667C849">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A8B04B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4E32530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4CA8CB0">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8A93B41">
            <w:pPr>
              <w:wordWrap w:val="0"/>
              <w:spacing w:line="360" w:lineRule="auto"/>
              <w:rPr>
                <w:rFonts w:hint="eastAsia" w:ascii="宋体" w:hAnsi="宋体" w:cs="宋体"/>
                <w:color w:val="auto"/>
                <w:szCs w:val="21"/>
                <w:highlight w:val="none"/>
              </w:rPr>
            </w:pPr>
          </w:p>
        </w:tc>
      </w:tr>
      <w:tr w14:paraId="4941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C5DA4B7">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5E369EE9">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A65304D">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DD2A3C3">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6B598441">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3A7F60BD">
            <w:pPr>
              <w:wordWrap w:val="0"/>
              <w:spacing w:line="360" w:lineRule="auto"/>
              <w:rPr>
                <w:rFonts w:hint="eastAsia" w:ascii="宋体" w:hAnsi="宋体" w:cs="宋体"/>
                <w:color w:val="auto"/>
                <w:szCs w:val="21"/>
                <w:highlight w:val="none"/>
              </w:rPr>
            </w:pPr>
          </w:p>
        </w:tc>
        <w:tc>
          <w:tcPr>
            <w:tcW w:w="552" w:type="dxa"/>
            <w:tcBorders>
              <w:top w:val="single" w:color="auto" w:sz="4" w:space="0"/>
              <w:left w:val="single" w:color="auto" w:sz="4" w:space="0"/>
              <w:bottom w:val="single" w:color="auto" w:sz="4" w:space="0"/>
              <w:right w:val="single" w:color="auto" w:sz="4" w:space="0"/>
            </w:tcBorders>
          </w:tcPr>
          <w:p w14:paraId="1EDC63E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A16ADF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AED16A7">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54F3845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68A4991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EADCB8E">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3A965218">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7F66750D">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5F22D61">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27911E7B">
            <w:pPr>
              <w:wordWrap w:val="0"/>
              <w:spacing w:line="360" w:lineRule="auto"/>
              <w:rPr>
                <w:rFonts w:hint="eastAsia" w:ascii="宋体" w:hAnsi="宋体" w:cs="宋体"/>
                <w:color w:val="auto"/>
                <w:szCs w:val="21"/>
                <w:highlight w:val="none"/>
              </w:rPr>
            </w:pPr>
          </w:p>
        </w:tc>
        <w:tc>
          <w:tcPr>
            <w:tcW w:w="553" w:type="dxa"/>
            <w:tcBorders>
              <w:top w:val="single" w:color="auto" w:sz="4" w:space="0"/>
              <w:left w:val="single" w:color="auto" w:sz="4" w:space="0"/>
              <w:bottom w:val="single" w:color="auto" w:sz="4" w:space="0"/>
              <w:right w:val="single" w:color="auto" w:sz="4" w:space="0"/>
            </w:tcBorders>
          </w:tcPr>
          <w:p w14:paraId="15916232">
            <w:pPr>
              <w:wordWrap w:val="0"/>
              <w:spacing w:line="360" w:lineRule="auto"/>
              <w:rPr>
                <w:rFonts w:hint="eastAsia" w:ascii="宋体" w:hAnsi="宋体" w:cs="宋体"/>
                <w:color w:val="auto"/>
                <w:szCs w:val="21"/>
                <w:highlight w:val="none"/>
              </w:rPr>
            </w:pPr>
          </w:p>
        </w:tc>
      </w:tr>
    </w:tbl>
    <w:p w14:paraId="1A79E969">
      <w:pPr>
        <w:wordWrap w:val="0"/>
        <w:autoSpaceDE w:val="0"/>
        <w:autoSpaceDN w:val="0"/>
        <w:spacing w:line="360" w:lineRule="auto"/>
        <w:ind w:firstLine="422"/>
        <w:rPr>
          <w:rFonts w:hint="eastAsia" w:ascii="宋体" w:hAnsi="宋体" w:cs="宋体"/>
          <w:color w:val="auto"/>
          <w:kern w:val="0"/>
          <w:szCs w:val="21"/>
          <w:highlight w:val="none"/>
        </w:rPr>
      </w:pPr>
      <w:r>
        <w:rPr>
          <w:rFonts w:hint="eastAsia" w:ascii="宋体" w:hAnsi="宋体" w:cs="宋体"/>
          <w:b/>
          <w:color w:val="auto"/>
          <w:szCs w:val="21"/>
          <w:highlight w:val="none"/>
        </w:rPr>
        <w:t>注：投标人可按上述时间表的格式自行编制切合实际的具体时间表。</w:t>
      </w:r>
    </w:p>
    <w:p w14:paraId="01D6C824">
      <w:pPr>
        <w:wordWrap w:val="0"/>
        <w:autoSpaceDE w:val="0"/>
        <w:autoSpaceDN w:val="0"/>
        <w:spacing w:line="360" w:lineRule="auto"/>
        <w:ind w:firstLine="3885" w:firstLineChars="1850"/>
        <w:rPr>
          <w:rFonts w:hint="eastAsia" w:ascii="宋体" w:hAnsi="宋体" w:cs="宋体"/>
          <w:color w:val="auto"/>
          <w:kern w:val="0"/>
          <w:szCs w:val="21"/>
          <w:highlight w:val="none"/>
        </w:rPr>
      </w:pPr>
      <w:r>
        <w:rPr>
          <w:rFonts w:hint="eastAsia" w:ascii="宋体" w:hAnsi="宋体" w:cs="宋体"/>
          <w:color w:val="auto"/>
          <w:kern w:val="0"/>
          <w:szCs w:val="21"/>
          <w:highlight w:val="none"/>
        </w:rPr>
        <w:t>投标人名称（电子签章）：</w:t>
      </w:r>
    </w:p>
    <w:p w14:paraId="7839EC5A">
      <w:pPr>
        <w:wordWrap w:val="0"/>
        <w:autoSpaceDE w:val="0"/>
        <w:autoSpaceDN w:val="0"/>
        <w:spacing w:line="360" w:lineRule="auto"/>
        <w:rPr>
          <w:rFonts w:hint="eastAsia" w:ascii="宋体" w:hAnsi="宋体" w:cs="宋体"/>
          <w:b/>
          <w:bCs/>
          <w:color w:val="auto"/>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日期：  年  月   日</w:t>
      </w:r>
    </w:p>
    <w:p w14:paraId="162FF140">
      <w:pPr>
        <w:wordWrap w:val="0"/>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108B39AF">
      <w:pPr>
        <w:ind w:firstLine="643"/>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55717044">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三、售后服务方案</w:t>
      </w:r>
    </w:p>
    <w:p w14:paraId="3A8A5E71">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（由投标人根据采购需求及招标文件要求编制）</w:t>
      </w:r>
    </w:p>
    <w:p w14:paraId="268FDD3D">
      <w:pPr>
        <w:wordWrap w:val="0"/>
        <w:snapToGrid w:val="0"/>
        <w:spacing w:line="360" w:lineRule="auto"/>
        <w:ind w:left="142"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1、售后服务承诺</w:t>
      </w:r>
    </w:p>
    <w:p w14:paraId="04E117C9">
      <w:pPr>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附表A:售后服务机构情况表</w:t>
      </w:r>
      <w:r>
        <w:rPr>
          <w:rFonts w:hint="eastAsia" w:ascii="宋体" w:hAnsi="宋体" w:cs="宋体"/>
          <w:color w:val="auto"/>
          <w:szCs w:val="21"/>
          <w:highlight w:val="none"/>
        </w:rPr>
        <w:t>（按此格式自制）</w:t>
      </w:r>
    </w:p>
    <w:tbl>
      <w:tblPr>
        <w:tblStyle w:val="22"/>
        <w:tblW w:w="87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5627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7C89938">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2340" w:type="dxa"/>
            <w:tcBorders>
              <w:top w:val="single" w:color="auto" w:sz="4" w:space="0"/>
              <w:left w:val="single" w:color="auto" w:sz="4" w:space="0"/>
              <w:bottom w:val="single" w:color="auto" w:sz="4" w:space="0"/>
              <w:right w:val="single" w:color="auto" w:sz="4" w:space="0"/>
            </w:tcBorders>
          </w:tcPr>
          <w:p w14:paraId="2DC5EACA">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机构名称</w:t>
            </w:r>
          </w:p>
        </w:tc>
        <w:tc>
          <w:tcPr>
            <w:tcW w:w="1095" w:type="dxa"/>
            <w:tcBorders>
              <w:top w:val="single" w:color="auto" w:sz="4" w:space="0"/>
              <w:left w:val="single" w:color="auto" w:sz="4" w:space="0"/>
              <w:bottom w:val="single" w:color="auto" w:sz="4" w:space="0"/>
              <w:right w:val="single" w:color="auto" w:sz="4" w:space="0"/>
            </w:tcBorders>
          </w:tcPr>
          <w:p w14:paraId="4F8D9E50">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机构性质</w:t>
            </w:r>
          </w:p>
        </w:tc>
        <w:tc>
          <w:tcPr>
            <w:tcW w:w="1245" w:type="dxa"/>
            <w:tcBorders>
              <w:top w:val="single" w:color="auto" w:sz="4" w:space="0"/>
              <w:left w:val="single" w:color="auto" w:sz="4" w:space="0"/>
              <w:bottom w:val="single" w:color="auto" w:sz="4" w:space="0"/>
              <w:right w:val="single" w:color="auto" w:sz="4" w:space="0"/>
            </w:tcBorders>
          </w:tcPr>
          <w:p w14:paraId="1C0CECEC">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注册地址</w:t>
            </w:r>
          </w:p>
        </w:tc>
        <w:tc>
          <w:tcPr>
            <w:tcW w:w="1980" w:type="dxa"/>
            <w:tcBorders>
              <w:top w:val="single" w:color="auto" w:sz="4" w:space="0"/>
              <w:left w:val="single" w:color="auto" w:sz="4" w:space="0"/>
              <w:bottom w:val="single" w:color="auto" w:sz="4" w:space="0"/>
              <w:right w:val="single" w:color="auto" w:sz="4" w:space="0"/>
            </w:tcBorders>
          </w:tcPr>
          <w:p w14:paraId="0BF1AF9A">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43F9161E">
            <w:pPr>
              <w:wordWrap w:val="0"/>
              <w:autoSpaceDE w:val="0"/>
              <w:autoSpaceDN w:val="0"/>
              <w:spacing w:line="360" w:lineRule="auto"/>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联系电话</w:t>
            </w:r>
          </w:p>
        </w:tc>
      </w:tr>
      <w:tr w14:paraId="7FC7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BC3177F">
            <w:pPr>
              <w:wordWrap w:val="0"/>
              <w:autoSpaceDE w:val="0"/>
              <w:autoSpaceDN w:val="0"/>
              <w:spacing w:line="360" w:lineRule="auto"/>
              <w:jc w:val="center"/>
              <w:rPr>
                <w:rFonts w:hint="eastAsia" w:ascii="宋体" w:hAnsi="宋体" w:cs="宋体"/>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tcPr>
          <w:p w14:paraId="757C7414">
            <w:pPr>
              <w:wordWrap w:val="0"/>
              <w:autoSpaceDE w:val="0"/>
              <w:autoSpaceDN w:val="0"/>
              <w:spacing w:line="360" w:lineRule="auto"/>
              <w:jc w:val="center"/>
              <w:rPr>
                <w:rFonts w:hint="eastAsia"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tcPr>
          <w:p w14:paraId="3F38443C">
            <w:pPr>
              <w:wordWrap w:val="0"/>
              <w:autoSpaceDE w:val="0"/>
              <w:autoSpaceDN w:val="0"/>
              <w:spacing w:line="360" w:lineRule="auto"/>
              <w:jc w:val="center"/>
              <w:rPr>
                <w:rFonts w:hint="eastAsia" w:ascii="宋体" w:hAnsi="宋体" w:cs="宋体"/>
                <w:color w:val="auto"/>
                <w:szCs w:val="21"/>
                <w:highlight w:val="none"/>
              </w:rPr>
            </w:pPr>
          </w:p>
        </w:tc>
        <w:tc>
          <w:tcPr>
            <w:tcW w:w="1245" w:type="dxa"/>
            <w:tcBorders>
              <w:top w:val="single" w:color="auto" w:sz="4" w:space="0"/>
              <w:left w:val="single" w:color="auto" w:sz="4" w:space="0"/>
              <w:bottom w:val="single" w:color="auto" w:sz="4" w:space="0"/>
              <w:right w:val="single" w:color="auto" w:sz="4" w:space="0"/>
            </w:tcBorders>
          </w:tcPr>
          <w:p w14:paraId="60F003AC">
            <w:pPr>
              <w:wordWrap w:val="0"/>
              <w:autoSpaceDE w:val="0"/>
              <w:autoSpaceDN w:val="0"/>
              <w:spacing w:line="360" w:lineRule="auto"/>
              <w:jc w:val="center"/>
              <w:rPr>
                <w:rFonts w:hint="eastAsia" w:ascii="宋体" w:hAnsi="宋体" w:cs="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523FE5E9">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4CA2F2DB">
            <w:pPr>
              <w:wordWrap w:val="0"/>
              <w:autoSpaceDE w:val="0"/>
              <w:autoSpaceDN w:val="0"/>
              <w:spacing w:line="360" w:lineRule="auto"/>
              <w:jc w:val="center"/>
              <w:rPr>
                <w:rFonts w:hint="eastAsia" w:ascii="宋体" w:hAnsi="宋体" w:cs="宋体"/>
                <w:color w:val="auto"/>
                <w:szCs w:val="21"/>
                <w:highlight w:val="none"/>
              </w:rPr>
            </w:pPr>
          </w:p>
        </w:tc>
      </w:tr>
      <w:tr w14:paraId="7E74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0F384685">
            <w:pPr>
              <w:wordWrap w:val="0"/>
              <w:autoSpaceDE w:val="0"/>
              <w:autoSpaceDN w:val="0"/>
              <w:spacing w:line="360" w:lineRule="auto"/>
              <w:jc w:val="center"/>
              <w:rPr>
                <w:rFonts w:hint="eastAsia" w:ascii="宋体" w:hAnsi="宋体" w:cs="宋体"/>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tcPr>
          <w:p w14:paraId="58C5FBE3">
            <w:pPr>
              <w:wordWrap w:val="0"/>
              <w:autoSpaceDE w:val="0"/>
              <w:autoSpaceDN w:val="0"/>
              <w:spacing w:line="360" w:lineRule="auto"/>
              <w:jc w:val="center"/>
              <w:rPr>
                <w:rFonts w:hint="eastAsia"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tcPr>
          <w:p w14:paraId="5CE798BC">
            <w:pPr>
              <w:wordWrap w:val="0"/>
              <w:autoSpaceDE w:val="0"/>
              <w:autoSpaceDN w:val="0"/>
              <w:spacing w:line="360" w:lineRule="auto"/>
              <w:jc w:val="center"/>
              <w:rPr>
                <w:rFonts w:hint="eastAsia" w:ascii="宋体" w:hAnsi="宋体" w:cs="宋体"/>
                <w:color w:val="auto"/>
                <w:szCs w:val="21"/>
                <w:highlight w:val="none"/>
              </w:rPr>
            </w:pPr>
          </w:p>
        </w:tc>
        <w:tc>
          <w:tcPr>
            <w:tcW w:w="1245" w:type="dxa"/>
            <w:tcBorders>
              <w:top w:val="single" w:color="auto" w:sz="4" w:space="0"/>
              <w:left w:val="single" w:color="auto" w:sz="4" w:space="0"/>
              <w:bottom w:val="single" w:color="auto" w:sz="4" w:space="0"/>
              <w:right w:val="single" w:color="auto" w:sz="4" w:space="0"/>
            </w:tcBorders>
          </w:tcPr>
          <w:p w14:paraId="3831735A">
            <w:pPr>
              <w:wordWrap w:val="0"/>
              <w:autoSpaceDE w:val="0"/>
              <w:autoSpaceDN w:val="0"/>
              <w:spacing w:line="360" w:lineRule="auto"/>
              <w:jc w:val="center"/>
              <w:rPr>
                <w:rFonts w:hint="eastAsia" w:ascii="宋体" w:hAnsi="宋体" w:cs="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5182B989">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29811BCE">
            <w:pPr>
              <w:wordWrap w:val="0"/>
              <w:autoSpaceDE w:val="0"/>
              <w:autoSpaceDN w:val="0"/>
              <w:spacing w:line="360" w:lineRule="auto"/>
              <w:jc w:val="center"/>
              <w:rPr>
                <w:rFonts w:hint="eastAsia" w:ascii="宋体" w:hAnsi="宋体" w:cs="宋体"/>
                <w:color w:val="auto"/>
                <w:szCs w:val="21"/>
                <w:highlight w:val="none"/>
              </w:rPr>
            </w:pPr>
          </w:p>
        </w:tc>
      </w:tr>
      <w:tr w14:paraId="227F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E9C52E3">
            <w:pPr>
              <w:wordWrap w:val="0"/>
              <w:autoSpaceDE w:val="0"/>
              <w:autoSpaceDN w:val="0"/>
              <w:spacing w:line="360" w:lineRule="auto"/>
              <w:jc w:val="center"/>
              <w:rPr>
                <w:rFonts w:hint="eastAsia" w:ascii="宋体" w:hAnsi="宋体" w:cs="宋体"/>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tcPr>
          <w:p w14:paraId="3AA3EFC5">
            <w:pPr>
              <w:wordWrap w:val="0"/>
              <w:autoSpaceDE w:val="0"/>
              <w:autoSpaceDN w:val="0"/>
              <w:spacing w:line="360" w:lineRule="auto"/>
              <w:jc w:val="center"/>
              <w:rPr>
                <w:rFonts w:hint="eastAsia"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tcPr>
          <w:p w14:paraId="6A52E61D">
            <w:pPr>
              <w:wordWrap w:val="0"/>
              <w:autoSpaceDE w:val="0"/>
              <w:autoSpaceDN w:val="0"/>
              <w:spacing w:line="360" w:lineRule="auto"/>
              <w:jc w:val="center"/>
              <w:rPr>
                <w:rFonts w:hint="eastAsia" w:ascii="宋体" w:hAnsi="宋体" w:cs="宋体"/>
                <w:color w:val="auto"/>
                <w:szCs w:val="21"/>
                <w:highlight w:val="none"/>
              </w:rPr>
            </w:pPr>
          </w:p>
        </w:tc>
        <w:tc>
          <w:tcPr>
            <w:tcW w:w="1245" w:type="dxa"/>
            <w:tcBorders>
              <w:top w:val="single" w:color="auto" w:sz="4" w:space="0"/>
              <w:left w:val="single" w:color="auto" w:sz="4" w:space="0"/>
              <w:bottom w:val="single" w:color="auto" w:sz="4" w:space="0"/>
              <w:right w:val="single" w:color="auto" w:sz="4" w:space="0"/>
            </w:tcBorders>
          </w:tcPr>
          <w:p w14:paraId="56DF6D0D">
            <w:pPr>
              <w:wordWrap w:val="0"/>
              <w:autoSpaceDE w:val="0"/>
              <w:autoSpaceDN w:val="0"/>
              <w:spacing w:line="360" w:lineRule="auto"/>
              <w:jc w:val="center"/>
              <w:rPr>
                <w:rFonts w:hint="eastAsia" w:ascii="宋体" w:hAnsi="宋体" w:cs="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512F107A">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3B45085D">
            <w:pPr>
              <w:wordWrap w:val="0"/>
              <w:autoSpaceDE w:val="0"/>
              <w:autoSpaceDN w:val="0"/>
              <w:spacing w:line="360" w:lineRule="auto"/>
              <w:jc w:val="center"/>
              <w:rPr>
                <w:rFonts w:hint="eastAsia" w:ascii="宋体" w:hAnsi="宋体" w:cs="宋体"/>
                <w:color w:val="auto"/>
                <w:szCs w:val="21"/>
                <w:highlight w:val="none"/>
              </w:rPr>
            </w:pPr>
          </w:p>
        </w:tc>
      </w:tr>
    </w:tbl>
    <w:p w14:paraId="31AA86A7">
      <w:pPr>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注：关于项目涉及的所有售后服务机构均在本表注明，包括投标人本单位和符合条件的第三方服务机构；</w:t>
      </w:r>
    </w:p>
    <w:p w14:paraId="1780DCFC">
      <w:pPr>
        <w:wordWrap w:val="0"/>
        <w:autoSpaceDE w:val="0"/>
        <w:autoSpaceDN w:val="0"/>
        <w:spacing w:line="360" w:lineRule="auto"/>
        <w:rPr>
          <w:rFonts w:hint="eastAsia" w:ascii="宋体" w:hAnsi="宋体" w:cs="宋体"/>
          <w:color w:val="auto"/>
          <w:kern w:val="0"/>
          <w:szCs w:val="21"/>
          <w:highlight w:val="none"/>
        </w:rPr>
      </w:pPr>
    </w:p>
    <w:p w14:paraId="2B58CE68">
      <w:pPr>
        <w:wordWrap w:val="0"/>
        <w:autoSpaceDE w:val="0"/>
        <w:autoSpaceDN w:val="0"/>
        <w:spacing w:line="360" w:lineRule="auto"/>
        <w:ind w:firstLine="422"/>
        <w:rPr>
          <w:rFonts w:hint="eastAsia" w:ascii="宋体" w:hAnsi="宋体" w:cs="宋体"/>
          <w:color w:val="auto"/>
          <w:kern w:val="0"/>
          <w:szCs w:val="21"/>
          <w:highlight w:val="none"/>
        </w:rPr>
      </w:pPr>
      <w:r>
        <w:rPr>
          <w:rFonts w:hint="eastAsia" w:ascii="宋体" w:hAnsi="宋体" w:cs="宋体"/>
          <w:b/>
          <w:color w:val="auto"/>
          <w:kern w:val="0"/>
          <w:szCs w:val="21"/>
          <w:highlight w:val="none"/>
        </w:rPr>
        <w:t>附表B：售后服务人员情况表</w:t>
      </w:r>
      <w:r>
        <w:rPr>
          <w:rFonts w:hint="eastAsia" w:ascii="宋体" w:hAnsi="宋体" w:cs="宋体"/>
          <w:color w:val="auto"/>
          <w:szCs w:val="21"/>
          <w:highlight w:val="none"/>
        </w:rPr>
        <w:t>（按此格式自制）</w:t>
      </w:r>
    </w:p>
    <w:tbl>
      <w:tblPr>
        <w:tblStyle w:val="22"/>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619D3E8B">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1FA64E7E">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p w14:paraId="3987DC78">
            <w:pPr>
              <w:wordWrap w:val="0"/>
              <w:autoSpaceDE w:val="0"/>
              <w:autoSpaceDN w:val="0"/>
              <w:spacing w:line="360" w:lineRule="auto"/>
              <w:jc w:val="center"/>
              <w:rPr>
                <w:rFonts w:hint="eastAsia" w:ascii="宋体" w:hAnsi="宋体" w:cs="宋体"/>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772FE2B">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82FA927">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87EF374">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395105A1">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1DD8787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D1D21BB">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E35AD32">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4DF1D76">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100C681">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6C8448F2">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到达现场时间</w:t>
            </w:r>
          </w:p>
        </w:tc>
      </w:tr>
      <w:tr w14:paraId="699A77BF">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7463F098">
            <w:pPr>
              <w:wordWrap w:val="0"/>
              <w:autoSpaceDE w:val="0"/>
              <w:autoSpaceDN w:val="0"/>
              <w:spacing w:line="360" w:lineRule="auto"/>
              <w:jc w:val="center"/>
              <w:rPr>
                <w:rFonts w:hint="eastAsia" w:ascii="宋体" w:hAnsi="宋体" w:cs="宋体"/>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tcPr>
          <w:p w14:paraId="25A2CED6">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628018B0">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76FBE55F">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04C6BABC">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274CA461">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1495797C">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74D6D74D">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2CF3B090">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2ED36EFC">
            <w:pPr>
              <w:wordWrap w:val="0"/>
              <w:autoSpaceDE w:val="0"/>
              <w:autoSpaceDN w:val="0"/>
              <w:spacing w:line="360" w:lineRule="auto"/>
              <w:rPr>
                <w:rFonts w:hint="eastAsia" w:ascii="宋体" w:hAnsi="宋体" w:cs="宋体"/>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tcPr>
          <w:p w14:paraId="51FD3560">
            <w:pPr>
              <w:wordWrap w:val="0"/>
              <w:autoSpaceDE w:val="0"/>
              <w:autoSpaceDN w:val="0"/>
              <w:spacing w:line="360" w:lineRule="auto"/>
              <w:rPr>
                <w:rFonts w:hint="eastAsia" w:ascii="宋体" w:hAnsi="宋体" w:cs="宋体"/>
                <w:color w:val="auto"/>
                <w:szCs w:val="21"/>
                <w:highlight w:val="none"/>
              </w:rPr>
            </w:pPr>
          </w:p>
        </w:tc>
      </w:tr>
      <w:tr w14:paraId="690A6A3F">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7F80BB06">
            <w:pPr>
              <w:wordWrap w:val="0"/>
              <w:autoSpaceDE w:val="0"/>
              <w:autoSpaceDN w:val="0"/>
              <w:spacing w:line="360" w:lineRule="auto"/>
              <w:jc w:val="center"/>
              <w:rPr>
                <w:rFonts w:hint="eastAsia" w:ascii="宋体" w:hAnsi="宋体" w:cs="宋体"/>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tcPr>
          <w:p w14:paraId="5E0712F9">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6F01656">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6F18376E">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2FBC1EC6">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6CA608AF">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1A6154AE">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32F40463">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2A20ABD1">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590A544C">
            <w:pPr>
              <w:wordWrap w:val="0"/>
              <w:autoSpaceDE w:val="0"/>
              <w:autoSpaceDN w:val="0"/>
              <w:spacing w:line="360" w:lineRule="auto"/>
              <w:rPr>
                <w:rFonts w:hint="eastAsia" w:ascii="宋体" w:hAnsi="宋体" w:cs="宋体"/>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tcPr>
          <w:p w14:paraId="189BE5BC">
            <w:pPr>
              <w:wordWrap w:val="0"/>
              <w:autoSpaceDE w:val="0"/>
              <w:autoSpaceDN w:val="0"/>
              <w:spacing w:line="360" w:lineRule="auto"/>
              <w:rPr>
                <w:rFonts w:hint="eastAsia" w:ascii="宋体" w:hAnsi="宋体" w:cs="宋体"/>
                <w:color w:val="auto"/>
                <w:szCs w:val="21"/>
                <w:highlight w:val="none"/>
              </w:rPr>
            </w:pPr>
          </w:p>
        </w:tc>
      </w:tr>
      <w:tr w14:paraId="0C77BB0C">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0CFCBDB">
            <w:pPr>
              <w:wordWrap w:val="0"/>
              <w:autoSpaceDE w:val="0"/>
              <w:autoSpaceDN w:val="0"/>
              <w:spacing w:line="360" w:lineRule="auto"/>
              <w:jc w:val="center"/>
              <w:rPr>
                <w:rFonts w:hint="eastAsia" w:ascii="宋体" w:hAnsi="宋体" w:cs="宋体"/>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tcPr>
          <w:p w14:paraId="510AB670">
            <w:pPr>
              <w:wordWrap w:val="0"/>
              <w:autoSpaceDE w:val="0"/>
              <w:autoSpaceDN w:val="0"/>
              <w:spacing w:line="360" w:lineRule="auto"/>
              <w:jc w:val="center"/>
              <w:rPr>
                <w:rFonts w:hint="eastAsia" w:ascii="宋体" w:hAnsi="宋体" w:cs="宋体"/>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tcPr>
          <w:p w14:paraId="1DFAD25F">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327BEF0F">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3A85E982">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3E4C7DFA">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716BEA0E">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55833EDA">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5A65377F">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6A33F64E">
            <w:pPr>
              <w:wordWrap w:val="0"/>
              <w:autoSpaceDE w:val="0"/>
              <w:autoSpaceDN w:val="0"/>
              <w:spacing w:line="360" w:lineRule="auto"/>
              <w:rPr>
                <w:rFonts w:hint="eastAsia" w:ascii="宋体" w:hAnsi="宋体" w:cs="宋体"/>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tcPr>
          <w:p w14:paraId="08263129">
            <w:pPr>
              <w:wordWrap w:val="0"/>
              <w:autoSpaceDE w:val="0"/>
              <w:autoSpaceDN w:val="0"/>
              <w:spacing w:line="360" w:lineRule="auto"/>
              <w:rPr>
                <w:rFonts w:hint="eastAsia" w:ascii="宋体" w:hAnsi="宋体" w:cs="宋体"/>
                <w:color w:val="auto"/>
                <w:szCs w:val="21"/>
                <w:highlight w:val="none"/>
              </w:rPr>
            </w:pPr>
          </w:p>
        </w:tc>
      </w:tr>
      <w:tr w14:paraId="63CC363F">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16A1FB51">
            <w:pPr>
              <w:wordWrap w:val="0"/>
              <w:autoSpaceDE w:val="0"/>
              <w:autoSpaceDN w:val="0"/>
              <w:spacing w:line="360" w:lineRule="auto"/>
              <w:jc w:val="center"/>
              <w:rPr>
                <w:rFonts w:hint="eastAsia" w:ascii="宋体" w:hAnsi="宋体" w:cs="宋体"/>
                <w:color w:val="auto"/>
                <w:szCs w:val="21"/>
                <w:highlight w:val="none"/>
              </w:rPr>
            </w:pPr>
          </w:p>
        </w:tc>
        <w:tc>
          <w:tcPr>
            <w:tcW w:w="746" w:type="dxa"/>
            <w:tcBorders>
              <w:top w:val="single" w:color="auto" w:sz="6" w:space="0"/>
              <w:left w:val="single" w:color="auto" w:sz="4" w:space="0"/>
              <w:bottom w:val="single" w:color="auto" w:sz="6" w:space="0"/>
              <w:right w:val="single" w:color="auto" w:sz="6" w:space="0"/>
            </w:tcBorders>
          </w:tcPr>
          <w:p w14:paraId="4E6B679F">
            <w:pPr>
              <w:wordWrap w:val="0"/>
              <w:autoSpaceDE w:val="0"/>
              <w:autoSpaceDN w:val="0"/>
              <w:spacing w:line="360" w:lineRule="auto"/>
              <w:jc w:val="center"/>
              <w:rPr>
                <w:rFonts w:hint="eastAsia" w:ascii="宋体" w:hAnsi="宋体" w:cs="宋体"/>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tcPr>
          <w:p w14:paraId="139DD8DE">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215D2CFE">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15CEE5F0">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7C60665E">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6DE0C89F">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79806920">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05F32994">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2FF5FB6B">
            <w:pPr>
              <w:wordWrap w:val="0"/>
              <w:autoSpaceDE w:val="0"/>
              <w:autoSpaceDN w:val="0"/>
              <w:spacing w:line="360" w:lineRule="auto"/>
              <w:rPr>
                <w:rFonts w:hint="eastAsia" w:ascii="宋体" w:hAnsi="宋体" w:cs="宋体"/>
                <w:color w:val="auto"/>
                <w:szCs w:val="21"/>
                <w:highlight w:val="none"/>
              </w:rPr>
            </w:pPr>
          </w:p>
        </w:tc>
        <w:tc>
          <w:tcPr>
            <w:tcW w:w="1111" w:type="dxa"/>
            <w:tcBorders>
              <w:top w:val="single" w:color="auto" w:sz="6" w:space="0"/>
              <w:left w:val="single" w:color="auto" w:sz="6" w:space="0"/>
              <w:bottom w:val="single" w:color="auto" w:sz="6" w:space="0"/>
              <w:right w:val="single" w:color="auto" w:sz="6" w:space="0"/>
            </w:tcBorders>
          </w:tcPr>
          <w:p w14:paraId="2D5B0185">
            <w:pPr>
              <w:wordWrap w:val="0"/>
              <w:autoSpaceDE w:val="0"/>
              <w:autoSpaceDN w:val="0"/>
              <w:spacing w:line="360" w:lineRule="auto"/>
              <w:rPr>
                <w:rFonts w:hint="eastAsia" w:ascii="宋体" w:hAnsi="宋体" w:cs="宋体"/>
                <w:color w:val="auto"/>
                <w:szCs w:val="21"/>
                <w:highlight w:val="none"/>
              </w:rPr>
            </w:pPr>
          </w:p>
        </w:tc>
      </w:tr>
    </w:tbl>
    <w:p w14:paraId="4A7B001C">
      <w:pPr>
        <w:wordWrap w:val="0"/>
        <w:snapToGrid w:val="0"/>
        <w:spacing w:line="360" w:lineRule="auto"/>
        <w:ind w:left="142" w:firstLine="422"/>
        <w:jc w:val="center"/>
        <w:rPr>
          <w:rFonts w:hint="eastAsia" w:ascii="宋体" w:hAnsi="宋体" w:cs="宋体"/>
          <w:b/>
          <w:color w:val="auto"/>
          <w:szCs w:val="21"/>
          <w:highlight w:val="none"/>
        </w:rPr>
      </w:pPr>
    </w:p>
    <w:p w14:paraId="213147F6">
      <w:pPr>
        <w:wordWrap w:val="0"/>
        <w:snapToGrid w:val="0"/>
        <w:spacing w:line="360" w:lineRule="auto"/>
        <w:ind w:right="480" w:firstLine="3471" w:firstLineChars="1653"/>
        <w:rPr>
          <w:rFonts w:hint="eastAsia" w:ascii="宋体" w:hAnsi="宋体" w:cs="宋体"/>
          <w:color w:val="auto"/>
          <w:szCs w:val="21"/>
          <w:highlight w:val="none"/>
        </w:rPr>
      </w:pPr>
    </w:p>
    <w:p w14:paraId="32641384">
      <w:pPr>
        <w:wordWrap w:val="0"/>
        <w:snapToGrid w:val="0"/>
        <w:spacing w:line="360" w:lineRule="auto"/>
        <w:ind w:firstLine="4515" w:firstLineChars="215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2B1B173C">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0AD762E2">
      <w:pPr>
        <w:widowControl/>
        <w:wordWrap w:val="0"/>
        <w:spacing w:line="360" w:lineRule="auto"/>
        <w:ind w:firstLine="480"/>
        <w:jc w:val="left"/>
        <w:rPr>
          <w:rFonts w:hint="eastAsia" w:ascii="宋体" w:hAnsi="宋体" w:cs="宋体"/>
          <w:color w:val="auto"/>
          <w:sz w:val="24"/>
          <w:highlight w:val="none"/>
        </w:rPr>
        <w:sectPr>
          <w:pgSz w:w="11906" w:h="16838"/>
          <w:pgMar w:top="1440" w:right="1080" w:bottom="1440" w:left="1080" w:header="720" w:footer="720" w:gutter="0"/>
          <w:cols w:space="720" w:num="1"/>
          <w:docGrid w:type="lines" w:linePitch="331" w:charSpace="0"/>
        </w:sectPr>
      </w:pPr>
    </w:p>
    <w:p w14:paraId="11D12AE3">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四、项目实施人员一览表</w:t>
      </w:r>
    </w:p>
    <w:p w14:paraId="78FC73D8">
      <w:pPr>
        <w:wordWrap w:val="0"/>
        <w:spacing w:line="360" w:lineRule="auto"/>
        <w:jc w:val="center"/>
        <w:rPr>
          <w:rFonts w:hint="eastAsia" w:ascii="宋体" w:hAnsi="宋体" w:cs="宋体"/>
          <w:b/>
          <w:bCs/>
          <w:color w:val="auto"/>
          <w:szCs w:val="21"/>
          <w:highlight w:val="none"/>
        </w:rPr>
      </w:pPr>
      <w:r>
        <w:rPr>
          <w:rFonts w:hint="eastAsia" w:ascii="宋体" w:hAnsi="宋体" w:cs="宋体"/>
          <w:color w:val="auto"/>
          <w:szCs w:val="21"/>
          <w:highlight w:val="none"/>
        </w:rPr>
        <w:t>（由投标人根据采购需求及招标文件要求编制）</w:t>
      </w:r>
    </w:p>
    <w:p w14:paraId="0990F645">
      <w:pPr>
        <w:pStyle w:val="12"/>
        <w:wordWrap w:val="0"/>
        <w:spacing w:line="360" w:lineRule="auto"/>
        <w:rPr>
          <w:rFonts w:hint="eastAsia" w:hAnsi="宋体" w:cs="宋体"/>
          <w:color w:val="auto"/>
          <w:szCs w:val="21"/>
          <w:highlight w:val="none"/>
        </w:rPr>
      </w:pPr>
      <w:r>
        <w:rPr>
          <w:rFonts w:hint="eastAsia" w:hAnsi="宋体" w:cs="宋体"/>
          <w:color w:val="auto"/>
          <w:szCs w:val="21"/>
          <w:highlight w:val="none"/>
        </w:rPr>
        <w:t>所投分标：</w:t>
      </w:r>
      <w:r>
        <w:rPr>
          <w:rFonts w:hint="eastAsia" w:hAnsi="宋体" w:cs="宋体"/>
          <w:color w:val="auto"/>
          <w:szCs w:val="21"/>
          <w:highlight w:val="none"/>
          <w:u w:val="single"/>
        </w:rPr>
        <w:t xml:space="preserve">     </w:t>
      </w:r>
      <w:r>
        <w:rPr>
          <w:rFonts w:hint="eastAsia" w:hAnsi="宋体" w:cs="宋体"/>
          <w:color w:val="auto"/>
          <w:szCs w:val="21"/>
          <w:highlight w:val="none"/>
        </w:rPr>
        <w:t>分标</w:t>
      </w:r>
    </w:p>
    <w:p w14:paraId="7F062E91">
      <w:pPr>
        <w:keepNext/>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附表A:本项目的项目经理情况表</w:t>
      </w:r>
    </w:p>
    <w:tbl>
      <w:tblPr>
        <w:tblStyle w:val="22"/>
        <w:tblW w:w="8755" w:type="dxa"/>
        <w:tblInd w:w="116" w:type="dxa"/>
        <w:tblLayout w:type="fixed"/>
        <w:tblCellMar>
          <w:top w:w="0" w:type="dxa"/>
          <w:left w:w="108" w:type="dxa"/>
          <w:bottom w:w="0" w:type="dxa"/>
          <w:right w:w="108" w:type="dxa"/>
        </w:tblCellMar>
      </w:tblPr>
      <w:tblGrid>
        <w:gridCol w:w="2061"/>
        <w:gridCol w:w="1287"/>
        <w:gridCol w:w="1260"/>
        <w:gridCol w:w="4147"/>
      </w:tblGrid>
      <w:tr w14:paraId="1D6EFD8D">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vAlign w:val="center"/>
          </w:tcPr>
          <w:p w14:paraId="63901B03">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287" w:type="dxa"/>
            <w:tcBorders>
              <w:top w:val="single" w:color="auto" w:sz="6" w:space="0"/>
              <w:left w:val="single" w:color="auto" w:sz="6" w:space="0"/>
              <w:bottom w:val="single" w:color="auto" w:sz="6" w:space="0"/>
              <w:right w:val="single" w:color="auto" w:sz="4" w:space="0"/>
            </w:tcBorders>
            <w:vAlign w:val="center"/>
          </w:tcPr>
          <w:p w14:paraId="785C648E">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280B470">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3449B58C">
            <w:pPr>
              <w:wordWrap w:val="0"/>
              <w:autoSpaceDE w:val="0"/>
              <w:autoSpaceDN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投标截止时间前三年业绩及承担的主要工作情况，曾担任项目经理的项目应列明细</w:t>
            </w:r>
          </w:p>
        </w:tc>
      </w:tr>
      <w:tr w14:paraId="3C693A8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361021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1287" w:type="dxa"/>
            <w:tcBorders>
              <w:top w:val="single" w:color="auto" w:sz="6" w:space="0"/>
              <w:left w:val="single" w:color="auto" w:sz="6" w:space="0"/>
              <w:bottom w:val="single" w:color="auto" w:sz="6" w:space="0"/>
              <w:right w:val="single" w:color="auto" w:sz="4" w:space="0"/>
            </w:tcBorders>
            <w:vAlign w:val="center"/>
          </w:tcPr>
          <w:p w14:paraId="59F81786">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9768F65">
            <w:pPr>
              <w:wordWrap w:val="0"/>
              <w:autoSpaceDE w:val="0"/>
              <w:autoSpaceDN w:val="0"/>
              <w:spacing w:line="360" w:lineRule="auto"/>
              <w:jc w:val="center"/>
              <w:rPr>
                <w:rFonts w:hint="eastAsia" w:ascii="宋体" w:hAnsi="宋体" w:cs="宋体"/>
                <w:color w:val="auto"/>
                <w:szCs w:val="21"/>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536ED43">
            <w:pPr>
              <w:wordWrap w:val="0"/>
              <w:autoSpaceDE w:val="0"/>
              <w:autoSpaceDN w:val="0"/>
              <w:spacing w:line="360" w:lineRule="auto"/>
              <w:jc w:val="center"/>
              <w:rPr>
                <w:rFonts w:hint="eastAsia" w:ascii="宋体" w:hAnsi="宋体" w:cs="宋体"/>
                <w:color w:val="auto"/>
                <w:szCs w:val="21"/>
                <w:highlight w:val="none"/>
              </w:rPr>
            </w:pPr>
          </w:p>
        </w:tc>
      </w:tr>
      <w:tr w14:paraId="4FADE2E5">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14:paraId="254957B3">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287" w:type="dxa"/>
            <w:tcBorders>
              <w:top w:val="single" w:color="auto" w:sz="6" w:space="0"/>
              <w:left w:val="single" w:color="auto" w:sz="6" w:space="0"/>
              <w:bottom w:val="single" w:color="auto" w:sz="6" w:space="0"/>
              <w:right w:val="single" w:color="auto" w:sz="4" w:space="0"/>
            </w:tcBorders>
            <w:vAlign w:val="center"/>
          </w:tcPr>
          <w:p w14:paraId="3F376F84">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AC44F06">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6E1688D">
            <w:pPr>
              <w:widowControl/>
              <w:wordWrap w:val="0"/>
              <w:spacing w:line="360" w:lineRule="auto"/>
              <w:jc w:val="left"/>
              <w:rPr>
                <w:rFonts w:hint="eastAsia" w:ascii="宋体" w:hAnsi="宋体" w:cs="宋体"/>
                <w:color w:val="auto"/>
                <w:szCs w:val="21"/>
                <w:highlight w:val="none"/>
              </w:rPr>
            </w:pPr>
          </w:p>
        </w:tc>
      </w:tr>
      <w:tr w14:paraId="56D8CB8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5510EF6">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CD396E5">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AFD9C29">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147B31">
            <w:pPr>
              <w:widowControl/>
              <w:wordWrap w:val="0"/>
              <w:spacing w:line="360" w:lineRule="auto"/>
              <w:jc w:val="left"/>
              <w:rPr>
                <w:rFonts w:hint="eastAsia" w:ascii="宋体" w:hAnsi="宋体" w:cs="宋体"/>
                <w:color w:val="auto"/>
                <w:szCs w:val="21"/>
                <w:highlight w:val="none"/>
              </w:rPr>
            </w:pPr>
          </w:p>
        </w:tc>
      </w:tr>
      <w:tr w14:paraId="1EE6A0B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E0EBD34">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6B3985EA">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D819FBA">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F141FCE">
            <w:pPr>
              <w:widowControl/>
              <w:wordWrap w:val="0"/>
              <w:spacing w:line="360" w:lineRule="auto"/>
              <w:jc w:val="left"/>
              <w:rPr>
                <w:rFonts w:hint="eastAsia" w:ascii="宋体" w:hAnsi="宋体" w:cs="宋体"/>
                <w:color w:val="auto"/>
                <w:szCs w:val="21"/>
                <w:highlight w:val="none"/>
              </w:rPr>
            </w:pPr>
          </w:p>
        </w:tc>
      </w:tr>
      <w:tr w14:paraId="511360DB">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6226C41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FF3D7E8">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98A4C55">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EE5DE58">
            <w:pPr>
              <w:widowControl/>
              <w:wordWrap w:val="0"/>
              <w:spacing w:line="360" w:lineRule="auto"/>
              <w:jc w:val="left"/>
              <w:rPr>
                <w:rFonts w:hint="eastAsia" w:ascii="宋体" w:hAnsi="宋体" w:cs="宋体"/>
                <w:color w:val="auto"/>
                <w:szCs w:val="21"/>
                <w:highlight w:val="none"/>
              </w:rPr>
            </w:pPr>
          </w:p>
        </w:tc>
      </w:tr>
      <w:tr w14:paraId="688CE2E2">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2DCB4249">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6A6A201D">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32EFA16">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43F2CD6">
            <w:pPr>
              <w:widowControl/>
              <w:wordWrap w:val="0"/>
              <w:spacing w:line="360" w:lineRule="auto"/>
              <w:jc w:val="left"/>
              <w:rPr>
                <w:rFonts w:hint="eastAsia" w:ascii="宋体" w:hAnsi="宋体" w:cs="宋体"/>
                <w:color w:val="auto"/>
                <w:szCs w:val="21"/>
                <w:highlight w:val="none"/>
              </w:rPr>
            </w:pPr>
          </w:p>
        </w:tc>
      </w:tr>
      <w:tr w14:paraId="2F8B85A2">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0AE1E54E">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35749C61">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8A36BD5">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5AAA7AB">
            <w:pPr>
              <w:widowControl/>
              <w:wordWrap w:val="0"/>
              <w:spacing w:line="360" w:lineRule="auto"/>
              <w:jc w:val="left"/>
              <w:rPr>
                <w:rFonts w:hint="eastAsia" w:ascii="宋体" w:hAnsi="宋体" w:cs="宋体"/>
                <w:color w:val="auto"/>
                <w:szCs w:val="21"/>
                <w:highlight w:val="none"/>
              </w:rPr>
            </w:pPr>
          </w:p>
        </w:tc>
      </w:tr>
      <w:tr w14:paraId="27A8B8D4">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7DED9241">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E3C8164">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B83E5A6">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4DCE2FF">
            <w:pPr>
              <w:widowControl/>
              <w:wordWrap w:val="0"/>
              <w:spacing w:line="360" w:lineRule="auto"/>
              <w:jc w:val="left"/>
              <w:rPr>
                <w:rFonts w:hint="eastAsia" w:ascii="宋体" w:hAnsi="宋体" w:cs="宋体"/>
                <w:color w:val="auto"/>
                <w:szCs w:val="21"/>
                <w:highlight w:val="none"/>
              </w:rPr>
            </w:pPr>
          </w:p>
        </w:tc>
      </w:tr>
      <w:tr w14:paraId="011405E9">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vAlign w:val="center"/>
          </w:tcPr>
          <w:p w14:paraId="7AF630CA">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联系电话</w:t>
            </w:r>
          </w:p>
        </w:tc>
        <w:tc>
          <w:tcPr>
            <w:tcW w:w="1287" w:type="dxa"/>
            <w:tcBorders>
              <w:top w:val="single" w:color="auto" w:sz="6" w:space="0"/>
              <w:left w:val="single" w:color="auto" w:sz="6" w:space="0"/>
              <w:bottom w:val="single" w:color="auto" w:sz="6" w:space="0"/>
              <w:right w:val="single" w:color="auto" w:sz="4" w:space="0"/>
            </w:tcBorders>
            <w:vAlign w:val="center"/>
          </w:tcPr>
          <w:p w14:paraId="48595895">
            <w:pPr>
              <w:wordWrap w:val="0"/>
              <w:autoSpaceDE w:val="0"/>
              <w:autoSpaceDN w:val="0"/>
              <w:spacing w:line="360" w:lineRule="auto"/>
              <w:jc w:val="center"/>
              <w:rPr>
                <w:rFonts w:hint="eastAsia" w:ascii="宋体" w:hAnsi="宋体" w:cs="宋体"/>
                <w:color w:val="auto"/>
                <w:szCs w:val="21"/>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4D318AA">
            <w:pPr>
              <w:wordWrap w:val="0"/>
              <w:autoSpaceDE w:val="0"/>
              <w:autoSpaceDN w:val="0"/>
              <w:spacing w:line="360" w:lineRule="auto"/>
              <w:jc w:val="center"/>
              <w:rPr>
                <w:rFonts w:hint="eastAsia" w:ascii="宋体" w:hAnsi="宋体" w:cs="宋体"/>
                <w:color w:val="auto"/>
                <w:szCs w:val="21"/>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BD2AA24">
            <w:pPr>
              <w:widowControl/>
              <w:wordWrap w:val="0"/>
              <w:spacing w:line="360" w:lineRule="auto"/>
              <w:jc w:val="left"/>
              <w:rPr>
                <w:rFonts w:hint="eastAsia" w:ascii="宋体" w:hAnsi="宋体" w:cs="宋体"/>
                <w:color w:val="auto"/>
                <w:szCs w:val="21"/>
                <w:highlight w:val="none"/>
              </w:rPr>
            </w:pPr>
          </w:p>
        </w:tc>
      </w:tr>
    </w:tbl>
    <w:p w14:paraId="323E9395">
      <w:pPr>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注：须随表提交相应的证书复印件并注明所在投标技术文件页码。</w:t>
      </w:r>
    </w:p>
    <w:p w14:paraId="4C6F7845">
      <w:pPr>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附表B:本项目的项目小组人员情况表</w:t>
      </w:r>
      <w:r>
        <w:rPr>
          <w:rFonts w:hint="eastAsia" w:ascii="宋体" w:hAnsi="宋体" w:cs="宋体"/>
          <w:color w:val="auto"/>
          <w:szCs w:val="21"/>
          <w:highlight w:val="none"/>
        </w:rPr>
        <w:t>（按此格式自制）</w:t>
      </w:r>
    </w:p>
    <w:tbl>
      <w:tblPr>
        <w:tblStyle w:val="2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D5169B6">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535DE78">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00EC879C">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6B977AB">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A76DB39">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45D1216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学历</w:t>
            </w:r>
          </w:p>
          <w:p w14:paraId="4C67F917">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A75A760">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专业</w:t>
            </w:r>
          </w:p>
          <w:p w14:paraId="75E76B0C">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C92A713">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职称</w:t>
            </w:r>
          </w:p>
          <w:p w14:paraId="4C3E6EA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A4C1C6F">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2C433FC">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385645B6">
            <w:pPr>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参与本项目的到位情况</w:t>
            </w:r>
          </w:p>
        </w:tc>
      </w:tr>
      <w:tr w14:paraId="2DB6C52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4980614">
            <w:pPr>
              <w:wordWrap w:val="0"/>
              <w:autoSpaceDE w:val="0"/>
              <w:autoSpaceDN w:val="0"/>
              <w:spacing w:line="360" w:lineRule="auto"/>
              <w:jc w:val="center"/>
              <w:rPr>
                <w:rFonts w:hint="eastAsia" w:ascii="宋体" w:hAnsi="宋体" w:cs="宋体"/>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tcPr>
          <w:p w14:paraId="2A36A4AD">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4CBD3387">
            <w:pPr>
              <w:wordWrap w:val="0"/>
              <w:autoSpaceDE w:val="0"/>
              <w:autoSpaceDN w:val="0"/>
              <w:spacing w:line="360" w:lineRule="auto"/>
              <w:rPr>
                <w:rFonts w:hint="eastAsia" w:ascii="宋体" w:hAnsi="宋体" w:cs="宋体"/>
                <w:color w:val="auto"/>
                <w:szCs w:val="21"/>
                <w:highlight w:val="none"/>
              </w:rPr>
            </w:pPr>
          </w:p>
        </w:tc>
        <w:tc>
          <w:tcPr>
            <w:tcW w:w="586" w:type="dxa"/>
            <w:tcBorders>
              <w:top w:val="single" w:color="auto" w:sz="6" w:space="0"/>
              <w:left w:val="single" w:color="auto" w:sz="6" w:space="0"/>
              <w:bottom w:val="single" w:color="auto" w:sz="6" w:space="0"/>
              <w:right w:val="single" w:color="auto" w:sz="6" w:space="0"/>
            </w:tcBorders>
          </w:tcPr>
          <w:p w14:paraId="645819FD">
            <w:pPr>
              <w:wordWrap w:val="0"/>
              <w:autoSpaceDE w:val="0"/>
              <w:autoSpaceDN w:val="0"/>
              <w:spacing w:line="360" w:lineRule="auto"/>
              <w:rPr>
                <w:rFonts w:hint="eastAsia" w:ascii="宋体" w:hAnsi="宋体" w:cs="宋体"/>
                <w:color w:val="auto"/>
                <w:szCs w:val="21"/>
                <w:highlight w:val="none"/>
              </w:rPr>
            </w:pPr>
          </w:p>
        </w:tc>
        <w:tc>
          <w:tcPr>
            <w:tcW w:w="1035" w:type="dxa"/>
            <w:tcBorders>
              <w:top w:val="single" w:color="auto" w:sz="6" w:space="0"/>
              <w:left w:val="single" w:color="auto" w:sz="6" w:space="0"/>
              <w:bottom w:val="single" w:color="auto" w:sz="6" w:space="0"/>
              <w:right w:val="single" w:color="auto" w:sz="6" w:space="0"/>
            </w:tcBorders>
          </w:tcPr>
          <w:p w14:paraId="419C8475">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256EFBCA">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43E83404">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43EE71DD">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5A7B17C3">
            <w:pPr>
              <w:wordWrap w:val="0"/>
              <w:autoSpaceDE w:val="0"/>
              <w:autoSpaceDN w:val="0"/>
              <w:spacing w:line="360" w:lineRule="auto"/>
              <w:rPr>
                <w:rFonts w:hint="eastAsia" w:ascii="宋体" w:hAnsi="宋体" w:cs="宋体"/>
                <w:color w:val="auto"/>
                <w:szCs w:val="21"/>
                <w:highlight w:val="none"/>
              </w:rPr>
            </w:pPr>
          </w:p>
        </w:tc>
        <w:tc>
          <w:tcPr>
            <w:tcW w:w="1470" w:type="dxa"/>
            <w:tcBorders>
              <w:top w:val="single" w:color="auto" w:sz="6" w:space="0"/>
              <w:left w:val="single" w:color="auto" w:sz="6" w:space="0"/>
              <w:bottom w:val="single" w:color="auto" w:sz="6" w:space="0"/>
              <w:right w:val="single" w:color="auto" w:sz="6" w:space="0"/>
            </w:tcBorders>
          </w:tcPr>
          <w:p w14:paraId="6A0D2CB0">
            <w:pPr>
              <w:wordWrap w:val="0"/>
              <w:autoSpaceDE w:val="0"/>
              <w:autoSpaceDN w:val="0"/>
              <w:spacing w:line="360" w:lineRule="auto"/>
              <w:rPr>
                <w:rFonts w:hint="eastAsia" w:ascii="宋体" w:hAnsi="宋体" w:cs="宋体"/>
                <w:color w:val="auto"/>
                <w:szCs w:val="21"/>
                <w:highlight w:val="none"/>
              </w:rPr>
            </w:pPr>
          </w:p>
        </w:tc>
      </w:tr>
      <w:tr w14:paraId="60158D8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72A721C">
            <w:pPr>
              <w:wordWrap w:val="0"/>
              <w:autoSpaceDE w:val="0"/>
              <w:autoSpaceDN w:val="0"/>
              <w:spacing w:line="360" w:lineRule="auto"/>
              <w:jc w:val="center"/>
              <w:rPr>
                <w:rFonts w:hint="eastAsia" w:ascii="宋体" w:hAnsi="宋体" w:cs="宋体"/>
                <w:color w:val="auto"/>
                <w:szCs w:val="21"/>
                <w:highlight w:val="none"/>
              </w:rPr>
            </w:pPr>
          </w:p>
        </w:tc>
        <w:tc>
          <w:tcPr>
            <w:tcW w:w="787" w:type="dxa"/>
            <w:tcBorders>
              <w:top w:val="single" w:color="auto" w:sz="6" w:space="0"/>
              <w:left w:val="single" w:color="auto" w:sz="6" w:space="0"/>
              <w:bottom w:val="single" w:color="auto" w:sz="6" w:space="0"/>
              <w:right w:val="single" w:color="auto" w:sz="6" w:space="0"/>
            </w:tcBorders>
          </w:tcPr>
          <w:p w14:paraId="0AF8F501">
            <w:pPr>
              <w:wordWrap w:val="0"/>
              <w:autoSpaceDE w:val="0"/>
              <w:autoSpaceDN w:val="0"/>
              <w:spacing w:line="360" w:lineRule="auto"/>
              <w:rPr>
                <w:rFonts w:hint="eastAsia" w:ascii="宋体" w:hAnsi="宋体" w:cs="宋体"/>
                <w:color w:val="auto"/>
                <w:szCs w:val="21"/>
                <w:highlight w:val="none"/>
              </w:rPr>
            </w:pPr>
          </w:p>
        </w:tc>
        <w:tc>
          <w:tcPr>
            <w:tcW w:w="412" w:type="dxa"/>
            <w:tcBorders>
              <w:top w:val="single" w:color="auto" w:sz="6" w:space="0"/>
              <w:left w:val="single" w:color="auto" w:sz="6" w:space="0"/>
              <w:bottom w:val="single" w:color="auto" w:sz="6" w:space="0"/>
              <w:right w:val="single" w:color="auto" w:sz="6" w:space="0"/>
            </w:tcBorders>
          </w:tcPr>
          <w:p w14:paraId="3E1B14B9">
            <w:pPr>
              <w:wordWrap w:val="0"/>
              <w:autoSpaceDE w:val="0"/>
              <w:autoSpaceDN w:val="0"/>
              <w:spacing w:line="360" w:lineRule="auto"/>
              <w:rPr>
                <w:rFonts w:hint="eastAsia" w:ascii="宋体" w:hAnsi="宋体" w:cs="宋体"/>
                <w:color w:val="auto"/>
                <w:szCs w:val="21"/>
                <w:highlight w:val="none"/>
              </w:rPr>
            </w:pPr>
          </w:p>
        </w:tc>
        <w:tc>
          <w:tcPr>
            <w:tcW w:w="586" w:type="dxa"/>
            <w:tcBorders>
              <w:top w:val="single" w:color="auto" w:sz="6" w:space="0"/>
              <w:left w:val="single" w:color="auto" w:sz="6" w:space="0"/>
              <w:bottom w:val="single" w:color="auto" w:sz="6" w:space="0"/>
              <w:right w:val="single" w:color="auto" w:sz="6" w:space="0"/>
            </w:tcBorders>
          </w:tcPr>
          <w:p w14:paraId="0B6A32E9">
            <w:pPr>
              <w:wordWrap w:val="0"/>
              <w:autoSpaceDE w:val="0"/>
              <w:autoSpaceDN w:val="0"/>
              <w:spacing w:line="360" w:lineRule="auto"/>
              <w:rPr>
                <w:rFonts w:hint="eastAsia" w:ascii="宋体" w:hAnsi="宋体" w:cs="宋体"/>
                <w:color w:val="auto"/>
                <w:szCs w:val="21"/>
                <w:highlight w:val="none"/>
              </w:rPr>
            </w:pPr>
          </w:p>
        </w:tc>
        <w:tc>
          <w:tcPr>
            <w:tcW w:w="1035" w:type="dxa"/>
            <w:tcBorders>
              <w:top w:val="single" w:color="auto" w:sz="6" w:space="0"/>
              <w:left w:val="single" w:color="auto" w:sz="6" w:space="0"/>
              <w:bottom w:val="single" w:color="auto" w:sz="6" w:space="0"/>
              <w:right w:val="single" w:color="auto" w:sz="6" w:space="0"/>
            </w:tcBorders>
          </w:tcPr>
          <w:p w14:paraId="18AFEE89">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333E9826">
            <w:pPr>
              <w:wordWrap w:val="0"/>
              <w:autoSpaceDE w:val="0"/>
              <w:autoSpaceDN w:val="0"/>
              <w:spacing w:line="360" w:lineRule="auto"/>
              <w:rPr>
                <w:rFonts w:hint="eastAsia" w:ascii="宋体" w:hAnsi="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489FE460">
            <w:pPr>
              <w:wordWrap w:val="0"/>
              <w:autoSpaceDE w:val="0"/>
              <w:autoSpaceDN w:val="0"/>
              <w:spacing w:line="360" w:lineRule="auto"/>
              <w:rPr>
                <w:rFonts w:hint="eastAsia" w:ascii="宋体" w:hAnsi="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5F403983">
            <w:pPr>
              <w:wordWrap w:val="0"/>
              <w:autoSpaceDE w:val="0"/>
              <w:autoSpaceDN w:val="0"/>
              <w:spacing w:line="360" w:lineRule="auto"/>
              <w:rPr>
                <w:rFonts w:hint="eastAsia" w:ascii="宋体" w:hAnsi="宋体" w:cs="宋体"/>
                <w:color w:val="auto"/>
                <w:szCs w:val="21"/>
                <w:highlight w:val="none"/>
              </w:rPr>
            </w:pPr>
          </w:p>
        </w:tc>
        <w:tc>
          <w:tcPr>
            <w:tcW w:w="900" w:type="dxa"/>
            <w:tcBorders>
              <w:top w:val="single" w:color="auto" w:sz="6" w:space="0"/>
              <w:left w:val="single" w:color="auto" w:sz="6" w:space="0"/>
              <w:bottom w:val="single" w:color="auto" w:sz="6" w:space="0"/>
              <w:right w:val="single" w:color="auto" w:sz="6" w:space="0"/>
            </w:tcBorders>
          </w:tcPr>
          <w:p w14:paraId="249BE946">
            <w:pPr>
              <w:wordWrap w:val="0"/>
              <w:autoSpaceDE w:val="0"/>
              <w:autoSpaceDN w:val="0"/>
              <w:spacing w:line="360" w:lineRule="auto"/>
              <w:rPr>
                <w:rFonts w:hint="eastAsia" w:ascii="宋体" w:hAnsi="宋体" w:cs="宋体"/>
                <w:color w:val="auto"/>
                <w:szCs w:val="21"/>
                <w:highlight w:val="none"/>
              </w:rPr>
            </w:pPr>
          </w:p>
        </w:tc>
        <w:tc>
          <w:tcPr>
            <w:tcW w:w="1470" w:type="dxa"/>
            <w:tcBorders>
              <w:top w:val="single" w:color="auto" w:sz="6" w:space="0"/>
              <w:left w:val="single" w:color="auto" w:sz="6" w:space="0"/>
              <w:bottom w:val="single" w:color="auto" w:sz="6" w:space="0"/>
              <w:right w:val="single" w:color="auto" w:sz="6" w:space="0"/>
            </w:tcBorders>
          </w:tcPr>
          <w:p w14:paraId="476BE267">
            <w:pPr>
              <w:wordWrap w:val="0"/>
              <w:autoSpaceDE w:val="0"/>
              <w:autoSpaceDN w:val="0"/>
              <w:spacing w:line="360" w:lineRule="auto"/>
              <w:rPr>
                <w:rFonts w:hint="eastAsia" w:ascii="宋体" w:hAnsi="宋体" w:cs="宋体"/>
                <w:color w:val="auto"/>
                <w:szCs w:val="21"/>
                <w:highlight w:val="none"/>
              </w:rPr>
            </w:pPr>
          </w:p>
        </w:tc>
      </w:tr>
    </w:tbl>
    <w:p w14:paraId="226AB53E">
      <w:pPr>
        <w:wordWrap w:val="0"/>
        <w:spacing w:line="360" w:lineRule="auto"/>
        <w:ind w:firstLine="422"/>
        <w:rPr>
          <w:rFonts w:hint="eastAsia" w:ascii="宋体" w:hAnsi="宋体" w:cs="宋体"/>
          <w:b/>
          <w:bCs/>
          <w:color w:val="auto"/>
          <w:szCs w:val="21"/>
          <w:highlight w:val="none"/>
        </w:rPr>
      </w:pPr>
      <w:r>
        <w:rPr>
          <w:rFonts w:hint="eastAsia" w:ascii="宋体" w:hAnsi="宋体" w:cs="宋体"/>
          <w:b/>
          <w:color w:val="auto"/>
          <w:szCs w:val="21"/>
          <w:highlight w:val="none"/>
        </w:rPr>
        <w:t>注：投标人可按上述的格式自行编制，须随表提交相应的证书复印件并注明所在投标技术文件页码。</w:t>
      </w:r>
    </w:p>
    <w:p w14:paraId="69AC1171">
      <w:pPr>
        <w:wordWrap w:val="0"/>
        <w:snapToGrid w:val="0"/>
        <w:spacing w:line="360" w:lineRule="auto"/>
        <w:ind w:firstLine="3780" w:firstLineChars="18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7201131E">
      <w:pPr>
        <w:wordWrap w:val="0"/>
        <w:autoSpaceDE w:val="0"/>
        <w:autoSpaceDN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日期：  年  月   日</w:t>
      </w:r>
    </w:p>
    <w:p w14:paraId="7BC81749">
      <w:pPr>
        <w:wordWrap w:val="0"/>
        <w:snapToGrid w:val="0"/>
        <w:spacing w:line="360" w:lineRule="auto"/>
        <w:ind w:firstLine="480"/>
        <w:rPr>
          <w:rFonts w:hint="eastAsia" w:ascii="宋体" w:hAnsi="宋体" w:cs="宋体"/>
          <w:color w:val="auto"/>
          <w:sz w:val="24"/>
          <w:highlight w:val="none"/>
        </w:rPr>
      </w:pPr>
    </w:p>
    <w:p w14:paraId="3F175258">
      <w:pPr>
        <w:wordWrap w:val="0"/>
        <w:snapToGrid w:val="0"/>
        <w:spacing w:line="360" w:lineRule="auto"/>
        <w:ind w:right="480" w:firstLine="482"/>
        <w:jc w:val="center"/>
        <w:rPr>
          <w:rFonts w:hint="eastAsia" w:ascii="宋体" w:hAnsi="宋体" w:cs="宋体"/>
          <w:b/>
          <w:color w:val="auto"/>
          <w:kern w:val="0"/>
          <w:sz w:val="32"/>
          <w:szCs w:val="32"/>
          <w:highlight w:val="none"/>
        </w:rPr>
      </w:pPr>
      <w:r>
        <w:rPr>
          <w:rFonts w:hint="eastAsia" w:ascii="宋体" w:hAnsi="宋体" w:cs="宋体"/>
          <w:b/>
          <w:color w:val="auto"/>
          <w:sz w:val="24"/>
          <w:highlight w:val="none"/>
        </w:rPr>
        <w:br w:type="page"/>
      </w:r>
      <w:r>
        <w:rPr>
          <w:rFonts w:hint="eastAsia" w:ascii="宋体" w:hAnsi="宋体" w:cs="宋体"/>
          <w:b/>
          <w:color w:val="auto"/>
          <w:kern w:val="0"/>
          <w:sz w:val="32"/>
          <w:szCs w:val="32"/>
          <w:highlight w:val="none"/>
        </w:rPr>
        <w:t xml:space="preserve"> 五、投标人对项目的合理化建议和改进措施</w:t>
      </w:r>
    </w:p>
    <w:p w14:paraId="7F5C9678">
      <w:pPr>
        <w:wordWrap w:val="0"/>
        <w:spacing w:line="360" w:lineRule="auto"/>
        <w:ind w:firstLine="3542" w:firstLineChars="1687"/>
        <w:rPr>
          <w:rFonts w:hint="eastAsia" w:ascii="宋体" w:hAnsi="宋体" w:cs="宋体"/>
          <w:color w:val="auto"/>
          <w:szCs w:val="21"/>
          <w:highlight w:val="none"/>
        </w:rPr>
      </w:pPr>
      <w:r>
        <w:rPr>
          <w:rFonts w:hint="eastAsia" w:ascii="宋体" w:hAnsi="宋体" w:cs="宋体"/>
          <w:color w:val="auto"/>
          <w:szCs w:val="21"/>
          <w:highlight w:val="none"/>
        </w:rPr>
        <w:t>（格式自拟）</w:t>
      </w:r>
    </w:p>
    <w:p w14:paraId="24D4E539">
      <w:pPr>
        <w:wordWrap w:val="0"/>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309FD1F3">
      <w:pPr>
        <w:wordWrap w:val="0"/>
        <w:snapToGrid w:val="0"/>
        <w:spacing w:line="360" w:lineRule="auto"/>
        <w:ind w:firstLine="4935" w:firstLineChars="2350"/>
        <w:rPr>
          <w:rFonts w:hint="eastAsia" w:ascii="宋体" w:hAnsi="宋体" w:cs="宋体"/>
          <w:color w:val="auto"/>
          <w:kern w:val="0"/>
          <w:szCs w:val="21"/>
          <w:highlight w:val="none"/>
        </w:rPr>
      </w:pPr>
      <w:r>
        <w:rPr>
          <w:rFonts w:hint="eastAsia" w:ascii="宋体" w:hAnsi="宋体" w:cs="宋体"/>
          <w:color w:val="auto"/>
          <w:szCs w:val="21"/>
          <w:highlight w:val="none"/>
        </w:rPr>
        <w:t xml:space="preserve">  </w:t>
      </w:r>
      <w:r>
        <w:rPr>
          <w:rFonts w:hint="eastAsia" w:ascii="宋体" w:hAnsi="宋体" w:cs="宋体"/>
          <w:color w:val="auto"/>
          <w:kern w:val="0"/>
          <w:szCs w:val="21"/>
          <w:highlight w:val="none"/>
          <w:lang w:val="zh-CN"/>
        </w:rPr>
        <w:t>投标人名称(电子签章)：</w:t>
      </w:r>
    </w:p>
    <w:p w14:paraId="6EC0209B">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65C2D232">
      <w:pPr>
        <w:wordWrap w:val="0"/>
        <w:snapToGrid w:val="0"/>
        <w:spacing w:line="360" w:lineRule="auto"/>
        <w:ind w:right="480" w:firstLine="643"/>
        <w:jc w:val="center"/>
        <w:rPr>
          <w:rFonts w:hint="eastAsia" w:ascii="宋体" w:hAnsi="宋体" w:cs="宋体"/>
          <w:b/>
          <w:color w:val="auto"/>
          <w:kern w:val="0"/>
          <w:sz w:val="32"/>
          <w:szCs w:val="32"/>
          <w:highlight w:val="none"/>
        </w:rPr>
      </w:pPr>
    </w:p>
    <w:p w14:paraId="5A3CE39A">
      <w:pPr>
        <w:ind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六、优惠条件及特殊承诺</w:t>
      </w:r>
    </w:p>
    <w:p w14:paraId="7CE8F0D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（由投标人根据采购需求自行编制）</w:t>
      </w:r>
    </w:p>
    <w:p w14:paraId="19B3817C">
      <w:pPr>
        <w:wordWrap w:val="0"/>
        <w:spacing w:line="360" w:lineRule="auto"/>
        <w:jc w:val="center"/>
        <w:rPr>
          <w:rFonts w:hint="eastAsia" w:ascii="宋体" w:hAnsi="宋体" w:cs="宋体"/>
          <w:color w:val="auto"/>
          <w:szCs w:val="21"/>
          <w:highlight w:val="none"/>
        </w:rPr>
      </w:pPr>
    </w:p>
    <w:p w14:paraId="2DD10693">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512CCE26">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458B07E7">
      <w:pPr>
        <w:wordWrap w:val="0"/>
        <w:snapToGrid w:val="0"/>
        <w:spacing w:line="360" w:lineRule="auto"/>
        <w:ind w:right="480" w:firstLine="643"/>
        <w:jc w:val="center"/>
        <w:rPr>
          <w:rFonts w:hint="eastAsia" w:ascii="宋体" w:hAnsi="宋体" w:cs="宋体"/>
          <w:b/>
          <w:color w:val="auto"/>
          <w:kern w:val="0"/>
          <w:sz w:val="32"/>
          <w:szCs w:val="32"/>
          <w:highlight w:val="none"/>
        </w:rPr>
      </w:pPr>
    </w:p>
    <w:p w14:paraId="6278283A">
      <w:pPr>
        <w:ind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七、备品备件及供选择的配套零部件清单</w:t>
      </w:r>
    </w:p>
    <w:p w14:paraId="6EDC827D">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（由投标人根据采购需求自行编制）</w:t>
      </w:r>
    </w:p>
    <w:p w14:paraId="6CF1B949">
      <w:pPr>
        <w:wordWrap w:val="0"/>
        <w:autoSpaceDE w:val="0"/>
        <w:autoSpaceDN w:val="0"/>
        <w:spacing w:line="360" w:lineRule="auto"/>
        <w:ind w:firstLine="3885" w:firstLineChars="1850"/>
        <w:rPr>
          <w:rFonts w:hint="eastAsia" w:ascii="宋体" w:hAnsi="宋体" w:cs="宋体"/>
          <w:color w:val="auto"/>
          <w:kern w:val="0"/>
          <w:szCs w:val="21"/>
          <w:highlight w:val="none"/>
        </w:rPr>
      </w:pPr>
    </w:p>
    <w:p w14:paraId="140F1B32">
      <w:pPr>
        <w:wordWrap w:val="0"/>
        <w:autoSpaceDE w:val="0"/>
        <w:autoSpaceDN w:val="0"/>
        <w:spacing w:line="360" w:lineRule="auto"/>
        <w:ind w:firstLine="3885" w:firstLineChars="1850"/>
        <w:rPr>
          <w:rFonts w:hint="eastAsia" w:ascii="宋体" w:hAnsi="宋体" w:cs="宋体"/>
          <w:color w:val="auto"/>
          <w:kern w:val="0"/>
          <w:szCs w:val="21"/>
          <w:highlight w:val="none"/>
        </w:rPr>
      </w:pPr>
      <w:r>
        <w:rPr>
          <w:rFonts w:hint="eastAsia" w:ascii="宋体" w:hAnsi="宋体" w:cs="宋体"/>
          <w:color w:val="auto"/>
          <w:kern w:val="0"/>
          <w:szCs w:val="21"/>
          <w:highlight w:val="none"/>
        </w:rPr>
        <w:t>投标人名称（</w:t>
      </w:r>
      <w:r>
        <w:rPr>
          <w:rFonts w:hint="eastAsia" w:ascii="宋体" w:hAnsi="宋体" w:cs="宋体"/>
          <w:color w:val="auto"/>
          <w:kern w:val="0"/>
          <w:szCs w:val="21"/>
          <w:highlight w:val="none"/>
          <w:lang w:val="zh-CN"/>
        </w:rPr>
        <w:t>电子签章</w:t>
      </w:r>
      <w:r>
        <w:rPr>
          <w:rFonts w:hint="eastAsia" w:ascii="宋体" w:hAnsi="宋体" w:cs="宋体"/>
          <w:color w:val="auto"/>
          <w:kern w:val="0"/>
          <w:szCs w:val="21"/>
          <w:highlight w:val="none"/>
        </w:rPr>
        <w:t>）：</w:t>
      </w:r>
    </w:p>
    <w:p w14:paraId="3E6B1058">
      <w:pPr>
        <w:wordWrap w:val="0"/>
        <w:autoSpaceDE w:val="0"/>
        <w:autoSpaceDN w:val="0"/>
        <w:spacing w:line="360" w:lineRule="auto"/>
        <w:rPr>
          <w:rFonts w:hint="eastAsia" w:ascii="宋体" w:hAnsi="宋体" w:cs="宋体"/>
          <w:b/>
          <w:bCs/>
          <w:color w:val="auto"/>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日期：  年  月   日</w:t>
      </w:r>
    </w:p>
    <w:p w14:paraId="41E6C330">
      <w:pPr>
        <w:wordWrap w:val="0"/>
        <w:snapToGrid w:val="0"/>
        <w:spacing w:line="360" w:lineRule="auto"/>
        <w:ind w:right="480" w:firstLine="643"/>
        <w:jc w:val="center"/>
        <w:rPr>
          <w:rFonts w:hint="eastAsia" w:ascii="宋体" w:hAnsi="宋体" w:cs="宋体"/>
          <w:b/>
          <w:color w:val="auto"/>
          <w:kern w:val="0"/>
          <w:sz w:val="32"/>
          <w:szCs w:val="32"/>
          <w:highlight w:val="none"/>
        </w:rPr>
      </w:pPr>
    </w:p>
    <w:p w14:paraId="031B6A4C">
      <w:pPr>
        <w:ind w:firstLine="643"/>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32F7C966">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八、培训计划</w:t>
      </w:r>
    </w:p>
    <w:p w14:paraId="2F925043">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（由投标人根据采购需求自行编制）</w:t>
      </w:r>
    </w:p>
    <w:p w14:paraId="75938F8A">
      <w:pPr>
        <w:keepNext/>
        <w:wordWrap w:val="0"/>
        <w:autoSpaceDE w:val="0"/>
        <w:autoSpaceDN w:val="0"/>
        <w:spacing w:line="360" w:lineRule="auto"/>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附表: 培训日程及费用</w:t>
      </w:r>
    </w:p>
    <w:tbl>
      <w:tblPr>
        <w:tblStyle w:val="2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EF8379E">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211B2F7A">
            <w:pPr>
              <w:tabs>
                <w:tab w:val="center" w:pos="1690"/>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6A01F9E">
            <w:pPr>
              <w:tabs>
                <w:tab w:val="center" w:pos="595"/>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43985C7F">
            <w:pPr>
              <w:tabs>
                <w:tab w:val="center" w:pos="595"/>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6CB85B55">
            <w:pPr>
              <w:tabs>
                <w:tab w:val="center" w:pos="1028"/>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69A21599">
            <w:pPr>
              <w:tabs>
                <w:tab w:val="center" w:pos="595"/>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287E468F">
            <w:pPr>
              <w:tabs>
                <w:tab w:val="center" w:pos="520"/>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2FDDE08C">
            <w:pPr>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课程费用</w:t>
            </w:r>
          </w:p>
        </w:tc>
      </w:tr>
      <w:tr w14:paraId="52B977A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6C869870">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cs="宋体"/>
                <w:color w:val="auto"/>
                <w:szCs w:val="21"/>
                <w:highlight w:val="none"/>
              </w:rPr>
            </w:pPr>
          </w:p>
        </w:tc>
        <w:tc>
          <w:tcPr>
            <w:tcW w:w="1254" w:type="dxa"/>
            <w:tcBorders>
              <w:top w:val="single" w:color="auto" w:sz="6" w:space="0"/>
              <w:left w:val="single" w:color="auto" w:sz="6" w:space="0"/>
              <w:bottom w:val="nil"/>
              <w:right w:val="single" w:color="auto" w:sz="6" w:space="0"/>
            </w:tcBorders>
          </w:tcPr>
          <w:p w14:paraId="65AB5752">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30" w:type="dxa"/>
            <w:tcBorders>
              <w:top w:val="single" w:color="auto" w:sz="6" w:space="0"/>
              <w:left w:val="single" w:color="auto" w:sz="6" w:space="0"/>
              <w:bottom w:val="nil"/>
              <w:right w:val="nil"/>
            </w:tcBorders>
          </w:tcPr>
          <w:p w14:paraId="5DCEFEF6">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53" w:type="dxa"/>
            <w:tcBorders>
              <w:top w:val="single" w:color="auto" w:sz="6" w:space="0"/>
              <w:left w:val="single" w:color="auto" w:sz="6" w:space="0"/>
              <w:bottom w:val="nil"/>
              <w:right w:val="nil"/>
            </w:tcBorders>
          </w:tcPr>
          <w:p w14:paraId="32BE159C">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cs="宋体"/>
                <w:color w:val="auto"/>
                <w:szCs w:val="21"/>
                <w:highlight w:val="none"/>
              </w:rPr>
            </w:pPr>
          </w:p>
        </w:tc>
        <w:tc>
          <w:tcPr>
            <w:tcW w:w="997" w:type="dxa"/>
            <w:tcBorders>
              <w:top w:val="single" w:color="auto" w:sz="6" w:space="0"/>
              <w:left w:val="single" w:color="auto" w:sz="6" w:space="0"/>
              <w:bottom w:val="nil"/>
              <w:right w:val="nil"/>
            </w:tcBorders>
          </w:tcPr>
          <w:p w14:paraId="6D023002">
            <w:pPr>
              <w:tabs>
                <w:tab w:val="left" w:pos="440"/>
                <w:tab w:val="left" w:pos="1154"/>
                <w:tab w:val="left" w:pos="1936"/>
                <w:tab w:val="left" w:pos="2368"/>
              </w:tabs>
              <w:suppressAutoHyphens/>
              <w:wordWrap w:val="0"/>
              <w:autoSpaceDE w:val="0"/>
              <w:autoSpaceDN w:val="0"/>
              <w:spacing w:line="360" w:lineRule="auto"/>
              <w:rPr>
                <w:rFonts w:hint="eastAsia" w:ascii="宋体" w:hAnsi="宋体" w:cs="宋体"/>
                <w:color w:val="auto"/>
                <w:szCs w:val="21"/>
                <w:highlight w:val="none"/>
              </w:rPr>
            </w:pPr>
          </w:p>
        </w:tc>
        <w:tc>
          <w:tcPr>
            <w:tcW w:w="1440" w:type="dxa"/>
            <w:tcBorders>
              <w:top w:val="single" w:color="auto" w:sz="6" w:space="0"/>
              <w:left w:val="single" w:color="auto" w:sz="6" w:space="0"/>
              <w:bottom w:val="nil"/>
              <w:right w:val="nil"/>
            </w:tcBorders>
          </w:tcPr>
          <w:p w14:paraId="3E4DF543">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cs="宋体"/>
                <w:color w:val="auto"/>
                <w:szCs w:val="21"/>
                <w:highlight w:val="none"/>
              </w:rPr>
            </w:pPr>
          </w:p>
        </w:tc>
        <w:tc>
          <w:tcPr>
            <w:tcW w:w="1620" w:type="dxa"/>
            <w:tcBorders>
              <w:top w:val="single" w:color="auto" w:sz="6" w:space="0"/>
              <w:left w:val="single" w:color="auto" w:sz="6" w:space="0"/>
              <w:bottom w:val="nil"/>
              <w:right w:val="single" w:color="auto" w:sz="6" w:space="0"/>
            </w:tcBorders>
          </w:tcPr>
          <w:p w14:paraId="63F69666">
            <w:pPr>
              <w:suppressAutoHyphens/>
              <w:wordWrap w:val="0"/>
              <w:autoSpaceDE w:val="0"/>
              <w:autoSpaceDN w:val="0"/>
              <w:spacing w:line="360" w:lineRule="auto"/>
              <w:rPr>
                <w:rFonts w:hint="eastAsia" w:ascii="宋体" w:hAnsi="宋体" w:cs="宋体"/>
                <w:color w:val="auto"/>
                <w:szCs w:val="21"/>
                <w:highlight w:val="none"/>
              </w:rPr>
            </w:pPr>
          </w:p>
        </w:tc>
      </w:tr>
      <w:tr w14:paraId="1640C272">
        <w:tblPrEx>
          <w:tblCellMar>
            <w:top w:w="0" w:type="dxa"/>
            <w:left w:w="120" w:type="dxa"/>
            <w:bottom w:w="0" w:type="dxa"/>
            <w:right w:w="120" w:type="dxa"/>
          </w:tblCellMar>
        </w:tblPrEx>
        <w:trPr>
          <w:trHeight w:val="273" w:hRule="atLeast"/>
        </w:trPr>
        <w:tc>
          <w:tcPr>
            <w:tcW w:w="1806" w:type="dxa"/>
            <w:tcBorders>
              <w:top w:val="single" w:color="auto" w:sz="6" w:space="0"/>
              <w:left w:val="single" w:color="auto" w:sz="6" w:space="0"/>
              <w:bottom w:val="nil"/>
              <w:right w:val="nil"/>
            </w:tcBorders>
          </w:tcPr>
          <w:p w14:paraId="1BD23B50">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rPr>
                <w:rFonts w:hint="eastAsia" w:ascii="宋体" w:hAnsi="宋体" w:cs="宋体"/>
                <w:color w:val="auto"/>
                <w:szCs w:val="21"/>
                <w:highlight w:val="none"/>
              </w:rPr>
            </w:pPr>
          </w:p>
        </w:tc>
        <w:tc>
          <w:tcPr>
            <w:tcW w:w="1254" w:type="dxa"/>
            <w:tcBorders>
              <w:top w:val="single" w:color="auto" w:sz="6" w:space="0"/>
              <w:left w:val="single" w:color="auto" w:sz="6" w:space="0"/>
              <w:bottom w:val="nil"/>
              <w:right w:val="single" w:color="auto" w:sz="6" w:space="0"/>
            </w:tcBorders>
          </w:tcPr>
          <w:p w14:paraId="6210AB43">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30" w:type="dxa"/>
            <w:tcBorders>
              <w:top w:val="single" w:color="auto" w:sz="6" w:space="0"/>
              <w:left w:val="single" w:color="auto" w:sz="6" w:space="0"/>
              <w:bottom w:val="nil"/>
              <w:right w:val="nil"/>
            </w:tcBorders>
          </w:tcPr>
          <w:p w14:paraId="25A6FAFD">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53" w:type="dxa"/>
            <w:tcBorders>
              <w:top w:val="single" w:color="auto" w:sz="6" w:space="0"/>
              <w:left w:val="single" w:color="auto" w:sz="6" w:space="0"/>
              <w:bottom w:val="nil"/>
              <w:right w:val="nil"/>
            </w:tcBorders>
          </w:tcPr>
          <w:p w14:paraId="6F88A36E">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cs="宋体"/>
                <w:color w:val="auto"/>
                <w:szCs w:val="21"/>
                <w:highlight w:val="none"/>
              </w:rPr>
            </w:pPr>
          </w:p>
        </w:tc>
        <w:tc>
          <w:tcPr>
            <w:tcW w:w="997" w:type="dxa"/>
            <w:tcBorders>
              <w:top w:val="single" w:color="auto" w:sz="6" w:space="0"/>
              <w:left w:val="single" w:color="auto" w:sz="6" w:space="0"/>
              <w:bottom w:val="nil"/>
              <w:right w:val="nil"/>
            </w:tcBorders>
          </w:tcPr>
          <w:p w14:paraId="0931299B">
            <w:pPr>
              <w:tabs>
                <w:tab w:val="left" w:pos="440"/>
                <w:tab w:val="left" w:pos="1154"/>
                <w:tab w:val="left" w:pos="1936"/>
                <w:tab w:val="left" w:pos="2368"/>
              </w:tabs>
              <w:suppressAutoHyphens/>
              <w:wordWrap w:val="0"/>
              <w:autoSpaceDE w:val="0"/>
              <w:autoSpaceDN w:val="0"/>
              <w:spacing w:line="360" w:lineRule="auto"/>
              <w:rPr>
                <w:rFonts w:hint="eastAsia" w:ascii="宋体" w:hAnsi="宋体" w:cs="宋体"/>
                <w:color w:val="auto"/>
                <w:szCs w:val="21"/>
                <w:highlight w:val="none"/>
              </w:rPr>
            </w:pPr>
          </w:p>
        </w:tc>
        <w:tc>
          <w:tcPr>
            <w:tcW w:w="1440" w:type="dxa"/>
            <w:tcBorders>
              <w:top w:val="single" w:color="auto" w:sz="6" w:space="0"/>
              <w:left w:val="single" w:color="auto" w:sz="6" w:space="0"/>
              <w:bottom w:val="nil"/>
              <w:right w:val="nil"/>
            </w:tcBorders>
          </w:tcPr>
          <w:p w14:paraId="053D1BC9">
            <w:pPr>
              <w:tabs>
                <w:tab w:val="left" w:pos="7"/>
              </w:tabs>
              <w:suppressAutoHyphens/>
              <w:wordWrap w:val="0"/>
              <w:autoSpaceDE w:val="0"/>
              <w:autoSpaceDN w:val="0"/>
              <w:spacing w:line="360" w:lineRule="auto"/>
              <w:rPr>
                <w:rFonts w:hint="eastAsia" w:ascii="宋体" w:hAnsi="宋体" w:cs="宋体"/>
                <w:color w:val="auto"/>
                <w:szCs w:val="21"/>
                <w:highlight w:val="none"/>
              </w:rPr>
            </w:pPr>
          </w:p>
        </w:tc>
        <w:tc>
          <w:tcPr>
            <w:tcW w:w="1620" w:type="dxa"/>
            <w:tcBorders>
              <w:top w:val="single" w:color="auto" w:sz="6" w:space="0"/>
              <w:left w:val="single" w:color="auto" w:sz="6" w:space="0"/>
              <w:bottom w:val="nil"/>
              <w:right w:val="single" w:color="auto" w:sz="6" w:space="0"/>
            </w:tcBorders>
          </w:tcPr>
          <w:p w14:paraId="6C7A243A">
            <w:pPr>
              <w:suppressAutoHyphens/>
              <w:wordWrap w:val="0"/>
              <w:autoSpaceDE w:val="0"/>
              <w:autoSpaceDN w:val="0"/>
              <w:spacing w:line="360" w:lineRule="auto"/>
              <w:rPr>
                <w:rFonts w:hint="eastAsia" w:ascii="宋体" w:hAnsi="宋体" w:cs="宋体"/>
                <w:color w:val="auto"/>
                <w:szCs w:val="21"/>
                <w:highlight w:val="none"/>
              </w:rPr>
            </w:pPr>
          </w:p>
        </w:tc>
      </w:tr>
      <w:tr w14:paraId="0B48E2AB">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41AF7E1F">
            <w:pPr>
              <w:tabs>
                <w:tab w:val="left" w:pos="589"/>
                <w:tab w:val="left" w:pos="1303"/>
                <w:tab w:val="left" w:pos="2017"/>
                <w:tab w:val="left" w:pos="2731"/>
                <w:tab w:val="left" w:pos="3445"/>
                <w:tab w:val="left" w:pos="4159"/>
                <w:tab w:val="left" w:pos="4873"/>
              </w:tabs>
              <w:suppressAutoHyphens/>
              <w:wordWrap w:val="0"/>
              <w:autoSpaceDE w:val="0"/>
              <w:autoSpaceDN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1A849AC9">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30" w:type="dxa"/>
            <w:tcBorders>
              <w:top w:val="single" w:color="auto" w:sz="6" w:space="0"/>
              <w:left w:val="single" w:color="auto" w:sz="6" w:space="0"/>
              <w:bottom w:val="single" w:color="auto" w:sz="6" w:space="0"/>
              <w:right w:val="single" w:color="auto" w:sz="6" w:space="0"/>
            </w:tcBorders>
          </w:tcPr>
          <w:p w14:paraId="4CFD2BCE">
            <w:pPr>
              <w:tabs>
                <w:tab w:val="left" w:pos="556"/>
                <w:tab w:val="left" w:pos="1270"/>
                <w:tab w:val="left" w:pos="1984"/>
                <w:tab w:val="left" w:pos="2698"/>
                <w:tab w:val="left" w:pos="3412"/>
                <w:tab w:val="left" w:pos="4126"/>
                <w:tab w:val="left" w:pos="4840"/>
                <w:tab w:val="left" w:pos="5622"/>
                <w:tab w:val="left" w:pos="6054"/>
              </w:tabs>
              <w:suppressAutoHyphens/>
              <w:wordWrap w:val="0"/>
              <w:autoSpaceDE w:val="0"/>
              <w:autoSpaceDN w:val="0"/>
              <w:spacing w:line="360" w:lineRule="auto"/>
              <w:rPr>
                <w:rFonts w:hint="eastAsia" w:ascii="宋体" w:hAnsi="宋体" w:cs="宋体"/>
                <w:color w:val="auto"/>
                <w:szCs w:val="21"/>
                <w:highlight w:val="none"/>
              </w:rPr>
            </w:pPr>
          </w:p>
        </w:tc>
        <w:tc>
          <w:tcPr>
            <w:tcW w:w="953" w:type="dxa"/>
            <w:tcBorders>
              <w:top w:val="single" w:color="auto" w:sz="6" w:space="0"/>
              <w:left w:val="single" w:color="auto" w:sz="6" w:space="0"/>
              <w:bottom w:val="single" w:color="auto" w:sz="6" w:space="0"/>
              <w:right w:val="single" w:color="auto" w:sz="6" w:space="0"/>
            </w:tcBorders>
          </w:tcPr>
          <w:p w14:paraId="73CF5429">
            <w:pPr>
              <w:tabs>
                <w:tab w:val="left" w:pos="573"/>
                <w:tab w:val="left" w:pos="1287"/>
                <w:tab w:val="left" w:pos="2001"/>
                <w:tab w:val="left" w:pos="2715"/>
                <w:tab w:val="left" w:pos="3429"/>
                <w:tab w:val="left" w:pos="4211"/>
                <w:tab w:val="left" w:pos="4643"/>
              </w:tabs>
              <w:suppressAutoHyphens/>
              <w:wordWrap w:val="0"/>
              <w:autoSpaceDE w:val="0"/>
              <w:autoSpaceDN w:val="0"/>
              <w:spacing w:line="360" w:lineRule="auto"/>
              <w:rPr>
                <w:rFonts w:hint="eastAsia" w:ascii="宋体" w:hAnsi="宋体" w:cs="宋体"/>
                <w:color w:val="auto"/>
                <w:szCs w:val="21"/>
                <w:highlight w:val="none"/>
              </w:rPr>
            </w:pPr>
          </w:p>
        </w:tc>
        <w:tc>
          <w:tcPr>
            <w:tcW w:w="997" w:type="dxa"/>
            <w:tcBorders>
              <w:top w:val="single" w:color="auto" w:sz="6" w:space="0"/>
              <w:left w:val="single" w:color="auto" w:sz="6" w:space="0"/>
              <w:bottom w:val="single" w:color="auto" w:sz="6" w:space="0"/>
              <w:right w:val="single" w:color="auto" w:sz="6" w:space="0"/>
            </w:tcBorders>
          </w:tcPr>
          <w:p w14:paraId="73329CC7">
            <w:pPr>
              <w:tabs>
                <w:tab w:val="left" w:pos="440"/>
                <w:tab w:val="left" w:pos="1154"/>
                <w:tab w:val="left" w:pos="1936"/>
                <w:tab w:val="left" w:pos="2368"/>
              </w:tabs>
              <w:suppressAutoHyphens/>
              <w:wordWrap w:val="0"/>
              <w:autoSpaceDE w:val="0"/>
              <w:autoSpaceDN w:val="0"/>
              <w:spacing w:line="360" w:lineRule="auto"/>
              <w:rPr>
                <w:rFonts w:hint="eastAsia" w:ascii="宋体" w:hAnsi="宋体" w:cs="宋体"/>
                <w:color w:val="auto"/>
                <w:szCs w:val="21"/>
                <w:highlight w:val="none"/>
              </w:rPr>
            </w:pPr>
          </w:p>
        </w:tc>
        <w:tc>
          <w:tcPr>
            <w:tcW w:w="1440" w:type="dxa"/>
            <w:tcBorders>
              <w:top w:val="single" w:color="auto" w:sz="6" w:space="0"/>
              <w:left w:val="single" w:color="auto" w:sz="6" w:space="0"/>
              <w:bottom w:val="single" w:color="auto" w:sz="6" w:space="0"/>
              <w:right w:val="single" w:color="auto" w:sz="6" w:space="0"/>
            </w:tcBorders>
          </w:tcPr>
          <w:p w14:paraId="66450D4F">
            <w:pPr>
              <w:tabs>
                <w:tab w:val="left" w:pos="7"/>
              </w:tabs>
              <w:suppressAutoHyphens/>
              <w:wordWrap w:val="0"/>
              <w:autoSpaceDE w:val="0"/>
              <w:autoSpaceDN w:val="0"/>
              <w:spacing w:line="360" w:lineRule="auto"/>
              <w:rPr>
                <w:rFonts w:hint="eastAsia" w:ascii="宋体" w:hAnsi="宋体" w:cs="宋体"/>
                <w:color w:val="auto"/>
                <w:szCs w:val="21"/>
                <w:highlight w:val="none"/>
              </w:rPr>
            </w:pPr>
          </w:p>
        </w:tc>
        <w:tc>
          <w:tcPr>
            <w:tcW w:w="1620" w:type="dxa"/>
            <w:tcBorders>
              <w:top w:val="single" w:color="auto" w:sz="6" w:space="0"/>
              <w:left w:val="single" w:color="auto" w:sz="6" w:space="0"/>
              <w:bottom w:val="single" w:color="auto" w:sz="6" w:space="0"/>
              <w:right w:val="single" w:color="auto" w:sz="6" w:space="0"/>
            </w:tcBorders>
          </w:tcPr>
          <w:p w14:paraId="546FDAB2">
            <w:pPr>
              <w:suppressAutoHyphens/>
              <w:wordWrap w:val="0"/>
              <w:autoSpaceDE w:val="0"/>
              <w:autoSpaceDN w:val="0"/>
              <w:spacing w:line="360" w:lineRule="auto"/>
              <w:rPr>
                <w:rFonts w:hint="eastAsia" w:ascii="宋体" w:hAnsi="宋体" w:cs="宋体"/>
                <w:color w:val="auto"/>
                <w:szCs w:val="21"/>
                <w:highlight w:val="none"/>
              </w:rPr>
            </w:pPr>
          </w:p>
        </w:tc>
      </w:tr>
    </w:tbl>
    <w:p w14:paraId="1A589CB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注解:A</w:t>
      </w:r>
      <w:r>
        <w:rPr>
          <w:rFonts w:hint="eastAsia" w:ascii="宋体" w:hAnsi="宋体" w:cs="宋体"/>
          <w:color w:val="auto"/>
          <w:szCs w:val="21"/>
          <w:highlight w:val="none"/>
        </w:rPr>
        <w:tab/>
      </w:r>
      <w:r>
        <w:rPr>
          <w:rFonts w:hint="eastAsia" w:ascii="宋体" w:hAnsi="宋体" w:cs="宋体"/>
          <w:color w:val="auto"/>
          <w:szCs w:val="21"/>
          <w:highlight w:val="none"/>
        </w:rPr>
        <w:t>课程清单按时间顺序排列，并提供以下详细资料：</w:t>
      </w:r>
    </w:p>
    <w:p w14:paraId="4DC3C368">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firstLine="420"/>
        <w:rPr>
          <w:rFonts w:hint="eastAsia" w:ascii="宋体" w:hAnsi="宋体" w:cs="宋体"/>
          <w:color w:val="auto"/>
          <w:szCs w:val="21"/>
          <w:highlight w:val="none"/>
        </w:rPr>
      </w:pPr>
      <w:r>
        <w:rPr>
          <w:rFonts w:hint="eastAsia" w:ascii="宋体" w:hAnsi="宋体" w:cs="宋体"/>
          <w:color w:val="auto"/>
          <w:szCs w:val="21"/>
          <w:highlight w:val="none"/>
        </w:rPr>
        <w:t>（1）课程概要</w:t>
      </w:r>
    </w:p>
    <w:p w14:paraId="0197851E">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firstLine="420"/>
        <w:rPr>
          <w:rFonts w:hint="eastAsia" w:ascii="宋体" w:hAnsi="宋体" w:cs="宋体"/>
          <w:color w:val="auto"/>
          <w:szCs w:val="21"/>
          <w:highlight w:val="none"/>
        </w:rPr>
      </w:pPr>
      <w:r>
        <w:rPr>
          <w:rFonts w:hint="eastAsia" w:ascii="宋体" w:hAnsi="宋体" w:cs="宋体"/>
          <w:color w:val="auto"/>
          <w:szCs w:val="21"/>
          <w:highlight w:val="none"/>
        </w:rPr>
        <w:t>（2）课程目的</w:t>
      </w:r>
    </w:p>
    <w:p w14:paraId="21FC0D17">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firstLine="420"/>
        <w:rPr>
          <w:rFonts w:hint="eastAsia" w:ascii="宋体" w:hAnsi="宋体" w:cs="宋体"/>
          <w:color w:val="auto"/>
          <w:szCs w:val="21"/>
          <w:highlight w:val="none"/>
        </w:rPr>
      </w:pPr>
      <w:r>
        <w:rPr>
          <w:rFonts w:hint="eastAsia" w:ascii="宋体" w:hAnsi="宋体" w:cs="宋体"/>
          <w:color w:val="auto"/>
          <w:szCs w:val="21"/>
          <w:highlight w:val="none"/>
        </w:rPr>
        <w:t>（3）教学方式</w:t>
      </w:r>
    </w:p>
    <w:p w14:paraId="5288E552">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firstLine="420"/>
        <w:rPr>
          <w:rFonts w:hint="eastAsia" w:ascii="宋体" w:hAnsi="宋体" w:cs="宋体"/>
          <w:color w:val="auto"/>
          <w:szCs w:val="21"/>
          <w:highlight w:val="none"/>
        </w:rPr>
      </w:pPr>
      <w:r>
        <w:rPr>
          <w:rFonts w:hint="eastAsia" w:ascii="宋体" w:hAnsi="宋体" w:cs="宋体"/>
          <w:color w:val="auto"/>
          <w:szCs w:val="21"/>
          <w:highlight w:val="none"/>
        </w:rPr>
        <w:t>（4）先决条件</w:t>
      </w:r>
    </w:p>
    <w:p w14:paraId="43352B4A">
      <w:p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wordWrap w:val="0"/>
        <w:autoSpaceDE w:val="0"/>
        <w:autoSpaceDN w:val="0"/>
        <w:adjustRightInd w:val="0"/>
        <w:spacing w:line="360" w:lineRule="auto"/>
        <w:ind w:left="1069" w:firstLine="420"/>
        <w:rPr>
          <w:rFonts w:hint="eastAsia" w:ascii="宋体" w:hAnsi="宋体" w:cs="宋体"/>
          <w:color w:val="auto"/>
          <w:szCs w:val="21"/>
          <w:highlight w:val="none"/>
        </w:rPr>
      </w:pPr>
      <w:r>
        <w:rPr>
          <w:rFonts w:hint="eastAsia" w:ascii="宋体" w:hAnsi="宋体" w:cs="宋体"/>
          <w:color w:val="auto"/>
          <w:szCs w:val="21"/>
          <w:highlight w:val="none"/>
        </w:rPr>
        <w:t>（5）教材目录</w:t>
      </w:r>
    </w:p>
    <w:p w14:paraId="7D8EED51">
      <w:pPr>
        <w:wordWrap w:val="0"/>
        <w:autoSpaceDE w:val="0"/>
        <w:autoSpaceDN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B  按照附表A提供授课教师的简历</w:t>
      </w:r>
    </w:p>
    <w:p w14:paraId="05FBB036">
      <w:pPr>
        <w:wordWrap w:val="0"/>
        <w:autoSpaceDE w:val="0"/>
        <w:autoSpaceDN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注：须随表提交相应的证书复印件并注明所在投标技术文件页码。</w:t>
      </w:r>
    </w:p>
    <w:p w14:paraId="7F57F117">
      <w:pPr>
        <w:wordWrap w:val="0"/>
        <w:autoSpaceDE w:val="0"/>
        <w:autoSpaceDN w:val="0"/>
        <w:spacing w:line="360" w:lineRule="auto"/>
        <w:ind w:firstLine="4200" w:firstLineChars="2000"/>
        <w:rPr>
          <w:rFonts w:hint="eastAsia" w:ascii="宋体" w:hAnsi="宋体" w:cs="宋体"/>
          <w:color w:val="auto"/>
          <w:szCs w:val="21"/>
          <w:highlight w:val="none"/>
        </w:rPr>
      </w:pPr>
      <w:r>
        <w:rPr>
          <w:rFonts w:hint="eastAsia" w:ascii="宋体" w:hAnsi="宋体" w:cs="宋体"/>
          <w:color w:val="auto"/>
          <w:kern w:val="0"/>
          <w:szCs w:val="21"/>
          <w:highlight w:val="none"/>
        </w:rPr>
        <w:t>投标人名称（</w:t>
      </w:r>
      <w:r>
        <w:rPr>
          <w:rFonts w:hint="eastAsia" w:ascii="宋体" w:hAnsi="宋体" w:cs="宋体"/>
          <w:color w:val="auto"/>
          <w:kern w:val="0"/>
          <w:szCs w:val="21"/>
          <w:highlight w:val="none"/>
          <w:lang w:val="zh-CN"/>
        </w:rPr>
        <w:t>电子签章</w:t>
      </w:r>
      <w:r>
        <w:rPr>
          <w:rFonts w:hint="eastAsia" w:ascii="宋体" w:hAnsi="宋体" w:cs="宋体"/>
          <w:color w:val="auto"/>
          <w:kern w:val="0"/>
          <w:szCs w:val="21"/>
          <w:highlight w:val="none"/>
        </w:rPr>
        <w:t xml:space="preserve">）：                       </w:t>
      </w:r>
    </w:p>
    <w:p w14:paraId="6D63D927">
      <w:pPr>
        <w:wordWrap w:val="0"/>
        <w:autoSpaceDE w:val="0"/>
        <w:autoSpaceDN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日期：  年  月   日</w:t>
      </w:r>
    </w:p>
    <w:p w14:paraId="6249BC5A">
      <w:pPr>
        <w:wordWrap w:val="0"/>
        <w:autoSpaceDE w:val="0"/>
        <w:autoSpaceDN w:val="0"/>
        <w:spacing w:line="360" w:lineRule="auto"/>
        <w:ind w:firstLine="480"/>
        <w:rPr>
          <w:rFonts w:hint="eastAsia" w:ascii="宋体" w:hAnsi="宋体" w:cs="宋体"/>
          <w:color w:val="auto"/>
          <w:sz w:val="24"/>
          <w:highlight w:val="none"/>
        </w:rPr>
      </w:pPr>
    </w:p>
    <w:p w14:paraId="363BC117">
      <w:pPr>
        <w:ind w:firstLine="643"/>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05269A84">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九、认为需要的其他技术文件或说明</w:t>
      </w:r>
    </w:p>
    <w:p w14:paraId="08A6584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（由投标人根据采购需求自行编制）</w:t>
      </w:r>
    </w:p>
    <w:p w14:paraId="3F33F282">
      <w:pPr>
        <w:wordWrap w:val="0"/>
        <w:spacing w:line="360" w:lineRule="auto"/>
        <w:jc w:val="center"/>
        <w:rPr>
          <w:rFonts w:hint="eastAsia" w:ascii="宋体" w:hAnsi="宋体" w:cs="宋体"/>
          <w:color w:val="auto"/>
          <w:szCs w:val="21"/>
          <w:highlight w:val="none"/>
        </w:rPr>
      </w:pPr>
    </w:p>
    <w:p w14:paraId="0B027740">
      <w:pPr>
        <w:wordWrap w:val="0"/>
        <w:autoSpaceDE w:val="0"/>
        <w:autoSpaceDN w:val="0"/>
        <w:spacing w:line="360" w:lineRule="auto"/>
        <w:ind w:firstLine="4200" w:firstLineChars="2000"/>
        <w:rPr>
          <w:rFonts w:hint="eastAsia" w:ascii="宋体" w:hAnsi="宋体" w:cs="宋体"/>
          <w:color w:val="auto"/>
          <w:szCs w:val="21"/>
          <w:highlight w:val="none"/>
        </w:rPr>
      </w:pPr>
      <w:r>
        <w:rPr>
          <w:rFonts w:hint="eastAsia" w:ascii="宋体" w:hAnsi="宋体" w:cs="宋体"/>
          <w:color w:val="auto"/>
          <w:kern w:val="0"/>
          <w:szCs w:val="21"/>
          <w:highlight w:val="none"/>
        </w:rPr>
        <w:t>投标人名称（电子</w:t>
      </w:r>
      <w:r>
        <w:rPr>
          <w:rFonts w:hint="eastAsia" w:ascii="宋体" w:hAnsi="宋体" w:cs="宋体"/>
          <w:color w:val="auto"/>
          <w:kern w:val="0"/>
          <w:szCs w:val="21"/>
          <w:highlight w:val="none"/>
          <w:lang w:val="zh-CN"/>
        </w:rPr>
        <w:t>签章</w:t>
      </w:r>
      <w:r>
        <w:rPr>
          <w:rFonts w:hint="eastAsia" w:ascii="宋体" w:hAnsi="宋体" w:cs="宋体"/>
          <w:color w:val="auto"/>
          <w:kern w:val="0"/>
          <w:szCs w:val="21"/>
          <w:highlight w:val="none"/>
        </w:rPr>
        <w:t xml:space="preserve">）：                       </w:t>
      </w:r>
    </w:p>
    <w:p w14:paraId="78574ACD">
      <w:pPr>
        <w:wordWrap w:val="0"/>
        <w:autoSpaceDE w:val="0"/>
        <w:autoSpaceDN w:val="0"/>
        <w:spacing w:line="360" w:lineRule="auto"/>
        <w:rPr>
          <w:rFonts w:hint="eastAsia" w:ascii="宋体" w:hAnsi="宋体" w:cs="宋体"/>
          <w:b/>
          <w:bCs/>
          <w:color w:val="auto"/>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日期：  年  月   日</w:t>
      </w:r>
    </w:p>
    <w:p w14:paraId="07728820">
      <w:pPr>
        <w:widowControl/>
        <w:wordWrap w:val="0"/>
        <w:spacing w:line="360" w:lineRule="auto"/>
        <w:ind w:firstLine="482"/>
        <w:jc w:val="left"/>
        <w:rPr>
          <w:rFonts w:hint="eastAsia" w:ascii="宋体" w:hAnsi="宋体" w:cs="宋体"/>
          <w:b/>
          <w:bCs/>
          <w:color w:val="auto"/>
          <w:sz w:val="24"/>
          <w:highlight w:val="none"/>
        </w:rPr>
        <w:sectPr>
          <w:pgSz w:w="11906" w:h="16838"/>
          <w:pgMar w:top="1440" w:right="1080" w:bottom="1440" w:left="1080" w:header="720" w:footer="720" w:gutter="0"/>
          <w:cols w:space="720" w:num="1"/>
          <w:docGrid w:type="lines" w:linePitch="331" w:charSpace="0"/>
        </w:sectPr>
      </w:pPr>
    </w:p>
    <w:p w14:paraId="474AA188">
      <w:pPr>
        <w:pStyle w:val="12"/>
        <w:wordWrap w:val="0"/>
        <w:spacing w:line="360" w:lineRule="auto"/>
        <w:ind w:firstLine="562"/>
        <w:jc w:val="center"/>
        <w:outlineLvl w:val="1"/>
        <w:rPr>
          <w:rFonts w:hint="eastAsia" w:hAnsi="宋体" w:cs="宋体"/>
          <w:b/>
          <w:bCs/>
          <w:color w:val="auto"/>
          <w:sz w:val="28"/>
          <w:szCs w:val="28"/>
          <w:highlight w:val="none"/>
        </w:rPr>
      </w:pPr>
      <w:bookmarkStart w:id="293" w:name="_Toc24450"/>
      <w:r>
        <w:rPr>
          <w:rFonts w:hint="eastAsia" w:hAnsi="宋体" w:cs="宋体"/>
          <w:b/>
          <w:bCs/>
          <w:color w:val="auto"/>
          <w:sz w:val="28"/>
          <w:szCs w:val="28"/>
          <w:highlight w:val="none"/>
        </w:rPr>
        <w:t>第五节 报价文件格式</w:t>
      </w:r>
      <w:bookmarkEnd w:id="293"/>
    </w:p>
    <w:p w14:paraId="4B8EA903">
      <w:pPr>
        <w:wordWrap w:val="0"/>
        <w:snapToGrid w:val="0"/>
        <w:spacing w:line="360" w:lineRule="auto"/>
        <w:ind w:firstLine="48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电子投标文件</w:t>
      </w:r>
    </w:p>
    <w:p w14:paraId="6C0CD327">
      <w:pPr>
        <w:wordWrap w:val="0"/>
        <w:snapToGrid w:val="0"/>
        <w:spacing w:line="360" w:lineRule="auto"/>
        <w:ind w:firstLine="480"/>
        <w:jc w:val="center"/>
        <w:rPr>
          <w:rFonts w:hint="eastAsia" w:ascii="宋体" w:hAnsi="宋体" w:cs="宋体"/>
          <w:bCs/>
          <w:color w:val="auto"/>
          <w:sz w:val="24"/>
          <w:szCs w:val="20"/>
          <w:highlight w:val="none"/>
        </w:rPr>
      </w:pPr>
    </w:p>
    <w:p w14:paraId="2E27073D">
      <w:pPr>
        <w:wordWrap w:val="0"/>
        <w:snapToGrid w:val="0"/>
        <w:spacing w:line="360" w:lineRule="auto"/>
        <w:ind w:firstLine="643"/>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报价文件（封面）</w:t>
      </w:r>
    </w:p>
    <w:p w14:paraId="6BC00DA6">
      <w:pPr>
        <w:wordWrap w:val="0"/>
        <w:snapToGrid w:val="0"/>
        <w:spacing w:line="360" w:lineRule="auto"/>
        <w:ind w:firstLine="480"/>
        <w:rPr>
          <w:rFonts w:hint="eastAsia" w:ascii="宋体" w:hAnsi="宋体" w:cs="宋体"/>
          <w:bCs/>
          <w:color w:val="auto"/>
          <w:sz w:val="24"/>
          <w:szCs w:val="20"/>
          <w:highlight w:val="none"/>
        </w:rPr>
      </w:pPr>
    </w:p>
    <w:p w14:paraId="64556F26">
      <w:pPr>
        <w:wordWrap w:val="0"/>
        <w:snapToGrid w:val="0"/>
        <w:spacing w:line="360" w:lineRule="auto"/>
        <w:ind w:firstLine="480"/>
        <w:rPr>
          <w:rFonts w:hint="eastAsia" w:ascii="宋体" w:hAnsi="宋体" w:cs="宋体"/>
          <w:bCs/>
          <w:color w:val="auto"/>
          <w:sz w:val="24"/>
          <w:szCs w:val="20"/>
          <w:highlight w:val="none"/>
        </w:rPr>
      </w:pPr>
    </w:p>
    <w:p w14:paraId="61511039">
      <w:pPr>
        <w:wordWrap w:val="0"/>
        <w:snapToGrid w:val="0"/>
        <w:spacing w:line="360" w:lineRule="auto"/>
        <w:ind w:firstLine="480"/>
        <w:rPr>
          <w:rFonts w:hint="eastAsia" w:ascii="宋体" w:hAnsi="宋体" w:cs="宋体"/>
          <w:bCs/>
          <w:color w:val="auto"/>
          <w:sz w:val="24"/>
          <w:szCs w:val="20"/>
          <w:highlight w:val="none"/>
        </w:rPr>
      </w:pPr>
    </w:p>
    <w:p w14:paraId="321BB2C5">
      <w:pPr>
        <w:wordWrap w:val="0"/>
        <w:snapToGrid w:val="0"/>
        <w:spacing w:line="360" w:lineRule="auto"/>
        <w:ind w:firstLine="480"/>
        <w:rPr>
          <w:rFonts w:hint="eastAsia" w:ascii="宋体" w:hAnsi="宋体" w:cs="宋体"/>
          <w:bCs/>
          <w:color w:val="auto"/>
          <w:sz w:val="24"/>
          <w:szCs w:val="20"/>
          <w:highlight w:val="none"/>
        </w:rPr>
      </w:pPr>
    </w:p>
    <w:p w14:paraId="7CA05E90">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0E278DBC">
      <w:pPr>
        <w:wordWrap w:val="0"/>
        <w:snapToGrid w:val="0"/>
        <w:spacing w:line="360" w:lineRule="auto"/>
        <w:ind w:firstLine="540" w:firstLineChars="225"/>
        <w:rPr>
          <w:rFonts w:hint="eastAsia" w:ascii="宋体" w:hAnsi="宋体" w:cs="宋体"/>
          <w:bCs/>
          <w:color w:val="auto"/>
          <w:sz w:val="24"/>
          <w:szCs w:val="20"/>
          <w:highlight w:val="none"/>
        </w:rPr>
      </w:pPr>
    </w:p>
    <w:p w14:paraId="643DE607">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 xml:space="preserve">项目编号： </w:t>
      </w:r>
      <w:r>
        <w:rPr>
          <w:rFonts w:hint="eastAsia" w:ascii="宋体" w:hAnsi="宋体" w:cs="宋体"/>
          <w:color w:val="auto"/>
          <w:sz w:val="24"/>
          <w:highlight w:val="none"/>
        </w:rPr>
        <w:t xml:space="preserve"> </w:t>
      </w:r>
    </w:p>
    <w:p w14:paraId="6B06DE0E">
      <w:pPr>
        <w:wordWrap w:val="0"/>
        <w:snapToGrid w:val="0"/>
        <w:spacing w:line="360" w:lineRule="auto"/>
        <w:ind w:firstLine="540" w:firstLineChars="225"/>
        <w:rPr>
          <w:rFonts w:hint="eastAsia" w:ascii="宋体" w:hAnsi="宋体" w:cs="宋体"/>
          <w:bCs/>
          <w:color w:val="auto"/>
          <w:sz w:val="24"/>
          <w:szCs w:val="20"/>
          <w:highlight w:val="none"/>
        </w:rPr>
      </w:pPr>
      <w:r>
        <w:rPr>
          <w:rFonts w:hint="eastAsia" w:ascii="宋体" w:hAnsi="宋体" w:cs="宋体"/>
          <w:bCs/>
          <w:color w:val="auto"/>
          <w:sz w:val="24"/>
          <w:highlight w:val="none"/>
        </w:rPr>
        <w:t xml:space="preserve"> </w:t>
      </w:r>
    </w:p>
    <w:p w14:paraId="0AEC64FB">
      <w:pPr>
        <w:wordWrap w:val="0"/>
        <w:snapToGrid w:val="0"/>
        <w:spacing w:line="360" w:lineRule="auto"/>
        <w:ind w:firstLine="540" w:firstLineChars="225"/>
        <w:rPr>
          <w:rFonts w:hint="eastAsia" w:ascii="宋体" w:hAnsi="宋体" w:cs="宋体"/>
          <w:bCs/>
          <w:color w:val="auto"/>
          <w:sz w:val="24"/>
          <w:highlight w:val="none"/>
        </w:rPr>
      </w:pPr>
      <w:r>
        <w:rPr>
          <w:rFonts w:hint="eastAsia" w:ascii="宋体" w:hAnsi="宋体" w:cs="宋体"/>
          <w:bCs/>
          <w:color w:val="auto"/>
          <w:sz w:val="24"/>
          <w:highlight w:val="none"/>
        </w:rPr>
        <w:t>所投分标：</w:t>
      </w:r>
    </w:p>
    <w:p w14:paraId="7CE7F0BB">
      <w:pPr>
        <w:wordWrap w:val="0"/>
        <w:snapToGrid w:val="0"/>
        <w:spacing w:line="360" w:lineRule="auto"/>
        <w:ind w:firstLine="540" w:firstLineChars="225"/>
        <w:rPr>
          <w:rFonts w:hint="eastAsia" w:ascii="宋体" w:hAnsi="宋体" w:cs="宋体"/>
          <w:bCs/>
          <w:color w:val="auto"/>
          <w:sz w:val="24"/>
          <w:szCs w:val="20"/>
          <w:highlight w:val="none"/>
        </w:rPr>
      </w:pPr>
    </w:p>
    <w:p w14:paraId="5BC461C7">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投标人名称：</w:t>
      </w:r>
    </w:p>
    <w:p w14:paraId="517C6DA4">
      <w:pPr>
        <w:pStyle w:val="7"/>
        <w:wordWrap w:val="0"/>
        <w:snapToGrid w:val="0"/>
        <w:spacing w:line="360" w:lineRule="auto"/>
        <w:ind w:firstLine="540" w:firstLineChars="225"/>
        <w:rPr>
          <w:rFonts w:hint="eastAsia" w:ascii="宋体" w:hAnsi="宋体" w:cs="宋体"/>
          <w:bCs/>
          <w:color w:val="auto"/>
          <w:sz w:val="24"/>
          <w:szCs w:val="24"/>
          <w:highlight w:val="none"/>
        </w:rPr>
      </w:pPr>
    </w:p>
    <w:p w14:paraId="016585F5">
      <w:pPr>
        <w:pStyle w:val="7"/>
        <w:wordWrap w:val="0"/>
        <w:snapToGrid w:val="0"/>
        <w:spacing w:line="360" w:lineRule="auto"/>
        <w:ind w:firstLine="540" w:firstLineChars="225"/>
        <w:rPr>
          <w:rFonts w:hint="eastAsia" w:ascii="宋体" w:hAnsi="宋体" w:cs="宋体"/>
          <w:bCs/>
          <w:color w:val="auto"/>
          <w:sz w:val="24"/>
          <w:szCs w:val="24"/>
          <w:highlight w:val="none"/>
        </w:rPr>
      </w:pPr>
      <w:r>
        <w:rPr>
          <w:rFonts w:hint="eastAsia" w:ascii="宋体" w:hAnsi="宋体" w:cs="宋体"/>
          <w:bCs/>
          <w:color w:val="auto"/>
          <w:sz w:val="24"/>
          <w:szCs w:val="24"/>
          <w:highlight w:val="none"/>
        </w:rPr>
        <w:t>投标人地址：</w:t>
      </w:r>
    </w:p>
    <w:p w14:paraId="1A32C7DB">
      <w:pPr>
        <w:pStyle w:val="7"/>
        <w:wordWrap w:val="0"/>
        <w:snapToGrid w:val="0"/>
        <w:spacing w:line="360" w:lineRule="auto"/>
        <w:ind w:firstLine="960" w:firstLineChars="400"/>
        <w:rPr>
          <w:rFonts w:hint="eastAsia" w:ascii="宋体" w:hAnsi="宋体" w:cs="宋体"/>
          <w:bCs/>
          <w:color w:val="auto"/>
          <w:sz w:val="24"/>
          <w:szCs w:val="24"/>
          <w:highlight w:val="none"/>
        </w:rPr>
      </w:pPr>
    </w:p>
    <w:p w14:paraId="13E7CD32">
      <w:pPr>
        <w:wordWrap w:val="0"/>
        <w:snapToGrid w:val="0"/>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73F3625A">
      <w:pPr>
        <w:widowControl/>
        <w:wordWrap w:val="0"/>
        <w:spacing w:line="360" w:lineRule="auto"/>
        <w:ind w:firstLine="480"/>
        <w:jc w:val="left"/>
        <w:rPr>
          <w:rFonts w:hint="eastAsia" w:ascii="宋体" w:hAnsi="宋体" w:cs="宋体"/>
          <w:color w:val="auto"/>
          <w:sz w:val="24"/>
          <w:highlight w:val="none"/>
        </w:rPr>
        <w:sectPr>
          <w:pgSz w:w="11906" w:h="16838"/>
          <w:pgMar w:top="1440" w:right="1080" w:bottom="1440" w:left="1080" w:header="720" w:footer="720" w:gutter="0"/>
          <w:cols w:space="720" w:num="1"/>
          <w:docGrid w:type="lines" w:linePitch="331" w:charSpace="0"/>
        </w:sectPr>
      </w:pPr>
    </w:p>
    <w:p w14:paraId="5189F805">
      <w:pPr>
        <w:wordWrap w:val="0"/>
        <w:spacing w:line="360" w:lineRule="auto"/>
        <w:rPr>
          <w:rFonts w:hint="eastAsia" w:ascii="宋体" w:hAnsi="宋体" w:cs="宋体"/>
          <w:color w:val="auto"/>
          <w:highlight w:val="none"/>
        </w:rPr>
      </w:pPr>
    </w:p>
    <w:p w14:paraId="6E8F612E">
      <w:pPr>
        <w:wordWrap w:val="0"/>
        <w:snapToGrid w:val="0"/>
        <w:spacing w:line="360" w:lineRule="auto"/>
        <w:ind w:firstLine="643"/>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报价文件目录</w:t>
      </w:r>
    </w:p>
    <w:p w14:paraId="48CD3119">
      <w:pPr>
        <w:wordWrap w:val="0"/>
        <w:spacing w:line="360" w:lineRule="auto"/>
        <w:rPr>
          <w:rFonts w:hint="eastAsia" w:ascii="宋体" w:hAnsi="宋体" w:cs="宋体"/>
          <w:color w:val="auto"/>
          <w:highlight w:val="none"/>
        </w:rPr>
      </w:pPr>
    </w:p>
    <w:p w14:paraId="4BB774FE">
      <w:pPr>
        <w:wordWrap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一、投标函………………………………………………………（页码）</w:t>
      </w:r>
    </w:p>
    <w:p w14:paraId="32567BE6">
      <w:pPr>
        <w:wordWrap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二、开标一览表…………………………………………………（页码）</w:t>
      </w:r>
    </w:p>
    <w:p w14:paraId="77030644">
      <w:pPr>
        <w:wordWrap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三、中小企业声明函或残疾人福利性单位声明函或监狱企业声明函……………（页码）</w:t>
      </w:r>
    </w:p>
    <w:p w14:paraId="46E426BB">
      <w:pPr>
        <w:wordWrap w:val="0"/>
        <w:spacing w:line="360" w:lineRule="auto"/>
        <w:ind w:firstLine="480"/>
        <w:rPr>
          <w:rFonts w:hint="eastAsia" w:ascii="宋体" w:hAnsi="宋体" w:cs="宋体"/>
          <w:color w:val="auto"/>
          <w:kern w:val="0"/>
          <w:sz w:val="24"/>
          <w:highlight w:val="none"/>
        </w:rPr>
        <w:sectPr>
          <w:pgSz w:w="11906" w:h="16838"/>
          <w:pgMar w:top="1440" w:right="1080" w:bottom="1440" w:left="1080" w:header="720" w:footer="720" w:gutter="0"/>
          <w:cols w:space="720" w:num="1"/>
          <w:docGrid w:type="lines" w:linePitch="331" w:charSpace="0"/>
        </w:sectPr>
      </w:pPr>
      <w:r>
        <w:rPr>
          <w:rFonts w:hint="eastAsia" w:ascii="宋体" w:hAnsi="宋体" w:cs="宋体"/>
          <w:color w:val="auto"/>
          <w:kern w:val="0"/>
          <w:sz w:val="24"/>
          <w:highlight w:val="none"/>
        </w:rPr>
        <w:t>四、投标人针对报价需要说明的其他文件和说明…………（页码）</w:t>
      </w:r>
    </w:p>
    <w:p w14:paraId="47403CD7">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一、投标函</w:t>
      </w:r>
    </w:p>
    <w:p w14:paraId="05A88313">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致：</w:t>
      </w:r>
      <w:bookmarkStart w:id="294" w:name="PO_3000001866_PM031_4"/>
      <w:r>
        <w:rPr>
          <w:rFonts w:hint="eastAsia" w:hAnsi="宋体" w:cs="宋体"/>
          <w:color w:val="auto"/>
          <w:szCs w:val="21"/>
          <w:highlight w:val="none"/>
          <w:u w:val="single"/>
        </w:rPr>
        <w:t>广西邕政采购代理有限公司</w:t>
      </w:r>
      <w:bookmarkEnd w:id="294"/>
    </w:p>
    <w:p w14:paraId="2A44E106">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我方已仔细阅读了贵方组织的</w:t>
      </w:r>
      <w:r>
        <w:rPr>
          <w:rFonts w:hint="eastAsia" w:hAnsi="宋体" w:cs="宋体"/>
          <w:color w:val="auto"/>
          <w:szCs w:val="21"/>
          <w:highlight w:val="none"/>
          <w:u w:val="single"/>
        </w:rPr>
        <w:t xml:space="preserve">（项目名称）  </w:t>
      </w:r>
      <w:r>
        <w:rPr>
          <w:rFonts w:hint="eastAsia" w:hAnsi="宋体" w:cs="宋体"/>
          <w:color w:val="auto"/>
          <w:szCs w:val="21"/>
          <w:highlight w:val="none"/>
        </w:rPr>
        <w:t>项目（项目编号：</w:t>
      </w:r>
      <w:r>
        <w:rPr>
          <w:rFonts w:hint="eastAsia" w:hAnsi="宋体" w:cs="宋体"/>
          <w:color w:val="auto"/>
          <w:szCs w:val="21"/>
          <w:highlight w:val="none"/>
          <w:u w:val="single"/>
        </w:rPr>
        <w:t xml:space="preserve">         </w:t>
      </w:r>
      <w:r>
        <w:rPr>
          <w:rFonts w:hint="eastAsia" w:hAnsi="宋体" w:cs="宋体"/>
          <w:color w:val="auto"/>
          <w:szCs w:val="21"/>
          <w:highlight w:val="none"/>
        </w:rPr>
        <w:t>）的招标文件的全部内容，授权</w:t>
      </w:r>
      <w:r>
        <w:rPr>
          <w:rFonts w:hint="eastAsia" w:hAnsi="宋体" w:cs="宋体"/>
          <w:color w:val="auto"/>
          <w:szCs w:val="21"/>
          <w:highlight w:val="none"/>
          <w:u w:val="single"/>
        </w:rPr>
        <w:t xml:space="preserve">                      </w:t>
      </w:r>
      <w:r>
        <w:rPr>
          <w:rFonts w:hint="eastAsia" w:hAnsi="宋体" w:cs="宋体"/>
          <w:color w:val="auto"/>
          <w:szCs w:val="21"/>
          <w:highlight w:val="none"/>
        </w:rPr>
        <w:t>(全权代表姓名)</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(职务、职称)为全权代表，现正式递交下述文件参加贵方组织的本次政府采购活动： </w:t>
      </w:r>
    </w:p>
    <w:p w14:paraId="35BEE5FF">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一、报价文件电子版一份（包含按投标人须知前附表要求提交的全部文件）；</w:t>
      </w:r>
    </w:p>
    <w:p w14:paraId="0F702DD7">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二、资格文件电子版一份（包含按投标人须知前附表要求提交的全部文件）；</w:t>
      </w:r>
    </w:p>
    <w:p w14:paraId="5247F82C">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三、商务文件和技术文件按顺序合并生成电子版一份（包含按投标人须知前附表要求提交的全部文件）；</w:t>
      </w:r>
    </w:p>
    <w:p w14:paraId="799BD80D">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据此函，签字人兹宣布：</w:t>
      </w:r>
    </w:p>
    <w:p w14:paraId="66E51084">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1.我方愿意以（大写）人民币</w:t>
      </w:r>
      <w:r>
        <w:rPr>
          <w:rFonts w:hint="eastAsia" w:hAnsi="宋体" w:cs="宋体"/>
          <w:color w:val="auto"/>
          <w:szCs w:val="21"/>
          <w:highlight w:val="none"/>
          <w:u w:val="single"/>
        </w:rPr>
        <w:t xml:space="preserve">              </w:t>
      </w:r>
      <w:r>
        <w:rPr>
          <w:rFonts w:hint="eastAsia" w:hAnsi="宋体" w:cs="宋体"/>
          <w:color w:val="auto"/>
          <w:szCs w:val="21"/>
          <w:highlight w:val="none"/>
        </w:rPr>
        <w:t>元 (¥</w:t>
      </w:r>
      <w:r>
        <w:rPr>
          <w:rFonts w:hint="eastAsia" w:hAnsi="宋体" w:cs="宋体"/>
          <w:color w:val="auto"/>
          <w:szCs w:val="21"/>
          <w:highlight w:val="none"/>
          <w:u w:val="single"/>
        </w:rPr>
        <w:t xml:space="preserve">          </w:t>
      </w:r>
      <w:r>
        <w:rPr>
          <w:rFonts w:hint="eastAsia" w:hAnsi="宋体" w:cs="宋体"/>
          <w:color w:val="auto"/>
          <w:szCs w:val="21"/>
          <w:highlight w:val="none"/>
        </w:rPr>
        <w:t>)的投标总报价，提交服务时间（无分标时填写）：</w:t>
      </w:r>
      <w:r>
        <w:rPr>
          <w:rFonts w:hint="eastAsia" w:hAnsi="宋体" w:cs="宋体"/>
          <w:color w:val="auto"/>
          <w:szCs w:val="21"/>
          <w:highlight w:val="none"/>
          <w:u w:val="single"/>
        </w:rPr>
        <w:t xml:space="preserve">          </w:t>
      </w:r>
      <w:r>
        <w:rPr>
          <w:rFonts w:hint="eastAsia" w:hAnsi="宋体" w:cs="宋体"/>
          <w:color w:val="auto"/>
          <w:szCs w:val="21"/>
          <w:highlight w:val="none"/>
        </w:rPr>
        <w:t>；提供本项目招标文件第二章“服务需求”中的相应的采购内容。</w:t>
      </w:r>
    </w:p>
    <w:p w14:paraId="7C6C107F">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其中（有分标时填写）：</w:t>
      </w:r>
    </w:p>
    <w:p w14:paraId="52CDF643">
      <w:pPr>
        <w:pStyle w:val="12"/>
        <w:wordWrap w:val="0"/>
        <w:spacing w:line="360" w:lineRule="auto"/>
        <w:ind w:firstLine="420" w:firstLineChars="200"/>
        <w:rPr>
          <w:rFonts w:hint="eastAsia" w:hAnsi="宋体" w:cs="宋体"/>
          <w:color w:val="auto"/>
          <w:szCs w:val="21"/>
          <w:highlight w:val="none"/>
          <w:u w:val="single"/>
        </w:rPr>
      </w:pPr>
      <w:r>
        <w:rPr>
          <w:rFonts w:hint="eastAsia" w:hAnsi="宋体" w:cs="宋体"/>
          <w:color w:val="auto"/>
          <w:szCs w:val="21"/>
          <w:highlight w:val="none"/>
          <w:u w:val="single"/>
        </w:rPr>
        <w:t xml:space="preserve">  </w:t>
      </w:r>
      <w:r>
        <w:rPr>
          <w:rFonts w:hint="eastAsia" w:hAnsi="宋体" w:cs="宋体"/>
          <w:color w:val="auto"/>
          <w:szCs w:val="21"/>
          <w:highlight w:val="none"/>
        </w:rPr>
        <w:t>分标报价为（大写）人民币</w:t>
      </w:r>
      <w:r>
        <w:rPr>
          <w:rFonts w:hint="eastAsia" w:hAnsi="宋体" w:cs="宋体"/>
          <w:color w:val="auto"/>
          <w:szCs w:val="21"/>
          <w:highlight w:val="none"/>
          <w:u w:val="single"/>
        </w:rPr>
        <w:t xml:space="preserve">              </w:t>
      </w:r>
      <w:r>
        <w:rPr>
          <w:rFonts w:hint="eastAsia" w:hAnsi="宋体" w:cs="宋体"/>
          <w:color w:val="auto"/>
          <w:szCs w:val="21"/>
          <w:highlight w:val="none"/>
        </w:rPr>
        <w:t>元 (¥</w:t>
      </w:r>
      <w:r>
        <w:rPr>
          <w:rFonts w:hint="eastAsia" w:hAnsi="宋体" w:cs="宋体"/>
          <w:color w:val="auto"/>
          <w:szCs w:val="21"/>
          <w:highlight w:val="none"/>
          <w:u w:val="single"/>
        </w:rPr>
        <w:t xml:space="preserve">          </w:t>
      </w:r>
      <w:r>
        <w:rPr>
          <w:rFonts w:hint="eastAsia" w:hAnsi="宋体" w:cs="宋体"/>
          <w:color w:val="auto"/>
          <w:szCs w:val="21"/>
          <w:highlight w:val="none"/>
        </w:rPr>
        <w:t>)，提交服务时间：</w:t>
      </w:r>
      <w:r>
        <w:rPr>
          <w:rFonts w:hint="eastAsia" w:hAnsi="宋体" w:cs="宋体"/>
          <w:color w:val="auto"/>
          <w:szCs w:val="21"/>
          <w:highlight w:val="none"/>
          <w:u w:val="single"/>
        </w:rPr>
        <w:t xml:space="preserve">          </w:t>
      </w:r>
      <w:r>
        <w:rPr>
          <w:rFonts w:hint="eastAsia" w:hAnsi="宋体" w:cs="宋体"/>
          <w:color w:val="auto"/>
          <w:szCs w:val="21"/>
          <w:highlight w:val="none"/>
        </w:rPr>
        <w:t>；</w:t>
      </w:r>
    </w:p>
    <w:p w14:paraId="2FCC0311">
      <w:pPr>
        <w:pStyle w:val="12"/>
        <w:wordWrap w:val="0"/>
        <w:spacing w:line="360" w:lineRule="auto"/>
        <w:ind w:firstLine="420" w:firstLineChars="200"/>
        <w:rPr>
          <w:rFonts w:hint="eastAsia" w:hAnsi="宋体" w:cs="宋体"/>
          <w:color w:val="auto"/>
          <w:szCs w:val="21"/>
          <w:highlight w:val="none"/>
          <w:u w:val="single"/>
        </w:rPr>
      </w:pPr>
      <w:r>
        <w:rPr>
          <w:rFonts w:hint="eastAsia" w:hAnsi="宋体" w:cs="宋体"/>
          <w:color w:val="auto"/>
          <w:szCs w:val="21"/>
          <w:highlight w:val="none"/>
          <w:u w:val="single"/>
        </w:rPr>
        <w:t xml:space="preserve">  </w:t>
      </w:r>
      <w:r>
        <w:rPr>
          <w:rFonts w:hint="eastAsia" w:hAnsi="宋体" w:cs="宋体"/>
          <w:color w:val="auto"/>
          <w:szCs w:val="21"/>
          <w:highlight w:val="none"/>
        </w:rPr>
        <w:t>分标报价为（大写）人民币</w:t>
      </w:r>
      <w:r>
        <w:rPr>
          <w:rFonts w:hint="eastAsia" w:hAnsi="宋体" w:cs="宋体"/>
          <w:color w:val="auto"/>
          <w:szCs w:val="21"/>
          <w:highlight w:val="none"/>
          <w:u w:val="single"/>
        </w:rPr>
        <w:t xml:space="preserve">              </w:t>
      </w:r>
      <w:r>
        <w:rPr>
          <w:rFonts w:hint="eastAsia" w:hAnsi="宋体" w:cs="宋体"/>
          <w:color w:val="auto"/>
          <w:szCs w:val="21"/>
          <w:highlight w:val="none"/>
        </w:rPr>
        <w:t>元 (¥</w:t>
      </w:r>
      <w:r>
        <w:rPr>
          <w:rFonts w:hint="eastAsia" w:hAnsi="宋体" w:cs="宋体"/>
          <w:color w:val="auto"/>
          <w:szCs w:val="21"/>
          <w:highlight w:val="none"/>
          <w:u w:val="single"/>
        </w:rPr>
        <w:t xml:space="preserve">          </w:t>
      </w:r>
      <w:r>
        <w:rPr>
          <w:rFonts w:hint="eastAsia" w:hAnsi="宋体" w:cs="宋体"/>
          <w:color w:val="auto"/>
          <w:szCs w:val="21"/>
          <w:highlight w:val="none"/>
        </w:rPr>
        <w:t>)，提交服务时间：</w:t>
      </w:r>
      <w:r>
        <w:rPr>
          <w:rFonts w:hint="eastAsia" w:hAnsi="宋体" w:cs="宋体"/>
          <w:color w:val="auto"/>
          <w:szCs w:val="21"/>
          <w:highlight w:val="none"/>
          <w:u w:val="single"/>
        </w:rPr>
        <w:t xml:space="preserve">          </w:t>
      </w:r>
      <w:r>
        <w:rPr>
          <w:rFonts w:hint="eastAsia" w:hAnsi="宋体" w:cs="宋体"/>
          <w:color w:val="auto"/>
          <w:szCs w:val="21"/>
          <w:highlight w:val="none"/>
        </w:rPr>
        <w:t>；</w:t>
      </w:r>
    </w:p>
    <w:p w14:paraId="3D9A4CF4">
      <w:pPr>
        <w:pStyle w:val="12"/>
        <w:wordWrap w:val="0"/>
        <w:spacing w:line="360" w:lineRule="auto"/>
        <w:ind w:firstLine="420" w:firstLineChars="200"/>
        <w:rPr>
          <w:rFonts w:hint="eastAsia" w:hAnsi="宋体" w:cs="宋体"/>
          <w:color w:val="auto"/>
          <w:szCs w:val="21"/>
          <w:highlight w:val="none"/>
          <w:u w:val="single"/>
        </w:rPr>
      </w:pPr>
      <w:r>
        <w:rPr>
          <w:rFonts w:hint="eastAsia" w:hAnsi="宋体" w:cs="宋体"/>
          <w:color w:val="auto"/>
          <w:szCs w:val="21"/>
          <w:highlight w:val="none"/>
        </w:rPr>
        <w:t>......</w:t>
      </w:r>
    </w:p>
    <w:p w14:paraId="6CAFD9D5">
      <w:pPr>
        <w:pStyle w:val="12"/>
        <w:wordWrap w:val="0"/>
        <w:spacing w:line="360" w:lineRule="auto"/>
        <w:ind w:firstLine="420" w:firstLineChars="200"/>
        <w:rPr>
          <w:rFonts w:hint="eastAsia" w:hAnsi="宋体" w:cs="宋体"/>
          <w:color w:val="auto"/>
          <w:szCs w:val="21"/>
          <w:highlight w:val="none"/>
          <w:u w:val="single"/>
        </w:rPr>
      </w:pPr>
      <w:r>
        <w:rPr>
          <w:rFonts w:hint="eastAsia" w:hAnsi="宋体" w:cs="宋体"/>
          <w:color w:val="auto"/>
          <w:szCs w:val="21"/>
          <w:highlight w:val="none"/>
        </w:rPr>
        <w:t>2.我方同意自本项目招标文件“第三章 投标人须知”第一节 投标人须知前附表 第21.2项规定的投标截止时间（开标时间）起遵循本投标函，并承诺在“投标人须知前附表”第17.2项规定的投标有效期内不修改、撤销投标文件。</w:t>
      </w:r>
    </w:p>
    <w:p w14:paraId="4847F5BF">
      <w:pPr>
        <w:pStyle w:val="12"/>
        <w:wordWrap w:val="0"/>
        <w:spacing w:line="360" w:lineRule="auto"/>
        <w:ind w:firstLine="420" w:firstLineChars="200"/>
        <w:rPr>
          <w:rFonts w:hint="eastAsia" w:hAnsi="宋体" w:cs="宋体"/>
          <w:color w:val="auto"/>
          <w:szCs w:val="21"/>
          <w:highlight w:val="none"/>
          <w:u w:val="single"/>
        </w:rPr>
      </w:pPr>
      <w:r>
        <w:rPr>
          <w:rFonts w:hint="eastAsia" w:hAnsi="宋体" w:cs="宋体"/>
          <w:color w:val="auto"/>
          <w:szCs w:val="21"/>
          <w:highlight w:val="none"/>
        </w:rPr>
        <w:t>3.我方所递交的投标文件及有关资料都是内容完整、真实和准确的。</w:t>
      </w:r>
    </w:p>
    <w:p w14:paraId="62AE67CE">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4.如本项目采购内容涉及须符合国家强制规定的，我方承诺我方本次投标（包括资格条件和所投产品）均符合国家有关强制规定。</w:t>
      </w:r>
    </w:p>
    <w:p w14:paraId="55B13735">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15CCBF5B">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6.我方已详细审核招标文件，我方知道必须放弃提出含糊不清或误解问题的权利。</w:t>
      </w:r>
    </w:p>
    <w:p w14:paraId="32218C97">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7.我方同意应贵方要求提供与本投标有关的任何数据或资料。若贵方需要，我方愿意提供我方作出的一切承诺的证明材料。</w:t>
      </w:r>
    </w:p>
    <w:p w14:paraId="634FA4C2">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8.我方完全理解贵方不一定接受投标报价最低的投标人为中标供应商的行为。</w:t>
      </w:r>
    </w:p>
    <w:p w14:paraId="23680B2C">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428B30B">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（1）提供虚假材料谋取中标、成交的；</w:t>
      </w:r>
    </w:p>
    <w:p w14:paraId="5C1160DA">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（2）采取不正当手段诋毁、排挤其他供应商的；</w:t>
      </w:r>
    </w:p>
    <w:p w14:paraId="55813F10">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（3）与采购人、其他供应商或者采购代理机构恶意串通的；</w:t>
      </w:r>
    </w:p>
    <w:p w14:paraId="2BAD0EED">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（4）向采购人、采购代理机构行贿或者提供其他不正当利益的；</w:t>
      </w:r>
    </w:p>
    <w:p w14:paraId="3CA5E4F5">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（5）在招标采购过程中与采购人进行协商谈判的；</w:t>
      </w:r>
    </w:p>
    <w:p w14:paraId="492560A2">
      <w:pPr>
        <w:pStyle w:val="12"/>
        <w:wordWrap w:val="0"/>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（6）拒绝有关部门监督检查或提供虚假情况的。</w:t>
      </w:r>
    </w:p>
    <w:p w14:paraId="65CA6B45">
      <w:pPr>
        <w:pStyle w:val="12"/>
        <w:wordWrap w:val="0"/>
        <w:spacing w:line="360" w:lineRule="auto"/>
        <w:ind w:left="420"/>
        <w:rPr>
          <w:rFonts w:hint="eastAsia" w:hAnsi="宋体" w:cs="宋体"/>
          <w:color w:val="auto"/>
          <w:szCs w:val="21"/>
          <w:highlight w:val="none"/>
        </w:rPr>
      </w:pPr>
      <w:r>
        <w:rPr>
          <w:rFonts w:hint="eastAsia" w:hAnsi="宋体" w:cs="宋体"/>
          <w:color w:val="auto"/>
          <w:szCs w:val="21"/>
          <w:highlight w:val="none"/>
        </w:rPr>
        <w:t>10.我方及由本人担任法定代表人的其他机构最近三年内被处罚的违法行为有：</w:t>
      </w:r>
      <w:r>
        <w:rPr>
          <w:rFonts w:hint="eastAsia" w:hAnsi="宋体" w:cs="宋体"/>
          <w:color w:val="auto"/>
          <w:szCs w:val="21"/>
          <w:highlight w:val="none"/>
          <w:u w:val="single"/>
        </w:rPr>
        <w:t xml:space="preserve">         </w:t>
      </w:r>
    </w:p>
    <w:p w14:paraId="0038C04E">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11.以上事项如有虚假或隐瞒，我方愿意承担一切后果，并不再寻求任何旨在减轻或免除法律责任的辩解。</w:t>
      </w:r>
    </w:p>
    <w:p w14:paraId="0C1C8882">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12.与本投标有关的一切正式往来信函请寄：</w:t>
      </w:r>
    </w:p>
    <w:p w14:paraId="1D5B9DED">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地址：</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w:t>
      </w:r>
    </w:p>
    <w:p w14:paraId="74811BF9">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电话：</w:t>
      </w:r>
      <w:r>
        <w:rPr>
          <w:rFonts w:hint="eastAsia" w:hAnsi="宋体" w:cs="宋体"/>
          <w:color w:val="auto"/>
          <w:szCs w:val="21"/>
          <w:highlight w:val="none"/>
          <w:u w:val="single"/>
        </w:rPr>
        <w:t xml:space="preserve">                                      　　　　　　　　　</w:t>
      </w:r>
    </w:p>
    <w:p w14:paraId="0F7A6EFD">
      <w:pPr>
        <w:pStyle w:val="12"/>
        <w:wordWrap w:val="0"/>
        <w:spacing w:line="360" w:lineRule="auto"/>
        <w:ind w:firstLine="420"/>
        <w:rPr>
          <w:rFonts w:hint="eastAsia" w:hAnsi="宋体" w:cs="宋体"/>
          <w:color w:val="auto"/>
          <w:szCs w:val="21"/>
          <w:highlight w:val="none"/>
        </w:rPr>
      </w:pPr>
      <w:r>
        <w:rPr>
          <w:rFonts w:hint="eastAsia" w:hAnsi="宋体" w:cs="宋体"/>
          <w:color w:val="auto"/>
          <w:szCs w:val="21"/>
          <w:highlight w:val="none"/>
        </w:rPr>
        <w:t>传真：</w:t>
      </w:r>
      <w:r>
        <w:rPr>
          <w:rFonts w:hint="eastAsia" w:hAnsi="宋体" w:cs="宋体"/>
          <w:color w:val="auto"/>
          <w:szCs w:val="21"/>
          <w:highlight w:val="none"/>
          <w:u w:val="single"/>
        </w:rPr>
        <w:t>　　　　　　　　　　　　　　　　　　　　　　　　　　　　</w:t>
      </w:r>
    </w:p>
    <w:p w14:paraId="541409FA">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邮政编码：</w:t>
      </w:r>
      <w:r>
        <w:rPr>
          <w:rFonts w:hint="eastAsia" w:hAnsi="宋体" w:cs="宋体"/>
          <w:color w:val="auto"/>
          <w:szCs w:val="21"/>
          <w:highlight w:val="none"/>
          <w:u w:val="single"/>
        </w:rPr>
        <w:t xml:space="preserve">                                                    </w:t>
      </w:r>
    </w:p>
    <w:p w14:paraId="134F8979">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开户名称：</w:t>
      </w:r>
      <w:r>
        <w:rPr>
          <w:rFonts w:hint="eastAsia" w:hAnsi="宋体" w:cs="宋体"/>
          <w:color w:val="auto"/>
          <w:szCs w:val="21"/>
          <w:highlight w:val="none"/>
          <w:u w:val="single"/>
        </w:rPr>
        <w:t xml:space="preserve">                                                    </w:t>
      </w:r>
    </w:p>
    <w:p w14:paraId="3AAD1FB3">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开户银行：</w:t>
      </w:r>
      <w:r>
        <w:rPr>
          <w:rFonts w:hint="eastAsia" w:hAnsi="宋体" w:cs="宋体"/>
          <w:color w:val="auto"/>
          <w:szCs w:val="21"/>
          <w:highlight w:val="none"/>
          <w:u w:val="single"/>
        </w:rPr>
        <w:t xml:space="preserve">                                                    </w:t>
      </w:r>
    </w:p>
    <w:p w14:paraId="62B9DF52">
      <w:pPr>
        <w:pStyle w:val="12"/>
        <w:wordWrap w:val="0"/>
        <w:spacing w:line="360" w:lineRule="auto"/>
        <w:ind w:firstLine="420"/>
        <w:rPr>
          <w:rFonts w:hint="eastAsia" w:hAnsi="宋体" w:cs="宋体"/>
          <w:color w:val="auto"/>
          <w:szCs w:val="21"/>
          <w:highlight w:val="none"/>
          <w:u w:val="single"/>
        </w:rPr>
      </w:pPr>
      <w:r>
        <w:rPr>
          <w:rFonts w:hint="eastAsia" w:hAnsi="宋体" w:cs="宋体"/>
          <w:color w:val="auto"/>
          <w:szCs w:val="21"/>
          <w:highlight w:val="none"/>
        </w:rPr>
        <w:t>银行账号：</w:t>
      </w:r>
      <w:r>
        <w:rPr>
          <w:rFonts w:hint="eastAsia" w:hAnsi="宋体" w:cs="宋体"/>
          <w:color w:val="auto"/>
          <w:szCs w:val="21"/>
          <w:highlight w:val="none"/>
          <w:u w:val="single"/>
        </w:rPr>
        <w:t xml:space="preserve">                                                    </w:t>
      </w:r>
    </w:p>
    <w:p w14:paraId="1506F68B">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5DC77D39">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4C3A4D92">
      <w:pPr>
        <w:widowControl/>
        <w:wordWrap w:val="0"/>
        <w:spacing w:line="360" w:lineRule="auto"/>
        <w:ind w:firstLine="480"/>
        <w:jc w:val="left"/>
        <w:rPr>
          <w:rFonts w:hint="eastAsia" w:ascii="宋体" w:hAnsi="宋体" w:cs="宋体"/>
          <w:color w:val="auto"/>
          <w:kern w:val="0"/>
          <w:sz w:val="24"/>
          <w:highlight w:val="none"/>
          <w:lang w:val="zh-CN"/>
        </w:rPr>
        <w:sectPr>
          <w:pgSz w:w="11906" w:h="16838"/>
          <w:pgMar w:top="1440" w:right="1080" w:bottom="1440" w:left="1080" w:header="720" w:footer="720" w:gutter="0"/>
          <w:cols w:space="720" w:num="1"/>
          <w:docGrid w:type="lines" w:linePitch="331" w:charSpace="0"/>
        </w:sectPr>
      </w:pPr>
    </w:p>
    <w:p w14:paraId="3DFBB528">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二、开标一览表</w:t>
      </w:r>
    </w:p>
    <w:p w14:paraId="0322F553">
      <w:pPr>
        <w:wordWrap w:val="0"/>
        <w:snapToGrid w:val="0"/>
        <w:spacing w:line="360" w:lineRule="auto"/>
        <w:ind w:right="480" w:firstLine="422"/>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zh-CN"/>
        </w:rPr>
        <w:t>(单位均为人民币元)</w:t>
      </w:r>
    </w:p>
    <w:p w14:paraId="37F247BF">
      <w:pPr>
        <w:wordWrap w:val="0"/>
        <w:snapToGrid w:val="0"/>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998E804">
      <w:pPr>
        <w:wordWrap w:val="0"/>
        <w:snapToGrid w:val="0"/>
        <w:rPr>
          <w:rFonts w:hint="eastAsia"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分标：</w:t>
      </w:r>
      <w:r>
        <w:rPr>
          <w:rFonts w:hint="eastAsia" w:ascii="宋体" w:hAnsi="宋体" w:cs="宋体"/>
          <w:color w:val="auto"/>
          <w:szCs w:val="21"/>
          <w:highlight w:val="none"/>
          <w:u w:val="single"/>
        </w:rPr>
        <w:t xml:space="preserve">           </w:t>
      </w:r>
    </w:p>
    <w:p w14:paraId="3E8D9096">
      <w:pPr>
        <w:pStyle w:val="12"/>
        <w:wordWrap w:val="0"/>
        <w:rPr>
          <w:rFonts w:hint="eastAsia" w:hAnsi="宋体" w:cs="宋体"/>
          <w:b/>
          <w:color w:val="auto"/>
          <w:szCs w:val="21"/>
          <w:highlight w:val="none"/>
        </w:rPr>
      </w:pPr>
      <w:r>
        <w:rPr>
          <w:rFonts w:hint="eastAsia" w:hAnsi="宋体" w:cs="宋体"/>
          <w:color w:val="auto"/>
          <w:szCs w:val="21"/>
          <w:highlight w:val="none"/>
        </w:rPr>
        <w:t>投标人名称：</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w:t>
      </w:r>
    </w:p>
    <w:tbl>
      <w:tblPr>
        <w:tblStyle w:val="22"/>
        <w:tblW w:w="10408"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897"/>
        <w:gridCol w:w="2029"/>
        <w:gridCol w:w="1068"/>
        <w:gridCol w:w="1369"/>
        <w:gridCol w:w="2269"/>
        <w:gridCol w:w="1092"/>
      </w:tblGrid>
      <w:tr w14:paraId="12A2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trPr>
        <w:tc>
          <w:tcPr>
            <w:tcW w:w="684" w:type="dxa"/>
            <w:tcBorders>
              <w:top w:val="single" w:color="auto" w:sz="4" w:space="0"/>
              <w:left w:val="single" w:color="auto" w:sz="4" w:space="0"/>
              <w:bottom w:val="single" w:color="auto" w:sz="4" w:space="0"/>
              <w:right w:val="single" w:color="auto" w:sz="4" w:space="0"/>
            </w:tcBorders>
            <w:vAlign w:val="center"/>
          </w:tcPr>
          <w:p w14:paraId="589322E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897" w:type="dxa"/>
            <w:tcBorders>
              <w:top w:val="single" w:color="auto" w:sz="4" w:space="0"/>
              <w:left w:val="single" w:color="auto" w:sz="4" w:space="0"/>
              <w:bottom w:val="single" w:color="auto" w:sz="4" w:space="0"/>
              <w:right w:val="single" w:color="auto" w:sz="4" w:space="0"/>
            </w:tcBorders>
            <w:vAlign w:val="center"/>
          </w:tcPr>
          <w:p w14:paraId="16765F6B">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服务名称</w:t>
            </w:r>
          </w:p>
        </w:tc>
        <w:tc>
          <w:tcPr>
            <w:tcW w:w="2029" w:type="dxa"/>
            <w:tcBorders>
              <w:top w:val="single" w:color="auto" w:sz="4" w:space="0"/>
              <w:left w:val="single" w:color="auto" w:sz="4" w:space="0"/>
              <w:bottom w:val="single" w:color="auto" w:sz="4" w:space="0"/>
              <w:right w:val="single" w:color="auto" w:sz="4" w:space="0"/>
            </w:tcBorders>
            <w:vAlign w:val="center"/>
          </w:tcPr>
          <w:p w14:paraId="4B273C6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具体服务内容</w:t>
            </w:r>
          </w:p>
        </w:tc>
        <w:tc>
          <w:tcPr>
            <w:tcW w:w="1068" w:type="dxa"/>
            <w:tcBorders>
              <w:top w:val="single" w:color="auto" w:sz="4" w:space="0"/>
              <w:left w:val="single" w:color="auto" w:sz="4" w:space="0"/>
              <w:bottom w:val="single" w:color="auto" w:sz="4" w:space="0"/>
              <w:right w:val="single" w:color="auto" w:sz="4" w:space="0"/>
            </w:tcBorders>
            <w:vAlign w:val="center"/>
          </w:tcPr>
          <w:p w14:paraId="1DDD4624">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数量①</w:t>
            </w:r>
          </w:p>
        </w:tc>
        <w:tc>
          <w:tcPr>
            <w:tcW w:w="1369" w:type="dxa"/>
            <w:tcBorders>
              <w:top w:val="single" w:color="auto" w:sz="4" w:space="0"/>
              <w:left w:val="single" w:color="auto" w:sz="4" w:space="0"/>
              <w:bottom w:val="single" w:color="auto" w:sz="4" w:space="0"/>
              <w:right w:val="single" w:color="auto" w:sz="4" w:space="0"/>
            </w:tcBorders>
            <w:vAlign w:val="center"/>
          </w:tcPr>
          <w:p w14:paraId="2478384E">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单价(元)②</w:t>
            </w:r>
          </w:p>
        </w:tc>
        <w:tc>
          <w:tcPr>
            <w:tcW w:w="2269" w:type="dxa"/>
            <w:tcBorders>
              <w:top w:val="single" w:color="auto" w:sz="4" w:space="0"/>
              <w:left w:val="single" w:color="auto" w:sz="4" w:space="0"/>
              <w:bottom w:val="single" w:color="auto" w:sz="4" w:space="0"/>
              <w:right w:val="single" w:color="auto" w:sz="4" w:space="0"/>
            </w:tcBorders>
            <w:vAlign w:val="center"/>
          </w:tcPr>
          <w:p w14:paraId="020068B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单项合价（元）</w:t>
            </w:r>
          </w:p>
          <w:p w14:paraId="47153E9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③＝①×②</w:t>
            </w:r>
          </w:p>
        </w:tc>
        <w:tc>
          <w:tcPr>
            <w:tcW w:w="1092" w:type="dxa"/>
            <w:tcBorders>
              <w:top w:val="single" w:color="auto" w:sz="4" w:space="0"/>
              <w:left w:val="single" w:color="auto" w:sz="4" w:space="0"/>
              <w:bottom w:val="single" w:color="auto" w:sz="4" w:space="0"/>
              <w:right w:val="single" w:color="auto" w:sz="4" w:space="0"/>
            </w:tcBorders>
            <w:vAlign w:val="center"/>
          </w:tcPr>
          <w:p w14:paraId="039E79A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5F29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vAlign w:val="center"/>
          </w:tcPr>
          <w:p w14:paraId="1CF7632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897" w:type="dxa"/>
            <w:tcBorders>
              <w:top w:val="single" w:color="auto" w:sz="4" w:space="0"/>
              <w:left w:val="single" w:color="auto" w:sz="4" w:space="0"/>
              <w:bottom w:val="single" w:color="auto" w:sz="4" w:space="0"/>
              <w:right w:val="single" w:color="auto" w:sz="4" w:space="0"/>
            </w:tcBorders>
            <w:vAlign w:val="center"/>
          </w:tcPr>
          <w:p w14:paraId="7A214527">
            <w:pPr>
              <w:wordWrap w:val="0"/>
              <w:spacing w:line="360" w:lineRule="auto"/>
              <w:rPr>
                <w:rFonts w:hint="eastAsia" w:ascii="宋体" w:hAnsi="宋体" w:cs="宋体"/>
                <w:color w:val="auto"/>
                <w:szCs w:val="21"/>
                <w:highlight w:val="none"/>
              </w:rPr>
            </w:pPr>
          </w:p>
        </w:tc>
        <w:tc>
          <w:tcPr>
            <w:tcW w:w="2029" w:type="dxa"/>
            <w:tcBorders>
              <w:top w:val="single" w:color="auto" w:sz="4" w:space="0"/>
              <w:left w:val="single" w:color="auto" w:sz="4" w:space="0"/>
              <w:bottom w:val="single" w:color="auto" w:sz="4" w:space="0"/>
              <w:right w:val="single" w:color="auto" w:sz="4" w:space="0"/>
            </w:tcBorders>
            <w:vAlign w:val="center"/>
          </w:tcPr>
          <w:p w14:paraId="0687C4FA">
            <w:pPr>
              <w:wordWrap w:val="0"/>
              <w:spacing w:line="360" w:lineRule="auto"/>
              <w:rPr>
                <w:rFonts w:hint="eastAsia" w:ascii="宋体" w:hAnsi="宋体" w:cs="宋体"/>
                <w:color w:val="auto"/>
                <w:szCs w:val="21"/>
                <w:highlight w:val="none"/>
              </w:rPr>
            </w:pPr>
          </w:p>
        </w:tc>
        <w:tc>
          <w:tcPr>
            <w:tcW w:w="1068" w:type="dxa"/>
            <w:tcBorders>
              <w:top w:val="single" w:color="auto" w:sz="4" w:space="0"/>
              <w:left w:val="single" w:color="auto" w:sz="4" w:space="0"/>
              <w:bottom w:val="single" w:color="auto" w:sz="4" w:space="0"/>
              <w:right w:val="single" w:color="auto" w:sz="4" w:space="0"/>
            </w:tcBorders>
            <w:vAlign w:val="center"/>
          </w:tcPr>
          <w:p w14:paraId="4496D23C">
            <w:pPr>
              <w:wordWrap w:val="0"/>
              <w:spacing w:line="360" w:lineRule="auto"/>
              <w:rPr>
                <w:rFonts w:hint="eastAsia" w:ascii="宋体" w:hAnsi="宋体" w:cs="宋体"/>
                <w:color w:val="auto"/>
                <w:szCs w:val="21"/>
                <w:highlight w:val="none"/>
              </w:rPr>
            </w:pPr>
          </w:p>
        </w:tc>
        <w:tc>
          <w:tcPr>
            <w:tcW w:w="1369" w:type="dxa"/>
            <w:tcBorders>
              <w:top w:val="single" w:color="auto" w:sz="4" w:space="0"/>
              <w:left w:val="single" w:color="auto" w:sz="4" w:space="0"/>
              <w:bottom w:val="single" w:color="auto" w:sz="4" w:space="0"/>
              <w:right w:val="single" w:color="auto" w:sz="4" w:space="0"/>
            </w:tcBorders>
            <w:vAlign w:val="center"/>
          </w:tcPr>
          <w:p w14:paraId="6B1F10A6">
            <w:pPr>
              <w:wordWrap w:val="0"/>
              <w:spacing w:line="360" w:lineRule="auto"/>
              <w:rPr>
                <w:rFonts w:hint="eastAsia" w:ascii="宋体" w:hAnsi="宋体" w:cs="宋体"/>
                <w:color w:val="auto"/>
                <w:szCs w:val="21"/>
                <w:highlight w:val="none"/>
              </w:rPr>
            </w:pPr>
          </w:p>
        </w:tc>
        <w:tc>
          <w:tcPr>
            <w:tcW w:w="2269" w:type="dxa"/>
            <w:tcBorders>
              <w:top w:val="single" w:color="auto" w:sz="4" w:space="0"/>
              <w:left w:val="single" w:color="auto" w:sz="4" w:space="0"/>
              <w:bottom w:val="single" w:color="auto" w:sz="4" w:space="0"/>
              <w:right w:val="single" w:color="auto" w:sz="4" w:space="0"/>
            </w:tcBorders>
            <w:vAlign w:val="center"/>
          </w:tcPr>
          <w:p w14:paraId="1B1372AE">
            <w:pPr>
              <w:wordWrap w:val="0"/>
              <w:spacing w:line="360" w:lineRule="auto"/>
              <w:rPr>
                <w:rFonts w:hint="eastAsia" w:ascii="宋体" w:hAnsi="宋体" w:cs="宋体"/>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vAlign w:val="center"/>
          </w:tcPr>
          <w:p w14:paraId="06522400">
            <w:pPr>
              <w:wordWrap w:val="0"/>
              <w:spacing w:line="360" w:lineRule="auto"/>
              <w:rPr>
                <w:rFonts w:hint="eastAsia" w:ascii="宋体" w:hAnsi="宋体" w:cs="宋体"/>
                <w:color w:val="auto"/>
                <w:szCs w:val="21"/>
                <w:highlight w:val="none"/>
              </w:rPr>
            </w:pPr>
          </w:p>
        </w:tc>
      </w:tr>
      <w:tr w14:paraId="076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vAlign w:val="center"/>
          </w:tcPr>
          <w:p w14:paraId="0D095DF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p>
        </w:tc>
        <w:tc>
          <w:tcPr>
            <w:tcW w:w="1897" w:type="dxa"/>
            <w:tcBorders>
              <w:top w:val="single" w:color="auto" w:sz="4" w:space="0"/>
              <w:left w:val="single" w:color="auto" w:sz="4" w:space="0"/>
              <w:bottom w:val="single" w:color="auto" w:sz="4" w:space="0"/>
              <w:right w:val="single" w:color="auto" w:sz="4" w:space="0"/>
            </w:tcBorders>
            <w:vAlign w:val="center"/>
          </w:tcPr>
          <w:p w14:paraId="248430FD">
            <w:pPr>
              <w:wordWrap w:val="0"/>
              <w:spacing w:line="360" w:lineRule="auto"/>
              <w:rPr>
                <w:rFonts w:hint="eastAsia" w:ascii="宋体" w:hAnsi="宋体" w:cs="宋体"/>
                <w:color w:val="auto"/>
                <w:szCs w:val="21"/>
                <w:highlight w:val="none"/>
              </w:rPr>
            </w:pPr>
          </w:p>
        </w:tc>
        <w:tc>
          <w:tcPr>
            <w:tcW w:w="2029" w:type="dxa"/>
            <w:tcBorders>
              <w:top w:val="single" w:color="auto" w:sz="4" w:space="0"/>
              <w:left w:val="single" w:color="auto" w:sz="4" w:space="0"/>
              <w:bottom w:val="single" w:color="auto" w:sz="4" w:space="0"/>
              <w:right w:val="single" w:color="auto" w:sz="4" w:space="0"/>
            </w:tcBorders>
            <w:vAlign w:val="center"/>
          </w:tcPr>
          <w:p w14:paraId="07BE4B2F">
            <w:pPr>
              <w:wordWrap w:val="0"/>
              <w:spacing w:line="360" w:lineRule="auto"/>
              <w:rPr>
                <w:rFonts w:hint="eastAsia" w:ascii="宋体" w:hAnsi="宋体" w:cs="宋体"/>
                <w:color w:val="auto"/>
                <w:szCs w:val="21"/>
                <w:highlight w:val="none"/>
              </w:rPr>
            </w:pPr>
          </w:p>
        </w:tc>
        <w:tc>
          <w:tcPr>
            <w:tcW w:w="1068" w:type="dxa"/>
            <w:tcBorders>
              <w:top w:val="single" w:color="auto" w:sz="4" w:space="0"/>
              <w:left w:val="single" w:color="auto" w:sz="4" w:space="0"/>
              <w:bottom w:val="single" w:color="auto" w:sz="4" w:space="0"/>
              <w:right w:val="single" w:color="auto" w:sz="4" w:space="0"/>
            </w:tcBorders>
            <w:vAlign w:val="center"/>
          </w:tcPr>
          <w:p w14:paraId="4FF82B8A">
            <w:pPr>
              <w:wordWrap w:val="0"/>
              <w:spacing w:line="360" w:lineRule="auto"/>
              <w:rPr>
                <w:rFonts w:hint="eastAsia" w:ascii="宋体" w:hAnsi="宋体" w:cs="宋体"/>
                <w:color w:val="auto"/>
                <w:szCs w:val="21"/>
                <w:highlight w:val="none"/>
              </w:rPr>
            </w:pPr>
          </w:p>
        </w:tc>
        <w:tc>
          <w:tcPr>
            <w:tcW w:w="1369" w:type="dxa"/>
            <w:tcBorders>
              <w:top w:val="single" w:color="auto" w:sz="4" w:space="0"/>
              <w:left w:val="single" w:color="auto" w:sz="4" w:space="0"/>
              <w:bottom w:val="single" w:color="auto" w:sz="4" w:space="0"/>
              <w:right w:val="single" w:color="auto" w:sz="4" w:space="0"/>
            </w:tcBorders>
            <w:vAlign w:val="center"/>
          </w:tcPr>
          <w:p w14:paraId="2D8BD589">
            <w:pPr>
              <w:wordWrap w:val="0"/>
              <w:spacing w:line="360" w:lineRule="auto"/>
              <w:rPr>
                <w:rFonts w:hint="eastAsia" w:ascii="宋体" w:hAnsi="宋体" w:cs="宋体"/>
                <w:color w:val="auto"/>
                <w:szCs w:val="21"/>
                <w:highlight w:val="none"/>
              </w:rPr>
            </w:pPr>
          </w:p>
        </w:tc>
        <w:tc>
          <w:tcPr>
            <w:tcW w:w="2269" w:type="dxa"/>
            <w:tcBorders>
              <w:top w:val="single" w:color="auto" w:sz="4" w:space="0"/>
              <w:left w:val="single" w:color="auto" w:sz="4" w:space="0"/>
              <w:bottom w:val="single" w:color="auto" w:sz="4" w:space="0"/>
              <w:right w:val="single" w:color="auto" w:sz="4" w:space="0"/>
            </w:tcBorders>
            <w:vAlign w:val="center"/>
          </w:tcPr>
          <w:p w14:paraId="5212A2B7">
            <w:pPr>
              <w:wordWrap w:val="0"/>
              <w:spacing w:line="360" w:lineRule="auto"/>
              <w:rPr>
                <w:rFonts w:hint="eastAsia" w:ascii="宋体" w:hAnsi="宋体" w:cs="宋体"/>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vAlign w:val="center"/>
          </w:tcPr>
          <w:p w14:paraId="747E9235">
            <w:pPr>
              <w:wordWrap w:val="0"/>
              <w:spacing w:line="360" w:lineRule="auto"/>
              <w:rPr>
                <w:rFonts w:hint="eastAsia" w:ascii="宋体" w:hAnsi="宋体" w:cs="宋体"/>
                <w:color w:val="auto"/>
                <w:szCs w:val="21"/>
                <w:highlight w:val="none"/>
              </w:rPr>
            </w:pPr>
          </w:p>
        </w:tc>
      </w:tr>
      <w:tr w14:paraId="762C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684" w:type="dxa"/>
            <w:tcBorders>
              <w:top w:val="single" w:color="auto" w:sz="4" w:space="0"/>
              <w:left w:val="single" w:color="auto" w:sz="4" w:space="0"/>
              <w:bottom w:val="single" w:color="auto" w:sz="4" w:space="0"/>
              <w:right w:val="single" w:color="auto" w:sz="4" w:space="0"/>
            </w:tcBorders>
            <w:vAlign w:val="center"/>
          </w:tcPr>
          <w:p w14:paraId="0E63A1D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tc>
        <w:tc>
          <w:tcPr>
            <w:tcW w:w="1897" w:type="dxa"/>
            <w:tcBorders>
              <w:top w:val="single" w:color="auto" w:sz="4" w:space="0"/>
              <w:left w:val="single" w:color="auto" w:sz="4" w:space="0"/>
              <w:bottom w:val="single" w:color="auto" w:sz="4" w:space="0"/>
              <w:right w:val="single" w:color="auto" w:sz="4" w:space="0"/>
            </w:tcBorders>
            <w:vAlign w:val="center"/>
          </w:tcPr>
          <w:p w14:paraId="58D77347">
            <w:pPr>
              <w:wordWrap w:val="0"/>
              <w:spacing w:line="360" w:lineRule="auto"/>
              <w:rPr>
                <w:rFonts w:hint="eastAsia" w:ascii="宋体" w:hAnsi="宋体" w:cs="宋体"/>
                <w:color w:val="auto"/>
                <w:szCs w:val="21"/>
                <w:highlight w:val="none"/>
              </w:rPr>
            </w:pPr>
          </w:p>
        </w:tc>
        <w:tc>
          <w:tcPr>
            <w:tcW w:w="2029" w:type="dxa"/>
            <w:tcBorders>
              <w:top w:val="single" w:color="auto" w:sz="4" w:space="0"/>
              <w:left w:val="single" w:color="auto" w:sz="4" w:space="0"/>
              <w:bottom w:val="single" w:color="auto" w:sz="4" w:space="0"/>
              <w:right w:val="single" w:color="auto" w:sz="4" w:space="0"/>
            </w:tcBorders>
            <w:vAlign w:val="center"/>
          </w:tcPr>
          <w:p w14:paraId="2BB4982C">
            <w:pPr>
              <w:wordWrap w:val="0"/>
              <w:spacing w:line="360" w:lineRule="auto"/>
              <w:rPr>
                <w:rFonts w:hint="eastAsia" w:ascii="宋体" w:hAnsi="宋体" w:cs="宋体"/>
                <w:color w:val="auto"/>
                <w:szCs w:val="21"/>
                <w:highlight w:val="none"/>
              </w:rPr>
            </w:pPr>
          </w:p>
        </w:tc>
        <w:tc>
          <w:tcPr>
            <w:tcW w:w="1068" w:type="dxa"/>
            <w:tcBorders>
              <w:top w:val="single" w:color="auto" w:sz="4" w:space="0"/>
              <w:left w:val="single" w:color="auto" w:sz="4" w:space="0"/>
              <w:bottom w:val="single" w:color="auto" w:sz="4" w:space="0"/>
              <w:right w:val="single" w:color="auto" w:sz="4" w:space="0"/>
            </w:tcBorders>
            <w:vAlign w:val="center"/>
          </w:tcPr>
          <w:p w14:paraId="23833EA5">
            <w:pPr>
              <w:wordWrap w:val="0"/>
              <w:spacing w:line="360" w:lineRule="auto"/>
              <w:rPr>
                <w:rFonts w:hint="eastAsia" w:ascii="宋体" w:hAnsi="宋体" w:cs="宋体"/>
                <w:color w:val="auto"/>
                <w:szCs w:val="21"/>
                <w:highlight w:val="none"/>
              </w:rPr>
            </w:pPr>
          </w:p>
        </w:tc>
        <w:tc>
          <w:tcPr>
            <w:tcW w:w="1369" w:type="dxa"/>
            <w:tcBorders>
              <w:top w:val="single" w:color="auto" w:sz="4" w:space="0"/>
              <w:left w:val="single" w:color="auto" w:sz="4" w:space="0"/>
              <w:bottom w:val="single" w:color="auto" w:sz="4" w:space="0"/>
              <w:right w:val="single" w:color="auto" w:sz="4" w:space="0"/>
            </w:tcBorders>
            <w:vAlign w:val="center"/>
          </w:tcPr>
          <w:p w14:paraId="0636BD67">
            <w:pPr>
              <w:wordWrap w:val="0"/>
              <w:spacing w:line="360" w:lineRule="auto"/>
              <w:rPr>
                <w:rFonts w:hint="eastAsia" w:ascii="宋体" w:hAnsi="宋体" w:cs="宋体"/>
                <w:color w:val="auto"/>
                <w:szCs w:val="21"/>
                <w:highlight w:val="none"/>
              </w:rPr>
            </w:pPr>
          </w:p>
        </w:tc>
        <w:tc>
          <w:tcPr>
            <w:tcW w:w="2269" w:type="dxa"/>
            <w:tcBorders>
              <w:top w:val="single" w:color="auto" w:sz="4" w:space="0"/>
              <w:left w:val="single" w:color="auto" w:sz="4" w:space="0"/>
              <w:bottom w:val="single" w:color="auto" w:sz="4" w:space="0"/>
              <w:right w:val="single" w:color="auto" w:sz="4" w:space="0"/>
            </w:tcBorders>
            <w:vAlign w:val="center"/>
          </w:tcPr>
          <w:p w14:paraId="0B7C5292">
            <w:pPr>
              <w:wordWrap w:val="0"/>
              <w:spacing w:line="360" w:lineRule="auto"/>
              <w:rPr>
                <w:rFonts w:hint="eastAsia" w:ascii="宋体" w:hAnsi="宋体" w:cs="宋体"/>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vAlign w:val="center"/>
          </w:tcPr>
          <w:p w14:paraId="689153DA">
            <w:pPr>
              <w:wordWrap w:val="0"/>
              <w:spacing w:line="360" w:lineRule="auto"/>
              <w:rPr>
                <w:rFonts w:hint="eastAsia" w:ascii="宋体" w:hAnsi="宋体" w:cs="宋体"/>
                <w:color w:val="auto"/>
                <w:szCs w:val="21"/>
                <w:highlight w:val="none"/>
              </w:rPr>
            </w:pPr>
          </w:p>
        </w:tc>
      </w:tr>
      <w:tr w14:paraId="6AF7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408" w:type="dxa"/>
            <w:gridSpan w:val="7"/>
            <w:tcBorders>
              <w:top w:val="single" w:color="auto" w:sz="4" w:space="0"/>
              <w:left w:val="single" w:color="auto" w:sz="4" w:space="0"/>
              <w:bottom w:val="single" w:color="auto" w:sz="4" w:space="0"/>
              <w:right w:val="single" w:color="auto" w:sz="4" w:space="0"/>
            </w:tcBorders>
          </w:tcPr>
          <w:p w14:paraId="293C5D20">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报价合计（包含税费等所有费用）：（大写）人民币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r>
      <w:tr w14:paraId="7738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408" w:type="dxa"/>
            <w:gridSpan w:val="7"/>
            <w:tcBorders>
              <w:top w:val="single" w:color="auto" w:sz="4" w:space="0"/>
              <w:left w:val="single" w:color="auto" w:sz="4" w:space="0"/>
              <w:bottom w:val="single" w:color="auto" w:sz="4" w:space="0"/>
              <w:right w:val="single" w:color="auto" w:sz="4" w:space="0"/>
            </w:tcBorders>
          </w:tcPr>
          <w:p w14:paraId="4507BCB2">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u w:val="single"/>
              </w:rPr>
              <w:t>　　</w:t>
            </w:r>
            <w:r>
              <w:rPr>
                <w:rFonts w:hint="eastAsia" w:ascii="宋体" w:hAnsi="宋体" w:cs="宋体"/>
                <w:color w:val="auto"/>
                <w:szCs w:val="21"/>
                <w:highlight w:val="none"/>
              </w:rPr>
              <w:t>分标（此处有分标时填写具体分标号，无分标时填写“无”）</w:t>
            </w:r>
          </w:p>
        </w:tc>
      </w:tr>
      <w:tr w14:paraId="173D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408" w:type="dxa"/>
            <w:gridSpan w:val="7"/>
            <w:tcBorders>
              <w:top w:val="single" w:color="auto" w:sz="4" w:space="0"/>
              <w:left w:val="single" w:color="auto" w:sz="4" w:space="0"/>
              <w:bottom w:val="single" w:color="auto" w:sz="4" w:space="0"/>
              <w:right w:val="single" w:color="auto" w:sz="4" w:space="0"/>
            </w:tcBorders>
          </w:tcPr>
          <w:p w14:paraId="6C174C7A">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提交服务时间：</w:t>
            </w:r>
          </w:p>
        </w:tc>
      </w:tr>
      <w:tr w14:paraId="1A33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10408" w:type="dxa"/>
            <w:gridSpan w:val="7"/>
            <w:tcBorders>
              <w:top w:val="single" w:color="auto" w:sz="4" w:space="0"/>
              <w:left w:val="single" w:color="auto" w:sz="4" w:space="0"/>
              <w:bottom w:val="single" w:color="auto" w:sz="4" w:space="0"/>
              <w:right w:val="single" w:color="auto" w:sz="4" w:space="0"/>
            </w:tcBorders>
          </w:tcPr>
          <w:p w14:paraId="0AA84D8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验收标准：</w:t>
            </w:r>
          </w:p>
        </w:tc>
      </w:tr>
      <w:tr w14:paraId="477E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10408" w:type="dxa"/>
            <w:gridSpan w:val="7"/>
            <w:tcBorders>
              <w:top w:val="single" w:color="auto" w:sz="4" w:space="0"/>
              <w:left w:val="single" w:color="auto" w:sz="4" w:space="0"/>
              <w:bottom w:val="single" w:color="auto" w:sz="4" w:space="0"/>
              <w:right w:val="single" w:color="auto" w:sz="4" w:space="0"/>
            </w:tcBorders>
          </w:tcPr>
          <w:p w14:paraId="2C15DFC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优惠及其它：</w:t>
            </w:r>
          </w:p>
        </w:tc>
      </w:tr>
    </w:tbl>
    <w:p w14:paraId="484573D4">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7FA8D7E5">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投标人需按本表格式填写，不得自行更改，也不得留空（备注</w:t>
      </w:r>
      <w:r>
        <w:rPr>
          <w:rFonts w:hint="eastAsia" w:ascii="宋体" w:hAnsi="宋体" w:cs="宋体"/>
          <w:color w:val="auto"/>
          <w:kern w:val="0"/>
          <w:szCs w:val="21"/>
          <w:highlight w:val="none"/>
        </w:rPr>
        <w:t>除外</w:t>
      </w:r>
      <w:r>
        <w:rPr>
          <w:rFonts w:hint="eastAsia" w:ascii="宋体" w:hAnsi="宋体" w:cs="宋体"/>
          <w:color w:val="auto"/>
          <w:kern w:val="0"/>
          <w:szCs w:val="21"/>
          <w:highlight w:val="none"/>
          <w:lang w:val="zh-CN"/>
        </w:rPr>
        <w:t>）, 如有多分标，按分标分别提供开标一览表，必须加盖投标人有效电子公章，</w:t>
      </w:r>
      <w:r>
        <w:rPr>
          <w:rFonts w:hint="eastAsia" w:ascii="宋体" w:hAnsi="宋体" w:cs="宋体"/>
          <w:b/>
          <w:color w:val="auto"/>
          <w:kern w:val="0"/>
          <w:szCs w:val="21"/>
          <w:highlight w:val="none"/>
          <w:lang w:val="zh-CN"/>
        </w:rPr>
        <w:t>否则其投标作无效标处理。</w:t>
      </w:r>
    </w:p>
    <w:p w14:paraId="557E85D3">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2</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本表内容均不能涂改，</w:t>
      </w:r>
      <w:r>
        <w:rPr>
          <w:rFonts w:hint="eastAsia" w:ascii="宋体" w:hAnsi="宋体" w:cs="宋体"/>
          <w:b/>
          <w:color w:val="auto"/>
          <w:kern w:val="0"/>
          <w:szCs w:val="21"/>
          <w:highlight w:val="none"/>
          <w:lang w:val="zh-CN"/>
        </w:rPr>
        <w:t>否则其投标作无效标处理。</w:t>
      </w:r>
    </w:p>
    <w:p w14:paraId="481FCD65">
      <w:pPr>
        <w:wordWrap w:val="0"/>
        <w:snapToGrid w:val="0"/>
        <w:spacing w:line="360" w:lineRule="auto"/>
        <w:ind w:firstLine="420" w:firstLineChars="200"/>
        <w:jc w:val="left"/>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3</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如为联合体投标，“投标人名称”处必须列明联合体各方名称，并标注联合体牵头人名称，且盖章处须加盖联合体各方公章，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否则其投标作无效标处理。</w:t>
      </w:r>
    </w:p>
    <w:p w14:paraId="54CC6B3A">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4</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以上表格要求细分项目及报价，在“具体服务内容”一栏中，填写具体服务范围、服务时间、服务标准，</w:t>
      </w:r>
      <w:r>
        <w:rPr>
          <w:rFonts w:hint="eastAsia" w:ascii="宋体" w:hAnsi="宋体" w:cs="宋体"/>
          <w:b/>
          <w:color w:val="auto"/>
          <w:kern w:val="0"/>
          <w:szCs w:val="21"/>
          <w:highlight w:val="none"/>
          <w:lang w:val="zh-CN"/>
        </w:rPr>
        <w:t>否则其投标作无效</w:t>
      </w:r>
      <w:r>
        <w:rPr>
          <w:rFonts w:hint="eastAsia" w:ascii="宋体" w:hAnsi="宋体" w:cs="宋体"/>
          <w:b/>
          <w:color w:val="auto"/>
          <w:kern w:val="0"/>
          <w:szCs w:val="21"/>
          <w:highlight w:val="none"/>
        </w:rPr>
        <w:t>投</w:t>
      </w:r>
      <w:r>
        <w:rPr>
          <w:rFonts w:hint="eastAsia" w:ascii="宋体" w:hAnsi="宋体" w:cs="宋体"/>
          <w:b/>
          <w:color w:val="auto"/>
          <w:kern w:val="0"/>
          <w:szCs w:val="21"/>
          <w:highlight w:val="none"/>
          <w:lang w:val="zh-CN"/>
        </w:rPr>
        <w:t>标处理。</w:t>
      </w:r>
    </w:p>
    <w:p w14:paraId="3168B3AC">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5</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特别提示：采购机构将对项目名称和项目编号，中标供应商名称、地址和中标金额，主要中标标的的名称、服务范围、服务要求、服务时间、服务标准等予以公示。</w:t>
      </w:r>
    </w:p>
    <w:p w14:paraId="355597FD">
      <w:pPr>
        <w:wordWrap w:val="0"/>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6</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zh-CN"/>
        </w:rPr>
        <w:t>符合招标文件中列明的可享受</w:t>
      </w:r>
      <w:r>
        <w:rPr>
          <w:rFonts w:hint="eastAsia" w:ascii="宋体" w:hAnsi="宋体" w:cs="宋体"/>
          <w:color w:val="auto"/>
          <w:kern w:val="0"/>
          <w:szCs w:val="21"/>
          <w:highlight w:val="none"/>
        </w:rPr>
        <w:t>中小</w:t>
      </w:r>
      <w:r>
        <w:rPr>
          <w:rFonts w:hint="eastAsia" w:ascii="宋体" w:hAnsi="宋体" w:cs="宋体"/>
          <w:color w:val="auto"/>
          <w:kern w:val="0"/>
          <w:szCs w:val="21"/>
          <w:highlight w:val="none"/>
          <w:lang w:val="zh-CN"/>
        </w:rPr>
        <w:t>企业扶持政策的投标人，请填写《中小企业声明函》。注：投标人提供的《中小企业声明函》内容不实的，属于提供虚假材料谋取中标、成交，依照《中华人民共和国政府采购法》等国家有关规定追究相应责任。</w:t>
      </w:r>
    </w:p>
    <w:p w14:paraId="4FD7ABD1">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13EC1B14">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77EB87B5">
      <w:pPr>
        <w:wordWrap w:val="0"/>
        <w:snapToGrid w:val="0"/>
        <w:spacing w:line="360" w:lineRule="auto"/>
        <w:ind w:right="480" w:firstLine="562"/>
        <w:jc w:val="center"/>
        <w:rPr>
          <w:rFonts w:hint="eastAsia" w:hAnsi="宋体" w:cs="宋体"/>
          <w:b/>
          <w:color w:val="auto"/>
          <w:sz w:val="30"/>
          <w:szCs w:val="30"/>
          <w:highlight w:val="none"/>
        </w:rPr>
      </w:pPr>
      <w:r>
        <w:rPr>
          <w:rFonts w:hint="eastAsia" w:ascii="宋体" w:hAnsi="宋体" w:cs="宋体"/>
          <w:b/>
          <w:bCs/>
          <w:color w:val="auto"/>
          <w:sz w:val="28"/>
          <w:szCs w:val="28"/>
          <w:highlight w:val="none"/>
        </w:rPr>
        <w:br w:type="page"/>
      </w:r>
      <w:r>
        <w:rPr>
          <w:rFonts w:hint="eastAsia" w:ascii="宋体" w:hAnsi="宋体" w:cs="宋体"/>
          <w:b/>
          <w:color w:val="auto"/>
          <w:kern w:val="0"/>
          <w:sz w:val="32"/>
          <w:szCs w:val="32"/>
          <w:highlight w:val="none"/>
        </w:rPr>
        <w:t>三、中小企业声明函</w:t>
      </w:r>
    </w:p>
    <w:p w14:paraId="680FF5E0">
      <w:pPr>
        <w:pStyle w:val="12"/>
        <w:wordWrap w:val="0"/>
        <w:spacing w:line="360" w:lineRule="auto"/>
        <w:ind w:firstLine="602"/>
        <w:jc w:val="center"/>
        <w:rPr>
          <w:rFonts w:hint="eastAsia" w:hAnsi="宋体" w:cs="宋体"/>
          <w:b/>
          <w:color w:val="auto"/>
          <w:sz w:val="30"/>
          <w:szCs w:val="30"/>
          <w:highlight w:val="none"/>
        </w:rPr>
      </w:pPr>
      <w:r>
        <w:rPr>
          <w:rFonts w:hint="eastAsia" w:hAnsi="宋体" w:cs="宋体"/>
          <w:b/>
          <w:color w:val="auto"/>
          <w:sz w:val="30"/>
          <w:szCs w:val="30"/>
          <w:highlight w:val="none"/>
        </w:rPr>
        <w:t>中小企业声明函</w:t>
      </w:r>
    </w:p>
    <w:p w14:paraId="3C4F42DB">
      <w:pPr>
        <w:pStyle w:val="10"/>
        <w:wordWrap w:val="0"/>
        <w:spacing w:line="360" w:lineRule="auto"/>
        <w:ind w:firstLine="404"/>
        <w:rPr>
          <w:rFonts w:hint="eastAsia" w:hAnsi="宋体" w:cs="宋体"/>
          <w:color w:val="auto"/>
          <w:sz w:val="21"/>
          <w:szCs w:val="21"/>
          <w:highlight w:val="none"/>
        </w:rPr>
      </w:pPr>
      <w:r>
        <w:rPr>
          <w:rFonts w:hint="eastAsia" w:hAnsi="宋体" w:cs="宋体"/>
          <w:color w:val="auto"/>
          <w:sz w:val="21"/>
          <w:szCs w:val="21"/>
          <w:highlight w:val="none"/>
        </w:rPr>
        <w:t>说明：</w:t>
      </w:r>
    </w:p>
    <w:p w14:paraId="7FF9639C">
      <w:pPr>
        <w:pStyle w:val="10"/>
        <w:wordWrap w:val="0"/>
        <w:spacing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1.本声明函主要供参加政府采购活动的中小企业填写，非中小企业无需填写。</w:t>
      </w:r>
    </w:p>
    <w:p w14:paraId="79D1D1FA">
      <w:pPr>
        <w:pStyle w:val="10"/>
        <w:wordWrap w:val="0"/>
        <w:spacing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2.小型、微型企业提供中型企业提供的服务的，视同为中型企业。</w:t>
      </w:r>
    </w:p>
    <w:p w14:paraId="16A5B3E4">
      <w:pPr>
        <w:pStyle w:val="10"/>
        <w:wordWrap w:val="0"/>
        <w:spacing w:line="360" w:lineRule="auto"/>
        <w:ind w:firstLine="404" w:firstLineChars="200"/>
        <w:rPr>
          <w:rFonts w:hint="eastAsia" w:hAnsi="宋体" w:cs="宋体"/>
          <w:color w:val="auto"/>
          <w:sz w:val="21"/>
          <w:szCs w:val="21"/>
          <w:highlight w:val="none"/>
        </w:rPr>
      </w:pPr>
    </w:p>
    <w:p w14:paraId="2B488610">
      <w:pPr>
        <w:pStyle w:val="9"/>
        <w:wordWrap w:val="0"/>
        <w:spacing w:after="0"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本公司（联合体）郑重声明，根据《政府采购促进中小企业发展管理办法》（财库﹝2020﹞46号）的规定，本公司（联合体）参加</w:t>
      </w:r>
      <w:r>
        <w:rPr>
          <w:rFonts w:hint="eastAsia" w:ascii="宋体" w:hAnsi="宋体" w:cs="宋体"/>
          <w:color w:val="auto"/>
          <w:szCs w:val="21"/>
          <w:highlight w:val="none"/>
          <w:u w:val="single"/>
        </w:rPr>
        <w:t xml:space="preserve">   （采购人名称）           </w:t>
      </w:r>
      <w:r>
        <w:rPr>
          <w:rFonts w:hint="eastAsia" w:ascii="宋体" w:hAnsi="宋体" w:cs="宋体"/>
          <w:color w:val="auto"/>
          <w:szCs w:val="21"/>
          <w:highlight w:val="none"/>
        </w:rPr>
        <w:t>的</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采购活动，服务全部由符合政策要求的中小企业承接。相关企业（含联合体中的中小企业、签订分包意向协议的中小企业）的具体情况如下：</w:t>
      </w:r>
    </w:p>
    <w:p w14:paraId="155BA3D1">
      <w:pPr>
        <w:tabs>
          <w:tab w:val="left" w:pos="1384"/>
          <w:tab w:val="left" w:pos="4562"/>
          <w:tab w:val="left" w:pos="6803"/>
        </w:tabs>
        <w:wordWrap w:val="0"/>
        <w:spacing w:line="360" w:lineRule="auto"/>
        <w:ind w:right="142" w:firstLine="630" w:firstLineChars="3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 xml:space="preserve">（标的名称）    </w:t>
      </w:r>
      <w:r>
        <w:rPr>
          <w:rFonts w:hint="eastAsia" w:ascii="宋体" w:hAnsi="宋体" w:cs="宋体"/>
          <w:color w:val="auto"/>
          <w:szCs w:val="21"/>
          <w:highlight w:val="none"/>
        </w:rPr>
        <w:t>，属于</w:t>
      </w:r>
      <w:r>
        <w:rPr>
          <w:rFonts w:hint="eastAsia" w:ascii="宋体" w:hAnsi="宋体" w:cs="宋体"/>
          <w:color w:val="auto"/>
          <w:szCs w:val="21"/>
          <w:highlight w:val="none"/>
          <w:u w:val="single"/>
        </w:rPr>
        <w:t xml:space="preserve">（采购文件中明确的所属行业） </w:t>
      </w:r>
      <w:r>
        <w:rPr>
          <w:rFonts w:hint="eastAsia" w:ascii="宋体" w:hAnsi="宋体" w:cs="宋体"/>
          <w:color w:val="auto"/>
          <w:szCs w:val="21"/>
          <w:highlight w:val="none"/>
        </w:rPr>
        <w:t>；承接企业为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w:t>
      </w:r>
      <w:r>
        <w:rPr>
          <w:rFonts w:hint="eastAsia" w:ascii="宋体" w:hAnsi="宋体" w:cs="宋体"/>
          <w:color w:val="auto"/>
          <w:szCs w:val="21"/>
          <w:highlight w:val="none"/>
          <w:u w:val="single"/>
        </w:rPr>
        <w:t xml:space="preserve">  （中型企业、小型企业、微型企业）</w:t>
      </w:r>
      <w:r>
        <w:rPr>
          <w:rFonts w:hint="eastAsia" w:ascii="宋体" w:hAnsi="宋体" w:cs="宋体"/>
          <w:color w:val="auto"/>
          <w:szCs w:val="21"/>
          <w:highlight w:val="none"/>
        </w:rPr>
        <w:t>；</w:t>
      </w:r>
    </w:p>
    <w:p w14:paraId="599ECEF8">
      <w:pPr>
        <w:tabs>
          <w:tab w:val="left" w:pos="1065"/>
          <w:tab w:val="left" w:pos="4262"/>
          <w:tab w:val="left" w:pos="6477"/>
        </w:tabs>
        <w:wordWrap w:val="0"/>
        <w:spacing w:line="360" w:lineRule="auto"/>
        <w:ind w:left="420" w:leftChars="200" w:right="84" w:firstLine="178" w:firstLineChars="85"/>
        <w:rPr>
          <w:rFonts w:hint="eastAsia" w:ascii="宋体" w:hAnsi="宋体" w:cs="宋体"/>
          <w:color w:val="auto"/>
          <w:szCs w:val="21"/>
          <w:highlight w:val="none"/>
          <w:u w:val="single"/>
        </w:rPr>
      </w:pPr>
      <w:r>
        <w:rPr>
          <w:rFonts w:hint="eastAsia" w:ascii="宋体" w:hAnsi="宋体" w:cs="宋体"/>
          <w:color w:val="auto"/>
          <w:szCs w:val="21"/>
          <w:highlight w:val="none"/>
        </w:rPr>
        <w:t>2.</w:t>
      </w:r>
      <w:r>
        <w:rPr>
          <w:rFonts w:hint="eastAsia" w:ascii="宋体" w:hAnsi="宋体" w:cs="宋体"/>
          <w:color w:val="auto"/>
          <w:szCs w:val="21"/>
          <w:highlight w:val="none"/>
          <w:u w:val="single"/>
        </w:rPr>
        <w:t xml:space="preserve">（标的名称）   </w:t>
      </w:r>
      <w:r>
        <w:rPr>
          <w:rFonts w:hint="eastAsia" w:ascii="宋体" w:hAnsi="宋体" w:cs="宋体"/>
          <w:color w:val="auto"/>
          <w:szCs w:val="21"/>
          <w:highlight w:val="none"/>
        </w:rPr>
        <w:t>，属于</w:t>
      </w:r>
      <w:r>
        <w:rPr>
          <w:rFonts w:hint="eastAsia" w:ascii="宋体" w:hAnsi="宋体" w:cs="宋体"/>
          <w:color w:val="auto"/>
          <w:szCs w:val="21"/>
          <w:highlight w:val="none"/>
          <w:u w:val="single"/>
        </w:rPr>
        <w:t>（采购文件中明确的所属行业）</w:t>
      </w:r>
      <w:r>
        <w:rPr>
          <w:rFonts w:hint="eastAsia" w:ascii="宋体" w:hAnsi="宋体" w:cs="宋体"/>
          <w:color w:val="auto"/>
          <w:szCs w:val="21"/>
          <w:highlight w:val="none"/>
        </w:rPr>
        <w:t>；承接企业为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w:t>
      </w:r>
      <w:r>
        <w:rPr>
          <w:rFonts w:hint="eastAsia" w:ascii="宋体" w:hAnsi="宋体" w:cs="宋体"/>
          <w:color w:val="auto"/>
          <w:szCs w:val="21"/>
          <w:highlight w:val="none"/>
          <w:u w:val="single"/>
        </w:rPr>
        <w:t>（中型企业、小型企业、微型企业）</w:t>
      </w:r>
      <w:r>
        <w:rPr>
          <w:rFonts w:hint="eastAsia" w:ascii="宋体" w:hAnsi="宋体" w:cs="宋体"/>
          <w:color w:val="auto"/>
          <w:szCs w:val="21"/>
          <w:highlight w:val="none"/>
        </w:rPr>
        <w:t>；</w:t>
      </w:r>
    </w:p>
    <w:p w14:paraId="7598F811">
      <w:pPr>
        <w:pStyle w:val="9"/>
        <w:wordWrap w:val="0"/>
        <w:spacing w:after="0" w:line="360" w:lineRule="auto"/>
        <w:ind w:left="765" w:right="142" w:firstLine="42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5849ED0">
      <w:pPr>
        <w:pStyle w:val="9"/>
        <w:wordWrap w:val="0"/>
        <w:spacing w:after="0"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以上企业，不属于大企业的分支机构，不存在控股股东为大企业的情形，也不存在与大企业的负责人为同一人的情形。</w:t>
      </w:r>
    </w:p>
    <w:p w14:paraId="71DEDC8C">
      <w:pPr>
        <w:pStyle w:val="9"/>
        <w:wordWrap w:val="0"/>
        <w:spacing w:after="0" w:line="360" w:lineRule="auto"/>
        <w:ind w:right="14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本企业对上述声明内容的真实性负责。如有虚假，将依法承担相应责任。</w:t>
      </w:r>
    </w:p>
    <w:p w14:paraId="50855B37">
      <w:pPr>
        <w:pStyle w:val="12"/>
        <w:wordWrap w:val="0"/>
        <w:spacing w:line="360" w:lineRule="auto"/>
        <w:ind w:firstLine="420" w:firstLineChars="200"/>
        <w:rPr>
          <w:rFonts w:hint="eastAsia" w:hAnsi="宋体" w:cs="宋体"/>
          <w:color w:val="auto"/>
          <w:szCs w:val="21"/>
          <w:highlight w:val="none"/>
        </w:rPr>
      </w:pPr>
    </w:p>
    <w:p w14:paraId="7C551C3E">
      <w:pPr>
        <w:wordWrap w:val="0"/>
        <w:snapToGrid w:val="0"/>
        <w:spacing w:line="360" w:lineRule="auto"/>
        <w:ind w:firstLine="4410" w:firstLineChars="2100"/>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投标人名称(电子签章)：</w:t>
      </w:r>
    </w:p>
    <w:p w14:paraId="0757D51D">
      <w:pPr>
        <w:wordWrap w:val="0"/>
        <w:snapToGrid w:val="0"/>
        <w:spacing w:line="360" w:lineRule="auto"/>
        <w:ind w:firstLine="4515" w:firstLineChars="21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w:t>
      </w:r>
      <w:r>
        <w:rPr>
          <w:rFonts w:hint="eastAsia" w:ascii="宋体" w:hAnsi="宋体" w:cs="宋体"/>
          <w:color w:val="auto"/>
          <w:kern w:val="0"/>
          <w:szCs w:val="21"/>
          <w:highlight w:val="none"/>
        </w:rPr>
        <w:t xml:space="preserve">：  年  </w:t>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日</w:t>
      </w:r>
    </w:p>
    <w:p w14:paraId="19305083">
      <w:pPr>
        <w:pStyle w:val="12"/>
        <w:wordWrap w:val="0"/>
        <w:spacing w:line="360" w:lineRule="auto"/>
        <w:ind w:firstLine="420" w:firstLineChars="200"/>
        <w:rPr>
          <w:rFonts w:hint="eastAsia" w:hAnsi="宋体" w:cs="宋体"/>
          <w:color w:val="auto"/>
          <w:szCs w:val="21"/>
          <w:highlight w:val="none"/>
        </w:rPr>
      </w:pPr>
    </w:p>
    <w:p w14:paraId="1725692D">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7521C875">
      <w:pPr>
        <w:pStyle w:val="10"/>
        <w:wordWrap w:val="0"/>
        <w:spacing w:line="360" w:lineRule="auto"/>
        <w:ind w:firstLine="404" w:firstLineChars="200"/>
        <w:rPr>
          <w:rFonts w:hint="eastAsia" w:hAnsi="宋体" w:cs="宋体"/>
          <w:color w:val="auto"/>
          <w:sz w:val="21"/>
          <w:szCs w:val="21"/>
          <w:highlight w:val="none"/>
        </w:rPr>
      </w:pPr>
      <w:r>
        <w:rPr>
          <w:rFonts w:hint="eastAsia" w:hAnsi="宋体" w:cs="宋体"/>
          <w:color w:val="auto"/>
          <w:sz w:val="21"/>
          <w:szCs w:val="21"/>
          <w:highlight w:val="none"/>
        </w:rPr>
        <w:t>1.从业人员、营业收入、资产总额填报上一年度数据，无上一年度数据的新成立企业可不填报。</w:t>
      </w:r>
    </w:p>
    <w:p w14:paraId="3FF8C2D1">
      <w:pPr>
        <w:pStyle w:val="10"/>
        <w:wordWrap w:val="0"/>
        <w:spacing w:line="360" w:lineRule="auto"/>
        <w:ind w:firstLine="404" w:firstLineChars="200"/>
        <w:rPr>
          <w:rFonts w:hint="eastAsia" w:hAnsi="宋体" w:cs="宋体"/>
          <w:b/>
          <w:bCs/>
          <w:color w:val="auto"/>
          <w:sz w:val="28"/>
          <w:szCs w:val="28"/>
          <w:highlight w:val="none"/>
        </w:rPr>
      </w:pPr>
      <w:r>
        <w:rPr>
          <w:rFonts w:hint="eastAsia" w:hAnsi="宋体" w:cs="宋体"/>
          <w:color w:val="auto"/>
          <w:sz w:val="21"/>
          <w:szCs w:val="21"/>
          <w:highlight w:val="none"/>
        </w:rPr>
        <w:t>2.请根据自己的真实情况出具《中小企业声明函》。依法享受中小企业优惠政策的，采购人或者采购代理机构在公告中标结果时，同时公告其《中小企业声明函》，接受社会监督。</w:t>
      </w:r>
      <w:r>
        <w:rPr>
          <w:rFonts w:hint="eastAsia" w:hAnsi="宋体" w:cs="宋体"/>
          <w:b/>
          <w:bCs/>
          <w:color w:val="auto"/>
          <w:sz w:val="28"/>
          <w:szCs w:val="28"/>
          <w:highlight w:val="none"/>
        </w:rPr>
        <w:br w:type="page"/>
      </w:r>
    </w:p>
    <w:p w14:paraId="00615A5E">
      <w:pPr>
        <w:widowControl/>
        <w:spacing w:line="360" w:lineRule="auto"/>
        <w:ind w:firstLine="602"/>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残疾人福利性单位声明函（格式）</w:t>
      </w:r>
    </w:p>
    <w:p w14:paraId="6BA55E3D">
      <w:pPr>
        <w:widowControl/>
        <w:spacing w:line="360" w:lineRule="auto"/>
        <w:ind w:firstLine="602"/>
        <w:jc w:val="center"/>
        <w:rPr>
          <w:rFonts w:hint="eastAsia" w:ascii="宋体" w:hAnsi="宋体" w:cs="宋体"/>
          <w:b/>
          <w:color w:val="auto"/>
          <w:sz w:val="30"/>
          <w:szCs w:val="30"/>
          <w:highlight w:val="none"/>
        </w:rPr>
      </w:pPr>
    </w:p>
    <w:p w14:paraId="6D072701">
      <w:pPr>
        <w:widowControl/>
        <w:spacing w:line="360" w:lineRule="auto"/>
        <w:ind w:firstLine="600"/>
        <w:jc w:val="left"/>
        <w:rPr>
          <w:rFonts w:hint="eastAsia" w:ascii="宋体" w:hAnsi="宋体" w:cs="宋体"/>
          <w:color w:val="auto"/>
          <w:szCs w:val="21"/>
          <w:highlight w:val="none"/>
        </w:rPr>
      </w:pPr>
      <w:r>
        <w:rPr>
          <w:rFonts w:hint="eastAsia" w:ascii="宋体" w:hAnsi="宋体" w:cs="宋体"/>
          <w:color w:val="auto"/>
          <w:sz w:val="30"/>
          <w:szCs w:val="30"/>
          <w:highlight w:val="none"/>
        </w:rPr>
        <w:t xml:space="preserve">  </w:t>
      </w:r>
      <w:r>
        <w:rPr>
          <w:rFonts w:hint="eastAsia" w:ascii="宋体" w:hAnsi="宋体" w:cs="宋体"/>
          <w:color w:val="auto"/>
          <w:szCs w:val="21"/>
          <w:highlight w:val="none"/>
        </w:rPr>
        <w:t xml:space="preserve"> 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4F87641">
      <w:pPr>
        <w:widowControl/>
        <w:spacing w:line="360" w:lineRule="auto"/>
        <w:jc w:val="left"/>
        <w:rPr>
          <w:rFonts w:hint="eastAsia" w:ascii="宋体" w:hAnsi="宋体" w:cs="宋体"/>
          <w:b/>
          <w:color w:val="auto"/>
          <w:szCs w:val="21"/>
          <w:highlight w:val="none"/>
        </w:rPr>
      </w:pPr>
      <w:r>
        <w:rPr>
          <w:rFonts w:hint="eastAsia" w:ascii="宋体" w:hAnsi="宋体" w:cs="宋体"/>
          <w:color w:val="auto"/>
          <w:szCs w:val="21"/>
          <w:highlight w:val="none"/>
        </w:rPr>
        <w:t xml:space="preserve">  </w:t>
      </w:r>
    </w:p>
    <w:p w14:paraId="71E1BA87">
      <w:pPr>
        <w:widowControl/>
        <w:spacing w:line="360" w:lineRule="auto"/>
        <w:ind w:firstLine="422"/>
        <w:jc w:val="left"/>
        <w:rPr>
          <w:rFonts w:hint="eastAsia" w:ascii="宋体" w:hAnsi="宋体" w:cs="宋体"/>
          <w:b/>
          <w:color w:val="auto"/>
          <w:szCs w:val="21"/>
          <w:highlight w:val="none"/>
        </w:rPr>
      </w:pPr>
    </w:p>
    <w:p w14:paraId="46C08917">
      <w:pPr>
        <w:snapToGrid w:val="0"/>
        <w:spacing w:line="360" w:lineRule="auto"/>
        <w:ind w:left="5385" w:leftChars="1736" w:hanging="1739" w:hangingChars="825"/>
        <w:rPr>
          <w:rFonts w:hint="eastAsia" w:ascii="宋体" w:hAnsi="宋体" w:cs="宋体"/>
          <w:color w:val="auto"/>
          <w:kern w:val="0"/>
          <w:szCs w:val="21"/>
          <w:highlight w:val="none"/>
        </w:rPr>
      </w:pPr>
      <w:r>
        <w:rPr>
          <w:rFonts w:hint="eastAsia" w:ascii="宋体" w:hAnsi="宋体" w:cs="宋体"/>
          <w:b/>
          <w:color w:val="auto"/>
          <w:szCs w:val="21"/>
          <w:highlight w:val="none"/>
          <w:lang w:bidi="ar"/>
        </w:rPr>
        <w:t xml:space="preserve">                                                                    </w:t>
      </w:r>
      <w:r>
        <w:rPr>
          <w:rFonts w:hint="eastAsia" w:ascii="宋体" w:hAnsi="宋体" w:cs="宋体"/>
          <w:color w:val="auto"/>
          <w:kern w:val="0"/>
          <w:szCs w:val="21"/>
          <w:highlight w:val="none"/>
          <w:lang w:val="zh-CN" w:bidi="ar"/>
        </w:rPr>
        <w:t>投标人名称（电子签章）：</w:t>
      </w:r>
    </w:p>
    <w:p w14:paraId="70063DB3">
      <w:pPr>
        <w:snapToGrid w:val="0"/>
        <w:spacing w:line="360" w:lineRule="auto"/>
        <w:ind w:firstLine="5985" w:firstLineChars="285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bidi="ar"/>
        </w:rPr>
        <w:t>日期</w:t>
      </w:r>
      <w:r>
        <w:rPr>
          <w:rFonts w:hint="eastAsia" w:ascii="宋体" w:hAnsi="宋体" w:cs="宋体"/>
          <w:color w:val="auto"/>
          <w:kern w:val="0"/>
          <w:szCs w:val="21"/>
          <w:highlight w:val="none"/>
          <w:lang w:bidi="ar"/>
        </w:rPr>
        <w:t xml:space="preserve">：  年  </w:t>
      </w:r>
      <w:r>
        <w:rPr>
          <w:rFonts w:hint="eastAsia" w:ascii="宋体" w:hAnsi="宋体" w:cs="宋体"/>
          <w:color w:val="auto"/>
          <w:kern w:val="0"/>
          <w:szCs w:val="21"/>
          <w:highlight w:val="none"/>
          <w:lang w:val="zh-CN" w:bidi="ar"/>
        </w:rPr>
        <w:t>月</w:t>
      </w:r>
      <w:r>
        <w:rPr>
          <w:rFonts w:hint="eastAsia" w:ascii="宋体" w:hAnsi="宋体" w:cs="宋体"/>
          <w:color w:val="auto"/>
          <w:kern w:val="0"/>
          <w:szCs w:val="21"/>
          <w:highlight w:val="none"/>
          <w:lang w:bidi="ar"/>
        </w:rPr>
        <w:t xml:space="preserve">   </w:t>
      </w:r>
      <w:r>
        <w:rPr>
          <w:rFonts w:hint="eastAsia" w:ascii="宋体" w:hAnsi="宋体" w:cs="宋体"/>
          <w:color w:val="auto"/>
          <w:kern w:val="0"/>
          <w:szCs w:val="21"/>
          <w:highlight w:val="none"/>
          <w:lang w:val="zh-CN" w:bidi="ar"/>
        </w:rPr>
        <w:t>日</w:t>
      </w:r>
    </w:p>
    <w:p w14:paraId="731F79F7">
      <w:pPr>
        <w:widowControl/>
        <w:spacing w:line="360" w:lineRule="auto"/>
        <w:ind w:left="5180" w:leftChars="1979" w:hanging="1024" w:hangingChars="488"/>
        <w:rPr>
          <w:rFonts w:hint="eastAsia" w:ascii="宋体" w:hAnsi="宋体" w:cs="宋体"/>
          <w:color w:val="auto"/>
          <w:szCs w:val="21"/>
          <w:highlight w:val="none"/>
        </w:rPr>
      </w:pPr>
    </w:p>
    <w:p w14:paraId="7D74733D">
      <w:pPr>
        <w:spacing w:line="360" w:lineRule="auto"/>
        <w:ind w:right="420"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24BD9B7F">
      <w:pPr>
        <w:pStyle w:val="9"/>
        <w:wordWrap w:val="0"/>
        <w:spacing w:after="0" w:line="360" w:lineRule="auto"/>
        <w:rPr>
          <w:rFonts w:hint="eastAsia" w:ascii="宋体" w:hAnsi="宋体" w:cs="宋体"/>
          <w:color w:val="auto"/>
          <w:highlight w:val="none"/>
        </w:rPr>
      </w:pPr>
    </w:p>
    <w:p w14:paraId="0A67A7B6">
      <w:pPr>
        <w:ind w:firstLine="562"/>
        <w:rPr>
          <w:rFonts w:hint="eastAsia" w:ascii="宋体" w:hAnsi="宋体" w:cs="宋体"/>
          <w:b/>
          <w:bCs/>
          <w:color w:val="auto"/>
          <w:sz w:val="28"/>
          <w:szCs w:val="28"/>
          <w:highlight w:val="none"/>
        </w:rPr>
      </w:pPr>
      <w:bookmarkStart w:id="295" w:name="_Toc3237"/>
      <w:bookmarkStart w:id="296" w:name="_Toc19686840"/>
    </w:p>
    <w:p w14:paraId="270F6886">
      <w:pPr>
        <w:wordWrap w:val="0"/>
        <w:snapToGrid w:val="0"/>
        <w:spacing w:line="360" w:lineRule="auto"/>
        <w:ind w:right="480" w:firstLine="643"/>
        <w:jc w:val="cente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四、投标人针对报价需要说明的其他文件和说明。</w:t>
      </w:r>
    </w:p>
    <w:p w14:paraId="7A703220">
      <w:pPr>
        <w:ind w:firstLine="562"/>
        <w:jc w:val="left"/>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277905BA">
      <w:pPr>
        <w:wordWrap w:val="0"/>
        <w:snapToGrid w:val="0"/>
        <w:spacing w:line="360" w:lineRule="auto"/>
        <w:ind w:right="480" w:firstLine="643"/>
        <w:jc w:val="center"/>
        <w:outlineLvl w:val="1"/>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第六节 其他文书、文件格式</w:t>
      </w:r>
      <w:bookmarkEnd w:id="295"/>
      <w:bookmarkEnd w:id="296"/>
    </w:p>
    <w:p w14:paraId="3B0B44ED">
      <w:pPr>
        <w:wordWrap w:val="0"/>
        <w:spacing w:line="360" w:lineRule="auto"/>
        <w:ind w:firstLine="643"/>
        <w:jc w:val="center"/>
        <w:rPr>
          <w:rFonts w:hint="eastAsia" w:ascii="宋体" w:hAnsi="宋体" w:cs="宋体"/>
          <w:b/>
          <w:bCs/>
          <w:color w:val="auto"/>
          <w:sz w:val="32"/>
          <w:szCs w:val="32"/>
          <w:highlight w:val="none"/>
          <w:lang w:val="en"/>
        </w:rPr>
      </w:pPr>
    </w:p>
    <w:p w14:paraId="27D6B7A4">
      <w:pPr>
        <w:wordWrap w:val="0"/>
        <w:spacing w:line="360" w:lineRule="auto"/>
        <w:ind w:firstLine="643"/>
        <w:jc w:val="center"/>
        <w:rPr>
          <w:rFonts w:hint="eastAsia"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28D85712">
      <w:pPr>
        <w:wordWrap w:val="0"/>
        <w:spacing w:line="360" w:lineRule="auto"/>
        <w:ind w:firstLine="600"/>
        <w:rPr>
          <w:rFonts w:hint="eastAsia" w:ascii="宋体" w:hAnsi="宋体" w:cs="宋体"/>
          <w:color w:val="auto"/>
          <w:sz w:val="30"/>
          <w:szCs w:val="30"/>
          <w:highlight w:val="none"/>
        </w:rPr>
      </w:pPr>
      <w:r>
        <w:rPr>
          <w:rFonts w:hint="eastAsia" w:ascii="宋体" w:hAnsi="宋体" w:cs="宋体"/>
          <w:color w:val="auto"/>
          <w:sz w:val="30"/>
          <w:szCs w:val="30"/>
          <w:highlight w:val="none"/>
        </w:rPr>
        <w:t xml:space="preserve">    </w:t>
      </w:r>
    </w:p>
    <w:p w14:paraId="7CC0B528">
      <w:pPr>
        <w:wordWrap w:val="0"/>
        <w:spacing w:line="360" w:lineRule="auto"/>
        <w:ind w:firstLine="600"/>
        <w:rPr>
          <w:rFonts w:hint="eastAsia" w:ascii="宋体" w:hAnsi="宋体" w:cs="宋体"/>
          <w:color w:val="auto"/>
          <w:sz w:val="30"/>
          <w:szCs w:val="30"/>
          <w:highlight w:val="none"/>
          <w:lang w:val="en"/>
        </w:rPr>
      </w:pPr>
      <w:r>
        <w:rPr>
          <w:rFonts w:hint="eastAsia" w:ascii="宋体" w:hAnsi="宋体" w:cs="宋体"/>
          <w:color w:val="auto"/>
          <w:sz w:val="30"/>
          <w:szCs w:val="30"/>
          <w:highlight w:val="none"/>
        </w:rPr>
        <w:t xml:space="preserve">    本</w:t>
      </w:r>
      <w:r>
        <w:rPr>
          <w:rFonts w:hint="eastAsia" w:ascii="宋体" w:hAnsi="宋体" w:cs="宋体"/>
          <w:color w:val="auto"/>
          <w:sz w:val="30"/>
          <w:szCs w:val="30"/>
          <w:highlight w:val="none"/>
          <w:lang w:val="en"/>
        </w:rPr>
        <w:t>企业自愿参与政府投资政府采购的</w:t>
      </w:r>
      <w:r>
        <w:rPr>
          <w:rFonts w:hint="eastAsia" w:ascii="宋体" w:hAnsi="宋体" w:cs="宋体"/>
          <w:color w:val="auto"/>
          <w:sz w:val="30"/>
          <w:szCs w:val="30"/>
          <w:highlight w:val="none"/>
          <w:u w:val="single"/>
          <w:lang w:val="en"/>
        </w:rPr>
        <w:t>（</w:t>
      </w:r>
      <w:r>
        <w:rPr>
          <w:rFonts w:hint="eastAsia" w:ascii="宋体" w:hAnsi="宋体" w:cs="宋体"/>
          <w:color w:val="auto"/>
          <w:sz w:val="30"/>
          <w:szCs w:val="30"/>
          <w:highlight w:val="none"/>
          <w:u w:val="single"/>
        </w:rPr>
        <w:t>项目名称</w:t>
      </w:r>
      <w:r>
        <w:rPr>
          <w:rFonts w:hint="eastAsia" w:ascii="宋体" w:hAnsi="宋体" w:cs="宋体"/>
          <w:color w:val="auto"/>
          <w:sz w:val="30"/>
          <w:szCs w:val="30"/>
          <w:highlight w:val="none"/>
          <w:u w:val="single"/>
          <w:lang w:val="en"/>
        </w:rPr>
        <w:t>）</w:t>
      </w:r>
      <w:r>
        <w:rPr>
          <w:rFonts w:hint="eastAsia" w:ascii="宋体" w:hAnsi="宋体" w:cs="宋体"/>
          <w:color w:val="auto"/>
          <w:sz w:val="30"/>
          <w:szCs w:val="30"/>
          <w:highlight w:val="none"/>
          <w:lang w:val="en"/>
        </w:rPr>
        <w:t>项目，</w:t>
      </w:r>
      <w:r>
        <w:rPr>
          <w:rFonts w:hint="eastAsia" w:ascii="宋体" w:hAnsi="宋体" w:cs="宋体"/>
          <w:b/>
          <w:bCs/>
          <w:color w:val="auto"/>
          <w:sz w:val="30"/>
          <w:szCs w:val="30"/>
          <w:highlight w:val="none"/>
          <w:lang w:val="en"/>
        </w:rPr>
        <w:t>在此郑重承诺：</w:t>
      </w:r>
      <w:r>
        <w:rPr>
          <w:rFonts w:hint="eastAsia" w:ascii="宋体" w:hAnsi="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0254A616">
      <w:pPr>
        <w:wordWrap w:val="0"/>
        <w:snapToGrid w:val="0"/>
        <w:spacing w:line="360" w:lineRule="auto"/>
        <w:ind w:left="5137" w:leftChars="1736" w:hanging="1491" w:hangingChars="825"/>
        <w:rPr>
          <w:rFonts w:hint="eastAsia" w:ascii="宋体" w:hAnsi="宋体" w:cs="宋体"/>
          <w:b/>
          <w:color w:val="auto"/>
          <w:sz w:val="18"/>
          <w:szCs w:val="18"/>
          <w:highlight w:val="none"/>
        </w:rPr>
      </w:pPr>
      <w:r>
        <w:rPr>
          <w:rFonts w:hint="eastAsia" w:ascii="宋体" w:hAnsi="宋体" w:cs="宋体"/>
          <w:b/>
          <w:color w:val="auto"/>
          <w:sz w:val="18"/>
          <w:szCs w:val="18"/>
          <w:highlight w:val="none"/>
        </w:rPr>
        <w:t xml:space="preserve">           </w:t>
      </w:r>
    </w:p>
    <w:p w14:paraId="1FD3E5EF">
      <w:pPr>
        <w:wordWrap w:val="0"/>
        <w:snapToGrid w:val="0"/>
        <w:spacing w:line="360" w:lineRule="auto"/>
        <w:ind w:left="5137" w:leftChars="1736" w:hanging="1491" w:hangingChars="825"/>
        <w:rPr>
          <w:rFonts w:hint="eastAsia" w:ascii="宋体" w:hAnsi="宋体" w:cs="宋体"/>
          <w:b/>
          <w:color w:val="auto"/>
          <w:sz w:val="18"/>
          <w:szCs w:val="18"/>
          <w:highlight w:val="none"/>
        </w:rPr>
      </w:pPr>
    </w:p>
    <w:p w14:paraId="35F2FE49">
      <w:pPr>
        <w:wordWrap w:val="0"/>
        <w:snapToGrid w:val="0"/>
        <w:spacing w:line="360" w:lineRule="auto"/>
        <w:ind w:left="5137" w:leftChars="1736" w:hanging="1491" w:hangingChars="825"/>
        <w:rPr>
          <w:rFonts w:hint="eastAsia" w:ascii="宋体" w:hAnsi="宋体" w:cs="宋体"/>
          <w:b/>
          <w:color w:val="auto"/>
          <w:sz w:val="18"/>
          <w:szCs w:val="18"/>
          <w:highlight w:val="none"/>
        </w:rPr>
      </w:pPr>
    </w:p>
    <w:p w14:paraId="7225D2FA">
      <w:pPr>
        <w:wordWrap w:val="0"/>
        <w:snapToGrid w:val="0"/>
        <w:spacing w:line="360" w:lineRule="auto"/>
        <w:ind w:left="5137" w:leftChars="1736" w:hanging="1491" w:hangingChars="825"/>
        <w:rPr>
          <w:rFonts w:hint="eastAsia" w:ascii="宋体" w:hAnsi="宋体" w:cs="宋体"/>
          <w:b/>
          <w:color w:val="auto"/>
          <w:sz w:val="18"/>
          <w:szCs w:val="18"/>
          <w:highlight w:val="none"/>
        </w:rPr>
      </w:pPr>
    </w:p>
    <w:p w14:paraId="78CF7CF8">
      <w:pPr>
        <w:wordWrap w:val="0"/>
        <w:snapToGrid w:val="0"/>
        <w:spacing w:line="360" w:lineRule="auto"/>
        <w:ind w:left="5137" w:leftChars="1736" w:hanging="1491" w:hangingChars="825"/>
        <w:rPr>
          <w:rFonts w:hint="eastAsia" w:ascii="宋体" w:hAnsi="宋体" w:cs="宋体"/>
          <w:color w:val="auto"/>
          <w:kern w:val="0"/>
          <w:sz w:val="24"/>
          <w:highlight w:val="none"/>
        </w:rPr>
      </w:pPr>
      <w:r>
        <w:rPr>
          <w:rFonts w:hint="eastAsia" w:ascii="宋体" w:hAnsi="宋体" w:cs="宋体"/>
          <w:b/>
          <w:color w:val="auto"/>
          <w:sz w:val="18"/>
          <w:szCs w:val="18"/>
          <w:highlight w:val="none"/>
        </w:rPr>
        <w:t xml:space="preserve">      </w:t>
      </w:r>
      <w:r>
        <w:rPr>
          <w:rFonts w:hint="eastAsia" w:ascii="宋体" w:hAnsi="宋体" w:cs="宋体"/>
          <w:color w:val="auto"/>
          <w:kern w:val="0"/>
          <w:sz w:val="24"/>
          <w:highlight w:val="none"/>
          <w:lang w:val="zh-CN"/>
        </w:rPr>
        <w:t>投标人名称(电子签章)：</w:t>
      </w:r>
    </w:p>
    <w:p w14:paraId="253A5942">
      <w:pPr>
        <w:wordWrap w:val="0"/>
        <w:snapToGrid w:val="0"/>
        <w:spacing w:line="360" w:lineRule="auto"/>
        <w:ind w:firstLine="5160" w:firstLineChars="215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561E2CC9">
      <w:pPr>
        <w:wordWrap w:val="0"/>
        <w:spacing w:line="360" w:lineRule="auto"/>
        <w:ind w:right="420" w:firstLine="602" w:firstLineChars="200"/>
        <w:rPr>
          <w:rFonts w:hint="eastAsia" w:ascii="宋体" w:hAnsi="宋体" w:cs="宋体"/>
          <w:color w:val="auto"/>
          <w:sz w:val="20"/>
          <w:highlight w:val="none"/>
        </w:rPr>
        <w:sectPr>
          <w:pgSz w:w="11906" w:h="16838"/>
          <w:pgMar w:top="1440" w:right="1080" w:bottom="1440" w:left="1080" w:header="720" w:footer="720" w:gutter="0"/>
          <w:cols w:space="720" w:num="1"/>
          <w:docGrid w:type="lines" w:linePitch="331" w:charSpace="0"/>
        </w:sectPr>
      </w:pPr>
      <w:r>
        <w:rPr>
          <w:rFonts w:hint="eastAsia" w:ascii="宋体" w:hAnsi="宋体" w:cs="宋体"/>
          <w:b/>
          <w:color w:val="auto"/>
          <w:sz w:val="30"/>
          <w:szCs w:val="30"/>
          <w:highlight w:val="none"/>
        </w:rPr>
        <w:br w:type="page"/>
      </w:r>
    </w:p>
    <w:p w14:paraId="159F9B2A">
      <w:pPr>
        <w:pStyle w:val="12"/>
        <w:tabs>
          <w:tab w:val="left" w:pos="2472"/>
        </w:tabs>
        <w:wordWrap w:val="0"/>
        <w:spacing w:line="360" w:lineRule="auto"/>
        <w:ind w:firstLine="723"/>
        <w:rPr>
          <w:rFonts w:hint="eastAsia" w:hAnsi="宋体" w:cs="宋体"/>
          <w:b/>
          <w:color w:val="auto"/>
          <w:sz w:val="36"/>
          <w:highlight w:val="none"/>
        </w:rPr>
      </w:pPr>
    </w:p>
    <w:p w14:paraId="6A1C994E">
      <w:pPr>
        <w:pStyle w:val="12"/>
        <w:tabs>
          <w:tab w:val="left" w:pos="2472"/>
        </w:tabs>
        <w:wordWrap w:val="0"/>
        <w:spacing w:line="360" w:lineRule="auto"/>
        <w:ind w:firstLine="723"/>
        <w:jc w:val="center"/>
        <w:rPr>
          <w:rFonts w:hint="eastAsia" w:hAnsi="宋体" w:cs="宋体"/>
          <w:b/>
          <w:color w:val="auto"/>
          <w:sz w:val="36"/>
          <w:highlight w:val="none"/>
        </w:rPr>
      </w:pPr>
    </w:p>
    <w:p w14:paraId="6E1BBBD1">
      <w:pPr>
        <w:pStyle w:val="12"/>
        <w:tabs>
          <w:tab w:val="left" w:pos="2472"/>
        </w:tabs>
        <w:wordWrap w:val="0"/>
        <w:spacing w:line="360" w:lineRule="auto"/>
        <w:ind w:firstLine="723"/>
        <w:jc w:val="center"/>
        <w:rPr>
          <w:rFonts w:hint="eastAsia" w:hAnsi="宋体" w:cs="宋体"/>
          <w:b/>
          <w:color w:val="auto"/>
          <w:sz w:val="36"/>
          <w:highlight w:val="none"/>
        </w:rPr>
      </w:pPr>
    </w:p>
    <w:p w14:paraId="0D13DC20">
      <w:pPr>
        <w:pStyle w:val="12"/>
        <w:tabs>
          <w:tab w:val="left" w:pos="2472"/>
        </w:tabs>
        <w:wordWrap w:val="0"/>
        <w:spacing w:line="360" w:lineRule="auto"/>
        <w:ind w:firstLine="723"/>
        <w:jc w:val="center"/>
        <w:rPr>
          <w:rFonts w:hint="eastAsia" w:hAnsi="宋体" w:cs="宋体"/>
          <w:b/>
          <w:color w:val="auto"/>
          <w:sz w:val="36"/>
          <w:highlight w:val="none"/>
        </w:rPr>
      </w:pPr>
    </w:p>
    <w:p w14:paraId="7426EFE6">
      <w:pPr>
        <w:pStyle w:val="12"/>
        <w:tabs>
          <w:tab w:val="left" w:pos="2472"/>
        </w:tabs>
        <w:wordWrap w:val="0"/>
        <w:spacing w:line="360" w:lineRule="auto"/>
        <w:ind w:firstLine="723"/>
        <w:jc w:val="center"/>
        <w:rPr>
          <w:rFonts w:hint="eastAsia" w:hAnsi="宋体" w:cs="宋体"/>
          <w:b/>
          <w:color w:val="auto"/>
          <w:sz w:val="36"/>
          <w:highlight w:val="none"/>
        </w:rPr>
      </w:pPr>
    </w:p>
    <w:p w14:paraId="1E47C524">
      <w:pPr>
        <w:pStyle w:val="12"/>
        <w:tabs>
          <w:tab w:val="left" w:pos="2472"/>
        </w:tabs>
        <w:wordWrap w:val="0"/>
        <w:spacing w:line="360" w:lineRule="auto"/>
        <w:ind w:firstLine="723"/>
        <w:jc w:val="center"/>
        <w:rPr>
          <w:rFonts w:hint="eastAsia" w:hAnsi="宋体" w:cs="宋体"/>
          <w:b/>
          <w:color w:val="auto"/>
          <w:sz w:val="36"/>
          <w:highlight w:val="none"/>
        </w:rPr>
      </w:pPr>
    </w:p>
    <w:p w14:paraId="5CA1C764">
      <w:pPr>
        <w:pStyle w:val="12"/>
        <w:tabs>
          <w:tab w:val="left" w:pos="2472"/>
        </w:tabs>
        <w:wordWrap w:val="0"/>
        <w:spacing w:line="360" w:lineRule="auto"/>
        <w:ind w:firstLine="723"/>
        <w:jc w:val="center"/>
        <w:rPr>
          <w:rFonts w:hint="eastAsia" w:hAnsi="宋体" w:cs="宋体"/>
          <w:b/>
          <w:color w:val="auto"/>
          <w:sz w:val="36"/>
          <w:highlight w:val="none"/>
        </w:rPr>
      </w:pPr>
    </w:p>
    <w:p w14:paraId="34C371AA">
      <w:pPr>
        <w:pStyle w:val="12"/>
        <w:tabs>
          <w:tab w:val="left" w:pos="2472"/>
        </w:tabs>
        <w:wordWrap w:val="0"/>
        <w:spacing w:line="360" w:lineRule="auto"/>
        <w:ind w:firstLine="723"/>
        <w:jc w:val="center"/>
        <w:rPr>
          <w:rFonts w:hint="eastAsia" w:hAnsi="宋体" w:cs="宋体"/>
          <w:b/>
          <w:color w:val="auto"/>
          <w:sz w:val="36"/>
          <w:highlight w:val="none"/>
        </w:rPr>
      </w:pPr>
    </w:p>
    <w:p w14:paraId="72B0ADB2">
      <w:pPr>
        <w:pStyle w:val="12"/>
        <w:tabs>
          <w:tab w:val="left" w:pos="2472"/>
        </w:tabs>
        <w:wordWrap w:val="0"/>
        <w:spacing w:line="360" w:lineRule="auto"/>
        <w:ind w:firstLine="723"/>
        <w:jc w:val="center"/>
        <w:rPr>
          <w:rFonts w:hint="eastAsia" w:hAnsi="宋体" w:cs="宋体"/>
          <w:b/>
          <w:color w:val="auto"/>
          <w:sz w:val="36"/>
          <w:highlight w:val="none"/>
        </w:rPr>
      </w:pPr>
    </w:p>
    <w:p w14:paraId="39165BEA">
      <w:pPr>
        <w:pStyle w:val="12"/>
        <w:tabs>
          <w:tab w:val="left" w:pos="2472"/>
        </w:tabs>
        <w:wordWrap w:val="0"/>
        <w:spacing w:line="360" w:lineRule="auto"/>
        <w:ind w:firstLine="723"/>
        <w:jc w:val="center"/>
        <w:rPr>
          <w:rFonts w:hint="eastAsia" w:hAnsi="宋体" w:cs="宋体"/>
          <w:b/>
          <w:color w:val="auto"/>
          <w:sz w:val="36"/>
          <w:highlight w:val="none"/>
        </w:rPr>
      </w:pPr>
    </w:p>
    <w:p w14:paraId="65BB07D0">
      <w:pPr>
        <w:pStyle w:val="12"/>
        <w:tabs>
          <w:tab w:val="left" w:pos="2472"/>
        </w:tabs>
        <w:wordWrap w:val="0"/>
        <w:spacing w:line="360" w:lineRule="auto"/>
        <w:ind w:firstLine="723"/>
        <w:jc w:val="center"/>
        <w:rPr>
          <w:rFonts w:hint="eastAsia" w:hAnsi="宋体" w:cs="宋体"/>
          <w:b/>
          <w:color w:val="auto"/>
          <w:sz w:val="36"/>
          <w:highlight w:val="none"/>
        </w:rPr>
      </w:pPr>
    </w:p>
    <w:p w14:paraId="5C4DCF52">
      <w:pPr>
        <w:pStyle w:val="12"/>
        <w:tabs>
          <w:tab w:val="left" w:pos="2472"/>
        </w:tabs>
        <w:wordWrap w:val="0"/>
        <w:spacing w:line="360" w:lineRule="auto"/>
        <w:ind w:firstLine="723"/>
        <w:jc w:val="center"/>
        <w:outlineLvl w:val="0"/>
        <w:rPr>
          <w:rFonts w:hint="eastAsia" w:hAnsi="宋体" w:cs="宋体"/>
          <w:b/>
          <w:color w:val="auto"/>
          <w:sz w:val="36"/>
          <w:highlight w:val="none"/>
        </w:rPr>
      </w:pPr>
      <w:bookmarkStart w:id="297" w:name="_Toc30072"/>
      <w:r>
        <w:rPr>
          <w:rFonts w:hint="eastAsia" w:hAnsi="宋体" w:cs="宋体"/>
          <w:b/>
          <w:color w:val="auto"/>
          <w:sz w:val="36"/>
          <w:highlight w:val="none"/>
        </w:rPr>
        <w:t>第七章 质疑、投诉证明材料格式</w:t>
      </w:r>
      <w:bookmarkEnd w:id="297"/>
    </w:p>
    <w:p w14:paraId="5CDCDD5B">
      <w:pPr>
        <w:widowControl/>
        <w:wordWrap w:val="0"/>
        <w:spacing w:line="360" w:lineRule="auto"/>
        <w:ind w:firstLine="400"/>
        <w:jc w:val="left"/>
        <w:rPr>
          <w:rFonts w:hint="eastAsia" w:ascii="宋体" w:hAnsi="宋体" w:cs="宋体"/>
          <w:color w:val="auto"/>
          <w:sz w:val="20"/>
          <w:highlight w:val="none"/>
        </w:rPr>
        <w:sectPr>
          <w:pgSz w:w="11906" w:h="16838"/>
          <w:pgMar w:top="1440" w:right="1080" w:bottom="1440" w:left="1080" w:header="720" w:footer="720" w:gutter="0"/>
          <w:cols w:space="720" w:num="1"/>
          <w:docGrid w:type="lines" w:linePitch="331" w:charSpace="0"/>
        </w:sectPr>
      </w:pPr>
    </w:p>
    <w:p w14:paraId="153E7559">
      <w:pPr>
        <w:widowControl/>
        <w:wordWrap w:val="0"/>
        <w:spacing w:line="360" w:lineRule="auto"/>
        <w:ind w:firstLine="562"/>
        <w:jc w:val="left"/>
        <w:rPr>
          <w:rFonts w:hint="eastAsia" w:ascii="宋体" w:hAnsi="宋体" w:cs="宋体"/>
          <w:b/>
          <w:bCs/>
          <w:color w:val="auto"/>
          <w:sz w:val="28"/>
          <w:szCs w:val="28"/>
          <w:highlight w:val="none"/>
        </w:rPr>
      </w:pPr>
    </w:p>
    <w:p w14:paraId="415077DC">
      <w:pPr>
        <w:pStyle w:val="3"/>
        <w:wordWrap w:val="0"/>
        <w:spacing w:before="0" w:after="0" w:line="360" w:lineRule="auto"/>
        <w:ind w:firstLine="640"/>
        <w:jc w:val="center"/>
        <w:rPr>
          <w:rFonts w:hint="eastAsia" w:ascii="宋体" w:hAnsi="宋体" w:eastAsia="宋体" w:cs="宋体"/>
          <w:b w:val="0"/>
          <w:bCs w:val="0"/>
          <w:color w:val="auto"/>
          <w:highlight w:val="none"/>
        </w:rPr>
      </w:pPr>
      <w:bookmarkStart w:id="298" w:name="_Toc23800"/>
      <w:r>
        <w:rPr>
          <w:rFonts w:hint="eastAsia" w:ascii="宋体" w:hAnsi="宋体" w:eastAsia="宋体" w:cs="宋体"/>
          <w:b w:val="0"/>
          <w:bCs w:val="0"/>
          <w:color w:val="auto"/>
          <w:highlight w:val="none"/>
        </w:rPr>
        <w:t>第一节 质疑函（格式）</w:t>
      </w:r>
      <w:bookmarkEnd w:id="298"/>
    </w:p>
    <w:p w14:paraId="5E595109">
      <w:pPr>
        <w:wordWrap w:val="0"/>
        <w:spacing w:line="360" w:lineRule="auto"/>
        <w:ind w:firstLine="883"/>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14:paraId="3B46DEA0">
      <w:pPr>
        <w:wordWrap w:val="0"/>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一、质疑供应商基本信息</w:t>
      </w:r>
    </w:p>
    <w:p w14:paraId="34C5185D">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质疑供应商：</w:t>
      </w:r>
      <w:r>
        <w:rPr>
          <w:rFonts w:hint="eastAsia" w:ascii="宋体" w:hAnsi="宋体" w:cs="宋体"/>
          <w:color w:val="auto"/>
          <w:szCs w:val="21"/>
          <w:highlight w:val="none"/>
          <w:u w:val="single"/>
        </w:rPr>
        <w:t xml:space="preserve">                                </w:t>
      </w:r>
    </w:p>
    <w:p w14:paraId="276376B1">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0D3D2B96">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p>
    <w:p w14:paraId="21D72BE6">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single"/>
        </w:rPr>
        <w:t xml:space="preserve">                                </w:t>
      </w:r>
    </w:p>
    <w:p w14:paraId="5BB8B717">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p>
    <w:p w14:paraId="3AC5474A">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p>
    <w:p w14:paraId="7D6871DE">
      <w:pPr>
        <w:wordWrap w:val="0"/>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二、质疑项目基本情况</w:t>
      </w:r>
    </w:p>
    <w:p w14:paraId="1357F14C">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质疑项目的名称：南宁市“智慧人社”软件配套服务</w:t>
      </w:r>
    </w:p>
    <w:p w14:paraId="4BE6FBB9">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质疑项目的编号：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single"/>
        </w:rPr>
        <w:t xml:space="preserve">                                </w:t>
      </w:r>
    </w:p>
    <w:p w14:paraId="2492889B">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采购人名称：南宁市社会保障卡管理办公室</w:t>
      </w:r>
    </w:p>
    <w:p w14:paraId="75704D87">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采购文件获取日期：</w:t>
      </w:r>
      <w:r>
        <w:rPr>
          <w:rFonts w:hint="eastAsia" w:ascii="宋体" w:hAnsi="宋体" w:cs="宋体"/>
          <w:color w:val="auto"/>
          <w:szCs w:val="21"/>
          <w:highlight w:val="none"/>
          <w:u w:val="single"/>
        </w:rPr>
        <w:t xml:space="preserve">                                </w:t>
      </w:r>
    </w:p>
    <w:p w14:paraId="6B6163EC">
      <w:pPr>
        <w:wordWrap w:val="0"/>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三、质疑事项具体内容</w:t>
      </w:r>
    </w:p>
    <w:p w14:paraId="128E5D49">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质疑事项1：</w:t>
      </w:r>
      <w:r>
        <w:rPr>
          <w:rFonts w:hint="eastAsia" w:ascii="宋体" w:hAnsi="宋体" w:cs="宋体"/>
          <w:color w:val="auto"/>
          <w:szCs w:val="21"/>
          <w:highlight w:val="none"/>
          <w:u w:val="single"/>
        </w:rPr>
        <w:t xml:space="preserve">                                </w:t>
      </w:r>
    </w:p>
    <w:p w14:paraId="2B8C1339">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事实依据：</w:t>
      </w:r>
      <w:r>
        <w:rPr>
          <w:rFonts w:hint="eastAsia" w:ascii="宋体" w:hAnsi="宋体" w:cs="宋体"/>
          <w:color w:val="auto"/>
          <w:szCs w:val="21"/>
          <w:highlight w:val="none"/>
          <w:u w:val="single"/>
        </w:rPr>
        <w:t xml:space="preserve">                                </w:t>
      </w:r>
    </w:p>
    <w:p w14:paraId="6ED07C42">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法律依据：</w:t>
      </w:r>
      <w:r>
        <w:rPr>
          <w:rFonts w:hint="eastAsia" w:ascii="宋体" w:hAnsi="宋体" w:cs="宋体"/>
          <w:color w:val="auto"/>
          <w:szCs w:val="21"/>
          <w:highlight w:val="none"/>
          <w:u w:val="single"/>
        </w:rPr>
        <w:t xml:space="preserve">                                </w:t>
      </w:r>
    </w:p>
    <w:p w14:paraId="2BBCFFEE">
      <w:pPr>
        <w:wordWrap w:val="0"/>
        <w:adjustRightInd w:val="0"/>
        <w:snapToGrid w:val="0"/>
        <w:spacing w:line="360" w:lineRule="auto"/>
        <w:rPr>
          <w:rFonts w:hint="eastAsia" w:ascii="宋体" w:hAnsi="宋体" w:cs="宋体"/>
          <w:color w:val="auto"/>
          <w:szCs w:val="21"/>
          <w:highlight w:val="none"/>
          <w:u w:val="dotted"/>
        </w:rPr>
      </w:pPr>
    </w:p>
    <w:p w14:paraId="7D31B93E">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质疑事项2：</w:t>
      </w:r>
    </w:p>
    <w:p w14:paraId="050F3468">
      <w:pPr>
        <w:wordWrap w:val="0"/>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w:t>
      </w:r>
    </w:p>
    <w:p w14:paraId="077B71EE">
      <w:pPr>
        <w:wordWrap w:val="0"/>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14:paraId="62930D5D">
      <w:pPr>
        <w:wordWrap w:val="0"/>
        <w:adjustRightInd w:val="0"/>
        <w:snapToGrid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请求：</w:t>
      </w:r>
      <w:r>
        <w:rPr>
          <w:rFonts w:hint="eastAsia" w:ascii="宋体" w:hAnsi="宋体" w:cs="宋体"/>
          <w:color w:val="auto"/>
          <w:szCs w:val="21"/>
          <w:highlight w:val="none"/>
          <w:u w:val="single"/>
        </w:rPr>
        <w:t xml:space="preserve">                                </w:t>
      </w:r>
    </w:p>
    <w:p w14:paraId="46A496B9">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签字(签章)：                   公章：                      </w:t>
      </w:r>
    </w:p>
    <w:p w14:paraId="64B3A9D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日期：    </w:t>
      </w:r>
    </w:p>
    <w:p w14:paraId="3941AC12">
      <w:pPr>
        <w:wordWrap w:val="0"/>
        <w:spacing w:line="360" w:lineRule="auto"/>
        <w:ind w:firstLine="643"/>
        <w:jc w:val="center"/>
        <w:rPr>
          <w:rFonts w:hint="eastAsia" w:ascii="宋体" w:hAnsi="宋体" w:cs="宋体"/>
          <w:b/>
          <w:bCs/>
          <w:color w:val="auto"/>
          <w:sz w:val="32"/>
          <w:szCs w:val="32"/>
          <w:highlight w:val="none"/>
        </w:rPr>
      </w:pPr>
    </w:p>
    <w:p w14:paraId="7028804C">
      <w:pPr>
        <w:wordWrap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质疑函制作说明：</w:t>
      </w:r>
    </w:p>
    <w:p w14:paraId="5261F705">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14:paraId="25CA8E19">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14:paraId="0FA4AF4D">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14:paraId="007394DC">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14:paraId="0613F8C6">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14:paraId="1D2EDC57">
      <w:pPr>
        <w:widowControl/>
        <w:wordWrap w:val="0"/>
        <w:spacing w:line="360" w:lineRule="auto"/>
        <w:ind w:firstLine="420" w:firstLineChars="200"/>
        <w:jc w:val="left"/>
        <w:rPr>
          <w:rFonts w:hint="eastAsia" w:ascii="宋体" w:hAnsi="宋体" w:cs="宋体"/>
          <w:color w:val="auto"/>
          <w:sz w:val="32"/>
          <w:szCs w:val="32"/>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045DE686">
      <w:pPr>
        <w:widowControl/>
        <w:wordWrap w:val="0"/>
        <w:spacing w:line="360" w:lineRule="auto"/>
        <w:ind w:firstLine="600" w:firstLineChars="200"/>
        <w:jc w:val="left"/>
        <w:rPr>
          <w:rFonts w:hint="eastAsia" w:ascii="宋体" w:hAnsi="宋体" w:cs="宋体"/>
          <w:color w:val="auto"/>
          <w:sz w:val="30"/>
          <w:szCs w:val="30"/>
          <w:highlight w:val="none"/>
        </w:rPr>
      </w:pPr>
    </w:p>
    <w:p w14:paraId="3EA5B3A2">
      <w:pPr>
        <w:widowControl/>
        <w:wordWrap w:val="0"/>
        <w:spacing w:line="360" w:lineRule="auto"/>
        <w:ind w:firstLine="480"/>
        <w:jc w:val="left"/>
        <w:rPr>
          <w:rFonts w:hint="eastAsia" w:ascii="宋体" w:hAnsi="宋体" w:cs="宋体"/>
          <w:color w:val="auto"/>
          <w:kern w:val="0"/>
          <w:sz w:val="24"/>
          <w:highlight w:val="none"/>
        </w:rPr>
        <w:sectPr>
          <w:pgSz w:w="11906" w:h="16838"/>
          <w:pgMar w:top="1440" w:right="1080" w:bottom="1440" w:left="1080" w:header="720" w:footer="720" w:gutter="0"/>
          <w:cols w:space="720" w:num="1"/>
          <w:docGrid w:type="lines" w:linePitch="331" w:charSpace="0"/>
        </w:sectPr>
      </w:pPr>
    </w:p>
    <w:p w14:paraId="24811FF6">
      <w:pPr>
        <w:pStyle w:val="3"/>
        <w:wordWrap w:val="0"/>
        <w:spacing w:before="0" w:after="0" w:line="360" w:lineRule="auto"/>
        <w:ind w:firstLine="640"/>
        <w:jc w:val="center"/>
        <w:rPr>
          <w:rFonts w:hint="eastAsia" w:ascii="宋体" w:hAnsi="宋体" w:eastAsia="宋体" w:cs="宋体"/>
          <w:b w:val="0"/>
          <w:bCs w:val="0"/>
          <w:color w:val="auto"/>
          <w:highlight w:val="none"/>
        </w:rPr>
      </w:pPr>
      <w:bookmarkStart w:id="299" w:name="_Toc18446"/>
      <w:r>
        <w:rPr>
          <w:rFonts w:hint="eastAsia" w:ascii="宋体" w:hAnsi="宋体" w:eastAsia="宋体" w:cs="宋体"/>
          <w:b w:val="0"/>
          <w:bCs w:val="0"/>
          <w:color w:val="auto"/>
          <w:highlight w:val="none"/>
        </w:rPr>
        <w:t>第二节 投诉书（格式）</w:t>
      </w:r>
      <w:bookmarkEnd w:id="299"/>
    </w:p>
    <w:p w14:paraId="3D063C52">
      <w:pPr>
        <w:wordWrap w:val="0"/>
        <w:spacing w:line="360" w:lineRule="auto"/>
        <w:ind w:firstLine="883"/>
        <w:jc w:val="center"/>
        <w:rPr>
          <w:rFonts w:hint="eastAsia" w:ascii="宋体" w:hAnsi="宋体" w:cs="宋体"/>
          <w:b/>
          <w:color w:val="auto"/>
          <w:sz w:val="44"/>
          <w:szCs w:val="44"/>
          <w:highlight w:val="none"/>
        </w:rPr>
      </w:pPr>
      <w:r>
        <w:rPr>
          <w:rFonts w:hint="eastAsia" w:ascii="宋体" w:hAnsi="宋体" w:cs="宋体"/>
          <w:b/>
          <w:color w:val="auto"/>
          <w:sz w:val="44"/>
          <w:szCs w:val="44"/>
          <w:highlight w:val="none"/>
        </w:rPr>
        <w:t>投诉书范本</w:t>
      </w:r>
    </w:p>
    <w:p w14:paraId="53B9DB0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一、投诉相关主体基本情况</w:t>
      </w:r>
    </w:p>
    <w:p w14:paraId="158C4664">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投诉人：</w:t>
      </w:r>
      <w:r>
        <w:rPr>
          <w:rFonts w:hint="eastAsia" w:ascii="宋体" w:hAnsi="宋体" w:cs="宋体"/>
          <w:color w:val="auto"/>
          <w:szCs w:val="21"/>
          <w:highlight w:val="none"/>
          <w:u w:val="single"/>
        </w:rPr>
        <w:t xml:space="preserve">                                </w:t>
      </w:r>
    </w:p>
    <w:p w14:paraId="6187CE7C">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06CB64C9">
      <w:pPr>
        <w:tabs>
          <w:tab w:val="left" w:pos="6510"/>
        </w:tabs>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法定代表人/主要负责人：</w:t>
      </w:r>
      <w:r>
        <w:rPr>
          <w:rFonts w:hint="eastAsia" w:ascii="宋体" w:hAnsi="宋体" w:cs="宋体"/>
          <w:color w:val="auto"/>
          <w:szCs w:val="21"/>
          <w:highlight w:val="none"/>
          <w:u w:val="single"/>
        </w:rPr>
        <w:t xml:space="preserve">                                </w:t>
      </w:r>
    </w:p>
    <w:p w14:paraId="11D34274">
      <w:pPr>
        <w:tabs>
          <w:tab w:val="left" w:pos="6510"/>
        </w:tabs>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联系电话：</w:t>
      </w:r>
    </w:p>
    <w:p w14:paraId="3360FEBE">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AFD6544">
      <w:pPr>
        <w:pStyle w:val="18"/>
        <w:wordWrap w:val="0"/>
        <w:ind w:firstLine="420"/>
        <w:rPr>
          <w:b w:val="0"/>
          <w:bCs w:val="0"/>
          <w:color w:val="auto"/>
          <w:sz w:val="21"/>
          <w:szCs w:val="21"/>
          <w:highlight w:val="none"/>
        </w:rPr>
      </w:pPr>
      <w:r>
        <w:rPr>
          <w:rFonts w:hint="eastAsia"/>
          <w:b w:val="0"/>
          <w:bCs w:val="0"/>
          <w:color w:val="auto"/>
          <w:sz w:val="21"/>
          <w:szCs w:val="21"/>
          <w:highlight w:val="none"/>
        </w:rPr>
        <w:t>地     址：</w:t>
      </w:r>
      <w:r>
        <w:rPr>
          <w:rFonts w:hint="eastAsia" w:ascii="宋体" w:hAnsi="宋体" w:cs="宋体"/>
          <w:b w:val="0"/>
          <w:bCs w:val="0"/>
          <w:color w:val="auto"/>
          <w:sz w:val="21"/>
          <w:szCs w:val="21"/>
          <w:highlight w:val="none"/>
          <w:u w:val="single"/>
        </w:rPr>
        <w:t xml:space="preserve">                                </w:t>
      </w:r>
      <w:r>
        <w:rPr>
          <w:rFonts w:hint="eastAsia"/>
          <w:b w:val="0"/>
          <w:bCs w:val="0"/>
          <w:color w:val="auto"/>
          <w:sz w:val="21"/>
          <w:szCs w:val="21"/>
          <w:highlight w:val="none"/>
        </w:rPr>
        <w:t>邮编：</w:t>
      </w:r>
      <w:r>
        <w:rPr>
          <w:rFonts w:hint="eastAsia" w:ascii="宋体" w:hAnsi="宋体" w:cs="宋体"/>
          <w:b w:val="0"/>
          <w:bCs w:val="0"/>
          <w:color w:val="auto"/>
          <w:sz w:val="21"/>
          <w:szCs w:val="21"/>
          <w:highlight w:val="none"/>
          <w:u w:val="single"/>
        </w:rPr>
        <w:t xml:space="preserve">                                </w:t>
      </w:r>
    </w:p>
    <w:p w14:paraId="600BF5C2">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被投诉人1：</w:t>
      </w:r>
      <w:r>
        <w:rPr>
          <w:rFonts w:hint="eastAsia" w:ascii="宋体" w:hAnsi="宋体" w:cs="宋体"/>
          <w:color w:val="auto"/>
          <w:szCs w:val="21"/>
          <w:highlight w:val="none"/>
          <w:u w:val="single"/>
        </w:rPr>
        <w:t xml:space="preserve">                                </w:t>
      </w:r>
    </w:p>
    <w:p w14:paraId="2C844F74">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4A683313">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p>
    <w:p w14:paraId="14D5F82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被投诉人2：</w:t>
      </w:r>
    </w:p>
    <w:p w14:paraId="60CBD013">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w:t>
      </w:r>
    </w:p>
    <w:p w14:paraId="67395F27">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相关供应商：</w:t>
      </w:r>
      <w:r>
        <w:rPr>
          <w:rFonts w:hint="eastAsia" w:ascii="宋体" w:hAnsi="宋体" w:cs="宋体"/>
          <w:color w:val="auto"/>
          <w:szCs w:val="21"/>
          <w:highlight w:val="none"/>
          <w:u w:val="single"/>
        </w:rPr>
        <w:t xml:space="preserve">                                </w:t>
      </w:r>
    </w:p>
    <w:p w14:paraId="0624FD23">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7B3D2D4D">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p>
    <w:p w14:paraId="0C1BEC58">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二、投诉项目基本情况</w:t>
      </w:r>
    </w:p>
    <w:p w14:paraId="420CDB70">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采购项目名称：</w:t>
      </w:r>
      <w:r>
        <w:rPr>
          <w:rFonts w:hint="eastAsia" w:ascii="宋体" w:hAnsi="宋体" w:cs="宋体"/>
          <w:color w:val="auto"/>
          <w:szCs w:val="21"/>
          <w:highlight w:val="none"/>
          <w:u w:val="single"/>
        </w:rPr>
        <w:t>南宁市“智慧人社”软件配套服务</w:t>
      </w:r>
    </w:p>
    <w:p w14:paraId="03F5255A">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采购项目编号：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single"/>
        </w:rPr>
        <w:t xml:space="preserve">                                </w:t>
      </w:r>
    </w:p>
    <w:p w14:paraId="1C173A0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采购人名称：南宁市社会保障卡管理办公室</w:t>
      </w:r>
    </w:p>
    <w:p w14:paraId="47CFCC8C">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代理机构名称：</w:t>
      </w:r>
      <w:r>
        <w:rPr>
          <w:rFonts w:hint="eastAsia" w:ascii="宋体" w:hAnsi="宋体" w:cs="宋体"/>
          <w:color w:val="auto"/>
          <w:szCs w:val="21"/>
          <w:highlight w:val="none"/>
          <w:u w:val="single"/>
        </w:rPr>
        <w:t xml:space="preserve">                                </w:t>
      </w:r>
    </w:p>
    <w:p w14:paraId="1D2E1F84">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采购文件公告:</w:t>
      </w:r>
      <w:r>
        <w:rPr>
          <w:rFonts w:hint="eastAsia" w:ascii="宋体" w:hAnsi="宋体" w:cs="宋体"/>
          <w:color w:val="auto"/>
          <w:szCs w:val="21"/>
          <w:highlight w:val="none"/>
          <w:u w:val="single"/>
        </w:rPr>
        <w:t xml:space="preserve">是/否 </w:t>
      </w:r>
      <w:r>
        <w:rPr>
          <w:rFonts w:hint="eastAsia" w:ascii="宋体" w:hAnsi="宋体" w:cs="宋体"/>
          <w:color w:val="auto"/>
          <w:szCs w:val="21"/>
          <w:highlight w:val="none"/>
        </w:rPr>
        <w:t>公告期限：</w:t>
      </w:r>
      <w:r>
        <w:rPr>
          <w:rFonts w:hint="eastAsia" w:ascii="宋体" w:hAnsi="宋体" w:cs="宋体"/>
          <w:color w:val="auto"/>
          <w:szCs w:val="21"/>
          <w:highlight w:val="none"/>
          <w:u w:val="single"/>
        </w:rPr>
        <w:t xml:space="preserve">                                </w:t>
      </w:r>
    </w:p>
    <w:p w14:paraId="2E83F07D">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采购结果公告:</w:t>
      </w:r>
      <w:r>
        <w:rPr>
          <w:rFonts w:hint="eastAsia" w:ascii="宋体" w:hAnsi="宋体" w:cs="宋体"/>
          <w:color w:val="auto"/>
          <w:szCs w:val="21"/>
          <w:highlight w:val="none"/>
          <w:u w:val="single"/>
        </w:rPr>
        <w:t xml:space="preserve">是/否 </w:t>
      </w:r>
      <w:r>
        <w:rPr>
          <w:rFonts w:hint="eastAsia" w:ascii="宋体" w:hAnsi="宋体" w:cs="宋体"/>
          <w:color w:val="auto"/>
          <w:szCs w:val="21"/>
          <w:highlight w:val="none"/>
        </w:rPr>
        <w:t>公告期限：</w:t>
      </w:r>
      <w:r>
        <w:rPr>
          <w:rFonts w:hint="eastAsia" w:ascii="宋体" w:hAnsi="宋体" w:cs="宋体"/>
          <w:color w:val="auto"/>
          <w:szCs w:val="21"/>
          <w:highlight w:val="none"/>
          <w:u w:val="single"/>
        </w:rPr>
        <w:t xml:space="preserve">                                </w:t>
      </w:r>
    </w:p>
    <w:p w14:paraId="4C9250CF">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三、质疑基本情况</w:t>
      </w:r>
    </w:p>
    <w:p w14:paraId="3F29A848">
      <w:pPr>
        <w:wordWrap w:val="0"/>
        <w:spacing w:line="360" w:lineRule="auto"/>
        <w:ind w:firstLine="420" w:firstLineChars="200"/>
        <w:rPr>
          <w:rFonts w:hint="eastAsia" w:ascii="宋体" w:hAnsi="宋体" w:cs="宋体"/>
          <w:color w:val="auto"/>
          <w:szCs w:val="21"/>
          <w:highlight w:val="none"/>
          <w:u w:val="dotted"/>
        </w:rPr>
      </w:pPr>
      <w:r>
        <w:rPr>
          <w:rFonts w:hint="eastAsia" w:ascii="宋体" w:hAnsi="宋体" w:cs="宋体"/>
          <w:color w:val="auto"/>
          <w:szCs w:val="21"/>
          <w:highlight w:val="none"/>
        </w:rPr>
        <w:t>投诉人于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日,向提出质疑，质疑事项为：</w:t>
      </w:r>
      <w:r>
        <w:rPr>
          <w:rFonts w:hint="eastAsia" w:ascii="宋体" w:hAnsi="宋体" w:cs="宋体"/>
          <w:color w:val="auto"/>
          <w:szCs w:val="21"/>
          <w:highlight w:val="none"/>
          <w:u w:val="single"/>
        </w:rPr>
        <w:t xml:space="preserve">                                </w:t>
      </w:r>
    </w:p>
    <w:p w14:paraId="32E0A05A">
      <w:pPr>
        <w:wordWrap w:val="0"/>
        <w:spacing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u w:val="dotted"/>
        </w:rPr>
        <w:t>采购人/代理机构</w:t>
      </w:r>
      <w:r>
        <w:rPr>
          <w:rFonts w:hint="eastAsia" w:ascii="宋体" w:hAnsi="宋体" w:cs="宋体"/>
          <w:color w:val="auto"/>
          <w:szCs w:val="21"/>
          <w:highlight w:val="none"/>
        </w:rPr>
        <w:t>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日,就质疑事项作出了答复/没有在法定期限内作出答复。</w:t>
      </w:r>
    </w:p>
    <w:p w14:paraId="7074180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四、投诉事项具体内容</w:t>
      </w:r>
    </w:p>
    <w:p w14:paraId="520D0DA9">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投诉事项 1：</w:t>
      </w:r>
      <w:r>
        <w:rPr>
          <w:rFonts w:hint="eastAsia" w:ascii="宋体" w:hAnsi="宋体" w:cs="宋体"/>
          <w:color w:val="auto"/>
          <w:szCs w:val="21"/>
          <w:highlight w:val="none"/>
          <w:u w:val="single"/>
        </w:rPr>
        <w:t xml:space="preserve">                                </w:t>
      </w:r>
    </w:p>
    <w:p w14:paraId="244594BE">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事实依据：</w:t>
      </w:r>
      <w:r>
        <w:rPr>
          <w:rFonts w:hint="eastAsia" w:ascii="宋体" w:hAnsi="宋体" w:cs="宋体"/>
          <w:color w:val="auto"/>
          <w:szCs w:val="21"/>
          <w:highlight w:val="none"/>
          <w:u w:val="single"/>
        </w:rPr>
        <w:t xml:space="preserve">                                </w:t>
      </w:r>
    </w:p>
    <w:p w14:paraId="4C853B55">
      <w:pPr>
        <w:wordWrap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法律依据：</w:t>
      </w:r>
      <w:r>
        <w:rPr>
          <w:rFonts w:hint="eastAsia" w:ascii="宋体" w:hAnsi="宋体" w:cs="宋体"/>
          <w:color w:val="auto"/>
          <w:szCs w:val="21"/>
          <w:highlight w:val="none"/>
          <w:u w:val="single"/>
        </w:rPr>
        <w:t xml:space="preserve">                                </w:t>
      </w:r>
    </w:p>
    <w:p w14:paraId="56E5318B">
      <w:pPr>
        <w:wordWrap w:val="0"/>
        <w:spacing w:line="360" w:lineRule="auto"/>
        <w:rPr>
          <w:rFonts w:hint="eastAsia" w:ascii="宋体" w:hAnsi="宋体" w:cs="宋体"/>
          <w:color w:val="auto"/>
          <w:szCs w:val="21"/>
          <w:highlight w:val="none"/>
          <w:u w:val="dotted"/>
        </w:rPr>
      </w:pPr>
    </w:p>
    <w:p w14:paraId="5D4C9ED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投诉事项2：</w:t>
      </w:r>
    </w:p>
    <w:p w14:paraId="3C1FF9D8">
      <w:pPr>
        <w:wordWrap w:val="0"/>
        <w:spacing w:line="360" w:lineRule="auto"/>
        <w:rPr>
          <w:rFonts w:hint="eastAsia" w:ascii="宋体" w:hAnsi="宋体" w:cs="宋体"/>
          <w:color w:val="auto"/>
          <w:szCs w:val="21"/>
          <w:highlight w:val="none"/>
          <w:u w:val="dotted"/>
        </w:rPr>
      </w:pPr>
      <w:r>
        <w:rPr>
          <w:rFonts w:hint="eastAsia" w:ascii="宋体" w:hAnsi="宋体" w:cs="宋体"/>
          <w:color w:val="auto"/>
          <w:szCs w:val="21"/>
          <w:highlight w:val="none"/>
        </w:rPr>
        <w:t>……</w:t>
      </w:r>
    </w:p>
    <w:p w14:paraId="6AAC8E72">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五、与投诉事项相关的投诉请求</w:t>
      </w:r>
    </w:p>
    <w:p w14:paraId="0E69F14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请求：</w:t>
      </w:r>
      <w:r>
        <w:rPr>
          <w:rFonts w:hint="eastAsia" w:ascii="宋体" w:hAnsi="宋体" w:cs="宋体"/>
          <w:color w:val="auto"/>
          <w:szCs w:val="21"/>
          <w:highlight w:val="none"/>
          <w:u w:val="single"/>
        </w:rPr>
        <w:t xml:space="preserve">                                </w:t>
      </w:r>
    </w:p>
    <w:p w14:paraId="10D35113">
      <w:pPr>
        <w:wordWrap w:val="0"/>
        <w:spacing w:line="360" w:lineRule="auto"/>
        <w:rPr>
          <w:rFonts w:hint="eastAsia" w:ascii="宋体" w:hAnsi="宋体" w:cs="宋体"/>
          <w:color w:val="auto"/>
          <w:szCs w:val="21"/>
          <w:highlight w:val="none"/>
          <w:u w:val="single"/>
        </w:rPr>
      </w:pPr>
    </w:p>
    <w:p w14:paraId="70EF371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签字(签章)：                   公章：                      </w:t>
      </w:r>
    </w:p>
    <w:p w14:paraId="01FEB674">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日期：    </w:t>
      </w:r>
    </w:p>
    <w:p w14:paraId="2FA5853A">
      <w:pPr>
        <w:wordWrap w:val="0"/>
        <w:spacing w:line="360" w:lineRule="auto"/>
        <w:ind w:firstLine="422"/>
        <w:rPr>
          <w:rFonts w:hint="eastAsia" w:ascii="宋体" w:hAnsi="宋体" w:cs="宋体"/>
          <w:b/>
          <w:color w:val="auto"/>
          <w:szCs w:val="21"/>
          <w:highlight w:val="none"/>
        </w:rPr>
      </w:pPr>
    </w:p>
    <w:p w14:paraId="10026851">
      <w:pPr>
        <w:wordWrap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投诉书制作说明：</w:t>
      </w:r>
    </w:p>
    <w:p w14:paraId="7E94C040">
      <w:pPr>
        <w:widowControl/>
        <w:wordWrap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1.投诉人提起投诉时，应当提交投诉书和必要的证明材料，并按照被投诉人和与投诉事项有关的供应商数量提供投诉书副本。</w:t>
      </w:r>
    </w:p>
    <w:p w14:paraId="6F44281E">
      <w:pPr>
        <w:widowControl/>
        <w:wordWrap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2.投诉人若委托代理人进行投诉的，投诉书应按照要求列明“授权代表”的有关内容，并在附件中提交由</w:t>
      </w:r>
      <w:r>
        <w:rPr>
          <w:rFonts w:hint="eastAsia" w:ascii="宋体" w:hAnsi="宋体" w:cs="宋体"/>
          <w:color w:val="auto"/>
          <w:kern w:val="0"/>
          <w:szCs w:val="21"/>
          <w:highlight w:val="none"/>
        </w:rPr>
        <w:t>投诉人签署的授权委托书。授权委托书应当载明代理人的姓名或者名称、代理事项、具体权限、期限和相关事项。</w:t>
      </w:r>
    </w:p>
    <w:p w14:paraId="598F0CF3">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3.投诉人若对项目的某一分包进行投诉，投诉书应列明具体分包号。</w:t>
      </w:r>
    </w:p>
    <w:p w14:paraId="23485D6D">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4.投诉书应简要列明质疑事项，质疑函、质疑答复等作为附件材料提供。</w:t>
      </w:r>
    </w:p>
    <w:p w14:paraId="36202815">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5.投诉书的投诉事项应具体、明确，并有必要的事实依据和法律依据。</w:t>
      </w:r>
    </w:p>
    <w:p w14:paraId="2F1F8CC9">
      <w:pPr>
        <w:widowControl/>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6.投诉书的投诉请求应与投诉事项相关。</w:t>
      </w:r>
    </w:p>
    <w:p w14:paraId="7C57FA03">
      <w:pPr>
        <w:widowControl/>
        <w:wordWrap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7.投诉人为自然人的，投诉书应当由本人签字；投诉人为法人或者其他组织的，投诉书应当由法定代表人、主要负责人，或者其授权代表签字或者盖章，并加盖公章。</w:t>
      </w:r>
    </w:p>
    <w:p w14:paraId="6A62E443">
      <w:pPr>
        <w:wordWrap w:val="0"/>
        <w:spacing w:line="360" w:lineRule="auto"/>
        <w:rPr>
          <w:rFonts w:hint="eastAsia" w:ascii="宋体" w:hAnsi="宋体" w:cs="宋体"/>
          <w:color w:val="auto"/>
          <w:szCs w:val="21"/>
          <w:highlight w:val="none"/>
        </w:rPr>
      </w:pPr>
    </w:p>
    <w:p w14:paraId="1A64BB5A">
      <w:pPr>
        <w:rPr>
          <w:rFonts w:hint="eastAsia" w:ascii="宋体" w:hAnsi="宋体" w:cs="宋体"/>
          <w:color w:val="auto"/>
          <w:szCs w:val="21"/>
          <w:highlight w:val="none"/>
        </w:rPr>
      </w:pPr>
    </w:p>
    <w:sectPr>
      <w:footerReference r:id="rId10" w:type="first"/>
      <w:headerReference r:id="rId7" w:type="default"/>
      <w:footerReference r:id="rId8" w:type="default"/>
      <w:footerReference r:id="rId9" w:type="even"/>
      <w:pgSz w:w="11906" w:h="16838"/>
      <w:pgMar w:top="1440" w:right="1080" w:bottom="1440" w:left="1080"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F1522">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66AD22C5">
                          <w:pPr>
                            <w:pStyle w:val="14"/>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EaWxZTTAQAAqwMAAA4AAAAAAAAAAQAgAAAAHwEA&#10;AGRycy9lMm9Eb2MueG1sUEsFBgAAAAAGAAYAWQEAAGQFAAAAAA==&#10;">
              <v:fill on="f" focussize="0,0"/>
              <v:stroke on="f"/>
              <v:imagedata o:title=""/>
              <o:lock v:ext="edit" aspectratio="f"/>
              <v:textbox inset="0mm,0mm,0mm,0mm" style="mso-fit-shape-to-text:t;">
                <w:txbxContent>
                  <w:p w14:paraId="66AD22C5">
                    <w:pPr>
                      <w:pStyle w:val="14"/>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0685C">
    <w:pPr>
      <w:pStyle w:val="14"/>
      <w:tabs>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5354E5DC">
                          <w:pPr>
                            <w:pStyle w:val="14"/>
                          </w:pPr>
                          <w:r>
                            <w:fldChar w:fldCharType="begin"/>
                          </w:r>
                          <w:r>
                            <w:instrText xml:space="preserve"> PAGE  \* MERGEFORMAT </w:instrText>
                          </w:r>
                          <w:r>
                            <w:fldChar w:fldCharType="separate"/>
                          </w:r>
                          <w:r>
                            <w:t>7</w:t>
                          </w:r>
                          <w: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VK4UfSAQAAqwMAAA4AAABkcnMvZTJvRG9jLnhtbK1TzY7TMBC+I/EO&#10;lu80aYVQiZqukK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Wb6myTthaeaX798uP35d&#10;fn5lq6RQH7CixPtwB5OHZCa6Qws2/YkIG7Kq56uqaohMUnC5Xq3XJQku6Wx2CKd4uB4A41vlLUtG&#10;zYHGltUUp/cYx9Q5JVVz/lYbQ3FRGfdXgDDHiMqzn26n/seOkxWH/TDR2PvmTPTpNVDVzsMXznra&#10;hZo7Wn3OzDtHUqe1mQ2Yjf1sCCfpYs3HhjG8OUbqLjedio0ViGxyaIaZ9rRvaUn+9HPWwxvb/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RUrhR9IBAACrAwAADgAAAAAAAAABACAAAAAfAQAA&#10;ZHJzL2Uyb0RvYy54bWxQSwUGAAAAAAYABgBZAQAAYwUAAAAA&#10;">
              <v:fill on="f" focussize="0,0"/>
              <v:stroke on="f"/>
              <v:imagedata o:title=""/>
              <o:lock v:ext="edit" aspectratio="f"/>
              <v:textbox inset="0mm,0mm,0mm,0mm" style="mso-fit-shape-to-text:t;">
                <w:txbxContent>
                  <w:p w14:paraId="5354E5DC">
                    <w:pPr>
                      <w:pStyle w:val="14"/>
                    </w:pPr>
                    <w:r>
                      <w:fldChar w:fldCharType="begin"/>
                    </w:r>
                    <w:r>
                      <w:instrText xml:space="preserve"> PAGE  \* MERGEFORMAT </w:instrText>
                    </w:r>
                    <w:r>
                      <w:fldChar w:fldCharType="separate"/>
                    </w:r>
                    <w:r>
                      <w:t>7</w:t>
                    </w:r>
                    <w:r>
                      <w:fldChar w:fldCharType="end"/>
                    </w:r>
                  </w:p>
                </w:txbxContent>
              </v:textbox>
            </v:rect>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33F53">
    <w:pPr>
      <w:pStyle w:val="1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47FE846B">
                          <w:pPr>
                            <w:pStyle w:val="14"/>
                          </w:pPr>
                          <w:r>
                            <w:fldChar w:fldCharType="begin"/>
                          </w:r>
                          <w:r>
                            <w:instrText xml:space="preserve"> PAGE  \* MERGEFORMAT </w:instrText>
                          </w:r>
                          <w:r>
                            <w:fldChar w:fldCharType="separate"/>
                          </w:r>
                          <w:r>
                            <w:t>110</w:t>
                          </w:r>
                          <w: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BUT03DTAQAAqwMAAA4AAAAAAAAAAQAgAAAAHwEA&#10;AGRycy9lMm9Eb2MueG1sUEsFBgAAAAAGAAYAWQEAAGQFAAAAAA==&#10;">
              <v:fill on="f" focussize="0,0"/>
              <v:stroke on="f"/>
              <v:imagedata o:title=""/>
              <o:lock v:ext="edit" aspectratio="f"/>
              <v:textbox inset="0mm,0mm,0mm,0mm" style="mso-fit-shape-to-text:t;">
                <w:txbxContent>
                  <w:p w14:paraId="47FE846B">
                    <w:pPr>
                      <w:pStyle w:val="14"/>
                    </w:pPr>
                    <w:r>
                      <w:fldChar w:fldCharType="begin"/>
                    </w:r>
                    <w:r>
                      <w:instrText xml:space="preserve"> PAGE  \* MERGEFORMAT </w:instrText>
                    </w:r>
                    <w:r>
                      <w:fldChar w:fldCharType="separate"/>
                    </w:r>
                    <w:r>
                      <w:t>110</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73E65">
    <w:pPr>
      <w:pStyle w:val="14"/>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3D07C9B2">
                          <w:pPr>
                            <w:pStyle w:val="14"/>
                          </w:pPr>
                          <w:r>
                            <w:fldChar w:fldCharType="begin"/>
                          </w:r>
                          <w:r>
                            <w:instrText xml:space="preserve"> PAGE  \* MERGEFORMAT </w:instrText>
                          </w:r>
                          <w:r>
                            <w:fldChar w:fldCharType="separate"/>
                          </w:r>
                          <w:r>
                            <w:t>113</w:t>
                          </w:r>
                          <w:r>
                            <w:fldChar w:fldCharType="end"/>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Cf/7S60QEAAKsDAAAOAAAAAAAAAAEAIAAAAB8BAABk&#10;cnMvZTJvRG9jLnhtbFBLBQYAAAAABgAGAFkBAABiBQAAAAA=&#10;">
              <v:fill on="f" focussize="0,0"/>
              <v:stroke on="f"/>
              <v:imagedata o:title=""/>
              <o:lock v:ext="edit" aspectratio="f"/>
              <v:textbox inset="0mm,0mm,0mm,0mm" style="mso-fit-shape-to-text:t;">
                <w:txbxContent>
                  <w:p w14:paraId="3D07C9B2">
                    <w:pPr>
                      <w:pStyle w:val="14"/>
                    </w:pPr>
                    <w:r>
                      <w:fldChar w:fldCharType="begin"/>
                    </w:r>
                    <w:r>
                      <w:instrText xml:space="preserve"> PAGE  \* MERGEFORMAT </w:instrText>
                    </w:r>
                    <w:r>
                      <w:fldChar w:fldCharType="separate"/>
                    </w:r>
                    <w:r>
                      <w:t>113</w:t>
                    </w:r>
                    <w:r>
                      <w:fldChar w:fldCharType="end"/>
                    </w:r>
                  </w:p>
                </w:txbxContent>
              </v:textbox>
            </v:rect>
          </w:pict>
        </mc:Fallback>
      </mc:AlternateContent>
    </w:r>
  </w:p>
  <w:p w14:paraId="5711E7C6">
    <w:pPr>
      <w:pStyle w:val="14"/>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2DD58">
    <w:pPr>
      <w:pStyle w:val="14"/>
      <w:framePr w:wrap="around" w:vAnchor="text" w:hAnchor="margin" w:xAlign="center" w:y="1"/>
      <w:ind w:firstLine="360"/>
      <w:rPr>
        <w:rStyle w:val="26"/>
      </w:rPr>
    </w:pPr>
    <w:r>
      <w:fldChar w:fldCharType="begin"/>
    </w:r>
    <w:r>
      <w:rPr>
        <w:rStyle w:val="26"/>
      </w:rPr>
      <w:instrText xml:space="preserve">PAGE  </w:instrText>
    </w:r>
    <w:r>
      <w:fldChar w:fldCharType="end"/>
    </w:r>
  </w:p>
  <w:p w14:paraId="556FD38B">
    <w:pPr>
      <w:pStyle w:val="14"/>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A991C">
    <w:pPr>
      <w:pStyle w:val="14"/>
      <w:framePr w:wrap="around" w:vAnchor="text" w:hAnchor="margin" w:xAlign="right" w:y="1"/>
      <w:ind w:firstLine="360"/>
      <w:rPr>
        <w:rStyle w:val="26"/>
      </w:rPr>
    </w:pPr>
    <w:r>
      <w:fldChar w:fldCharType="begin"/>
    </w:r>
    <w:r>
      <w:rPr>
        <w:rStyle w:val="26"/>
      </w:rPr>
      <w:instrText xml:space="preserve">PAGE  </w:instrText>
    </w:r>
    <w:r>
      <w:fldChar w:fldCharType="separate"/>
    </w:r>
    <w:r>
      <w:rPr>
        <w:rStyle w:val="26"/>
      </w:rPr>
      <w:t>122</w:t>
    </w:r>
    <w:r>
      <w:fldChar w:fldCharType="end"/>
    </w:r>
  </w:p>
  <w:p w14:paraId="0F425236">
    <w:pPr>
      <w:pStyle w:val="14"/>
      <w:ind w:right="360" w:firstLine="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3549A">
    <w:pPr>
      <w:widowControl/>
      <w:ind w:left="-360" w:right="360"/>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42DF9">
    <w:pPr>
      <w:pStyle w:val="15"/>
      <w:pBdr>
        <w:bottom w:val="none" w:color="auto" w:sz="0" w:space="1"/>
      </w:pBdr>
      <w:ind w:firstLine="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1E5CB"/>
    <w:multiLevelType w:val="singleLevel"/>
    <w:tmpl w:val="9851E5CB"/>
    <w:lvl w:ilvl="0" w:tentative="0">
      <w:start w:val="7"/>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multilevel"/>
    <w:tmpl w:val="0000000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3"/>
    <w:multiLevelType w:val="singleLevel"/>
    <w:tmpl w:val="00000003"/>
    <w:lvl w:ilvl="0" w:tentative="0">
      <w:start w:val="1"/>
      <w:numFmt w:val="decimal"/>
      <w:suff w:val="nothing"/>
      <w:lvlText w:val="（%1）"/>
      <w:lvlJc w:val="left"/>
      <w:pPr>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revisionView w:markup="0"/>
  <w:documentProtection w:edit="readOnly" w:enforcement="1" w:cryptProviderType="rsaFull" w:cryptAlgorithmClass="hash" w:cryptAlgorithmType="typeAny" w:cryptAlgorithmSid="4" w:cryptSpinCount="0" w:hash="XCeH8ptVw26HKmnej2hPwOGY9qs=" w:salt="mXpCt3hrs6iLNzCj3S18z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kMTVkZGVlNjM5Y2I1YzE2NWI2YTdmZmFkOGI0MTkifQ=="/>
  </w:docVars>
  <w:rsids>
    <w:rsidRoot w:val="00D84B94"/>
    <w:rsid w:val="000215EC"/>
    <w:rsid w:val="00065878"/>
    <w:rsid w:val="000669FE"/>
    <w:rsid w:val="001240CB"/>
    <w:rsid w:val="001C6949"/>
    <w:rsid w:val="001E21B6"/>
    <w:rsid w:val="00201C2F"/>
    <w:rsid w:val="002309E8"/>
    <w:rsid w:val="00273590"/>
    <w:rsid w:val="002D4860"/>
    <w:rsid w:val="00330BF9"/>
    <w:rsid w:val="0035682B"/>
    <w:rsid w:val="00390BC1"/>
    <w:rsid w:val="00396B2A"/>
    <w:rsid w:val="00415572"/>
    <w:rsid w:val="0043315D"/>
    <w:rsid w:val="0049458C"/>
    <w:rsid w:val="005039F3"/>
    <w:rsid w:val="0051224F"/>
    <w:rsid w:val="0053426D"/>
    <w:rsid w:val="0072473B"/>
    <w:rsid w:val="007632EF"/>
    <w:rsid w:val="007D7C88"/>
    <w:rsid w:val="00820ECE"/>
    <w:rsid w:val="00882565"/>
    <w:rsid w:val="00897F66"/>
    <w:rsid w:val="00990CC6"/>
    <w:rsid w:val="009B6165"/>
    <w:rsid w:val="00A34A3B"/>
    <w:rsid w:val="00AE7ED5"/>
    <w:rsid w:val="00B04F1F"/>
    <w:rsid w:val="00BD2AD0"/>
    <w:rsid w:val="00C06394"/>
    <w:rsid w:val="00C23769"/>
    <w:rsid w:val="00C3097D"/>
    <w:rsid w:val="00C4584A"/>
    <w:rsid w:val="00CF7D4E"/>
    <w:rsid w:val="00D71CB6"/>
    <w:rsid w:val="00D7440B"/>
    <w:rsid w:val="00D84B94"/>
    <w:rsid w:val="00DA0FB4"/>
    <w:rsid w:val="00DA4E3C"/>
    <w:rsid w:val="00DE7A87"/>
    <w:rsid w:val="00E6569E"/>
    <w:rsid w:val="00F052FD"/>
    <w:rsid w:val="00F07FFA"/>
    <w:rsid w:val="00F52A8D"/>
    <w:rsid w:val="012E190F"/>
    <w:rsid w:val="01DD41C2"/>
    <w:rsid w:val="0260595B"/>
    <w:rsid w:val="02F007A3"/>
    <w:rsid w:val="041872E6"/>
    <w:rsid w:val="060A5805"/>
    <w:rsid w:val="06245675"/>
    <w:rsid w:val="07B5669C"/>
    <w:rsid w:val="07F94B34"/>
    <w:rsid w:val="08281AC6"/>
    <w:rsid w:val="08BF0E65"/>
    <w:rsid w:val="0DE7563E"/>
    <w:rsid w:val="0F1A402A"/>
    <w:rsid w:val="100A7FDF"/>
    <w:rsid w:val="108252A3"/>
    <w:rsid w:val="11A008EF"/>
    <w:rsid w:val="128E6BBE"/>
    <w:rsid w:val="12D815BF"/>
    <w:rsid w:val="1310745F"/>
    <w:rsid w:val="1345679E"/>
    <w:rsid w:val="14AC0491"/>
    <w:rsid w:val="15347683"/>
    <w:rsid w:val="15F1666D"/>
    <w:rsid w:val="16AE6AC0"/>
    <w:rsid w:val="18313495"/>
    <w:rsid w:val="18A916AA"/>
    <w:rsid w:val="1A7C1E75"/>
    <w:rsid w:val="1D70224C"/>
    <w:rsid w:val="20A2131F"/>
    <w:rsid w:val="211E40AD"/>
    <w:rsid w:val="216F69CC"/>
    <w:rsid w:val="21A67760"/>
    <w:rsid w:val="22A854A3"/>
    <w:rsid w:val="23293762"/>
    <w:rsid w:val="23320F5D"/>
    <w:rsid w:val="23634F8F"/>
    <w:rsid w:val="249347F1"/>
    <w:rsid w:val="26395046"/>
    <w:rsid w:val="267B3D6E"/>
    <w:rsid w:val="287F1449"/>
    <w:rsid w:val="29344ADA"/>
    <w:rsid w:val="296A61DF"/>
    <w:rsid w:val="2AAA759D"/>
    <w:rsid w:val="2ABC51A5"/>
    <w:rsid w:val="2BEE2FE5"/>
    <w:rsid w:val="2CA363A8"/>
    <w:rsid w:val="2DD51F98"/>
    <w:rsid w:val="2E3269D9"/>
    <w:rsid w:val="2E374561"/>
    <w:rsid w:val="2E644C2A"/>
    <w:rsid w:val="2E786212"/>
    <w:rsid w:val="2EBF3113"/>
    <w:rsid w:val="2EDD5EC1"/>
    <w:rsid w:val="2F326AD7"/>
    <w:rsid w:val="2FF835D9"/>
    <w:rsid w:val="301B3A0F"/>
    <w:rsid w:val="31D079A8"/>
    <w:rsid w:val="321628B3"/>
    <w:rsid w:val="328259AD"/>
    <w:rsid w:val="34AD219A"/>
    <w:rsid w:val="34C84436"/>
    <w:rsid w:val="355377A3"/>
    <w:rsid w:val="362B3335"/>
    <w:rsid w:val="365F75AD"/>
    <w:rsid w:val="37812F58"/>
    <w:rsid w:val="383B1D57"/>
    <w:rsid w:val="398E51E0"/>
    <w:rsid w:val="3AE534FD"/>
    <w:rsid w:val="3B347F16"/>
    <w:rsid w:val="3B6528DC"/>
    <w:rsid w:val="3DB66B25"/>
    <w:rsid w:val="3E8A3B75"/>
    <w:rsid w:val="3F2B06A5"/>
    <w:rsid w:val="41635D34"/>
    <w:rsid w:val="416C62CE"/>
    <w:rsid w:val="41E81DBB"/>
    <w:rsid w:val="42650D34"/>
    <w:rsid w:val="42686FCC"/>
    <w:rsid w:val="42F531C7"/>
    <w:rsid w:val="43BD084E"/>
    <w:rsid w:val="444B2C36"/>
    <w:rsid w:val="4515424B"/>
    <w:rsid w:val="466E080E"/>
    <w:rsid w:val="47041BE5"/>
    <w:rsid w:val="47537846"/>
    <w:rsid w:val="47B13AC3"/>
    <w:rsid w:val="47F45AF2"/>
    <w:rsid w:val="488B43BB"/>
    <w:rsid w:val="48C42A3E"/>
    <w:rsid w:val="494A4002"/>
    <w:rsid w:val="49B368B7"/>
    <w:rsid w:val="4B7E2701"/>
    <w:rsid w:val="4DB63172"/>
    <w:rsid w:val="4E5275D2"/>
    <w:rsid w:val="4F252D7C"/>
    <w:rsid w:val="4F814349"/>
    <w:rsid w:val="51F03663"/>
    <w:rsid w:val="522E0CD4"/>
    <w:rsid w:val="52397FF8"/>
    <w:rsid w:val="52666F88"/>
    <w:rsid w:val="52B62005"/>
    <w:rsid w:val="52B74913"/>
    <w:rsid w:val="52BD162E"/>
    <w:rsid w:val="53046A43"/>
    <w:rsid w:val="54154F2F"/>
    <w:rsid w:val="54860B39"/>
    <w:rsid w:val="54F527EA"/>
    <w:rsid w:val="56BC1C42"/>
    <w:rsid w:val="56BF3A28"/>
    <w:rsid w:val="578604C9"/>
    <w:rsid w:val="57A91F56"/>
    <w:rsid w:val="57C806C2"/>
    <w:rsid w:val="581C03F5"/>
    <w:rsid w:val="587E61F5"/>
    <w:rsid w:val="59184E6E"/>
    <w:rsid w:val="5AAA3A54"/>
    <w:rsid w:val="5B1850CF"/>
    <w:rsid w:val="5B2E3C2F"/>
    <w:rsid w:val="5CA906AD"/>
    <w:rsid w:val="5CBE5E79"/>
    <w:rsid w:val="5CE02863"/>
    <w:rsid w:val="5D34733E"/>
    <w:rsid w:val="5D8A1702"/>
    <w:rsid w:val="5DA50DCC"/>
    <w:rsid w:val="5E2579DF"/>
    <w:rsid w:val="5E9401F8"/>
    <w:rsid w:val="5ECA5457"/>
    <w:rsid w:val="61CB6CF7"/>
    <w:rsid w:val="63B836D1"/>
    <w:rsid w:val="63F44B0F"/>
    <w:rsid w:val="6472739A"/>
    <w:rsid w:val="647A6821"/>
    <w:rsid w:val="65085608"/>
    <w:rsid w:val="652A6B59"/>
    <w:rsid w:val="65FC33BF"/>
    <w:rsid w:val="670752CC"/>
    <w:rsid w:val="67C03C15"/>
    <w:rsid w:val="6809013D"/>
    <w:rsid w:val="680E66E4"/>
    <w:rsid w:val="69A67E89"/>
    <w:rsid w:val="69E33EC6"/>
    <w:rsid w:val="6B5E6424"/>
    <w:rsid w:val="6BB63790"/>
    <w:rsid w:val="6BD800B6"/>
    <w:rsid w:val="6C5A7C50"/>
    <w:rsid w:val="6CED0886"/>
    <w:rsid w:val="6D3A49A5"/>
    <w:rsid w:val="70320200"/>
    <w:rsid w:val="704A345D"/>
    <w:rsid w:val="70565218"/>
    <w:rsid w:val="71BE0300"/>
    <w:rsid w:val="71E56CE2"/>
    <w:rsid w:val="724F0992"/>
    <w:rsid w:val="73057BF8"/>
    <w:rsid w:val="73417687"/>
    <w:rsid w:val="73D3412F"/>
    <w:rsid w:val="73E40234"/>
    <w:rsid w:val="740C58AA"/>
    <w:rsid w:val="74CE676B"/>
    <w:rsid w:val="757A7E5C"/>
    <w:rsid w:val="759F43D4"/>
    <w:rsid w:val="762B28FA"/>
    <w:rsid w:val="773724A9"/>
    <w:rsid w:val="78DB1AEF"/>
    <w:rsid w:val="79752E15"/>
    <w:rsid w:val="7C6F2602"/>
    <w:rsid w:val="7C9C0C73"/>
    <w:rsid w:val="7CE863E4"/>
    <w:rsid w:val="7E722463"/>
    <w:rsid w:val="7F1631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1"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9"/>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qFormat/>
    <w:uiPriority w:val="9"/>
    <w:pPr>
      <w:keepNext/>
      <w:keepLines/>
      <w:spacing w:line="600" w:lineRule="exact"/>
      <w:ind w:firstLine="643" w:firstLineChars="200"/>
      <w:outlineLvl w:val="2"/>
    </w:pPr>
    <w:rPr>
      <w:b/>
      <w:bCs/>
      <w:sz w:val="32"/>
      <w:szCs w:val="32"/>
    </w:rPr>
  </w:style>
  <w:style w:type="paragraph" w:styleId="5">
    <w:name w:val="heading 4"/>
    <w:basedOn w:val="1"/>
    <w:next w:val="1"/>
    <w:qFormat/>
    <w:uiPriority w:val="0"/>
    <w:pPr>
      <w:keepNext/>
      <w:keepLines/>
      <w:numPr>
        <w:ilvl w:val="3"/>
        <w:numId w:val="1"/>
      </w:numPr>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next w:val="1"/>
    <w:qFormat/>
    <w:uiPriority w:val="99"/>
    <w:pPr>
      <w:ind w:firstLine="420"/>
    </w:pPr>
    <w:rPr>
      <w:szCs w:val="20"/>
    </w:rPr>
  </w:style>
  <w:style w:type="paragraph" w:styleId="8">
    <w:name w:val="annotation text"/>
    <w:basedOn w:val="1"/>
    <w:link w:val="41"/>
    <w:qFormat/>
    <w:uiPriority w:val="99"/>
    <w:pPr>
      <w:jc w:val="left"/>
    </w:pPr>
  </w:style>
  <w:style w:type="paragraph" w:styleId="9">
    <w:name w:val="Body Text"/>
    <w:basedOn w:val="1"/>
    <w:next w:val="1"/>
    <w:qFormat/>
    <w:uiPriority w:val="0"/>
    <w:pPr>
      <w:spacing w:after="120"/>
    </w:pPr>
  </w:style>
  <w:style w:type="paragraph" w:styleId="10">
    <w:name w:val="Body Text Indent"/>
    <w:basedOn w:val="1"/>
    <w:qFormat/>
    <w:uiPriority w:val="99"/>
    <w:pPr>
      <w:spacing w:line="200" w:lineRule="exact"/>
      <w:ind w:firstLine="301"/>
    </w:pPr>
    <w:rPr>
      <w:rFonts w:ascii="宋体" w:hAnsi="Courier New"/>
      <w:spacing w:val="-4"/>
      <w:sz w:val="18"/>
      <w:szCs w:val="20"/>
    </w:rPr>
  </w:style>
  <w:style w:type="paragraph" w:styleId="11">
    <w:name w:val="toc 3"/>
    <w:basedOn w:val="1"/>
    <w:next w:val="1"/>
    <w:qFormat/>
    <w:uiPriority w:val="39"/>
    <w:pPr>
      <w:jc w:val="left"/>
    </w:pPr>
    <w:rPr>
      <w:rFonts w:ascii="Calibri" w:hAnsi="Calibri"/>
      <w:smallCaps/>
      <w:sz w:val="22"/>
      <w:szCs w:val="22"/>
    </w:rPr>
  </w:style>
  <w:style w:type="paragraph" w:styleId="12">
    <w:name w:val="Plain Text"/>
    <w:basedOn w:val="1"/>
    <w:next w:val="5"/>
    <w:qFormat/>
    <w:uiPriority w:val="0"/>
    <w:rPr>
      <w:rFonts w:ascii="宋体" w:hAnsi="Courier New"/>
      <w:szCs w:val="20"/>
    </w:rPr>
  </w:style>
  <w:style w:type="paragraph" w:styleId="13">
    <w:name w:val="Balloon Text"/>
    <w:basedOn w:val="1"/>
    <w:link w:val="40"/>
    <w:qFormat/>
    <w:uiPriority w:val="0"/>
    <w:rPr>
      <w:sz w:val="18"/>
      <w:szCs w:val="18"/>
    </w:rPr>
  </w:style>
  <w:style w:type="paragraph" w:styleId="14">
    <w:name w:val="footer"/>
    <w:basedOn w:val="1"/>
    <w:qFormat/>
    <w:uiPriority w:val="99"/>
    <w:pPr>
      <w:tabs>
        <w:tab w:val="center" w:pos="4153"/>
        <w:tab w:val="right" w:pos="8306"/>
      </w:tabs>
      <w:snapToGrid w:val="0"/>
      <w:jc w:val="left"/>
    </w:pPr>
    <w:rPr>
      <w:sz w:val="18"/>
      <w:szCs w:val="18"/>
    </w:rPr>
  </w:style>
  <w:style w:type="paragraph" w:styleId="1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360" w:after="360"/>
      <w:jc w:val="left"/>
    </w:pPr>
    <w:rPr>
      <w:rFonts w:ascii="Calibri" w:hAnsi="Calibri"/>
      <w:b/>
      <w:bCs/>
      <w:caps/>
      <w:sz w:val="22"/>
      <w:szCs w:val="22"/>
      <w:u w:val="single"/>
    </w:rPr>
  </w:style>
  <w:style w:type="paragraph" w:styleId="17">
    <w:name w:val="List"/>
    <w:basedOn w:val="1"/>
    <w:qFormat/>
    <w:uiPriority w:val="99"/>
    <w:pPr>
      <w:ind w:left="200" w:hanging="200" w:hangingChars="200"/>
    </w:pPr>
    <w:rPr>
      <w:sz w:val="28"/>
    </w:rPr>
  </w:style>
  <w:style w:type="paragraph" w:styleId="18">
    <w:name w:val="toc 2"/>
    <w:basedOn w:val="1"/>
    <w:next w:val="1"/>
    <w:qFormat/>
    <w:uiPriority w:val="39"/>
    <w:pPr>
      <w:jc w:val="left"/>
    </w:pPr>
    <w:rPr>
      <w:rFonts w:ascii="Calibri" w:hAnsi="Calibri"/>
      <w:b/>
      <w:bCs/>
      <w:smallCaps/>
      <w:sz w:val="22"/>
      <w:szCs w:val="22"/>
    </w:rPr>
  </w:style>
  <w:style w:type="paragraph" w:styleId="19">
    <w:name w:val="Title"/>
    <w:basedOn w:val="1"/>
    <w:next w:val="1"/>
    <w:qFormat/>
    <w:uiPriority w:val="10"/>
    <w:pPr>
      <w:spacing w:before="240" w:after="60"/>
      <w:jc w:val="center"/>
      <w:outlineLvl w:val="0"/>
    </w:pPr>
    <w:rPr>
      <w:rFonts w:ascii="Cambria" w:hAnsi="Cambria"/>
      <w:b/>
      <w:bCs/>
      <w:sz w:val="32"/>
      <w:szCs w:val="32"/>
    </w:rPr>
  </w:style>
  <w:style w:type="paragraph" w:styleId="20">
    <w:name w:val="annotation subject"/>
    <w:basedOn w:val="8"/>
    <w:next w:val="8"/>
    <w:link w:val="42"/>
    <w:qFormat/>
    <w:uiPriority w:val="0"/>
    <w:rPr>
      <w:b/>
      <w:bCs/>
    </w:rPr>
  </w:style>
  <w:style w:type="paragraph" w:styleId="21">
    <w:name w:val="Body Text First Indent 2"/>
    <w:basedOn w:val="1"/>
    <w:qFormat/>
    <w:uiPriority w:val="1"/>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qFormat/>
    <w:uiPriority w:val="99"/>
  </w:style>
  <w:style w:type="character" w:styleId="27">
    <w:name w:val="Hyperlink"/>
    <w:qFormat/>
    <w:uiPriority w:val="99"/>
    <w:rPr>
      <w:color w:val="0000FF"/>
      <w:u w:val="single"/>
    </w:rPr>
  </w:style>
  <w:style w:type="character" w:styleId="28">
    <w:name w:val="annotation reference"/>
    <w:basedOn w:val="24"/>
    <w:qFormat/>
    <w:uiPriority w:val="0"/>
    <w:rPr>
      <w:sz w:val="21"/>
      <w:szCs w:val="21"/>
    </w:rPr>
  </w:style>
  <w:style w:type="paragraph" w:customStyle="1" w:styleId="29">
    <w:name w:val="Default"/>
    <w:next w:val="1"/>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0">
    <w:name w:val="表格文字"/>
    <w:basedOn w:val="1"/>
    <w:next w:val="9"/>
    <w:qFormat/>
    <w:uiPriority w:val="99"/>
    <w:pPr>
      <w:spacing w:before="25" w:after="25"/>
    </w:pPr>
    <w:rPr>
      <w:bCs/>
      <w:spacing w:val="10"/>
      <w:sz w:val="24"/>
      <w:szCs w:val="20"/>
    </w:rPr>
  </w:style>
  <w:style w:type="character" w:customStyle="1" w:styleId="3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32">
    <w:name w:val="正文2"/>
    <w:basedOn w:val="1"/>
    <w:qFormat/>
    <w:uiPriority w:val="0"/>
    <w:pPr>
      <w:adjustRightInd w:val="0"/>
      <w:spacing w:before="156" w:line="360" w:lineRule="auto"/>
      <w:ind w:firstLine="510" w:firstLineChars="200"/>
    </w:pPr>
    <w:rPr>
      <w:sz w:val="24"/>
      <w:szCs w:val="20"/>
    </w:rPr>
  </w:style>
  <w:style w:type="paragraph" w:styleId="33">
    <w:name w:val="List Paragraph"/>
    <w:basedOn w:val="1"/>
    <w:qFormat/>
    <w:uiPriority w:val="34"/>
    <w:pPr>
      <w:ind w:firstLine="420" w:firstLineChars="200"/>
    </w:pPr>
  </w:style>
  <w:style w:type="paragraph" w:customStyle="1" w:styleId="34">
    <w:name w:val="正文缩进1"/>
    <w:basedOn w:val="1"/>
    <w:next w:val="10"/>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35">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6">
    <w:name w:val="自定义正文"/>
    <w:qFormat/>
    <w:uiPriority w:val="0"/>
    <w:pPr>
      <w:spacing w:line="360" w:lineRule="auto"/>
      <w:ind w:firstLine="420" w:firstLineChars="200"/>
    </w:pPr>
    <w:rPr>
      <w:rFonts w:ascii="宋体" w:hAnsi="宋体" w:eastAsia="宋体" w:cs="Times New Roman"/>
      <w:sz w:val="28"/>
      <w:lang w:val="en-US" w:eastAsia="zh-CN" w:bidi="ar-SA"/>
    </w:rPr>
  </w:style>
  <w:style w:type="paragraph" w:customStyle="1" w:styleId="37">
    <w:name w:val="表格"/>
    <w:basedOn w:val="1"/>
    <w:qFormat/>
    <w:uiPriority w:val="0"/>
    <w:pPr>
      <w:adjustRightInd w:val="0"/>
      <w:snapToGrid w:val="0"/>
      <w:spacing w:line="288" w:lineRule="auto"/>
      <w:jc w:val="center"/>
    </w:pPr>
    <w:rPr>
      <w:rFonts w:ascii="仿宋" w:hAnsi="仿宋" w:eastAsia="仿宋"/>
      <w:lang w:val="zh-CN"/>
    </w:rPr>
  </w:style>
  <w:style w:type="paragraph" w:customStyle="1" w:styleId="38">
    <w:name w:val="Title1"/>
    <w:basedOn w:val="1"/>
    <w:next w:val="1"/>
    <w:qFormat/>
    <w:uiPriority w:val="0"/>
    <w:pPr>
      <w:jc w:val="center"/>
      <w:outlineLvl w:val="0"/>
    </w:pPr>
    <w:rPr>
      <w:rFonts w:ascii="Calibri Light" w:hAnsi="Calibri Light" w:eastAsia="Arial Unicode MS"/>
      <w:b/>
    </w:rPr>
  </w:style>
  <w:style w:type="paragraph" w:customStyle="1" w:styleId="39">
    <w:name w:val="列出段落1"/>
    <w:basedOn w:val="1"/>
    <w:qFormat/>
    <w:uiPriority w:val="0"/>
    <w:pPr>
      <w:spacing w:before="100" w:beforeAutospacing="1" w:after="100" w:afterAutospacing="1" w:line="360" w:lineRule="auto"/>
      <w:ind w:firstLine="420" w:firstLineChars="200"/>
    </w:pPr>
  </w:style>
  <w:style w:type="character" w:customStyle="1" w:styleId="40">
    <w:name w:val="批注框文本 字符"/>
    <w:basedOn w:val="24"/>
    <w:link w:val="13"/>
    <w:qFormat/>
    <w:uiPriority w:val="0"/>
    <w:rPr>
      <w:kern w:val="2"/>
      <w:sz w:val="18"/>
      <w:szCs w:val="18"/>
    </w:rPr>
  </w:style>
  <w:style w:type="character" w:customStyle="1" w:styleId="41">
    <w:name w:val="批注文字 字符"/>
    <w:basedOn w:val="24"/>
    <w:link w:val="8"/>
    <w:qFormat/>
    <w:uiPriority w:val="99"/>
    <w:rPr>
      <w:kern w:val="2"/>
      <w:sz w:val="21"/>
      <w:szCs w:val="24"/>
    </w:rPr>
  </w:style>
  <w:style w:type="character" w:customStyle="1" w:styleId="42">
    <w:name w:val="批注主题 字符"/>
    <w:basedOn w:val="41"/>
    <w:link w:val="20"/>
    <w:qFormat/>
    <w:uiPriority w:val="0"/>
    <w:rPr>
      <w:kern w:val="2"/>
      <w:sz w:val="21"/>
      <w:szCs w:val="24"/>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5">
    <w:name w:val="_Style 1"/>
    <w:qFormat/>
    <w:uiPriority w:val="0"/>
    <w:pPr>
      <w:spacing w:before="6" w:beforeLines="2" w:after="6" w:afterLines="2" w:line="320" w:lineRule="exact"/>
      <w:ind w:firstLine="360" w:firstLineChars="200"/>
    </w:pPr>
    <w:rPr>
      <w:rFonts w:ascii="宋体" w:hAnsi="Tahoma" w:eastAsia="宋体" w:cs="Times New Roman"/>
      <w:kern w:val="2"/>
      <w:sz w:val="21"/>
      <w:szCs w:val="21"/>
      <w:lang w:val="en-US" w:eastAsia="zh-CN" w:bidi="ar-SA"/>
    </w:rPr>
  </w:style>
  <w:style w:type="paragraph" w:customStyle="1" w:styleId="46">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790F6-59B1-48A3-8D21-DA3871B0C7FD}">
  <ds:schemaRefs/>
</ds:datastoreItem>
</file>

<file path=customXml/itemProps3.xml><?xml version="1.0" encoding="utf-8"?>
<ds:datastoreItem xmlns:ds="http://schemas.openxmlformats.org/officeDocument/2006/customXml" ds:itemID="{4B92F1B9-3EE0-4A71-9632-113C87C305B1}">
  <ds:schemaRefs/>
</ds:datastoreItem>
</file>

<file path=docProps/app.xml><?xml version="1.0" encoding="utf-8"?>
<Properties xmlns="http://schemas.openxmlformats.org/officeDocument/2006/extended-properties" xmlns:vt="http://schemas.openxmlformats.org/officeDocument/2006/docPropsVTypes">
  <Template>Normal.dotm</Template>
  <Pages>121</Pages>
  <Words>14253</Words>
  <Characters>15259</Characters>
  <Lines>530</Lines>
  <Paragraphs>149</Paragraphs>
  <TotalTime>2</TotalTime>
  <ScaleCrop>false</ScaleCrop>
  <LinksUpToDate>false</LinksUpToDate>
  <CharactersWithSpaces>15429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2026-08-06T07:13:00Z</dcterms:created>
  <dc:creator>Laughing</dc:creator>
  <cp:lastModifiedBy>.</cp:lastModifiedBy>
  <cp:lastPrinted>2026-08-14T01:38:00Z</cp:lastPrinted>
  <dcterms:modified xsi:type="dcterms:W3CDTF">2026-08-18T01:23:11Z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0FD678B6C4A64E158C509FC8EEA3B569_13</vt:lpwstr>
  </property>
  <property fmtid="{D5CDD505-2E9C-101B-9397-08002B2CF9AE}" pid="4" name="KSOTemplateDocerSaveRecord">
    <vt:lpwstr>eyJoZGlkIjoiNzA3YWVkOWQ3MGQyNmUzMTczNDMxNTBjNDgwMzYxZTUiLCJ1c2VySWQiOiI2MjczNDMyNTkifQ==</vt:lpwstr>
  </property>
</Properties>
</file>