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CAC074C">
      <w:pPr>
        <w:shd w:val="clear"/>
        <w:jc w:val="center"/>
        <w:rPr>
          <w:rFonts w:hint="eastAsia" w:ascii="宋体" w:hAnsi="宋体" w:cs="宋体"/>
          <w:b/>
          <w:bCs/>
          <w:color w:val="auto"/>
          <w:sz w:val="48"/>
          <w:szCs w:val="48"/>
          <w:highlight w:val="none"/>
        </w:rPr>
      </w:pPr>
      <w:r>
        <w:rPr>
          <w:rFonts w:hint="eastAsia" w:ascii="宋体" w:hAnsi="宋体" w:cs="宋体"/>
          <w:b/>
          <w:bCs/>
          <w:sz w:val="48"/>
          <w:szCs w:val="48"/>
        </w:rPr>
        <w:drawing>
          <wp:inline distT="0" distB="0" distL="114300" distR="114300">
            <wp:extent cx="5956935" cy="702310"/>
            <wp:effectExtent l="0" t="0" r="5715" b="2540"/>
            <wp:docPr id="5" name="图片 5" descr="828f7ba50ad1d84eaff4ae79095e7a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828f7ba50ad1d84eaff4ae79095e7ae9"/>
                    <pic:cNvPicPr>
                      <a:picLocks noChangeAspect="1"/>
                    </pic:cNvPicPr>
                  </pic:nvPicPr>
                  <pic:blipFill>
                    <a:blip r:embed="rId30"/>
                    <a:stretch>
                      <a:fillRect/>
                    </a:stretch>
                  </pic:blipFill>
                  <pic:spPr>
                    <a:xfrm>
                      <a:off x="0" y="0"/>
                      <a:ext cx="5956935" cy="702310"/>
                    </a:xfrm>
                    <a:prstGeom prst="rect">
                      <a:avLst/>
                    </a:prstGeom>
                  </pic:spPr>
                </pic:pic>
              </a:graphicData>
            </a:graphic>
          </wp:inline>
        </w:drawing>
      </w:r>
    </w:p>
    <w:p w14:paraId="4A1E7522">
      <w:pPr>
        <w:pStyle w:val="17"/>
        <w:shd w:val="clear"/>
        <w:jc w:val="center"/>
        <w:rPr>
          <w:rFonts w:hint="eastAsia" w:hAnsi="宋体"/>
          <w:color w:val="auto"/>
          <w:sz w:val="96"/>
          <w:szCs w:val="96"/>
          <w:highlight w:val="none"/>
        </w:rPr>
      </w:pPr>
    </w:p>
    <w:p w14:paraId="2F5AA7BC">
      <w:pPr>
        <w:pStyle w:val="5"/>
        <w:rPr>
          <w:rFonts w:hint="eastAsia"/>
        </w:rPr>
      </w:pPr>
    </w:p>
    <w:p w14:paraId="26997B7D">
      <w:pPr>
        <w:pStyle w:val="17"/>
        <w:shd w:val="clear"/>
        <w:jc w:val="center"/>
        <w:rPr>
          <w:rFonts w:hAnsi="宋体"/>
          <w:b/>
          <w:bCs/>
          <w:color w:val="auto"/>
          <w:sz w:val="72"/>
          <w:highlight w:val="none"/>
        </w:rPr>
      </w:pPr>
      <w:r>
        <w:rPr>
          <w:rFonts w:hint="eastAsia" w:hAnsi="宋体"/>
          <w:color w:val="auto"/>
          <w:sz w:val="96"/>
          <w:szCs w:val="96"/>
          <w:highlight w:val="none"/>
        </w:rPr>
        <w:t>招标文件</w:t>
      </w:r>
    </w:p>
    <w:p w14:paraId="7566360F">
      <w:pPr>
        <w:shd w:val="clear"/>
        <w:jc w:val="center"/>
        <w:rPr>
          <w:rFonts w:ascii="宋体" w:hAnsi="宋体"/>
          <w:b/>
          <w:color w:val="auto"/>
          <w:sz w:val="36"/>
          <w:szCs w:val="36"/>
          <w:highlight w:val="none"/>
        </w:rPr>
      </w:pPr>
    </w:p>
    <w:p w14:paraId="33BD0B52">
      <w:pPr>
        <w:pStyle w:val="17"/>
        <w:shd w:val="clear"/>
        <w:rPr>
          <w:rFonts w:hAnsi="宋体"/>
          <w:color w:val="auto"/>
          <w:highlight w:val="none"/>
        </w:rPr>
      </w:pPr>
    </w:p>
    <w:p w14:paraId="7E2495D4">
      <w:pPr>
        <w:pStyle w:val="17"/>
        <w:shd w:val="clear"/>
        <w:rPr>
          <w:rFonts w:hAnsi="宋体"/>
          <w:color w:val="auto"/>
          <w:highlight w:val="none"/>
        </w:rPr>
      </w:pPr>
    </w:p>
    <w:p w14:paraId="4D8B0223">
      <w:pPr>
        <w:pStyle w:val="17"/>
        <w:shd w:val="clear"/>
        <w:rPr>
          <w:rFonts w:hAnsi="宋体"/>
          <w:color w:val="auto"/>
          <w:highlight w:val="none"/>
        </w:rPr>
      </w:pPr>
    </w:p>
    <w:p w14:paraId="08E455BA">
      <w:pPr>
        <w:pStyle w:val="17"/>
        <w:shd w:val="clear"/>
        <w:rPr>
          <w:rFonts w:hAnsi="宋体"/>
          <w:color w:val="auto"/>
          <w:highlight w:val="none"/>
        </w:rPr>
      </w:pPr>
    </w:p>
    <w:p w14:paraId="67FE4847">
      <w:pPr>
        <w:pStyle w:val="17"/>
        <w:shd w:val="clear"/>
        <w:spacing w:line="360" w:lineRule="auto"/>
        <w:ind w:firstLine="803" w:firstLineChars="250"/>
        <w:jc w:val="left"/>
        <w:rPr>
          <w:rFonts w:hAnsi="宋体"/>
          <w:b/>
          <w:color w:val="auto"/>
          <w:sz w:val="32"/>
          <w:szCs w:val="32"/>
          <w:highlight w:val="none"/>
        </w:rPr>
      </w:pPr>
    </w:p>
    <w:p w14:paraId="7BBC8B90">
      <w:pPr>
        <w:pStyle w:val="17"/>
        <w:shd w:val="clear"/>
        <w:spacing w:line="360" w:lineRule="auto"/>
        <w:ind w:firstLine="803" w:firstLineChars="250"/>
        <w:jc w:val="left"/>
        <w:rPr>
          <w:rFonts w:hAnsi="宋体"/>
          <w:b/>
          <w:color w:val="auto"/>
          <w:sz w:val="32"/>
          <w:szCs w:val="32"/>
          <w:highlight w:val="none"/>
        </w:rPr>
      </w:pPr>
    </w:p>
    <w:p w14:paraId="50437B94">
      <w:pPr>
        <w:pStyle w:val="17"/>
        <w:shd w:val="clear"/>
        <w:spacing w:line="360" w:lineRule="auto"/>
        <w:ind w:firstLine="803" w:firstLineChars="250"/>
        <w:jc w:val="left"/>
        <w:rPr>
          <w:rFonts w:hint="eastAsia" w:hAnsi="宋体" w:eastAsia="宋体"/>
          <w:b/>
          <w:color w:val="auto"/>
          <w:sz w:val="32"/>
          <w:szCs w:val="32"/>
          <w:highlight w:val="none"/>
          <w:lang w:eastAsia="zh-CN"/>
        </w:rPr>
      </w:pPr>
      <w:r>
        <w:rPr>
          <w:rFonts w:hint="eastAsia" w:hAnsi="宋体"/>
          <w:b/>
          <w:color w:val="auto"/>
          <w:sz w:val="32"/>
          <w:szCs w:val="32"/>
          <w:highlight w:val="none"/>
        </w:rPr>
        <w:t>项目名称：</w:t>
      </w:r>
      <w:r>
        <w:rPr>
          <w:rFonts w:hint="eastAsia" w:hAnsi="宋体"/>
          <w:b/>
          <w:color w:val="auto"/>
          <w:sz w:val="32"/>
          <w:szCs w:val="32"/>
          <w:highlight w:val="none"/>
          <w:lang w:eastAsia="zh-CN"/>
        </w:rPr>
        <w:t>南宁职业技术大学智能制造领域课程资源开发平台项目</w:t>
      </w:r>
    </w:p>
    <w:p w14:paraId="23FCF3EC">
      <w:pPr>
        <w:pStyle w:val="17"/>
        <w:shd w:val="clear"/>
        <w:spacing w:line="360" w:lineRule="auto"/>
        <w:ind w:firstLine="803" w:firstLineChars="250"/>
        <w:jc w:val="left"/>
        <w:rPr>
          <w:rFonts w:hint="eastAsia" w:hAnsi="宋体" w:eastAsia="宋体"/>
          <w:b/>
          <w:color w:val="auto"/>
          <w:sz w:val="32"/>
          <w:szCs w:val="32"/>
          <w:highlight w:val="none"/>
          <w:lang w:eastAsia="zh-CN"/>
        </w:rPr>
      </w:pPr>
      <w:r>
        <w:rPr>
          <w:rFonts w:hint="eastAsia" w:hAnsi="宋体"/>
          <w:b/>
          <w:color w:val="auto"/>
          <w:sz w:val="32"/>
          <w:szCs w:val="32"/>
          <w:highlight w:val="none"/>
        </w:rPr>
        <w:t>项目编号：</w:t>
      </w:r>
      <w:r>
        <w:rPr>
          <w:rFonts w:hint="eastAsia" w:hAnsi="宋体"/>
          <w:b/>
          <w:color w:val="auto"/>
          <w:sz w:val="32"/>
          <w:szCs w:val="32"/>
          <w:highlight w:val="none"/>
          <w:lang w:eastAsia="zh-CN"/>
        </w:rPr>
        <w:t>NNZC2026-G3-990838-JGJD</w:t>
      </w:r>
    </w:p>
    <w:p w14:paraId="56F4551C">
      <w:pPr>
        <w:shd w:val="clear"/>
        <w:spacing w:line="600" w:lineRule="exact"/>
        <w:ind w:left="2"/>
        <w:jc w:val="center"/>
        <w:rPr>
          <w:rFonts w:ascii="宋体" w:hAnsi="宋体"/>
          <w:b/>
          <w:color w:val="auto"/>
          <w:sz w:val="32"/>
          <w:szCs w:val="32"/>
          <w:highlight w:val="none"/>
        </w:rPr>
      </w:pPr>
      <w:r>
        <w:rPr>
          <w:rFonts w:ascii="宋体" w:hAnsi="宋体"/>
          <w:b/>
          <w:color w:val="auto"/>
          <w:sz w:val="32"/>
          <w:szCs w:val="32"/>
          <w:highlight w:val="none"/>
        </w:rPr>
        <mc:AlternateContent>
          <mc:Choice Requires="wps">
            <w:drawing>
              <wp:anchor distT="0" distB="0" distL="114300" distR="114300" simplePos="0" relativeHeight="251660288" behindDoc="0" locked="0" layoutInCell="1" allowOverlap="1">
                <wp:simplePos x="0" y="0"/>
                <wp:positionH relativeFrom="column">
                  <wp:posOffset>-308610</wp:posOffset>
                </wp:positionH>
                <wp:positionV relativeFrom="paragraph">
                  <wp:posOffset>125095</wp:posOffset>
                </wp:positionV>
                <wp:extent cx="5944235" cy="8255"/>
                <wp:effectExtent l="0" t="13970" r="24765" b="15875"/>
                <wp:wrapNone/>
                <wp:docPr id="3" name="直线 31"/>
                <wp:cNvGraphicFramePr/>
                <a:graphic xmlns:a="http://schemas.openxmlformats.org/drawingml/2006/main">
                  <a:graphicData uri="http://schemas.microsoft.com/office/word/2010/wordprocessingShape">
                    <wps:wsp>
                      <wps:cNvCnPr/>
                      <wps:spPr>
                        <a:xfrm flipV="1">
                          <a:off x="0" y="0"/>
                          <a:ext cx="5944235" cy="8255"/>
                        </a:xfrm>
                        <a:prstGeom prst="line">
                          <a:avLst/>
                        </a:prstGeom>
                        <a:ln w="28575" cap="flat" cmpd="sng">
                          <a:solidFill>
                            <a:srgbClr val="000000"/>
                          </a:solidFill>
                          <a:prstDash val="solid"/>
                          <a:headEnd type="none" w="med" len="med"/>
                          <a:tailEnd type="none" w="med" len="med"/>
                        </a:ln>
                        <a:effectLst/>
                      </wps:spPr>
                      <wps:bodyPr upright="1"/>
                    </wps:wsp>
                  </a:graphicData>
                </a:graphic>
              </wp:anchor>
            </w:drawing>
          </mc:Choice>
          <mc:Fallback>
            <w:pict>
              <v:line id="直线 31" o:spid="_x0000_s1026" o:spt="20" style="position:absolute;left:0pt;flip:y;margin-left:-24.3pt;margin-top:9.85pt;height:0.65pt;width:468.05pt;z-index:251660288;mso-width-relative:page;mso-height-relative:page;" filled="f" stroked="t" coordsize="21600,21600" o:gfxdata="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P8xfi2AAAAAkBAAAPAAAAAAAAAAEAIAAAACIAAABkcnMvZG93bnJldi54bWxQ&#10;SwECFAAUAAAACACHTuJAvXAgQ/cBAAD4AwAADgAAAAAAAAABACAAAAAnAQAAZHJzL2Uyb0RvYy54&#10;bWxQSwUGAAAAAAYABgBZAQAAkAUAAAAA&#10;">
                <v:fill on="f" focussize="0,0"/>
                <v:stroke weight="2.25pt" color="#000000" joinstyle="round"/>
                <v:imagedata o:title=""/>
                <o:lock v:ext="edit" aspectratio="f"/>
              </v:line>
            </w:pict>
          </mc:Fallback>
        </mc:AlternateContent>
      </w:r>
    </w:p>
    <w:p w14:paraId="17D2818B">
      <w:pPr>
        <w:shd w:val="clear"/>
        <w:spacing w:line="600" w:lineRule="exact"/>
        <w:ind w:left="2" w:firstLine="803" w:firstLineChars="250"/>
        <w:rPr>
          <w:rFonts w:hint="eastAsia" w:ascii="宋体" w:hAnsi="宋体"/>
          <w:b/>
          <w:color w:val="auto"/>
          <w:sz w:val="32"/>
          <w:szCs w:val="32"/>
          <w:highlight w:val="none"/>
        </w:rPr>
      </w:pPr>
      <w:r>
        <w:rPr>
          <w:rFonts w:hint="eastAsia" w:ascii="宋体" w:hAnsi="宋体"/>
          <w:b/>
          <w:color w:val="auto"/>
          <w:sz w:val="32"/>
          <w:szCs w:val="32"/>
          <w:highlight w:val="none"/>
        </w:rPr>
        <w:t>采购人：</w:t>
      </w:r>
      <w:r>
        <w:rPr>
          <w:rFonts w:hint="eastAsia" w:ascii="宋体" w:hAnsi="宋体"/>
          <w:b/>
          <w:bCs/>
          <w:color w:val="auto"/>
          <w:sz w:val="32"/>
          <w:szCs w:val="32"/>
          <w:highlight w:val="none"/>
        </w:rPr>
        <w:t>南宁职业技术大学</w:t>
      </w:r>
    </w:p>
    <w:p w14:paraId="3502C310">
      <w:pPr>
        <w:shd w:val="clear"/>
        <w:spacing w:line="600" w:lineRule="exact"/>
        <w:ind w:left="2" w:firstLine="803" w:firstLineChars="250"/>
        <w:rPr>
          <w:rFonts w:hint="eastAsia" w:ascii="宋体" w:hAnsi="宋体" w:eastAsia="宋体"/>
          <w:b/>
          <w:bCs/>
          <w:color w:val="auto"/>
          <w:sz w:val="32"/>
          <w:szCs w:val="32"/>
          <w:highlight w:val="none"/>
          <w:lang w:eastAsia="zh-CN"/>
        </w:rPr>
      </w:pPr>
      <w:r>
        <w:rPr>
          <w:rFonts w:hint="eastAsia" w:ascii="宋体" w:hAnsi="宋体"/>
          <w:b/>
          <w:color w:val="auto"/>
          <w:sz w:val="32"/>
          <w:szCs w:val="32"/>
          <w:highlight w:val="none"/>
        </w:rPr>
        <w:t>采购代理机构：</w:t>
      </w:r>
      <w:r>
        <w:rPr>
          <w:rFonts w:hint="eastAsia" w:ascii="宋体" w:hAnsi="宋体"/>
          <w:b/>
          <w:bCs/>
          <w:color w:val="auto"/>
          <w:sz w:val="32"/>
          <w:szCs w:val="32"/>
          <w:highlight w:val="none"/>
          <w:lang w:eastAsia="zh-CN"/>
        </w:rPr>
        <w:t>广西建设工程机电设备招标中心有限公司</w:t>
      </w:r>
    </w:p>
    <w:p w14:paraId="4134D57D">
      <w:pPr>
        <w:pStyle w:val="17"/>
        <w:shd w:val="clear"/>
        <w:spacing w:line="600" w:lineRule="exact"/>
        <w:jc w:val="center"/>
        <w:rPr>
          <w:rFonts w:hint="default" w:hAnsi="宋体" w:eastAsia="宋体"/>
          <w:b/>
          <w:bCs/>
          <w:color w:val="auto"/>
          <w:sz w:val="32"/>
          <w:szCs w:val="32"/>
          <w:highlight w:val="none"/>
          <w:lang w:val="en-US" w:eastAsia="zh-CN"/>
        </w:rPr>
      </w:pPr>
      <w:r>
        <w:rPr>
          <w:rFonts w:hint="eastAsia" w:hAnsi="宋体"/>
          <w:b/>
          <w:bCs/>
          <w:color w:val="auto"/>
          <w:sz w:val="32"/>
          <w:szCs w:val="32"/>
          <w:highlight w:val="none"/>
        </w:rPr>
        <w:t>202</w:t>
      </w:r>
      <w:r>
        <w:rPr>
          <w:rFonts w:hint="eastAsia" w:hAnsi="宋体"/>
          <w:b/>
          <w:bCs/>
          <w:color w:val="auto"/>
          <w:sz w:val="32"/>
          <w:szCs w:val="32"/>
          <w:highlight w:val="none"/>
          <w:lang w:val="en-US" w:eastAsia="zh-CN"/>
        </w:rPr>
        <w:t>6</w:t>
      </w:r>
      <w:r>
        <w:rPr>
          <w:rFonts w:hint="eastAsia" w:hAnsi="宋体"/>
          <w:b/>
          <w:bCs/>
          <w:color w:val="auto"/>
          <w:sz w:val="32"/>
          <w:szCs w:val="32"/>
          <w:highlight w:val="none"/>
        </w:rPr>
        <w:t>年</w:t>
      </w:r>
      <w:r>
        <w:rPr>
          <w:rFonts w:hint="eastAsia" w:hAnsi="宋体"/>
          <w:b/>
          <w:bCs/>
          <w:color w:val="auto"/>
          <w:sz w:val="32"/>
          <w:szCs w:val="32"/>
          <w:highlight w:val="none"/>
          <w:lang w:val="en-US" w:eastAsia="zh-CN"/>
        </w:rPr>
        <w:t>9</w:t>
      </w:r>
      <w:r>
        <w:rPr>
          <w:rFonts w:hint="eastAsia" w:hAnsi="宋体"/>
          <w:b/>
          <w:bCs/>
          <w:color w:val="auto"/>
          <w:sz w:val="32"/>
          <w:szCs w:val="32"/>
          <w:highlight w:val="none"/>
        </w:rPr>
        <w:t>月</w:t>
      </w:r>
      <w:r>
        <w:rPr>
          <w:rFonts w:hint="eastAsia" w:hAnsi="宋体"/>
          <w:b/>
          <w:bCs/>
          <w:color w:val="auto"/>
          <w:sz w:val="32"/>
          <w:szCs w:val="32"/>
          <w:highlight w:val="none"/>
          <w:lang w:val="en-US" w:eastAsia="zh-CN"/>
        </w:rPr>
        <w:t xml:space="preserve"> </w:t>
      </w:r>
      <w:r>
        <w:rPr>
          <w:rFonts w:hint="eastAsia" w:hAnsi="宋体"/>
          <w:b/>
          <w:bCs/>
          <w:color w:val="auto"/>
          <w:sz w:val="32"/>
          <w:szCs w:val="32"/>
          <w:highlight w:val="none"/>
          <w:lang w:val="en-US" w:eastAsia="zh-CN"/>
        </w:rPr>
        <w:t>24</w:t>
      </w:r>
      <w:r>
        <w:rPr>
          <w:rFonts w:hint="eastAsia" w:hAnsi="宋体"/>
          <w:b/>
          <w:bCs/>
          <w:color w:val="auto"/>
          <w:sz w:val="32"/>
          <w:szCs w:val="32"/>
          <w:highlight w:val="none"/>
          <w:lang w:val="en-US" w:eastAsia="zh-CN"/>
        </w:rPr>
        <w:t xml:space="preserve"> 日</w:t>
      </w:r>
    </w:p>
    <w:p w14:paraId="2C284F7F">
      <w:pPr>
        <w:shd w:val="clear"/>
        <w:snapToGrid w:val="0"/>
        <w:spacing w:before="50" w:after="120" w:line="360" w:lineRule="auto"/>
        <w:rPr>
          <w:rFonts w:ascii="仿宋_GB2312" w:hAnsi="Courier New" w:eastAsia="仿宋_GB2312"/>
          <w:color w:val="auto"/>
          <w:szCs w:val="20"/>
          <w:highlight w:val="none"/>
        </w:rPr>
        <w:sectPr>
          <w:headerReference r:id="rId3" w:type="default"/>
          <w:footerReference r:id="rId4" w:type="default"/>
          <w:footerReference r:id="rId5" w:type="even"/>
          <w:pgSz w:w="11905" w:h="16838"/>
          <w:pgMar w:top="1134" w:right="1134" w:bottom="1134" w:left="1134" w:header="720" w:footer="720" w:gutter="0"/>
          <w:pgNumType w:start="1"/>
          <w:cols w:space="0" w:num="1"/>
          <w:rtlGutter w:val="0"/>
          <w:docGrid w:type="lines" w:linePitch="331" w:charSpace="0"/>
        </w:sectPr>
      </w:pPr>
    </w:p>
    <w:p w14:paraId="3580EF70">
      <w:pPr>
        <w:shd w:val="clear"/>
        <w:jc w:val="center"/>
        <w:rPr>
          <w:rFonts w:hint="eastAsia"/>
          <w:b/>
          <w:color w:val="auto"/>
          <w:sz w:val="48"/>
          <w:szCs w:val="48"/>
          <w:highlight w:val="none"/>
        </w:rPr>
      </w:pPr>
    </w:p>
    <w:p w14:paraId="65184175">
      <w:pPr>
        <w:shd w:val="clear"/>
        <w:jc w:val="center"/>
        <w:rPr>
          <w:rFonts w:hint="eastAsia"/>
          <w:b/>
          <w:color w:val="auto"/>
          <w:sz w:val="48"/>
          <w:szCs w:val="48"/>
          <w:highlight w:val="none"/>
        </w:rPr>
      </w:pPr>
      <w:r>
        <w:rPr>
          <w:rFonts w:hint="eastAsia"/>
          <w:b/>
          <w:color w:val="auto"/>
          <w:sz w:val="48"/>
          <w:szCs w:val="48"/>
          <w:highlight w:val="none"/>
        </w:rPr>
        <w:t>目</w:t>
      </w:r>
      <w:r>
        <w:rPr>
          <w:b/>
          <w:color w:val="auto"/>
          <w:sz w:val="48"/>
          <w:szCs w:val="48"/>
          <w:highlight w:val="none"/>
        </w:rPr>
        <w:t xml:space="preserve">     </w:t>
      </w:r>
      <w:r>
        <w:rPr>
          <w:rFonts w:hint="eastAsia"/>
          <w:b/>
          <w:color w:val="auto"/>
          <w:sz w:val="48"/>
          <w:szCs w:val="48"/>
          <w:highlight w:val="none"/>
        </w:rPr>
        <w:t>录</w:t>
      </w:r>
    </w:p>
    <w:p w14:paraId="02267FB3">
      <w:pPr>
        <w:pStyle w:val="31"/>
        <w:shd w:val="clear"/>
        <w:rPr>
          <w:color w:val="auto"/>
          <w:highlight w:val="none"/>
        </w:rPr>
      </w:pPr>
    </w:p>
    <w:p w14:paraId="04785ACD">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b/>
          <w:bCs/>
          <w:caps/>
          <w:color w:val="auto"/>
          <w:sz w:val="20"/>
          <w:szCs w:val="21"/>
          <w:highlight w:val="none"/>
        </w:rPr>
      </w:pPr>
      <w:r>
        <w:rPr>
          <w:rFonts w:hAnsi="宋体"/>
          <w:b/>
          <w:bCs/>
          <w:caps/>
          <w:color w:val="auto"/>
          <w:sz w:val="24"/>
          <w:highlight w:val="none"/>
        </w:rPr>
        <w:fldChar w:fldCharType="begin"/>
      </w:r>
      <w:r>
        <w:rPr>
          <w:rFonts w:hAnsi="宋体"/>
          <w:b/>
          <w:bCs/>
          <w:caps/>
          <w:color w:val="auto"/>
          <w:sz w:val="24"/>
          <w:highlight w:val="none"/>
        </w:rPr>
        <w:instrText xml:space="preserve"> TOC \o "1-3" \h \z \u </w:instrText>
      </w:r>
      <w:r>
        <w:rPr>
          <w:rFonts w:hAnsi="宋体"/>
          <w:b/>
          <w:bCs/>
          <w:caps/>
          <w:color w:val="auto"/>
          <w:sz w:val="24"/>
          <w:highlight w:val="none"/>
        </w:rPr>
        <w:fldChar w:fldCharType="separate"/>
      </w:r>
      <w:r>
        <w:rPr>
          <w:color w:val="auto"/>
          <w:szCs w:val="21"/>
          <w:highlight w:val="none"/>
        </w:rPr>
        <w:fldChar w:fldCharType="begin"/>
      </w:r>
      <w:r>
        <w:rPr>
          <w:color w:val="auto"/>
          <w:szCs w:val="21"/>
          <w:highlight w:val="none"/>
        </w:rPr>
        <w:instrText xml:space="preserve"> HYPERLINK \l "_Toc171344343" </w:instrText>
      </w:r>
      <w:r>
        <w:rPr>
          <w:color w:val="auto"/>
          <w:szCs w:val="21"/>
          <w:highlight w:val="none"/>
        </w:rPr>
        <w:fldChar w:fldCharType="separate"/>
      </w:r>
      <w:r>
        <w:rPr>
          <w:b/>
          <w:color w:val="auto"/>
          <w:szCs w:val="21"/>
          <w:highlight w:val="none"/>
        </w:rPr>
        <w:t>第一章  招标公告</w:t>
      </w:r>
      <w:r>
        <w:rPr>
          <w:color w:val="auto"/>
          <w:szCs w:val="21"/>
          <w:highlight w:val="none"/>
        </w:rPr>
        <w:tab/>
      </w:r>
      <w:r>
        <w:rPr>
          <w:color w:val="auto"/>
          <w:szCs w:val="21"/>
          <w:highlight w:val="none"/>
        </w:rPr>
        <w:fldChar w:fldCharType="begin"/>
      </w:r>
      <w:r>
        <w:rPr>
          <w:color w:val="auto"/>
          <w:szCs w:val="21"/>
          <w:highlight w:val="none"/>
        </w:rPr>
        <w:instrText xml:space="preserve"> PAGEREF _Toc171344343 \h </w:instrText>
      </w:r>
      <w:r>
        <w:rPr>
          <w:color w:val="auto"/>
          <w:szCs w:val="21"/>
          <w:highlight w:val="none"/>
        </w:rPr>
        <w:fldChar w:fldCharType="separate"/>
      </w:r>
      <w:r>
        <w:rPr>
          <w:color w:val="auto"/>
          <w:szCs w:val="21"/>
          <w:highlight w:val="none"/>
        </w:rPr>
        <w:t>1</w:t>
      </w:r>
      <w:r>
        <w:rPr>
          <w:color w:val="auto"/>
          <w:szCs w:val="21"/>
          <w:highlight w:val="none"/>
        </w:rPr>
        <w:fldChar w:fldCharType="end"/>
      </w:r>
      <w:r>
        <w:rPr>
          <w:color w:val="auto"/>
          <w:szCs w:val="21"/>
          <w:highlight w:val="none"/>
        </w:rPr>
        <w:fldChar w:fldCharType="end"/>
      </w:r>
    </w:p>
    <w:p w14:paraId="43F2EB19">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b/>
          <w:bCs/>
          <w: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"_Toc171344344" </w:instrText>
      </w:r>
      <w:r>
        <w:rPr>
          <w:color w:val="auto"/>
          <w:szCs w:val="21"/>
          <w:highlight w:val="none"/>
        </w:rPr>
        <w:fldChar w:fldCharType="separate"/>
      </w:r>
      <w:r>
        <w:rPr>
          <w:b/>
          <w:color w:val="auto"/>
          <w:szCs w:val="21"/>
          <w:highlight w:val="none"/>
        </w:rPr>
        <w:t>第二章  采购需求</w:t>
      </w:r>
      <w:r>
        <w:rPr>
          <w:color w:val="auto"/>
          <w:szCs w:val="21"/>
          <w:highlight w:val="none"/>
        </w:rPr>
        <w:tab/>
      </w:r>
      <w:r>
        <w:rPr>
          <w:color w:val="auto"/>
          <w:szCs w:val="21"/>
          <w:highlight w:val="none"/>
        </w:rPr>
        <w:fldChar w:fldCharType="begin"/>
      </w:r>
      <w:r>
        <w:rPr>
          <w:color w:val="auto"/>
          <w:szCs w:val="21"/>
          <w:highlight w:val="none"/>
        </w:rPr>
        <w:instrText xml:space="preserve"> PAGEREF _Toc171344344 \h </w:instrText>
      </w:r>
      <w:r>
        <w:rPr>
          <w:color w:val="auto"/>
          <w:szCs w:val="21"/>
          <w:highlight w:val="none"/>
        </w:rPr>
        <w:fldChar w:fldCharType="separate"/>
      </w:r>
      <w:r>
        <w:rPr>
          <w:color w:val="auto"/>
          <w:szCs w:val="21"/>
          <w:highlight w:val="none"/>
        </w:rPr>
        <w:t>5</w:t>
      </w:r>
      <w:r>
        <w:rPr>
          <w:color w:val="auto"/>
          <w:szCs w:val="21"/>
          <w:highlight w:val="none"/>
        </w:rPr>
        <w:fldChar w:fldCharType="end"/>
      </w:r>
      <w:r>
        <w:rPr>
          <w:color w:val="auto"/>
          <w:szCs w:val="21"/>
          <w:highlight w:val="none"/>
        </w:rPr>
        <w:fldChar w:fldCharType="end"/>
      </w:r>
    </w:p>
    <w:p w14:paraId="3A22C033">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b/>
          <w:bCs/>
          <w: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"_Toc171344345" </w:instrText>
      </w:r>
      <w:r>
        <w:rPr>
          <w:color w:val="auto"/>
          <w:szCs w:val="21"/>
          <w:highlight w:val="none"/>
        </w:rPr>
        <w:fldChar w:fldCharType="separate"/>
      </w:r>
      <w:r>
        <w:rPr>
          <w:b/>
          <w:color w:val="auto"/>
          <w:szCs w:val="21"/>
          <w:highlight w:val="none"/>
        </w:rPr>
        <w:t>第三章  投标人须知</w:t>
      </w:r>
      <w:r>
        <w:rPr>
          <w:color w:val="auto"/>
          <w:szCs w:val="21"/>
          <w:highlight w:val="none"/>
        </w:rPr>
        <w:tab/>
      </w:r>
      <w:r>
        <w:rPr>
          <w:color w:val="auto"/>
          <w:szCs w:val="21"/>
          <w:highlight w:val="none"/>
        </w:rPr>
        <w:fldChar w:fldCharType="begin"/>
      </w:r>
      <w:r>
        <w:rPr>
          <w:color w:val="auto"/>
          <w:szCs w:val="21"/>
          <w:highlight w:val="none"/>
        </w:rPr>
        <w:instrText xml:space="preserve"> PAGEREF _Toc171344345 \h </w:instrText>
      </w:r>
      <w:r>
        <w:rPr>
          <w:color w:val="auto"/>
          <w:szCs w:val="21"/>
          <w:highlight w:val="none"/>
        </w:rPr>
        <w:fldChar w:fldCharType="separate"/>
      </w:r>
      <w:r>
        <w:rPr>
          <w:color w:val="auto"/>
          <w:szCs w:val="21"/>
          <w:highlight w:val="none"/>
        </w:rPr>
        <w:t>20</w:t>
      </w:r>
      <w:r>
        <w:rPr>
          <w:color w:val="auto"/>
          <w:szCs w:val="21"/>
          <w:highlight w:val="none"/>
        </w:rPr>
        <w:fldChar w:fldCharType="end"/>
      </w:r>
      <w:r>
        <w:rPr>
          <w:color w:val="auto"/>
          <w:szCs w:val="21"/>
          <w:highlight w:val="none"/>
        </w:rPr>
        <w:fldChar w:fldCharType="end"/>
      </w:r>
    </w:p>
    <w:p w14:paraId="7446558F">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b/>
          <w:bCs/>
          <w:small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"_Toc171344346" </w:instrText>
      </w:r>
      <w:r>
        <w:rPr>
          <w:color w:val="auto"/>
          <w:szCs w:val="21"/>
          <w:highlight w:val="none"/>
        </w:rPr>
        <w:fldChar w:fldCharType="separate"/>
      </w:r>
      <w:r>
        <w:rPr>
          <w:b/>
          <w:color w:val="auto"/>
          <w:szCs w:val="21"/>
          <w:highlight w:val="none"/>
        </w:rPr>
        <w:t>第一节 投标人须知前附表</w:t>
      </w:r>
      <w:r>
        <w:rPr>
          <w:color w:val="auto"/>
          <w:szCs w:val="21"/>
          <w:highlight w:val="none"/>
        </w:rPr>
        <w:tab/>
      </w:r>
      <w:r>
        <w:rPr>
          <w:color w:val="auto"/>
          <w:szCs w:val="21"/>
          <w:highlight w:val="none"/>
        </w:rPr>
        <w:fldChar w:fldCharType="begin"/>
      </w:r>
      <w:r>
        <w:rPr>
          <w:color w:val="auto"/>
          <w:szCs w:val="21"/>
          <w:highlight w:val="none"/>
        </w:rPr>
        <w:instrText xml:space="preserve"> PAGEREF _Toc171344346 \h </w:instrText>
      </w:r>
      <w:r>
        <w:rPr>
          <w:color w:val="auto"/>
          <w:szCs w:val="21"/>
          <w:highlight w:val="none"/>
        </w:rPr>
        <w:fldChar w:fldCharType="separate"/>
      </w:r>
      <w:r>
        <w:rPr>
          <w:color w:val="auto"/>
          <w:szCs w:val="21"/>
          <w:highlight w:val="none"/>
        </w:rPr>
        <w:t>20</w:t>
      </w:r>
      <w:r>
        <w:rPr>
          <w:color w:val="auto"/>
          <w:szCs w:val="21"/>
          <w:highlight w:val="none"/>
        </w:rPr>
        <w:fldChar w:fldCharType="end"/>
      </w:r>
      <w:r>
        <w:rPr>
          <w:color w:val="auto"/>
          <w:szCs w:val="21"/>
          <w:highlight w:val="none"/>
        </w:rPr>
        <w:fldChar w:fldCharType="end"/>
      </w:r>
    </w:p>
    <w:p w14:paraId="46951043">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b/>
          <w:bCs/>
          <w:small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"_Toc171344347" </w:instrText>
      </w:r>
      <w:r>
        <w:rPr>
          <w:color w:val="auto"/>
          <w:szCs w:val="21"/>
          <w:highlight w:val="none"/>
        </w:rPr>
        <w:fldChar w:fldCharType="separate"/>
      </w:r>
      <w:r>
        <w:rPr>
          <w:color w:val="auto"/>
          <w:szCs w:val="21"/>
          <w:highlight w:val="none"/>
        </w:rPr>
        <w:t>第二节 投标人须知正文</w:t>
      </w:r>
      <w:r>
        <w:rPr>
          <w:color w:val="auto"/>
          <w:szCs w:val="21"/>
          <w:highlight w:val="none"/>
        </w:rPr>
        <w:tab/>
      </w:r>
      <w:r>
        <w:rPr>
          <w:color w:val="auto"/>
          <w:szCs w:val="21"/>
          <w:highlight w:val="none"/>
        </w:rPr>
        <w:fldChar w:fldCharType="begin"/>
      </w:r>
      <w:r>
        <w:rPr>
          <w:color w:val="auto"/>
          <w:szCs w:val="21"/>
          <w:highlight w:val="none"/>
        </w:rPr>
        <w:instrText xml:space="preserve"> PAGEREF _Toc171344347 \h </w:instrText>
      </w:r>
      <w:r>
        <w:rPr>
          <w:color w:val="auto"/>
          <w:szCs w:val="21"/>
          <w:highlight w:val="none"/>
        </w:rPr>
        <w:fldChar w:fldCharType="separate"/>
      </w:r>
      <w:r>
        <w:rPr>
          <w:color w:val="auto"/>
          <w:szCs w:val="21"/>
          <w:highlight w:val="none"/>
        </w:rPr>
        <w:t>27</w:t>
      </w:r>
      <w:r>
        <w:rPr>
          <w:color w:val="auto"/>
          <w:szCs w:val="21"/>
          <w:highlight w:val="none"/>
        </w:rPr>
        <w:fldChar w:fldCharType="end"/>
      </w:r>
      <w:r>
        <w:rPr>
          <w:color w:val="auto"/>
          <w:szCs w:val="21"/>
          <w:highlight w:val="none"/>
        </w:rPr>
        <w:fldChar w:fldCharType="end"/>
      </w:r>
    </w:p>
    <w:p w14:paraId="68CE35C1">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small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"_Toc171344348" </w:instrText>
      </w:r>
      <w:r>
        <w:rPr>
          <w:color w:val="auto"/>
          <w:szCs w:val="21"/>
          <w:highlight w:val="none"/>
        </w:rPr>
        <w:fldChar w:fldCharType="separate"/>
      </w:r>
      <w:r>
        <w:rPr>
          <w:color w:val="auto"/>
          <w:szCs w:val="21"/>
          <w:highlight w:val="none"/>
        </w:rPr>
        <w:t>一、总  则</w:t>
      </w:r>
      <w:r>
        <w:rPr>
          <w:color w:val="auto"/>
          <w:szCs w:val="21"/>
          <w:highlight w:val="none"/>
        </w:rPr>
        <w:tab/>
      </w:r>
      <w:r>
        <w:rPr>
          <w:color w:val="auto"/>
          <w:szCs w:val="21"/>
          <w:highlight w:val="none"/>
        </w:rPr>
        <w:fldChar w:fldCharType="begin"/>
      </w:r>
      <w:r>
        <w:rPr>
          <w:color w:val="auto"/>
          <w:szCs w:val="21"/>
          <w:highlight w:val="none"/>
        </w:rPr>
        <w:instrText xml:space="preserve"> PAGEREF _Toc171344348 \h </w:instrText>
      </w:r>
      <w:r>
        <w:rPr>
          <w:color w:val="auto"/>
          <w:szCs w:val="21"/>
          <w:highlight w:val="none"/>
        </w:rPr>
        <w:fldChar w:fldCharType="separate"/>
      </w:r>
      <w:r>
        <w:rPr>
          <w:color w:val="auto"/>
          <w:szCs w:val="21"/>
          <w:highlight w:val="none"/>
        </w:rPr>
        <w:t>27</w:t>
      </w:r>
      <w:r>
        <w:rPr>
          <w:color w:val="auto"/>
          <w:szCs w:val="21"/>
          <w:highlight w:val="none"/>
        </w:rPr>
        <w:fldChar w:fldCharType="end"/>
      </w:r>
      <w:r>
        <w:rPr>
          <w:color w:val="auto"/>
          <w:szCs w:val="21"/>
          <w:highlight w:val="none"/>
        </w:rPr>
        <w:fldChar w:fldCharType="end"/>
      </w:r>
    </w:p>
    <w:p w14:paraId="0813F428">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small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"_Toc171344349" </w:instrText>
      </w:r>
      <w:r>
        <w:rPr>
          <w:color w:val="auto"/>
          <w:szCs w:val="21"/>
          <w:highlight w:val="none"/>
        </w:rPr>
        <w:fldChar w:fldCharType="separate"/>
      </w:r>
      <w:r>
        <w:rPr>
          <w:color w:val="auto"/>
          <w:szCs w:val="21"/>
          <w:highlight w:val="none"/>
        </w:rPr>
        <w:t>二、招标文件</w:t>
      </w:r>
      <w:r>
        <w:rPr>
          <w:color w:val="auto"/>
          <w:szCs w:val="21"/>
          <w:highlight w:val="none"/>
        </w:rPr>
        <w:tab/>
      </w:r>
      <w:r>
        <w:rPr>
          <w:color w:val="auto"/>
          <w:szCs w:val="21"/>
          <w:highlight w:val="none"/>
        </w:rPr>
        <w:fldChar w:fldCharType="begin"/>
      </w:r>
      <w:r>
        <w:rPr>
          <w:color w:val="auto"/>
          <w:szCs w:val="21"/>
          <w:highlight w:val="none"/>
        </w:rPr>
        <w:instrText xml:space="preserve"> PAGEREF _Toc171344349 \h </w:instrText>
      </w:r>
      <w:r>
        <w:rPr>
          <w:color w:val="auto"/>
          <w:szCs w:val="21"/>
          <w:highlight w:val="none"/>
        </w:rPr>
        <w:fldChar w:fldCharType="separate"/>
      </w:r>
      <w:r>
        <w:rPr>
          <w:color w:val="auto"/>
          <w:szCs w:val="21"/>
          <w:highlight w:val="none"/>
        </w:rPr>
        <w:t>30</w:t>
      </w:r>
      <w:r>
        <w:rPr>
          <w:color w:val="auto"/>
          <w:szCs w:val="21"/>
          <w:highlight w:val="none"/>
        </w:rPr>
        <w:fldChar w:fldCharType="end"/>
      </w:r>
      <w:r>
        <w:rPr>
          <w:color w:val="auto"/>
          <w:szCs w:val="21"/>
          <w:highlight w:val="none"/>
        </w:rPr>
        <w:fldChar w:fldCharType="end"/>
      </w:r>
    </w:p>
    <w:p w14:paraId="1B0350BE">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small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"_Toc171344350" </w:instrText>
      </w:r>
      <w:r>
        <w:rPr>
          <w:color w:val="auto"/>
          <w:szCs w:val="21"/>
          <w:highlight w:val="none"/>
        </w:rPr>
        <w:fldChar w:fldCharType="separate"/>
      </w:r>
      <w:r>
        <w:rPr>
          <w:color w:val="auto"/>
          <w:szCs w:val="21"/>
          <w:highlight w:val="none"/>
        </w:rPr>
        <w:t>三、投标文件的编制</w:t>
      </w:r>
      <w:r>
        <w:rPr>
          <w:color w:val="auto"/>
          <w:szCs w:val="21"/>
          <w:highlight w:val="none"/>
        </w:rPr>
        <w:tab/>
      </w:r>
      <w:r>
        <w:rPr>
          <w:color w:val="auto"/>
          <w:szCs w:val="21"/>
          <w:highlight w:val="none"/>
        </w:rPr>
        <w:fldChar w:fldCharType="begin"/>
      </w:r>
      <w:r>
        <w:rPr>
          <w:color w:val="auto"/>
          <w:szCs w:val="21"/>
          <w:highlight w:val="none"/>
        </w:rPr>
        <w:instrText xml:space="preserve"> PAGEREF _Toc171344350 \h </w:instrText>
      </w:r>
      <w:r>
        <w:rPr>
          <w:color w:val="auto"/>
          <w:szCs w:val="21"/>
          <w:highlight w:val="none"/>
        </w:rPr>
        <w:fldChar w:fldCharType="separate"/>
      </w:r>
      <w:r>
        <w:rPr>
          <w:color w:val="auto"/>
          <w:szCs w:val="21"/>
          <w:highlight w:val="none"/>
        </w:rPr>
        <w:t>30</w:t>
      </w:r>
      <w:r>
        <w:rPr>
          <w:color w:val="auto"/>
          <w:szCs w:val="21"/>
          <w:highlight w:val="none"/>
        </w:rPr>
        <w:fldChar w:fldCharType="end"/>
      </w:r>
      <w:r>
        <w:rPr>
          <w:color w:val="auto"/>
          <w:szCs w:val="21"/>
          <w:highlight w:val="none"/>
        </w:rPr>
        <w:fldChar w:fldCharType="end"/>
      </w:r>
    </w:p>
    <w:p w14:paraId="4CE7EF47">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small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"_Toc171344351" </w:instrText>
      </w:r>
      <w:r>
        <w:rPr>
          <w:color w:val="auto"/>
          <w:szCs w:val="21"/>
          <w:highlight w:val="none"/>
        </w:rPr>
        <w:fldChar w:fldCharType="separate"/>
      </w:r>
      <w:r>
        <w:rPr>
          <w:color w:val="auto"/>
          <w:szCs w:val="21"/>
          <w:highlight w:val="none"/>
        </w:rPr>
        <w:t>四、开    标</w:t>
      </w:r>
      <w:r>
        <w:rPr>
          <w:color w:val="auto"/>
          <w:szCs w:val="21"/>
          <w:highlight w:val="none"/>
        </w:rPr>
        <w:tab/>
      </w:r>
      <w:r>
        <w:rPr>
          <w:color w:val="auto"/>
          <w:szCs w:val="21"/>
          <w:highlight w:val="none"/>
        </w:rPr>
        <w:fldChar w:fldCharType="begin"/>
      </w:r>
      <w:r>
        <w:rPr>
          <w:color w:val="auto"/>
          <w:szCs w:val="21"/>
          <w:highlight w:val="none"/>
        </w:rPr>
        <w:instrText xml:space="preserve"> PAGEREF _Toc171344351 \h </w:instrText>
      </w:r>
      <w:r>
        <w:rPr>
          <w:color w:val="auto"/>
          <w:szCs w:val="21"/>
          <w:highlight w:val="none"/>
        </w:rPr>
        <w:fldChar w:fldCharType="separate"/>
      </w:r>
      <w:r>
        <w:rPr>
          <w:color w:val="auto"/>
          <w:szCs w:val="21"/>
          <w:highlight w:val="none"/>
        </w:rPr>
        <w:t>33</w:t>
      </w:r>
      <w:r>
        <w:rPr>
          <w:color w:val="auto"/>
          <w:szCs w:val="21"/>
          <w:highlight w:val="none"/>
        </w:rPr>
        <w:fldChar w:fldCharType="end"/>
      </w:r>
      <w:r>
        <w:rPr>
          <w:color w:val="auto"/>
          <w:szCs w:val="21"/>
          <w:highlight w:val="none"/>
        </w:rPr>
        <w:fldChar w:fldCharType="end"/>
      </w:r>
    </w:p>
    <w:p w14:paraId="4E4020E0">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small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"_Toc171344352" </w:instrText>
      </w:r>
      <w:r>
        <w:rPr>
          <w:color w:val="auto"/>
          <w:szCs w:val="21"/>
          <w:highlight w:val="none"/>
        </w:rPr>
        <w:fldChar w:fldCharType="separate"/>
      </w:r>
      <w:r>
        <w:rPr>
          <w:color w:val="auto"/>
          <w:szCs w:val="21"/>
          <w:highlight w:val="none"/>
        </w:rPr>
        <w:t>五、资格审查</w:t>
      </w:r>
      <w:r>
        <w:rPr>
          <w:color w:val="auto"/>
          <w:szCs w:val="21"/>
          <w:highlight w:val="none"/>
        </w:rPr>
        <w:tab/>
      </w:r>
      <w:r>
        <w:rPr>
          <w:color w:val="auto"/>
          <w:szCs w:val="21"/>
          <w:highlight w:val="none"/>
        </w:rPr>
        <w:fldChar w:fldCharType="begin"/>
      </w:r>
      <w:r>
        <w:rPr>
          <w:color w:val="auto"/>
          <w:szCs w:val="21"/>
          <w:highlight w:val="none"/>
        </w:rPr>
        <w:instrText xml:space="preserve"> PAGEREF _Toc171344352 \h </w:instrText>
      </w:r>
      <w:r>
        <w:rPr>
          <w:color w:val="auto"/>
          <w:szCs w:val="21"/>
          <w:highlight w:val="none"/>
        </w:rPr>
        <w:fldChar w:fldCharType="separate"/>
      </w:r>
      <w:r>
        <w:rPr>
          <w:color w:val="auto"/>
          <w:szCs w:val="21"/>
          <w:highlight w:val="none"/>
        </w:rPr>
        <w:t>34</w:t>
      </w:r>
      <w:r>
        <w:rPr>
          <w:color w:val="auto"/>
          <w:szCs w:val="21"/>
          <w:highlight w:val="none"/>
        </w:rPr>
        <w:fldChar w:fldCharType="end"/>
      </w:r>
      <w:r>
        <w:rPr>
          <w:color w:val="auto"/>
          <w:szCs w:val="21"/>
          <w:highlight w:val="none"/>
        </w:rPr>
        <w:fldChar w:fldCharType="end"/>
      </w:r>
    </w:p>
    <w:p w14:paraId="647D33F8">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small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"_Toc171344353" </w:instrText>
      </w:r>
      <w:r>
        <w:rPr>
          <w:color w:val="auto"/>
          <w:szCs w:val="21"/>
          <w:highlight w:val="none"/>
        </w:rPr>
        <w:fldChar w:fldCharType="separate"/>
      </w:r>
      <w:r>
        <w:rPr>
          <w:color w:val="auto"/>
          <w:szCs w:val="21"/>
          <w:highlight w:val="none"/>
        </w:rPr>
        <w:t>六、评   标</w:t>
      </w:r>
      <w:r>
        <w:rPr>
          <w:color w:val="auto"/>
          <w:szCs w:val="21"/>
          <w:highlight w:val="none"/>
        </w:rPr>
        <w:tab/>
      </w:r>
      <w:r>
        <w:rPr>
          <w:color w:val="auto"/>
          <w:szCs w:val="21"/>
          <w:highlight w:val="none"/>
        </w:rPr>
        <w:fldChar w:fldCharType="begin"/>
      </w:r>
      <w:r>
        <w:rPr>
          <w:color w:val="auto"/>
          <w:szCs w:val="21"/>
          <w:highlight w:val="none"/>
        </w:rPr>
        <w:instrText xml:space="preserve"> PAGEREF _Toc171344353 \h </w:instrText>
      </w:r>
      <w:r>
        <w:rPr>
          <w:color w:val="auto"/>
          <w:szCs w:val="21"/>
          <w:highlight w:val="none"/>
        </w:rPr>
        <w:fldChar w:fldCharType="separate"/>
      </w:r>
      <w:r>
        <w:rPr>
          <w:color w:val="auto"/>
          <w:szCs w:val="21"/>
          <w:highlight w:val="none"/>
        </w:rPr>
        <w:t>34</w:t>
      </w:r>
      <w:r>
        <w:rPr>
          <w:color w:val="auto"/>
          <w:szCs w:val="21"/>
          <w:highlight w:val="none"/>
        </w:rPr>
        <w:fldChar w:fldCharType="end"/>
      </w:r>
      <w:r>
        <w:rPr>
          <w:color w:val="auto"/>
          <w:szCs w:val="21"/>
          <w:highlight w:val="none"/>
        </w:rPr>
        <w:fldChar w:fldCharType="end"/>
      </w:r>
    </w:p>
    <w:p w14:paraId="2825EFC8">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small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"_Toc171344354" </w:instrText>
      </w:r>
      <w:r>
        <w:rPr>
          <w:color w:val="auto"/>
          <w:szCs w:val="21"/>
          <w:highlight w:val="none"/>
        </w:rPr>
        <w:fldChar w:fldCharType="separate"/>
      </w:r>
      <w:r>
        <w:rPr>
          <w:color w:val="auto"/>
          <w:szCs w:val="21"/>
          <w:highlight w:val="none"/>
        </w:rPr>
        <w:t>七、中标和合同</w:t>
      </w:r>
      <w:r>
        <w:rPr>
          <w:color w:val="auto"/>
          <w:szCs w:val="21"/>
          <w:highlight w:val="none"/>
        </w:rPr>
        <w:tab/>
      </w:r>
      <w:r>
        <w:rPr>
          <w:color w:val="auto"/>
          <w:szCs w:val="21"/>
          <w:highlight w:val="none"/>
        </w:rPr>
        <w:fldChar w:fldCharType="begin"/>
      </w:r>
      <w:r>
        <w:rPr>
          <w:color w:val="auto"/>
          <w:szCs w:val="21"/>
          <w:highlight w:val="none"/>
        </w:rPr>
        <w:instrText xml:space="preserve"> PAGEREF _Toc171344354 \h </w:instrText>
      </w:r>
      <w:r>
        <w:rPr>
          <w:color w:val="auto"/>
          <w:szCs w:val="21"/>
          <w:highlight w:val="none"/>
        </w:rPr>
        <w:fldChar w:fldCharType="separate"/>
      </w:r>
      <w:r>
        <w:rPr>
          <w:color w:val="auto"/>
          <w:szCs w:val="21"/>
          <w:highlight w:val="none"/>
        </w:rPr>
        <w:t>36</w:t>
      </w:r>
      <w:r>
        <w:rPr>
          <w:color w:val="auto"/>
          <w:szCs w:val="21"/>
          <w:highlight w:val="none"/>
        </w:rPr>
        <w:fldChar w:fldCharType="end"/>
      </w:r>
      <w:r>
        <w:rPr>
          <w:color w:val="auto"/>
          <w:szCs w:val="21"/>
          <w:highlight w:val="none"/>
        </w:rPr>
        <w:fldChar w:fldCharType="end"/>
      </w:r>
    </w:p>
    <w:p w14:paraId="334B494A">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small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"_Toc171344355" </w:instrText>
      </w:r>
      <w:r>
        <w:rPr>
          <w:color w:val="auto"/>
          <w:szCs w:val="21"/>
          <w:highlight w:val="none"/>
        </w:rPr>
        <w:fldChar w:fldCharType="separate"/>
      </w:r>
      <w:r>
        <w:rPr>
          <w:color w:val="auto"/>
          <w:szCs w:val="21"/>
          <w:highlight w:val="none"/>
        </w:rPr>
        <w:t>九、其他事项</w:t>
      </w:r>
      <w:r>
        <w:rPr>
          <w:color w:val="auto"/>
          <w:szCs w:val="21"/>
          <w:highlight w:val="none"/>
        </w:rPr>
        <w:tab/>
      </w:r>
      <w:r>
        <w:rPr>
          <w:color w:val="auto"/>
          <w:szCs w:val="21"/>
          <w:highlight w:val="none"/>
        </w:rPr>
        <w:fldChar w:fldCharType="begin"/>
      </w:r>
      <w:r>
        <w:rPr>
          <w:color w:val="auto"/>
          <w:szCs w:val="21"/>
          <w:highlight w:val="none"/>
        </w:rPr>
        <w:instrText xml:space="preserve"> PAGEREF _Toc171344355 \h </w:instrText>
      </w:r>
      <w:r>
        <w:rPr>
          <w:color w:val="auto"/>
          <w:szCs w:val="21"/>
          <w:highlight w:val="none"/>
        </w:rPr>
        <w:fldChar w:fldCharType="separate"/>
      </w:r>
      <w:r>
        <w:rPr>
          <w:color w:val="auto"/>
          <w:szCs w:val="21"/>
          <w:highlight w:val="none"/>
        </w:rPr>
        <w:t>41</w:t>
      </w:r>
      <w:r>
        <w:rPr>
          <w:color w:val="auto"/>
          <w:szCs w:val="21"/>
          <w:highlight w:val="none"/>
        </w:rPr>
        <w:fldChar w:fldCharType="end"/>
      </w:r>
      <w:r>
        <w:rPr>
          <w:color w:val="auto"/>
          <w:szCs w:val="21"/>
          <w:highlight w:val="none"/>
        </w:rPr>
        <w:fldChar w:fldCharType="end"/>
      </w:r>
    </w:p>
    <w:p w14:paraId="12CCAE05">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b/>
          <w:bCs/>
          <w: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"_Toc171344356" </w:instrText>
      </w:r>
      <w:r>
        <w:rPr>
          <w:color w:val="auto"/>
          <w:szCs w:val="21"/>
          <w:highlight w:val="none"/>
        </w:rPr>
        <w:fldChar w:fldCharType="separate"/>
      </w:r>
      <w:r>
        <w:rPr>
          <w:b/>
          <w:color w:val="auto"/>
          <w:szCs w:val="21"/>
          <w:highlight w:val="none"/>
        </w:rPr>
        <w:t>第四章  评标方法及评分标准</w:t>
      </w:r>
      <w:r>
        <w:rPr>
          <w:color w:val="auto"/>
          <w:szCs w:val="21"/>
          <w:highlight w:val="none"/>
        </w:rPr>
        <w:tab/>
      </w:r>
      <w:r>
        <w:rPr>
          <w:color w:val="auto"/>
          <w:szCs w:val="21"/>
          <w:highlight w:val="none"/>
        </w:rPr>
        <w:fldChar w:fldCharType="begin"/>
      </w:r>
      <w:r>
        <w:rPr>
          <w:color w:val="auto"/>
          <w:szCs w:val="21"/>
          <w:highlight w:val="none"/>
        </w:rPr>
        <w:instrText xml:space="preserve"> PAGEREF _Toc171344356 \h </w:instrText>
      </w:r>
      <w:r>
        <w:rPr>
          <w:color w:val="auto"/>
          <w:szCs w:val="21"/>
          <w:highlight w:val="none"/>
        </w:rPr>
        <w:fldChar w:fldCharType="separate"/>
      </w:r>
      <w:r>
        <w:rPr>
          <w:color w:val="auto"/>
          <w:szCs w:val="21"/>
          <w:highlight w:val="none"/>
        </w:rPr>
        <w:t>43</w:t>
      </w:r>
      <w:r>
        <w:rPr>
          <w:color w:val="auto"/>
          <w:szCs w:val="21"/>
          <w:highlight w:val="none"/>
        </w:rPr>
        <w:fldChar w:fldCharType="end"/>
      </w:r>
      <w:r>
        <w:rPr>
          <w:color w:val="auto"/>
          <w:szCs w:val="21"/>
          <w:highlight w:val="none"/>
        </w:rPr>
        <w:fldChar w:fldCharType="end"/>
      </w:r>
    </w:p>
    <w:p w14:paraId="0D8BBC0B">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b/>
          <w:bCs/>
          <w:small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"_Toc171344357" </w:instrText>
      </w:r>
      <w:r>
        <w:rPr>
          <w:color w:val="auto"/>
          <w:szCs w:val="21"/>
          <w:highlight w:val="none"/>
        </w:rPr>
        <w:fldChar w:fldCharType="separate"/>
      </w:r>
      <w:r>
        <w:rPr>
          <w:b/>
          <w:bCs/>
          <w:color w:val="auto"/>
          <w:szCs w:val="21"/>
          <w:highlight w:val="none"/>
        </w:rPr>
        <w:t>第一节 评标方法</w:t>
      </w:r>
      <w:r>
        <w:rPr>
          <w:color w:val="auto"/>
          <w:szCs w:val="21"/>
          <w:highlight w:val="none"/>
        </w:rPr>
        <w:tab/>
      </w:r>
      <w:r>
        <w:rPr>
          <w:color w:val="auto"/>
          <w:szCs w:val="21"/>
          <w:highlight w:val="none"/>
        </w:rPr>
        <w:fldChar w:fldCharType="begin"/>
      </w:r>
      <w:r>
        <w:rPr>
          <w:color w:val="auto"/>
          <w:szCs w:val="21"/>
          <w:highlight w:val="none"/>
        </w:rPr>
        <w:instrText xml:space="preserve"> PAGEREF _Toc171344357 \h </w:instrText>
      </w:r>
      <w:r>
        <w:rPr>
          <w:color w:val="auto"/>
          <w:szCs w:val="21"/>
          <w:highlight w:val="none"/>
        </w:rPr>
        <w:fldChar w:fldCharType="separate"/>
      </w:r>
      <w:r>
        <w:rPr>
          <w:color w:val="auto"/>
          <w:szCs w:val="21"/>
          <w:highlight w:val="none"/>
        </w:rPr>
        <w:t>43</w:t>
      </w:r>
      <w:r>
        <w:rPr>
          <w:color w:val="auto"/>
          <w:szCs w:val="21"/>
          <w:highlight w:val="none"/>
        </w:rPr>
        <w:fldChar w:fldCharType="end"/>
      </w:r>
      <w:r>
        <w:rPr>
          <w:color w:val="auto"/>
          <w:szCs w:val="21"/>
          <w:highlight w:val="none"/>
        </w:rPr>
        <w:fldChar w:fldCharType="end"/>
      </w:r>
    </w:p>
    <w:p w14:paraId="74ABEF75">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b/>
          <w:bCs/>
          <w:small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"_Toc171344358" </w:instrText>
      </w:r>
      <w:r>
        <w:rPr>
          <w:color w:val="auto"/>
          <w:szCs w:val="21"/>
          <w:highlight w:val="none"/>
        </w:rPr>
        <w:fldChar w:fldCharType="separate"/>
      </w:r>
      <w:r>
        <w:rPr>
          <w:b/>
          <w:bCs/>
          <w:color w:val="auto"/>
          <w:szCs w:val="21"/>
          <w:highlight w:val="none"/>
        </w:rPr>
        <w:t>第二节 评标程序</w:t>
      </w:r>
      <w:r>
        <w:rPr>
          <w:color w:val="auto"/>
          <w:szCs w:val="21"/>
          <w:highlight w:val="none"/>
        </w:rPr>
        <w:tab/>
      </w:r>
      <w:r>
        <w:rPr>
          <w:color w:val="auto"/>
          <w:szCs w:val="21"/>
          <w:highlight w:val="none"/>
        </w:rPr>
        <w:fldChar w:fldCharType="begin"/>
      </w:r>
      <w:r>
        <w:rPr>
          <w:color w:val="auto"/>
          <w:szCs w:val="21"/>
          <w:highlight w:val="none"/>
        </w:rPr>
        <w:instrText xml:space="preserve"> PAGEREF _Toc171344358 \h </w:instrText>
      </w:r>
      <w:r>
        <w:rPr>
          <w:color w:val="auto"/>
          <w:szCs w:val="21"/>
          <w:highlight w:val="none"/>
        </w:rPr>
        <w:fldChar w:fldCharType="separate"/>
      </w:r>
      <w:r>
        <w:rPr>
          <w:color w:val="auto"/>
          <w:szCs w:val="21"/>
          <w:highlight w:val="none"/>
        </w:rPr>
        <w:t>43</w:t>
      </w:r>
      <w:r>
        <w:rPr>
          <w:color w:val="auto"/>
          <w:szCs w:val="21"/>
          <w:highlight w:val="none"/>
        </w:rPr>
        <w:fldChar w:fldCharType="end"/>
      </w:r>
      <w:r>
        <w:rPr>
          <w:color w:val="auto"/>
          <w:szCs w:val="21"/>
          <w:highlight w:val="none"/>
        </w:rPr>
        <w:fldChar w:fldCharType="end"/>
      </w:r>
    </w:p>
    <w:p w14:paraId="29638F45">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b/>
          <w:bCs/>
          <w:small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"_Toc171344359" </w:instrText>
      </w:r>
      <w:r>
        <w:rPr>
          <w:color w:val="auto"/>
          <w:szCs w:val="21"/>
          <w:highlight w:val="none"/>
        </w:rPr>
        <w:fldChar w:fldCharType="separate"/>
      </w:r>
      <w:r>
        <w:rPr>
          <w:color w:val="auto"/>
          <w:szCs w:val="21"/>
          <w:highlight w:val="none"/>
        </w:rPr>
        <w:t>第三节 评分标准</w:t>
      </w:r>
      <w:r>
        <w:rPr>
          <w:color w:val="auto"/>
          <w:szCs w:val="21"/>
          <w:highlight w:val="none"/>
        </w:rPr>
        <w:tab/>
      </w:r>
      <w:r>
        <w:rPr>
          <w:color w:val="auto"/>
          <w:szCs w:val="21"/>
          <w:highlight w:val="none"/>
        </w:rPr>
        <w:fldChar w:fldCharType="begin"/>
      </w:r>
      <w:r>
        <w:rPr>
          <w:color w:val="auto"/>
          <w:szCs w:val="21"/>
          <w:highlight w:val="none"/>
        </w:rPr>
        <w:instrText xml:space="preserve"> PAGEREF _Toc171344359 \h </w:instrText>
      </w:r>
      <w:r>
        <w:rPr>
          <w:color w:val="auto"/>
          <w:szCs w:val="21"/>
          <w:highlight w:val="none"/>
        </w:rPr>
        <w:fldChar w:fldCharType="separate"/>
      </w:r>
      <w:r>
        <w:rPr>
          <w:color w:val="auto"/>
          <w:szCs w:val="21"/>
          <w:highlight w:val="none"/>
        </w:rPr>
        <w:t>47</w:t>
      </w:r>
      <w:r>
        <w:rPr>
          <w:color w:val="auto"/>
          <w:szCs w:val="21"/>
          <w:highlight w:val="none"/>
        </w:rPr>
        <w:fldChar w:fldCharType="end"/>
      </w:r>
      <w:r>
        <w:rPr>
          <w:color w:val="auto"/>
          <w:szCs w:val="21"/>
          <w:highlight w:val="none"/>
        </w:rPr>
        <w:fldChar w:fldCharType="end"/>
      </w:r>
    </w:p>
    <w:p w14:paraId="174C4CE1">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b/>
          <w:bCs/>
          <w:small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"_Toc171344360" </w:instrText>
      </w:r>
      <w:r>
        <w:rPr>
          <w:color w:val="auto"/>
          <w:szCs w:val="21"/>
          <w:highlight w:val="none"/>
        </w:rPr>
        <w:fldChar w:fldCharType="separate"/>
      </w:r>
      <w:r>
        <w:rPr>
          <w:color w:val="auto"/>
          <w:szCs w:val="21"/>
          <w:highlight w:val="none"/>
        </w:rPr>
        <w:t>第四节 中标候选人推荐原则</w:t>
      </w:r>
      <w:r>
        <w:rPr>
          <w:color w:val="auto"/>
          <w:szCs w:val="21"/>
          <w:highlight w:val="none"/>
        </w:rPr>
        <w:tab/>
      </w:r>
      <w:r>
        <w:rPr>
          <w:color w:val="auto"/>
          <w:szCs w:val="21"/>
          <w:highlight w:val="none"/>
        </w:rPr>
        <w:fldChar w:fldCharType="begin"/>
      </w:r>
      <w:r>
        <w:rPr>
          <w:color w:val="auto"/>
          <w:szCs w:val="21"/>
          <w:highlight w:val="none"/>
        </w:rPr>
        <w:instrText xml:space="preserve"> PAGEREF _Toc171344360 \h </w:instrText>
      </w:r>
      <w:r>
        <w:rPr>
          <w:color w:val="auto"/>
          <w:szCs w:val="21"/>
          <w:highlight w:val="none"/>
        </w:rPr>
        <w:fldChar w:fldCharType="separate"/>
      </w:r>
      <w:r>
        <w:rPr>
          <w:color w:val="auto"/>
          <w:szCs w:val="21"/>
          <w:highlight w:val="none"/>
        </w:rPr>
        <w:t>50</w:t>
      </w:r>
      <w:r>
        <w:rPr>
          <w:color w:val="auto"/>
          <w:szCs w:val="21"/>
          <w:highlight w:val="none"/>
        </w:rPr>
        <w:fldChar w:fldCharType="end"/>
      </w:r>
      <w:r>
        <w:rPr>
          <w:color w:val="auto"/>
          <w:szCs w:val="21"/>
          <w:highlight w:val="none"/>
        </w:rPr>
        <w:fldChar w:fldCharType="end"/>
      </w:r>
    </w:p>
    <w:p w14:paraId="64299BC4">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b/>
          <w:bCs/>
          <w:small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"_Toc171344361" </w:instrText>
      </w:r>
      <w:r>
        <w:rPr>
          <w:color w:val="auto"/>
          <w:szCs w:val="21"/>
          <w:highlight w:val="none"/>
        </w:rPr>
        <w:fldChar w:fldCharType="separate"/>
      </w:r>
      <w:r>
        <w:rPr>
          <w:color w:val="auto"/>
          <w:szCs w:val="21"/>
          <w:highlight w:val="none"/>
        </w:rPr>
        <w:t>第五节 评标报告</w:t>
      </w:r>
      <w:r>
        <w:rPr>
          <w:color w:val="auto"/>
          <w:szCs w:val="21"/>
          <w:highlight w:val="none"/>
        </w:rPr>
        <w:tab/>
      </w:r>
      <w:r>
        <w:rPr>
          <w:color w:val="auto"/>
          <w:szCs w:val="21"/>
          <w:highlight w:val="none"/>
        </w:rPr>
        <w:fldChar w:fldCharType="begin"/>
      </w:r>
      <w:r>
        <w:rPr>
          <w:color w:val="auto"/>
          <w:szCs w:val="21"/>
          <w:highlight w:val="none"/>
        </w:rPr>
        <w:instrText xml:space="preserve"> PAGEREF _Toc171344361 \h </w:instrText>
      </w:r>
      <w:r>
        <w:rPr>
          <w:color w:val="auto"/>
          <w:szCs w:val="21"/>
          <w:highlight w:val="none"/>
        </w:rPr>
        <w:fldChar w:fldCharType="separate"/>
      </w:r>
      <w:r>
        <w:rPr>
          <w:color w:val="auto"/>
          <w:szCs w:val="21"/>
          <w:highlight w:val="none"/>
        </w:rPr>
        <w:t>50</w:t>
      </w:r>
      <w:r>
        <w:rPr>
          <w:color w:val="auto"/>
          <w:szCs w:val="21"/>
          <w:highlight w:val="none"/>
        </w:rPr>
        <w:fldChar w:fldCharType="end"/>
      </w:r>
      <w:r>
        <w:rPr>
          <w:color w:val="auto"/>
          <w:szCs w:val="21"/>
          <w:highlight w:val="none"/>
        </w:rPr>
        <w:fldChar w:fldCharType="end"/>
      </w:r>
    </w:p>
    <w:p w14:paraId="65A8F233">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b/>
          <w:bCs/>
          <w: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"_Toc171344362" </w:instrText>
      </w:r>
      <w:r>
        <w:rPr>
          <w:color w:val="auto"/>
          <w:szCs w:val="21"/>
          <w:highlight w:val="none"/>
        </w:rPr>
        <w:fldChar w:fldCharType="separate"/>
      </w:r>
      <w:r>
        <w:rPr>
          <w:b/>
          <w:color w:val="auto"/>
          <w:szCs w:val="21"/>
          <w:highlight w:val="none"/>
        </w:rPr>
        <w:t>第五章 拟签订的合同文本</w:t>
      </w:r>
      <w:r>
        <w:rPr>
          <w:color w:val="auto"/>
          <w:szCs w:val="21"/>
          <w:highlight w:val="none"/>
        </w:rPr>
        <w:tab/>
      </w:r>
      <w:r>
        <w:rPr>
          <w:color w:val="auto"/>
          <w:szCs w:val="21"/>
          <w:highlight w:val="none"/>
        </w:rPr>
        <w:fldChar w:fldCharType="begin"/>
      </w:r>
      <w:r>
        <w:rPr>
          <w:color w:val="auto"/>
          <w:szCs w:val="21"/>
          <w:highlight w:val="none"/>
        </w:rPr>
        <w:instrText xml:space="preserve"> PAGEREF _Toc171344362 \h </w:instrText>
      </w:r>
      <w:r>
        <w:rPr>
          <w:color w:val="auto"/>
          <w:szCs w:val="21"/>
          <w:highlight w:val="none"/>
        </w:rPr>
        <w:fldChar w:fldCharType="separate"/>
      </w:r>
      <w:r>
        <w:rPr>
          <w:color w:val="auto"/>
          <w:szCs w:val="21"/>
          <w:highlight w:val="none"/>
        </w:rPr>
        <w:t>51</w:t>
      </w:r>
      <w:r>
        <w:rPr>
          <w:color w:val="auto"/>
          <w:szCs w:val="21"/>
          <w:highlight w:val="none"/>
        </w:rPr>
        <w:fldChar w:fldCharType="end"/>
      </w:r>
      <w:r>
        <w:rPr>
          <w:color w:val="auto"/>
          <w:szCs w:val="21"/>
          <w:highlight w:val="none"/>
        </w:rPr>
        <w:fldChar w:fldCharType="end"/>
      </w:r>
    </w:p>
    <w:p w14:paraId="3FFB5288">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b/>
          <w:bCs/>
          <w: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"_Toc171344363" </w:instrText>
      </w:r>
      <w:r>
        <w:rPr>
          <w:color w:val="auto"/>
          <w:szCs w:val="21"/>
          <w:highlight w:val="none"/>
        </w:rPr>
        <w:fldChar w:fldCharType="separate"/>
      </w:r>
      <w:r>
        <w:rPr>
          <w:b/>
          <w:color w:val="auto"/>
          <w:szCs w:val="21"/>
          <w:highlight w:val="none"/>
        </w:rPr>
        <w:t>第六章 投标文件格式</w:t>
      </w:r>
      <w:r>
        <w:rPr>
          <w:color w:val="auto"/>
          <w:szCs w:val="21"/>
          <w:highlight w:val="none"/>
        </w:rPr>
        <w:tab/>
      </w:r>
      <w:r>
        <w:rPr>
          <w:color w:val="auto"/>
          <w:szCs w:val="21"/>
          <w:highlight w:val="none"/>
        </w:rPr>
        <w:fldChar w:fldCharType="begin"/>
      </w:r>
      <w:r>
        <w:rPr>
          <w:color w:val="auto"/>
          <w:szCs w:val="21"/>
          <w:highlight w:val="none"/>
        </w:rPr>
        <w:instrText xml:space="preserve"> PAGEREF _Toc171344363 \h </w:instrText>
      </w:r>
      <w:r>
        <w:rPr>
          <w:color w:val="auto"/>
          <w:szCs w:val="21"/>
          <w:highlight w:val="none"/>
        </w:rPr>
        <w:fldChar w:fldCharType="separate"/>
      </w:r>
      <w:r>
        <w:rPr>
          <w:color w:val="auto"/>
          <w:szCs w:val="21"/>
          <w:highlight w:val="none"/>
        </w:rPr>
        <w:t>66</w:t>
      </w:r>
      <w:r>
        <w:rPr>
          <w:color w:val="auto"/>
          <w:szCs w:val="21"/>
          <w:highlight w:val="none"/>
        </w:rPr>
        <w:fldChar w:fldCharType="end"/>
      </w:r>
      <w:r>
        <w:rPr>
          <w:color w:val="auto"/>
          <w:szCs w:val="21"/>
          <w:highlight w:val="none"/>
        </w:rPr>
        <w:fldChar w:fldCharType="end"/>
      </w:r>
    </w:p>
    <w:p w14:paraId="773E4CDB">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b/>
          <w:bCs/>
          <w:small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"_Toc171344364" </w:instrText>
      </w:r>
      <w:r>
        <w:rPr>
          <w:color w:val="auto"/>
          <w:szCs w:val="21"/>
          <w:highlight w:val="none"/>
        </w:rPr>
        <w:fldChar w:fldCharType="separate"/>
      </w:r>
      <w:r>
        <w:rPr>
          <w:rFonts w:hAnsi="宋体"/>
          <w:b/>
          <w:bCs/>
          <w:color w:val="auto"/>
          <w:szCs w:val="21"/>
          <w:highlight w:val="none"/>
        </w:rPr>
        <w:t>第一节 投标文件外层包装封面</w:t>
      </w:r>
      <w:r>
        <w:rPr>
          <w:color w:val="auto"/>
          <w:szCs w:val="21"/>
          <w:highlight w:val="none"/>
        </w:rPr>
        <w:tab/>
      </w:r>
      <w:r>
        <w:rPr>
          <w:color w:val="auto"/>
          <w:szCs w:val="21"/>
          <w:highlight w:val="none"/>
        </w:rPr>
        <w:fldChar w:fldCharType="begin"/>
      </w:r>
      <w:r>
        <w:rPr>
          <w:color w:val="auto"/>
          <w:szCs w:val="21"/>
          <w:highlight w:val="none"/>
        </w:rPr>
        <w:instrText xml:space="preserve"> PAGEREF _Toc171344364 \h </w:instrText>
      </w:r>
      <w:r>
        <w:rPr>
          <w:color w:val="auto"/>
          <w:szCs w:val="21"/>
          <w:highlight w:val="none"/>
        </w:rPr>
        <w:fldChar w:fldCharType="separate"/>
      </w:r>
      <w:r>
        <w:rPr>
          <w:color w:val="auto"/>
          <w:szCs w:val="21"/>
          <w:highlight w:val="none"/>
        </w:rPr>
        <w:t>67</w:t>
      </w:r>
      <w:r>
        <w:rPr>
          <w:color w:val="auto"/>
          <w:szCs w:val="21"/>
          <w:highlight w:val="none"/>
        </w:rPr>
        <w:fldChar w:fldCharType="end"/>
      </w:r>
      <w:r>
        <w:rPr>
          <w:color w:val="auto"/>
          <w:szCs w:val="21"/>
          <w:highlight w:val="none"/>
        </w:rPr>
        <w:fldChar w:fldCharType="end"/>
      </w:r>
    </w:p>
    <w:p w14:paraId="0E94A7FB">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b/>
          <w:bCs/>
          <w:small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"_Toc171344365" </w:instrText>
      </w:r>
      <w:r>
        <w:rPr>
          <w:color w:val="auto"/>
          <w:szCs w:val="21"/>
          <w:highlight w:val="none"/>
        </w:rPr>
        <w:fldChar w:fldCharType="separate"/>
      </w:r>
      <w:r>
        <w:rPr>
          <w:rFonts w:hAnsi="宋体"/>
          <w:b/>
          <w:bCs/>
          <w:color w:val="auto"/>
          <w:szCs w:val="21"/>
          <w:highlight w:val="none"/>
        </w:rPr>
        <w:t>第二节 资格证明文件格式</w:t>
      </w:r>
      <w:r>
        <w:rPr>
          <w:color w:val="auto"/>
          <w:szCs w:val="21"/>
          <w:highlight w:val="none"/>
        </w:rPr>
        <w:tab/>
      </w:r>
      <w:r>
        <w:rPr>
          <w:color w:val="auto"/>
          <w:szCs w:val="21"/>
          <w:highlight w:val="none"/>
        </w:rPr>
        <w:fldChar w:fldCharType="begin"/>
      </w:r>
      <w:r>
        <w:rPr>
          <w:color w:val="auto"/>
          <w:szCs w:val="21"/>
          <w:highlight w:val="none"/>
        </w:rPr>
        <w:instrText xml:space="preserve"> PAGEREF _Toc171344365 \h </w:instrText>
      </w:r>
      <w:r>
        <w:rPr>
          <w:color w:val="auto"/>
          <w:szCs w:val="21"/>
          <w:highlight w:val="none"/>
        </w:rPr>
        <w:fldChar w:fldCharType="separate"/>
      </w:r>
      <w:r>
        <w:rPr>
          <w:color w:val="auto"/>
          <w:szCs w:val="21"/>
          <w:highlight w:val="none"/>
        </w:rPr>
        <w:t>68</w:t>
      </w:r>
      <w:r>
        <w:rPr>
          <w:color w:val="auto"/>
          <w:szCs w:val="21"/>
          <w:highlight w:val="none"/>
        </w:rPr>
        <w:fldChar w:fldCharType="end"/>
      </w:r>
      <w:r>
        <w:rPr>
          <w:color w:val="auto"/>
          <w:szCs w:val="21"/>
          <w:highlight w:val="none"/>
        </w:rPr>
        <w:fldChar w:fldCharType="end"/>
      </w:r>
    </w:p>
    <w:p w14:paraId="5A107D23">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b/>
          <w:bCs/>
          <w:small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"_Toc171344366" </w:instrText>
      </w:r>
      <w:r>
        <w:rPr>
          <w:color w:val="auto"/>
          <w:szCs w:val="21"/>
          <w:highlight w:val="none"/>
        </w:rPr>
        <w:fldChar w:fldCharType="separate"/>
      </w:r>
      <w:r>
        <w:rPr>
          <w:rFonts w:hAnsi="宋体"/>
          <w:b/>
          <w:bCs/>
          <w:color w:val="auto"/>
          <w:szCs w:val="21"/>
          <w:highlight w:val="none"/>
        </w:rPr>
        <w:t>第三节 商务文件格式</w:t>
      </w:r>
      <w:r>
        <w:rPr>
          <w:color w:val="auto"/>
          <w:szCs w:val="21"/>
          <w:highlight w:val="none"/>
        </w:rPr>
        <w:tab/>
      </w:r>
      <w:r>
        <w:rPr>
          <w:color w:val="auto"/>
          <w:szCs w:val="21"/>
          <w:highlight w:val="none"/>
        </w:rPr>
        <w:fldChar w:fldCharType="begin"/>
      </w:r>
      <w:r>
        <w:rPr>
          <w:color w:val="auto"/>
          <w:szCs w:val="21"/>
          <w:highlight w:val="none"/>
        </w:rPr>
        <w:instrText xml:space="preserve"> PAGEREF _Toc171344366 \h </w:instrText>
      </w:r>
      <w:r>
        <w:rPr>
          <w:color w:val="auto"/>
          <w:szCs w:val="21"/>
          <w:highlight w:val="none"/>
        </w:rPr>
        <w:fldChar w:fldCharType="separate"/>
      </w:r>
      <w:r>
        <w:rPr>
          <w:color w:val="auto"/>
          <w:szCs w:val="21"/>
          <w:highlight w:val="none"/>
        </w:rPr>
        <w:t>76</w:t>
      </w:r>
      <w:r>
        <w:rPr>
          <w:color w:val="auto"/>
          <w:szCs w:val="21"/>
          <w:highlight w:val="none"/>
        </w:rPr>
        <w:fldChar w:fldCharType="end"/>
      </w:r>
      <w:r>
        <w:rPr>
          <w:color w:val="auto"/>
          <w:szCs w:val="21"/>
          <w:highlight w:val="none"/>
        </w:rPr>
        <w:fldChar w:fldCharType="end"/>
      </w:r>
    </w:p>
    <w:p w14:paraId="0A8D8185">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b/>
          <w:bCs/>
          <w:small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"_Toc171344367" </w:instrText>
      </w:r>
      <w:r>
        <w:rPr>
          <w:color w:val="auto"/>
          <w:szCs w:val="21"/>
          <w:highlight w:val="none"/>
        </w:rPr>
        <w:fldChar w:fldCharType="separate"/>
      </w:r>
      <w:r>
        <w:rPr>
          <w:rFonts w:hAnsi="宋体"/>
          <w:b/>
          <w:bCs/>
          <w:color w:val="auto"/>
          <w:szCs w:val="21"/>
          <w:highlight w:val="none"/>
        </w:rPr>
        <w:t>第四节 技术文件格式</w:t>
      </w:r>
      <w:r>
        <w:rPr>
          <w:color w:val="auto"/>
          <w:szCs w:val="21"/>
          <w:highlight w:val="none"/>
        </w:rPr>
        <w:tab/>
      </w:r>
      <w:r>
        <w:rPr>
          <w:color w:val="auto"/>
          <w:szCs w:val="21"/>
          <w:highlight w:val="none"/>
        </w:rPr>
        <w:fldChar w:fldCharType="begin"/>
      </w:r>
      <w:r>
        <w:rPr>
          <w:color w:val="auto"/>
          <w:szCs w:val="21"/>
          <w:highlight w:val="none"/>
        </w:rPr>
        <w:instrText xml:space="preserve"> PAGEREF _Toc171344367 \h </w:instrText>
      </w:r>
      <w:r>
        <w:rPr>
          <w:color w:val="auto"/>
          <w:szCs w:val="21"/>
          <w:highlight w:val="none"/>
        </w:rPr>
        <w:fldChar w:fldCharType="separate"/>
      </w:r>
      <w:r>
        <w:rPr>
          <w:color w:val="auto"/>
          <w:szCs w:val="21"/>
          <w:highlight w:val="none"/>
        </w:rPr>
        <w:t>86</w:t>
      </w:r>
      <w:r>
        <w:rPr>
          <w:color w:val="auto"/>
          <w:szCs w:val="21"/>
          <w:highlight w:val="none"/>
        </w:rPr>
        <w:fldChar w:fldCharType="end"/>
      </w:r>
      <w:r>
        <w:rPr>
          <w:color w:val="auto"/>
          <w:szCs w:val="21"/>
          <w:highlight w:val="none"/>
        </w:rPr>
        <w:fldChar w:fldCharType="end"/>
      </w:r>
    </w:p>
    <w:p w14:paraId="58D882ED">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b/>
          <w:bCs/>
          <w:small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"_Toc171344368" </w:instrText>
      </w:r>
      <w:r>
        <w:rPr>
          <w:color w:val="auto"/>
          <w:szCs w:val="21"/>
          <w:highlight w:val="none"/>
        </w:rPr>
        <w:fldChar w:fldCharType="separate"/>
      </w:r>
      <w:r>
        <w:rPr>
          <w:rFonts w:hAnsi="宋体"/>
          <w:b/>
          <w:bCs/>
          <w:color w:val="auto"/>
          <w:szCs w:val="21"/>
          <w:highlight w:val="none"/>
        </w:rPr>
        <w:t>第五节 报价文件格式</w:t>
      </w:r>
      <w:r>
        <w:rPr>
          <w:color w:val="auto"/>
          <w:szCs w:val="21"/>
          <w:highlight w:val="none"/>
        </w:rPr>
        <w:tab/>
      </w:r>
      <w:r>
        <w:rPr>
          <w:color w:val="auto"/>
          <w:szCs w:val="21"/>
          <w:highlight w:val="none"/>
        </w:rPr>
        <w:fldChar w:fldCharType="begin"/>
      </w:r>
      <w:r>
        <w:rPr>
          <w:color w:val="auto"/>
          <w:szCs w:val="21"/>
          <w:highlight w:val="none"/>
        </w:rPr>
        <w:instrText xml:space="preserve"> PAGEREF _Toc171344368 \h </w:instrText>
      </w:r>
      <w:r>
        <w:rPr>
          <w:color w:val="auto"/>
          <w:szCs w:val="21"/>
          <w:highlight w:val="none"/>
        </w:rPr>
        <w:fldChar w:fldCharType="separate"/>
      </w:r>
      <w:r>
        <w:rPr>
          <w:color w:val="auto"/>
          <w:szCs w:val="21"/>
          <w:highlight w:val="none"/>
        </w:rPr>
        <w:t>92</w:t>
      </w:r>
      <w:r>
        <w:rPr>
          <w:color w:val="auto"/>
          <w:szCs w:val="21"/>
          <w:highlight w:val="none"/>
        </w:rPr>
        <w:fldChar w:fldCharType="end"/>
      </w:r>
      <w:r>
        <w:rPr>
          <w:color w:val="auto"/>
          <w:szCs w:val="21"/>
          <w:highlight w:val="none"/>
        </w:rPr>
        <w:fldChar w:fldCharType="end"/>
      </w:r>
    </w:p>
    <w:p w14:paraId="120F2173">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b/>
          <w:bCs/>
          <w:small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"_Toc171344369" </w:instrText>
      </w:r>
      <w:r>
        <w:rPr>
          <w:color w:val="auto"/>
          <w:szCs w:val="21"/>
          <w:highlight w:val="none"/>
        </w:rPr>
        <w:fldChar w:fldCharType="separate"/>
      </w:r>
      <w:r>
        <w:rPr>
          <w:rFonts w:ascii="宋体" w:hAnsi="宋体"/>
          <w:b/>
          <w:bCs/>
          <w:color w:val="auto"/>
          <w:szCs w:val="21"/>
          <w:highlight w:val="none"/>
        </w:rPr>
        <w:t>第六节 其他文书、文件格式</w:t>
      </w:r>
      <w:r>
        <w:rPr>
          <w:color w:val="auto"/>
          <w:szCs w:val="21"/>
          <w:highlight w:val="none"/>
        </w:rPr>
        <w:tab/>
      </w:r>
      <w:r>
        <w:rPr>
          <w:color w:val="auto"/>
          <w:szCs w:val="21"/>
          <w:highlight w:val="none"/>
        </w:rPr>
        <w:fldChar w:fldCharType="begin"/>
      </w:r>
      <w:r>
        <w:rPr>
          <w:color w:val="auto"/>
          <w:szCs w:val="21"/>
          <w:highlight w:val="none"/>
        </w:rPr>
        <w:instrText xml:space="preserve"> PAGEREF _Toc171344369 \h </w:instrText>
      </w:r>
      <w:r>
        <w:rPr>
          <w:color w:val="auto"/>
          <w:szCs w:val="21"/>
          <w:highlight w:val="none"/>
        </w:rPr>
        <w:fldChar w:fldCharType="separate"/>
      </w:r>
      <w:r>
        <w:rPr>
          <w:color w:val="auto"/>
          <w:szCs w:val="21"/>
          <w:highlight w:val="none"/>
        </w:rPr>
        <w:t>97</w:t>
      </w:r>
      <w:r>
        <w:rPr>
          <w:color w:val="auto"/>
          <w:szCs w:val="21"/>
          <w:highlight w:val="none"/>
        </w:rPr>
        <w:fldChar w:fldCharType="end"/>
      </w:r>
      <w:r>
        <w:rPr>
          <w:color w:val="auto"/>
          <w:szCs w:val="21"/>
          <w:highlight w:val="none"/>
        </w:rPr>
        <w:fldChar w:fldCharType="end"/>
      </w:r>
    </w:p>
    <w:p w14:paraId="0481F052">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b/>
          <w:bCs/>
          <w: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"_Toc171344370" </w:instrText>
      </w:r>
      <w:r>
        <w:rPr>
          <w:color w:val="auto"/>
          <w:szCs w:val="21"/>
          <w:highlight w:val="none"/>
        </w:rPr>
        <w:fldChar w:fldCharType="separate"/>
      </w:r>
      <w:r>
        <w:rPr>
          <w:b/>
          <w:color w:val="auto"/>
          <w:szCs w:val="21"/>
          <w:highlight w:val="none"/>
        </w:rPr>
        <w:t>第七章 质疑、投诉证明材料格式</w:t>
      </w:r>
      <w:r>
        <w:rPr>
          <w:color w:val="auto"/>
          <w:szCs w:val="21"/>
          <w:highlight w:val="none"/>
        </w:rPr>
        <w:tab/>
      </w:r>
      <w:r>
        <w:rPr>
          <w:color w:val="auto"/>
          <w:szCs w:val="21"/>
          <w:highlight w:val="none"/>
        </w:rPr>
        <w:fldChar w:fldCharType="begin"/>
      </w:r>
      <w:r>
        <w:rPr>
          <w:color w:val="auto"/>
          <w:szCs w:val="21"/>
          <w:highlight w:val="none"/>
        </w:rPr>
        <w:instrText xml:space="preserve"> PAGEREF _Toc171344370 \h </w:instrText>
      </w:r>
      <w:r>
        <w:rPr>
          <w:color w:val="auto"/>
          <w:szCs w:val="21"/>
          <w:highlight w:val="none"/>
        </w:rPr>
        <w:fldChar w:fldCharType="separate"/>
      </w:r>
      <w:r>
        <w:rPr>
          <w:color w:val="auto"/>
          <w:szCs w:val="21"/>
          <w:highlight w:val="none"/>
        </w:rPr>
        <w:t>98</w:t>
      </w:r>
      <w:r>
        <w:rPr>
          <w:color w:val="auto"/>
          <w:szCs w:val="21"/>
          <w:highlight w:val="none"/>
        </w:rPr>
        <w:fldChar w:fldCharType="end"/>
      </w:r>
      <w:r>
        <w:rPr>
          <w:color w:val="auto"/>
          <w:szCs w:val="21"/>
          <w:highlight w:val="none"/>
        </w:rPr>
        <w:fldChar w:fldCharType="end"/>
      </w:r>
    </w:p>
    <w:p w14:paraId="2576B37F">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b/>
          <w:bCs/>
          <w:small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"_Toc171344371" </w:instrText>
      </w:r>
      <w:r>
        <w:rPr>
          <w:color w:val="auto"/>
          <w:szCs w:val="21"/>
          <w:highlight w:val="none"/>
        </w:rPr>
        <w:fldChar w:fldCharType="separate"/>
      </w:r>
      <w:r>
        <w:rPr>
          <w:rFonts w:ascii="宋体" w:hAnsi="宋体"/>
          <w:color w:val="auto"/>
          <w:szCs w:val="21"/>
          <w:highlight w:val="none"/>
        </w:rPr>
        <w:t>第一节 质疑函（格式）</w:t>
      </w:r>
      <w:r>
        <w:rPr>
          <w:color w:val="auto"/>
          <w:szCs w:val="21"/>
          <w:highlight w:val="none"/>
        </w:rPr>
        <w:tab/>
      </w:r>
      <w:r>
        <w:rPr>
          <w:color w:val="auto"/>
          <w:szCs w:val="21"/>
          <w:highlight w:val="none"/>
        </w:rPr>
        <w:fldChar w:fldCharType="begin"/>
      </w:r>
      <w:r>
        <w:rPr>
          <w:color w:val="auto"/>
          <w:szCs w:val="21"/>
          <w:highlight w:val="none"/>
        </w:rPr>
        <w:instrText xml:space="preserve"> PAGEREF _Toc171344371 \h </w:instrText>
      </w:r>
      <w:r>
        <w:rPr>
          <w:color w:val="auto"/>
          <w:szCs w:val="21"/>
          <w:highlight w:val="none"/>
        </w:rPr>
        <w:fldChar w:fldCharType="separate"/>
      </w:r>
      <w:r>
        <w:rPr>
          <w:color w:val="auto"/>
          <w:szCs w:val="21"/>
          <w:highlight w:val="none"/>
        </w:rPr>
        <w:t>99</w:t>
      </w:r>
      <w:r>
        <w:rPr>
          <w:color w:val="auto"/>
          <w:szCs w:val="21"/>
          <w:highlight w:val="none"/>
        </w:rPr>
        <w:fldChar w:fldCharType="end"/>
      </w:r>
      <w:r>
        <w:rPr>
          <w:color w:val="auto"/>
          <w:szCs w:val="21"/>
          <w:highlight w:val="none"/>
        </w:rPr>
        <w:fldChar w:fldCharType="end"/>
      </w:r>
    </w:p>
    <w:p w14:paraId="081C90CB">
      <w:pPr>
        <w:keepNext w:val="0"/>
        <w:keepLines w:val="0"/>
        <w:pageBreakBefore w:val="0"/>
        <w:widowControl w:val="0"/>
        <w:shd w:val="clear"/>
        <w:tabs>
          <w:tab w:val="right" w:leader="dot" w:pos="9628"/>
        </w:tabs>
        <w:kinsoku/>
        <w:wordWrap/>
        <w:overflowPunct/>
        <w:topLinePunct w:val="0"/>
        <w:autoSpaceDE/>
        <w:autoSpaceDN/>
        <w:bidi w:val="0"/>
        <w:adjustRightInd/>
        <w:snapToGrid/>
        <w:spacing w:line="240" w:lineRule="auto"/>
        <w:ind w:firstLine="420"/>
        <w:textAlignment w:val="auto"/>
        <w:rPr>
          <w:rFonts w:ascii="等线" w:hAnsi="等线" w:eastAsia="等线"/>
          <w:b/>
          <w:bCs/>
          <w:smallCaps/>
          <w:color w:val="auto"/>
          <w:sz w:val="20"/>
          <w:szCs w:val="21"/>
          <w:highlight w:val="none"/>
        </w:rPr>
      </w:pPr>
      <w:r>
        <w:rPr>
          <w:color w:val="auto"/>
          <w:szCs w:val="21"/>
          <w:highlight w:val="none"/>
        </w:rPr>
        <w:fldChar w:fldCharType="begin"/>
      </w:r>
      <w:r>
        <w:rPr>
          <w:color w:val="auto"/>
          <w:szCs w:val="21"/>
          <w:highlight w:val="none"/>
        </w:rPr>
        <w:instrText xml:space="preserve"> HYPERLINK \l "_Toc171344372" </w:instrText>
      </w:r>
      <w:r>
        <w:rPr>
          <w:color w:val="auto"/>
          <w:szCs w:val="21"/>
          <w:highlight w:val="none"/>
        </w:rPr>
        <w:fldChar w:fldCharType="separate"/>
      </w:r>
      <w:r>
        <w:rPr>
          <w:rFonts w:ascii="宋体" w:hAnsi="宋体"/>
          <w:color w:val="auto"/>
          <w:szCs w:val="21"/>
          <w:highlight w:val="none"/>
        </w:rPr>
        <w:t>第二节 投诉书（格式）</w:t>
      </w:r>
      <w:r>
        <w:rPr>
          <w:color w:val="auto"/>
          <w:szCs w:val="21"/>
          <w:highlight w:val="none"/>
        </w:rPr>
        <w:tab/>
      </w:r>
      <w:r>
        <w:rPr>
          <w:color w:val="auto"/>
          <w:szCs w:val="21"/>
          <w:highlight w:val="none"/>
        </w:rPr>
        <w:fldChar w:fldCharType="begin"/>
      </w:r>
      <w:r>
        <w:rPr>
          <w:color w:val="auto"/>
          <w:szCs w:val="21"/>
          <w:highlight w:val="none"/>
        </w:rPr>
        <w:instrText xml:space="preserve"> PAGEREF _Toc171344372 \h </w:instrText>
      </w:r>
      <w:r>
        <w:rPr>
          <w:color w:val="auto"/>
          <w:szCs w:val="21"/>
          <w:highlight w:val="none"/>
        </w:rPr>
        <w:fldChar w:fldCharType="separate"/>
      </w:r>
      <w:r>
        <w:rPr>
          <w:color w:val="auto"/>
          <w:szCs w:val="21"/>
          <w:highlight w:val="none"/>
        </w:rPr>
        <w:t>101</w:t>
      </w:r>
      <w:r>
        <w:rPr>
          <w:color w:val="auto"/>
          <w:szCs w:val="21"/>
          <w:highlight w:val="none"/>
        </w:rPr>
        <w:fldChar w:fldCharType="end"/>
      </w:r>
      <w:r>
        <w:rPr>
          <w:color w:val="auto"/>
          <w:szCs w:val="21"/>
          <w:highlight w:val="none"/>
        </w:rPr>
        <w:fldChar w:fldCharType="end"/>
      </w:r>
    </w:p>
    <w:p w14:paraId="03C401CA">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ascii="宋体" w:hAnsi="Courier New"/>
          <w:color w:val="auto"/>
          <w:sz w:val="20"/>
          <w:szCs w:val="18"/>
          <w:highlight w:val="none"/>
        </w:rPr>
        <w:sectPr>
          <w:footerReference r:id="rId6" w:type="default"/>
          <w:pgSz w:w="11905" w:h="16838"/>
          <w:pgMar w:top="1134" w:right="1134" w:bottom="1134" w:left="1134" w:header="720" w:footer="720" w:gutter="0"/>
          <w:pgNumType w:start="1"/>
          <w:cols w:space="0" w:num="1"/>
          <w:rtlGutter w:val="0"/>
          <w:docGrid w:type="lines" w:linePitch="331" w:charSpace="0"/>
        </w:sectPr>
      </w:pPr>
      <w:r>
        <w:rPr>
          <w:rFonts w:ascii="Calibri" w:hAnsi="宋体"/>
          <w:b/>
          <w:bCs/>
          <w:caps/>
          <w:color w:val="auto"/>
          <w:sz w:val="24"/>
          <w:highlight w:val="none"/>
        </w:rPr>
        <w:fldChar w:fldCharType="end"/>
      </w:r>
    </w:p>
    <w:p w14:paraId="78E2655C">
      <w:pPr>
        <w:shd w:val="clear"/>
        <w:jc w:val="center"/>
        <w:outlineLvl w:val="0"/>
        <w:rPr>
          <w:rFonts w:hint="eastAsia"/>
          <w:b/>
          <w:color w:val="auto"/>
          <w:sz w:val="36"/>
          <w:szCs w:val="20"/>
          <w:highlight w:val="none"/>
        </w:rPr>
      </w:pPr>
      <w:bookmarkStart w:id="0" w:name="_Toc171344343"/>
      <w:r>
        <w:rPr>
          <w:rFonts w:hint="eastAsia"/>
          <w:b/>
          <w:color w:val="auto"/>
          <w:sz w:val="36"/>
          <w:szCs w:val="20"/>
          <w:highlight w:val="none"/>
        </w:rPr>
        <w:t>第一章</w:t>
      </w:r>
      <w:r>
        <w:rPr>
          <w:b/>
          <w:color w:val="auto"/>
          <w:sz w:val="36"/>
          <w:szCs w:val="20"/>
          <w:highlight w:val="none"/>
        </w:rPr>
        <w:t xml:space="preserve">  </w:t>
      </w:r>
      <w:r>
        <w:rPr>
          <w:rFonts w:hint="eastAsia"/>
          <w:b/>
          <w:color w:val="auto"/>
          <w:sz w:val="36"/>
          <w:szCs w:val="20"/>
          <w:highlight w:val="none"/>
        </w:rPr>
        <w:t>招标公告</w:t>
      </w:r>
      <w:bookmarkEnd w:id="0"/>
    </w:p>
    <w:p w14:paraId="7727916F">
      <w:pPr>
        <w:spacing w:line="400" w:lineRule="exact"/>
        <w:jc w:val="center"/>
        <w:rPr>
          <w:rFonts w:hint="eastAsia" w:ascii="Arial" w:hAnsi="Arial" w:cs="Arial"/>
          <w:b/>
          <w:bCs/>
          <w:kern w:val="0"/>
          <w:sz w:val="28"/>
          <w:szCs w:val="28"/>
          <w:highlight w:val="none"/>
          <w:lang w:eastAsia="zh-CN" w:bidi="ar"/>
        </w:rPr>
      </w:pPr>
      <w:r>
        <w:rPr>
          <w:rFonts w:hint="eastAsia" w:ascii="Arial" w:hAnsi="Arial" w:cs="Arial"/>
          <w:b/>
          <w:bCs/>
          <w:kern w:val="0"/>
          <w:sz w:val="28"/>
          <w:szCs w:val="28"/>
          <w:highlight w:val="none"/>
          <w:lang w:eastAsia="zh-CN" w:bidi="ar"/>
        </w:rPr>
        <w:t>广西建设工程机电设备招标中心有限公司</w:t>
      </w:r>
      <w:r>
        <w:rPr>
          <w:rFonts w:ascii="Arial" w:hAnsi="Arial" w:cs="Arial"/>
          <w:b/>
          <w:bCs/>
          <w:kern w:val="0"/>
          <w:sz w:val="28"/>
          <w:szCs w:val="28"/>
          <w:highlight w:val="none"/>
          <w:lang w:bidi="ar"/>
        </w:rPr>
        <w:t>关于</w:t>
      </w:r>
      <w:r>
        <w:rPr>
          <w:rFonts w:hint="eastAsia" w:ascii="Arial" w:hAnsi="Arial" w:cs="Arial"/>
          <w:b/>
          <w:bCs/>
          <w:kern w:val="0"/>
          <w:sz w:val="28"/>
          <w:szCs w:val="28"/>
          <w:highlight w:val="none"/>
          <w:lang w:eastAsia="zh-CN" w:bidi="ar"/>
        </w:rPr>
        <w:t>南宁职业技术大学智能制造领域课程资源开发平台项目</w:t>
      </w:r>
    </w:p>
    <w:p w14:paraId="475108A7">
      <w:pPr>
        <w:spacing w:line="400" w:lineRule="exact"/>
        <w:jc w:val="center"/>
        <w:rPr>
          <w:rFonts w:ascii="Arial" w:hAnsi="Arial" w:cs="Arial"/>
          <w:b/>
          <w:bCs/>
          <w:sz w:val="28"/>
          <w:szCs w:val="28"/>
          <w:highlight w:val="none"/>
        </w:rPr>
      </w:pPr>
      <w:r>
        <w:rPr>
          <w:rFonts w:ascii="Arial" w:hAnsi="Arial" w:cs="Arial"/>
          <w:b/>
          <w:bCs/>
          <w:kern w:val="0"/>
          <w:sz w:val="28"/>
          <w:szCs w:val="28"/>
          <w:highlight w:val="none"/>
          <w:lang w:bidi="ar"/>
        </w:rPr>
        <w:t>（</w:t>
      </w:r>
      <w:r>
        <w:rPr>
          <w:rFonts w:hint="eastAsia" w:ascii="Arial" w:hAnsi="Arial" w:cs="Arial"/>
          <w:b/>
          <w:bCs/>
          <w:kern w:val="0"/>
          <w:sz w:val="28"/>
          <w:szCs w:val="28"/>
          <w:highlight w:val="none"/>
          <w:lang w:eastAsia="zh-CN" w:bidi="ar"/>
        </w:rPr>
        <w:t>NNZC2026-G3-990838-JGJD</w:t>
      </w:r>
      <w:r>
        <w:rPr>
          <w:rFonts w:ascii="Arial" w:hAnsi="Arial" w:cs="Arial"/>
          <w:b/>
          <w:bCs/>
          <w:kern w:val="0"/>
          <w:sz w:val="28"/>
          <w:szCs w:val="28"/>
          <w:highlight w:val="none"/>
          <w:lang w:bidi="ar"/>
        </w:rPr>
        <w:t>）竞争性谈判公告</w:t>
      </w:r>
    </w:p>
    <w:tbl>
      <w:tblPr>
        <w:tblStyle w:val="33"/>
        <w:tblW w:w="0" w:type="auto"/>
        <w:tblInd w:w="1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0"/>
      </w:tblGrid>
      <w:tr w14:paraId="3E7D4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570" w:type="dxa"/>
            <w:noWrap w:val="0"/>
            <w:vAlign w:val="top"/>
          </w:tcPr>
          <w:p w14:paraId="6D01F489">
            <w:pPr>
              <w:keepNext w:val="0"/>
              <w:keepLines w:val="0"/>
              <w:pageBreakBefore w:val="0"/>
              <w:widowControl w:val="0"/>
              <w:shd w:val="clear"/>
              <w:kinsoku/>
              <w:overflowPunct/>
              <w:topLinePunct w:val="0"/>
              <w:autoSpaceDE/>
              <w:autoSpaceDN/>
              <w:bidi w:val="0"/>
              <w:adjustRightInd/>
              <w:spacing w:line="360" w:lineRule="auto"/>
              <w:textAlignment w:val="auto"/>
              <w:rPr>
                <w:rFonts w:hint="eastAsia" w:ascii="宋体" w:hAnsi="宋体" w:eastAsia="宋体"/>
                <w:color w:val="auto"/>
                <w:szCs w:val="21"/>
                <w:highlight w:val="none"/>
                <w:lang w:eastAsia="zh-CN"/>
              </w:rPr>
            </w:pPr>
            <w:bookmarkStart w:id="33" w:name="_GoBack"/>
            <w:bookmarkEnd w:id="33"/>
            <w:r>
              <w:rPr>
                <w:rFonts w:hint="eastAsia" w:ascii="宋体" w:hAnsi="宋体"/>
                <w:color w:val="auto"/>
                <w:szCs w:val="21"/>
                <w:highlight w:val="none"/>
              </w:rPr>
              <w:t>项目概况</w:t>
            </w:r>
            <w:r>
              <w:rPr>
                <w:rFonts w:hint="eastAsia" w:ascii="宋体" w:hAnsi="宋体"/>
                <w:color w:val="auto"/>
                <w:szCs w:val="21"/>
                <w:highlight w:val="none"/>
                <w:lang w:eastAsia="zh-CN"/>
              </w:rPr>
              <w:t>：</w:t>
            </w:r>
          </w:p>
          <w:p w14:paraId="40D9AAFE">
            <w:pPr>
              <w:keepNext w:val="0"/>
              <w:keepLines w:val="0"/>
              <w:pageBreakBefore w:val="0"/>
              <w:widowControl w:val="0"/>
              <w:shd w:val="clear"/>
              <w:kinsoku/>
              <w:overflowPunct/>
              <w:topLinePunct w:val="0"/>
              <w:autoSpaceDE/>
              <w:autoSpaceDN/>
              <w:bidi w:val="0"/>
              <w:adjustRightInd/>
              <w:spacing w:line="360" w:lineRule="auto"/>
              <w:ind w:firstLine="420" w:firstLineChars="200"/>
              <w:textAlignment w:val="auto"/>
              <w:rPr>
                <w:rFonts w:hint="eastAsia"/>
                <w:color w:val="auto"/>
                <w:highlight w:val="none"/>
              </w:rPr>
            </w:pPr>
            <w:r>
              <w:rPr>
                <w:rFonts w:hint="eastAsia" w:ascii="宋体" w:hAnsi="宋体"/>
                <w:color w:val="auto"/>
                <w:szCs w:val="21"/>
                <w:highlight w:val="none"/>
                <w:u w:val="single"/>
                <w:lang w:eastAsia="zh-CN"/>
              </w:rPr>
              <w:t>南宁职业技术大学智能制造领域课程资源开发平台项目</w:t>
            </w:r>
            <w:r>
              <w:rPr>
                <w:rFonts w:hint="eastAsia" w:ascii="宋体" w:hAnsi="宋体"/>
                <w:color w:val="auto"/>
                <w:szCs w:val="21"/>
                <w:highlight w:val="none"/>
              </w:rPr>
              <w:t>招标项目的潜在投标人应在</w:t>
            </w:r>
            <w:r>
              <w:rPr>
                <w:rFonts w:hint="eastAsia" w:ascii="宋体" w:hAnsi="宋体"/>
                <w:color w:val="auto"/>
                <w:szCs w:val="21"/>
                <w:highlight w:val="none"/>
                <w:u w:val="single"/>
              </w:rPr>
              <w:t>广西政府采购云平台（https://www.gcy.zfcg.gxzf.gov.cn/）</w:t>
            </w:r>
            <w:r>
              <w:rPr>
                <w:rFonts w:hint="eastAsia" w:ascii="宋体" w:hAnsi="宋体"/>
                <w:color w:val="auto"/>
                <w:szCs w:val="21"/>
                <w:highlight w:val="none"/>
              </w:rPr>
              <w:t>获取（下载）招标文件，并于</w:t>
            </w:r>
            <w:r>
              <w:rPr>
                <w:rFonts w:hint="eastAsia" w:ascii="宋体" w:hAnsi="宋体"/>
                <w:color w:val="auto"/>
                <w:szCs w:val="21"/>
                <w:highlight w:val="none"/>
                <w:u w:val="single"/>
                <w:lang w:eastAsia="zh-CN"/>
              </w:rPr>
              <w:t>202</w:t>
            </w:r>
            <w:r>
              <w:rPr>
                <w:rFonts w:hint="eastAsia" w:ascii="宋体" w:hAnsi="宋体"/>
                <w:color w:val="auto"/>
                <w:szCs w:val="21"/>
                <w:highlight w:val="none"/>
                <w:u w:val="single"/>
                <w:lang w:val="en-US" w:eastAsia="zh-CN"/>
              </w:rPr>
              <w:t>6</w:t>
            </w:r>
            <w:r>
              <w:rPr>
                <w:rFonts w:hint="eastAsia" w:ascii="宋体" w:hAnsi="宋体"/>
                <w:color w:val="auto"/>
                <w:szCs w:val="21"/>
                <w:highlight w:val="none"/>
                <w:u w:val="single"/>
                <w:lang w:eastAsia="zh-CN"/>
              </w:rPr>
              <w:t>年</w:t>
            </w:r>
            <w:r>
              <w:rPr>
                <w:rFonts w:hint="eastAsia" w:ascii="宋体" w:hAnsi="宋体"/>
                <w:color w:val="auto"/>
                <w:szCs w:val="21"/>
                <w:highlight w:val="none"/>
                <w:u w:val="single"/>
                <w:lang w:val="en-US" w:eastAsia="zh-CN"/>
              </w:rPr>
              <w:t>10</w:t>
            </w:r>
            <w:r>
              <w:rPr>
                <w:rFonts w:hint="eastAsia" w:ascii="宋体" w:hAnsi="宋体"/>
                <w:color w:val="auto"/>
                <w:szCs w:val="21"/>
                <w:highlight w:val="none"/>
                <w:u w:val="single"/>
                <w:lang w:eastAsia="zh-CN"/>
              </w:rPr>
              <w:t>月</w:t>
            </w:r>
            <w:r>
              <w:rPr>
                <w:rFonts w:hint="eastAsia" w:ascii="宋体" w:hAnsi="宋体"/>
                <w:color w:val="auto"/>
                <w:szCs w:val="21"/>
                <w:highlight w:val="none"/>
                <w:u w:val="single"/>
                <w:lang w:val="en-US" w:eastAsia="zh-CN"/>
              </w:rPr>
              <w:t xml:space="preserve"> 15 </w:t>
            </w:r>
            <w:r>
              <w:rPr>
                <w:rFonts w:hint="eastAsia" w:ascii="宋体" w:hAnsi="宋体"/>
                <w:color w:val="auto"/>
                <w:szCs w:val="21"/>
                <w:highlight w:val="none"/>
                <w:u w:val="single"/>
                <w:lang w:eastAsia="zh-CN"/>
              </w:rPr>
              <w:t>日09:30</w:t>
            </w:r>
            <w:r>
              <w:rPr>
                <w:rFonts w:hint="eastAsia" w:ascii="宋体" w:hAnsi="宋体"/>
                <w:color w:val="auto"/>
                <w:szCs w:val="21"/>
                <w:highlight w:val="none"/>
                <w:u w:val="single"/>
              </w:rPr>
              <w:t>（北京时间）</w:t>
            </w:r>
            <w:r>
              <w:rPr>
                <w:rFonts w:hint="eastAsia" w:ascii="宋体" w:hAnsi="宋体"/>
                <w:color w:val="auto"/>
                <w:szCs w:val="21"/>
                <w:highlight w:val="none"/>
              </w:rPr>
              <w:t>前递交（上传）投标文件。</w:t>
            </w:r>
          </w:p>
        </w:tc>
      </w:tr>
    </w:tbl>
    <w:p w14:paraId="47C0FF1E">
      <w:pPr>
        <w:keepNext w:val="0"/>
        <w:keepLines w:val="0"/>
        <w:pageBreakBefore w:val="0"/>
        <w:widowControl w:val="0"/>
        <w:shd w:val="clear"/>
        <w:kinsoku/>
        <w:overflowPunct/>
        <w:topLinePunct w:val="0"/>
        <w:autoSpaceDE/>
        <w:autoSpaceDN/>
        <w:bidi w:val="0"/>
        <w:adjustRightInd/>
        <w:spacing w:line="360" w:lineRule="auto"/>
        <w:textAlignment w:val="auto"/>
        <w:rPr>
          <w:rFonts w:ascii="黑体" w:hAnsi="黑体" w:eastAsia="黑体"/>
          <w:b/>
          <w:bCs/>
          <w:color w:val="auto"/>
          <w:sz w:val="21"/>
          <w:szCs w:val="21"/>
          <w:highlight w:val="none"/>
        </w:rPr>
      </w:pPr>
      <w:r>
        <w:rPr>
          <w:rFonts w:hint="eastAsia" w:ascii="黑体" w:hAnsi="黑体" w:eastAsia="黑体"/>
          <w:b/>
          <w:bCs/>
          <w:color w:val="auto"/>
          <w:sz w:val="21"/>
          <w:szCs w:val="21"/>
          <w:highlight w:val="none"/>
        </w:rPr>
        <w:t>一、项目基本情况</w:t>
      </w:r>
    </w:p>
    <w:p w14:paraId="628307B1">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项目编号：</w:t>
      </w:r>
      <w:r>
        <w:rPr>
          <w:rFonts w:hint="eastAsia" w:ascii="宋体" w:hAnsi="宋体"/>
          <w:color w:val="auto"/>
          <w:sz w:val="21"/>
          <w:szCs w:val="21"/>
          <w:highlight w:val="none"/>
          <w:lang w:eastAsia="zh-CN"/>
        </w:rPr>
        <w:t>NNZC2026-G3-990838-JGJD</w:t>
      </w:r>
    </w:p>
    <w:p w14:paraId="6911A743">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项目名称：</w:t>
      </w:r>
      <w:r>
        <w:rPr>
          <w:rFonts w:hint="eastAsia" w:ascii="宋体" w:hAnsi="宋体"/>
          <w:color w:val="auto"/>
          <w:sz w:val="21"/>
          <w:szCs w:val="21"/>
          <w:highlight w:val="none"/>
          <w:lang w:eastAsia="zh-CN"/>
        </w:rPr>
        <w:t>南宁职业技术大学智能制造领域课程资源开发平台项目</w:t>
      </w:r>
    </w:p>
    <w:p w14:paraId="7F712551">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预算金额（元）：</w:t>
      </w:r>
      <w:r>
        <w:rPr>
          <w:rFonts w:hint="eastAsia" w:ascii="宋体" w:hAnsi="宋体"/>
          <w:color w:val="auto"/>
          <w:sz w:val="21"/>
          <w:szCs w:val="21"/>
          <w:highlight w:val="none"/>
          <w:lang w:eastAsia="zh-CN"/>
        </w:rPr>
        <w:t>900000</w:t>
      </w:r>
    </w:p>
    <w:p w14:paraId="7CA7FD8F">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采购需求：</w:t>
      </w:r>
      <w:r>
        <w:rPr>
          <w:rFonts w:ascii="宋体" w:hAnsi="宋体"/>
          <w:color w:val="auto"/>
          <w:sz w:val="21"/>
          <w:szCs w:val="21"/>
          <w:highlight w:val="none"/>
        </w:rPr>
        <w:t xml:space="preserve"> </w:t>
      </w:r>
    </w:p>
    <w:tbl>
      <w:tblPr>
        <w:tblStyle w:val="33"/>
        <w:tblW w:w="4844"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34"/>
        <w:gridCol w:w="1748"/>
        <w:gridCol w:w="753"/>
        <w:gridCol w:w="791"/>
        <w:gridCol w:w="5520"/>
      </w:tblGrid>
      <w:tr w14:paraId="77F4F0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85" w:type="pct"/>
            <w:tcBorders>
              <w:top w:val="single" w:color="auto" w:sz="4" w:space="0"/>
              <w:left w:val="single" w:color="auto" w:sz="4" w:space="0"/>
              <w:bottom w:val="single" w:color="auto" w:sz="4" w:space="0"/>
              <w:right w:val="single" w:color="auto" w:sz="4" w:space="0"/>
            </w:tcBorders>
            <w:noWrap w:val="0"/>
            <w:vAlign w:val="center"/>
          </w:tcPr>
          <w:p w14:paraId="774AF9CC">
            <w:pPr>
              <w:keepNext w:val="0"/>
              <w:keepLines w:val="0"/>
              <w:pageBreakBefore w:val="0"/>
              <w:widowControl w:val="0"/>
              <w:shd w:val="clear"/>
              <w:kinsoku/>
              <w:overflowPunct/>
              <w:topLinePunct w:val="0"/>
              <w:autoSpaceDE/>
              <w:autoSpaceDN/>
              <w:bidi w:val="0"/>
              <w:adjustRightInd/>
              <w:snapToGrid w:val="0"/>
              <w:spacing w:line="360" w:lineRule="auto"/>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序号</w:t>
            </w:r>
          </w:p>
        </w:tc>
        <w:tc>
          <w:tcPr>
            <w:tcW w:w="915" w:type="pct"/>
            <w:tcBorders>
              <w:top w:val="single" w:color="auto" w:sz="4" w:space="0"/>
              <w:left w:val="single" w:color="auto" w:sz="4" w:space="0"/>
              <w:bottom w:val="single" w:color="auto" w:sz="4" w:space="0"/>
              <w:right w:val="single" w:color="auto" w:sz="4" w:space="0"/>
            </w:tcBorders>
            <w:noWrap w:val="0"/>
            <w:vAlign w:val="center"/>
          </w:tcPr>
          <w:p w14:paraId="095E0ECC">
            <w:pPr>
              <w:keepNext w:val="0"/>
              <w:keepLines w:val="0"/>
              <w:pageBreakBefore w:val="0"/>
              <w:widowControl w:val="0"/>
              <w:shd w:val="clear"/>
              <w:kinsoku/>
              <w:overflowPunct/>
              <w:topLinePunct w:val="0"/>
              <w:autoSpaceDE/>
              <w:autoSpaceDN/>
              <w:bidi w:val="0"/>
              <w:adjustRightInd/>
              <w:snapToGrid w:val="0"/>
              <w:spacing w:line="360" w:lineRule="auto"/>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标的的名称</w:t>
            </w:r>
          </w:p>
        </w:tc>
        <w:tc>
          <w:tcPr>
            <w:tcW w:w="394" w:type="pct"/>
            <w:tcBorders>
              <w:top w:val="single" w:color="auto" w:sz="4" w:space="0"/>
              <w:left w:val="single" w:color="auto" w:sz="4" w:space="0"/>
              <w:bottom w:val="single" w:color="auto" w:sz="4" w:space="0"/>
              <w:right w:val="single" w:color="auto" w:sz="4" w:space="0"/>
            </w:tcBorders>
            <w:noWrap w:val="0"/>
            <w:vAlign w:val="center"/>
          </w:tcPr>
          <w:p w14:paraId="3958D762">
            <w:pPr>
              <w:keepNext w:val="0"/>
              <w:keepLines w:val="0"/>
              <w:pageBreakBefore w:val="0"/>
              <w:widowControl w:val="0"/>
              <w:shd w:val="clear"/>
              <w:kinsoku/>
              <w:overflowPunct/>
              <w:topLinePunct w:val="0"/>
              <w:autoSpaceDE/>
              <w:autoSpaceDN/>
              <w:bidi w:val="0"/>
              <w:adjustRightInd/>
              <w:snapToGrid w:val="0"/>
              <w:spacing w:line="360" w:lineRule="auto"/>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单位</w:t>
            </w:r>
          </w:p>
        </w:tc>
        <w:tc>
          <w:tcPr>
            <w:tcW w:w="414" w:type="pct"/>
            <w:tcBorders>
              <w:top w:val="single" w:color="auto" w:sz="4" w:space="0"/>
              <w:left w:val="single" w:color="auto" w:sz="4" w:space="0"/>
              <w:bottom w:val="single" w:color="auto" w:sz="4" w:space="0"/>
              <w:right w:val="single" w:color="auto" w:sz="4" w:space="0"/>
            </w:tcBorders>
            <w:noWrap w:val="0"/>
            <w:vAlign w:val="center"/>
          </w:tcPr>
          <w:p w14:paraId="37E3DA28">
            <w:pPr>
              <w:keepNext w:val="0"/>
              <w:keepLines w:val="0"/>
              <w:pageBreakBefore w:val="0"/>
              <w:widowControl w:val="0"/>
              <w:shd w:val="clear"/>
              <w:kinsoku/>
              <w:overflowPunct/>
              <w:topLinePunct w:val="0"/>
              <w:autoSpaceDE/>
              <w:autoSpaceDN/>
              <w:bidi w:val="0"/>
              <w:adjustRightInd/>
              <w:snapToGrid w:val="0"/>
              <w:spacing w:line="360" w:lineRule="auto"/>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数量</w:t>
            </w:r>
          </w:p>
        </w:tc>
        <w:tc>
          <w:tcPr>
            <w:tcW w:w="2890" w:type="pct"/>
            <w:tcBorders>
              <w:top w:val="single" w:color="auto" w:sz="4" w:space="0"/>
              <w:left w:val="single" w:color="auto" w:sz="4" w:space="0"/>
              <w:bottom w:val="single" w:color="auto" w:sz="4" w:space="0"/>
              <w:right w:val="single" w:color="auto" w:sz="4" w:space="0"/>
            </w:tcBorders>
            <w:noWrap w:val="0"/>
            <w:vAlign w:val="center"/>
          </w:tcPr>
          <w:p w14:paraId="37510918">
            <w:pPr>
              <w:keepNext w:val="0"/>
              <w:keepLines w:val="0"/>
              <w:pageBreakBefore w:val="0"/>
              <w:widowControl w:val="0"/>
              <w:shd w:val="clear"/>
              <w:kinsoku/>
              <w:overflowPunct/>
              <w:topLinePunct w:val="0"/>
              <w:autoSpaceDE/>
              <w:autoSpaceDN/>
              <w:bidi w:val="0"/>
              <w:adjustRightInd/>
              <w:snapToGrid w:val="0"/>
              <w:spacing w:line="360" w:lineRule="auto"/>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简要服务要求或者技术需求</w:t>
            </w:r>
          </w:p>
        </w:tc>
      </w:tr>
      <w:tr w14:paraId="58A171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49" w:hRule="atLeast"/>
          <w:jc w:val="center"/>
        </w:trPr>
        <w:tc>
          <w:tcPr>
            <w:tcW w:w="385" w:type="pct"/>
            <w:tcBorders>
              <w:top w:val="single" w:color="auto" w:sz="4" w:space="0"/>
              <w:left w:val="single" w:color="auto" w:sz="4" w:space="0"/>
              <w:bottom w:val="single" w:color="auto" w:sz="4" w:space="0"/>
              <w:right w:val="single" w:color="auto" w:sz="4" w:space="0"/>
            </w:tcBorders>
            <w:noWrap w:val="0"/>
            <w:vAlign w:val="center"/>
          </w:tcPr>
          <w:p w14:paraId="6D21E5E7">
            <w:pPr>
              <w:keepNext w:val="0"/>
              <w:keepLines w:val="0"/>
              <w:pageBreakBefore w:val="0"/>
              <w:widowControl w:val="0"/>
              <w:shd w:val="clear"/>
              <w:kinsoku/>
              <w:overflowPunct/>
              <w:topLinePunct w:val="0"/>
              <w:autoSpaceDE/>
              <w:autoSpaceDN/>
              <w:bidi w:val="0"/>
              <w:adjustRightInd/>
              <w:snapToGrid w:val="0"/>
              <w:spacing w:line="360" w:lineRule="auto"/>
              <w:jc w:val="center"/>
              <w:textAlignment w:val="auto"/>
              <w:rPr>
                <w:rFonts w:hint="eastAsia"/>
                <w:color w:val="auto"/>
                <w:sz w:val="21"/>
                <w:szCs w:val="21"/>
                <w:highlight w:val="none"/>
              </w:rPr>
            </w:pPr>
            <w:r>
              <w:rPr>
                <w:rFonts w:hint="eastAsia"/>
                <w:color w:val="auto"/>
                <w:sz w:val="21"/>
                <w:szCs w:val="21"/>
                <w:highlight w:val="none"/>
              </w:rPr>
              <w:t>1</w:t>
            </w:r>
          </w:p>
        </w:tc>
        <w:tc>
          <w:tcPr>
            <w:tcW w:w="915" w:type="pct"/>
            <w:tcBorders>
              <w:top w:val="single" w:color="auto" w:sz="4" w:space="0"/>
              <w:left w:val="single" w:color="auto" w:sz="4" w:space="0"/>
              <w:bottom w:val="single" w:color="auto" w:sz="4" w:space="0"/>
              <w:right w:val="single" w:color="auto" w:sz="4" w:space="0"/>
            </w:tcBorders>
            <w:noWrap w:val="0"/>
            <w:vAlign w:val="center"/>
          </w:tcPr>
          <w:p w14:paraId="154E7C74">
            <w:pPr>
              <w:keepNext w:val="0"/>
              <w:keepLines w:val="0"/>
              <w:pageBreakBefore w:val="0"/>
              <w:widowControl w:val="0"/>
              <w:shd w:val="clear"/>
              <w:kinsoku/>
              <w:overflowPunct/>
              <w:topLinePunct w:val="0"/>
              <w:autoSpaceDE/>
              <w:autoSpaceDN/>
              <w:bidi w:val="0"/>
              <w:adjustRightInd/>
              <w:spacing w:line="360" w:lineRule="auto"/>
              <w:textAlignment w:val="auto"/>
              <w:rPr>
                <w:rFonts w:hint="eastAsia" w:eastAsia="宋体"/>
                <w:color w:val="auto"/>
                <w:sz w:val="21"/>
                <w:szCs w:val="21"/>
                <w:highlight w:val="none"/>
                <w:lang w:eastAsia="zh-CN"/>
              </w:rPr>
            </w:pPr>
            <w:r>
              <w:rPr>
                <w:rFonts w:hint="eastAsia"/>
                <w:color w:val="auto"/>
                <w:sz w:val="21"/>
                <w:szCs w:val="21"/>
                <w:highlight w:val="none"/>
                <w:lang w:eastAsia="zh-CN"/>
              </w:rPr>
              <w:t>南宁职业技术大学智能制造领域课程资源开发平台项目</w:t>
            </w:r>
          </w:p>
        </w:tc>
        <w:tc>
          <w:tcPr>
            <w:tcW w:w="394" w:type="pct"/>
            <w:tcBorders>
              <w:top w:val="single" w:color="auto" w:sz="4" w:space="0"/>
              <w:left w:val="single" w:color="auto" w:sz="4" w:space="0"/>
              <w:bottom w:val="single" w:color="auto" w:sz="4" w:space="0"/>
              <w:right w:val="single" w:color="auto" w:sz="4" w:space="0"/>
            </w:tcBorders>
            <w:noWrap w:val="0"/>
            <w:vAlign w:val="center"/>
          </w:tcPr>
          <w:p w14:paraId="45429666">
            <w:pPr>
              <w:keepNext w:val="0"/>
              <w:keepLines w:val="0"/>
              <w:pageBreakBefore w:val="0"/>
              <w:widowControl w:val="0"/>
              <w:shd w:val="clear"/>
              <w:kinsoku/>
              <w:overflowPunct/>
              <w:topLinePunct w:val="0"/>
              <w:autoSpaceDE/>
              <w:autoSpaceDN/>
              <w:bidi w:val="0"/>
              <w:adjustRightInd/>
              <w:snapToGrid w:val="0"/>
              <w:spacing w:line="360" w:lineRule="auto"/>
              <w:jc w:val="center"/>
              <w:textAlignment w:val="auto"/>
              <w:rPr>
                <w:rFonts w:hint="eastAsia" w:eastAsia="宋体"/>
                <w:color w:val="auto"/>
                <w:sz w:val="21"/>
                <w:szCs w:val="21"/>
                <w:highlight w:val="none"/>
                <w:lang w:eastAsia="zh-CN"/>
              </w:rPr>
            </w:pPr>
            <w:r>
              <w:rPr>
                <w:rFonts w:hint="eastAsia"/>
                <w:color w:val="auto"/>
                <w:sz w:val="21"/>
                <w:szCs w:val="21"/>
                <w:highlight w:val="none"/>
                <w:lang w:val="en-US" w:eastAsia="zh-CN"/>
              </w:rPr>
              <w:t>节点</w:t>
            </w:r>
          </w:p>
        </w:tc>
        <w:tc>
          <w:tcPr>
            <w:tcW w:w="414" w:type="pct"/>
            <w:tcBorders>
              <w:top w:val="single" w:color="auto" w:sz="4" w:space="0"/>
              <w:left w:val="single" w:color="auto" w:sz="4" w:space="0"/>
              <w:bottom w:val="single" w:color="auto" w:sz="4" w:space="0"/>
              <w:right w:val="single" w:color="auto" w:sz="4" w:space="0"/>
            </w:tcBorders>
            <w:noWrap w:val="0"/>
            <w:vAlign w:val="center"/>
          </w:tcPr>
          <w:p w14:paraId="72C6E505">
            <w:pPr>
              <w:keepNext w:val="0"/>
              <w:keepLines w:val="0"/>
              <w:pageBreakBefore w:val="0"/>
              <w:widowControl w:val="0"/>
              <w:shd w:val="clear"/>
              <w:kinsoku/>
              <w:overflowPunct/>
              <w:topLinePunct w:val="0"/>
              <w:autoSpaceDE/>
              <w:autoSpaceDN/>
              <w:bidi w:val="0"/>
              <w:adjustRightInd/>
              <w:snapToGrid w:val="0"/>
              <w:spacing w:line="360" w:lineRule="auto"/>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50</w:t>
            </w:r>
          </w:p>
        </w:tc>
        <w:tc>
          <w:tcPr>
            <w:tcW w:w="2890" w:type="pct"/>
            <w:tcBorders>
              <w:top w:val="single" w:color="auto" w:sz="4" w:space="0"/>
              <w:left w:val="single" w:color="auto" w:sz="4" w:space="0"/>
              <w:bottom w:val="single" w:color="auto" w:sz="4" w:space="0"/>
              <w:right w:val="single" w:color="auto" w:sz="4" w:space="0"/>
            </w:tcBorders>
            <w:noWrap w:val="0"/>
            <w:vAlign w:val="center"/>
          </w:tcPr>
          <w:p w14:paraId="24EC1C05">
            <w:pPr>
              <w:keepNext w:val="0"/>
              <w:keepLines w:val="0"/>
              <w:pageBreakBefore w:val="0"/>
              <w:widowControl w:val="0"/>
              <w:shd w:val="clear"/>
              <w:kinsoku/>
              <w:overflowPunct/>
              <w:topLinePunct w:val="0"/>
              <w:autoSpaceDE/>
              <w:autoSpaceDN/>
              <w:bidi w:val="0"/>
              <w:adjustRightInd/>
              <w:snapToGrid/>
              <w:spacing w:line="360" w:lineRule="auto"/>
              <w:jc w:val="left"/>
              <w:textAlignment w:val="auto"/>
              <w:rPr>
                <w:rFonts w:hint="eastAsia" w:eastAsia="宋体"/>
                <w:color w:val="auto"/>
                <w:sz w:val="21"/>
                <w:szCs w:val="21"/>
                <w:highlight w:val="none"/>
                <w:lang w:eastAsia="zh-CN"/>
              </w:rPr>
            </w:pPr>
            <w:r>
              <w:rPr>
                <w:rFonts w:hint="eastAsia" w:eastAsia="宋体"/>
                <w:color w:val="auto"/>
                <w:sz w:val="21"/>
                <w:szCs w:val="21"/>
                <w:highlight w:val="none"/>
                <w:lang w:eastAsia="zh-CN"/>
              </w:rPr>
              <w:t>具体详见招标文件采购需求</w:t>
            </w:r>
          </w:p>
        </w:tc>
      </w:tr>
    </w:tbl>
    <w:p w14:paraId="27A3EF55">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标项名称：</w:t>
      </w:r>
      <w:r>
        <w:rPr>
          <w:rFonts w:hint="eastAsia" w:ascii="宋体" w:hAnsi="宋体"/>
          <w:color w:val="auto"/>
          <w:sz w:val="21"/>
          <w:szCs w:val="21"/>
          <w:highlight w:val="none"/>
          <w:lang w:eastAsia="zh-CN"/>
        </w:rPr>
        <w:t>南宁职业技术大学智能制造领域课程资源开发平台项目</w:t>
      </w:r>
    </w:p>
    <w:p w14:paraId="13DE6CD4">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数量：1</w:t>
      </w:r>
    </w:p>
    <w:p w14:paraId="45FA1220">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预算金额（元）：</w:t>
      </w:r>
      <w:r>
        <w:rPr>
          <w:rFonts w:hint="eastAsia" w:ascii="宋体" w:hAnsi="宋体"/>
          <w:color w:val="auto"/>
          <w:sz w:val="21"/>
          <w:szCs w:val="21"/>
          <w:highlight w:val="none"/>
          <w:lang w:eastAsia="zh-CN"/>
        </w:rPr>
        <w:t>900000</w:t>
      </w:r>
    </w:p>
    <w:p w14:paraId="103B123B">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简要规格描述或项目基本概况介绍、用途：</w:t>
      </w:r>
      <w:r>
        <w:rPr>
          <w:rFonts w:hint="eastAsia" w:ascii="宋体" w:hAnsi="宋体"/>
          <w:color w:val="auto"/>
          <w:sz w:val="21"/>
          <w:szCs w:val="21"/>
          <w:highlight w:val="none"/>
          <w:lang w:eastAsia="zh-CN"/>
        </w:rPr>
        <w:t>南宁职业技术大学智能制造领域课程资源开发平台项目</w:t>
      </w:r>
      <w:r>
        <w:rPr>
          <w:rFonts w:hint="eastAsia" w:ascii="宋体" w:hAnsi="宋体"/>
          <w:color w:val="auto"/>
          <w:sz w:val="21"/>
          <w:szCs w:val="21"/>
          <w:highlight w:val="none"/>
        </w:rPr>
        <w:t>1项，如需进一步了解详细内容，详见招标文件。</w:t>
      </w:r>
    </w:p>
    <w:p w14:paraId="3563D701">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最高限价（如有）：</w:t>
      </w:r>
      <w:r>
        <w:rPr>
          <w:rFonts w:hint="eastAsia" w:ascii="宋体" w:hAnsi="宋体"/>
          <w:color w:val="auto"/>
          <w:sz w:val="21"/>
          <w:szCs w:val="21"/>
          <w:highlight w:val="none"/>
          <w:lang w:eastAsia="zh-CN"/>
        </w:rPr>
        <w:t>900000</w:t>
      </w:r>
    </w:p>
    <w:p w14:paraId="7EE09C39">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合同履约期限：自合同签订之日起20工作日内。</w:t>
      </w:r>
    </w:p>
    <w:p w14:paraId="2638B18C">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本标项（否）接受联合体投标</w:t>
      </w:r>
    </w:p>
    <w:p w14:paraId="7296C6BD">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备注：无</w:t>
      </w:r>
    </w:p>
    <w:p w14:paraId="50547B93">
      <w:pPr>
        <w:keepNext w:val="0"/>
        <w:keepLines w:val="0"/>
        <w:pageBreakBefore w:val="0"/>
        <w:widowControl w:val="0"/>
        <w:shd w:val="clear"/>
        <w:kinsoku/>
        <w:wordWrap w:val="0"/>
        <w:overflowPunct/>
        <w:topLinePunct w:val="0"/>
        <w:autoSpaceDE/>
        <w:autoSpaceDN/>
        <w:bidi w:val="0"/>
        <w:adjustRightInd/>
        <w:snapToGrid/>
        <w:spacing w:line="360" w:lineRule="auto"/>
        <w:textAlignment w:val="auto"/>
        <w:rPr>
          <w:rFonts w:ascii="黑体" w:hAnsi="黑体" w:eastAsia="黑体"/>
          <w:b/>
          <w:bCs/>
          <w:color w:val="auto"/>
          <w:sz w:val="21"/>
          <w:szCs w:val="21"/>
          <w:highlight w:val="none"/>
        </w:rPr>
      </w:pPr>
      <w:r>
        <w:rPr>
          <w:rFonts w:hint="eastAsia" w:ascii="黑体" w:hAnsi="黑体" w:eastAsia="黑体"/>
          <w:b/>
          <w:bCs/>
          <w:color w:val="auto"/>
          <w:sz w:val="21"/>
          <w:szCs w:val="21"/>
          <w:highlight w:val="none"/>
        </w:rPr>
        <w:t>二、投标人的资格要求：</w:t>
      </w:r>
    </w:p>
    <w:p w14:paraId="58F46C17">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1.满足《中华人民共和国政府采购法》第二十二条规定；</w:t>
      </w:r>
    </w:p>
    <w:p w14:paraId="189CBBC1">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olor w:val="auto"/>
          <w:sz w:val="21"/>
          <w:szCs w:val="21"/>
          <w:highlight w:val="none"/>
          <w:lang w:eastAsia="zh-CN"/>
        </w:rPr>
      </w:pPr>
      <w:r>
        <w:rPr>
          <w:rFonts w:ascii="宋体" w:hAnsi="宋体"/>
          <w:color w:val="auto"/>
          <w:sz w:val="21"/>
          <w:szCs w:val="21"/>
          <w:highlight w:val="none"/>
        </w:rPr>
        <w:t>2</w:t>
      </w:r>
      <w:r>
        <w:rPr>
          <w:rFonts w:hint="eastAsia" w:ascii="宋体" w:hAnsi="宋体"/>
          <w:color w:val="auto"/>
          <w:sz w:val="21"/>
          <w:szCs w:val="21"/>
          <w:highlight w:val="none"/>
        </w:rPr>
        <w:t>.落实政府采购政策需满足的资格要求：专门面向中小企业采购的项目（供应商应为中小微企业、监狱企业、残疾人福利性单位)</w:t>
      </w:r>
      <w:r>
        <w:rPr>
          <w:rFonts w:hint="eastAsia" w:ascii="宋体" w:hAnsi="宋体"/>
          <w:color w:val="auto"/>
          <w:sz w:val="21"/>
          <w:szCs w:val="21"/>
          <w:highlight w:val="none"/>
          <w:lang w:val="en-US" w:eastAsia="zh-CN"/>
        </w:rPr>
        <w:t>；</w:t>
      </w:r>
    </w:p>
    <w:p w14:paraId="142DA173">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rPr>
      </w:pPr>
      <w:r>
        <w:rPr>
          <w:rFonts w:ascii="宋体" w:hAnsi="宋体"/>
          <w:color w:val="auto"/>
          <w:sz w:val="21"/>
          <w:szCs w:val="21"/>
          <w:highlight w:val="none"/>
        </w:rPr>
        <w:t>3</w:t>
      </w:r>
      <w:r>
        <w:rPr>
          <w:rFonts w:hint="eastAsia" w:ascii="宋体" w:hAnsi="宋体"/>
          <w:color w:val="auto"/>
          <w:sz w:val="21"/>
          <w:szCs w:val="21"/>
          <w:highlight w:val="none"/>
        </w:rPr>
        <w:t>.本项目的特定资格要求：</w:t>
      </w:r>
      <w:r>
        <w:rPr>
          <w:rFonts w:hint="eastAsia" w:ascii="宋体" w:hAnsi="宋体"/>
          <w:color w:val="auto"/>
          <w:sz w:val="21"/>
          <w:szCs w:val="21"/>
          <w:highlight w:val="none"/>
          <w:lang w:val="en-US" w:eastAsia="zh-CN"/>
        </w:rPr>
        <w:t>无</w:t>
      </w:r>
      <w:r>
        <w:rPr>
          <w:rFonts w:hint="eastAsia" w:ascii="宋体" w:hAnsi="宋体"/>
          <w:color w:val="auto"/>
          <w:sz w:val="21"/>
          <w:szCs w:val="21"/>
          <w:highlight w:val="none"/>
        </w:rPr>
        <w:t>。</w:t>
      </w:r>
    </w:p>
    <w:p w14:paraId="604B5D55">
      <w:pPr>
        <w:keepNext w:val="0"/>
        <w:keepLines w:val="0"/>
        <w:pageBreakBefore w:val="0"/>
        <w:widowControl w:val="0"/>
        <w:shd w:val="clear"/>
        <w:kinsoku/>
        <w:wordWrap w:val="0"/>
        <w:overflowPunct/>
        <w:topLinePunct w:val="0"/>
        <w:autoSpaceDE/>
        <w:autoSpaceDN/>
        <w:bidi w:val="0"/>
        <w:adjustRightInd/>
        <w:snapToGrid/>
        <w:spacing w:line="360" w:lineRule="auto"/>
        <w:textAlignment w:val="auto"/>
        <w:rPr>
          <w:rFonts w:ascii="黑体" w:hAnsi="黑体" w:eastAsia="黑体"/>
          <w:b/>
          <w:bCs/>
          <w:color w:val="auto"/>
          <w:sz w:val="21"/>
          <w:szCs w:val="21"/>
          <w:highlight w:val="none"/>
        </w:rPr>
      </w:pPr>
      <w:r>
        <w:rPr>
          <w:rFonts w:hint="eastAsia" w:ascii="黑体" w:hAnsi="黑体" w:eastAsia="黑体"/>
          <w:b/>
          <w:bCs/>
          <w:color w:val="auto"/>
          <w:sz w:val="21"/>
          <w:szCs w:val="21"/>
          <w:highlight w:val="none"/>
        </w:rPr>
        <w:t>三、获取招标文件</w:t>
      </w:r>
    </w:p>
    <w:p w14:paraId="32A0AD32">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rPr>
        <w:t>时间：202</w:t>
      </w:r>
      <w:r>
        <w:rPr>
          <w:rFonts w:hint="eastAsia" w:ascii="宋体" w:hAnsi="宋体" w:cs="Times New Roman"/>
          <w:color w:val="auto"/>
          <w:sz w:val="21"/>
          <w:szCs w:val="21"/>
          <w:highlight w:val="none"/>
          <w:lang w:val="en-US" w:eastAsia="zh-CN"/>
        </w:rPr>
        <w:t>6</w:t>
      </w:r>
      <w:r>
        <w:rPr>
          <w:rFonts w:hint="eastAsia" w:ascii="宋体" w:hAnsi="宋体" w:eastAsia="宋体" w:cs="Times New Roman"/>
          <w:color w:val="auto"/>
          <w:sz w:val="21"/>
          <w:szCs w:val="21"/>
          <w:highlight w:val="none"/>
        </w:rPr>
        <w:t>年</w:t>
      </w:r>
      <w:r>
        <w:rPr>
          <w:rFonts w:hint="eastAsia" w:ascii="宋体" w:hAnsi="宋体" w:cs="Times New Roman"/>
          <w:color w:val="auto"/>
          <w:sz w:val="21"/>
          <w:szCs w:val="21"/>
          <w:highlight w:val="none"/>
          <w:lang w:val="en-US" w:eastAsia="zh-CN"/>
        </w:rPr>
        <w:t>9</w:t>
      </w:r>
      <w:r>
        <w:rPr>
          <w:rFonts w:hint="eastAsia" w:ascii="宋体" w:hAnsi="宋体" w:eastAsia="宋体" w:cs="Times New Roman"/>
          <w:color w:val="auto"/>
          <w:sz w:val="21"/>
          <w:szCs w:val="21"/>
          <w:highlight w:val="none"/>
        </w:rPr>
        <w:t>月</w:t>
      </w:r>
      <w:r>
        <w:rPr>
          <w:rFonts w:hint="eastAsia" w:ascii="宋体" w:hAnsi="宋体" w:cs="Times New Roman"/>
          <w:color w:val="auto"/>
          <w:sz w:val="21"/>
          <w:szCs w:val="21"/>
          <w:highlight w:val="none"/>
          <w:lang w:val="en-US" w:eastAsia="zh-CN"/>
        </w:rPr>
        <w:t xml:space="preserve"> 24 日起至2026年10</w:t>
      </w:r>
      <w:r>
        <w:rPr>
          <w:rFonts w:hint="eastAsia" w:ascii="宋体" w:hAnsi="宋体" w:eastAsia="宋体" w:cs="Times New Roman"/>
          <w:color w:val="auto"/>
          <w:sz w:val="21"/>
          <w:szCs w:val="21"/>
          <w:highlight w:val="none"/>
        </w:rPr>
        <w:t>月</w:t>
      </w:r>
      <w:r>
        <w:rPr>
          <w:rFonts w:hint="eastAsia" w:ascii="宋体" w:hAnsi="宋体" w:cs="Times New Roman"/>
          <w:color w:val="auto"/>
          <w:sz w:val="21"/>
          <w:szCs w:val="21"/>
          <w:highlight w:val="none"/>
          <w:lang w:val="en-US" w:eastAsia="zh-CN"/>
        </w:rPr>
        <w:t xml:space="preserve"> 15 </w:t>
      </w:r>
      <w:r>
        <w:rPr>
          <w:rFonts w:hint="eastAsia" w:ascii="宋体" w:hAnsi="宋体" w:eastAsia="宋体" w:cs="Times New Roman"/>
          <w:color w:val="auto"/>
          <w:sz w:val="21"/>
          <w:szCs w:val="21"/>
          <w:highlight w:val="none"/>
        </w:rPr>
        <w:t>日</w:t>
      </w:r>
      <w:r>
        <w:rPr>
          <w:rFonts w:hint="eastAsia" w:ascii="宋体" w:hAnsi="宋体" w:eastAsia="宋体" w:cs="Times New Roman"/>
          <w:color w:val="auto"/>
          <w:sz w:val="21"/>
          <w:szCs w:val="21"/>
          <w:highlight w:val="none"/>
          <w:lang w:eastAsia="zh-CN"/>
        </w:rPr>
        <w:t>，每</w:t>
      </w:r>
      <w:r>
        <w:rPr>
          <w:rFonts w:hint="eastAsia" w:ascii="宋体" w:hAnsi="宋体" w:eastAsia="宋体" w:cs="Times New Roman"/>
          <w:color w:val="auto"/>
          <w:sz w:val="21"/>
          <w:szCs w:val="21"/>
          <w:highlight w:val="none"/>
          <w:lang w:val="en-US" w:eastAsia="zh-CN"/>
        </w:rPr>
        <w:t>日</w:t>
      </w:r>
      <w:r>
        <w:rPr>
          <w:rFonts w:hint="eastAsia" w:ascii="宋体" w:hAnsi="宋体" w:eastAsia="宋体" w:cs="Times New Roman"/>
          <w:color w:val="auto"/>
          <w:sz w:val="21"/>
          <w:szCs w:val="21"/>
          <w:highlight w:val="none"/>
          <w:lang w:eastAsia="zh-CN"/>
        </w:rPr>
        <w:t>上午00:00至1</w:t>
      </w:r>
      <w:r>
        <w:rPr>
          <w:rFonts w:hint="eastAsia" w:ascii="宋体" w:hAnsi="宋体" w:eastAsia="宋体" w:cs="Times New Roman"/>
          <w:color w:val="auto"/>
          <w:sz w:val="21"/>
          <w:szCs w:val="21"/>
          <w:highlight w:val="none"/>
          <w:lang w:val="en-US" w:eastAsia="zh-CN"/>
        </w:rPr>
        <w:t>1</w:t>
      </w:r>
      <w:r>
        <w:rPr>
          <w:rFonts w:hint="eastAsia" w:ascii="宋体" w:hAnsi="宋体" w:eastAsia="宋体" w:cs="Times New Roman"/>
          <w:color w:val="auto"/>
          <w:sz w:val="21"/>
          <w:szCs w:val="21"/>
          <w:highlight w:val="none"/>
          <w:lang w:eastAsia="zh-CN"/>
        </w:rPr>
        <w:t>:</w:t>
      </w:r>
      <w:r>
        <w:rPr>
          <w:rFonts w:hint="eastAsia" w:ascii="宋体" w:hAnsi="宋体" w:eastAsia="宋体" w:cs="Times New Roman"/>
          <w:color w:val="auto"/>
          <w:sz w:val="21"/>
          <w:szCs w:val="21"/>
          <w:highlight w:val="none"/>
          <w:lang w:val="en-US" w:eastAsia="zh-CN"/>
        </w:rPr>
        <w:t>59</w:t>
      </w:r>
      <w:r>
        <w:rPr>
          <w:rFonts w:hint="eastAsia" w:ascii="宋体" w:hAnsi="宋体" w:eastAsia="宋体" w:cs="Times New Roman"/>
          <w:color w:val="auto"/>
          <w:sz w:val="21"/>
          <w:szCs w:val="21"/>
          <w:highlight w:val="none"/>
          <w:lang w:eastAsia="zh-CN"/>
        </w:rPr>
        <w:t>，下午12:00至23:59（北京时间，法定节假日除外）。</w:t>
      </w:r>
    </w:p>
    <w:p w14:paraId="20738BA0">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地点（网址）：广西政府采购云平台（https：//www.gcy.zfcg.gxzf.gov.cn） </w:t>
      </w:r>
    </w:p>
    <w:p w14:paraId="20D475BC">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方式：网上下载。本项目不提供纸质文件，潜在供应商需在广西政府采购云平台（https://www.gcy.zfcg.gxzf.gov.cn/）-进入“项目采购”应用，在获取采购文件菜单中选择项目，获取招标文件。电子投标文件制作需要基于广西政府采购云平台获取的招标文件编制，通过其他方式获取招标文件的，将有可能导致供应商无法在“广西政府采购云平台</w:t>
      </w:r>
      <w:r>
        <w:rPr>
          <w:rFonts w:hint="eastAsia" w:ascii="宋体" w:hAnsi="宋体" w:eastAsia="宋体" w:cs="Times New Roman"/>
          <w:color w:val="auto"/>
          <w:sz w:val="21"/>
          <w:szCs w:val="21"/>
          <w:highlight w:val="none"/>
          <w:lang w:eastAsia="zh-CN"/>
        </w:rPr>
        <w:t>”</w:t>
      </w:r>
      <w:r>
        <w:rPr>
          <w:rFonts w:hint="eastAsia" w:ascii="宋体" w:hAnsi="宋体" w:eastAsia="宋体" w:cs="Times New Roman"/>
          <w:color w:val="auto"/>
          <w:sz w:val="21"/>
          <w:szCs w:val="21"/>
          <w:highlight w:val="none"/>
        </w:rPr>
        <w:t>编制及上传投标文件。 </w:t>
      </w:r>
    </w:p>
    <w:p w14:paraId="05F7A7D7">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售价（元）：0</w:t>
      </w:r>
    </w:p>
    <w:p w14:paraId="23E0101B">
      <w:pPr>
        <w:keepNext w:val="0"/>
        <w:keepLines w:val="0"/>
        <w:pageBreakBefore w:val="0"/>
        <w:widowControl w:val="0"/>
        <w:shd w:val="clear"/>
        <w:kinsoku/>
        <w:wordWrap w:val="0"/>
        <w:overflowPunct/>
        <w:topLinePunct w:val="0"/>
        <w:autoSpaceDE/>
        <w:autoSpaceDN/>
        <w:bidi w:val="0"/>
        <w:adjustRightInd/>
        <w:snapToGrid/>
        <w:spacing w:line="360" w:lineRule="auto"/>
        <w:textAlignment w:val="auto"/>
        <w:rPr>
          <w:rFonts w:ascii="黑体" w:hAnsi="黑体" w:eastAsia="黑体"/>
          <w:b/>
          <w:bCs/>
          <w:color w:val="auto"/>
          <w:sz w:val="21"/>
          <w:szCs w:val="21"/>
          <w:highlight w:val="none"/>
        </w:rPr>
      </w:pPr>
      <w:r>
        <w:rPr>
          <w:rFonts w:hint="eastAsia" w:ascii="黑体" w:hAnsi="黑体" w:eastAsia="黑体"/>
          <w:b/>
          <w:bCs/>
          <w:color w:val="auto"/>
          <w:sz w:val="21"/>
          <w:szCs w:val="21"/>
          <w:highlight w:val="none"/>
        </w:rPr>
        <w:t>四、提交投标文件截止时间、开标时间和地点</w:t>
      </w:r>
    </w:p>
    <w:p w14:paraId="49D58E3E">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提交投标文件截止时间：202</w:t>
      </w:r>
      <w:r>
        <w:rPr>
          <w:rFonts w:hint="eastAsia" w:ascii="宋体" w:hAnsi="宋体" w:cs="Times New Roman"/>
          <w:color w:val="auto"/>
          <w:sz w:val="21"/>
          <w:szCs w:val="21"/>
          <w:highlight w:val="none"/>
          <w:lang w:val="en-US" w:eastAsia="zh-CN"/>
        </w:rPr>
        <w:t>6</w:t>
      </w:r>
      <w:r>
        <w:rPr>
          <w:rFonts w:hint="eastAsia" w:ascii="宋体" w:hAnsi="宋体" w:eastAsia="宋体" w:cs="Times New Roman"/>
          <w:color w:val="auto"/>
          <w:sz w:val="21"/>
          <w:szCs w:val="21"/>
          <w:highlight w:val="none"/>
        </w:rPr>
        <w:t>年</w:t>
      </w:r>
      <w:r>
        <w:rPr>
          <w:rFonts w:hint="eastAsia" w:ascii="宋体" w:hAnsi="宋体" w:cs="Times New Roman"/>
          <w:color w:val="auto"/>
          <w:sz w:val="21"/>
          <w:szCs w:val="21"/>
          <w:highlight w:val="none"/>
          <w:lang w:val="en-US" w:eastAsia="zh-CN"/>
        </w:rPr>
        <w:t>10</w:t>
      </w:r>
      <w:r>
        <w:rPr>
          <w:rFonts w:hint="eastAsia" w:ascii="宋体" w:hAnsi="宋体" w:eastAsia="宋体" w:cs="Times New Roman"/>
          <w:color w:val="auto"/>
          <w:sz w:val="21"/>
          <w:szCs w:val="21"/>
          <w:highlight w:val="none"/>
        </w:rPr>
        <w:t>月</w:t>
      </w:r>
      <w:r>
        <w:rPr>
          <w:rFonts w:hint="eastAsia" w:ascii="宋体" w:hAnsi="宋体" w:cs="Times New Roman"/>
          <w:color w:val="auto"/>
          <w:sz w:val="21"/>
          <w:szCs w:val="21"/>
          <w:highlight w:val="none"/>
          <w:lang w:val="en-US" w:eastAsia="zh-CN"/>
        </w:rPr>
        <w:t xml:space="preserve"> 15 </w:t>
      </w:r>
      <w:r>
        <w:rPr>
          <w:rFonts w:hint="eastAsia" w:ascii="宋体" w:hAnsi="宋体" w:eastAsia="宋体" w:cs="Times New Roman"/>
          <w:color w:val="auto"/>
          <w:sz w:val="21"/>
          <w:szCs w:val="21"/>
          <w:highlight w:val="none"/>
        </w:rPr>
        <w:t>日 09:30（北京时间）</w:t>
      </w:r>
    </w:p>
    <w:p w14:paraId="4536FD4F">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投标地点（网址）：广西政府采购云平台</w:t>
      </w:r>
      <w:r>
        <w:rPr>
          <w:rFonts w:hint="eastAsia" w:ascii="宋体" w:hAnsi="宋体" w:eastAsia="宋体" w:cs="Times New Roman"/>
          <w:color w:val="auto"/>
          <w:sz w:val="21"/>
          <w:szCs w:val="21"/>
          <w:highlight w:val="none"/>
          <w:lang w:eastAsia="zh-CN"/>
        </w:rPr>
        <w:t>（https：//www.gcy.zfcg.gxzf.gov.cn）</w:t>
      </w:r>
      <w:r>
        <w:rPr>
          <w:rFonts w:hint="eastAsia" w:ascii="宋体" w:hAnsi="宋体" w:eastAsia="宋体" w:cs="Times New Roman"/>
          <w:color w:val="auto"/>
          <w:sz w:val="21"/>
          <w:szCs w:val="21"/>
          <w:highlight w:val="none"/>
        </w:rPr>
        <w:t> </w:t>
      </w:r>
    </w:p>
    <w:p w14:paraId="5E649C85">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开标时间：202</w:t>
      </w:r>
      <w:r>
        <w:rPr>
          <w:rFonts w:hint="eastAsia" w:ascii="宋体" w:hAnsi="宋体" w:cs="Times New Roman"/>
          <w:color w:val="auto"/>
          <w:sz w:val="21"/>
          <w:szCs w:val="21"/>
          <w:highlight w:val="none"/>
          <w:lang w:val="en-US" w:eastAsia="zh-CN"/>
        </w:rPr>
        <w:t>6</w:t>
      </w:r>
      <w:r>
        <w:rPr>
          <w:rFonts w:hint="eastAsia" w:ascii="宋体" w:hAnsi="宋体" w:eastAsia="宋体" w:cs="Times New Roman"/>
          <w:color w:val="auto"/>
          <w:sz w:val="21"/>
          <w:szCs w:val="21"/>
          <w:highlight w:val="none"/>
        </w:rPr>
        <w:t>年</w:t>
      </w:r>
      <w:r>
        <w:rPr>
          <w:rFonts w:hint="eastAsia" w:ascii="宋体" w:hAnsi="宋体" w:cs="Times New Roman"/>
          <w:color w:val="auto"/>
          <w:sz w:val="21"/>
          <w:szCs w:val="21"/>
          <w:highlight w:val="none"/>
          <w:lang w:val="en-US" w:eastAsia="zh-CN"/>
        </w:rPr>
        <w:t>10</w:t>
      </w:r>
      <w:r>
        <w:rPr>
          <w:rFonts w:hint="eastAsia" w:ascii="宋体" w:hAnsi="宋体" w:eastAsia="宋体" w:cs="Times New Roman"/>
          <w:color w:val="auto"/>
          <w:sz w:val="21"/>
          <w:szCs w:val="21"/>
          <w:highlight w:val="none"/>
        </w:rPr>
        <w:t>月</w:t>
      </w:r>
      <w:r>
        <w:rPr>
          <w:rFonts w:hint="eastAsia" w:ascii="宋体" w:hAnsi="宋体" w:cs="Times New Roman"/>
          <w:color w:val="auto"/>
          <w:sz w:val="21"/>
          <w:szCs w:val="21"/>
          <w:highlight w:val="none"/>
          <w:lang w:val="en-US" w:eastAsia="zh-CN"/>
        </w:rPr>
        <w:t xml:space="preserve"> 15 </w:t>
      </w:r>
      <w:r>
        <w:rPr>
          <w:rFonts w:hint="eastAsia" w:ascii="宋体" w:hAnsi="宋体" w:eastAsia="宋体" w:cs="Times New Roman"/>
          <w:color w:val="auto"/>
          <w:sz w:val="21"/>
          <w:szCs w:val="21"/>
          <w:highlight w:val="none"/>
        </w:rPr>
        <w:t>日 09:30 </w:t>
      </w:r>
    </w:p>
    <w:p w14:paraId="597D48BD">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开标地点：广西政府采购云平台开标大厅</w:t>
      </w:r>
    </w:p>
    <w:p w14:paraId="13CC8E8B">
      <w:pPr>
        <w:keepNext w:val="0"/>
        <w:keepLines w:val="0"/>
        <w:pageBreakBefore w:val="0"/>
        <w:widowControl w:val="0"/>
        <w:shd w:val="clear"/>
        <w:kinsoku/>
        <w:wordWrap w:val="0"/>
        <w:overflowPunct/>
        <w:topLinePunct w:val="0"/>
        <w:autoSpaceDE/>
        <w:autoSpaceDN/>
        <w:bidi w:val="0"/>
        <w:adjustRightInd/>
        <w:snapToGrid/>
        <w:spacing w:line="360" w:lineRule="auto"/>
        <w:textAlignment w:val="auto"/>
        <w:rPr>
          <w:rFonts w:ascii="黑体" w:hAnsi="黑体" w:eastAsia="黑体"/>
          <w:b/>
          <w:bCs/>
          <w:color w:val="auto"/>
          <w:sz w:val="21"/>
          <w:szCs w:val="21"/>
          <w:highlight w:val="none"/>
        </w:rPr>
      </w:pPr>
      <w:r>
        <w:rPr>
          <w:rFonts w:hint="eastAsia" w:ascii="黑体" w:hAnsi="黑体" w:eastAsia="黑体"/>
          <w:b/>
          <w:bCs/>
          <w:color w:val="auto"/>
          <w:sz w:val="21"/>
          <w:szCs w:val="21"/>
          <w:highlight w:val="none"/>
        </w:rPr>
        <w:t>五、公告期限</w:t>
      </w:r>
    </w:p>
    <w:p w14:paraId="00BCBC12">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ascii="宋体" w:hAnsi="宋体" w:cs="宋体"/>
          <w:color w:val="auto"/>
          <w:kern w:val="0"/>
          <w:sz w:val="21"/>
          <w:szCs w:val="21"/>
          <w:highlight w:val="none"/>
        </w:rPr>
      </w:pPr>
      <w:r>
        <w:rPr>
          <w:rFonts w:hint="eastAsia" w:ascii="宋体" w:hAnsi="宋体" w:cs="宋体"/>
          <w:color w:val="auto"/>
          <w:kern w:val="0"/>
          <w:sz w:val="21"/>
          <w:szCs w:val="21"/>
          <w:highlight w:val="none"/>
        </w:rPr>
        <w:t>自本公告发布之日起5个工作日。</w:t>
      </w:r>
    </w:p>
    <w:p w14:paraId="3CB91586">
      <w:pPr>
        <w:keepNext w:val="0"/>
        <w:keepLines w:val="0"/>
        <w:pageBreakBefore w:val="0"/>
        <w:widowControl w:val="0"/>
        <w:shd w:val="clear"/>
        <w:kinsoku/>
        <w:wordWrap w:val="0"/>
        <w:overflowPunct/>
        <w:topLinePunct w:val="0"/>
        <w:autoSpaceDE/>
        <w:autoSpaceDN/>
        <w:bidi w:val="0"/>
        <w:adjustRightInd/>
        <w:snapToGrid/>
        <w:spacing w:line="360" w:lineRule="auto"/>
        <w:textAlignment w:val="auto"/>
        <w:rPr>
          <w:rFonts w:ascii="黑体" w:hAnsi="黑体" w:eastAsia="黑体"/>
          <w:b/>
          <w:bCs/>
          <w:color w:val="auto"/>
          <w:sz w:val="21"/>
          <w:szCs w:val="21"/>
          <w:highlight w:val="none"/>
        </w:rPr>
      </w:pPr>
      <w:r>
        <w:rPr>
          <w:rFonts w:hint="eastAsia" w:ascii="黑体" w:hAnsi="黑体" w:eastAsia="黑体"/>
          <w:b/>
          <w:bCs/>
          <w:color w:val="auto"/>
          <w:sz w:val="21"/>
          <w:szCs w:val="21"/>
          <w:highlight w:val="none"/>
        </w:rPr>
        <w:t>六、其他补充事宜</w:t>
      </w:r>
    </w:p>
    <w:p w14:paraId="190D4618">
      <w:pPr>
        <w:keepNext w:val="0"/>
        <w:keepLines w:val="0"/>
        <w:pageBreakBefore w:val="0"/>
        <w:widowControl w:val="0"/>
        <w:shd w:val="clear"/>
        <w:kinsoku/>
        <w:wordWrap w:val="0"/>
        <w:overflowPunct/>
        <w:topLinePunct w:val="0"/>
        <w:autoSpaceDE/>
        <w:autoSpaceDN/>
        <w:bidi w:val="0"/>
        <w:adjustRightInd/>
        <w:snapToGrid/>
        <w:spacing w:line="360" w:lineRule="auto"/>
        <w:ind w:firstLine="315" w:firstLineChars="150"/>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1</w:t>
      </w:r>
      <w:r>
        <w:rPr>
          <w:rFonts w:ascii="宋体" w:hAnsi="宋体" w:cs="宋体"/>
          <w:color w:val="auto"/>
          <w:kern w:val="0"/>
          <w:sz w:val="21"/>
          <w:szCs w:val="21"/>
          <w:highlight w:val="none"/>
        </w:rPr>
        <w:t>.</w:t>
      </w:r>
      <w:r>
        <w:rPr>
          <w:rFonts w:hint="eastAsia" w:ascii="宋体" w:hAnsi="宋体" w:cs="宋体"/>
          <w:color w:val="auto"/>
          <w:kern w:val="0"/>
          <w:sz w:val="21"/>
          <w:szCs w:val="21"/>
          <w:highlight w:val="none"/>
        </w:rPr>
        <w:t>投标保证金：本项目不收取投标保证金</w:t>
      </w:r>
    </w:p>
    <w:p w14:paraId="4BC97474">
      <w:pPr>
        <w:keepNext w:val="0"/>
        <w:keepLines w:val="0"/>
        <w:pageBreakBefore w:val="0"/>
        <w:widowControl w:val="0"/>
        <w:shd w:val="clear"/>
        <w:kinsoku/>
        <w:wordWrap w:val="0"/>
        <w:overflowPunct/>
        <w:topLinePunct w:val="0"/>
        <w:autoSpaceDE/>
        <w:autoSpaceDN/>
        <w:bidi w:val="0"/>
        <w:adjustRightInd/>
        <w:snapToGrid/>
        <w:spacing w:line="360" w:lineRule="auto"/>
        <w:ind w:firstLine="315" w:firstLineChars="150"/>
        <w:jc w:val="left"/>
        <w:textAlignment w:val="auto"/>
        <w:rPr>
          <w:rFonts w:ascii="宋体" w:hAnsi="宋体" w:cs="宋体"/>
          <w:color w:val="auto"/>
          <w:kern w:val="0"/>
          <w:sz w:val="21"/>
          <w:szCs w:val="21"/>
          <w:highlight w:val="none"/>
          <w:u w:val="single"/>
        </w:rPr>
      </w:pPr>
      <w:r>
        <w:rPr>
          <w:rFonts w:hint="eastAsia" w:ascii="宋体" w:hAnsi="宋体" w:cs="宋体"/>
          <w:color w:val="auto"/>
          <w:kern w:val="0"/>
          <w:sz w:val="21"/>
          <w:szCs w:val="21"/>
          <w:highlight w:val="none"/>
        </w:rPr>
        <w:t>2.采购意向公开链接：http://www.ccgp-guangxi.gov.cn/site/detail?parentId=66485&amp;articleId=jYMtdCzesuQ5iGLINJd3tw==</w:t>
      </w:r>
    </w:p>
    <w:p w14:paraId="78BDCB81">
      <w:pPr>
        <w:keepNext w:val="0"/>
        <w:keepLines w:val="0"/>
        <w:pageBreakBefore w:val="0"/>
        <w:widowControl w:val="0"/>
        <w:shd w:val="clear"/>
        <w:kinsoku/>
        <w:wordWrap w:val="0"/>
        <w:overflowPunct/>
        <w:topLinePunct w:val="0"/>
        <w:autoSpaceDE/>
        <w:autoSpaceDN/>
        <w:bidi w:val="0"/>
        <w:adjustRightInd/>
        <w:snapToGrid/>
        <w:spacing w:line="360" w:lineRule="auto"/>
        <w:ind w:firstLine="315" w:firstLineChars="150"/>
        <w:textAlignment w:val="auto"/>
        <w:rPr>
          <w:rFonts w:ascii="宋体" w:hAnsi="宋体" w:cs="宋体"/>
          <w:color w:val="auto"/>
          <w:kern w:val="0"/>
          <w:sz w:val="21"/>
          <w:szCs w:val="21"/>
          <w:highlight w:val="none"/>
        </w:rPr>
      </w:pPr>
      <w:r>
        <w:rPr>
          <w:rFonts w:hint="eastAsia" w:ascii="宋体" w:hAnsi="宋体" w:cs="宋体"/>
          <w:color w:val="auto"/>
          <w:kern w:val="0"/>
          <w:sz w:val="21"/>
          <w:szCs w:val="21"/>
          <w:highlight w:val="none"/>
        </w:rPr>
        <w:t>3.网上查询地址</w:t>
      </w:r>
      <w:bookmarkStart w:id="1" w:name="PO_3000001867_PM023"/>
    </w:p>
    <w:p w14:paraId="7CE8EE49">
      <w:pPr>
        <w:keepNext w:val="0"/>
        <w:keepLines w:val="0"/>
        <w:pageBreakBefore w:val="0"/>
        <w:widowControl w:val="0"/>
        <w:shd w:val="clear"/>
        <w:kinsoku/>
        <w:wordWrap w:val="0"/>
        <w:overflowPunct/>
        <w:topLinePunct w:val="0"/>
        <w:autoSpaceDE/>
        <w:autoSpaceDN/>
        <w:bidi w:val="0"/>
        <w:adjustRightInd/>
        <w:snapToGrid/>
        <w:spacing w:line="360" w:lineRule="auto"/>
        <w:ind w:firstLine="315" w:firstLineChars="150"/>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rPr>
        <w:t>中国政府采购网(http：//www.ccgp.gov.cn)</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rPr>
        <w:t>广西</w:t>
      </w:r>
      <w:r>
        <w:rPr>
          <w:rFonts w:hint="eastAsia" w:ascii="宋体" w:hAnsi="宋体" w:cs="宋体"/>
          <w:color w:val="auto"/>
          <w:kern w:val="0"/>
          <w:sz w:val="21"/>
          <w:szCs w:val="21"/>
          <w:highlight w:val="none"/>
          <w:lang w:val="en-US" w:eastAsia="zh-CN"/>
        </w:rPr>
        <w:t>壮族自治区</w:t>
      </w:r>
      <w:r>
        <w:rPr>
          <w:rFonts w:hint="eastAsia" w:ascii="宋体" w:hAnsi="宋体" w:cs="宋体"/>
          <w:color w:val="auto"/>
          <w:kern w:val="0"/>
          <w:sz w:val="21"/>
          <w:szCs w:val="21"/>
          <w:highlight w:val="none"/>
        </w:rPr>
        <w:t>政府采购网(http：//zfcg.gxzf.gov.cn)</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shd w:val="clear" w:fill="FFFFFF" w:themeFill="background1"/>
        </w:rPr>
        <w:t>全国公共资源交易平台（广西•南宁）（http：//ggzy.jgswj.gxzf.gov.cn/nnggzy/）</w:t>
      </w:r>
      <w:r>
        <w:rPr>
          <w:rFonts w:hint="eastAsia" w:ascii="宋体" w:hAnsi="宋体" w:cs="宋体"/>
          <w:color w:val="auto"/>
          <w:kern w:val="0"/>
          <w:sz w:val="21"/>
          <w:szCs w:val="21"/>
          <w:highlight w:val="none"/>
          <w:shd w:val="clear" w:fill="FFFFFF" w:themeFill="background1"/>
          <w:lang w:eastAsia="zh-CN"/>
        </w:rPr>
        <w:t>、</w:t>
      </w:r>
      <w:r>
        <w:rPr>
          <w:rFonts w:hint="eastAsia" w:ascii="宋体" w:hAnsi="宋体" w:cs="宋体"/>
          <w:color w:val="auto"/>
          <w:kern w:val="0"/>
          <w:sz w:val="21"/>
          <w:szCs w:val="21"/>
          <w:highlight w:val="none"/>
          <w:lang w:val="en-US" w:eastAsia="zh-CN"/>
        </w:rPr>
        <w:t>广西招标网（http://www.guangxibid.com.cn/）</w:t>
      </w:r>
    </w:p>
    <w:p w14:paraId="2F03E3B9">
      <w:pPr>
        <w:keepNext w:val="0"/>
        <w:keepLines w:val="0"/>
        <w:pageBreakBefore w:val="0"/>
        <w:widowControl w:val="0"/>
        <w:shd w:val="clear"/>
        <w:kinsoku/>
        <w:wordWrap w:val="0"/>
        <w:overflowPunct/>
        <w:topLinePunct w:val="0"/>
        <w:autoSpaceDE/>
        <w:autoSpaceDN/>
        <w:bidi w:val="0"/>
        <w:adjustRightInd/>
        <w:snapToGrid/>
        <w:spacing w:line="360" w:lineRule="auto"/>
        <w:ind w:firstLine="315" w:firstLineChars="150"/>
        <w:textAlignment w:val="auto"/>
        <w:rPr>
          <w:rFonts w:ascii="宋体" w:hAnsi="宋体" w:cs="宋体"/>
          <w:color w:val="auto"/>
          <w:kern w:val="0"/>
          <w:sz w:val="21"/>
          <w:szCs w:val="21"/>
          <w:highlight w:val="none"/>
        </w:rPr>
      </w:pPr>
      <w:r>
        <w:rPr>
          <w:rFonts w:hint="eastAsia" w:ascii="宋体" w:hAnsi="宋体"/>
          <w:color w:val="auto"/>
          <w:sz w:val="21"/>
          <w:szCs w:val="21"/>
          <w:highlight w:val="none"/>
        </w:rPr>
        <w:t>4.</w:t>
      </w:r>
      <w:r>
        <w:rPr>
          <w:rFonts w:hint="eastAsia" w:ascii="宋体" w:hAnsi="宋体" w:cs="宋体"/>
          <w:color w:val="auto"/>
          <w:kern w:val="0"/>
          <w:sz w:val="21"/>
          <w:szCs w:val="21"/>
          <w:highlight w:val="none"/>
        </w:rPr>
        <w:t>本项目需要落实的政府采购政策：</w:t>
      </w:r>
    </w:p>
    <w:p w14:paraId="13B6FDE0">
      <w:pPr>
        <w:keepNext w:val="0"/>
        <w:keepLines w:val="0"/>
        <w:pageBreakBefore w:val="0"/>
        <w:widowControl w:val="0"/>
        <w:shd w:val="clear"/>
        <w:kinsoku/>
        <w:wordWrap w:val="0"/>
        <w:overflowPunct/>
        <w:topLinePunct w:val="0"/>
        <w:autoSpaceDE/>
        <w:autoSpaceDN/>
        <w:bidi w:val="0"/>
        <w:adjustRightInd/>
        <w:snapToGrid/>
        <w:spacing w:line="360" w:lineRule="auto"/>
        <w:ind w:firstLine="315" w:firstLineChars="150"/>
        <w:textAlignment w:val="auto"/>
        <w:rPr>
          <w:rFonts w:ascii="宋体" w:hAnsi="宋体" w:cs="宋体"/>
          <w:color w:val="auto"/>
          <w:kern w:val="0"/>
          <w:sz w:val="21"/>
          <w:szCs w:val="21"/>
          <w:highlight w:val="none"/>
        </w:rPr>
      </w:pPr>
      <w:r>
        <w:rPr>
          <w:rFonts w:hint="eastAsia" w:ascii="宋体" w:hAnsi="宋体" w:cs="宋体"/>
          <w:color w:val="auto"/>
          <w:kern w:val="0"/>
          <w:sz w:val="21"/>
          <w:szCs w:val="21"/>
          <w:highlight w:val="none"/>
        </w:rPr>
        <w:t>（1）政府采购促进中小企业发展。</w:t>
      </w:r>
    </w:p>
    <w:p w14:paraId="1447F27B">
      <w:pPr>
        <w:keepNext w:val="0"/>
        <w:keepLines w:val="0"/>
        <w:pageBreakBefore w:val="0"/>
        <w:widowControl w:val="0"/>
        <w:shd w:val="clear"/>
        <w:kinsoku/>
        <w:wordWrap w:val="0"/>
        <w:overflowPunct/>
        <w:topLinePunct w:val="0"/>
        <w:autoSpaceDE/>
        <w:autoSpaceDN/>
        <w:bidi w:val="0"/>
        <w:adjustRightInd/>
        <w:snapToGrid/>
        <w:spacing w:line="360" w:lineRule="auto"/>
        <w:ind w:firstLine="315" w:firstLineChars="150"/>
        <w:textAlignment w:val="auto"/>
        <w:rPr>
          <w:rFonts w:ascii="宋体" w:hAnsi="宋体" w:cs="宋体"/>
          <w:color w:val="auto"/>
          <w:kern w:val="0"/>
          <w:sz w:val="21"/>
          <w:szCs w:val="21"/>
          <w:highlight w:val="none"/>
        </w:rPr>
      </w:pPr>
      <w:r>
        <w:rPr>
          <w:rFonts w:hint="eastAsia" w:ascii="宋体" w:hAnsi="宋体" w:cs="宋体"/>
          <w:color w:val="auto"/>
          <w:kern w:val="0"/>
          <w:sz w:val="21"/>
          <w:szCs w:val="21"/>
          <w:highlight w:val="none"/>
        </w:rPr>
        <w:t>（2）政府采购支持采用本国产品的政策。</w:t>
      </w:r>
    </w:p>
    <w:p w14:paraId="21421CAE">
      <w:pPr>
        <w:keepNext w:val="0"/>
        <w:keepLines w:val="0"/>
        <w:pageBreakBefore w:val="0"/>
        <w:widowControl w:val="0"/>
        <w:shd w:val="clear"/>
        <w:kinsoku/>
        <w:wordWrap w:val="0"/>
        <w:overflowPunct/>
        <w:topLinePunct w:val="0"/>
        <w:autoSpaceDE/>
        <w:autoSpaceDN/>
        <w:bidi w:val="0"/>
        <w:adjustRightInd/>
        <w:snapToGrid/>
        <w:spacing w:line="360" w:lineRule="auto"/>
        <w:ind w:firstLine="315" w:firstLineChars="150"/>
        <w:textAlignment w:val="auto"/>
        <w:rPr>
          <w:rFonts w:ascii="宋体" w:hAnsi="宋体" w:cs="宋体"/>
          <w:color w:val="auto"/>
          <w:kern w:val="0"/>
          <w:sz w:val="21"/>
          <w:szCs w:val="21"/>
          <w:highlight w:val="none"/>
        </w:rPr>
      </w:pPr>
      <w:r>
        <w:rPr>
          <w:rFonts w:hint="eastAsia" w:ascii="宋体" w:hAnsi="宋体" w:cs="宋体"/>
          <w:color w:val="auto"/>
          <w:kern w:val="0"/>
          <w:sz w:val="21"/>
          <w:szCs w:val="21"/>
          <w:highlight w:val="none"/>
        </w:rPr>
        <w:t>（</w:t>
      </w:r>
      <w:r>
        <w:rPr>
          <w:rFonts w:hint="eastAsia" w:ascii="宋体" w:hAnsi="宋体" w:cs="宋体"/>
          <w:color w:val="auto"/>
          <w:kern w:val="0"/>
          <w:sz w:val="21"/>
          <w:szCs w:val="21"/>
          <w:highlight w:val="none"/>
          <w:lang w:val="en-US" w:eastAsia="zh-CN"/>
        </w:rPr>
        <w:t>3</w:t>
      </w:r>
      <w:r>
        <w:rPr>
          <w:rFonts w:hint="eastAsia" w:ascii="宋体" w:hAnsi="宋体" w:cs="宋体"/>
          <w:color w:val="auto"/>
          <w:kern w:val="0"/>
          <w:sz w:val="21"/>
          <w:szCs w:val="21"/>
          <w:highlight w:val="none"/>
        </w:rPr>
        <w:t>）政府采购促进残疾人就业政策。</w:t>
      </w:r>
    </w:p>
    <w:p w14:paraId="1862601C">
      <w:pPr>
        <w:keepNext w:val="0"/>
        <w:keepLines w:val="0"/>
        <w:pageBreakBefore w:val="0"/>
        <w:widowControl w:val="0"/>
        <w:shd w:val="clear"/>
        <w:kinsoku/>
        <w:wordWrap w:val="0"/>
        <w:overflowPunct/>
        <w:topLinePunct w:val="0"/>
        <w:autoSpaceDE/>
        <w:autoSpaceDN/>
        <w:bidi w:val="0"/>
        <w:adjustRightInd/>
        <w:snapToGrid/>
        <w:spacing w:line="360" w:lineRule="auto"/>
        <w:ind w:firstLine="315" w:firstLineChars="150"/>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w:t>
      </w:r>
      <w:r>
        <w:rPr>
          <w:rFonts w:hint="eastAsia" w:ascii="宋体" w:hAnsi="宋体" w:cs="宋体"/>
          <w:color w:val="auto"/>
          <w:kern w:val="0"/>
          <w:sz w:val="21"/>
          <w:szCs w:val="21"/>
          <w:highlight w:val="none"/>
          <w:lang w:val="en-US" w:eastAsia="zh-CN"/>
        </w:rPr>
        <w:t>4</w:t>
      </w:r>
      <w:r>
        <w:rPr>
          <w:rFonts w:hint="eastAsia" w:ascii="宋体" w:hAnsi="宋体" w:cs="宋体"/>
          <w:color w:val="auto"/>
          <w:kern w:val="0"/>
          <w:sz w:val="21"/>
          <w:szCs w:val="21"/>
          <w:highlight w:val="none"/>
        </w:rPr>
        <w:t>）政府采购支持监狱企业发展。</w:t>
      </w:r>
      <w:bookmarkEnd w:id="1"/>
    </w:p>
    <w:p w14:paraId="4CF2D544">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lang w:val="en-US" w:eastAsia="zh-CN"/>
        </w:rPr>
        <w:t>5</w:t>
      </w:r>
      <w:r>
        <w:rPr>
          <w:rFonts w:ascii="宋体" w:hAnsi="宋体"/>
          <w:color w:val="auto"/>
          <w:sz w:val="21"/>
          <w:szCs w:val="21"/>
          <w:highlight w:val="none"/>
        </w:rPr>
        <w:t>.</w:t>
      </w:r>
      <w:r>
        <w:rPr>
          <w:rFonts w:hint="eastAsia" w:ascii="宋体" w:hAnsi="宋体"/>
          <w:color w:val="auto"/>
          <w:sz w:val="21"/>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7A873979">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lang w:val="en-US" w:eastAsia="zh-CN"/>
        </w:rPr>
        <w:t>6</w:t>
      </w:r>
      <w:r>
        <w:rPr>
          <w:rFonts w:ascii="宋体" w:hAnsi="宋体"/>
          <w:color w:val="auto"/>
          <w:sz w:val="21"/>
          <w:szCs w:val="21"/>
          <w:highlight w:val="none"/>
        </w:rPr>
        <w:t>.</w:t>
      </w:r>
      <w:r>
        <w:rPr>
          <w:rFonts w:hint="eastAsia" w:ascii="宋体" w:hAnsi="宋体"/>
          <w:color w:val="auto"/>
          <w:sz w:val="21"/>
          <w:szCs w:val="21"/>
          <w:highlight w:val="none"/>
        </w:rPr>
        <w:t>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6E327D81">
      <w:pPr>
        <w:keepNext w:val="0"/>
        <w:keepLines w:val="0"/>
        <w:pageBreakBefore w:val="0"/>
        <w:widowControl w:val="0"/>
        <w:shd w:val="clear"/>
        <w:kinsoku/>
        <w:wordWrap w:val="0"/>
        <w:overflowPunct/>
        <w:topLinePunct w:val="0"/>
        <w:autoSpaceDE/>
        <w:autoSpaceDN/>
        <w:bidi w:val="0"/>
        <w:adjustRightInd/>
        <w:snapToGrid/>
        <w:spacing w:line="360" w:lineRule="auto"/>
        <w:ind w:firstLine="315" w:firstLineChars="150"/>
        <w:textAlignment w:val="auto"/>
        <w:rPr>
          <w:rFonts w:ascii="宋体" w:hAnsi="宋体"/>
          <w:color w:val="auto"/>
          <w:kern w:val="0"/>
          <w:sz w:val="21"/>
          <w:szCs w:val="21"/>
          <w:highlight w:val="none"/>
        </w:rPr>
      </w:pPr>
      <w:r>
        <w:rPr>
          <w:rFonts w:hint="eastAsia" w:ascii="宋体" w:hAnsi="宋体"/>
          <w:color w:val="auto"/>
          <w:kern w:val="0"/>
          <w:sz w:val="21"/>
          <w:szCs w:val="21"/>
          <w:highlight w:val="none"/>
          <w:lang w:val="en-US" w:eastAsia="zh-CN"/>
        </w:rPr>
        <w:t>7</w:t>
      </w:r>
      <w:r>
        <w:rPr>
          <w:rFonts w:hint="eastAsia" w:ascii="宋体" w:hAnsi="宋体"/>
          <w:color w:val="auto"/>
          <w:kern w:val="0"/>
          <w:sz w:val="21"/>
          <w:szCs w:val="21"/>
          <w:highlight w:val="none"/>
        </w:rPr>
        <w:t>.投标人投标注意事项</w:t>
      </w:r>
    </w:p>
    <w:p w14:paraId="09DC670B">
      <w:pPr>
        <w:keepNext w:val="0"/>
        <w:keepLines w:val="0"/>
        <w:pageBreakBefore w:val="0"/>
        <w:widowControl w:val="0"/>
        <w:shd w:val="clear"/>
        <w:kinsoku/>
        <w:wordWrap w:val="0"/>
        <w:overflowPunct/>
        <w:topLinePunct w:val="0"/>
        <w:autoSpaceDE/>
        <w:autoSpaceDN/>
        <w:bidi w:val="0"/>
        <w:adjustRightInd/>
        <w:snapToGrid/>
        <w:spacing w:line="360" w:lineRule="auto"/>
        <w:ind w:firstLine="315" w:firstLineChars="150"/>
        <w:textAlignment w:val="auto"/>
        <w:rPr>
          <w:rFonts w:ascii="宋体" w:hAnsi="宋体"/>
          <w:color w:val="auto"/>
          <w:kern w:val="0"/>
          <w:sz w:val="21"/>
          <w:szCs w:val="21"/>
          <w:highlight w:val="none"/>
        </w:rPr>
      </w:pPr>
      <w:r>
        <w:rPr>
          <w:rFonts w:hint="eastAsia" w:ascii="宋体" w:hAnsi="宋体"/>
          <w:color w:val="auto"/>
          <w:kern w:val="0"/>
          <w:sz w:val="21"/>
          <w:szCs w:val="21"/>
          <w:highlight w:val="none"/>
        </w:rPr>
        <w:t>（1）本项目为全流程电子化采购项目，通过广西政府采购云平台（https://www.gcy.zfcg.gxzf.gov.cn/）实行在线电子投标，投标人应按照本项目招标文件和广西政府采购云平台的要求编制、加密后在投标截止时间前通过网络上传至广西政府采购云平台（加密的电子投标文件是指后缀名为“jmbs”的文件），投标人在广西政府采购云平台提交电子投标文件时，请填写参加远程开标活动经办人联系方式。投标人登录广西政府采购云平台，依次进入“服务中心-项目采购-操作流程-电子招投标-政府采购项目电子交易管理操作指南-供应商”查看电子投标具体操作流程。</w:t>
      </w:r>
    </w:p>
    <w:p w14:paraId="122F992E">
      <w:pPr>
        <w:keepNext w:val="0"/>
        <w:keepLines w:val="0"/>
        <w:pageBreakBefore w:val="0"/>
        <w:widowControl w:val="0"/>
        <w:shd w:val="clear"/>
        <w:kinsoku/>
        <w:wordWrap w:val="0"/>
        <w:overflowPunct/>
        <w:topLinePunct w:val="0"/>
        <w:autoSpaceDE/>
        <w:autoSpaceDN/>
        <w:bidi w:val="0"/>
        <w:adjustRightInd/>
        <w:snapToGrid/>
        <w:spacing w:line="360" w:lineRule="auto"/>
        <w:ind w:firstLine="315" w:firstLineChars="150"/>
        <w:textAlignment w:val="auto"/>
        <w:rPr>
          <w:rFonts w:ascii="宋体" w:hAnsi="宋体"/>
          <w:color w:val="auto"/>
          <w:kern w:val="0"/>
          <w:sz w:val="21"/>
          <w:szCs w:val="21"/>
          <w:highlight w:val="none"/>
        </w:rPr>
      </w:pPr>
      <w:r>
        <w:rPr>
          <w:rFonts w:hint="eastAsia" w:ascii="宋体" w:hAnsi="宋体"/>
          <w:color w:val="auto"/>
          <w:kern w:val="0"/>
          <w:sz w:val="21"/>
          <w:szCs w:val="21"/>
          <w:highlight w:val="none"/>
        </w:rPr>
        <w:t>（2）未进行网上注册并办理数字证书（CA认证）的投标人将无法参与本项目政府采购活动，投标人应当在投标截止时间前，完成电子交易平台上的CA数字证书办理及投标文件的提交（投标人可登录“</w:t>
      </w:r>
      <w:r>
        <w:rPr>
          <w:rFonts w:hint="eastAsia" w:ascii="宋体" w:hAnsi="宋体"/>
          <w:color w:val="auto"/>
          <w:kern w:val="0"/>
          <w:sz w:val="21"/>
          <w:szCs w:val="21"/>
          <w:highlight w:val="none"/>
          <w:lang w:eastAsia="zh-CN"/>
        </w:rPr>
        <w:t>广西壮族自治区政府采购网</w:t>
      </w:r>
      <w:r>
        <w:rPr>
          <w:rFonts w:hint="eastAsia" w:ascii="宋体" w:hAnsi="宋体"/>
          <w:color w:val="auto"/>
          <w:kern w:val="0"/>
          <w:sz w:val="21"/>
          <w:szCs w:val="21"/>
          <w:highlight w:val="none"/>
        </w:rPr>
        <w:t>”，依次进入“办事服务-下载专区”或者登录广西政府采购云平台，依次进入“服务中心-入驻与配置”中查看CA数字证书办理操作流程。如在操作过程中遇到问题或者需要技术支持，请致电客服热线：95763）。</w:t>
      </w:r>
    </w:p>
    <w:p w14:paraId="51C468D4">
      <w:pPr>
        <w:keepNext w:val="0"/>
        <w:keepLines w:val="0"/>
        <w:pageBreakBefore w:val="0"/>
        <w:widowControl w:val="0"/>
        <w:shd w:val="clear"/>
        <w:kinsoku/>
        <w:wordWrap w:val="0"/>
        <w:overflowPunct/>
        <w:topLinePunct w:val="0"/>
        <w:autoSpaceDE/>
        <w:autoSpaceDN/>
        <w:bidi w:val="0"/>
        <w:adjustRightInd/>
        <w:snapToGrid/>
        <w:spacing w:line="360" w:lineRule="auto"/>
        <w:ind w:firstLine="315" w:firstLineChars="150"/>
        <w:textAlignment w:val="auto"/>
        <w:rPr>
          <w:rFonts w:ascii="宋体" w:hAnsi="宋体"/>
          <w:color w:val="auto"/>
          <w:kern w:val="0"/>
          <w:sz w:val="21"/>
          <w:szCs w:val="21"/>
          <w:highlight w:val="none"/>
        </w:rPr>
      </w:pPr>
      <w:r>
        <w:rPr>
          <w:rFonts w:hint="eastAsia" w:ascii="宋体" w:hAnsi="宋体"/>
          <w:color w:val="auto"/>
          <w:kern w:val="0"/>
          <w:sz w:val="21"/>
          <w:szCs w:val="21"/>
          <w:highlight w:val="none"/>
        </w:rPr>
        <w:t>（3）CA证书在线解密：投标人投标时，需凭制作投标文件时用来加密的有效数字证书（CA认证）登录广西政府采购云平台电子开标大厅现场按规定时间对加密的投标文件进行解密，否则后果自负。</w:t>
      </w:r>
    </w:p>
    <w:p w14:paraId="023D853C">
      <w:pPr>
        <w:keepNext w:val="0"/>
        <w:keepLines w:val="0"/>
        <w:pageBreakBefore w:val="0"/>
        <w:widowControl w:val="0"/>
        <w:shd w:val="clear"/>
        <w:kinsoku/>
        <w:wordWrap w:val="0"/>
        <w:overflowPunct/>
        <w:topLinePunct w:val="0"/>
        <w:autoSpaceDE/>
        <w:autoSpaceDN/>
        <w:bidi w:val="0"/>
        <w:adjustRightInd/>
        <w:snapToGrid/>
        <w:spacing w:line="360" w:lineRule="auto"/>
        <w:ind w:firstLine="315" w:firstLineChars="150"/>
        <w:textAlignment w:val="auto"/>
        <w:rPr>
          <w:rFonts w:hint="eastAsia"/>
          <w:color w:val="auto"/>
          <w:sz w:val="21"/>
          <w:szCs w:val="21"/>
          <w:highlight w:val="none"/>
        </w:rPr>
      </w:pPr>
      <w:r>
        <w:rPr>
          <w:rFonts w:hint="eastAsia" w:ascii="宋体" w:hAnsi="宋体"/>
          <w:color w:val="auto"/>
          <w:kern w:val="0"/>
          <w:sz w:val="21"/>
          <w:szCs w:val="21"/>
          <w:highlight w:val="none"/>
        </w:rPr>
        <w:t>注：1）为确保网上操作合法、有效和安全，请投标人确保在电子投标过程中能够对相关数据电文进行加密和使用电子签章，妥善保管CA数字证书并使用有效的CA数字证书参与整个招标活动。2）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p>
    <w:p w14:paraId="3C6E5C2E">
      <w:pPr>
        <w:keepNext w:val="0"/>
        <w:keepLines w:val="0"/>
        <w:pageBreakBefore w:val="0"/>
        <w:widowControl w:val="0"/>
        <w:shd w:val="clear"/>
        <w:kinsoku/>
        <w:overflowPunct/>
        <w:topLinePunct w:val="0"/>
        <w:autoSpaceDE/>
        <w:autoSpaceDN/>
        <w:bidi w:val="0"/>
        <w:adjustRightInd/>
        <w:spacing w:line="360" w:lineRule="auto"/>
        <w:textAlignment w:val="auto"/>
        <w:rPr>
          <w:rFonts w:ascii="黑体" w:hAnsi="黑体" w:eastAsia="黑体"/>
          <w:b/>
          <w:bCs/>
          <w:color w:val="auto"/>
          <w:sz w:val="21"/>
          <w:szCs w:val="21"/>
          <w:highlight w:val="none"/>
        </w:rPr>
      </w:pPr>
      <w:r>
        <w:rPr>
          <w:rFonts w:hint="eastAsia" w:ascii="黑体" w:hAnsi="黑体" w:eastAsia="黑体"/>
          <w:b/>
          <w:bCs/>
          <w:color w:val="auto"/>
          <w:sz w:val="21"/>
          <w:szCs w:val="21"/>
          <w:highlight w:val="none"/>
        </w:rPr>
        <w:t>七、对本次招标提出询问，请按</w:t>
      </w:r>
      <w:r>
        <w:rPr>
          <w:rFonts w:ascii="黑体" w:hAnsi="黑体" w:eastAsia="黑体"/>
          <w:b/>
          <w:bCs/>
          <w:color w:val="auto"/>
          <w:sz w:val="21"/>
          <w:szCs w:val="21"/>
          <w:highlight w:val="none"/>
        </w:rPr>
        <w:t>以下方式</w:t>
      </w:r>
      <w:r>
        <w:rPr>
          <w:rFonts w:hint="eastAsia" w:ascii="黑体" w:hAnsi="黑体" w:eastAsia="黑体"/>
          <w:b/>
          <w:bCs/>
          <w:color w:val="auto"/>
          <w:sz w:val="21"/>
          <w:szCs w:val="21"/>
          <w:highlight w:val="none"/>
        </w:rPr>
        <w:t>联系。</w:t>
      </w:r>
    </w:p>
    <w:p w14:paraId="3B11E04D">
      <w:pPr>
        <w:keepNext w:val="0"/>
        <w:keepLines w:val="0"/>
        <w:pageBreakBefore w:val="0"/>
        <w:widowControl w:val="0"/>
        <w:shd w:val="clear"/>
        <w:kinsoku/>
        <w:overflowPunct/>
        <w:topLinePunct w:val="0"/>
        <w:autoSpaceDE/>
        <w:autoSpaceDN/>
        <w:bidi w:val="0"/>
        <w:adjustRightInd/>
        <w:spacing w:line="360" w:lineRule="auto"/>
        <w:ind w:firstLine="420"/>
        <w:jc w:val="left"/>
        <w:textAlignment w:val="auto"/>
        <w:rPr>
          <w:rFonts w:ascii="宋体" w:hAnsi="宋体" w:cs="宋体"/>
          <w:color w:val="auto"/>
          <w:sz w:val="21"/>
          <w:szCs w:val="21"/>
          <w:highlight w:val="none"/>
        </w:rPr>
      </w:pPr>
      <w:r>
        <w:rPr>
          <w:rFonts w:hint="eastAsia" w:ascii="宋体" w:hAnsi="宋体" w:cs="宋体"/>
          <w:color w:val="auto"/>
          <w:sz w:val="21"/>
          <w:szCs w:val="21"/>
          <w:highlight w:val="none"/>
        </w:rPr>
        <w:t>1.采购人信息</w:t>
      </w:r>
    </w:p>
    <w:p w14:paraId="55DD66F3">
      <w:pPr>
        <w:keepNext w:val="0"/>
        <w:keepLines w:val="0"/>
        <w:pageBreakBefore w:val="0"/>
        <w:widowControl w:val="0"/>
        <w:shd w:val="clear"/>
        <w:kinsoku/>
        <w:overflowPunct/>
        <w:topLinePunct w:val="0"/>
        <w:autoSpaceDE/>
        <w:autoSpaceDN/>
        <w:bidi w:val="0"/>
        <w:adjustRightInd/>
        <w:spacing w:line="360" w:lineRule="auto"/>
        <w:ind w:firstLine="420"/>
        <w:jc w:val="left"/>
        <w:textAlignment w:val="auto"/>
        <w:rPr>
          <w:rFonts w:hint="eastAsia" w:ascii="宋体" w:hAnsi="宋体"/>
          <w:color w:val="auto"/>
          <w:sz w:val="21"/>
          <w:szCs w:val="21"/>
          <w:highlight w:val="none"/>
        </w:rPr>
      </w:pPr>
      <w:r>
        <w:rPr>
          <w:rFonts w:hint="eastAsia" w:ascii="宋体" w:hAnsi="宋体"/>
          <w:color w:val="auto"/>
          <w:sz w:val="21"/>
          <w:szCs w:val="21"/>
          <w:highlight w:val="none"/>
        </w:rPr>
        <w:t>名 称：南宁职业技术大学</w:t>
      </w:r>
    </w:p>
    <w:p w14:paraId="4D896D88">
      <w:pPr>
        <w:keepNext w:val="0"/>
        <w:keepLines w:val="0"/>
        <w:pageBreakBefore w:val="0"/>
        <w:widowControl w:val="0"/>
        <w:shd w:val="clear"/>
        <w:kinsoku/>
        <w:overflowPunct/>
        <w:topLinePunct w:val="0"/>
        <w:autoSpaceDE/>
        <w:autoSpaceDN/>
        <w:bidi w:val="0"/>
        <w:adjustRightInd/>
        <w:spacing w:line="360" w:lineRule="auto"/>
        <w:ind w:firstLine="420"/>
        <w:jc w:val="left"/>
        <w:textAlignment w:val="auto"/>
        <w:rPr>
          <w:rFonts w:hint="eastAsia" w:ascii="宋体" w:hAnsi="宋体"/>
          <w:color w:val="auto"/>
          <w:sz w:val="21"/>
          <w:szCs w:val="21"/>
          <w:highlight w:val="none"/>
        </w:rPr>
      </w:pPr>
      <w:r>
        <w:rPr>
          <w:rFonts w:hint="eastAsia" w:ascii="宋体" w:hAnsi="宋体"/>
          <w:color w:val="auto"/>
          <w:sz w:val="21"/>
          <w:szCs w:val="21"/>
          <w:highlight w:val="none"/>
        </w:rPr>
        <w:t>地 址：广西南宁市西乡塘区大学西路169号</w:t>
      </w:r>
    </w:p>
    <w:p w14:paraId="4AEFE8E3">
      <w:pPr>
        <w:keepNext w:val="0"/>
        <w:keepLines w:val="0"/>
        <w:pageBreakBefore w:val="0"/>
        <w:widowControl w:val="0"/>
        <w:shd w:val="clear"/>
        <w:kinsoku/>
        <w:overflowPunct/>
        <w:topLinePunct w:val="0"/>
        <w:autoSpaceDE/>
        <w:autoSpaceDN/>
        <w:bidi w:val="0"/>
        <w:adjustRightInd/>
        <w:spacing w:line="360" w:lineRule="auto"/>
        <w:ind w:firstLine="420"/>
        <w:jc w:val="left"/>
        <w:textAlignment w:val="auto"/>
        <w:rPr>
          <w:rFonts w:hint="eastAsia" w:ascii="宋体" w:hAnsi="宋体" w:cs="宋体"/>
          <w:color w:val="auto"/>
          <w:sz w:val="21"/>
          <w:szCs w:val="21"/>
          <w:highlight w:val="none"/>
          <w:lang w:eastAsia="zh-CN"/>
        </w:rPr>
      </w:pPr>
      <w:r>
        <w:rPr>
          <w:rFonts w:hint="eastAsia" w:hAnsi="宋体"/>
          <w:color w:val="auto"/>
          <w:sz w:val="21"/>
          <w:szCs w:val="21"/>
          <w:highlight w:val="none"/>
        </w:rPr>
        <w:t>项目联系人：</w:t>
      </w:r>
      <w:r>
        <w:rPr>
          <w:rFonts w:hint="eastAsia" w:ascii="宋体" w:hAnsi="宋体" w:cs="宋体"/>
          <w:color w:val="auto"/>
          <w:sz w:val="21"/>
          <w:szCs w:val="21"/>
          <w:highlight w:val="none"/>
          <w:lang w:eastAsia="zh-CN"/>
        </w:rPr>
        <w:t>王老师</w:t>
      </w:r>
    </w:p>
    <w:p w14:paraId="08DE39FA">
      <w:pPr>
        <w:keepNext w:val="0"/>
        <w:keepLines w:val="0"/>
        <w:pageBreakBefore w:val="0"/>
        <w:widowControl w:val="0"/>
        <w:shd w:val="clear"/>
        <w:kinsoku/>
        <w:overflowPunct/>
        <w:topLinePunct w:val="0"/>
        <w:autoSpaceDE/>
        <w:autoSpaceDN/>
        <w:bidi w:val="0"/>
        <w:adjustRightInd/>
        <w:spacing w:line="360" w:lineRule="auto"/>
        <w:ind w:firstLine="420"/>
        <w:jc w:val="left"/>
        <w:textAlignment w:val="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联系电话：</w:t>
      </w:r>
      <w:r>
        <w:rPr>
          <w:rFonts w:hint="eastAsia" w:ascii="宋体" w:hAnsi="宋体" w:cs="宋体"/>
          <w:color w:val="auto"/>
          <w:sz w:val="21"/>
          <w:szCs w:val="21"/>
          <w:highlight w:val="none"/>
          <w:lang w:eastAsia="zh-CN"/>
        </w:rPr>
        <w:t>0771-2029355</w:t>
      </w:r>
    </w:p>
    <w:p w14:paraId="2DD4498F">
      <w:pPr>
        <w:keepNext w:val="0"/>
        <w:keepLines w:val="0"/>
        <w:pageBreakBefore w:val="0"/>
        <w:widowControl w:val="0"/>
        <w:shd w:val="clear"/>
        <w:kinsoku/>
        <w:overflowPunct/>
        <w:topLinePunct w:val="0"/>
        <w:autoSpaceDE/>
        <w:autoSpaceDN/>
        <w:bidi w:val="0"/>
        <w:adjustRightInd/>
        <w:spacing w:line="360" w:lineRule="auto"/>
        <w:ind w:firstLine="420"/>
        <w:jc w:val="left"/>
        <w:textAlignment w:val="auto"/>
        <w:rPr>
          <w:rFonts w:ascii="宋体" w:hAnsi="宋体" w:cs="宋体"/>
          <w:color w:val="auto"/>
          <w:sz w:val="21"/>
          <w:szCs w:val="21"/>
          <w:highlight w:val="none"/>
        </w:rPr>
      </w:pPr>
      <w:r>
        <w:rPr>
          <w:rFonts w:hint="eastAsia" w:ascii="宋体" w:hAnsi="宋体" w:cs="宋体"/>
          <w:color w:val="auto"/>
          <w:sz w:val="21"/>
          <w:szCs w:val="21"/>
          <w:highlight w:val="none"/>
        </w:rPr>
        <w:t>2.采购代理机构信息</w:t>
      </w:r>
    </w:p>
    <w:p w14:paraId="33A02F34">
      <w:pPr>
        <w:keepNext w:val="0"/>
        <w:keepLines w:val="0"/>
        <w:pageBreakBefore w:val="0"/>
        <w:widowControl w:val="0"/>
        <w:shd w:val="clear"/>
        <w:kinsoku/>
        <w:overflowPunct/>
        <w:topLinePunct w:val="0"/>
        <w:autoSpaceDE/>
        <w:autoSpaceDN/>
        <w:bidi w:val="0"/>
        <w:adjustRightInd/>
        <w:spacing w:line="360" w:lineRule="auto"/>
        <w:ind w:firstLine="420"/>
        <w:jc w:val="left"/>
        <w:textAlignment w:val="auto"/>
        <w:rPr>
          <w:rFonts w:ascii="宋体" w:hAnsi="宋体" w:cs="宋体"/>
          <w:color w:val="auto"/>
          <w:sz w:val="21"/>
          <w:szCs w:val="21"/>
          <w:highlight w:val="none"/>
        </w:rPr>
      </w:pPr>
      <w:r>
        <w:rPr>
          <w:rFonts w:hint="eastAsia" w:ascii="宋体" w:hAnsi="宋体" w:cs="宋体"/>
          <w:color w:val="auto"/>
          <w:sz w:val="21"/>
          <w:szCs w:val="21"/>
          <w:highlight w:val="none"/>
        </w:rPr>
        <w:t>名 称：</w:t>
      </w:r>
      <w:r>
        <w:rPr>
          <w:rFonts w:hint="eastAsia" w:ascii="宋体" w:hAnsi="宋体" w:cs="宋体"/>
          <w:color w:val="auto"/>
          <w:sz w:val="21"/>
          <w:szCs w:val="21"/>
          <w:highlight w:val="none"/>
          <w:lang w:eastAsia="zh-CN"/>
        </w:rPr>
        <w:t>广西</w:t>
      </w:r>
      <w:bookmarkStart w:id="2" w:name="OLE_LINK1"/>
      <w:r>
        <w:rPr>
          <w:rFonts w:hint="eastAsia" w:ascii="宋体" w:hAnsi="宋体" w:cs="宋体"/>
          <w:color w:val="auto"/>
          <w:sz w:val="21"/>
          <w:szCs w:val="21"/>
          <w:highlight w:val="none"/>
          <w:lang w:eastAsia="zh-CN"/>
        </w:rPr>
        <w:t>建设</w:t>
      </w:r>
      <w:bookmarkEnd w:id="2"/>
      <w:r>
        <w:rPr>
          <w:rFonts w:hint="eastAsia" w:ascii="宋体" w:hAnsi="宋体" w:cs="宋体"/>
          <w:color w:val="auto"/>
          <w:sz w:val="21"/>
          <w:szCs w:val="21"/>
          <w:highlight w:val="none"/>
          <w:lang w:eastAsia="zh-CN"/>
        </w:rPr>
        <w:t>工程机电设备招标中心有限公司</w:t>
      </w:r>
      <w:r>
        <w:rPr>
          <w:rFonts w:hint="eastAsia" w:ascii="宋体" w:hAnsi="宋体" w:cs="宋体"/>
          <w:color w:val="auto"/>
          <w:sz w:val="21"/>
          <w:szCs w:val="21"/>
          <w:highlight w:val="none"/>
        </w:rPr>
        <w:t>　　　　　　　　　　　　</w:t>
      </w:r>
    </w:p>
    <w:p w14:paraId="731D855A">
      <w:pPr>
        <w:keepNext w:val="0"/>
        <w:keepLines w:val="0"/>
        <w:pageBreakBefore w:val="0"/>
        <w:widowControl w:val="0"/>
        <w:shd w:val="clear"/>
        <w:kinsoku/>
        <w:overflowPunct/>
        <w:topLinePunct w:val="0"/>
        <w:autoSpaceDE/>
        <w:autoSpaceDN/>
        <w:bidi w:val="0"/>
        <w:adjustRightInd/>
        <w:spacing w:line="360" w:lineRule="auto"/>
        <w:ind w:firstLine="420"/>
        <w:jc w:val="left"/>
        <w:textAlignment w:val="auto"/>
        <w:rPr>
          <w:rFonts w:ascii="宋体" w:hAnsi="宋体" w:cs="宋体"/>
          <w:color w:val="auto"/>
          <w:sz w:val="21"/>
          <w:szCs w:val="21"/>
          <w:highlight w:val="none"/>
        </w:rPr>
      </w:pPr>
      <w:r>
        <w:rPr>
          <w:rFonts w:hint="eastAsia" w:ascii="宋体" w:hAnsi="宋体" w:cs="宋体"/>
          <w:color w:val="auto"/>
          <w:sz w:val="21"/>
          <w:szCs w:val="21"/>
          <w:highlight w:val="none"/>
        </w:rPr>
        <w:t>地 址：</w:t>
      </w:r>
      <w:r>
        <w:rPr>
          <w:rFonts w:hint="eastAsia" w:ascii="宋体" w:hAnsi="宋体" w:cs="宋体"/>
          <w:color w:val="auto"/>
          <w:sz w:val="21"/>
          <w:szCs w:val="21"/>
          <w:highlight w:val="none"/>
          <w:lang w:eastAsia="zh-CN"/>
        </w:rPr>
        <w:t>南宁市青秀区枫林路18号广西国控集团（枫林路办公区）裙楼三层</w:t>
      </w:r>
      <w:r>
        <w:rPr>
          <w:rFonts w:hint="eastAsia" w:ascii="宋体" w:hAnsi="宋体" w:cs="宋体"/>
          <w:color w:val="auto"/>
          <w:sz w:val="21"/>
          <w:szCs w:val="21"/>
          <w:highlight w:val="none"/>
        </w:rPr>
        <w:t>　　　　　　　　　　　　</w:t>
      </w:r>
    </w:p>
    <w:p w14:paraId="743A45CF">
      <w:pPr>
        <w:keepNext w:val="0"/>
        <w:keepLines w:val="0"/>
        <w:pageBreakBefore w:val="0"/>
        <w:widowControl w:val="0"/>
        <w:shd w:val="clear"/>
        <w:kinsoku/>
        <w:overflowPunct/>
        <w:topLinePunct w:val="0"/>
        <w:autoSpaceDE/>
        <w:autoSpaceDN/>
        <w:bidi w:val="0"/>
        <w:adjustRightInd/>
        <w:spacing w:line="360" w:lineRule="auto"/>
        <w:ind w:firstLine="420"/>
        <w:jc w:val="left"/>
        <w:textAlignment w:val="auto"/>
        <w:rPr>
          <w:rFonts w:hint="default" w:ascii="宋体" w:hAnsi="宋体" w:cs="宋体"/>
          <w:color w:val="auto"/>
          <w:sz w:val="21"/>
          <w:szCs w:val="21"/>
          <w:highlight w:val="none"/>
          <w:lang w:val="en-US"/>
        </w:rPr>
      </w:pPr>
      <w:r>
        <w:rPr>
          <w:rFonts w:hint="eastAsia" w:ascii="宋体" w:hAnsi="宋体" w:cs="宋体"/>
          <w:color w:val="auto"/>
          <w:sz w:val="21"/>
          <w:szCs w:val="21"/>
          <w:highlight w:val="none"/>
        </w:rPr>
        <w:t>项目联系人：</w:t>
      </w:r>
      <w:r>
        <w:rPr>
          <w:rFonts w:hint="eastAsia" w:ascii="宋体" w:hAnsi="宋体" w:cs="宋体"/>
          <w:color w:val="auto"/>
          <w:sz w:val="21"/>
          <w:szCs w:val="21"/>
          <w:highlight w:val="none"/>
          <w:lang w:val="en-US" w:eastAsia="zh-CN"/>
        </w:rPr>
        <w:t>陈泰东、王剑、陈大鹏</w:t>
      </w:r>
    </w:p>
    <w:p w14:paraId="4496B323">
      <w:pPr>
        <w:keepNext w:val="0"/>
        <w:keepLines w:val="0"/>
        <w:pageBreakBefore w:val="0"/>
        <w:widowControl w:val="0"/>
        <w:shd w:val="clear"/>
        <w:kinsoku/>
        <w:overflowPunct/>
        <w:topLinePunct w:val="0"/>
        <w:autoSpaceDE/>
        <w:autoSpaceDN/>
        <w:bidi w:val="0"/>
        <w:adjustRightInd/>
        <w:spacing w:line="360" w:lineRule="auto"/>
        <w:ind w:firstLine="420"/>
        <w:jc w:val="left"/>
        <w:textAlignment w:val="auto"/>
        <w:rPr>
          <w:rFonts w:ascii="宋体" w:hAnsi="宋体" w:cs="宋体"/>
          <w:color w:val="auto"/>
          <w:sz w:val="21"/>
          <w:szCs w:val="21"/>
          <w:highlight w:val="none"/>
        </w:rPr>
      </w:pPr>
      <w:r>
        <w:rPr>
          <w:rFonts w:hint="eastAsia" w:ascii="宋体" w:hAnsi="宋体" w:cs="宋体"/>
          <w:color w:val="auto"/>
          <w:sz w:val="21"/>
          <w:szCs w:val="21"/>
          <w:highlight w:val="none"/>
        </w:rPr>
        <w:t>联系电话：</w:t>
      </w:r>
      <w:r>
        <w:rPr>
          <w:rFonts w:hint="eastAsia" w:ascii="宋体" w:hAnsi="宋体" w:cs="宋体"/>
          <w:color w:val="auto"/>
          <w:sz w:val="21"/>
          <w:szCs w:val="21"/>
          <w:highlight w:val="none"/>
          <w:lang w:eastAsia="zh-CN"/>
        </w:rPr>
        <w:t>0771-5824250</w:t>
      </w:r>
      <w:r>
        <w:rPr>
          <w:rFonts w:hint="eastAsia" w:ascii="宋体" w:hAnsi="宋体" w:cs="宋体"/>
          <w:color w:val="auto"/>
          <w:sz w:val="21"/>
          <w:szCs w:val="21"/>
          <w:highlight w:val="none"/>
        </w:rPr>
        <w:t>　　　　　　　　</w:t>
      </w:r>
    </w:p>
    <w:p w14:paraId="0399D9F5">
      <w:pPr>
        <w:pStyle w:val="11"/>
        <w:spacing w:line="360" w:lineRule="auto"/>
        <w:ind w:firstLine="420" w:firstLineChars="200"/>
        <w:rPr>
          <w:rFonts w:ascii="Arial" w:hAnsi="Arial" w:cs="Arial"/>
          <w:szCs w:val="21"/>
          <w:highlight w:val="none"/>
        </w:rPr>
      </w:pPr>
      <w:r>
        <w:rPr>
          <w:rFonts w:ascii="Arial" w:hAnsi="Arial" w:cs="Arial"/>
          <w:szCs w:val="21"/>
          <w:highlight w:val="none"/>
        </w:rPr>
        <w:t xml:space="preserve">附件： </w:t>
      </w:r>
    </w:p>
    <w:p w14:paraId="683B907D">
      <w:pPr>
        <w:spacing w:line="360" w:lineRule="auto"/>
        <w:ind w:firstLine="420" w:firstLineChars="200"/>
        <w:rPr>
          <w:rFonts w:ascii="Arial" w:hAnsi="Arial" w:cs="Arial"/>
          <w:szCs w:val="21"/>
          <w:highlight w:val="none"/>
        </w:rPr>
      </w:pPr>
      <w:r>
        <w:rPr>
          <w:rFonts w:ascii="Arial" w:hAnsi="Arial" w:cs="Arial"/>
          <w:szCs w:val="21"/>
          <w:highlight w:val="none"/>
        </w:rPr>
        <w:t>1.CA证书申请方式及操作指南下载地址（</w:t>
      </w:r>
      <w:r>
        <w:rPr>
          <w:rFonts w:hint="eastAsia" w:ascii="Arial" w:hAnsi="Arial" w:cs="Arial"/>
          <w:szCs w:val="21"/>
          <w:highlight w:val="none"/>
          <w:lang w:eastAsia="zh-CN"/>
        </w:rPr>
        <w:t>登录</w:t>
      </w:r>
      <w:r>
        <w:rPr>
          <w:rFonts w:ascii="Arial" w:hAnsi="Arial" w:cs="Arial"/>
          <w:szCs w:val="21"/>
          <w:highlight w:val="none"/>
        </w:rPr>
        <w:t>http://nncz.nanning.gov.cn/（南宁市财政局官网）</w:t>
      </w:r>
      <w:r>
        <w:rPr>
          <w:rFonts w:hint="eastAsia" w:ascii="Arial" w:hAnsi="Arial" w:cs="Arial"/>
          <w:szCs w:val="21"/>
          <w:highlight w:val="none"/>
          <w:lang w:eastAsia="zh-CN"/>
        </w:rPr>
        <w:t>－</w:t>
      </w:r>
      <w:r>
        <w:rPr>
          <w:rFonts w:ascii="Arial" w:hAnsi="Arial" w:cs="Arial"/>
          <w:szCs w:val="21"/>
          <w:highlight w:val="none"/>
        </w:rPr>
        <w:t>业务专题</w:t>
      </w:r>
      <w:r>
        <w:rPr>
          <w:rFonts w:hint="eastAsia" w:ascii="Arial" w:hAnsi="Arial" w:cs="Arial"/>
          <w:szCs w:val="21"/>
          <w:highlight w:val="none"/>
          <w:lang w:eastAsia="zh-CN"/>
        </w:rPr>
        <w:t>－</w:t>
      </w:r>
      <w:r>
        <w:rPr>
          <w:rFonts w:ascii="Arial" w:hAnsi="Arial" w:cs="Arial"/>
          <w:szCs w:val="21"/>
          <w:highlight w:val="none"/>
        </w:rPr>
        <w:t>政府采购监督管理</w:t>
      </w:r>
      <w:r>
        <w:rPr>
          <w:rFonts w:hint="eastAsia" w:ascii="Arial" w:hAnsi="Arial" w:cs="Arial"/>
          <w:szCs w:val="21"/>
          <w:highlight w:val="none"/>
          <w:lang w:eastAsia="zh-CN"/>
        </w:rPr>
        <w:t>－</w:t>
      </w:r>
      <w:r>
        <w:rPr>
          <w:rFonts w:ascii="Arial" w:hAnsi="Arial" w:cs="Arial"/>
          <w:szCs w:val="21"/>
          <w:highlight w:val="none"/>
        </w:rPr>
        <w:t>资料下载</w:t>
      </w:r>
      <w:r>
        <w:rPr>
          <w:rFonts w:hint="eastAsia" w:ascii="Arial" w:hAnsi="Arial" w:cs="Arial"/>
          <w:szCs w:val="21"/>
          <w:highlight w:val="none"/>
          <w:lang w:eastAsia="zh-CN"/>
        </w:rPr>
        <w:t>－</w:t>
      </w:r>
      <w:r>
        <w:rPr>
          <w:rFonts w:ascii="Arial" w:hAnsi="Arial" w:cs="Arial"/>
          <w:szCs w:val="21"/>
          <w:highlight w:val="none"/>
        </w:rPr>
        <w:t>“广西政采云西部CA办理方式”或“南宁市政采云CA证书办理操作指南”）</w:t>
      </w:r>
    </w:p>
    <w:p w14:paraId="2B5F27FD">
      <w:pPr>
        <w:keepNext w:val="0"/>
        <w:keepLines w:val="0"/>
        <w:pageBreakBefore w:val="0"/>
        <w:widowControl w:val="0"/>
        <w:shd w:val="clear"/>
        <w:kinsoku/>
        <w:overflowPunct/>
        <w:topLinePunct w:val="0"/>
        <w:autoSpaceDE/>
        <w:autoSpaceDN/>
        <w:bidi w:val="0"/>
        <w:adjustRightInd/>
        <w:spacing w:line="360" w:lineRule="auto"/>
        <w:ind w:firstLine="420" w:firstLineChars="200"/>
        <w:jc w:val="left"/>
        <w:textAlignment w:val="auto"/>
        <w:rPr>
          <w:rFonts w:ascii="Arial" w:hAnsi="Arial" w:cs="Arial"/>
          <w:szCs w:val="21"/>
          <w:highlight w:val="none"/>
        </w:rPr>
      </w:pPr>
      <w:r>
        <w:rPr>
          <w:rFonts w:ascii="Arial" w:hAnsi="Arial" w:cs="Arial"/>
          <w:szCs w:val="21"/>
          <w:highlight w:val="none"/>
        </w:rPr>
        <w:t>2.电子响应文件制作与投送教程（在此网址下载：http://nncz.nanning.gov.cn/（南宁市财政局官网）</w:t>
      </w:r>
      <w:r>
        <w:rPr>
          <w:rFonts w:hint="eastAsia" w:ascii="Arial" w:hAnsi="Arial" w:cs="Arial"/>
          <w:szCs w:val="21"/>
          <w:highlight w:val="none"/>
          <w:lang w:eastAsia="zh-CN"/>
        </w:rPr>
        <w:t>－</w:t>
      </w:r>
      <w:r>
        <w:rPr>
          <w:rFonts w:ascii="Arial" w:hAnsi="Arial" w:cs="Arial"/>
          <w:szCs w:val="21"/>
          <w:highlight w:val="none"/>
        </w:rPr>
        <w:t>业务专题</w:t>
      </w:r>
      <w:r>
        <w:rPr>
          <w:rFonts w:hint="eastAsia" w:ascii="Arial" w:hAnsi="Arial" w:cs="Arial"/>
          <w:szCs w:val="21"/>
          <w:highlight w:val="none"/>
          <w:lang w:eastAsia="zh-CN"/>
        </w:rPr>
        <w:t>－</w:t>
      </w:r>
      <w:r>
        <w:rPr>
          <w:rFonts w:ascii="Arial" w:hAnsi="Arial" w:cs="Arial"/>
          <w:szCs w:val="21"/>
          <w:highlight w:val="none"/>
        </w:rPr>
        <w:t>政府采购监督管理</w:t>
      </w:r>
      <w:r>
        <w:rPr>
          <w:rFonts w:hint="eastAsia" w:ascii="Arial" w:hAnsi="Arial" w:cs="Arial"/>
          <w:szCs w:val="21"/>
          <w:highlight w:val="none"/>
          <w:lang w:eastAsia="zh-CN"/>
        </w:rPr>
        <w:t>－</w:t>
      </w:r>
      <w:r>
        <w:rPr>
          <w:rFonts w:ascii="Arial" w:hAnsi="Arial" w:cs="Arial"/>
          <w:szCs w:val="21"/>
          <w:highlight w:val="none"/>
        </w:rPr>
        <w:t>资料下载</w:t>
      </w:r>
      <w:r>
        <w:rPr>
          <w:rFonts w:hint="eastAsia" w:ascii="Arial" w:hAnsi="Arial" w:cs="Arial"/>
          <w:szCs w:val="21"/>
          <w:highlight w:val="none"/>
          <w:lang w:eastAsia="zh-CN"/>
        </w:rPr>
        <w:t>－</w:t>
      </w:r>
      <w:r>
        <w:rPr>
          <w:rFonts w:ascii="Arial" w:hAnsi="Arial" w:cs="Arial"/>
          <w:szCs w:val="21"/>
          <w:highlight w:val="none"/>
        </w:rPr>
        <w:t>南宁市政府采购项目全流程电子化交易操作指南）</w:t>
      </w:r>
    </w:p>
    <w:p w14:paraId="1969468E">
      <w:pPr>
        <w:keepNext w:val="0"/>
        <w:keepLines w:val="0"/>
        <w:pageBreakBefore w:val="0"/>
        <w:widowControl w:val="0"/>
        <w:shd w:val="clear"/>
        <w:kinsoku/>
        <w:overflowPunct/>
        <w:topLinePunct w:val="0"/>
        <w:autoSpaceDE/>
        <w:autoSpaceDN/>
        <w:bidi w:val="0"/>
        <w:adjustRightInd/>
        <w:spacing w:line="360" w:lineRule="auto"/>
        <w:ind w:firstLine="420" w:firstLineChars="200"/>
        <w:jc w:val="left"/>
        <w:textAlignment w:val="auto"/>
        <w:rPr>
          <w:rFonts w:hint="eastAsia" w:ascii="Arial" w:hAnsi="Arial" w:cs="Arial"/>
          <w:szCs w:val="21"/>
          <w:highlight w:val="none"/>
        </w:rPr>
      </w:pPr>
    </w:p>
    <w:p w14:paraId="29058596">
      <w:pPr>
        <w:keepNext w:val="0"/>
        <w:keepLines w:val="0"/>
        <w:pageBreakBefore w:val="0"/>
        <w:widowControl w:val="0"/>
        <w:shd w:val="clear"/>
        <w:kinsoku/>
        <w:overflowPunct/>
        <w:topLinePunct w:val="0"/>
        <w:autoSpaceDE/>
        <w:autoSpaceDN/>
        <w:bidi w:val="0"/>
        <w:adjustRightInd/>
        <w:spacing w:line="360" w:lineRule="auto"/>
        <w:ind w:firstLine="210" w:firstLineChars="100"/>
        <w:jc w:val="right"/>
        <w:textAlignment w:val="auto"/>
        <w:rPr>
          <w:rFonts w:hint="eastAsia" w:ascii="宋体" w:hAnsi="宋体" w:eastAsia="宋体"/>
          <w:color w:val="auto"/>
          <w:sz w:val="21"/>
          <w:szCs w:val="21"/>
          <w:highlight w:val="none"/>
          <w:u w:val="none"/>
          <w:lang w:eastAsia="zh-CN"/>
        </w:rPr>
      </w:pPr>
      <w:r>
        <w:rPr>
          <w:rFonts w:hint="eastAsia" w:ascii="宋体" w:hAnsi="宋体"/>
          <w:color w:val="auto"/>
          <w:sz w:val="21"/>
          <w:szCs w:val="21"/>
          <w:highlight w:val="none"/>
          <w:u w:val="none"/>
          <w:lang w:eastAsia="zh-CN"/>
        </w:rPr>
        <w:t>广西建设工程机电设备招标中心有限公司</w:t>
      </w:r>
    </w:p>
    <w:p w14:paraId="1EAAB2B1">
      <w:pPr>
        <w:keepNext w:val="0"/>
        <w:keepLines w:val="0"/>
        <w:pageBreakBefore w:val="0"/>
        <w:widowControl w:val="0"/>
        <w:shd w:val="clear"/>
        <w:kinsoku/>
        <w:overflowPunct/>
        <w:topLinePunct w:val="0"/>
        <w:autoSpaceDE/>
        <w:autoSpaceDN/>
        <w:bidi w:val="0"/>
        <w:adjustRightInd/>
        <w:spacing w:line="360" w:lineRule="auto"/>
        <w:ind w:firstLine="210" w:firstLineChars="100"/>
        <w:jc w:val="right"/>
        <w:textAlignment w:val="auto"/>
        <w:rPr>
          <w:rFonts w:hint="eastAsia" w:ascii="宋体" w:hAnsi="宋体"/>
          <w:color w:val="auto"/>
          <w:sz w:val="21"/>
          <w:szCs w:val="21"/>
          <w:highlight w:val="yellow"/>
          <w:u w:val="none"/>
        </w:rPr>
      </w:pPr>
      <w:r>
        <w:rPr>
          <w:rFonts w:hint="eastAsia" w:ascii="宋体" w:hAnsi="宋体"/>
          <w:color w:val="auto"/>
          <w:sz w:val="21"/>
          <w:szCs w:val="21"/>
          <w:highlight w:val="none"/>
          <w:u w:val="none"/>
        </w:rPr>
        <w:t xml:space="preserve"> 202</w:t>
      </w:r>
      <w:r>
        <w:rPr>
          <w:rFonts w:hint="eastAsia" w:ascii="宋体" w:hAnsi="宋体"/>
          <w:color w:val="auto"/>
          <w:sz w:val="21"/>
          <w:szCs w:val="21"/>
          <w:highlight w:val="none"/>
          <w:u w:val="none"/>
          <w:lang w:val="en-US" w:eastAsia="zh-CN"/>
        </w:rPr>
        <w:t>6年9</w:t>
      </w:r>
      <w:r>
        <w:rPr>
          <w:rFonts w:hint="eastAsia" w:ascii="宋体" w:hAnsi="宋体" w:eastAsia="宋体" w:cs="Times New Roman"/>
          <w:color w:val="auto"/>
          <w:sz w:val="21"/>
          <w:szCs w:val="21"/>
          <w:highlight w:val="none"/>
        </w:rPr>
        <w:t>月</w:t>
      </w:r>
      <w:r>
        <w:rPr>
          <w:rFonts w:hint="eastAsia" w:ascii="宋体" w:hAnsi="宋体" w:cs="Times New Roman"/>
          <w:color w:val="auto"/>
          <w:sz w:val="21"/>
          <w:szCs w:val="21"/>
          <w:highlight w:val="none"/>
          <w:lang w:val="en-US" w:eastAsia="zh-CN"/>
        </w:rPr>
        <w:t xml:space="preserve"> 24 </w:t>
      </w:r>
      <w:r>
        <w:rPr>
          <w:rFonts w:hint="eastAsia" w:ascii="宋体" w:hAnsi="宋体" w:eastAsia="宋体" w:cs="Times New Roman"/>
          <w:color w:val="auto"/>
          <w:sz w:val="21"/>
          <w:szCs w:val="21"/>
          <w:highlight w:val="none"/>
        </w:rPr>
        <w:t>日</w:t>
      </w:r>
    </w:p>
    <w:p w14:paraId="106C0F71">
      <w:pPr>
        <w:keepNext w:val="0"/>
        <w:keepLines w:val="0"/>
        <w:pageBreakBefore w:val="0"/>
        <w:widowControl w:val="0"/>
        <w:shd w:val="clear"/>
        <w:kinsoku/>
        <w:overflowPunct/>
        <w:topLinePunct w:val="0"/>
        <w:autoSpaceDE/>
        <w:autoSpaceDN/>
        <w:bidi w:val="0"/>
        <w:adjustRightInd/>
        <w:snapToGrid w:val="0"/>
        <w:spacing w:line="360" w:lineRule="auto"/>
        <w:ind w:firstLine="420"/>
        <w:textAlignment w:val="auto"/>
        <w:rPr>
          <w:rFonts w:ascii="宋体" w:hAnsi="宋体" w:cs="宋体"/>
          <w:color w:val="auto"/>
          <w:sz w:val="21"/>
          <w:szCs w:val="21"/>
          <w:highlight w:val="none"/>
          <w:lang w:val="zh-CN"/>
        </w:rPr>
        <w:sectPr>
          <w:pgSz w:w="11905" w:h="16838"/>
          <w:pgMar w:top="1134" w:right="1134" w:bottom="1134" w:left="1134" w:header="720" w:footer="720" w:gutter="0"/>
          <w:pgNumType w:start="1"/>
          <w:cols w:space="0" w:num="1"/>
          <w:rtlGutter w:val="0"/>
          <w:docGrid w:type="lines" w:linePitch="331" w:charSpace="0"/>
        </w:sectPr>
      </w:pPr>
    </w:p>
    <w:p w14:paraId="59DEC510">
      <w:pPr>
        <w:shd w:val="clear"/>
        <w:jc w:val="center"/>
        <w:outlineLvl w:val="0"/>
        <w:rPr>
          <w:rFonts w:hint="eastAsia"/>
          <w:b/>
          <w:color w:val="auto"/>
          <w:sz w:val="36"/>
          <w:szCs w:val="20"/>
          <w:highlight w:val="none"/>
        </w:rPr>
      </w:pPr>
      <w:bookmarkStart w:id="3" w:name="_Toc171344344"/>
      <w:r>
        <w:rPr>
          <w:rFonts w:hint="eastAsia"/>
          <w:b/>
          <w:color w:val="auto"/>
          <w:sz w:val="36"/>
          <w:szCs w:val="20"/>
          <w:highlight w:val="none"/>
        </w:rPr>
        <w:t>第二章</w:t>
      </w:r>
      <w:r>
        <w:rPr>
          <w:b/>
          <w:color w:val="auto"/>
          <w:sz w:val="36"/>
          <w:szCs w:val="20"/>
          <w:highlight w:val="none"/>
        </w:rPr>
        <w:t xml:space="preserve">  </w:t>
      </w:r>
      <w:r>
        <w:rPr>
          <w:rFonts w:hint="eastAsia"/>
          <w:b/>
          <w:color w:val="auto"/>
          <w:sz w:val="36"/>
          <w:szCs w:val="20"/>
          <w:highlight w:val="none"/>
        </w:rPr>
        <w:t>采购需求</w:t>
      </w:r>
      <w:bookmarkEnd w:id="3"/>
    </w:p>
    <w:p w14:paraId="39F9904B">
      <w:pPr>
        <w:shd w:val="clear"/>
        <w:adjustRightInd w:val="0"/>
        <w:spacing w:line="360" w:lineRule="auto"/>
        <w:rPr>
          <w:rFonts w:hAnsi="宋体"/>
          <w:b/>
          <w:color w:val="auto"/>
          <w:szCs w:val="21"/>
          <w:highlight w:val="none"/>
        </w:rPr>
      </w:pPr>
    </w:p>
    <w:p w14:paraId="526BCF14">
      <w:pPr>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hAnsi="宋体"/>
          <w:b/>
          <w:color w:val="auto"/>
          <w:szCs w:val="21"/>
          <w:highlight w:val="none"/>
        </w:rPr>
      </w:pPr>
      <w:r>
        <w:rPr>
          <w:rFonts w:hint="eastAsia" w:hAnsi="宋体"/>
          <w:b/>
          <w:color w:val="auto"/>
          <w:szCs w:val="21"/>
          <w:highlight w:val="none"/>
        </w:rPr>
        <w:t>说明：</w:t>
      </w:r>
    </w:p>
    <w:p w14:paraId="1B98ACF0">
      <w:pPr>
        <w:keepNext w:val="0"/>
        <w:keepLines w:val="0"/>
        <w:pageBreakBefore w:val="0"/>
        <w:widowControl w:val="0"/>
        <w:shd w:val="clear"/>
        <w:kinsoku/>
        <w:wordWrap/>
        <w:overflowPunct/>
        <w:topLinePunct w:val="0"/>
        <w:autoSpaceDE/>
        <w:autoSpaceDN/>
        <w:bidi w:val="0"/>
        <w:snapToGrid/>
        <w:spacing w:line="360" w:lineRule="auto"/>
        <w:ind w:firstLine="420" w:firstLineChars="200"/>
        <w:jc w:val="left"/>
        <w:textAlignment w:val="auto"/>
        <w:rPr>
          <w:rFonts w:hint="eastAsia" w:ascii="宋体" w:hAnsi="宋体" w:eastAsia="宋体" w:cs="宋体"/>
          <w:b w:val="0"/>
          <w:bCs/>
          <w:color w:val="auto"/>
          <w:highlight w:val="none"/>
        </w:rPr>
      </w:pPr>
      <w:r>
        <w:rPr>
          <w:rFonts w:hint="eastAsia" w:ascii="宋体" w:hAnsi="宋体" w:eastAsia="宋体" w:cs="宋体"/>
          <w:b w:val="0"/>
          <w:bCs/>
          <w:color w:val="auto"/>
          <w:highlight w:val="none"/>
        </w:rPr>
        <w:t>1. 为落实政府采购政策需满足的要求</w:t>
      </w:r>
    </w:p>
    <w:p w14:paraId="6F8627EA">
      <w:pPr>
        <w:keepNext w:val="0"/>
        <w:keepLines w:val="0"/>
        <w:pageBreakBefore w:val="0"/>
        <w:widowControl w:val="0"/>
        <w:shd w:val="clear"/>
        <w:kinsoku/>
        <w:wordWrap/>
        <w:overflowPunct/>
        <w:topLinePunct w:val="0"/>
        <w:autoSpaceDE/>
        <w:autoSpaceDN/>
        <w:bidi w:val="0"/>
        <w:snapToGrid/>
        <w:spacing w:line="360" w:lineRule="auto"/>
        <w:ind w:firstLine="420" w:firstLineChars="200"/>
        <w:jc w:val="left"/>
        <w:textAlignment w:val="auto"/>
        <w:rPr>
          <w:rFonts w:hint="eastAsia" w:ascii="宋体" w:hAnsi="宋体" w:eastAsia="宋体" w:cs="宋体"/>
          <w:b w:val="0"/>
          <w:bCs/>
          <w:color w:val="auto"/>
          <w:highlight w:val="none"/>
        </w:rPr>
      </w:pPr>
      <w:r>
        <w:rPr>
          <w:rFonts w:hint="eastAsia" w:ascii="宋体" w:hAnsi="宋体" w:eastAsia="宋体" w:cs="宋体"/>
          <w:b w:val="0"/>
          <w:bCs/>
          <w:color w:val="auto"/>
          <w:highlight w:val="none"/>
        </w:rPr>
        <w:t>（1）本招标文件所称中小企业必须符合《政府采购促进中小企业发展管理办法》（财库〔2020〕46号）的规定。</w:t>
      </w:r>
    </w:p>
    <w:p w14:paraId="44489016">
      <w:pPr>
        <w:keepNext w:val="0"/>
        <w:keepLines w:val="0"/>
        <w:pageBreakBefore w:val="0"/>
        <w:widowControl w:val="0"/>
        <w:shd w:val="clear"/>
        <w:kinsoku/>
        <w:wordWrap/>
        <w:overflowPunct/>
        <w:topLinePunct w:val="0"/>
        <w:autoSpaceDE/>
        <w:autoSpaceDN/>
        <w:bidi w:val="0"/>
        <w:snapToGrid/>
        <w:spacing w:line="360" w:lineRule="auto"/>
        <w:ind w:firstLine="420" w:firstLineChars="200"/>
        <w:jc w:val="left"/>
        <w:textAlignment w:val="auto"/>
        <w:rPr>
          <w:rFonts w:hint="eastAsia" w:ascii="宋体" w:hAnsi="宋体" w:eastAsia="宋体" w:cs="宋体"/>
          <w:b w:val="0"/>
          <w:bCs/>
          <w:color w:val="auto"/>
          <w:highlight w:val="none"/>
        </w:rPr>
      </w:pPr>
      <w:r>
        <w:rPr>
          <w:rFonts w:hint="eastAsia" w:ascii="宋体" w:hAnsi="宋体" w:eastAsia="宋体" w:cs="宋体"/>
          <w:b w:val="0"/>
          <w:bCs/>
          <w:color w:val="auto"/>
          <w:highlight w:val="none"/>
        </w:rPr>
        <w:t>（2）服务项目中伴随货物的，根据《财政部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附件1），投标人的投标货物必须使用政府强制采购的节能产品，投标人必须在投标文件中提供所投标产品的节能产品认证证书</w:t>
      </w:r>
      <w:r>
        <w:rPr>
          <w:rFonts w:hint="eastAsia" w:ascii="宋体" w:hAnsi="宋体" w:eastAsia="宋体" w:cs="宋体"/>
          <w:b/>
          <w:bCs w:val="0"/>
          <w:color w:val="auto"/>
          <w:highlight w:val="none"/>
        </w:rPr>
        <w:t>原件扫描件或其他电子文件</w:t>
      </w:r>
      <w:r>
        <w:rPr>
          <w:rFonts w:hint="eastAsia" w:ascii="宋体" w:hAnsi="宋体" w:eastAsia="宋体" w:cs="宋体"/>
          <w:b w:val="0"/>
          <w:bCs/>
          <w:color w:val="auto"/>
          <w:highlight w:val="none"/>
        </w:rPr>
        <w:t>（加盖投标人电子公章），否则投标文件作无效处理。如本项目包含的货物属于品目清单内非标注“★”的产品时，应优先采购，具体详见“第四章 评标方法和评标标准”。</w:t>
      </w:r>
    </w:p>
    <w:p w14:paraId="0C89E5CB">
      <w:pPr>
        <w:keepNext w:val="0"/>
        <w:keepLines w:val="0"/>
        <w:pageBreakBefore w:val="0"/>
        <w:widowControl w:val="0"/>
        <w:shd w:val="clear"/>
        <w:kinsoku/>
        <w:wordWrap/>
        <w:overflowPunct/>
        <w:topLinePunct w:val="0"/>
        <w:autoSpaceDE/>
        <w:autoSpaceDN/>
        <w:bidi w:val="0"/>
        <w:snapToGrid/>
        <w:spacing w:line="360" w:lineRule="auto"/>
        <w:ind w:firstLine="422" w:firstLineChars="200"/>
        <w:jc w:val="left"/>
        <w:textAlignment w:val="auto"/>
        <w:rPr>
          <w:rFonts w:hint="eastAsia" w:ascii="宋体" w:hAnsi="宋体" w:eastAsia="宋体" w:cs="宋体"/>
          <w:b/>
          <w:bCs w:val="0"/>
          <w:color w:val="auto"/>
          <w:highlight w:val="none"/>
        </w:rPr>
      </w:pPr>
      <w:r>
        <w:rPr>
          <w:rFonts w:hint="eastAsia" w:ascii="宋体" w:hAnsi="宋体" w:eastAsia="宋体" w:cs="宋体"/>
          <w:b/>
          <w:bCs w:val="0"/>
          <w:color w:val="auto"/>
          <w:highlight w:val="none"/>
        </w:rPr>
        <w:t>（3）服务项目中伴随的货物包含列入《网络关键设备和网络安全专用产品目录》的网络安全专用产品，应当按照《信息安全技术网络安全专用产品安全技术要求》等相关国家标准的强制性要求，提供具备资格的机构安全认证合格或者安全检测证明材料(加盖投标人公章),否则投标文件作无效处理。</w:t>
      </w:r>
    </w:p>
    <w:p w14:paraId="7537E883">
      <w:pPr>
        <w:keepNext w:val="0"/>
        <w:keepLines w:val="0"/>
        <w:pageBreakBefore w:val="0"/>
        <w:widowControl w:val="0"/>
        <w:shd w:val="clear"/>
        <w:kinsoku/>
        <w:wordWrap/>
        <w:overflowPunct/>
        <w:topLinePunct w:val="0"/>
        <w:autoSpaceDE/>
        <w:autoSpaceDN/>
        <w:bidi w:val="0"/>
        <w:snapToGrid/>
        <w:spacing w:line="360" w:lineRule="auto"/>
        <w:ind w:firstLine="420" w:firstLineChars="200"/>
        <w:jc w:val="left"/>
        <w:textAlignment w:val="auto"/>
        <w:rPr>
          <w:rFonts w:hint="eastAsia" w:ascii="宋体" w:hAnsi="宋体" w:eastAsia="宋体" w:cs="宋体"/>
          <w:b w:val="0"/>
          <w:bCs/>
          <w:color w:val="auto"/>
          <w:highlight w:val="none"/>
        </w:rPr>
      </w:pPr>
      <w:r>
        <w:rPr>
          <w:rFonts w:hint="eastAsia" w:ascii="宋体" w:hAnsi="宋体" w:eastAsia="宋体" w:cs="宋体"/>
          <w:b w:val="0"/>
          <w:bCs/>
          <w:color w:val="auto"/>
          <w:highlight w:val="none"/>
        </w:rPr>
        <w:t>2.“实质性要求”是指招标文件中已经指明不满足则投标无效的条款，或者不能负偏离的条款，或者采购需求中带“▲”的条款。本服务需求一览表中标注“◆”号的条款为重要技术参数</w:t>
      </w:r>
      <w:r>
        <w:rPr>
          <w:rFonts w:hint="eastAsia" w:ascii="宋体" w:hAnsi="宋体" w:eastAsia="宋体" w:cs="宋体"/>
          <w:b w:val="0"/>
          <w:bCs/>
          <w:color w:val="auto"/>
          <w:highlight w:val="none"/>
          <w:lang w:val="en-US" w:eastAsia="zh-CN"/>
        </w:rPr>
        <w:t>。</w:t>
      </w:r>
    </w:p>
    <w:p w14:paraId="4069B81F">
      <w:pPr>
        <w:keepNext w:val="0"/>
        <w:keepLines w:val="0"/>
        <w:pageBreakBefore w:val="0"/>
        <w:widowControl w:val="0"/>
        <w:shd w:val="clear"/>
        <w:kinsoku/>
        <w:wordWrap/>
        <w:overflowPunct/>
        <w:topLinePunct w:val="0"/>
        <w:autoSpaceDE/>
        <w:autoSpaceDN/>
        <w:bidi w:val="0"/>
        <w:snapToGrid/>
        <w:spacing w:line="360" w:lineRule="auto"/>
        <w:ind w:firstLine="420" w:firstLineChars="200"/>
        <w:jc w:val="left"/>
        <w:textAlignment w:val="auto"/>
        <w:rPr>
          <w:rFonts w:hint="eastAsia" w:ascii="宋体" w:hAnsi="宋体" w:eastAsia="宋体" w:cs="宋体"/>
          <w:b w:val="0"/>
          <w:bCs/>
          <w:color w:val="auto"/>
          <w:highlight w:val="none"/>
        </w:rPr>
      </w:pPr>
      <w:r>
        <w:rPr>
          <w:rFonts w:hint="eastAsia" w:ascii="宋体" w:hAnsi="宋体" w:eastAsia="宋体" w:cs="宋体"/>
          <w:b w:val="0"/>
          <w:bCs/>
          <w:color w:val="auto"/>
          <w:highlight w:val="none"/>
        </w:rPr>
        <w:t>3.如投标人投标产品存在侵犯他人的知识产权或者专利成果行为的，应承担相应法律责任。</w:t>
      </w:r>
    </w:p>
    <w:p w14:paraId="0A075D65">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b w:val="0"/>
          <w:bCs/>
          <w:color w:val="auto"/>
          <w:highlight w:val="none"/>
          <w:lang w:val="en-US" w:eastAsia="zh-CN"/>
        </w:rPr>
        <w:t>4.本项目采购需求表中要求提供的证明文件材料或承诺书，请在《投标服务技术需求偏离表》或《商务要求偏离表》中应答时，注明相关文件材料或承诺书放置的页码。</w:t>
      </w:r>
      <w:r>
        <w:rPr>
          <w:rFonts w:hint="eastAsia" w:ascii="宋体" w:hAnsi="宋体" w:cs="宋体"/>
          <w:color w:val="auto"/>
          <w:szCs w:val="21"/>
          <w:highlight w:val="none"/>
        </w:rPr>
        <w:br w:type="page"/>
      </w:r>
    </w:p>
    <w:tbl>
      <w:tblPr>
        <w:tblStyle w:val="33"/>
        <w:tblW w:w="976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5"/>
        <w:gridCol w:w="545"/>
        <w:gridCol w:w="1237"/>
        <w:gridCol w:w="690"/>
        <w:gridCol w:w="645"/>
        <w:gridCol w:w="5300"/>
        <w:gridCol w:w="799"/>
      </w:tblGrid>
      <w:tr w14:paraId="320480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9761" w:type="dxa"/>
            <w:gridSpan w:val="7"/>
            <w:tcBorders>
              <w:top w:val="single" w:color="auto" w:sz="4" w:space="0"/>
              <w:left w:val="single" w:color="auto" w:sz="4" w:space="0"/>
              <w:right w:val="single" w:color="auto" w:sz="4" w:space="0"/>
            </w:tcBorders>
            <w:noWrap w:val="0"/>
            <w:vAlign w:val="center"/>
          </w:tcPr>
          <w:p w14:paraId="7390E390">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服务需求一览表</w:t>
            </w:r>
          </w:p>
        </w:tc>
      </w:tr>
      <w:tr w14:paraId="2260CF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90" w:type="dxa"/>
            <w:gridSpan w:val="2"/>
            <w:tcBorders>
              <w:top w:val="single" w:color="auto" w:sz="4" w:space="0"/>
              <w:left w:val="single" w:color="auto" w:sz="4" w:space="0"/>
              <w:right w:val="single" w:color="auto" w:sz="4" w:space="0"/>
            </w:tcBorders>
            <w:noWrap w:val="0"/>
            <w:vAlign w:val="center"/>
          </w:tcPr>
          <w:p w14:paraId="1B4D5163">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标段</w:t>
            </w:r>
          </w:p>
        </w:tc>
        <w:tc>
          <w:tcPr>
            <w:tcW w:w="8671" w:type="dxa"/>
            <w:gridSpan w:val="5"/>
            <w:tcBorders>
              <w:top w:val="single" w:color="auto" w:sz="4" w:space="0"/>
              <w:left w:val="single" w:color="auto" w:sz="4" w:space="0"/>
              <w:right w:val="single" w:color="auto" w:sz="4" w:space="0"/>
            </w:tcBorders>
            <w:noWrap w:val="0"/>
            <w:vAlign w:val="center"/>
          </w:tcPr>
          <w:p w14:paraId="139DDFD5">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单</w:t>
            </w:r>
            <w:r>
              <w:rPr>
                <w:rFonts w:hint="eastAsia" w:ascii="宋体" w:hAnsi="宋体" w:eastAsia="宋体" w:cs="宋体"/>
                <w:b/>
                <w:bCs/>
                <w:color w:val="auto"/>
                <w:sz w:val="21"/>
                <w:szCs w:val="21"/>
                <w:highlight w:val="none"/>
              </w:rPr>
              <w:t>分标</w:t>
            </w:r>
          </w:p>
        </w:tc>
      </w:tr>
      <w:tr w14:paraId="03F24E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5" w:type="dxa"/>
            <w:vMerge w:val="restart"/>
            <w:tcBorders>
              <w:top w:val="single" w:color="auto" w:sz="4" w:space="0"/>
              <w:left w:val="single" w:color="auto" w:sz="4" w:space="0"/>
              <w:right w:val="single" w:color="auto" w:sz="4" w:space="0"/>
            </w:tcBorders>
            <w:noWrap w:val="0"/>
            <w:vAlign w:val="center"/>
          </w:tcPr>
          <w:p w14:paraId="08EF3665">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采购清单及服务参数</w:t>
            </w:r>
          </w:p>
        </w:tc>
        <w:tc>
          <w:tcPr>
            <w:tcW w:w="54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32173E5">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237" w:type="dxa"/>
            <w:tcBorders>
              <w:top w:val="single" w:color="auto" w:sz="4" w:space="0"/>
              <w:left w:val="single" w:color="auto" w:sz="4" w:space="0"/>
              <w:bottom w:val="single" w:color="auto" w:sz="4" w:space="0"/>
              <w:right w:val="single" w:color="auto" w:sz="4" w:space="0"/>
            </w:tcBorders>
            <w:noWrap w:val="0"/>
            <w:vAlign w:val="center"/>
          </w:tcPr>
          <w:p w14:paraId="32C9478F">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标的的</w:t>
            </w:r>
          </w:p>
          <w:p w14:paraId="47F39EA8">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64CFE9A8">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p>
        </w:tc>
        <w:tc>
          <w:tcPr>
            <w:tcW w:w="645" w:type="dxa"/>
            <w:tcBorders>
              <w:top w:val="single" w:color="auto" w:sz="4" w:space="0"/>
              <w:left w:val="single" w:color="auto" w:sz="4" w:space="0"/>
              <w:bottom w:val="single" w:color="auto" w:sz="4" w:space="0"/>
              <w:right w:val="single" w:color="auto" w:sz="4" w:space="0"/>
            </w:tcBorders>
            <w:noWrap w:val="0"/>
            <w:vAlign w:val="center"/>
          </w:tcPr>
          <w:p w14:paraId="6D4FDBBC">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5300" w:type="dxa"/>
            <w:tcBorders>
              <w:top w:val="single" w:color="auto" w:sz="4" w:space="0"/>
              <w:left w:val="single" w:color="auto" w:sz="4" w:space="0"/>
              <w:bottom w:val="single" w:color="auto" w:sz="4" w:space="0"/>
              <w:right w:val="single" w:color="auto" w:sz="4" w:space="0"/>
            </w:tcBorders>
            <w:noWrap w:val="0"/>
            <w:vAlign w:val="center"/>
          </w:tcPr>
          <w:p w14:paraId="5443CF53">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技术服务要求</w:t>
            </w:r>
          </w:p>
        </w:tc>
        <w:tc>
          <w:tcPr>
            <w:tcW w:w="799" w:type="dxa"/>
            <w:tcBorders>
              <w:top w:val="single" w:color="auto" w:sz="4" w:space="0"/>
              <w:left w:val="single" w:color="auto" w:sz="4" w:space="0"/>
              <w:bottom w:val="single" w:color="auto" w:sz="4" w:space="0"/>
              <w:right w:val="single" w:color="auto" w:sz="4" w:space="0"/>
            </w:tcBorders>
            <w:noWrap w:val="0"/>
            <w:vAlign w:val="center"/>
          </w:tcPr>
          <w:p w14:paraId="18283D46">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中小企业划分标准所属行业名称（行业名称及划分见本章其他附件2）</w:t>
            </w:r>
          </w:p>
        </w:tc>
      </w:tr>
      <w:tr w14:paraId="3352B1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noWrap w:val="0"/>
            <w:vAlign w:val="top"/>
          </w:tcPr>
          <w:p w14:paraId="1BFA787B">
            <w:pPr>
              <w:keepNext w:val="0"/>
              <w:keepLines w:val="0"/>
              <w:pageBreakBefore w:val="0"/>
              <w:shd w:val="clear"/>
              <w:kinsoku/>
              <w:wordWrap/>
              <w:overflowPunct/>
              <w:topLinePunct w:val="0"/>
              <w:autoSpaceDE/>
              <w:autoSpaceDN/>
              <w:bidi w:val="0"/>
              <w:spacing w:line="360" w:lineRule="auto"/>
              <w:jc w:val="center"/>
              <w:textAlignment w:val="auto"/>
              <w:rPr>
                <w:rFonts w:hint="eastAsia" w:ascii="宋体" w:hAnsi="宋体" w:eastAsia="宋体" w:cs="宋体"/>
                <w:bCs/>
                <w:color w:val="auto"/>
                <w:sz w:val="21"/>
                <w:szCs w:val="21"/>
                <w:highlight w:val="none"/>
              </w:rPr>
            </w:pPr>
          </w:p>
        </w:tc>
        <w:tc>
          <w:tcPr>
            <w:tcW w:w="545" w:type="dxa"/>
            <w:tcBorders>
              <w:top w:val="single" w:color="auto" w:sz="4" w:space="0"/>
              <w:left w:val="single" w:color="auto" w:sz="4" w:space="0"/>
              <w:right w:val="single" w:color="auto" w:sz="4" w:space="0"/>
            </w:tcBorders>
            <w:noWrap w:val="0"/>
            <w:vAlign w:val="center"/>
          </w:tcPr>
          <w:p w14:paraId="6E6FAB5C">
            <w:pPr>
              <w:keepNext w:val="0"/>
              <w:keepLines w:val="0"/>
              <w:pageBreakBefore w:val="0"/>
              <w:shd w:val="clear"/>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37" w:type="dxa"/>
            <w:tcBorders>
              <w:top w:val="single" w:color="auto" w:sz="4" w:space="0"/>
              <w:left w:val="single" w:color="auto" w:sz="4" w:space="0"/>
              <w:right w:val="single" w:color="auto" w:sz="4" w:space="0"/>
            </w:tcBorders>
            <w:noWrap w:val="0"/>
            <w:vAlign w:val="center"/>
          </w:tcPr>
          <w:p w14:paraId="3190375F">
            <w:pPr>
              <w:keepNext w:val="0"/>
              <w:keepLines w:val="0"/>
              <w:pageBreakBefore w:val="0"/>
              <w:shd w:val="clear"/>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南宁职业技术大学智能制造领域课程资源开发平台项目</w:t>
            </w:r>
          </w:p>
        </w:tc>
        <w:tc>
          <w:tcPr>
            <w:tcW w:w="690" w:type="dxa"/>
            <w:tcBorders>
              <w:top w:val="single" w:color="auto" w:sz="4" w:space="0"/>
              <w:left w:val="single" w:color="auto" w:sz="4" w:space="0"/>
              <w:right w:val="single" w:color="auto" w:sz="4" w:space="0"/>
            </w:tcBorders>
            <w:noWrap w:val="0"/>
            <w:vAlign w:val="center"/>
          </w:tcPr>
          <w:p w14:paraId="0A4DF0A7">
            <w:pPr>
              <w:keepNext w:val="0"/>
              <w:keepLines w:val="0"/>
              <w:pageBreakBefore w:val="0"/>
              <w:shd w:val="clear"/>
              <w:kinsoku/>
              <w:wordWrap/>
              <w:overflowPunct/>
              <w:topLinePunct w:val="0"/>
              <w:autoSpaceDE/>
              <w:autoSpaceDN/>
              <w:bidi w:val="0"/>
              <w:snapToGrid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节点</w:t>
            </w:r>
          </w:p>
        </w:tc>
        <w:tc>
          <w:tcPr>
            <w:tcW w:w="645" w:type="dxa"/>
            <w:tcBorders>
              <w:top w:val="single" w:color="auto" w:sz="4" w:space="0"/>
              <w:left w:val="single" w:color="auto" w:sz="4" w:space="0"/>
              <w:right w:val="single" w:color="auto" w:sz="4" w:space="0"/>
            </w:tcBorders>
            <w:noWrap w:val="0"/>
            <w:vAlign w:val="center"/>
          </w:tcPr>
          <w:p w14:paraId="068C3A36">
            <w:pPr>
              <w:keepNext w:val="0"/>
              <w:keepLines w:val="0"/>
              <w:pageBreakBefore w:val="0"/>
              <w:shd w:val="clear"/>
              <w:kinsoku/>
              <w:wordWrap/>
              <w:overflowPunct/>
              <w:topLinePunct w:val="0"/>
              <w:autoSpaceDE/>
              <w:autoSpaceDN/>
              <w:bidi w:val="0"/>
              <w:snapToGrid w:val="0"/>
              <w:spacing w:line="360" w:lineRule="auto"/>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50</w:t>
            </w:r>
          </w:p>
        </w:tc>
        <w:tc>
          <w:tcPr>
            <w:tcW w:w="5300" w:type="dxa"/>
            <w:tcBorders>
              <w:top w:val="single" w:color="auto" w:sz="4" w:space="0"/>
              <w:left w:val="single" w:color="auto" w:sz="4" w:space="0"/>
              <w:bottom w:val="single" w:color="auto" w:sz="4" w:space="0"/>
              <w:right w:val="single" w:color="auto" w:sz="4" w:space="0"/>
            </w:tcBorders>
            <w:noWrap w:val="0"/>
            <w:vAlign w:val="center"/>
          </w:tcPr>
          <w:p w14:paraId="659B888D">
            <w:pPr>
              <w:pStyle w:val="120"/>
              <w:keepNext w:val="0"/>
              <w:keepLines w:val="0"/>
              <w:pageBreakBefore w:val="0"/>
              <w:widowControl w:val="0"/>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color w:val="auto"/>
                <w:sz w:val="21"/>
                <w:szCs w:val="21"/>
              </w:rPr>
            </w:pPr>
            <w:r>
              <w:rPr>
                <w:color w:val="auto"/>
                <w:sz w:val="21"/>
                <w:szCs w:val="21"/>
              </w:rPr>
              <w:t>1.三维</w:t>
            </w:r>
            <w:r>
              <w:rPr>
                <w:rFonts w:hint="eastAsia"/>
                <w:color w:val="auto"/>
                <w:sz w:val="21"/>
                <w:szCs w:val="21"/>
              </w:rPr>
              <w:t>场景</w:t>
            </w:r>
            <w:r>
              <w:rPr>
                <w:color w:val="auto"/>
                <w:sz w:val="21"/>
                <w:szCs w:val="21"/>
              </w:rPr>
              <w:t>与</w:t>
            </w:r>
            <w:r>
              <w:rPr>
                <w:rFonts w:hint="eastAsia"/>
                <w:color w:val="auto"/>
                <w:sz w:val="21"/>
                <w:szCs w:val="21"/>
              </w:rPr>
              <w:t>仿真</w:t>
            </w:r>
            <w:r>
              <w:rPr>
                <w:color w:val="auto"/>
                <w:sz w:val="21"/>
                <w:szCs w:val="21"/>
              </w:rPr>
              <w:t>资源开发</w:t>
            </w:r>
            <w:r>
              <w:rPr>
                <w:rFonts w:hint="eastAsia"/>
                <w:color w:val="auto"/>
                <w:sz w:val="21"/>
                <w:szCs w:val="21"/>
              </w:rPr>
              <w:t>系统模块</w:t>
            </w:r>
          </w:p>
          <w:p w14:paraId="1E2DFCCD">
            <w:pPr>
              <w:pStyle w:val="120"/>
              <w:keepNext w:val="0"/>
              <w:keepLines w:val="0"/>
              <w:pageBreakBefore w:val="0"/>
              <w:widowControl w:val="0"/>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color w:val="auto"/>
                <w:sz w:val="21"/>
                <w:szCs w:val="21"/>
              </w:rPr>
            </w:pPr>
            <w:r>
              <w:rPr>
                <w:color w:val="auto"/>
                <w:sz w:val="21"/>
                <w:szCs w:val="21"/>
              </w:rPr>
              <w:t>（1）</w:t>
            </w:r>
            <w:r>
              <w:rPr>
                <w:rFonts w:hint="eastAsia"/>
                <w:color w:val="auto"/>
                <w:sz w:val="21"/>
                <w:szCs w:val="21"/>
              </w:rPr>
              <w:t>系统提供</w:t>
            </w:r>
            <w:r>
              <w:rPr>
                <w:color w:val="auto"/>
                <w:sz w:val="21"/>
                <w:szCs w:val="21"/>
              </w:rPr>
              <w:t>三维</w:t>
            </w:r>
            <w:r>
              <w:rPr>
                <w:rFonts w:hint="eastAsia"/>
                <w:color w:val="auto"/>
                <w:sz w:val="21"/>
                <w:szCs w:val="21"/>
              </w:rPr>
              <w:t>场景开发工具，基于B/S架构，在网页上运行。系统</w:t>
            </w:r>
            <w:r>
              <w:rPr>
                <w:color w:val="auto"/>
                <w:sz w:val="21"/>
                <w:szCs w:val="21"/>
              </w:rPr>
              <w:t>提供</w:t>
            </w:r>
            <w:r>
              <w:rPr>
                <w:rFonts w:hint="eastAsia"/>
                <w:color w:val="auto"/>
                <w:sz w:val="21"/>
                <w:szCs w:val="21"/>
              </w:rPr>
              <w:t>三维模型库</w:t>
            </w:r>
            <w:r>
              <w:rPr>
                <w:color w:val="auto"/>
                <w:sz w:val="21"/>
                <w:szCs w:val="21"/>
              </w:rPr>
              <w:t>，</w:t>
            </w:r>
            <w:r>
              <w:rPr>
                <w:rFonts w:hint="eastAsia"/>
                <w:color w:val="auto"/>
              </w:rPr>
              <w:t>包括：机器人、工装夹具、加工设备、产品物料、输送设备、检测设备、外围设备、其他设施设备及环境等类型的模型。开发工具需具备但不限于以下基本功能：</w:t>
            </w:r>
            <w:r>
              <w:rPr>
                <w:rFonts w:hint="eastAsia" w:ascii="宋体" w:hAnsi="宋体"/>
                <w:color w:val="auto"/>
              </w:rPr>
              <w:t>①</w:t>
            </w:r>
            <w:r>
              <w:rPr>
                <w:rFonts w:hint="eastAsia"/>
                <w:color w:val="auto"/>
              </w:rPr>
              <w:t>具备模型操作捕捉功能（如原点捕捉）、</w:t>
            </w:r>
            <w:r>
              <w:rPr>
                <w:rFonts w:hint="eastAsia" w:ascii="宋体" w:hAnsi="宋体"/>
                <w:color w:val="auto"/>
              </w:rPr>
              <w:t>②</w:t>
            </w:r>
            <w:r>
              <w:rPr>
                <w:rFonts w:hint="eastAsia"/>
                <w:color w:val="auto"/>
              </w:rPr>
              <w:t>信号管理功能（如让组件的信号和机器人的输入/输出在仿真场景中能够互相连接。）、</w:t>
            </w:r>
            <w:r>
              <w:rPr>
                <w:rFonts w:hint="eastAsia" w:ascii="宋体" w:hAnsi="宋体"/>
                <w:color w:val="auto"/>
              </w:rPr>
              <w:t>③</w:t>
            </w:r>
            <w:r>
              <w:rPr>
                <w:rFonts w:hint="eastAsia"/>
                <w:color w:val="auto"/>
              </w:rPr>
              <w:t>工艺指令配置功能（工艺指令采用可视化的方式快速配置每个工艺程序的仿真运行逻辑，指令类型包括工艺流程指令、产品工艺指令、装配工艺指令、流程逻辑控制指令、运动工艺指令、信号工艺指令、程序工艺指令等）、</w:t>
            </w:r>
            <w:r>
              <w:rPr>
                <w:rFonts w:hint="eastAsia" w:ascii="宋体" w:hAnsi="宋体"/>
                <w:color w:val="auto"/>
              </w:rPr>
              <w:t>④</w:t>
            </w:r>
            <w:r>
              <w:rPr>
                <w:rFonts w:hint="eastAsia"/>
                <w:color w:val="auto"/>
              </w:rPr>
              <w:t>工艺流程编辑功能（定义产品在模拟运行过程中的流动顺序、方向、运输载体等）、</w:t>
            </w:r>
            <w:r>
              <w:rPr>
                <w:rFonts w:hint="eastAsia" w:ascii="宋体" w:hAnsi="宋体"/>
                <w:color w:val="auto"/>
              </w:rPr>
              <w:t>⑤</w:t>
            </w:r>
            <w:r>
              <w:rPr>
                <w:rFonts w:hint="eastAsia"/>
                <w:color w:val="auto"/>
              </w:rPr>
              <w:t>程序指令（如运动指令、条件指令、逻辑指令、信号指令等）等.用浏览器访问场景开发平台网址，输入用户名、密码登录，平台提供三维机理模型库，通过拖拽三维模型即可进行场景搭建，如运行一个由立库、AGV、输送线、数控机床、工业机器人、机器视觉、成品库等设备构成的机械臂智能制造的工业场景，在网页上仿真交互调试运行，并能够通过调整仿真运行倍率，实现工业场景生产线对应的仿真运行速度。</w:t>
            </w:r>
          </w:p>
          <w:p w14:paraId="7E54B13D">
            <w:pPr>
              <w:pStyle w:val="120"/>
              <w:keepNext w:val="0"/>
              <w:keepLines w:val="0"/>
              <w:pageBreakBefore w:val="0"/>
              <w:widowControl w:val="0"/>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color w:val="auto"/>
                <w:sz w:val="21"/>
                <w:szCs w:val="21"/>
              </w:rPr>
            </w:pPr>
            <w:r>
              <w:rPr>
                <w:rFonts w:hint="eastAsia"/>
                <w:color w:val="auto"/>
                <w:sz w:val="21"/>
                <w:szCs w:val="21"/>
              </w:rPr>
              <w:t>（2）</w:t>
            </w:r>
            <w:r>
              <w:rPr>
                <w:color w:val="auto"/>
                <w:sz w:val="21"/>
                <w:szCs w:val="21"/>
              </w:rPr>
              <w:t>支持通过拖拽方式自由搭建数字孪生、教学实训及3D数字化工厂等场景，并可导入CAD模型创建具备物理机理与逻辑行为的新组件。</w:t>
            </w:r>
          </w:p>
          <w:p w14:paraId="13FE2F1F">
            <w:pPr>
              <w:pStyle w:val="120"/>
              <w:keepNext w:val="0"/>
              <w:keepLines w:val="0"/>
              <w:pageBreakBefore w:val="0"/>
              <w:widowControl w:val="0"/>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color w:val="auto"/>
                <w:sz w:val="21"/>
                <w:szCs w:val="21"/>
              </w:rPr>
            </w:pPr>
            <w:r>
              <w:rPr>
                <w:rFonts w:hint="eastAsia"/>
                <w:color w:val="auto"/>
                <w:sz w:val="21"/>
                <w:szCs w:val="21"/>
              </w:rPr>
              <w:t>（3）</w:t>
            </w:r>
            <w:r>
              <w:rPr>
                <w:color w:val="auto"/>
                <w:sz w:val="21"/>
                <w:szCs w:val="21"/>
              </w:rPr>
              <w:t>系统内置工艺流程编辑功能，能自动生成机器人和AGV的运行轨迹，同时支持JavaScript脚本编程与机器人离线编程，实现对仿真逻辑的完整控制。</w:t>
            </w:r>
          </w:p>
          <w:p w14:paraId="3B607234">
            <w:pPr>
              <w:pStyle w:val="120"/>
              <w:keepNext w:val="0"/>
              <w:keepLines w:val="0"/>
              <w:pageBreakBefore w:val="0"/>
              <w:widowControl w:val="0"/>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color w:val="auto"/>
                <w:sz w:val="21"/>
                <w:szCs w:val="21"/>
              </w:rPr>
            </w:pPr>
            <w:r>
              <w:rPr>
                <w:rFonts w:ascii="Segoe UI" w:hAnsi="Segoe UI" w:eastAsia="Segoe UI" w:cs="Segoe UI"/>
                <w:color w:val="000000"/>
                <w:sz w:val="22"/>
                <w:szCs w:val="22"/>
                <w:shd w:val="clear" w:color="auto" w:fill="FFFFFF"/>
              </w:rPr>
              <w:t>◆</w:t>
            </w:r>
            <w:r>
              <w:rPr>
                <w:rFonts w:hint="eastAsia"/>
                <w:color w:val="auto"/>
                <w:sz w:val="21"/>
                <w:szCs w:val="21"/>
              </w:rPr>
              <w:t>（4）</w:t>
            </w:r>
            <w:r>
              <w:rPr>
                <w:color w:val="auto"/>
                <w:sz w:val="21"/>
                <w:szCs w:val="21"/>
              </w:rPr>
              <w:t>系统可仿真生成设备运行数据（如int、boolean等），</w:t>
            </w:r>
            <w:r>
              <w:rPr>
                <w:rFonts w:hint="eastAsia"/>
                <w:color w:val="auto"/>
                <w:sz w:val="21"/>
                <w:szCs w:val="21"/>
              </w:rPr>
              <w:t>场景中涉及的设备具备动态实时生成运行数据的能力。系统为每一种类型设备提供精确的数据变量描述，系统要能够允许用户自定义数据生成的规则</w:t>
            </w:r>
            <w:r>
              <w:rPr>
                <w:color w:val="auto"/>
                <w:sz w:val="21"/>
                <w:szCs w:val="21"/>
              </w:rPr>
              <w:t>。</w:t>
            </w:r>
            <w:r>
              <w:rPr>
                <w:rFonts w:hint="eastAsia"/>
                <w:color w:val="auto"/>
              </w:rPr>
              <w:t>（投标文件中提供软件平台界面截图，以佐证其功能。）</w:t>
            </w:r>
          </w:p>
          <w:p w14:paraId="1F3C6B6D">
            <w:pPr>
              <w:pStyle w:val="120"/>
              <w:keepNext w:val="0"/>
              <w:keepLines w:val="0"/>
              <w:pageBreakBefore w:val="0"/>
              <w:widowControl w:val="0"/>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color w:val="auto"/>
                <w:sz w:val="21"/>
                <w:szCs w:val="21"/>
              </w:rPr>
            </w:pPr>
            <w:r>
              <w:rPr>
                <w:rFonts w:hint="eastAsia"/>
                <w:color w:val="auto"/>
                <w:sz w:val="21"/>
                <w:szCs w:val="21"/>
              </w:rPr>
              <w:t>（5）系统具备多种数据协议转换能力，支持ModBusTCP、S7、MQTT等主流协议数据的接收与发送。可实现与多种不同品牌的数据网关连接通信，允许网关对仿真内的运行数据进行采集，并支持网关选用不同类型的协议进行数据交换。系统可以使用MQTT协议，可以将仿真运行数据提交至任何支持MQTT协议的工业互联网数据平台。</w:t>
            </w:r>
          </w:p>
          <w:p w14:paraId="79D17297">
            <w:pPr>
              <w:pStyle w:val="120"/>
              <w:keepNext w:val="0"/>
              <w:keepLines w:val="0"/>
              <w:pageBreakBefore w:val="0"/>
              <w:widowControl w:val="0"/>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color w:val="auto"/>
                <w:sz w:val="21"/>
                <w:szCs w:val="21"/>
              </w:rPr>
            </w:pPr>
            <w:r>
              <w:rPr>
                <w:rFonts w:hint="eastAsia"/>
                <w:color w:val="auto"/>
                <w:sz w:val="21"/>
                <w:szCs w:val="21"/>
              </w:rPr>
              <w:t>（6）系统支持与PLC信号的双向更新，通过信号（变量）配对的方式实现数据绑定，并可通过数据接口通信的方式映射到数字孪生中，实现通过PLC程序逻辑来驱动场景设备的运行。</w:t>
            </w:r>
          </w:p>
          <w:p w14:paraId="6B535B06">
            <w:pPr>
              <w:pStyle w:val="120"/>
              <w:keepNext w:val="0"/>
              <w:keepLines w:val="0"/>
              <w:pageBreakBefore w:val="0"/>
              <w:widowControl w:val="0"/>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color w:val="auto"/>
                <w:sz w:val="21"/>
                <w:szCs w:val="21"/>
              </w:rPr>
            </w:pPr>
            <w:r>
              <w:rPr>
                <w:color w:val="auto"/>
                <w:sz w:val="21"/>
                <w:szCs w:val="21"/>
              </w:rPr>
              <w:t>（</w:t>
            </w:r>
            <w:r>
              <w:rPr>
                <w:rFonts w:hint="eastAsia"/>
                <w:color w:val="auto"/>
                <w:sz w:val="21"/>
                <w:szCs w:val="21"/>
              </w:rPr>
              <w:t>7</w:t>
            </w:r>
            <w:r>
              <w:rPr>
                <w:color w:val="auto"/>
                <w:sz w:val="21"/>
                <w:szCs w:val="21"/>
              </w:rPr>
              <w:t>）</w:t>
            </w:r>
            <w:r>
              <w:rPr>
                <w:rFonts w:hint="eastAsia"/>
                <w:color w:val="auto"/>
                <w:sz w:val="21"/>
                <w:szCs w:val="21"/>
              </w:rPr>
              <w:t>系统</w:t>
            </w:r>
            <w:r>
              <w:rPr>
                <w:color w:val="auto"/>
                <w:sz w:val="21"/>
                <w:szCs w:val="21"/>
              </w:rPr>
              <w:t>还配备实验（实训）流程</w:t>
            </w:r>
            <w:r>
              <w:rPr>
                <w:rFonts w:hint="eastAsia"/>
                <w:color w:val="auto"/>
                <w:sz w:val="21"/>
                <w:szCs w:val="21"/>
              </w:rPr>
              <w:t>的仿真资源开发</w:t>
            </w:r>
            <w:r>
              <w:rPr>
                <w:color w:val="auto"/>
                <w:sz w:val="21"/>
                <w:szCs w:val="21"/>
              </w:rPr>
              <w:t>工具，</w:t>
            </w:r>
            <w:r>
              <w:rPr>
                <w:rFonts w:hint="eastAsia"/>
                <w:color w:val="auto"/>
                <w:sz w:val="21"/>
                <w:szCs w:val="21"/>
              </w:rPr>
              <w:t>基于B/S架构，在网页上运行。</w:t>
            </w:r>
            <w:r>
              <w:rPr>
                <w:color w:val="auto"/>
                <w:sz w:val="21"/>
                <w:szCs w:val="21"/>
              </w:rPr>
              <w:t>既提供标准化的教学模板用于快速整合三维仿真教学任务，也支持完全自定义开发实验流程，包括页面设计、步骤编排、交互按钮添加及面板属性配置等，满足多样化教学与实训需求。</w:t>
            </w:r>
          </w:p>
          <w:p w14:paraId="5AE6E27F">
            <w:pPr>
              <w:pStyle w:val="120"/>
              <w:keepNext w:val="0"/>
              <w:keepLines w:val="0"/>
              <w:pageBreakBefore w:val="0"/>
              <w:widowControl w:val="0"/>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color w:val="auto"/>
                <w:sz w:val="21"/>
                <w:szCs w:val="21"/>
              </w:rPr>
            </w:pPr>
            <w:r>
              <w:rPr>
                <w:rFonts w:hint="eastAsia"/>
                <w:color w:val="auto"/>
                <w:sz w:val="21"/>
                <w:szCs w:val="21"/>
              </w:rPr>
              <w:t>（8）自定义布局：不</w:t>
            </w:r>
            <w:r>
              <w:rPr>
                <w:rFonts w:hint="eastAsia"/>
                <w:color w:val="auto"/>
                <w:sz w:val="21"/>
                <w:szCs w:val="21"/>
                <w:lang w:val="en-US" w:eastAsia="zh-CN"/>
              </w:rPr>
              <w:t>只</w:t>
            </w:r>
            <w:r>
              <w:rPr>
                <w:rFonts w:hint="eastAsia"/>
                <w:color w:val="auto"/>
                <w:sz w:val="21"/>
                <w:szCs w:val="21"/>
              </w:rPr>
              <w:t>简单元素排列，支持分层、组合、动态布局，用户通过拖拽、缩放操作精准管控任务界面，制作适配自身教学特色、风格独特的个性化布局。</w:t>
            </w:r>
          </w:p>
          <w:p w14:paraId="701A1395">
            <w:pPr>
              <w:widowControl/>
              <w:rPr>
                <w:color w:val="auto"/>
                <w:sz w:val="21"/>
                <w:szCs w:val="21"/>
              </w:rPr>
            </w:pPr>
            <w:r>
              <w:rPr>
                <w:rFonts w:ascii="Segoe UI" w:hAnsi="Segoe UI" w:eastAsia="Segoe UI" w:cs="Segoe UI"/>
                <w:color w:val="000000"/>
                <w:sz w:val="22"/>
                <w:szCs w:val="22"/>
                <w:shd w:val="clear" w:color="auto" w:fill="FFFFFF"/>
              </w:rPr>
              <w:t>◆</w:t>
            </w:r>
            <w:r>
              <w:rPr>
                <w:rFonts w:hint="eastAsia"/>
                <w:color w:val="auto"/>
                <w:sz w:val="21"/>
                <w:szCs w:val="21"/>
              </w:rPr>
              <w:t>（9）元件库：内置导航、交互、PLC、场景、视觉等各类组件，覆盖多样实训教学需求，全部组件经过优化设计，操作简单，使用体验良好。</w:t>
            </w:r>
            <w:r>
              <w:rPr>
                <w:rFonts w:hint="eastAsia"/>
                <w:color w:val="auto"/>
              </w:rPr>
              <w:t>（投标文件中提供平台界面截图，以佐证其功能。）</w:t>
            </w:r>
          </w:p>
          <w:p w14:paraId="3D9C8A87">
            <w:pPr>
              <w:pStyle w:val="120"/>
              <w:keepNext w:val="0"/>
              <w:keepLines w:val="0"/>
              <w:pageBreakBefore w:val="0"/>
              <w:widowControl w:val="0"/>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color w:val="auto"/>
                <w:sz w:val="21"/>
                <w:szCs w:val="21"/>
              </w:rPr>
            </w:pPr>
            <w:r>
              <w:rPr>
                <w:rFonts w:ascii="Segoe UI" w:hAnsi="Segoe UI" w:eastAsia="Segoe UI" w:cs="Segoe UI"/>
                <w:color w:val="000000"/>
                <w:sz w:val="22"/>
                <w:szCs w:val="22"/>
                <w:shd w:val="clear" w:color="auto" w:fill="FFFFFF"/>
              </w:rPr>
              <w:t>◆</w:t>
            </w:r>
            <w:r>
              <w:rPr>
                <w:rFonts w:hint="eastAsia"/>
                <w:color w:val="auto"/>
                <w:sz w:val="21"/>
                <w:szCs w:val="21"/>
              </w:rPr>
              <w:t>（10）组件参数配置：除基础样式、属性设置外，支持运行数据、触发事件等高级配置，依靠参数设置实现组件联动，可制作逻辑更复杂、体验更丰富的课程内容。</w:t>
            </w:r>
            <w:r>
              <w:rPr>
                <w:rFonts w:hint="eastAsia"/>
                <w:color w:val="auto"/>
              </w:rPr>
              <w:t>（投标文件中提供平台界面截图，以佐证其功能。）</w:t>
            </w:r>
          </w:p>
          <w:p w14:paraId="2359A3AB">
            <w:pPr>
              <w:pStyle w:val="120"/>
              <w:keepNext w:val="0"/>
              <w:keepLines w:val="0"/>
              <w:pageBreakBefore w:val="0"/>
              <w:widowControl w:val="0"/>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color w:val="auto"/>
                <w:sz w:val="21"/>
                <w:szCs w:val="21"/>
              </w:rPr>
            </w:pPr>
            <w:r>
              <w:rPr>
                <w:rFonts w:hint="eastAsia"/>
                <w:color w:val="auto"/>
                <w:sz w:val="21"/>
                <w:szCs w:val="21"/>
              </w:rPr>
              <w:t>（11）拖拽式组件添加：用户可直接拖拽组件快速添加到任务</w:t>
            </w:r>
            <w:r>
              <w:rPr>
                <w:rFonts w:hint="eastAsia"/>
                <w:color w:val="auto"/>
                <w:sz w:val="21"/>
                <w:szCs w:val="21"/>
                <w:lang w:val="en-US" w:eastAsia="zh-CN"/>
              </w:rPr>
              <w:t>中</w:t>
            </w:r>
            <w:r>
              <w:rPr>
                <w:rFonts w:hint="eastAsia"/>
                <w:color w:val="auto"/>
                <w:sz w:val="21"/>
                <w:szCs w:val="21"/>
              </w:rPr>
              <w:t>，添加组件时可同步查看展示效果，省去大量手动设置步骤，提升课程制作效率。</w:t>
            </w:r>
          </w:p>
          <w:p w14:paraId="3D20EF39">
            <w:pPr>
              <w:pStyle w:val="120"/>
              <w:keepNext w:val="0"/>
              <w:keepLines w:val="0"/>
              <w:pageBreakBefore w:val="0"/>
              <w:widowControl w:val="0"/>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color w:val="auto"/>
                <w:sz w:val="21"/>
                <w:szCs w:val="21"/>
              </w:rPr>
            </w:pPr>
            <w:r>
              <w:rPr>
                <w:rFonts w:hint="eastAsia"/>
                <w:color w:val="auto"/>
                <w:sz w:val="21"/>
                <w:szCs w:val="21"/>
              </w:rPr>
              <w:t>（12）编辑与复制粘贴：支持任务内元素复制粘贴，复用已有素材减少重复工作量。</w:t>
            </w:r>
          </w:p>
          <w:p w14:paraId="1A3F0A41">
            <w:pPr>
              <w:pStyle w:val="120"/>
              <w:keepNext w:val="0"/>
              <w:keepLines w:val="0"/>
              <w:pageBreakBefore w:val="0"/>
              <w:widowControl w:val="0"/>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color w:val="auto"/>
                <w:sz w:val="21"/>
                <w:szCs w:val="21"/>
              </w:rPr>
            </w:pPr>
            <w:r>
              <w:rPr>
                <w:rFonts w:ascii="Segoe UI" w:hAnsi="Segoe UI" w:eastAsia="Segoe UI" w:cs="Segoe UI"/>
                <w:color w:val="000000"/>
                <w:sz w:val="22"/>
                <w:szCs w:val="22"/>
                <w:shd w:val="clear" w:color="auto" w:fill="FFFFFF"/>
              </w:rPr>
              <w:t>◆</w:t>
            </w:r>
            <w:r>
              <w:rPr>
                <w:rFonts w:hint="eastAsia"/>
                <w:color w:val="auto"/>
                <w:sz w:val="21"/>
                <w:szCs w:val="21"/>
              </w:rPr>
              <w:t>（13）自定义脚本：搭载脚本编辑器，开放自主创作权限，使用者可编写脚本实现复杂逻辑控制、动画效果，提升课程交互性与个性化程度。</w:t>
            </w:r>
            <w:r>
              <w:rPr>
                <w:rFonts w:hint="eastAsia"/>
                <w:color w:val="auto"/>
              </w:rPr>
              <w:t>（投标文件中提供平台界面截图，以佐证其功能。）</w:t>
            </w:r>
          </w:p>
          <w:p w14:paraId="6BC84660">
            <w:pPr>
              <w:pStyle w:val="120"/>
              <w:keepNext w:val="0"/>
              <w:keepLines w:val="0"/>
              <w:pageBreakBefore w:val="0"/>
              <w:widowControl w:val="0"/>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color w:val="auto"/>
                <w:sz w:val="21"/>
                <w:szCs w:val="21"/>
              </w:rPr>
            </w:pPr>
            <w:r>
              <w:rPr>
                <w:rFonts w:hint="eastAsia"/>
                <w:color w:val="auto"/>
                <w:sz w:val="21"/>
                <w:szCs w:val="21"/>
              </w:rPr>
              <w:t>（14）实时预览与调试：支持随时预览任务最终展示效果，保障内容质量</w:t>
            </w:r>
            <w:r>
              <w:rPr>
                <w:rFonts w:hint="eastAsia"/>
                <w:color w:val="auto"/>
                <w:sz w:val="21"/>
                <w:szCs w:val="21"/>
                <w:lang w:eastAsia="zh-CN"/>
              </w:rPr>
              <w:t>；在</w:t>
            </w:r>
            <w:r>
              <w:rPr>
                <w:rFonts w:hint="eastAsia"/>
                <w:color w:val="auto"/>
                <w:sz w:val="21"/>
                <w:szCs w:val="21"/>
              </w:rPr>
              <w:t>制作过程中可实时调试，快速排查并解决问题，优化开发效率。</w:t>
            </w:r>
          </w:p>
          <w:p w14:paraId="39F4F157">
            <w:pPr>
              <w:pStyle w:val="120"/>
              <w:keepNext w:val="0"/>
              <w:keepLines w:val="0"/>
              <w:pageBreakBefore w:val="0"/>
              <w:widowControl w:val="0"/>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color w:val="auto"/>
                <w:sz w:val="21"/>
                <w:szCs w:val="21"/>
              </w:rPr>
            </w:pPr>
            <w:r>
              <w:rPr>
                <w:color w:val="auto"/>
                <w:sz w:val="21"/>
                <w:szCs w:val="21"/>
              </w:rPr>
              <w:t>（</w:t>
            </w:r>
            <w:r>
              <w:rPr>
                <w:rFonts w:hint="eastAsia"/>
                <w:color w:val="auto"/>
                <w:sz w:val="21"/>
                <w:szCs w:val="21"/>
              </w:rPr>
              <w:t>15</w:t>
            </w:r>
            <w:r>
              <w:rPr>
                <w:color w:val="auto"/>
                <w:sz w:val="21"/>
                <w:szCs w:val="21"/>
              </w:rPr>
              <w:t>）通过</w:t>
            </w:r>
            <w:r>
              <w:rPr>
                <w:rFonts w:hint="eastAsia"/>
                <w:color w:val="auto"/>
                <w:sz w:val="21"/>
                <w:szCs w:val="21"/>
              </w:rPr>
              <w:t>系统</w:t>
            </w:r>
            <w:r>
              <w:rPr>
                <w:color w:val="auto"/>
                <w:sz w:val="21"/>
                <w:szCs w:val="21"/>
              </w:rPr>
              <w:t>创作的三维场景/仿真</w:t>
            </w:r>
            <w:r>
              <w:rPr>
                <w:rFonts w:hint="eastAsia"/>
                <w:color w:val="auto"/>
                <w:sz w:val="21"/>
                <w:szCs w:val="21"/>
              </w:rPr>
              <w:t>任务资源</w:t>
            </w:r>
            <w:r>
              <w:rPr>
                <w:color w:val="auto"/>
                <w:sz w:val="21"/>
                <w:szCs w:val="21"/>
              </w:rPr>
              <w:t>，不仅支持高度交互与真实物理逻辑，还可便捷地上传至数字教材平台，实现优质教学资源的共享与推广。这一功能有效打通了仿真开发与教育应用之间的壁垒，便于院校、培训机构及企业将定制化的虚拟实训内容融入在线教学体系，提升数字化教学的</w:t>
            </w:r>
            <w:r>
              <w:rPr>
                <w:rFonts w:hint="eastAsia"/>
                <w:color w:val="auto"/>
                <w:sz w:val="21"/>
                <w:szCs w:val="21"/>
              </w:rPr>
              <w:t>真实感</w:t>
            </w:r>
            <w:r>
              <w:rPr>
                <w:color w:val="auto"/>
                <w:sz w:val="21"/>
                <w:szCs w:val="21"/>
              </w:rPr>
              <w:t>、灵活性与可及性。</w:t>
            </w:r>
          </w:p>
          <w:p w14:paraId="1061B188">
            <w:pPr>
              <w:pStyle w:val="120"/>
              <w:keepNext w:val="0"/>
              <w:keepLines w:val="0"/>
              <w:pageBreakBefore w:val="0"/>
              <w:widowControl w:val="0"/>
              <w:numPr>
                <w:ilvl w:val="0"/>
                <w:numId w:val="0"/>
              </w:numPr>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color w:val="auto"/>
                <w:sz w:val="21"/>
                <w:szCs w:val="21"/>
              </w:rPr>
            </w:pPr>
            <w:r>
              <w:rPr>
                <w:rFonts w:ascii="Times New Roman" w:hAnsi="Times New Roman" w:eastAsia="宋体" w:cs="Times New Roman"/>
                <w:color w:val="auto"/>
                <w:kern w:val="0"/>
                <w:sz w:val="21"/>
                <w:szCs w:val="21"/>
                <w:lang w:val="en-US" w:eastAsia="zh-CN" w:bidi="ar-SA"/>
              </w:rPr>
              <w:t>2、</w:t>
            </w:r>
            <w:r>
              <w:rPr>
                <w:color w:val="auto"/>
                <w:sz w:val="21"/>
                <w:szCs w:val="21"/>
              </w:rPr>
              <w:t>数字教材开发</w:t>
            </w:r>
            <w:r>
              <w:rPr>
                <w:rFonts w:hint="eastAsia"/>
                <w:color w:val="auto"/>
                <w:sz w:val="21"/>
                <w:szCs w:val="21"/>
              </w:rPr>
              <w:t>系统模块</w:t>
            </w:r>
          </w:p>
          <w:p w14:paraId="4C251E16">
            <w:pPr>
              <w:pStyle w:val="120"/>
              <w:keepNext w:val="0"/>
              <w:keepLines w:val="0"/>
              <w:pageBreakBefore w:val="0"/>
              <w:widowControl w:val="0"/>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color w:val="auto"/>
                <w:sz w:val="21"/>
                <w:szCs w:val="21"/>
              </w:rPr>
            </w:pPr>
            <w:r>
              <w:rPr>
                <w:color w:val="auto"/>
                <w:sz w:val="21"/>
                <w:szCs w:val="21"/>
              </w:rPr>
              <w:t>（1）</w:t>
            </w:r>
            <w:r>
              <w:rPr>
                <w:rFonts w:hint="eastAsia"/>
                <w:color w:val="auto"/>
                <w:sz w:val="21"/>
                <w:szCs w:val="21"/>
              </w:rPr>
              <w:t>数字教材开发系统基于B/S架构，在网页上运行，能够与</w:t>
            </w:r>
            <w:r>
              <w:rPr>
                <w:color w:val="auto"/>
                <w:sz w:val="21"/>
                <w:szCs w:val="21"/>
              </w:rPr>
              <w:t>三维</w:t>
            </w:r>
            <w:r>
              <w:rPr>
                <w:rFonts w:hint="eastAsia"/>
                <w:color w:val="auto"/>
                <w:sz w:val="21"/>
                <w:szCs w:val="21"/>
              </w:rPr>
              <w:t>场景</w:t>
            </w:r>
            <w:r>
              <w:rPr>
                <w:color w:val="auto"/>
                <w:sz w:val="21"/>
                <w:szCs w:val="21"/>
              </w:rPr>
              <w:t>与</w:t>
            </w:r>
            <w:r>
              <w:rPr>
                <w:rFonts w:hint="eastAsia"/>
                <w:color w:val="auto"/>
                <w:sz w:val="21"/>
                <w:szCs w:val="21"/>
              </w:rPr>
              <w:t>仿真</w:t>
            </w:r>
            <w:r>
              <w:rPr>
                <w:color w:val="auto"/>
                <w:sz w:val="21"/>
                <w:szCs w:val="21"/>
              </w:rPr>
              <w:t>资源开发</w:t>
            </w:r>
            <w:r>
              <w:rPr>
                <w:rFonts w:hint="eastAsia"/>
                <w:color w:val="auto"/>
                <w:sz w:val="21"/>
                <w:szCs w:val="21"/>
              </w:rPr>
              <w:t>系统贯通。</w:t>
            </w:r>
          </w:p>
          <w:p w14:paraId="68A78A18">
            <w:pPr>
              <w:pStyle w:val="120"/>
              <w:keepNext w:val="0"/>
              <w:keepLines w:val="0"/>
              <w:pageBreakBefore w:val="0"/>
              <w:widowControl w:val="0"/>
              <w:numPr>
                <w:ilvl w:val="0"/>
                <w:numId w:val="0"/>
              </w:numPr>
              <w:pBdr>
                <w:left w:val="none" w:color="auto" w:sz="0" w:space="0"/>
                <w:right w:val="none" w:color="auto" w:sz="0" w:space="0"/>
              </w:pBdr>
              <w:kinsoku/>
              <w:wordWrap/>
              <w:overflowPunct/>
              <w:topLinePunct w:val="0"/>
              <w:autoSpaceDE/>
              <w:autoSpaceDN/>
              <w:bidi w:val="0"/>
              <w:spacing w:before="0" w:beforeAutospacing="0" w:after="0" w:afterAutospacing="0" w:line="360" w:lineRule="auto"/>
              <w:jc w:val="left"/>
              <w:textAlignment w:val="auto"/>
              <w:rPr>
                <w:color w:val="auto"/>
                <w:sz w:val="21"/>
                <w:szCs w:val="21"/>
              </w:rPr>
            </w:pPr>
            <w:r>
              <w:rPr>
                <w:rFonts w:ascii="Times New Roman" w:hAnsi="Times New Roman" w:eastAsia="宋体" w:cs="Times New Roman"/>
                <w:color w:val="auto"/>
                <w:kern w:val="0"/>
                <w:sz w:val="21"/>
                <w:szCs w:val="21"/>
                <w:lang w:val="en-US" w:eastAsia="zh-CN" w:bidi="ar-SA"/>
              </w:rPr>
              <w:t>（2）</w:t>
            </w:r>
            <w:r>
              <w:rPr>
                <w:rFonts w:hint="eastAsia"/>
                <w:color w:val="auto"/>
                <w:sz w:val="21"/>
                <w:szCs w:val="21"/>
              </w:rPr>
              <w:t>系统提供</w:t>
            </w:r>
            <w:r>
              <w:rPr>
                <w:color w:val="auto"/>
                <w:sz w:val="21"/>
                <w:szCs w:val="21"/>
              </w:rPr>
              <w:t>一站式数字教材开发与富媒体</w:t>
            </w:r>
            <w:r>
              <w:rPr>
                <w:rFonts w:hint="eastAsia"/>
                <w:color w:val="auto"/>
                <w:sz w:val="21"/>
                <w:szCs w:val="21"/>
              </w:rPr>
              <w:t>内容编辑功能，</w:t>
            </w:r>
            <w:r>
              <w:rPr>
                <w:color w:val="auto"/>
                <w:sz w:val="21"/>
                <w:szCs w:val="21"/>
              </w:rPr>
              <w:t>提供从教材规划、内容编排到发布管理的一站式数字教材开发环境，支持教材元数据配置（如教材名称、封面、分类、适用专业、主编信息、课时数等）。</w:t>
            </w:r>
          </w:p>
          <w:p w14:paraId="019F2EFC">
            <w:pPr>
              <w:pStyle w:val="120"/>
              <w:keepNext w:val="0"/>
              <w:keepLines w:val="0"/>
              <w:pageBreakBefore w:val="0"/>
              <w:widowControl w:val="0"/>
              <w:numPr>
                <w:ilvl w:val="0"/>
                <w:numId w:val="0"/>
              </w:numPr>
              <w:pBdr>
                <w:left w:val="none" w:color="auto" w:sz="0" w:space="0"/>
                <w:right w:val="none" w:color="auto" w:sz="0" w:space="0"/>
              </w:pBdr>
              <w:kinsoku/>
              <w:wordWrap/>
              <w:overflowPunct/>
              <w:topLinePunct w:val="0"/>
              <w:autoSpaceDE/>
              <w:autoSpaceDN/>
              <w:bidi w:val="0"/>
              <w:spacing w:before="0" w:beforeAutospacing="0" w:after="0" w:afterAutospacing="0" w:line="360" w:lineRule="auto"/>
              <w:jc w:val="left"/>
              <w:textAlignment w:val="auto"/>
              <w:rPr>
                <w:color w:val="auto"/>
                <w:sz w:val="21"/>
                <w:szCs w:val="21"/>
              </w:rPr>
            </w:pPr>
            <w:r>
              <w:rPr>
                <w:rFonts w:ascii="Times New Roman" w:hAnsi="Times New Roman" w:eastAsia="宋体" w:cs="Times New Roman"/>
                <w:color w:val="auto"/>
                <w:kern w:val="0"/>
                <w:sz w:val="21"/>
                <w:szCs w:val="21"/>
                <w:lang w:val="en-US" w:eastAsia="zh-CN" w:bidi="ar-SA"/>
              </w:rPr>
              <w:t>（3）</w:t>
            </w:r>
            <w:r>
              <w:rPr>
                <w:color w:val="auto"/>
                <w:sz w:val="21"/>
                <w:szCs w:val="21"/>
              </w:rPr>
              <w:t>在内容编辑层面，平台内置富媒体融合编辑器，教材开发人员可灵活插入文本、图片、音视频、PDF文档、外部</w:t>
            </w:r>
            <w:r>
              <w:rPr>
                <w:rFonts w:hint="eastAsia"/>
                <w:color w:val="auto"/>
                <w:sz w:val="21"/>
                <w:szCs w:val="21"/>
              </w:rPr>
              <w:t>网页</w:t>
            </w:r>
            <w:r>
              <w:rPr>
                <w:color w:val="auto"/>
                <w:sz w:val="21"/>
                <w:szCs w:val="21"/>
              </w:rPr>
              <w:t>链接、交互式仿真资源、试题等多种素材类型，打破传统纸质教材的线性限制，构建多模态、可交互、可更新的动态数字教材。</w:t>
            </w:r>
          </w:p>
          <w:p w14:paraId="492DC53E">
            <w:pPr>
              <w:pStyle w:val="120"/>
              <w:widowControl w:val="0"/>
              <w:pBdr>
                <w:left w:val="none" w:color="auto" w:sz="0" w:space="0"/>
                <w:right w:val="none" w:color="auto" w:sz="0" w:space="0"/>
              </w:pBdr>
              <w:spacing w:before="0" w:beforeAutospacing="0" w:after="0" w:afterAutospacing="0" w:line="400" w:lineRule="exact"/>
              <w:textAlignment w:val="auto"/>
              <w:rPr>
                <w:rFonts w:ascii="Calibri" w:hAnsi="Calibri" w:cs="Calibri"/>
                <w:color w:val="auto"/>
              </w:rPr>
            </w:pPr>
            <w:r>
              <w:rPr>
                <w:rFonts w:hint="eastAsia"/>
                <w:color w:val="auto"/>
              </w:rPr>
              <w:t>（4）教材分类与基础信息管理功能</w:t>
            </w:r>
          </w:p>
          <w:p w14:paraId="2ED5F168">
            <w:pPr>
              <w:pStyle w:val="120"/>
              <w:widowControl w:val="0"/>
              <w:pBdr>
                <w:left w:val="none" w:color="auto" w:sz="0" w:space="0"/>
                <w:right w:val="none" w:color="auto" w:sz="0" w:space="0"/>
              </w:pBdr>
              <w:spacing w:before="0" w:beforeAutospacing="0" w:after="0" w:afterAutospacing="0" w:line="400" w:lineRule="exact"/>
              <w:textAlignment w:val="auto"/>
              <w:rPr>
                <w:color w:val="auto"/>
              </w:rPr>
            </w:pPr>
            <w:r>
              <w:rPr>
                <w:rFonts w:ascii="Calibri" w:hAnsi="Calibri" w:cs="Calibri"/>
                <w:color w:val="auto"/>
              </w:rPr>
              <w:t>①</w:t>
            </w:r>
            <w:r>
              <w:rPr>
                <w:rFonts w:hint="eastAsia"/>
                <w:color w:val="auto"/>
              </w:rPr>
              <w:t>具备教材分类、标签、星级、展示状态管理功能，能够实现教材归类与前台展示管控，支持列表分页检索筛选。</w:t>
            </w:r>
          </w:p>
          <w:p w14:paraId="609AEB50">
            <w:pPr>
              <w:pStyle w:val="120"/>
              <w:widowControl w:val="0"/>
              <w:pBdr>
                <w:left w:val="none" w:color="auto" w:sz="0" w:space="0"/>
                <w:right w:val="none" w:color="auto" w:sz="0" w:space="0"/>
              </w:pBdr>
              <w:spacing w:before="0" w:beforeAutospacing="0" w:after="0" w:afterAutospacing="0" w:line="400" w:lineRule="exact"/>
              <w:textAlignment w:val="auto"/>
              <w:rPr>
                <w:color w:val="auto"/>
              </w:rPr>
            </w:pPr>
            <w:r>
              <w:rPr>
                <w:rFonts w:ascii="Calibri" w:hAnsi="Calibri" w:cs="Calibri"/>
                <w:color w:val="auto"/>
              </w:rPr>
              <w:t>②</w:t>
            </w:r>
            <w:r>
              <w:rPr>
                <w:rFonts w:hint="eastAsia"/>
                <w:color w:val="auto"/>
              </w:rPr>
              <w:t>具备教材基础信息维护功能，能够实现教材名称、封面、主编、机构、专业、课时数、描述等配置，支持教材完整信息录入与修改。</w:t>
            </w:r>
          </w:p>
          <w:p w14:paraId="32423DB2">
            <w:pPr>
              <w:pStyle w:val="120"/>
              <w:widowControl w:val="0"/>
              <w:pBdr>
                <w:left w:val="none" w:color="auto" w:sz="0" w:space="0"/>
                <w:right w:val="none" w:color="auto" w:sz="0" w:space="0"/>
              </w:pBdr>
              <w:spacing w:before="0" w:beforeAutospacing="0" w:after="0" w:afterAutospacing="0" w:line="400" w:lineRule="exact"/>
              <w:textAlignment w:val="auto"/>
              <w:rPr>
                <w:color w:val="auto"/>
              </w:rPr>
            </w:pPr>
            <w:r>
              <w:rPr>
                <w:rFonts w:ascii="Calibri" w:hAnsi="Calibri" w:cs="Calibri"/>
                <w:color w:val="auto"/>
              </w:rPr>
              <w:t>③</w:t>
            </w:r>
            <w:r>
              <w:rPr>
                <w:rFonts w:hint="eastAsia"/>
                <w:color w:val="auto"/>
              </w:rPr>
              <w:t>具备教材复制复用功能，能够实现已有教材一键复制快速搭建新教材，能够降低重复内容创建工作量。</w:t>
            </w:r>
          </w:p>
          <w:p w14:paraId="3245A324">
            <w:pPr>
              <w:pStyle w:val="120"/>
              <w:widowControl w:val="0"/>
              <w:pBdr>
                <w:left w:val="none" w:color="auto" w:sz="0" w:space="0"/>
                <w:right w:val="none" w:color="auto" w:sz="0" w:space="0"/>
              </w:pBdr>
              <w:spacing w:before="0" w:beforeAutospacing="0" w:after="0" w:afterAutospacing="0" w:line="400" w:lineRule="exact"/>
              <w:textAlignment w:val="auto"/>
              <w:rPr>
                <w:color w:val="auto"/>
              </w:rPr>
            </w:pPr>
            <w:r>
              <w:rPr>
                <w:rFonts w:ascii="Segoe UI" w:hAnsi="Segoe UI" w:eastAsia="Segoe UI" w:cs="Segoe UI"/>
                <w:color w:val="000000"/>
                <w:sz w:val="22"/>
                <w:szCs w:val="22"/>
                <w:shd w:val="clear" w:color="auto" w:fill="FFFFFF"/>
              </w:rPr>
              <w:t>◆</w:t>
            </w:r>
            <w:r>
              <w:rPr>
                <w:rFonts w:hint="eastAsia"/>
                <w:color w:val="auto"/>
              </w:rPr>
              <w:t>（5）章节课节编排管理功能</w:t>
            </w:r>
          </w:p>
          <w:p w14:paraId="34906EE0">
            <w:pPr>
              <w:pStyle w:val="120"/>
              <w:widowControl w:val="0"/>
              <w:pBdr>
                <w:left w:val="none" w:color="auto" w:sz="0" w:space="0"/>
                <w:right w:val="none" w:color="auto" w:sz="0" w:space="0"/>
              </w:pBdr>
              <w:spacing w:before="0" w:beforeAutospacing="0" w:after="0" w:afterAutospacing="0" w:line="400" w:lineRule="exact"/>
              <w:textAlignment w:val="auto"/>
              <w:rPr>
                <w:color w:val="auto"/>
              </w:rPr>
            </w:pPr>
            <w:r>
              <w:rPr>
                <w:rFonts w:ascii="Calibri" w:hAnsi="Calibri" w:cs="Calibri"/>
                <w:color w:val="auto"/>
              </w:rPr>
              <w:t>①</w:t>
            </w:r>
            <w:r>
              <w:rPr>
                <w:rFonts w:hint="eastAsia"/>
                <w:color w:val="auto"/>
              </w:rPr>
              <w:t>具备教材章节目录维护功能，能够实现单本教材多级章节新增、编辑、删除，要求目录层级清晰可调整。</w:t>
            </w:r>
          </w:p>
          <w:p w14:paraId="23FA5634">
            <w:pPr>
              <w:pStyle w:val="120"/>
              <w:widowControl w:val="0"/>
              <w:pBdr>
                <w:left w:val="none" w:color="auto" w:sz="0" w:space="0"/>
                <w:right w:val="none" w:color="auto" w:sz="0" w:space="0"/>
              </w:pBdr>
              <w:spacing w:before="0" w:beforeAutospacing="0" w:after="0" w:afterAutospacing="0" w:line="400" w:lineRule="exact"/>
              <w:textAlignment w:val="auto"/>
              <w:rPr>
                <w:color w:val="auto"/>
              </w:rPr>
            </w:pPr>
            <w:r>
              <w:rPr>
                <w:rFonts w:ascii="Calibri" w:hAnsi="Calibri" w:cs="Calibri"/>
                <w:color w:val="auto"/>
              </w:rPr>
              <w:t>②</w:t>
            </w:r>
            <w:r>
              <w:rPr>
                <w:rFonts w:hint="eastAsia"/>
                <w:color w:val="auto"/>
              </w:rPr>
              <w:t>具备课节关联与排序功能，能够实现课节绑定对应章节、自由调整课节展示顺序，支持课节上下线管控。</w:t>
            </w:r>
          </w:p>
          <w:p w14:paraId="37CAAE21">
            <w:pPr>
              <w:pStyle w:val="120"/>
              <w:widowControl w:val="0"/>
              <w:pBdr>
                <w:left w:val="none" w:color="auto" w:sz="0" w:space="0"/>
                <w:right w:val="none" w:color="auto" w:sz="0" w:space="0"/>
              </w:pBdr>
              <w:spacing w:before="0" w:beforeAutospacing="0" w:after="0" w:afterAutospacing="0" w:line="400" w:lineRule="exact"/>
              <w:textAlignment w:val="auto"/>
              <w:rPr>
                <w:color w:val="auto"/>
              </w:rPr>
            </w:pPr>
            <w:r>
              <w:rPr>
                <w:rFonts w:ascii="Calibri" w:hAnsi="Calibri" w:cs="Calibri"/>
                <w:color w:val="auto"/>
              </w:rPr>
              <w:t>③</w:t>
            </w:r>
            <w:r>
              <w:rPr>
                <w:rFonts w:hint="eastAsia"/>
                <w:color w:val="auto"/>
              </w:rPr>
              <w:t>具备课节内容编辑功能，能够实现课节教学内容在线编辑维护，支持图文、资源文件嵌入。（投标文件中提供</w:t>
            </w:r>
            <w:r>
              <w:rPr>
                <w:rFonts w:ascii="Calibri" w:hAnsi="Calibri" w:cs="Calibri"/>
                <w:color w:val="auto"/>
              </w:rPr>
              <w:t>①</w:t>
            </w:r>
            <w:r>
              <w:rPr>
                <w:rFonts w:hint="eastAsia"/>
                <w:color w:val="auto"/>
              </w:rPr>
              <w:t>至</w:t>
            </w:r>
            <w:r>
              <w:rPr>
                <w:rFonts w:ascii="Calibri" w:hAnsi="Calibri" w:cs="Calibri"/>
                <w:color w:val="auto"/>
              </w:rPr>
              <w:t>③</w:t>
            </w:r>
            <w:r>
              <w:rPr>
                <w:rFonts w:hint="eastAsia"/>
                <w:color w:val="auto"/>
              </w:rPr>
              <w:t>的软件界面截图，以佐证其功能。）</w:t>
            </w:r>
          </w:p>
          <w:p w14:paraId="75870BDD">
            <w:pPr>
              <w:pStyle w:val="120"/>
              <w:widowControl w:val="0"/>
              <w:pBdr>
                <w:left w:val="none" w:color="auto" w:sz="0" w:space="0"/>
                <w:right w:val="none" w:color="auto" w:sz="0" w:space="0"/>
              </w:pBdr>
              <w:spacing w:before="0" w:beforeAutospacing="0" w:after="0" w:afterAutospacing="0" w:line="400" w:lineRule="exact"/>
              <w:textAlignment w:val="auto"/>
              <w:rPr>
                <w:color w:val="auto"/>
              </w:rPr>
            </w:pPr>
            <w:r>
              <w:rPr>
                <w:rFonts w:hint="eastAsia"/>
                <w:color w:val="auto"/>
              </w:rPr>
              <w:t>（6）课程基础管理功能</w:t>
            </w:r>
          </w:p>
          <w:p w14:paraId="58DF225B">
            <w:pPr>
              <w:pStyle w:val="120"/>
              <w:widowControl w:val="0"/>
              <w:pBdr>
                <w:left w:val="none" w:color="auto" w:sz="0" w:space="0"/>
                <w:right w:val="none" w:color="auto" w:sz="0" w:space="0"/>
              </w:pBdr>
              <w:spacing w:before="0" w:beforeAutospacing="0" w:after="0" w:afterAutospacing="0" w:line="400" w:lineRule="exact"/>
              <w:textAlignment w:val="auto"/>
              <w:rPr>
                <w:color w:val="auto"/>
              </w:rPr>
            </w:pPr>
            <w:r>
              <w:rPr>
                <w:rFonts w:ascii="Calibri" w:hAnsi="Calibri" w:cs="Calibri"/>
                <w:color w:val="auto"/>
              </w:rPr>
              <w:t>①</w:t>
            </w:r>
            <w:r>
              <w:rPr>
                <w:rFonts w:hint="eastAsia"/>
                <w:color w:val="auto"/>
              </w:rPr>
              <w:t>具备课程创建与编辑功能，能够实现课程名称、编码、封面、课程类型、课程目标、备注配置，要求支持课程信息完整维护。</w:t>
            </w:r>
          </w:p>
          <w:p w14:paraId="0335EDAE">
            <w:pPr>
              <w:pStyle w:val="120"/>
              <w:widowControl w:val="0"/>
              <w:pBdr>
                <w:left w:val="none" w:color="auto" w:sz="0" w:space="0"/>
                <w:right w:val="none" w:color="auto" w:sz="0" w:space="0"/>
              </w:pBdr>
              <w:spacing w:before="0" w:beforeAutospacing="0" w:after="0" w:afterAutospacing="0" w:line="400" w:lineRule="exact"/>
              <w:textAlignment w:val="auto"/>
              <w:rPr>
                <w:color w:val="auto"/>
              </w:rPr>
            </w:pPr>
            <w:r>
              <w:rPr>
                <w:rFonts w:ascii="Calibri" w:hAnsi="Calibri" w:cs="Calibri"/>
                <w:color w:val="auto"/>
              </w:rPr>
              <w:t>②</w:t>
            </w:r>
            <w:r>
              <w:rPr>
                <w:rFonts w:hint="eastAsia"/>
                <w:color w:val="auto"/>
              </w:rPr>
              <w:t>具备课程状态流转功能，能够实现课程草稿、发布、关闭状态切换管控，要求不同状态对应不同前台展示权限。</w:t>
            </w:r>
          </w:p>
          <w:p w14:paraId="46EBDFE9">
            <w:pPr>
              <w:pStyle w:val="120"/>
              <w:widowControl w:val="0"/>
              <w:pBdr>
                <w:left w:val="none" w:color="auto" w:sz="0" w:space="0"/>
                <w:right w:val="none" w:color="auto" w:sz="0" w:space="0"/>
              </w:pBdr>
              <w:spacing w:before="0" w:beforeAutospacing="0" w:after="0" w:afterAutospacing="0" w:line="400" w:lineRule="exact"/>
              <w:textAlignment w:val="auto"/>
              <w:rPr>
                <w:color w:val="auto"/>
              </w:rPr>
            </w:pPr>
            <w:r>
              <w:rPr>
                <w:rFonts w:ascii="Calibri" w:hAnsi="Calibri" w:cs="Calibri"/>
                <w:color w:val="auto"/>
              </w:rPr>
              <w:t>③</w:t>
            </w:r>
            <w:r>
              <w:rPr>
                <w:rFonts w:hint="eastAsia"/>
                <w:color w:val="auto"/>
              </w:rPr>
              <w:t>具备教材绑定功能，能够实现单门课程批量关联多本数字教材，要求建立课程与教材绑定关系支撑课程学习内容。</w:t>
            </w:r>
          </w:p>
          <w:p w14:paraId="61F9D439">
            <w:pPr>
              <w:pStyle w:val="120"/>
              <w:widowControl w:val="0"/>
              <w:pBdr>
                <w:left w:val="none" w:color="auto" w:sz="0" w:space="0"/>
                <w:right w:val="none" w:color="auto" w:sz="0" w:space="0"/>
              </w:pBdr>
              <w:spacing w:before="0" w:beforeAutospacing="0" w:after="0" w:afterAutospacing="0" w:line="400" w:lineRule="exact"/>
              <w:textAlignment w:val="auto"/>
              <w:rPr>
                <w:color w:val="auto"/>
              </w:rPr>
            </w:pPr>
            <w:r>
              <w:rPr>
                <w:rFonts w:hint="eastAsia"/>
                <w:color w:val="auto"/>
              </w:rPr>
              <w:t>（7）班级与学员组织管理功能</w:t>
            </w:r>
          </w:p>
          <w:p w14:paraId="484F72BC">
            <w:pPr>
              <w:pStyle w:val="120"/>
              <w:widowControl w:val="0"/>
              <w:pBdr>
                <w:left w:val="none" w:color="auto" w:sz="0" w:space="0"/>
                <w:right w:val="none" w:color="auto" w:sz="0" w:space="0"/>
              </w:pBdr>
              <w:spacing w:before="0" w:beforeAutospacing="0" w:after="0" w:afterAutospacing="0" w:line="400" w:lineRule="exact"/>
              <w:textAlignment w:val="auto"/>
              <w:rPr>
                <w:color w:val="auto"/>
              </w:rPr>
            </w:pPr>
            <w:r>
              <w:rPr>
                <w:rFonts w:ascii="Calibri" w:hAnsi="Calibri" w:cs="Calibri"/>
                <w:color w:val="auto"/>
              </w:rPr>
              <w:t>①</w:t>
            </w:r>
            <w:r>
              <w:rPr>
                <w:rFonts w:hint="eastAsia"/>
                <w:color w:val="auto"/>
              </w:rPr>
              <w:t>具备课程下班级创建管理功能，能够实现班级信息配置、班级人数、班级状态查看，要求一门课程支持创建多个教学班。</w:t>
            </w:r>
          </w:p>
          <w:p w14:paraId="2AF182F2">
            <w:pPr>
              <w:pStyle w:val="120"/>
              <w:widowControl w:val="0"/>
              <w:pBdr>
                <w:left w:val="none" w:color="auto" w:sz="0" w:space="0"/>
                <w:right w:val="none" w:color="auto" w:sz="0" w:space="0"/>
              </w:pBdr>
              <w:spacing w:before="0" w:beforeAutospacing="0" w:after="0" w:afterAutospacing="0" w:line="400" w:lineRule="exact"/>
              <w:textAlignment w:val="auto"/>
              <w:rPr>
                <w:color w:val="auto"/>
              </w:rPr>
            </w:pPr>
            <w:r>
              <w:rPr>
                <w:rFonts w:ascii="Calibri" w:hAnsi="Calibri" w:cs="Calibri"/>
                <w:color w:val="auto"/>
              </w:rPr>
              <w:t>②</w:t>
            </w:r>
            <w:r>
              <w:rPr>
                <w:rFonts w:hint="eastAsia"/>
                <w:color w:val="auto"/>
              </w:rPr>
              <w:t>具备班级学员管理功能，能够实现班级学员名单增删、课程维度学员总量汇总、单班学员详情查看，能够管控参训人员范围。</w:t>
            </w:r>
          </w:p>
          <w:p w14:paraId="0E393FEE">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hint="eastAsia"/>
                <w:color w:val="auto"/>
              </w:rPr>
              <w:t>（8）学员学习中心前端功能</w:t>
            </w:r>
          </w:p>
          <w:p w14:paraId="455641E9">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ascii="Calibri" w:hAnsi="Calibri" w:cs="Calibri"/>
                <w:color w:val="auto"/>
              </w:rPr>
              <w:t>①</w:t>
            </w:r>
            <w:r>
              <w:rPr>
                <w:rFonts w:hint="eastAsia"/>
                <w:color w:val="auto"/>
              </w:rPr>
              <w:t>具备我的任务展示功能，能够实现学员查看有效任务、起止时间、关联课程、关联班级、待完成考试，要求未完成任务醒目提示。</w:t>
            </w:r>
          </w:p>
          <w:p w14:paraId="192B672E">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ascii="Calibri" w:hAnsi="Calibri" w:cs="Calibri"/>
                <w:color w:val="auto"/>
              </w:rPr>
              <w:t>②</w:t>
            </w:r>
            <w:r>
              <w:rPr>
                <w:rFonts w:hint="eastAsia"/>
                <w:color w:val="auto"/>
              </w:rPr>
              <w:t>具备我的课程展示功能，能够实现学员查看课程卡片、课程状态、授课教师、课程编码、课程目标，要求区分已学、进行中、未开启课程。</w:t>
            </w:r>
          </w:p>
          <w:p w14:paraId="312219E4">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ascii="Calibri" w:hAnsi="Calibri" w:cs="Calibri"/>
                <w:color w:val="auto"/>
              </w:rPr>
              <w:t>③</w:t>
            </w:r>
            <w:r>
              <w:rPr>
                <w:rFonts w:hint="eastAsia"/>
                <w:color w:val="auto"/>
              </w:rPr>
              <w:t>具备我的班级展示功能，能够实现学员查看所属班级、关联课程、未处理任务数量、班级成员规模，要求班级信息集中展示。</w:t>
            </w:r>
          </w:p>
          <w:p w14:paraId="044812ED">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hint="eastAsia" w:ascii="Calibri" w:hAnsi="Calibri" w:cs="Calibri"/>
                <w:color w:val="auto"/>
              </w:rPr>
              <w:t>④</w:t>
            </w:r>
            <w:r>
              <w:rPr>
                <w:rFonts w:hint="eastAsia"/>
                <w:color w:val="auto"/>
              </w:rPr>
              <w:t>具备画像快捷入口功能，能够实现学员端跳转学习画像、能力画像页面，要求打通学习数据与测评画像数据。</w:t>
            </w:r>
          </w:p>
          <w:p w14:paraId="43B89D72">
            <w:pPr>
              <w:pStyle w:val="120"/>
              <w:keepNext w:val="0"/>
              <w:keepLines w:val="0"/>
              <w:pageBreakBefore w:val="0"/>
              <w:widowControl w:val="0"/>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color w:val="auto"/>
                <w:sz w:val="21"/>
                <w:szCs w:val="21"/>
              </w:rPr>
            </w:pPr>
          </w:p>
          <w:p w14:paraId="6DED37F1">
            <w:pPr>
              <w:pStyle w:val="120"/>
              <w:keepNext w:val="0"/>
              <w:keepLines w:val="0"/>
              <w:pageBreakBefore w:val="0"/>
              <w:widowControl w:val="0"/>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color w:val="auto"/>
                <w:sz w:val="21"/>
                <w:szCs w:val="21"/>
              </w:rPr>
            </w:pPr>
            <w:r>
              <w:rPr>
                <w:color w:val="auto"/>
                <w:sz w:val="21"/>
                <w:szCs w:val="21"/>
              </w:rPr>
              <w:t>3.</w:t>
            </w:r>
            <w:r>
              <w:rPr>
                <w:rFonts w:hint="eastAsia"/>
                <w:color w:val="auto"/>
                <w:sz w:val="21"/>
                <w:szCs w:val="21"/>
              </w:rPr>
              <w:t>职业能力测评系统模块</w:t>
            </w:r>
          </w:p>
          <w:p w14:paraId="037BE3D9">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hint="eastAsia"/>
                <w:color w:val="auto"/>
              </w:rPr>
              <w:t>（2）岗位基础信息管理功能</w:t>
            </w:r>
          </w:p>
          <w:p w14:paraId="42E0B9CC">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ascii="Calibri" w:hAnsi="Calibri" w:cs="Calibri"/>
                <w:color w:val="auto"/>
              </w:rPr>
              <w:t>①</w:t>
            </w:r>
            <w:r>
              <w:rPr>
                <w:rFonts w:hint="eastAsia"/>
                <w:color w:val="auto"/>
              </w:rPr>
              <w:t>具备岗位管理功能，能够实现岗位新增、编辑、删除操作，要求支持岗位名称、图标、岗位说明基础信息配置维护。</w:t>
            </w:r>
          </w:p>
          <w:p w14:paraId="4244A944">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ascii="Calibri" w:hAnsi="Calibri" w:cs="Calibri"/>
                <w:color w:val="auto"/>
              </w:rPr>
              <w:t>②</w:t>
            </w:r>
            <w:r>
              <w:rPr>
                <w:rFonts w:hint="eastAsia"/>
                <w:color w:val="auto"/>
              </w:rPr>
              <w:t>具备岗位列表检索功能，能够实现岗位数据分页展示、关键词搜索筛选，要求快速定位目标岗位信息。</w:t>
            </w:r>
          </w:p>
          <w:p w14:paraId="5F1E6D98">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hint="eastAsia"/>
                <w:color w:val="auto"/>
              </w:rPr>
              <w:t>（3）岗位任务与能力关联配置功能</w:t>
            </w:r>
          </w:p>
          <w:p w14:paraId="2D5F3C88">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ascii="Calibri" w:hAnsi="Calibri" w:cs="Calibri"/>
                <w:color w:val="auto"/>
              </w:rPr>
              <w:t>①</w:t>
            </w:r>
            <w:r>
              <w:rPr>
                <w:rFonts w:hint="eastAsia"/>
                <w:color w:val="auto"/>
              </w:rPr>
              <w:t>具备岗位任务管理功能，能够实现单岗位多条任务新增、编辑、启用 / 停用管控，要求任务独立配置生效状态。</w:t>
            </w:r>
          </w:p>
          <w:p w14:paraId="39A1FEDB">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ascii="Calibri" w:hAnsi="Calibri" w:cs="Calibri"/>
                <w:color w:val="auto"/>
              </w:rPr>
              <w:t>②</w:t>
            </w:r>
            <w:r>
              <w:rPr>
                <w:rFonts w:hint="eastAsia"/>
                <w:color w:val="auto"/>
              </w:rPr>
              <w:t>具备任务权重排序功能，能够实现各岗位任务权重数值配置、展示顺序调整，要求区分岗位核心任务与次要任务。</w:t>
            </w:r>
          </w:p>
          <w:p w14:paraId="16BADC0C">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ascii="Calibri" w:hAnsi="Calibri" w:cs="Calibri"/>
                <w:color w:val="auto"/>
              </w:rPr>
              <w:t>③</w:t>
            </w:r>
            <w:r>
              <w:rPr>
                <w:rFonts w:hint="eastAsia"/>
                <w:color w:val="auto"/>
              </w:rPr>
              <w:t>具备技能知识点批量关联功能，能够实现岗位任务批量绑定对应技能点、知识点，要求建立岗位 - 任务 - 能力点关联体系。</w:t>
            </w:r>
          </w:p>
          <w:p w14:paraId="19986C96">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hint="eastAsia"/>
                <w:color w:val="auto"/>
              </w:rPr>
              <w:t>（4）岗位能力图谱可视化功能：能够实现岗位详情页可视化展示岗位、任务、技能、知识点层级关联关系，要求直观呈现岗位能力标准。</w:t>
            </w:r>
          </w:p>
          <w:p w14:paraId="078A8120">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hint="eastAsia"/>
                <w:color w:val="auto"/>
              </w:rPr>
              <w:t>（5）测评项目基础配置功能</w:t>
            </w:r>
          </w:p>
          <w:p w14:paraId="678858CD">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ascii="Calibri" w:hAnsi="Calibri" w:cs="Calibri"/>
                <w:color w:val="auto"/>
              </w:rPr>
              <w:t>①</w:t>
            </w:r>
            <w:r>
              <w:rPr>
                <w:rFonts w:hint="eastAsia"/>
                <w:color w:val="auto"/>
              </w:rPr>
              <w:t>具备测评项目管理功能，能够实现测评项目创建、编辑、详情查看，要求每个项目绑定对应岗位、关联考务中心试卷。</w:t>
            </w:r>
          </w:p>
          <w:p w14:paraId="74C3A8CE">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ascii="Calibri" w:hAnsi="Calibri" w:cs="Calibri"/>
                <w:color w:val="auto"/>
              </w:rPr>
              <w:t>②</w:t>
            </w:r>
            <w:r>
              <w:rPr>
                <w:rFonts w:hint="eastAsia"/>
                <w:color w:val="auto"/>
              </w:rPr>
              <w:t>具备测评参数配置功能，能够实现测评名称、说明、展示排序、及格分数线、测评起止时间设定，要求管控测评开放周期与合格标准。</w:t>
            </w:r>
          </w:p>
          <w:p w14:paraId="112FDC1A">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hint="eastAsia"/>
                <w:color w:val="auto"/>
              </w:rPr>
              <w:t>（6） 测评发布、参与与预览功能</w:t>
            </w:r>
          </w:p>
          <w:p w14:paraId="741B8F42">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ascii="Calibri" w:hAnsi="Calibri" w:cs="Calibri"/>
                <w:color w:val="auto"/>
              </w:rPr>
              <w:t>①</w:t>
            </w:r>
            <w:r>
              <w:rPr>
                <w:rFonts w:hint="eastAsia"/>
                <w:color w:val="auto"/>
              </w:rPr>
              <w:t>具备测评定向下发功能，能够实现按用户角色分组批量推送测评项目，要求能够限定参与测评人员范围。</w:t>
            </w:r>
          </w:p>
          <w:p w14:paraId="6053D18F">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ascii="Calibri" w:hAnsi="Calibri" w:cs="Calibri"/>
                <w:color w:val="auto"/>
              </w:rPr>
              <w:t>②</w:t>
            </w:r>
            <w:r>
              <w:rPr>
                <w:rFonts w:hint="eastAsia"/>
                <w:color w:val="auto"/>
              </w:rPr>
              <w:t>具备试卷预览功能，能够实现管理端直接调取考试学生端页面预览测评试卷，可发布前校验试卷内容。</w:t>
            </w:r>
          </w:p>
          <w:p w14:paraId="0A9B3B16">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ascii="Calibri" w:hAnsi="Calibri" w:cs="Calibri"/>
                <w:color w:val="auto"/>
              </w:rPr>
              <w:t>③</w:t>
            </w:r>
            <w:r>
              <w:rPr>
                <w:rFonts w:hint="eastAsia"/>
                <w:color w:val="auto"/>
              </w:rPr>
              <w:t>具备用户端我的测评功能，能够实现测评用户查看待参与测评、历史测评记录，能够区分未完成、已结束测评项目。</w:t>
            </w:r>
          </w:p>
          <w:p w14:paraId="00367032">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hint="eastAsia"/>
                <w:color w:val="auto"/>
              </w:rPr>
              <w:t>（7） 测评结果审核管理功能</w:t>
            </w:r>
          </w:p>
          <w:p w14:paraId="437AE04B">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ascii="Calibri" w:hAnsi="Calibri" w:cs="Calibri"/>
                <w:color w:val="auto"/>
              </w:rPr>
              <w:t>①</w:t>
            </w:r>
            <w:r>
              <w:rPr>
                <w:rFonts w:hint="eastAsia"/>
                <w:color w:val="auto"/>
              </w:rPr>
              <w:t>具备测评成绩汇总查看功能，能够实现管理员查看全部参与人员测评得分列表，要求支持按岗位、时间筛选成绩。</w:t>
            </w:r>
          </w:p>
          <w:p w14:paraId="5BFB6494">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ascii="Calibri" w:hAnsi="Calibri" w:cs="Calibri"/>
                <w:color w:val="auto"/>
              </w:rPr>
              <w:t>②</w:t>
            </w:r>
            <w:r>
              <w:rPr>
                <w:rFonts w:hint="eastAsia"/>
                <w:color w:val="auto"/>
              </w:rPr>
              <w:t>具备答题明细人工审核功能，能够实现查看用户完整答题内容，支持答案人工复核、成绩修正，能够留存审核操作记录。</w:t>
            </w:r>
          </w:p>
          <w:p w14:paraId="564E66FE">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hint="eastAsia"/>
                <w:color w:val="auto"/>
              </w:rPr>
              <w:t>（8）个人能力画像功能：能够实现展示用户技能掌握程度、知识点掌握情况、岗位匹配度、掌握数量统计，支持概览、明细双视图切换，能够分别适配学员学习中心、测评中心双入口查看。</w:t>
            </w:r>
          </w:p>
          <w:p w14:paraId="18D20753">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hint="eastAsia"/>
                <w:color w:val="auto"/>
              </w:rPr>
              <w:t>（9）题库管理功能：能够实现题库新建、编辑、删除、题目检索，支持按难度、题型筛选题目，要求题目可关联对应能力点，适配课程考试出题。</w:t>
            </w:r>
          </w:p>
          <w:p w14:paraId="4C6FC7F4">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hint="eastAsia"/>
                <w:color w:val="auto"/>
              </w:rPr>
              <w:t>（10）试卷管理功能：能够实现试卷新建、复制、编辑、删除，支持题库选题组卷、题目分组、分值调整，要求生成课程专用考试试卷。</w:t>
            </w:r>
          </w:p>
          <w:p w14:paraId="7756BC72">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hint="eastAsia"/>
                <w:color w:val="auto"/>
              </w:rPr>
              <w:t>（11）题库、试卷支撑功能：能够直接调取考务中心已创建题库、试卷绑定至测评项目，要求支持多题型、实训类题目用于岗位测评。</w:t>
            </w:r>
          </w:p>
          <w:p w14:paraId="55885554">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hint="eastAsia"/>
                <w:color w:val="auto"/>
              </w:rPr>
              <w:t>（12）测评考试执行与数据回流功能</w:t>
            </w:r>
          </w:p>
          <w:p w14:paraId="6A3E515A">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ascii="Calibri" w:hAnsi="Calibri" w:cs="Calibri"/>
                <w:color w:val="auto"/>
              </w:rPr>
              <w:t>①</w:t>
            </w:r>
            <w:r>
              <w:rPr>
                <w:rFonts w:hint="eastAsia"/>
                <w:color w:val="auto"/>
              </w:rPr>
              <w:t>具备测评考试作答功能，能够实现测评试卷在线作答、提交、成绩自动核算，答题界面配备倒计时、答题卡、作答进度提示。</w:t>
            </w:r>
          </w:p>
          <w:p w14:paraId="73C3E1BA">
            <w:pPr>
              <w:pStyle w:val="120"/>
              <w:widowControl w:val="0"/>
              <w:pBdr>
                <w:left w:val="none" w:color="auto" w:sz="0" w:space="0"/>
                <w:right w:val="none" w:color="auto" w:sz="0" w:space="0"/>
              </w:pBdr>
              <w:spacing w:before="0" w:beforeAutospacing="0" w:after="0" w:afterAutospacing="0" w:line="360" w:lineRule="auto"/>
              <w:textAlignment w:val="auto"/>
              <w:rPr>
                <w:color w:val="auto"/>
              </w:rPr>
            </w:pPr>
            <w:r>
              <w:rPr>
                <w:rFonts w:ascii="Calibri" w:hAnsi="Calibri" w:cs="Calibri"/>
                <w:color w:val="auto"/>
              </w:rPr>
              <w:t>②</w:t>
            </w:r>
            <w:r>
              <w:rPr>
                <w:rFonts w:hint="eastAsia"/>
                <w:color w:val="auto"/>
              </w:rPr>
              <w:t>具备测评数据回流功能，能够实现测评成绩、答题明细自动同步至测评结果列表、审核中心、个人画像、群体画像，测评数据作为能力分析核心依据。</w:t>
            </w:r>
          </w:p>
          <w:p w14:paraId="59C525E9">
            <w:pPr>
              <w:pStyle w:val="120"/>
              <w:keepNext w:val="0"/>
              <w:keepLines w:val="0"/>
              <w:pageBreakBefore w:val="0"/>
              <w:widowControl w:val="0"/>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rFonts w:hint="eastAsia"/>
                <w:color w:val="auto"/>
                <w:sz w:val="21"/>
                <w:szCs w:val="21"/>
              </w:rPr>
            </w:pPr>
          </w:p>
          <w:p w14:paraId="78CB2EAA">
            <w:pPr>
              <w:pStyle w:val="120"/>
              <w:keepNext w:val="0"/>
              <w:keepLines w:val="0"/>
              <w:pageBreakBefore w:val="0"/>
              <w:widowControl w:val="0"/>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rFonts w:hint="eastAsia"/>
                <w:color w:val="auto"/>
                <w:sz w:val="21"/>
                <w:szCs w:val="21"/>
              </w:rPr>
            </w:pPr>
            <w:r>
              <w:rPr>
                <w:rFonts w:ascii="Segoe UI" w:hAnsi="Segoe UI" w:eastAsia="Segoe UI" w:cs="Segoe UI"/>
                <w:color w:val="000000"/>
                <w:sz w:val="22"/>
                <w:szCs w:val="22"/>
                <w:shd w:val="clear" w:color="auto" w:fill="FFFFFF"/>
              </w:rPr>
              <w:t>◆</w:t>
            </w:r>
            <w:r>
              <w:rPr>
                <w:rFonts w:hint="eastAsia"/>
                <w:color w:val="auto"/>
                <w:sz w:val="21"/>
                <w:szCs w:val="21"/>
              </w:rPr>
              <w:t>4</w:t>
            </w:r>
            <w:r>
              <w:rPr>
                <w:rFonts w:hint="eastAsia"/>
                <w:color w:val="auto"/>
                <w:sz w:val="21"/>
                <w:szCs w:val="21"/>
                <w:lang w:val="en-US" w:eastAsia="zh-CN"/>
              </w:rPr>
              <w:t>.</w:t>
            </w:r>
            <w:r>
              <w:rPr>
                <w:rFonts w:hint="eastAsia"/>
                <w:color w:val="auto"/>
                <w:sz w:val="21"/>
                <w:szCs w:val="21"/>
              </w:rPr>
              <w:t>系统集成、数据安全及扩展能力要求</w:t>
            </w:r>
          </w:p>
          <w:p w14:paraId="7F7719CA">
            <w:pPr>
              <w:pStyle w:val="120"/>
              <w:keepNext w:val="0"/>
              <w:keepLines w:val="0"/>
              <w:pageBreakBefore w:val="0"/>
              <w:widowControl w:val="0"/>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rFonts w:hint="eastAsia"/>
                <w:color w:val="auto"/>
                <w:sz w:val="21"/>
                <w:szCs w:val="21"/>
              </w:rPr>
            </w:pPr>
            <w:r>
              <w:rPr>
                <w:rFonts w:hint="eastAsia"/>
                <w:color w:val="auto"/>
                <w:sz w:val="21"/>
                <w:szCs w:val="21"/>
              </w:rPr>
              <w:t>（1）平台支持与</w:t>
            </w:r>
            <w:r>
              <w:rPr>
                <w:rFonts w:hint="eastAsia"/>
                <w:color w:val="auto"/>
              </w:rPr>
              <w:t>第三方教学实施平台（如</w:t>
            </w:r>
            <w:r>
              <w:rPr>
                <w:rFonts w:hint="eastAsia" w:ascii="宋体" w:hAnsi="宋体" w:cs="宋体"/>
                <w:bCs/>
                <w:color w:val="auto"/>
                <w:lang w:bidi="ar"/>
              </w:rPr>
              <w:t>主流</w:t>
            </w:r>
            <w:r>
              <w:rPr>
                <w:rFonts w:hint="eastAsia"/>
                <w:color w:val="auto"/>
              </w:rPr>
              <w:t>国家级出版社数字化教材应用平台等之一）</w:t>
            </w:r>
            <w:r>
              <w:rPr>
                <w:rFonts w:hint="eastAsia"/>
                <w:color w:val="auto"/>
                <w:sz w:val="21"/>
                <w:szCs w:val="21"/>
              </w:rPr>
              <w:t>实现数据互通，仿真操作记录、测评成绩等数据同步至在线学习平台，纳入学生学习档案；虚拟仿真资源支持链接跳转调用。</w:t>
            </w:r>
          </w:p>
          <w:p w14:paraId="1ABECA20">
            <w:pPr>
              <w:pStyle w:val="120"/>
              <w:keepNext w:val="0"/>
              <w:keepLines w:val="0"/>
              <w:pageBreakBefore w:val="0"/>
              <w:widowControl w:val="0"/>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rFonts w:hint="eastAsia"/>
                <w:color w:val="auto"/>
                <w:sz w:val="21"/>
                <w:szCs w:val="21"/>
              </w:rPr>
            </w:pPr>
            <w:r>
              <w:rPr>
                <w:rFonts w:hint="eastAsia"/>
                <w:color w:val="auto"/>
                <w:sz w:val="21"/>
                <w:szCs w:val="21"/>
              </w:rPr>
              <w:t>（2）对接学校统一身份认证系统，实现单点登录；数据传输采用 HTTPS 加密协议；按角色分配访问权限，保障教学数据、学生隐私安全。</w:t>
            </w:r>
          </w:p>
          <w:p w14:paraId="49A5692D">
            <w:pPr>
              <w:pStyle w:val="120"/>
              <w:keepNext w:val="0"/>
              <w:keepLines w:val="0"/>
              <w:pageBreakBefore w:val="0"/>
              <w:widowControl w:val="0"/>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rFonts w:hint="eastAsia"/>
                <w:color w:val="auto"/>
                <w:sz w:val="21"/>
                <w:szCs w:val="21"/>
              </w:rPr>
            </w:pPr>
            <w:r>
              <w:rPr>
                <w:rFonts w:hint="eastAsia"/>
                <w:color w:val="auto"/>
                <w:sz w:val="21"/>
                <w:szCs w:val="21"/>
              </w:rPr>
              <w:t>（3）提供标准化 API 接口文档，</w:t>
            </w:r>
            <w:r>
              <w:rPr>
                <w:rFonts w:hint="eastAsia"/>
                <w:color w:val="auto"/>
              </w:rPr>
              <w:t>并支持调用</w:t>
            </w:r>
            <w:r>
              <w:rPr>
                <w:rFonts w:hint="eastAsia"/>
                <w:color w:val="auto"/>
                <w:sz w:val="21"/>
                <w:szCs w:val="21"/>
              </w:rPr>
              <w:t>，具备二次开发能力，预留后续校园业务系统集成扩展接口。</w:t>
            </w:r>
          </w:p>
          <w:p w14:paraId="0B5DA8EF">
            <w:pPr>
              <w:pStyle w:val="120"/>
              <w:keepNext w:val="0"/>
              <w:keepLines w:val="0"/>
              <w:pageBreakBefore w:val="0"/>
              <w:widowControl w:val="0"/>
              <w:pBdr>
                <w:left w:val="none" w:color="auto" w:sz="0" w:space="0"/>
                <w:right w:val="none" w:color="auto" w:sz="0" w:space="0"/>
              </w:pBdr>
              <w:kinsoku/>
              <w:wordWrap/>
              <w:overflowPunct/>
              <w:topLinePunct w:val="0"/>
              <w:autoSpaceDE/>
              <w:autoSpaceDN/>
              <w:bidi w:val="0"/>
              <w:spacing w:before="0" w:beforeAutospacing="0" w:after="0" w:afterAutospacing="0" w:line="360" w:lineRule="auto"/>
              <w:textAlignment w:val="auto"/>
              <w:rPr>
                <w:rFonts w:hint="eastAsia"/>
                <w:color w:val="auto"/>
                <w:sz w:val="21"/>
                <w:szCs w:val="21"/>
              </w:rPr>
            </w:pPr>
            <w:r>
              <w:rPr>
                <w:rFonts w:hint="eastAsia"/>
                <w:color w:val="auto"/>
                <w:sz w:val="21"/>
                <w:szCs w:val="21"/>
              </w:rPr>
              <w:t>（4）教学运行期间平台整体可用率≥99.5%。</w:t>
            </w:r>
          </w:p>
        </w:tc>
        <w:tc>
          <w:tcPr>
            <w:tcW w:w="799" w:type="dxa"/>
            <w:tcBorders>
              <w:top w:val="single" w:color="auto" w:sz="4" w:space="0"/>
              <w:left w:val="single" w:color="auto" w:sz="4" w:space="0"/>
              <w:right w:val="single" w:color="auto" w:sz="4" w:space="0"/>
            </w:tcBorders>
            <w:noWrap w:val="0"/>
            <w:vAlign w:val="center"/>
          </w:tcPr>
          <w:p w14:paraId="6B38EE1D">
            <w:pPr>
              <w:keepNext w:val="0"/>
              <w:keepLines w:val="0"/>
              <w:pageBreakBefore w:val="0"/>
              <w:shd w:val="clear"/>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lang w:eastAsia="zh-CN"/>
              </w:rPr>
            </w:pPr>
            <w:r>
              <w:rPr>
                <w:rFonts w:hint="eastAsia" w:ascii="宋体" w:hAnsi="宋体" w:cs="宋体"/>
                <w:b w:val="0"/>
                <w:bCs/>
                <w:color w:val="auto"/>
                <w:sz w:val="21"/>
                <w:szCs w:val="21"/>
                <w:highlight w:val="none"/>
                <w:lang w:eastAsia="zh-CN"/>
              </w:rPr>
              <w:t>软件和信息技术服务业</w:t>
            </w:r>
          </w:p>
        </w:tc>
      </w:tr>
      <w:tr w14:paraId="5080F5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90" w:type="dxa"/>
            <w:gridSpan w:val="2"/>
            <w:tcBorders>
              <w:top w:val="single" w:color="auto" w:sz="4" w:space="0"/>
              <w:left w:val="single" w:color="auto" w:sz="4" w:space="0"/>
              <w:bottom w:val="single" w:color="auto" w:sz="4" w:space="0"/>
              <w:right w:val="single" w:color="auto" w:sz="4" w:space="0"/>
            </w:tcBorders>
            <w:noWrap w:val="0"/>
            <w:vAlign w:val="center"/>
          </w:tcPr>
          <w:p w14:paraId="7E5EA939">
            <w:pPr>
              <w:keepNext w:val="0"/>
              <w:keepLines w:val="0"/>
              <w:pageBreakBefore w:val="0"/>
              <w:shd w:val="clear"/>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商务条款</w:t>
            </w:r>
          </w:p>
        </w:tc>
        <w:tc>
          <w:tcPr>
            <w:tcW w:w="8671" w:type="dxa"/>
            <w:gridSpan w:val="5"/>
            <w:tcBorders>
              <w:top w:val="single" w:color="auto" w:sz="4" w:space="0"/>
              <w:left w:val="single" w:color="auto" w:sz="4" w:space="0"/>
              <w:bottom w:val="single" w:color="auto" w:sz="4" w:space="0"/>
              <w:right w:val="single" w:color="auto" w:sz="4" w:space="0"/>
            </w:tcBorders>
            <w:noWrap w:val="0"/>
            <w:vAlign w:val="top"/>
          </w:tcPr>
          <w:p w14:paraId="297E4D04">
            <w:pPr>
              <w:keepNext w:val="0"/>
              <w:keepLines w:val="0"/>
              <w:pageBreakBefore w:val="0"/>
              <w:widowControl/>
              <w:shd w:val="clear"/>
              <w:kinsoku/>
              <w:wordWrap/>
              <w:overflowPunct/>
              <w:topLinePunct w:val="0"/>
              <w:autoSpaceDE/>
              <w:autoSpaceDN/>
              <w:bidi w:val="0"/>
              <w:snapToGrid w:val="0"/>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b/>
                <w:color w:val="auto"/>
                <w:sz w:val="21"/>
                <w:szCs w:val="21"/>
                <w:highlight w:val="none"/>
              </w:rPr>
              <w:t>一、合同签订期：</w:t>
            </w:r>
            <w:r>
              <w:rPr>
                <w:rFonts w:hint="eastAsia" w:ascii="宋体" w:hAnsi="宋体" w:eastAsia="宋体" w:cs="宋体"/>
                <w:color w:val="auto"/>
                <w:sz w:val="21"/>
                <w:szCs w:val="21"/>
                <w:highlight w:val="none"/>
              </w:rPr>
              <w:t>自中标通知书发出</w:t>
            </w:r>
            <w:r>
              <w:rPr>
                <w:rFonts w:hint="eastAsia" w:ascii="宋体" w:hAnsi="宋体" w:eastAsia="宋体" w:cs="宋体"/>
                <w:color w:val="auto"/>
                <w:sz w:val="21"/>
                <w:szCs w:val="21"/>
                <w:highlight w:val="none"/>
                <w:lang w:eastAsia="zh-CN"/>
              </w:rPr>
              <w:t>之日起</w:t>
            </w:r>
            <w:r>
              <w:rPr>
                <w:rFonts w:hint="eastAsia" w:ascii="宋体" w:hAnsi="宋体" w:eastAsia="宋体" w:cs="宋体"/>
                <w:color w:val="auto"/>
                <w:sz w:val="21"/>
                <w:szCs w:val="21"/>
                <w:highlight w:val="none"/>
                <w:u w:val="single"/>
              </w:rPr>
              <w:t>25</w:t>
            </w:r>
            <w:r>
              <w:rPr>
                <w:rFonts w:hint="eastAsia" w:ascii="宋体" w:hAnsi="宋体" w:cs="宋体"/>
                <w:color w:val="auto"/>
                <w:sz w:val="21"/>
                <w:szCs w:val="21"/>
                <w:highlight w:val="none"/>
                <w:u w:val="single"/>
                <w:lang w:val="en-US" w:eastAsia="zh-CN"/>
              </w:rPr>
              <w:t>日</w:t>
            </w:r>
            <w:r>
              <w:rPr>
                <w:rFonts w:hint="eastAsia" w:ascii="宋体" w:hAnsi="宋体" w:eastAsia="宋体" w:cs="宋体"/>
                <w:color w:val="auto"/>
                <w:sz w:val="21"/>
                <w:szCs w:val="21"/>
                <w:highlight w:val="none"/>
              </w:rPr>
              <w:t>内（注：中标通知书发出之日起25日内必须签订合同）</w:t>
            </w:r>
            <w:r>
              <w:rPr>
                <w:rFonts w:hint="eastAsia" w:ascii="宋体" w:hAnsi="宋体" w:cs="宋体"/>
                <w:color w:val="auto"/>
                <w:sz w:val="21"/>
                <w:szCs w:val="21"/>
                <w:highlight w:val="none"/>
                <w:lang w:eastAsia="zh-CN"/>
              </w:rPr>
              <w:t>。</w:t>
            </w:r>
          </w:p>
          <w:p w14:paraId="5C1916C5">
            <w:pPr>
              <w:keepNext w:val="0"/>
              <w:keepLines w:val="0"/>
              <w:pageBreakBefore w:val="0"/>
              <w:widowControl/>
              <w:shd w:val="clear"/>
              <w:kinsoku/>
              <w:wordWrap/>
              <w:overflowPunct/>
              <w:topLinePunct w:val="0"/>
              <w:autoSpaceDE/>
              <w:autoSpaceDN/>
              <w:bidi w:val="0"/>
              <w:snapToGrid w:val="0"/>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rPr>
              <w:t>▲</w:t>
            </w:r>
            <w:r>
              <w:rPr>
                <w:rFonts w:hint="eastAsia" w:ascii="宋体" w:hAnsi="宋体" w:eastAsia="宋体" w:cs="宋体"/>
                <w:b/>
                <w:color w:val="auto"/>
                <w:sz w:val="21"/>
                <w:szCs w:val="21"/>
                <w:highlight w:val="none"/>
              </w:rPr>
              <w:t>二、</w:t>
            </w:r>
            <w:r>
              <w:rPr>
                <w:rFonts w:hint="eastAsia" w:ascii="宋体" w:hAnsi="宋体" w:eastAsia="宋体" w:cs="宋体"/>
                <w:b/>
                <w:bCs/>
                <w:color w:val="auto"/>
                <w:sz w:val="21"/>
                <w:szCs w:val="21"/>
                <w:highlight w:val="none"/>
              </w:rPr>
              <w:t>服务期限或者服务时间：</w:t>
            </w:r>
            <w:r>
              <w:rPr>
                <w:rFonts w:hint="eastAsia" w:ascii="宋体" w:hAnsi="宋体" w:eastAsia="宋体" w:cs="宋体"/>
                <w:b w:val="0"/>
                <w:bCs w:val="0"/>
                <w:color w:val="auto"/>
                <w:sz w:val="21"/>
                <w:szCs w:val="21"/>
                <w:highlight w:val="none"/>
              </w:rPr>
              <w:t>自合同签订之日起20</w:t>
            </w:r>
            <w:r>
              <w:rPr>
                <w:rFonts w:hint="eastAsia" w:ascii="宋体" w:hAnsi="宋体" w:cs="宋体"/>
                <w:b w:val="0"/>
                <w:bCs w:val="0"/>
                <w:color w:val="auto"/>
                <w:sz w:val="21"/>
                <w:szCs w:val="21"/>
                <w:highlight w:val="none"/>
                <w:lang w:val="en-US" w:eastAsia="zh-CN"/>
              </w:rPr>
              <w:t>个</w:t>
            </w:r>
            <w:r>
              <w:rPr>
                <w:rFonts w:hint="eastAsia" w:ascii="宋体" w:hAnsi="宋体" w:eastAsia="宋体" w:cs="宋体"/>
                <w:b w:val="0"/>
                <w:bCs w:val="0"/>
                <w:color w:val="auto"/>
                <w:sz w:val="21"/>
                <w:szCs w:val="21"/>
                <w:highlight w:val="none"/>
              </w:rPr>
              <w:t>工作日内</w:t>
            </w:r>
            <w:r>
              <w:rPr>
                <w:rFonts w:hint="eastAsia" w:ascii="宋体" w:hAnsi="宋体" w:eastAsia="宋体" w:cs="宋体"/>
                <w:bCs/>
                <w:color w:val="auto"/>
                <w:sz w:val="21"/>
                <w:szCs w:val="21"/>
                <w:highlight w:val="none"/>
                <w:u w:val="none"/>
                <w:lang w:eastAsia="zh-CN"/>
              </w:rPr>
              <w:t>。</w:t>
            </w:r>
          </w:p>
          <w:p w14:paraId="4BC39309">
            <w:pPr>
              <w:keepNext w:val="0"/>
              <w:keepLines w:val="0"/>
              <w:pageBreakBefore w:val="0"/>
              <w:widowControl/>
              <w:shd w:val="clear"/>
              <w:kinsoku/>
              <w:wordWrap/>
              <w:overflowPunct/>
              <w:topLinePunct w:val="0"/>
              <w:autoSpaceDE/>
              <w:autoSpaceDN/>
              <w:bidi w:val="0"/>
              <w:snapToGrid w:val="0"/>
              <w:spacing w:line="360" w:lineRule="auto"/>
              <w:textAlignment w:val="auto"/>
              <w:rPr>
                <w:rFonts w:hint="eastAsia" w:ascii="宋体" w:hAnsi="宋体" w:eastAsia="宋体" w:cs="宋体"/>
                <w:b w:val="0"/>
                <w:bCs/>
                <w:color w:val="auto"/>
                <w:sz w:val="21"/>
                <w:szCs w:val="21"/>
                <w:highlight w:val="none"/>
                <w:u w:val="single"/>
                <w:lang w:eastAsia="zh-CN"/>
              </w:rPr>
            </w:pPr>
            <w:r>
              <w:rPr>
                <w:rFonts w:hint="eastAsia" w:ascii="宋体" w:hAnsi="宋体" w:eastAsia="宋体" w:cs="宋体"/>
                <w:b/>
                <w:bCs/>
                <w:color w:val="auto"/>
                <w:sz w:val="21"/>
                <w:szCs w:val="21"/>
                <w:highlight w:val="none"/>
              </w:rPr>
              <w:t>▲</w:t>
            </w:r>
            <w:r>
              <w:rPr>
                <w:rFonts w:hint="eastAsia" w:ascii="宋体" w:hAnsi="宋体" w:eastAsia="宋体" w:cs="宋体"/>
                <w:b/>
                <w:color w:val="auto"/>
                <w:sz w:val="21"/>
                <w:szCs w:val="21"/>
                <w:highlight w:val="none"/>
              </w:rPr>
              <w:t>三、服务地点：</w:t>
            </w:r>
            <w:r>
              <w:rPr>
                <w:rFonts w:hint="eastAsia" w:ascii="宋体" w:hAnsi="宋体" w:eastAsia="宋体" w:cs="宋体"/>
                <w:b w:val="0"/>
                <w:bCs/>
                <w:color w:val="auto"/>
                <w:sz w:val="21"/>
                <w:szCs w:val="21"/>
                <w:highlight w:val="none"/>
              </w:rPr>
              <w:t>南宁职业技术大学项目场地</w:t>
            </w:r>
            <w:r>
              <w:rPr>
                <w:rFonts w:hint="eastAsia" w:ascii="宋体" w:hAnsi="宋体" w:eastAsia="宋体" w:cs="宋体"/>
                <w:b w:val="0"/>
                <w:bCs/>
                <w:color w:val="auto"/>
                <w:sz w:val="21"/>
                <w:szCs w:val="21"/>
                <w:highlight w:val="none"/>
                <w:lang w:eastAsia="zh-CN"/>
              </w:rPr>
              <w:t>。</w:t>
            </w:r>
          </w:p>
          <w:p w14:paraId="15800207">
            <w:pPr>
              <w:keepNext w:val="0"/>
              <w:keepLines w:val="0"/>
              <w:pageBreakBefore w:val="0"/>
              <w:shd w:val="clear"/>
              <w:kinsoku/>
              <w:wordWrap/>
              <w:overflowPunct/>
              <w:topLinePunct w:val="0"/>
              <w:autoSpaceDE/>
              <w:autoSpaceDN/>
              <w:bidi w:val="0"/>
              <w:snapToGrid w:val="0"/>
              <w:spacing w:line="360" w:lineRule="auto"/>
              <w:textAlignment w:val="auto"/>
              <w:rPr>
                <w:rFonts w:hint="eastAsia" w:ascii="宋体" w:hAnsi="宋体" w:cs="宋体"/>
                <w:color w:val="auto"/>
                <w:sz w:val="21"/>
                <w:szCs w:val="21"/>
                <w:highlight w:val="none"/>
              </w:rPr>
            </w:pPr>
            <w:r>
              <w:rPr>
                <w:rFonts w:hint="eastAsia" w:ascii="宋体" w:hAnsi="宋体" w:eastAsia="宋体" w:cs="宋体"/>
                <w:b/>
                <w:bCs/>
                <w:color w:val="auto"/>
                <w:sz w:val="21"/>
                <w:szCs w:val="21"/>
                <w:highlight w:val="none"/>
              </w:rPr>
              <w:t>▲四、</w:t>
            </w:r>
            <w:r>
              <w:rPr>
                <w:rFonts w:hint="eastAsia" w:ascii="宋体" w:hAnsi="宋体" w:cs="宋体"/>
                <w:b/>
                <w:bCs/>
                <w:color w:val="auto"/>
                <w:sz w:val="21"/>
                <w:szCs w:val="21"/>
                <w:highlight w:val="none"/>
              </w:rPr>
              <w:t>售后服务要求：</w:t>
            </w:r>
            <w:r>
              <w:rPr>
                <w:rFonts w:hint="eastAsia" w:ascii="宋体" w:hAnsi="宋体" w:cs="宋体"/>
                <w:color w:val="auto"/>
                <w:sz w:val="21"/>
                <w:szCs w:val="21"/>
                <w:highlight w:val="none"/>
              </w:rPr>
              <w:t xml:space="preserve">                                                                    </w:t>
            </w:r>
          </w:p>
          <w:p w14:paraId="6E0C9BC8">
            <w:pPr>
              <w:keepNext w:val="0"/>
              <w:keepLines w:val="0"/>
              <w:pageBreakBefore w:val="0"/>
              <w:shd w:val="clear"/>
              <w:kinsoku/>
              <w:wordWrap/>
              <w:overflowPunct/>
              <w:topLinePunct w:val="0"/>
              <w:autoSpaceDE/>
              <w:autoSpaceDN/>
              <w:bidi w:val="0"/>
              <w:snapToGrid w:val="0"/>
              <w:spacing w:line="360" w:lineRule="auto"/>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rPr>
              <w:t>（一）质量保证期：自提供服务至服务验收合格之日</w:t>
            </w:r>
            <w:r>
              <w:rPr>
                <w:rFonts w:hint="eastAsia" w:ascii="宋体" w:hAnsi="宋体" w:cs="宋体"/>
                <w:color w:val="auto"/>
                <w:sz w:val="21"/>
                <w:szCs w:val="21"/>
                <w:highlight w:val="none"/>
                <w:lang w:val="en-US" w:eastAsia="zh-CN"/>
              </w:rPr>
              <w:t>起3年</w:t>
            </w:r>
            <w:r>
              <w:rPr>
                <w:rFonts w:hint="eastAsia" w:ascii="宋体" w:hAnsi="宋体" w:cs="宋体"/>
                <w:color w:val="auto"/>
                <w:sz w:val="21"/>
                <w:szCs w:val="21"/>
                <w:highlight w:val="none"/>
              </w:rPr>
              <w:t>。</w:t>
            </w:r>
          </w:p>
          <w:p w14:paraId="5E099F98">
            <w:pPr>
              <w:keepNext w:val="0"/>
              <w:keepLines w:val="0"/>
              <w:pageBreakBefore w:val="0"/>
              <w:shd w:val="clear"/>
              <w:kinsoku/>
              <w:wordWrap/>
              <w:overflowPunct/>
              <w:topLinePunct w:val="0"/>
              <w:autoSpaceDE/>
              <w:autoSpaceDN/>
              <w:bidi w:val="0"/>
              <w:snapToGrid w:val="0"/>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（二）处理问题响应时间：提供7×24小时远程技术支持，重大故障48小时内到达现场处理；线下接到采购人处理问题通知后24小时内到达采购人指定现场</w:t>
            </w:r>
            <w:r>
              <w:rPr>
                <w:rFonts w:hint="eastAsia" w:ascii="宋体" w:hAnsi="宋体" w:eastAsia="宋体" w:cs="宋体"/>
                <w:color w:val="auto"/>
                <w:sz w:val="21"/>
                <w:szCs w:val="21"/>
                <w:highlight w:val="none"/>
                <w:lang w:eastAsia="zh-CN"/>
              </w:rPr>
              <w:t>。</w:t>
            </w:r>
          </w:p>
          <w:p w14:paraId="05CFBC25">
            <w:pPr>
              <w:keepNext w:val="0"/>
              <w:keepLines w:val="0"/>
              <w:pageBreakBefore w:val="0"/>
              <w:shd w:val="clear"/>
              <w:kinsoku/>
              <w:wordWrap/>
              <w:overflowPunct/>
              <w:topLinePunct w:val="0"/>
              <w:autoSpaceDE/>
              <w:autoSpaceDN/>
              <w:bidi w:val="0"/>
              <w:snapToGrid w:val="0"/>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lang w:eastAsia="zh-CN"/>
              </w:rPr>
              <w:t>）质量保证期内，中标供应商负责及时</w:t>
            </w:r>
            <w:r>
              <w:rPr>
                <w:rFonts w:hint="eastAsia" w:ascii="宋体" w:hAnsi="宋体" w:eastAsia="宋体" w:cs="宋体"/>
                <w:color w:val="auto"/>
                <w:sz w:val="21"/>
                <w:szCs w:val="21"/>
                <w:highlight w:val="none"/>
                <w:lang w:val="en-US" w:eastAsia="zh-CN"/>
              </w:rPr>
              <w:t>响应采购人提出的优化需求。</w:t>
            </w:r>
          </w:p>
          <w:p w14:paraId="273D8F79">
            <w:pPr>
              <w:keepNext w:val="0"/>
              <w:keepLines w:val="0"/>
              <w:pageBreakBefore w:val="0"/>
              <w:widowControl/>
              <w:shd w:val="clear"/>
              <w:kinsoku/>
              <w:wordWrap/>
              <w:overflowPunct/>
              <w:topLinePunct w:val="0"/>
              <w:autoSpaceDE/>
              <w:autoSpaceDN/>
              <w:bidi w:val="0"/>
              <w:snapToGrid w:val="0"/>
              <w:spacing w:line="360" w:lineRule="auto"/>
              <w:textAlignment w:val="auto"/>
              <w:rPr>
                <w:rFonts w:hint="eastAsia" w:ascii="宋体" w:hAnsi="宋体" w:eastAsia="宋体" w:cs="宋体"/>
                <w:bCs/>
                <w:color w:val="auto"/>
                <w:sz w:val="21"/>
                <w:szCs w:val="21"/>
                <w:highlight w:val="none"/>
                <w:u w:val="single"/>
              </w:rPr>
            </w:pPr>
            <w:r>
              <w:rPr>
                <w:rFonts w:hint="eastAsia" w:ascii="宋体" w:hAnsi="宋体" w:eastAsia="宋体" w:cs="宋体"/>
                <w:b/>
                <w:color w:val="auto"/>
                <w:sz w:val="21"/>
                <w:szCs w:val="21"/>
                <w:highlight w:val="none"/>
                <w:lang w:val="en-US" w:eastAsia="zh-CN"/>
              </w:rPr>
              <w:t>五、</w:t>
            </w:r>
            <w:r>
              <w:rPr>
                <w:rFonts w:hint="eastAsia" w:ascii="宋体" w:hAnsi="宋体" w:eastAsia="宋体" w:cs="宋体"/>
                <w:b/>
                <w:color w:val="auto"/>
                <w:sz w:val="21"/>
                <w:szCs w:val="21"/>
                <w:highlight w:val="none"/>
              </w:rPr>
              <w:t>付款方式：</w:t>
            </w:r>
            <w:r>
              <w:rPr>
                <w:rFonts w:hint="eastAsia" w:ascii="宋体" w:hAnsi="宋体" w:cs="宋体"/>
                <w:color w:val="auto"/>
                <w:sz w:val="21"/>
                <w:szCs w:val="21"/>
              </w:rPr>
              <w:t>本项目无预付款，供应商所提交的</w:t>
            </w:r>
            <w:r>
              <w:rPr>
                <w:rFonts w:hint="eastAsia" w:ascii="宋体" w:hAnsi="宋体" w:cs="宋体"/>
                <w:color w:val="auto"/>
                <w:sz w:val="21"/>
                <w:szCs w:val="21"/>
                <w:lang w:val="en-US" w:eastAsia="zh-CN"/>
              </w:rPr>
              <w:t>服务</w:t>
            </w:r>
            <w:r>
              <w:rPr>
                <w:rFonts w:hint="eastAsia" w:ascii="宋体" w:hAnsi="宋体" w:cs="宋体"/>
                <w:color w:val="auto"/>
                <w:sz w:val="21"/>
                <w:szCs w:val="21"/>
              </w:rPr>
              <w:t>经采购人书面验收合格后，一次性支付合同款</w:t>
            </w:r>
            <w:r>
              <w:rPr>
                <w:rFonts w:hint="eastAsia" w:ascii="宋体" w:hAnsi="宋体" w:eastAsia="宋体" w:cs="宋体"/>
                <w:b w:val="0"/>
                <w:bCs/>
                <w:color w:val="auto"/>
                <w:sz w:val="21"/>
                <w:szCs w:val="21"/>
                <w:highlight w:val="none"/>
              </w:rPr>
              <w:t>。在支付前，</w:t>
            </w:r>
            <w:r>
              <w:rPr>
                <w:rFonts w:hint="eastAsia" w:ascii="宋体" w:hAnsi="宋体" w:eastAsia="宋体" w:cs="宋体"/>
                <w:b w:val="0"/>
                <w:bCs/>
                <w:color w:val="auto"/>
                <w:sz w:val="21"/>
                <w:szCs w:val="21"/>
                <w:highlight w:val="none"/>
                <w:lang w:val="en-US" w:eastAsia="zh-CN"/>
              </w:rPr>
              <w:t>中标人</w:t>
            </w:r>
            <w:r>
              <w:rPr>
                <w:rFonts w:hint="eastAsia" w:ascii="宋体" w:hAnsi="宋体" w:eastAsia="宋体" w:cs="宋体"/>
                <w:b w:val="0"/>
                <w:bCs/>
                <w:color w:val="auto"/>
                <w:sz w:val="21"/>
                <w:szCs w:val="21"/>
                <w:highlight w:val="none"/>
              </w:rPr>
              <w:t>应开具等额发票给</w:t>
            </w:r>
            <w:r>
              <w:rPr>
                <w:rFonts w:hint="eastAsia" w:ascii="宋体" w:hAnsi="宋体" w:eastAsia="宋体" w:cs="宋体"/>
                <w:b w:val="0"/>
                <w:bCs/>
                <w:color w:val="auto"/>
                <w:sz w:val="21"/>
                <w:szCs w:val="21"/>
                <w:highlight w:val="none"/>
                <w:lang w:val="en-US" w:eastAsia="zh-CN"/>
              </w:rPr>
              <w:t>采购人</w:t>
            </w:r>
            <w:r>
              <w:rPr>
                <w:rFonts w:hint="eastAsia" w:ascii="宋体" w:hAnsi="宋体" w:eastAsia="宋体" w:cs="宋体"/>
                <w:b w:val="0"/>
                <w:bCs/>
                <w:color w:val="auto"/>
                <w:sz w:val="21"/>
                <w:szCs w:val="21"/>
                <w:highlight w:val="none"/>
              </w:rPr>
              <w:t>，否则支付顺延引起的责任由</w:t>
            </w:r>
            <w:r>
              <w:rPr>
                <w:rFonts w:hint="eastAsia" w:ascii="宋体" w:hAnsi="宋体" w:eastAsia="宋体" w:cs="宋体"/>
                <w:b w:val="0"/>
                <w:bCs/>
                <w:color w:val="auto"/>
                <w:sz w:val="21"/>
                <w:szCs w:val="21"/>
                <w:highlight w:val="none"/>
                <w:lang w:val="en-US" w:eastAsia="zh-CN"/>
              </w:rPr>
              <w:t>中标人</w:t>
            </w:r>
            <w:r>
              <w:rPr>
                <w:rFonts w:hint="eastAsia" w:ascii="宋体" w:hAnsi="宋体" w:eastAsia="宋体" w:cs="宋体"/>
                <w:b w:val="0"/>
                <w:bCs/>
                <w:color w:val="auto"/>
                <w:sz w:val="21"/>
                <w:szCs w:val="21"/>
                <w:highlight w:val="none"/>
              </w:rPr>
              <w:t>承担。</w:t>
            </w:r>
          </w:p>
          <w:p w14:paraId="7429F13C">
            <w:pPr>
              <w:keepNext w:val="0"/>
              <w:keepLines w:val="0"/>
              <w:pageBreakBefore w:val="0"/>
              <w:widowControl/>
              <w:shd w:val="clear"/>
              <w:kinsoku/>
              <w:wordWrap/>
              <w:overflowPunct/>
              <w:topLinePunct w:val="0"/>
              <w:autoSpaceDE/>
              <w:autoSpaceDN/>
              <w:bidi w:val="0"/>
              <w:snapToGrid w:val="0"/>
              <w:spacing w:line="360" w:lineRule="auto"/>
              <w:textAlignment w:val="auto"/>
              <w:rPr>
                <w:rFonts w:hint="eastAsia" w:ascii="宋体" w:hAnsi="宋体" w:eastAsia="宋体" w:cs="宋体"/>
                <w:bCs/>
                <w:color w:val="auto"/>
                <w:sz w:val="21"/>
                <w:szCs w:val="21"/>
                <w:highlight w:val="none"/>
                <w:u w:val="single"/>
              </w:rPr>
            </w:pPr>
            <w:r>
              <w:rPr>
                <w:rFonts w:hint="eastAsia" w:ascii="宋体" w:hAnsi="宋体" w:eastAsia="宋体" w:cs="宋体"/>
                <w:b/>
                <w:bCs/>
                <w:color w:val="auto"/>
                <w:sz w:val="21"/>
                <w:szCs w:val="21"/>
                <w:highlight w:val="none"/>
                <w:lang w:val="en-US" w:eastAsia="zh-CN"/>
              </w:rPr>
              <w:t>六</w:t>
            </w:r>
            <w:r>
              <w:rPr>
                <w:rFonts w:hint="eastAsia" w:ascii="宋体" w:hAnsi="宋体" w:eastAsia="宋体" w:cs="宋体"/>
                <w:b/>
                <w:bCs/>
                <w:color w:val="auto"/>
                <w:sz w:val="21"/>
                <w:szCs w:val="21"/>
                <w:highlight w:val="none"/>
              </w:rPr>
              <w:t>、其他要求：</w:t>
            </w:r>
          </w:p>
          <w:p w14:paraId="39DB9146">
            <w:pPr>
              <w:keepNext w:val="0"/>
              <w:keepLines w:val="0"/>
              <w:pageBreakBefore w:val="0"/>
              <w:shd w:val="clear"/>
              <w:kinsoku/>
              <w:wordWrap/>
              <w:overflowPunct/>
              <w:topLinePunct w:val="0"/>
              <w:autoSpaceDE/>
              <w:autoSpaceDN/>
              <w:bidi w:val="0"/>
              <w:snapToGrid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一</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报价必须含以下部分，包括：</w:t>
            </w:r>
          </w:p>
          <w:p w14:paraId="34DA3CFA">
            <w:pPr>
              <w:keepNext w:val="0"/>
              <w:keepLines w:val="0"/>
              <w:pageBreakBefore w:val="0"/>
              <w:widowControl/>
              <w:shd w:val="clear"/>
              <w:kinsoku/>
              <w:wordWrap/>
              <w:overflowPunct/>
              <w:topLinePunct w:val="0"/>
              <w:autoSpaceDE/>
              <w:autoSpaceDN/>
              <w:bidi w:val="0"/>
              <w:snapToGrid w:val="0"/>
              <w:spacing w:line="360" w:lineRule="auto"/>
              <w:textAlignment w:val="auto"/>
              <w:rPr>
                <w:rFonts w:hint="eastAsia"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1.</w:t>
            </w:r>
            <w:r>
              <w:rPr>
                <w:rFonts w:hint="eastAsia" w:ascii="宋体" w:hAnsi="宋体" w:cs="宋体"/>
                <w:color w:val="auto"/>
                <w:sz w:val="21"/>
                <w:szCs w:val="21"/>
                <w:highlight w:val="none"/>
                <w:shd w:val="clear" w:color="auto" w:fill="FFFFFF"/>
              </w:rPr>
              <w:t>服务的价格；</w:t>
            </w:r>
          </w:p>
          <w:p w14:paraId="4CE39B48">
            <w:pPr>
              <w:keepNext w:val="0"/>
              <w:keepLines w:val="0"/>
              <w:pageBreakBefore w:val="0"/>
              <w:widowControl/>
              <w:shd w:val="clear"/>
              <w:kinsoku/>
              <w:wordWrap/>
              <w:overflowPunct/>
              <w:topLinePunct w:val="0"/>
              <w:autoSpaceDE/>
              <w:autoSpaceDN/>
              <w:bidi w:val="0"/>
              <w:snapToGrid w:val="0"/>
              <w:spacing w:line="360" w:lineRule="auto"/>
              <w:textAlignment w:val="auto"/>
              <w:rPr>
                <w:rFonts w:hint="eastAsia"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2.</w:t>
            </w:r>
            <w:r>
              <w:rPr>
                <w:rFonts w:hint="eastAsia" w:ascii="宋体" w:hAnsi="宋体" w:cs="宋体"/>
                <w:color w:val="auto"/>
                <w:sz w:val="21"/>
                <w:szCs w:val="21"/>
                <w:highlight w:val="none"/>
                <w:shd w:val="clear" w:color="auto" w:fill="FFFFFF"/>
              </w:rPr>
              <w:t>必要的保险费用和各项税金；</w:t>
            </w:r>
          </w:p>
          <w:p w14:paraId="5651A885">
            <w:pPr>
              <w:keepNext w:val="0"/>
              <w:keepLines w:val="0"/>
              <w:pageBreakBefore w:val="0"/>
              <w:shd w:val="clear"/>
              <w:kinsoku/>
              <w:wordWrap/>
              <w:overflowPunct/>
              <w:topLinePunct w:val="0"/>
              <w:autoSpaceDE/>
              <w:autoSpaceDN/>
              <w:bidi w:val="0"/>
              <w:snapToGrid w:val="0"/>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shd w:val="clear" w:color="auto" w:fill="FFFFFF"/>
                <w:lang w:val="en-US" w:eastAsia="zh-CN"/>
              </w:rPr>
              <w:t>3.</w:t>
            </w:r>
            <w:r>
              <w:rPr>
                <w:rFonts w:hint="eastAsia" w:ascii="宋体" w:hAnsi="宋体" w:cs="宋体"/>
                <w:color w:val="auto"/>
                <w:sz w:val="21"/>
                <w:szCs w:val="21"/>
                <w:highlight w:val="none"/>
                <w:shd w:val="clear" w:color="auto" w:fill="FFFFFF"/>
              </w:rPr>
              <w:t>其他</w:t>
            </w:r>
            <w:r>
              <w:rPr>
                <w:rFonts w:hint="eastAsia" w:ascii="宋体" w:hAnsi="宋体" w:cs="宋体"/>
                <w:color w:val="auto"/>
                <w:sz w:val="21"/>
                <w:szCs w:val="21"/>
              </w:rPr>
              <w:t>（如运输、装卸、安装、调试、培训、技术支持、售后</w:t>
            </w:r>
            <w:r>
              <w:rPr>
                <w:rFonts w:hint="eastAsia" w:ascii="宋体" w:hAnsi="宋体" w:cs="宋体"/>
                <w:color w:val="auto"/>
                <w:sz w:val="21"/>
                <w:szCs w:val="21"/>
                <w:lang w:val="en-US" w:eastAsia="zh-CN"/>
              </w:rPr>
              <w:t>方案</w:t>
            </w:r>
            <w:r>
              <w:rPr>
                <w:rFonts w:hint="eastAsia" w:ascii="宋体" w:hAnsi="宋体" w:cs="宋体"/>
                <w:color w:val="auto"/>
                <w:sz w:val="21"/>
                <w:szCs w:val="21"/>
              </w:rPr>
              <w:t>、更新升级等费用，根据项目具体情况填写）：投标报价为全包价，以元人民币为结算单位，包括本项目所有服务涉及的一切劳务、保险、管理费、通信交通、材料费、机具费、各种规费、税费，其他包含：差旅费、餐饮费及住宿费、开发制作、安装调试、现场技术、使用培训、售后服务、验收检验等，包括本项目代理服务费以及合同履行过程中应预见和不可预见的一切费用</w:t>
            </w:r>
            <w:r>
              <w:rPr>
                <w:rFonts w:hint="eastAsia"/>
                <w:color w:val="auto"/>
                <w:sz w:val="21"/>
                <w:szCs w:val="21"/>
              </w:rPr>
              <w:t>。</w:t>
            </w:r>
          </w:p>
          <w:p w14:paraId="4327B065">
            <w:pPr>
              <w:keepNext w:val="0"/>
              <w:keepLines w:val="0"/>
              <w:pageBreakBefore w:val="0"/>
              <w:shd w:val="clear"/>
              <w:kinsoku/>
              <w:wordWrap/>
              <w:overflowPunct/>
              <w:topLinePunct w:val="0"/>
              <w:autoSpaceDE/>
              <w:autoSpaceDN/>
              <w:bidi w:val="0"/>
              <w:snapToGrid w:val="0"/>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二</w:t>
            </w:r>
            <w:r>
              <w:rPr>
                <w:rFonts w:hint="eastAsia" w:ascii="宋体" w:hAnsi="宋体" w:eastAsia="宋体" w:cs="宋体"/>
                <w:color w:val="auto"/>
                <w:sz w:val="21"/>
                <w:szCs w:val="21"/>
                <w:highlight w:val="none"/>
                <w:lang w:val="en-US" w:eastAsia="zh-CN"/>
              </w:rPr>
              <w:t>）验收条件及标准：按照采购合同约定、投标响应文件承诺、采购文件要求以及国家现行相关标准开展验收；中标供应商交付平台系统及项目成果，由供需双方对照采购清单、技术服务要求逐项逐条开展验收；</w:t>
            </w:r>
          </w:p>
          <w:p w14:paraId="7F0578A8">
            <w:pPr>
              <w:keepNext w:val="0"/>
              <w:keepLines w:val="0"/>
              <w:pageBreakBefore w:val="0"/>
              <w:shd w:val="clear"/>
              <w:kinsoku/>
              <w:wordWrap/>
              <w:overflowPunct/>
              <w:topLinePunct w:val="0"/>
              <w:autoSpaceDE/>
              <w:autoSpaceDN/>
              <w:bidi w:val="0"/>
              <w:snapToGrid w:val="0"/>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三</w:t>
            </w:r>
            <w:r>
              <w:rPr>
                <w:rFonts w:hint="eastAsia" w:ascii="宋体" w:hAnsi="宋体" w:eastAsia="宋体" w:cs="宋体"/>
                <w:color w:val="auto"/>
                <w:sz w:val="21"/>
                <w:szCs w:val="21"/>
                <w:highlight w:val="none"/>
                <w:lang w:val="en-US" w:eastAsia="zh-CN"/>
              </w:rPr>
              <w:t>）验收方法及方案：</w:t>
            </w:r>
          </w:p>
          <w:p w14:paraId="0451D276">
            <w:pPr>
              <w:keepNext w:val="0"/>
              <w:keepLines w:val="0"/>
              <w:pageBreakBefore w:val="0"/>
              <w:shd w:val="clear"/>
              <w:kinsoku/>
              <w:wordWrap/>
              <w:overflowPunct/>
              <w:topLinePunct w:val="0"/>
              <w:autoSpaceDE/>
              <w:autoSpaceDN/>
              <w:bidi w:val="0"/>
              <w:snapToGrid w:val="0"/>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项目交付成果符合国家现行安全、信息安全及相关行业规范标准；</w:t>
            </w:r>
          </w:p>
          <w:p w14:paraId="719CFB0E">
            <w:pPr>
              <w:keepNext w:val="0"/>
              <w:keepLines w:val="0"/>
              <w:pageBreakBefore w:val="0"/>
              <w:shd w:val="clear"/>
              <w:kinsoku/>
              <w:wordWrap/>
              <w:overflowPunct/>
              <w:topLinePunct w:val="0"/>
              <w:autoSpaceDE/>
              <w:autoSpaceDN/>
              <w:bidi w:val="0"/>
              <w:snapToGrid w:val="0"/>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项目成果、系统功能及服务内容满足采购文件要求以及投标响应文件的全部承诺；</w:t>
            </w:r>
          </w:p>
          <w:p w14:paraId="218193CC">
            <w:pPr>
              <w:keepNext w:val="0"/>
              <w:keepLines w:val="0"/>
              <w:pageBreakBefore w:val="0"/>
              <w:shd w:val="clear"/>
              <w:kinsoku/>
              <w:wordWrap/>
              <w:overflowPunct/>
              <w:topLinePunct w:val="0"/>
              <w:autoSpaceDE/>
              <w:autoSpaceDN/>
              <w:bidi w:val="0"/>
              <w:snapToGrid w:val="0"/>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中标供应商保证本项目交付的全部成果知识产权权属清晰，不存在侵权情形，可在中国境内合法合规部署、使用；</w:t>
            </w:r>
          </w:p>
          <w:p w14:paraId="28FD948A">
            <w:pPr>
              <w:keepNext w:val="0"/>
              <w:keepLines w:val="0"/>
              <w:pageBreakBefore w:val="0"/>
              <w:shd w:val="clear"/>
              <w:kinsoku/>
              <w:wordWrap/>
              <w:overflowPunct/>
              <w:topLinePunct w:val="0"/>
              <w:autoSpaceDE/>
              <w:autoSpaceDN/>
              <w:bidi w:val="0"/>
              <w:snapToGrid w:val="0"/>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采购人组建验收小组依据国家相关规范组织开展验收工作，必要时可邀请外部专业人员或第三方机构参与验收。双方就服务成果质量产生争议的，可委托具备资质的第三方专业机构进行鉴定。</w:t>
            </w:r>
          </w:p>
          <w:p w14:paraId="6E0808D0">
            <w:pPr>
              <w:keepNext w:val="0"/>
              <w:keepLines w:val="0"/>
              <w:pageBreakBefore w:val="0"/>
              <w:shd w:val="clear"/>
              <w:kinsoku/>
              <w:wordWrap/>
              <w:overflowPunct/>
              <w:topLinePunct w:val="0"/>
              <w:autoSpaceDE/>
              <w:autoSpaceDN/>
              <w:bidi w:val="0"/>
              <w:snapToGrid w:val="0"/>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中标供应商须按照采购文件及响应文件承诺，完成平台部署、系统集成对接、调试优化，保障系统稳定达到可正常教学使用状态。</w:t>
            </w:r>
          </w:p>
          <w:p w14:paraId="39BF0057">
            <w:pPr>
              <w:keepNext w:val="0"/>
              <w:keepLines w:val="0"/>
              <w:pageBreakBefore w:val="0"/>
              <w:shd w:val="clear"/>
              <w:kinsoku/>
              <w:wordWrap/>
              <w:overflowPunct/>
              <w:topLinePunct w:val="0"/>
              <w:autoSpaceDE/>
              <w:autoSpaceDN/>
              <w:bidi w:val="0"/>
              <w:snapToGrid w:val="0"/>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验收依据以本采购文件《项目要求及技术需求》全部指标、国家现行相关标准为最终依据。若交付的系统、服务成果不满足约定要求，采购人有权要求中标供应商限期完成修改、优化、补齐，由此造成项目逾期的，全部损失由中标供应商承担。中标供应商完成全部开发及优化工作，达到验收条件后，应以书面形式向采购人提交验收申请。</w:t>
            </w:r>
          </w:p>
          <w:p w14:paraId="5DBB624D">
            <w:pPr>
              <w:keepNext w:val="0"/>
              <w:keepLines w:val="0"/>
              <w:pageBreakBefore w:val="0"/>
              <w:shd w:val="clear"/>
              <w:kinsoku/>
              <w:wordWrap/>
              <w:overflowPunct/>
              <w:topLinePunct w:val="0"/>
              <w:autoSpaceDE/>
              <w:autoSpaceDN/>
              <w:bidi w:val="0"/>
              <w:snapToGrid w:val="0"/>
              <w:spacing w:line="360" w:lineRule="auto"/>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四</w:t>
            </w:r>
            <w:r>
              <w:rPr>
                <w:rFonts w:hint="eastAsia" w:ascii="宋体" w:hAnsi="宋体" w:cs="宋体"/>
                <w:color w:val="auto"/>
                <w:sz w:val="21"/>
                <w:szCs w:val="21"/>
                <w:highlight w:val="none"/>
              </w:rPr>
              <w:t>）未经采购人允许，不得使用或</w:t>
            </w:r>
            <w:r>
              <w:rPr>
                <w:rFonts w:hint="eastAsia" w:ascii="宋体" w:hAnsi="宋体" w:cs="宋体"/>
                <w:color w:val="auto"/>
                <w:sz w:val="21"/>
                <w:szCs w:val="21"/>
                <w:highlight w:val="none"/>
                <w:lang w:eastAsia="zh-CN"/>
              </w:rPr>
              <w:t>以其他方式</w:t>
            </w:r>
            <w:r>
              <w:rPr>
                <w:rFonts w:hint="eastAsia" w:ascii="宋体" w:hAnsi="宋体" w:cs="宋体"/>
                <w:color w:val="auto"/>
                <w:sz w:val="21"/>
                <w:szCs w:val="21"/>
                <w:highlight w:val="none"/>
              </w:rPr>
              <w:t>给任何第三方提供本项目的相关信息或数据。</w:t>
            </w:r>
          </w:p>
          <w:p w14:paraId="4A9B706E">
            <w:pPr>
              <w:keepNext w:val="0"/>
              <w:keepLines w:val="0"/>
              <w:pageBreakBefore w:val="0"/>
              <w:shd w:val="clear"/>
              <w:kinsoku/>
              <w:wordWrap/>
              <w:overflowPunct/>
              <w:topLinePunct w:val="0"/>
              <w:autoSpaceDE/>
              <w:autoSpaceDN/>
              <w:bidi w:val="0"/>
              <w:snapToGrid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五</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中标</w:t>
            </w:r>
            <w:r>
              <w:rPr>
                <w:rFonts w:hint="eastAsia" w:ascii="宋体" w:hAnsi="宋体" w:cs="宋体"/>
                <w:color w:val="auto"/>
                <w:sz w:val="21"/>
                <w:szCs w:val="21"/>
                <w:highlight w:val="none"/>
              </w:rPr>
              <w:t>人不得</w:t>
            </w:r>
            <w:r>
              <w:rPr>
                <w:rFonts w:hint="eastAsia" w:ascii="宋体" w:hAnsi="宋体" w:eastAsia="宋体" w:cs="宋体"/>
                <w:b w:val="0"/>
                <w:bCs w:val="0"/>
                <w:color w:val="auto"/>
                <w:sz w:val="21"/>
                <w:szCs w:val="21"/>
                <w:highlight w:val="none"/>
              </w:rPr>
              <w:t>将项目非法分包或转包给任何单位和个人，否则采购人有权立即终止合同，并</w:t>
            </w:r>
            <w:r>
              <w:rPr>
                <w:rFonts w:hint="eastAsia" w:ascii="宋体" w:hAnsi="宋体" w:eastAsia="宋体" w:cs="宋体"/>
                <w:b w:val="0"/>
                <w:bCs w:val="0"/>
                <w:color w:val="auto"/>
                <w:sz w:val="21"/>
                <w:szCs w:val="21"/>
                <w:highlight w:val="none"/>
                <w:lang w:eastAsia="zh-CN"/>
              </w:rPr>
              <w:t>要求</w:t>
            </w:r>
            <w:r>
              <w:rPr>
                <w:rFonts w:hint="eastAsia" w:ascii="宋体" w:hAnsi="宋体" w:eastAsia="宋体" w:cs="宋体"/>
                <w:b w:val="0"/>
                <w:bCs w:val="0"/>
                <w:color w:val="auto"/>
                <w:sz w:val="21"/>
                <w:szCs w:val="21"/>
                <w:highlight w:val="none"/>
                <w:lang w:val="en-US" w:eastAsia="zh-CN"/>
              </w:rPr>
              <w:t>中标</w:t>
            </w:r>
            <w:r>
              <w:rPr>
                <w:rFonts w:hint="eastAsia" w:ascii="宋体" w:hAnsi="宋体" w:eastAsia="宋体" w:cs="宋体"/>
                <w:b w:val="0"/>
                <w:bCs w:val="0"/>
                <w:color w:val="auto"/>
                <w:sz w:val="21"/>
                <w:szCs w:val="21"/>
                <w:highlight w:val="none"/>
              </w:rPr>
              <w:t>人赔偿相应损失。</w:t>
            </w:r>
          </w:p>
          <w:p w14:paraId="2998D57B">
            <w:pPr>
              <w:keepNext w:val="0"/>
              <w:keepLines w:val="0"/>
              <w:snapToGrid w:val="0"/>
              <w:spacing w:line="360" w:lineRule="auto"/>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eastAsia="zh-CN"/>
              </w:rPr>
              <w:t>（</w:t>
            </w:r>
            <w:r>
              <w:rPr>
                <w:rFonts w:hint="eastAsia" w:ascii="宋体" w:hAnsi="宋体" w:cs="宋体"/>
                <w:b w:val="0"/>
                <w:bCs w:val="0"/>
                <w:color w:val="auto"/>
                <w:sz w:val="21"/>
                <w:szCs w:val="21"/>
                <w:highlight w:val="none"/>
                <w:lang w:val="en-US" w:eastAsia="zh-CN"/>
              </w:rPr>
              <w:t>六</w:t>
            </w:r>
            <w:r>
              <w:rPr>
                <w:rFonts w:hint="eastAsia" w:ascii="宋体" w:hAnsi="宋体" w:cs="宋体"/>
                <w:b w:val="0"/>
                <w:bCs w:val="0"/>
                <w:color w:val="auto"/>
                <w:sz w:val="21"/>
                <w:szCs w:val="21"/>
                <w:highlight w:val="none"/>
                <w:lang w:eastAsia="zh-CN"/>
              </w:rPr>
              <w:t>）</w:t>
            </w:r>
            <w:r>
              <w:rPr>
                <w:rFonts w:hint="eastAsia" w:ascii="宋体" w:hAnsi="宋体" w:cs="宋体"/>
                <w:b w:val="0"/>
                <w:bCs w:val="0"/>
                <w:color w:val="auto"/>
                <w:sz w:val="21"/>
                <w:szCs w:val="21"/>
                <w:highlight w:val="none"/>
                <w:lang w:val="en-US" w:eastAsia="zh-CN"/>
              </w:rPr>
              <w:t>完成不少于64课时培训</w:t>
            </w:r>
          </w:p>
          <w:p w14:paraId="4A683BA7">
            <w:pPr>
              <w:keepNext w:val="0"/>
              <w:keepLines w:val="0"/>
              <w:snapToGrid w:val="0"/>
              <w:spacing w:line="360" w:lineRule="auto"/>
              <w:rPr>
                <w:rFonts w:hint="default"/>
                <w:lang w:val="en-US" w:eastAsia="zh-CN"/>
              </w:rPr>
            </w:pPr>
            <w:r>
              <w:rPr>
                <w:rFonts w:hint="eastAsia" w:ascii="宋体" w:hAnsi="宋体" w:cs="宋体"/>
                <w:color w:val="auto"/>
                <w:szCs w:val="21"/>
                <w:highlight w:val="none"/>
              </w:rPr>
              <w:t>▲（七）投标人须随投标文件同步提交签字并加盖公章的《无虚假应标承诺函》。承诺本次投标递交的全部响应资料均基于本单位真实可运行的软件产品，无伪造界面、虚构功能、虚假应答等弄虚作假行为；承诺若中标，将在中标通知书发出后 3 个自然日内赴采购方指定地点完成软件实物演示及功能勘验，经现场核查确认存在虚假响应的，自愿接受取消中标资格的处理，并承担由此造成的全部经济损失、法律责任及相关后果。</w:t>
            </w:r>
          </w:p>
        </w:tc>
      </w:tr>
      <w:tr w14:paraId="1ABBAA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90" w:type="dxa"/>
            <w:gridSpan w:val="2"/>
            <w:tcBorders>
              <w:top w:val="single" w:color="auto" w:sz="4" w:space="0"/>
              <w:left w:val="single" w:color="auto" w:sz="4" w:space="0"/>
              <w:bottom w:val="single" w:color="auto" w:sz="4" w:space="0"/>
              <w:right w:val="single" w:color="auto" w:sz="4" w:space="0"/>
            </w:tcBorders>
            <w:noWrap w:val="0"/>
            <w:vAlign w:val="center"/>
          </w:tcPr>
          <w:p w14:paraId="10F25C1E">
            <w:pPr>
              <w:keepNext w:val="0"/>
              <w:keepLines w:val="0"/>
              <w:pageBreakBefore w:val="0"/>
              <w:shd w:val="clear"/>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color w:val="auto"/>
                <w:sz w:val="21"/>
                <w:szCs w:val="21"/>
                <w:highlight w:val="none"/>
              </w:rPr>
              <w:t>其他说明</w:t>
            </w:r>
          </w:p>
        </w:tc>
        <w:tc>
          <w:tcPr>
            <w:tcW w:w="8671" w:type="dxa"/>
            <w:gridSpan w:val="5"/>
            <w:tcBorders>
              <w:top w:val="single" w:color="auto" w:sz="4" w:space="0"/>
              <w:left w:val="single" w:color="auto" w:sz="4" w:space="0"/>
              <w:bottom w:val="single" w:color="auto" w:sz="4" w:space="0"/>
              <w:right w:val="single" w:color="auto" w:sz="4" w:space="0"/>
            </w:tcBorders>
            <w:noWrap w:val="0"/>
            <w:vAlign w:val="top"/>
          </w:tcPr>
          <w:p w14:paraId="02A8EA35">
            <w:pPr>
              <w:keepNext w:val="0"/>
              <w:keepLines w:val="0"/>
              <w:pageBreakBefore w:val="0"/>
              <w:widowControl/>
              <w:shd w:val="clear" w:color="auto"/>
              <w:kinsoku/>
              <w:wordWrap/>
              <w:overflowPunct/>
              <w:topLinePunct w:val="0"/>
              <w:autoSpaceDE/>
              <w:autoSpaceDN/>
              <w:bidi w:val="0"/>
              <w:spacing w:line="360" w:lineRule="auto"/>
              <w:textAlignment w:val="auto"/>
              <w:rPr>
                <w:color w:val="auto"/>
                <w:sz w:val="21"/>
                <w:szCs w:val="21"/>
                <w:highlight w:val="none"/>
              </w:rPr>
            </w:pPr>
            <w:r>
              <w:rPr>
                <w:color w:val="auto"/>
                <w:sz w:val="21"/>
                <w:szCs w:val="21"/>
                <w:highlight w:val="none"/>
              </w:rPr>
              <w:t>一、进口产品说明</w:t>
            </w:r>
          </w:p>
          <w:p w14:paraId="62FDF361">
            <w:pPr>
              <w:keepNext w:val="0"/>
              <w:keepLines w:val="0"/>
              <w:pageBreakBefore w:val="0"/>
              <w:shd w:val="clear"/>
              <w:tabs>
                <w:tab w:val="left" w:pos="180"/>
                <w:tab w:val="left" w:pos="1620"/>
              </w:tabs>
              <w:kinsoku/>
              <w:wordWrap/>
              <w:overflowPunct/>
              <w:topLinePunct w:val="0"/>
              <w:autoSpaceDE/>
              <w:autoSpaceDN/>
              <w:bidi w:val="0"/>
              <w:spacing w:line="360" w:lineRule="auto"/>
              <w:ind w:firstLine="420" w:firstLineChars="200"/>
              <w:textAlignment w:val="auto"/>
              <w:rPr>
                <w:color w:val="auto"/>
                <w:sz w:val="21"/>
                <w:szCs w:val="21"/>
                <w:highlight w:val="none"/>
              </w:rPr>
            </w:pPr>
            <w:r>
              <w:rPr>
                <w:color w:val="auto"/>
                <w:sz w:val="21"/>
                <w:szCs w:val="21"/>
                <w:highlight w:val="none"/>
              </w:rPr>
              <w:t>本分标服务所涉及的货物不接受进口产品（即通过中国海关报关验放进入中国境内且产自关境外的产品）参与投标，</w:t>
            </w:r>
            <w:r>
              <w:rPr>
                <w:b/>
                <w:color w:val="auto"/>
                <w:sz w:val="21"/>
                <w:szCs w:val="21"/>
                <w:highlight w:val="none"/>
              </w:rPr>
              <w:t>如有进口产品参与投标的作无效标处理</w:t>
            </w:r>
            <w:r>
              <w:rPr>
                <w:color w:val="auto"/>
                <w:sz w:val="21"/>
                <w:szCs w:val="21"/>
                <w:highlight w:val="none"/>
              </w:rPr>
              <w:t>。</w:t>
            </w:r>
          </w:p>
          <w:p w14:paraId="6719649C">
            <w:pPr>
              <w:keepNext w:val="0"/>
              <w:keepLines w:val="0"/>
              <w:pageBreakBefore w:val="0"/>
              <w:widowControl/>
              <w:shd w:val="clear" w:color="auto"/>
              <w:kinsoku/>
              <w:wordWrap/>
              <w:overflowPunct/>
              <w:topLinePunct w:val="0"/>
              <w:autoSpaceDE/>
              <w:autoSpaceDN/>
              <w:bidi w:val="0"/>
              <w:spacing w:line="360" w:lineRule="auto"/>
              <w:textAlignment w:val="auto"/>
              <w:rPr>
                <w:color w:val="auto"/>
                <w:sz w:val="21"/>
                <w:szCs w:val="21"/>
                <w:highlight w:val="none"/>
              </w:rPr>
            </w:pPr>
            <w:r>
              <w:rPr>
                <w:color w:val="auto"/>
                <w:sz w:val="21"/>
                <w:szCs w:val="21"/>
                <w:highlight w:val="none"/>
              </w:rPr>
              <w:t>二、其他</w:t>
            </w:r>
          </w:p>
          <w:p w14:paraId="36F20B77">
            <w:pPr>
              <w:keepNext w:val="0"/>
              <w:keepLines w:val="0"/>
              <w:pageBreakBefore w:val="0"/>
              <w:shd w:val="clear"/>
              <w:kinsoku/>
              <w:wordWrap/>
              <w:overflowPunct/>
              <w:topLinePunct w:val="0"/>
              <w:autoSpaceDE/>
              <w:autoSpaceDN/>
              <w:bidi w:val="0"/>
              <w:snapToGrid w:val="0"/>
              <w:spacing w:line="360" w:lineRule="auto"/>
              <w:textAlignment w:val="auto"/>
              <w:rPr>
                <w:rFonts w:hint="eastAsia"/>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一</w:t>
            </w:r>
            <w:r>
              <w:rPr>
                <w:rFonts w:hint="eastAsia"/>
                <w:color w:val="auto"/>
                <w:sz w:val="21"/>
                <w:szCs w:val="21"/>
                <w:highlight w:val="none"/>
                <w:lang w:eastAsia="zh-CN"/>
              </w:rPr>
              <w:t>）</w:t>
            </w:r>
            <w:r>
              <w:rPr>
                <w:color w:val="auto"/>
                <w:sz w:val="21"/>
                <w:szCs w:val="21"/>
                <w:highlight w:val="none"/>
              </w:rPr>
              <w:t>是否进行演示：</w:t>
            </w:r>
            <w:r>
              <w:rPr>
                <w:rFonts w:hint="eastAsia"/>
                <w:b/>
                <w:bCs/>
                <w:color w:val="auto"/>
                <w:sz w:val="21"/>
                <w:szCs w:val="21"/>
                <w:highlight w:val="none"/>
                <w:lang w:eastAsia="zh-CN"/>
              </w:rPr>
              <w:t>是</w:t>
            </w:r>
            <w:r>
              <w:rPr>
                <w:rFonts w:hint="eastAsia"/>
                <w:color w:val="auto"/>
                <w:sz w:val="21"/>
                <w:szCs w:val="21"/>
                <w:highlight w:val="none"/>
                <w:lang w:eastAsia="zh-CN"/>
              </w:rPr>
              <w:t>。</w:t>
            </w:r>
          </w:p>
          <w:p w14:paraId="23CAF3BF">
            <w:pPr>
              <w:keepNext w:val="0"/>
              <w:keepLines w:val="0"/>
              <w:pageBreakBefore w:val="0"/>
              <w:shd w:val="clear"/>
              <w:kinsoku/>
              <w:wordWrap/>
              <w:overflowPunct/>
              <w:topLinePunct w:val="0"/>
              <w:autoSpaceDE/>
              <w:autoSpaceDN/>
              <w:bidi w:val="0"/>
              <w:snapToGrid w:val="0"/>
              <w:spacing w:line="36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演示要求及事项：</w:t>
            </w:r>
          </w:p>
          <w:p w14:paraId="7FB0D3BE">
            <w:pPr>
              <w:keepNext w:val="0"/>
              <w:keepLines w:val="0"/>
              <w:pageBreakBefore w:val="0"/>
              <w:shd w:val="clear"/>
              <w:kinsoku/>
              <w:wordWrap/>
              <w:overflowPunct/>
              <w:topLinePunct w:val="0"/>
              <w:autoSpaceDE/>
              <w:autoSpaceDN/>
              <w:bidi w:val="0"/>
              <w:snapToGrid w:val="0"/>
              <w:spacing w:line="36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w:t>
            </w:r>
            <w:r>
              <w:rPr>
                <w:rFonts w:hint="eastAsia" w:ascii="宋体" w:hAnsi="宋体" w:cs="宋体"/>
                <w:b/>
                <w:bCs/>
                <w:color w:val="auto"/>
                <w:szCs w:val="21"/>
                <w:highlight w:val="none"/>
              </w:rPr>
              <w:t>请根据本招标文件第四章“评标方法及评标标准”演示内容要求，提前做好演示设计，并提供功能演示。</w:t>
            </w:r>
          </w:p>
          <w:p w14:paraId="424E4BBA">
            <w:pPr>
              <w:keepNext w:val="0"/>
              <w:keepLines w:val="0"/>
              <w:pageBreakBefore w:val="0"/>
              <w:shd w:val="clear"/>
              <w:kinsoku/>
              <w:wordWrap/>
              <w:overflowPunct/>
              <w:topLinePunct w:val="0"/>
              <w:autoSpaceDE/>
              <w:autoSpaceDN/>
              <w:bidi w:val="0"/>
              <w:snapToGrid w:val="0"/>
              <w:spacing w:line="36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每个投标人演示时间15分钟（不含调试）。具体演示时间另行通知，届时将在广西政府采购云平台视频会议系统通过共享屏幕方式进行现场演示，请各投标人提前做好调试准备。若投标人放弃演示，则演示评分项计0分。</w:t>
            </w:r>
          </w:p>
          <w:p w14:paraId="5729BF62">
            <w:pPr>
              <w:keepNext w:val="0"/>
              <w:keepLines w:val="0"/>
              <w:pageBreakBefore w:val="0"/>
              <w:shd w:val="clear"/>
              <w:kinsoku/>
              <w:wordWrap/>
              <w:overflowPunct/>
              <w:topLinePunct w:val="0"/>
              <w:autoSpaceDE/>
              <w:autoSpaceDN/>
              <w:bidi w:val="0"/>
              <w:snapToGrid w:val="0"/>
              <w:spacing w:line="36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3.为了更直观感知系统的效果和真实性，投标人应根据演示内容或演示项，模拟采购方的业务场景进行系统演示，不接受以录制视频、PPT等方式演示。</w:t>
            </w:r>
          </w:p>
          <w:p w14:paraId="1A39A67D">
            <w:pPr>
              <w:keepNext w:val="0"/>
              <w:keepLines w:val="0"/>
              <w:pageBreakBefore w:val="0"/>
              <w:shd w:val="clear"/>
              <w:kinsoku/>
              <w:wordWrap/>
              <w:overflowPunct/>
              <w:topLinePunct w:val="0"/>
              <w:autoSpaceDE/>
              <w:autoSpaceDN/>
              <w:bidi w:val="0"/>
              <w:snapToGrid w:val="0"/>
              <w:spacing w:line="36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4.注意事项</w:t>
            </w:r>
          </w:p>
          <w:p w14:paraId="67F7DDA9">
            <w:pPr>
              <w:keepNext w:val="0"/>
              <w:keepLines w:val="0"/>
              <w:pageBreakBefore w:val="0"/>
              <w:shd w:val="clear"/>
              <w:kinsoku/>
              <w:wordWrap/>
              <w:overflowPunct/>
              <w:topLinePunct w:val="0"/>
              <w:autoSpaceDE/>
              <w:autoSpaceDN/>
              <w:bidi w:val="0"/>
              <w:snapToGrid w:val="0"/>
              <w:spacing w:line="36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演示顺序按广西政府采购云平台的排列顺序。演示通过广西政府采购云平台视频会议形式进行，投标人通过共享电脑桌面的形式展现，投标人应自行配置符合广西政府采购云平台视频会议要求的软硬件和确保投标人自身网络顺畅。</w:t>
            </w:r>
          </w:p>
          <w:p w14:paraId="21C70503">
            <w:pPr>
              <w:keepNext w:val="0"/>
              <w:keepLines w:val="0"/>
              <w:pageBreakBefore w:val="0"/>
              <w:shd w:val="clear"/>
              <w:kinsoku/>
              <w:wordWrap/>
              <w:overflowPunct/>
              <w:topLinePunct w:val="0"/>
              <w:autoSpaceDE/>
              <w:autoSpaceDN/>
              <w:bidi w:val="0"/>
              <w:snapToGrid w:val="0"/>
              <w:spacing w:line="36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（2）演示前，由评委或代理机构工作人员通过广西政府采购云平台线上发起询问或通知的方式进行演示确认，投标人应在广西政府采购云平台线上回复是否参加演示。</w:t>
            </w:r>
          </w:p>
          <w:p w14:paraId="614FFB57">
            <w:pPr>
              <w:keepNext w:val="0"/>
              <w:keepLines w:val="0"/>
              <w:pageBreakBefore w:val="0"/>
              <w:widowControl/>
              <w:shd w:val="clear" w:color="auto"/>
              <w:kinsoku/>
              <w:wordWrap/>
              <w:overflowPunct/>
              <w:topLinePunct w:val="0"/>
              <w:autoSpaceDE/>
              <w:autoSpaceDN/>
              <w:bidi w:val="0"/>
              <w:spacing w:line="360" w:lineRule="auto"/>
              <w:textAlignment w:val="auto"/>
              <w:rPr>
                <w:rFonts w:hint="eastAsia" w:eastAsia="宋体"/>
                <w:color w:val="auto"/>
                <w:sz w:val="21"/>
                <w:szCs w:val="21"/>
                <w:highlight w:val="none"/>
                <w:lang w:eastAsia="zh-CN"/>
              </w:rPr>
            </w:pPr>
            <w:r>
              <w:rPr>
                <w:rFonts w:hint="eastAsia" w:ascii="宋体" w:hAnsi="宋体" w:eastAsia="宋体" w:cs="宋体"/>
                <w:b/>
                <w:bCs/>
                <w:color w:val="auto"/>
                <w:sz w:val="21"/>
                <w:szCs w:val="21"/>
                <w:highlight w:val="none"/>
                <w:lang w:val="en-US" w:eastAsia="zh-CN"/>
              </w:rPr>
              <w:t>（3）各投标人应登录广西政府采购云平台等候演示，代理机构发出视频会议邀请后1分钟内无回应的，将顺延下一个投标人进行演示，待其他投标人演示完毕后再次发出视频会议邀请，反复3次仍无回应的或无法联系的，评标委员会可视为该投标人自动放弃演示。</w:t>
            </w:r>
          </w:p>
          <w:p w14:paraId="4C9970DE">
            <w:pPr>
              <w:keepNext w:val="0"/>
              <w:keepLines w:val="0"/>
              <w:pageBreakBefore w:val="0"/>
              <w:widowControl/>
              <w:shd w:val="clear" w:color="auto"/>
              <w:kinsoku/>
              <w:wordWrap/>
              <w:overflowPunct/>
              <w:topLinePunct w:val="0"/>
              <w:autoSpaceDE/>
              <w:autoSpaceDN/>
              <w:bidi w:val="0"/>
              <w:spacing w:line="360" w:lineRule="auto"/>
              <w:textAlignment w:val="auto"/>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二</w:t>
            </w:r>
            <w:r>
              <w:rPr>
                <w:rFonts w:hint="eastAsia"/>
                <w:color w:val="auto"/>
                <w:sz w:val="21"/>
                <w:szCs w:val="21"/>
                <w:highlight w:val="none"/>
                <w:lang w:eastAsia="zh-CN"/>
              </w:rPr>
              <w:t>）</w:t>
            </w:r>
            <w:r>
              <w:rPr>
                <w:color w:val="auto"/>
                <w:sz w:val="21"/>
                <w:szCs w:val="21"/>
                <w:highlight w:val="none"/>
              </w:rPr>
              <w:t>是否要求提供样品：否</w:t>
            </w:r>
          </w:p>
          <w:p w14:paraId="369E314D">
            <w:pPr>
              <w:keepNext w:val="0"/>
              <w:keepLines w:val="0"/>
              <w:pageBreakBefore w:val="0"/>
              <w:widowControl/>
              <w:shd w:val="clear" w:color="auto"/>
              <w:kinsoku/>
              <w:wordWrap/>
              <w:overflowPunct/>
              <w:topLinePunct w:val="0"/>
              <w:autoSpaceDE/>
              <w:autoSpaceDN/>
              <w:bidi w:val="0"/>
              <w:spacing w:line="360" w:lineRule="auto"/>
              <w:textAlignment w:val="auto"/>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三</w:t>
            </w:r>
            <w:r>
              <w:rPr>
                <w:rFonts w:hint="eastAsia"/>
                <w:color w:val="auto"/>
                <w:sz w:val="21"/>
                <w:szCs w:val="21"/>
                <w:highlight w:val="none"/>
                <w:lang w:eastAsia="zh-CN"/>
              </w:rPr>
              <w:t>）</w:t>
            </w:r>
            <w:r>
              <w:rPr>
                <w:color w:val="auto"/>
                <w:sz w:val="21"/>
                <w:szCs w:val="21"/>
                <w:highlight w:val="none"/>
              </w:rPr>
              <w:t>是否现场踏勘：否</w:t>
            </w:r>
          </w:p>
          <w:p w14:paraId="698311EF">
            <w:pPr>
              <w:keepNext w:val="0"/>
              <w:keepLines w:val="0"/>
              <w:pageBreakBefore w:val="0"/>
              <w:widowControl/>
              <w:shd w:val="clear" w:color="auto"/>
              <w:kinsoku/>
              <w:wordWrap/>
              <w:overflowPunct/>
              <w:topLinePunct w:val="0"/>
              <w:autoSpaceDE/>
              <w:autoSpaceDN/>
              <w:bidi w:val="0"/>
              <w:spacing w:line="360" w:lineRule="auto"/>
              <w:textAlignment w:val="auto"/>
              <w:rPr>
                <w:rFonts w:hint="eastAsia" w:ascii="宋体" w:hAnsi="宋体" w:eastAsia="宋体" w:cs="宋体"/>
                <w:b/>
                <w:bCs/>
                <w:color w:val="auto"/>
                <w:sz w:val="21"/>
                <w:szCs w:val="21"/>
                <w:highlight w:val="none"/>
                <w:lang w:val="en-US" w:eastAsia="zh-CN"/>
              </w:rPr>
            </w:pPr>
            <w:r>
              <w:rPr>
                <w:rFonts w:hint="eastAsia"/>
                <w:color w:val="auto"/>
                <w:sz w:val="21"/>
                <w:szCs w:val="21"/>
                <w:highlight w:val="none"/>
                <w:lang w:eastAsia="zh-CN"/>
              </w:rPr>
              <w:t>（</w:t>
            </w:r>
            <w:r>
              <w:rPr>
                <w:rFonts w:hint="eastAsia"/>
                <w:color w:val="auto"/>
                <w:sz w:val="21"/>
                <w:szCs w:val="21"/>
                <w:highlight w:val="none"/>
                <w:lang w:val="en-US" w:eastAsia="zh-CN"/>
              </w:rPr>
              <w:t>四</w:t>
            </w:r>
            <w:r>
              <w:rPr>
                <w:rFonts w:hint="eastAsia"/>
                <w:color w:val="auto"/>
                <w:sz w:val="21"/>
                <w:szCs w:val="21"/>
                <w:highlight w:val="none"/>
                <w:lang w:eastAsia="zh-CN"/>
              </w:rPr>
              <w:t>）</w:t>
            </w:r>
            <w:r>
              <w:rPr>
                <w:rFonts w:hint="eastAsia"/>
                <w:color w:val="auto"/>
                <w:sz w:val="21"/>
                <w:szCs w:val="21"/>
                <w:highlight w:val="none"/>
              </w:rPr>
              <w:t>合同延续年限、条件和方式：</w:t>
            </w:r>
            <w:r>
              <w:rPr>
                <w:rFonts w:hint="eastAsia"/>
                <w:color w:val="auto"/>
                <w:sz w:val="21"/>
                <w:szCs w:val="21"/>
                <w:highlight w:val="none"/>
                <w:lang w:val="en-US" w:eastAsia="zh-CN"/>
              </w:rPr>
              <w:t>无</w:t>
            </w:r>
            <w:r>
              <w:rPr>
                <w:rFonts w:hint="eastAsia"/>
                <w:color w:val="auto"/>
                <w:sz w:val="21"/>
                <w:szCs w:val="21"/>
                <w:highlight w:val="none"/>
              </w:rPr>
              <w:t>。</w:t>
            </w:r>
          </w:p>
        </w:tc>
      </w:tr>
    </w:tbl>
    <w:p w14:paraId="54B47D36">
      <w:pPr>
        <w:keepNext w:val="0"/>
        <w:keepLines w:val="0"/>
        <w:pageBreakBefore w:val="0"/>
        <w:shd w:val="clear"/>
        <w:kinsoku/>
        <w:wordWrap/>
        <w:overflowPunct/>
        <w:topLinePunct w:val="0"/>
        <w:autoSpaceDE/>
        <w:autoSpaceDN/>
        <w:bidi w:val="0"/>
        <w:spacing w:line="360" w:lineRule="auto"/>
        <w:ind w:left="119"/>
        <w:textAlignment w:val="auto"/>
        <w:rPr>
          <w:rFonts w:hAnsi="宋体"/>
          <w:color w:val="auto"/>
          <w:sz w:val="21"/>
          <w:szCs w:val="21"/>
          <w:highlight w:val="none"/>
        </w:rPr>
      </w:pPr>
    </w:p>
    <w:p w14:paraId="4AD4E1B3">
      <w:pPr>
        <w:keepNext w:val="0"/>
        <w:keepLines w:val="0"/>
        <w:pageBreakBefore w:val="0"/>
        <w:shd w:val="clear"/>
        <w:kinsoku/>
        <w:wordWrap/>
        <w:overflowPunct/>
        <w:topLinePunct w:val="0"/>
        <w:autoSpaceDE/>
        <w:autoSpaceDN/>
        <w:bidi w:val="0"/>
        <w:adjustRightInd w:val="0"/>
        <w:snapToGrid w:val="0"/>
        <w:spacing w:line="360" w:lineRule="auto"/>
        <w:textAlignment w:val="auto"/>
        <w:rPr>
          <w:rFonts w:hint="eastAsia"/>
          <w:b/>
          <w:bCs/>
          <w:color w:val="auto"/>
          <w:sz w:val="28"/>
          <w:szCs w:val="28"/>
          <w:highlight w:val="none"/>
        </w:rPr>
      </w:pPr>
      <w:r>
        <w:rPr>
          <w:rFonts w:hint="eastAsia" w:ascii="宋体" w:hAnsi="宋体" w:eastAsia="宋体" w:cs="宋体"/>
          <w:color w:val="auto"/>
          <w:sz w:val="21"/>
          <w:szCs w:val="21"/>
          <w:highlight w:val="none"/>
        </w:rPr>
        <w:br w:type="page"/>
      </w:r>
      <w:r>
        <w:rPr>
          <w:rFonts w:hint="eastAsia"/>
          <w:b/>
          <w:bCs/>
          <w:color w:val="auto"/>
          <w:sz w:val="28"/>
          <w:szCs w:val="28"/>
          <w:highlight w:val="none"/>
        </w:rPr>
        <w:t>附件</w:t>
      </w:r>
      <w:r>
        <w:rPr>
          <w:rFonts w:hint="eastAsia"/>
          <w:b/>
          <w:bCs/>
          <w:color w:val="auto"/>
          <w:sz w:val="28"/>
          <w:szCs w:val="28"/>
          <w:highlight w:val="none"/>
          <w:lang w:val="en-US" w:eastAsia="zh-CN"/>
        </w:rPr>
        <w:t>1</w:t>
      </w:r>
      <w:r>
        <w:rPr>
          <w:rFonts w:hint="eastAsia"/>
          <w:b/>
          <w:bCs/>
          <w:color w:val="auto"/>
          <w:sz w:val="28"/>
          <w:szCs w:val="28"/>
          <w:highlight w:val="none"/>
        </w:rPr>
        <w:t>：节能产品政府采购品目清单</w:t>
      </w:r>
    </w:p>
    <w:p w14:paraId="5D9EB4DF">
      <w:pPr>
        <w:shd w:val="clear"/>
        <w:rPr>
          <w:color w:val="auto"/>
          <w:highlight w:val="none"/>
        </w:rPr>
      </w:pPr>
    </w:p>
    <w:tbl>
      <w:tblPr>
        <w:tblStyle w:val="33"/>
        <w:tblW w:w="9518" w:type="dxa"/>
        <w:tblInd w:w="93" w:type="dxa"/>
        <w:tblLayout w:type="fixed"/>
        <w:tblCellMar>
          <w:top w:w="0" w:type="dxa"/>
          <w:left w:w="108" w:type="dxa"/>
          <w:bottom w:w="0" w:type="dxa"/>
          <w:right w:w="108" w:type="dxa"/>
        </w:tblCellMar>
      </w:tblPr>
      <w:tblGrid>
        <w:gridCol w:w="770"/>
        <w:gridCol w:w="1110"/>
        <w:gridCol w:w="1650"/>
        <w:gridCol w:w="1355"/>
        <w:gridCol w:w="4633"/>
      </w:tblGrid>
      <w:tr w14:paraId="3B5E5B28">
        <w:tblPrEx>
          <w:tblCellMar>
            <w:top w:w="0" w:type="dxa"/>
            <w:left w:w="108" w:type="dxa"/>
            <w:bottom w:w="0" w:type="dxa"/>
            <w:right w:w="108" w:type="dxa"/>
          </w:tblCellMar>
        </w:tblPrEx>
        <w:trPr>
          <w:trHeight w:val="555" w:hRule="atLeast"/>
        </w:trPr>
        <w:tc>
          <w:tcPr>
            <w:tcW w:w="770" w:type="dxa"/>
            <w:tcBorders>
              <w:top w:val="single" w:color="000000" w:sz="8" w:space="0"/>
              <w:left w:val="single" w:color="000000" w:sz="8" w:space="0"/>
              <w:bottom w:val="nil"/>
              <w:right w:val="single" w:color="000000" w:sz="8" w:space="0"/>
            </w:tcBorders>
            <w:noWrap w:val="0"/>
            <w:vAlign w:val="top"/>
          </w:tcPr>
          <w:p w14:paraId="6EC70748">
            <w:pPr>
              <w:widowControl/>
              <w:shd w:val="clear"/>
              <w:jc w:val="center"/>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品目序号</w:t>
            </w:r>
          </w:p>
        </w:tc>
        <w:tc>
          <w:tcPr>
            <w:tcW w:w="4115" w:type="dxa"/>
            <w:gridSpan w:val="3"/>
            <w:tcBorders>
              <w:top w:val="single" w:color="000000" w:sz="8" w:space="0"/>
              <w:left w:val="nil"/>
              <w:bottom w:val="single" w:color="000000" w:sz="8" w:space="0"/>
              <w:right w:val="single" w:color="000000" w:sz="8" w:space="0"/>
            </w:tcBorders>
            <w:noWrap w:val="0"/>
            <w:vAlign w:val="center"/>
          </w:tcPr>
          <w:p w14:paraId="4D301AE7">
            <w:pPr>
              <w:widowControl/>
              <w:shd w:val="clear"/>
              <w:jc w:val="center"/>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名称</w:t>
            </w:r>
          </w:p>
        </w:tc>
        <w:tc>
          <w:tcPr>
            <w:tcW w:w="4633" w:type="dxa"/>
            <w:tcBorders>
              <w:top w:val="single" w:color="000000" w:sz="8" w:space="0"/>
              <w:left w:val="nil"/>
              <w:bottom w:val="single" w:color="000000" w:sz="8" w:space="0"/>
              <w:right w:val="single" w:color="000000" w:sz="8" w:space="0"/>
            </w:tcBorders>
            <w:noWrap w:val="0"/>
            <w:vAlign w:val="center"/>
          </w:tcPr>
          <w:p w14:paraId="1A257D12">
            <w:pPr>
              <w:widowControl/>
              <w:shd w:val="clear"/>
              <w:jc w:val="center"/>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依据的标准</w:t>
            </w:r>
          </w:p>
        </w:tc>
      </w:tr>
      <w:tr w14:paraId="358CEBB8">
        <w:tblPrEx>
          <w:tblCellMar>
            <w:top w:w="0" w:type="dxa"/>
            <w:left w:w="108" w:type="dxa"/>
            <w:bottom w:w="0" w:type="dxa"/>
            <w:right w:w="108" w:type="dxa"/>
          </w:tblCellMar>
        </w:tblPrEx>
        <w:trPr>
          <w:trHeight w:val="495" w:hRule="atLeast"/>
        </w:trPr>
        <w:tc>
          <w:tcPr>
            <w:tcW w:w="770" w:type="dxa"/>
            <w:vMerge w:val="restart"/>
            <w:tcBorders>
              <w:top w:val="single" w:color="000000" w:sz="8" w:space="0"/>
              <w:left w:val="single" w:color="000000" w:sz="8" w:space="0"/>
              <w:bottom w:val="single" w:color="000000" w:sz="8" w:space="0"/>
              <w:right w:val="single" w:color="000000" w:sz="8" w:space="0"/>
            </w:tcBorders>
            <w:noWrap w:val="0"/>
            <w:vAlign w:val="center"/>
          </w:tcPr>
          <w:p w14:paraId="6F67A818">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1110" w:type="dxa"/>
            <w:vMerge w:val="restart"/>
            <w:tcBorders>
              <w:top w:val="nil"/>
              <w:left w:val="single" w:color="000000" w:sz="8" w:space="0"/>
              <w:bottom w:val="single" w:color="000000" w:sz="8" w:space="0"/>
              <w:right w:val="single" w:color="000000" w:sz="8" w:space="0"/>
            </w:tcBorders>
            <w:noWrap w:val="0"/>
            <w:vAlign w:val="center"/>
          </w:tcPr>
          <w:p w14:paraId="24939EB7">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A020101计算机设备</w:t>
            </w:r>
          </w:p>
        </w:tc>
        <w:tc>
          <w:tcPr>
            <w:tcW w:w="1650" w:type="dxa"/>
            <w:tcBorders>
              <w:top w:val="nil"/>
              <w:left w:val="nil"/>
              <w:bottom w:val="single" w:color="000000" w:sz="8" w:space="0"/>
              <w:right w:val="single" w:color="000000" w:sz="8" w:space="0"/>
            </w:tcBorders>
            <w:noWrap w:val="0"/>
            <w:vAlign w:val="center"/>
          </w:tcPr>
          <w:p w14:paraId="2F8F7E46">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★A02010104台式计算机</w:t>
            </w:r>
          </w:p>
        </w:tc>
        <w:tc>
          <w:tcPr>
            <w:tcW w:w="1355" w:type="dxa"/>
            <w:tcBorders>
              <w:top w:val="nil"/>
              <w:left w:val="nil"/>
              <w:bottom w:val="single" w:color="000000" w:sz="8" w:space="0"/>
              <w:right w:val="single" w:color="000000" w:sz="8" w:space="0"/>
            </w:tcBorders>
            <w:noWrap w:val="0"/>
            <w:vAlign w:val="center"/>
          </w:tcPr>
          <w:p w14:paraId="29CAC71E">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33" w:type="dxa"/>
            <w:tcBorders>
              <w:top w:val="nil"/>
              <w:left w:val="nil"/>
              <w:bottom w:val="single" w:color="000000" w:sz="8" w:space="0"/>
              <w:right w:val="single" w:color="000000" w:sz="8" w:space="0"/>
            </w:tcBorders>
            <w:noWrap w:val="0"/>
            <w:vAlign w:val="center"/>
          </w:tcPr>
          <w:p w14:paraId="6059A229">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0FF09E92">
        <w:tblPrEx>
          <w:tblCellMar>
            <w:top w:w="0" w:type="dxa"/>
            <w:left w:w="108" w:type="dxa"/>
            <w:bottom w:w="0" w:type="dxa"/>
            <w:right w:w="108" w:type="dxa"/>
          </w:tblCellMar>
        </w:tblPrEx>
        <w:trPr>
          <w:trHeight w:val="495" w:hRule="atLeast"/>
        </w:trPr>
        <w:tc>
          <w:tcPr>
            <w:tcW w:w="770" w:type="dxa"/>
            <w:vMerge w:val="continue"/>
            <w:tcBorders>
              <w:top w:val="single" w:color="000000" w:sz="8" w:space="0"/>
              <w:left w:val="single" w:color="000000" w:sz="8" w:space="0"/>
              <w:bottom w:val="single" w:color="000000" w:sz="8" w:space="0"/>
              <w:right w:val="single" w:color="000000" w:sz="8" w:space="0"/>
            </w:tcBorders>
            <w:noWrap w:val="0"/>
            <w:vAlign w:val="center"/>
          </w:tcPr>
          <w:p w14:paraId="2882B6ED">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000000" w:sz="8" w:space="0"/>
              <w:bottom w:val="single" w:color="000000" w:sz="8" w:space="0"/>
              <w:right w:val="single" w:color="000000" w:sz="8" w:space="0"/>
            </w:tcBorders>
            <w:noWrap w:val="0"/>
            <w:vAlign w:val="center"/>
          </w:tcPr>
          <w:p w14:paraId="302C6A07">
            <w:pPr>
              <w:widowControl/>
              <w:shd w:val="clear"/>
              <w:jc w:val="left"/>
              <w:rPr>
                <w:rFonts w:ascii="宋体" w:hAnsi="宋体" w:cs="宋体"/>
                <w:color w:val="auto"/>
                <w:kern w:val="0"/>
                <w:sz w:val="20"/>
                <w:szCs w:val="20"/>
                <w:highlight w:val="none"/>
              </w:rPr>
            </w:pPr>
          </w:p>
        </w:tc>
        <w:tc>
          <w:tcPr>
            <w:tcW w:w="1650" w:type="dxa"/>
            <w:tcBorders>
              <w:top w:val="nil"/>
              <w:left w:val="nil"/>
              <w:bottom w:val="single" w:color="000000" w:sz="8" w:space="0"/>
              <w:right w:val="single" w:color="000000" w:sz="8" w:space="0"/>
            </w:tcBorders>
            <w:noWrap w:val="0"/>
            <w:vAlign w:val="center"/>
          </w:tcPr>
          <w:p w14:paraId="2B161B2A">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★A02010105便携式计算机</w:t>
            </w:r>
          </w:p>
        </w:tc>
        <w:tc>
          <w:tcPr>
            <w:tcW w:w="1355" w:type="dxa"/>
            <w:tcBorders>
              <w:top w:val="nil"/>
              <w:left w:val="nil"/>
              <w:bottom w:val="single" w:color="000000" w:sz="8" w:space="0"/>
              <w:right w:val="single" w:color="000000" w:sz="8" w:space="0"/>
            </w:tcBorders>
            <w:noWrap w:val="0"/>
            <w:vAlign w:val="center"/>
          </w:tcPr>
          <w:p w14:paraId="04649EE6">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33" w:type="dxa"/>
            <w:tcBorders>
              <w:top w:val="nil"/>
              <w:left w:val="nil"/>
              <w:bottom w:val="single" w:color="000000" w:sz="8" w:space="0"/>
              <w:right w:val="single" w:color="000000" w:sz="8" w:space="0"/>
            </w:tcBorders>
            <w:noWrap w:val="0"/>
            <w:vAlign w:val="center"/>
          </w:tcPr>
          <w:p w14:paraId="5F156C94">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099832D1">
        <w:tblPrEx>
          <w:tblCellMar>
            <w:top w:w="0" w:type="dxa"/>
            <w:left w:w="108" w:type="dxa"/>
            <w:bottom w:w="0" w:type="dxa"/>
            <w:right w:w="108" w:type="dxa"/>
          </w:tblCellMar>
        </w:tblPrEx>
        <w:trPr>
          <w:trHeight w:val="735" w:hRule="atLeast"/>
        </w:trPr>
        <w:tc>
          <w:tcPr>
            <w:tcW w:w="770" w:type="dxa"/>
            <w:vMerge w:val="continue"/>
            <w:tcBorders>
              <w:top w:val="single" w:color="000000" w:sz="8" w:space="0"/>
              <w:left w:val="single" w:color="000000" w:sz="8" w:space="0"/>
              <w:bottom w:val="single" w:color="000000" w:sz="8" w:space="0"/>
              <w:right w:val="single" w:color="000000" w:sz="8" w:space="0"/>
            </w:tcBorders>
            <w:noWrap w:val="0"/>
            <w:vAlign w:val="center"/>
          </w:tcPr>
          <w:p w14:paraId="692A934F">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000000" w:sz="8" w:space="0"/>
              <w:bottom w:val="single" w:color="000000" w:sz="8" w:space="0"/>
              <w:right w:val="single" w:color="000000" w:sz="8" w:space="0"/>
            </w:tcBorders>
            <w:noWrap w:val="0"/>
            <w:vAlign w:val="center"/>
          </w:tcPr>
          <w:p w14:paraId="05374EF8">
            <w:pPr>
              <w:widowControl/>
              <w:shd w:val="clear"/>
              <w:jc w:val="left"/>
              <w:rPr>
                <w:rFonts w:ascii="宋体" w:hAnsi="宋体" w:cs="宋体"/>
                <w:color w:val="auto"/>
                <w:kern w:val="0"/>
                <w:sz w:val="20"/>
                <w:szCs w:val="20"/>
                <w:highlight w:val="none"/>
              </w:rPr>
            </w:pPr>
          </w:p>
        </w:tc>
        <w:tc>
          <w:tcPr>
            <w:tcW w:w="1650" w:type="dxa"/>
            <w:tcBorders>
              <w:top w:val="nil"/>
              <w:left w:val="nil"/>
              <w:bottom w:val="single" w:color="000000" w:sz="8" w:space="0"/>
              <w:right w:val="single" w:color="000000" w:sz="8" w:space="0"/>
            </w:tcBorders>
            <w:noWrap w:val="0"/>
            <w:vAlign w:val="center"/>
          </w:tcPr>
          <w:p w14:paraId="3EA5B0A6">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★A02010107平板式微型计算机</w:t>
            </w:r>
          </w:p>
        </w:tc>
        <w:tc>
          <w:tcPr>
            <w:tcW w:w="1355" w:type="dxa"/>
            <w:tcBorders>
              <w:top w:val="nil"/>
              <w:left w:val="nil"/>
              <w:bottom w:val="single" w:color="000000" w:sz="8" w:space="0"/>
              <w:right w:val="single" w:color="000000" w:sz="8" w:space="0"/>
            </w:tcBorders>
            <w:noWrap w:val="0"/>
            <w:vAlign w:val="center"/>
          </w:tcPr>
          <w:p w14:paraId="4457E95A">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33" w:type="dxa"/>
            <w:tcBorders>
              <w:top w:val="nil"/>
              <w:left w:val="nil"/>
              <w:bottom w:val="single" w:color="000000" w:sz="8" w:space="0"/>
              <w:right w:val="single" w:color="000000" w:sz="8" w:space="0"/>
            </w:tcBorders>
            <w:noWrap w:val="0"/>
            <w:vAlign w:val="center"/>
          </w:tcPr>
          <w:p w14:paraId="3C82C1C0">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127B475B">
        <w:tblPrEx>
          <w:tblCellMar>
            <w:top w:w="0" w:type="dxa"/>
            <w:left w:w="108" w:type="dxa"/>
            <w:bottom w:w="0" w:type="dxa"/>
            <w:right w:w="108" w:type="dxa"/>
          </w:tblCellMar>
        </w:tblPrEx>
        <w:trPr>
          <w:trHeight w:val="495" w:hRule="atLeast"/>
        </w:trPr>
        <w:tc>
          <w:tcPr>
            <w:tcW w:w="770" w:type="dxa"/>
            <w:vMerge w:val="restart"/>
            <w:tcBorders>
              <w:top w:val="nil"/>
              <w:left w:val="single" w:color="000000" w:sz="8" w:space="0"/>
              <w:bottom w:val="single" w:color="000000" w:sz="8" w:space="0"/>
              <w:right w:val="single" w:color="000000" w:sz="8" w:space="0"/>
            </w:tcBorders>
            <w:noWrap w:val="0"/>
            <w:vAlign w:val="center"/>
          </w:tcPr>
          <w:p w14:paraId="679FACDD">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1110" w:type="dxa"/>
            <w:vMerge w:val="restart"/>
            <w:tcBorders>
              <w:top w:val="nil"/>
              <w:left w:val="single" w:color="000000" w:sz="8" w:space="0"/>
              <w:bottom w:val="single" w:color="000000" w:sz="8" w:space="0"/>
              <w:right w:val="single" w:color="000000" w:sz="8" w:space="0"/>
            </w:tcBorders>
            <w:noWrap w:val="0"/>
            <w:vAlign w:val="center"/>
          </w:tcPr>
          <w:p w14:paraId="623D7326">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A020106输入输出设备</w:t>
            </w:r>
          </w:p>
        </w:tc>
        <w:tc>
          <w:tcPr>
            <w:tcW w:w="1650" w:type="dxa"/>
            <w:vMerge w:val="restart"/>
            <w:tcBorders>
              <w:top w:val="nil"/>
              <w:left w:val="single" w:color="000000" w:sz="8" w:space="0"/>
              <w:bottom w:val="single" w:color="000000" w:sz="8" w:space="0"/>
              <w:right w:val="single" w:color="000000" w:sz="8" w:space="0"/>
            </w:tcBorders>
            <w:noWrap w:val="0"/>
            <w:vAlign w:val="center"/>
          </w:tcPr>
          <w:p w14:paraId="483F1B8A">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A02010601打印设备</w:t>
            </w:r>
          </w:p>
        </w:tc>
        <w:tc>
          <w:tcPr>
            <w:tcW w:w="1355" w:type="dxa"/>
            <w:tcBorders>
              <w:top w:val="nil"/>
              <w:left w:val="nil"/>
              <w:bottom w:val="single" w:color="000000" w:sz="8" w:space="0"/>
              <w:right w:val="single" w:color="000000" w:sz="8" w:space="0"/>
            </w:tcBorders>
            <w:noWrap w:val="0"/>
            <w:vAlign w:val="center"/>
          </w:tcPr>
          <w:p w14:paraId="70CC043E">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A0201060101喷墨打印机</w:t>
            </w:r>
          </w:p>
        </w:tc>
        <w:tc>
          <w:tcPr>
            <w:tcW w:w="4633" w:type="dxa"/>
            <w:tcBorders>
              <w:top w:val="nil"/>
              <w:left w:val="nil"/>
              <w:bottom w:val="single" w:color="000000" w:sz="8" w:space="0"/>
              <w:right w:val="single" w:color="000000" w:sz="8" w:space="0"/>
            </w:tcBorders>
            <w:noWrap w:val="0"/>
            <w:vAlign w:val="center"/>
          </w:tcPr>
          <w:p w14:paraId="3037B61F">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7996F048">
        <w:tblPrEx>
          <w:tblCellMar>
            <w:top w:w="0" w:type="dxa"/>
            <w:left w:w="108" w:type="dxa"/>
            <w:bottom w:w="0" w:type="dxa"/>
            <w:right w:w="108" w:type="dxa"/>
          </w:tblCellMar>
        </w:tblPrEx>
        <w:trPr>
          <w:trHeight w:val="495" w:hRule="atLeast"/>
        </w:trPr>
        <w:tc>
          <w:tcPr>
            <w:tcW w:w="770" w:type="dxa"/>
            <w:vMerge w:val="continue"/>
            <w:tcBorders>
              <w:top w:val="nil"/>
              <w:left w:val="single" w:color="000000" w:sz="8" w:space="0"/>
              <w:bottom w:val="single" w:color="000000" w:sz="8" w:space="0"/>
              <w:right w:val="single" w:color="000000" w:sz="8" w:space="0"/>
            </w:tcBorders>
            <w:noWrap w:val="0"/>
            <w:vAlign w:val="center"/>
          </w:tcPr>
          <w:p w14:paraId="751D14F4">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000000" w:sz="8" w:space="0"/>
              <w:bottom w:val="single" w:color="000000" w:sz="8" w:space="0"/>
              <w:right w:val="single" w:color="000000" w:sz="8" w:space="0"/>
            </w:tcBorders>
            <w:noWrap w:val="0"/>
            <w:vAlign w:val="center"/>
          </w:tcPr>
          <w:p w14:paraId="3D689C0F">
            <w:pPr>
              <w:widowControl/>
              <w:shd w:val="clear"/>
              <w:jc w:val="left"/>
              <w:rPr>
                <w:rFonts w:ascii="宋体" w:hAnsi="宋体" w:cs="宋体"/>
                <w:color w:val="auto"/>
                <w:kern w:val="0"/>
                <w:sz w:val="20"/>
                <w:szCs w:val="20"/>
                <w:highlight w:val="none"/>
              </w:rPr>
            </w:pPr>
          </w:p>
        </w:tc>
        <w:tc>
          <w:tcPr>
            <w:tcW w:w="1650" w:type="dxa"/>
            <w:vMerge w:val="continue"/>
            <w:tcBorders>
              <w:top w:val="nil"/>
              <w:left w:val="single" w:color="000000" w:sz="8" w:space="0"/>
              <w:bottom w:val="single" w:color="000000" w:sz="8" w:space="0"/>
              <w:right w:val="single" w:color="000000" w:sz="8" w:space="0"/>
            </w:tcBorders>
            <w:noWrap w:val="0"/>
            <w:vAlign w:val="center"/>
          </w:tcPr>
          <w:p w14:paraId="03D202A0">
            <w:pPr>
              <w:widowControl/>
              <w:shd w:val="clear"/>
              <w:jc w:val="left"/>
              <w:rPr>
                <w:rFonts w:ascii="宋体" w:hAnsi="宋体" w:cs="宋体"/>
                <w:color w:val="auto"/>
                <w:kern w:val="0"/>
                <w:sz w:val="20"/>
                <w:szCs w:val="20"/>
                <w:highlight w:val="none"/>
              </w:rPr>
            </w:pPr>
          </w:p>
        </w:tc>
        <w:tc>
          <w:tcPr>
            <w:tcW w:w="1355" w:type="dxa"/>
            <w:tcBorders>
              <w:top w:val="nil"/>
              <w:left w:val="nil"/>
              <w:bottom w:val="single" w:color="000000" w:sz="8" w:space="0"/>
              <w:right w:val="single" w:color="000000" w:sz="8" w:space="0"/>
            </w:tcBorders>
            <w:noWrap w:val="0"/>
            <w:vAlign w:val="center"/>
          </w:tcPr>
          <w:p w14:paraId="7B21C2DE">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★A0201060102激光打印机</w:t>
            </w:r>
          </w:p>
        </w:tc>
        <w:tc>
          <w:tcPr>
            <w:tcW w:w="4633" w:type="dxa"/>
            <w:tcBorders>
              <w:top w:val="nil"/>
              <w:left w:val="nil"/>
              <w:bottom w:val="single" w:color="000000" w:sz="8" w:space="0"/>
              <w:right w:val="single" w:color="000000" w:sz="8" w:space="0"/>
            </w:tcBorders>
            <w:noWrap w:val="0"/>
            <w:vAlign w:val="center"/>
          </w:tcPr>
          <w:p w14:paraId="19B0B54E">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04D2BB22">
        <w:tblPrEx>
          <w:tblCellMar>
            <w:top w:w="0" w:type="dxa"/>
            <w:left w:w="108" w:type="dxa"/>
            <w:bottom w:w="0" w:type="dxa"/>
            <w:right w:w="108" w:type="dxa"/>
          </w:tblCellMar>
        </w:tblPrEx>
        <w:trPr>
          <w:trHeight w:val="495" w:hRule="atLeast"/>
        </w:trPr>
        <w:tc>
          <w:tcPr>
            <w:tcW w:w="770" w:type="dxa"/>
            <w:vMerge w:val="continue"/>
            <w:tcBorders>
              <w:top w:val="nil"/>
              <w:left w:val="single" w:color="000000" w:sz="8" w:space="0"/>
              <w:bottom w:val="single" w:color="000000" w:sz="8" w:space="0"/>
              <w:right w:val="single" w:color="000000" w:sz="8" w:space="0"/>
            </w:tcBorders>
            <w:noWrap w:val="0"/>
            <w:vAlign w:val="center"/>
          </w:tcPr>
          <w:p w14:paraId="741E7DC7">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000000" w:sz="8" w:space="0"/>
              <w:bottom w:val="single" w:color="000000" w:sz="8" w:space="0"/>
              <w:right w:val="single" w:color="000000" w:sz="8" w:space="0"/>
            </w:tcBorders>
            <w:noWrap w:val="0"/>
            <w:vAlign w:val="center"/>
          </w:tcPr>
          <w:p w14:paraId="6BE76080">
            <w:pPr>
              <w:widowControl/>
              <w:shd w:val="clear"/>
              <w:jc w:val="left"/>
              <w:rPr>
                <w:rFonts w:ascii="宋体" w:hAnsi="宋体" w:cs="宋体"/>
                <w:color w:val="auto"/>
                <w:kern w:val="0"/>
                <w:sz w:val="20"/>
                <w:szCs w:val="20"/>
                <w:highlight w:val="none"/>
              </w:rPr>
            </w:pPr>
          </w:p>
        </w:tc>
        <w:tc>
          <w:tcPr>
            <w:tcW w:w="1650" w:type="dxa"/>
            <w:vMerge w:val="continue"/>
            <w:tcBorders>
              <w:top w:val="nil"/>
              <w:left w:val="single" w:color="000000" w:sz="8" w:space="0"/>
              <w:bottom w:val="single" w:color="000000" w:sz="8" w:space="0"/>
              <w:right w:val="single" w:color="000000" w:sz="8" w:space="0"/>
            </w:tcBorders>
            <w:noWrap w:val="0"/>
            <w:vAlign w:val="center"/>
          </w:tcPr>
          <w:p w14:paraId="7F3D6848">
            <w:pPr>
              <w:widowControl/>
              <w:shd w:val="clear"/>
              <w:jc w:val="left"/>
              <w:rPr>
                <w:rFonts w:ascii="宋体" w:hAnsi="宋体" w:cs="宋体"/>
                <w:color w:val="auto"/>
                <w:kern w:val="0"/>
                <w:sz w:val="20"/>
                <w:szCs w:val="20"/>
                <w:highlight w:val="none"/>
              </w:rPr>
            </w:pPr>
          </w:p>
        </w:tc>
        <w:tc>
          <w:tcPr>
            <w:tcW w:w="1355" w:type="dxa"/>
            <w:tcBorders>
              <w:top w:val="nil"/>
              <w:left w:val="nil"/>
              <w:bottom w:val="single" w:color="000000" w:sz="8" w:space="0"/>
              <w:right w:val="single" w:color="000000" w:sz="8" w:space="0"/>
            </w:tcBorders>
            <w:noWrap w:val="0"/>
            <w:vAlign w:val="center"/>
          </w:tcPr>
          <w:p w14:paraId="23738CD8">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★A0201060104针式打印机</w:t>
            </w:r>
          </w:p>
        </w:tc>
        <w:tc>
          <w:tcPr>
            <w:tcW w:w="4633" w:type="dxa"/>
            <w:tcBorders>
              <w:top w:val="nil"/>
              <w:left w:val="nil"/>
              <w:bottom w:val="single" w:color="000000" w:sz="8" w:space="0"/>
              <w:right w:val="single" w:color="000000" w:sz="8" w:space="0"/>
            </w:tcBorders>
            <w:noWrap w:val="0"/>
            <w:vAlign w:val="center"/>
          </w:tcPr>
          <w:p w14:paraId="324F2250">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0C64C4E5">
        <w:tblPrEx>
          <w:tblCellMar>
            <w:top w:w="0" w:type="dxa"/>
            <w:left w:w="108" w:type="dxa"/>
            <w:bottom w:w="0" w:type="dxa"/>
            <w:right w:w="108" w:type="dxa"/>
          </w:tblCellMar>
        </w:tblPrEx>
        <w:trPr>
          <w:trHeight w:val="495" w:hRule="atLeast"/>
        </w:trPr>
        <w:tc>
          <w:tcPr>
            <w:tcW w:w="770" w:type="dxa"/>
            <w:vMerge w:val="continue"/>
            <w:tcBorders>
              <w:top w:val="nil"/>
              <w:left w:val="single" w:color="000000" w:sz="8" w:space="0"/>
              <w:bottom w:val="single" w:color="000000" w:sz="8" w:space="0"/>
              <w:right w:val="single" w:color="000000" w:sz="8" w:space="0"/>
            </w:tcBorders>
            <w:noWrap w:val="0"/>
            <w:vAlign w:val="center"/>
          </w:tcPr>
          <w:p w14:paraId="7652F38F">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000000" w:sz="8" w:space="0"/>
              <w:bottom w:val="single" w:color="000000" w:sz="8" w:space="0"/>
              <w:right w:val="single" w:color="000000" w:sz="8" w:space="0"/>
            </w:tcBorders>
            <w:noWrap w:val="0"/>
            <w:vAlign w:val="center"/>
          </w:tcPr>
          <w:p w14:paraId="79CF8BA9">
            <w:pPr>
              <w:widowControl/>
              <w:shd w:val="clear"/>
              <w:jc w:val="left"/>
              <w:rPr>
                <w:rFonts w:ascii="宋体" w:hAnsi="宋体" w:cs="宋体"/>
                <w:color w:val="auto"/>
                <w:kern w:val="0"/>
                <w:sz w:val="20"/>
                <w:szCs w:val="20"/>
                <w:highlight w:val="none"/>
              </w:rPr>
            </w:pPr>
          </w:p>
        </w:tc>
        <w:tc>
          <w:tcPr>
            <w:tcW w:w="1650" w:type="dxa"/>
            <w:tcBorders>
              <w:top w:val="nil"/>
              <w:left w:val="nil"/>
              <w:bottom w:val="single" w:color="000000" w:sz="8" w:space="0"/>
              <w:right w:val="single" w:color="000000" w:sz="8" w:space="0"/>
            </w:tcBorders>
            <w:noWrap w:val="0"/>
            <w:vAlign w:val="center"/>
          </w:tcPr>
          <w:p w14:paraId="07716E06">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A02010604显示设备</w:t>
            </w:r>
          </w:p>
        </w:tc>
        <w:tc>
          <w:tcPr>
            <w:tcW w:w="1355" w:type="dxa"/>
            <w:tcBorders>
              <w:top w:val="nil"/>
              <w:left w:val="nil"/>
              <w:bottom w:val="single" w:color="000000" w:sz="8" w:space="0"/>
              <w:right w:val="single" w:color="000000" w:sz="8" w:space="0"/>
            </w:tcBorders>
            <w:noWrap w:val="0"/>
            <w:vAlign w:val="center"/>
          </w:tcPr>
          <w:p w14:paraId="3031409B">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★A0201060401液晶显示器</w:t>
            </w:r>
          </w:p>
        </w:tc>
        <w:tc>
          <w:tcPr>
            <w:tcW w:w="4633" w:type="dxa"/>
            <w:tcBorders>
              <w:top w:val="nil"/>
              <w:left w:val="nil"/>
              <w:bottom w:val="single" w:color="000000" w:sz="8" w:space="0"/>
              <w:right w:val="single" w:color="000000" w:sz="8" w:space="0"/>
            </w:tcBorders>
            <w:noWrap w:val="0"/>
            <w:vAlign w:val="center"/>
          </w:tcPr>
          <w:p w14:paraId="7491F058">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《计算机显示器能效限定值及能效等级》（GB21520）</w:t>
            </w:r>
          </w:p>
        </w:tc>
      </w:tr>
      <w:tr w14:paraId="01679A9E">
        <w:tblPrEx>
          <w:tblCellMar>
            <w:top w:w="0" w:type="dxa"/>
            <w:left w:w="108" w:type="dxa"/>
            <w:bottom w:w="0" w:type="dxa"/>
            <w:right w:w="108" w:type="dxa"/>
          </w:tblCellMar>
        </w:tblPrEx>
        <w:trPr>
          <w:trHeight w:val="975" w:hRule="atLeast"/>
        </w:trPr>
        <w:tc>
          <w:tcPr>
            <w:tcW w:w="770" w:type="dxa"/>
            <w:vMerge w:val="continue"/>
            <w:tcBorders>
              <w:top w:val="nil"/>
              <w:left w:val="single" w:color="000000" w:sz="8" w:space="0"/>
              <w:bottom w:val="single" w:color="000000" w:sz="8" w:space="0"/>
              <w:right w:val="single" w:color="000000" w:sz="8" w:space="0"/>
            </w:tcBorders>
            <w:noWrap w:val="0"/>
            <w:vAlign w:val="center"/>
          </w:tcPr>
          <w:p w14:paraId="05B9DA63">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000000" w:sz="8" w:space="0"/>
              <w:bottom w:val="single" w:color="000000" w:sz="8" w:space="0"/>
              <w:right w:val="single" w:color="000000" w:sz="8" w:space="0"/>
            </w:tcBorders>
            <w:noWrap w:val="0"/>
            <w:vAlign w:val="center"/>
          </w:tcPr>
          <w:p w14:paraId="2850CC13">
            <w:pPr>
              <w:widowControl/>
              <w:shd w:val="clear"/>
              <w:jc w:val="left"/>
              <w:rPr>
                <w:rFonts w:ascii="宋体" w:hAnsi="宋体" w:cs="宋体"/>
                <w:color w:val="auto"/>
                <w:kern w:val="0"/>
                <w:sz w:val="20"/>
                <w:szCs w:val="20"/>
                <w:highlight w:val="none"/>
              </w:rPr>
            </w:pPr>
          </w:p>
        </w:tc>
        <w:tc>
          <w:tcPr>
            <w:tcW w:w="1650" w:type="dxa"/>
            <w:tcBorders>
              <w:top w:val="nil"/>
              <w:left w:val="nil"/>
              <w:bottom w:val="single" w:color="000000" w:sz="8" w:space="0"/>
              <w:right w:val="single" w:color="000000" w:sz="8" w:space="0"/>
            </w:tcBorders>
            <w:noWrap w:val="0"/>
            <w:vAlign w:val="center"/>
          </w:tcPr>
          <w:p w14:paraId="75CBD1EA">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A02010609图形图像输入设备</w:t>
            </w:r>
          </w:p>
        </w:tc>
        <w:tc>
          <w:tcPr>
            <w:tcW w:w="1355" w:type="dxa"/>
            <w:tcBorders>
              <w:top w:val="nil"/>
              <w:left w:val="nil"/>
              <w:bottom w:val="single" w:color="000000" w:sz="8" w:space="0"/>
              <w:right w:val="single" w:color="000000" w:sz="8" w:space="0"/>
            </w:tcBorders>
            <w:noWrap w:val="0"/>
            <w:vAlign w:val="center"/>
          </w:tcPr>
          <w:p w14:paraId="409FD047">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A0201060901扫描仪</w:t>
            </w:r>
          </w:p>
        </w:tc>
        <w:tc>
          <w:tcPr>
            <w:tcW w:w="4633" w:type="dxa"/>
            <w:tcBorders>
              <w:top w:val="nil"/>
              <w:left w:val="nil"/>
              <w:bottom w:val="single" w:color="000000" w:sz="8" w:space="0"/>
              <w:right w:val="single" w:color="000000" w:sz="8" w:space="0"/>
            </w:tcBorders>
            <w:noWrap w:val="0"/>
            <w:vAlign w:val="center"/>
          </w:tcPr>
          <w:p w14:paraId="465DA784">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参照《复印机、打印机和传真机能效限定值及能效等级》（GB21521中打印速度为15页/分的针式打印机相关要求中打印速度为15页/分的针式打印机相关要求</w:t>
            </w:r>
          </w:p>
        </w:tc>
      </w:tr>
      <w:tr w14:paraId="60D0018B">
        <w:tblPrEx>
          <w:tblCellMar>
            <w:top w:w="0" w:type="dxa"/>
            <w:left w:w="108" w:type="dxa"/>
            <w:bottom w:w="0" w:type="dxa"/>
            <w:right w:w="108" w:type="dxa"/>
          </w:tblCellMar>
        </w:tblPrEx>
        <w:trPr>
          <w:trHeight w:val="495" w:hRule="atLeast"/>
        </w:trPr>
        <w:tc>
          <w:tcPr>
            <w:tcW w:w="770" w:type="dxa"/>
            <w:tcBorders>
              <w:top w:val="nil"/>
              <w:left w:val="single" w:color="000000" w:sz="8" w:space="0"/>
              <w:bottom w:val="single" w:color="000000" w:sz="8" w:space="0"/>
              <w:right w:val="single" w:color="000000" w:sz="8" w:space="0"/>
            </w:tcBorders>
            <w:noWrap w:val="0"/>
            <w:vAlign w:val="center"/>
          </w:tcPr>
          <w:p w14:paraId="0E822622">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w:t>
            </w:r>
          </w:p>
        </w:tc>
        <w:tc>
          <w:tcPr>
            <w:tcW w:w="1110" w:type="dxa"/>
            <w:tcBorders>
              <w:top w:val="nil"/>
              <w:left w:val="nil"/>
              <w:bottom w:val="single" w:color="000000" w:sz="8" w:space="0"/>
              <w:right w:val="single" w:color="000000" w:sz="8" w:space="0"/>
            </w:tcBorders>
            <w:noWrap w:val="0"/>
            <w:vAlign w:val="center"/>
          </w:tcPr>
          <w:p w14:paraId="04282275">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A020202投影仪</w:t>
            </w:r>
          </w:p>
        </w:tc>
        <w:tc>
          <w:tcPr>
            <w:tcW w:w="1650" w:type="dxa"/>
            <w:tcBorders>
              <w:top w:val="nil"/>
              <w:left w:val="nil"/>
              <w:bottom w:val="single" w:color="000000" w:sz="8" w:space="0"/>
              <w:right w:val="single" w:color="000000" w:sz="8" w:space="0"/>
            </w:tcBorders>
            <w:noWrap w:val="0"/>
            <w:vAlign w:val="center"/>
          </w:tcPr>
          <w:p w14:paraId="01B0E454">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355" w:type="dxa"/>
            <w:tcBorders>
              <w:top w:val="nil"/>
              <w:left w:val="nil"/>
              <w:bottom w:val="single" w:color="000000" w:sz="8" w:space="0"/>
              <w:right w:val="single" w:color="000000" w:sz="8" w:space="0"/>
            </w:tcBorders>
            <w:noWrap w:val="0"/>
            <w:vAlign w:val="center"/>
          </w:tcPr>
          <w:p w14:paraId="555C7C47">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33" w:type="dxa"/>
            <w:tcBorders>
              <w:top w:val="nil"/>
              <w:left w:val="nil"/>
              <w:bottom w:val="single" w:color="000000" w:sz="8" w:space="0"/>
              <w:right w:val="single" w:color="000000" w:sz="8" w:space="0"/>
            </w:tcBorders>
            <w:noWrap w:val="0"/>
            <w:vAlign w:val="center"/>
          </w:tcPr>
          <w:p w14:paraId="30CD1468">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《投影机能效限定值及能效等级》（GB32028）</w:t>
            </w:r>
          </w:p>
        </w:tc>
      </w:tr>
      <w:tr w14:paraId="7314C9F3">
        <w:tblPrEx>
          <w:tblCellMar>
            <w:top w:w="0" w:type="dxa"/>
            <w:left w:w="108" w:type="dxa"/>
            <w:bottom w:w="0" w:type="dxa"/>
            <w:right w:w="108" w:type="dxa"/>
          </w:tblCellMar>
        </w:tblPrEx>
        <w:trPr>
          <w:trHeight w:val="495" w:hRule="atLeast"/>
        </w:trPr>
        <w:tc>
          <w:tcPr>
            <w:tcW w:w="770" w:type="dxa"/>
            <w:tcBorders>
              <w:top w:val="nil"/>
              <w:left w:val="single" w:color="000000" w:sz="8" w:space="0"/>
              <w:bottom w:val="single" w:color="000000" w:sz="8" w:space="0"/>
              <w:right w:val="single" w:color="000000" w:sz="8" w:space="0"/>
            </w:tcBorders>
            <w:noWrap w:val="0"/>
            <w:vAlign w:val="center"/>
          </w:tcPr>
          <w:p w14:paraId="3383F858">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w:t>
            </w:r>
          </w:p>
        </w:tc>
        <w:tc>
          <w:tcPr>
            <w:tcW w:w="1110" w:type="dxa"/>
            <w:tcBorders>
              <w:top w:val="nil"/>
              <w:left w:val="nil"/>
              <w:bottom w:val="single" w:color="000000" w:sz="8" w:space="0"/>
              <w:right w:val="single" w:color="000000" w:sz="8" w:space="0"/>
            </w:tcBorders>
            <w:noWrap w:val="0"/>
            <w:vAlign w:val="center"/>
          </w:tcPr>
          <w:p w14:paraId="22290034">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A020204多功能一体机</w:t>
            </w:r>
          </w:p>
        </w:tc>
        <w:tc>
          <w:tcPr>
            <w:tcW w:w="1650" w:type="dxa"/>
            <w:tcBorders>
              <w:top w:val="nil"/>
              <w:left w:val="nil"/>
              <w:bottom w:val="single" w:color="000000" w:sz="8" w:space="0"/>
              <w:right w:val="single" w:color="000000" w:sz="8" w:space="0"/>
            </w:tcBorders>
            <w:noWrap w:val="0"/>
            <w:vAlign w:val="center"/>
          </w:tcPr>
          <w:p w14:paraId="707A5DFF">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355" w:type="dxa"/>
            <w:tcBorders>
              <w:top w:val="nil"/>
              <w:left w:val="nil"/>
              <w:bottom w:val="single" w:color="000000" w:sz="8" w:space="0"/>
              <w:right w:val="single" w:color="000000" w:sz="8" w:space="0"/>
            </w:tcBorders>
            <w:noWrap w:val="0"/>
            <w:vAlign w:val="center"/>
          </w:tcPr>
          <w:p w14:paraId="306B91D4">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33" w:type="dxa"/>
            <w:tcBorders>
              <w:top w:val="nil"/>
              <w:left w:val="nil"/>
              <w:bottom w:val="single" w:color="000000" w:sz="8" w:space="0"/>
              <w:right w:val="single" w:color="000000" w:sz="8" w:space="0"/>
            </w:tcBorders>
            <w:noWrap w:val="0"/>
            <w:vAlign w:val="center"/>
          </w:tcPr>
          <w:p w14:paraId="2CA42ADF">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38E0AEA2">
        <w:tblPrEx>
          <w:tblCellMar>
            <w:top w:w="0" w:type="dxa"/>
            <w:left w:w="108" w:type="dxa"/>
            <w:bottom w:w="0" w:type="dxa"/>
            <w:right w:w="108" w:type="dxa"/>
          </w:tblCellMar>
        </w:tblPrEx>
        <w:trPr>
          <w:trHeight w:val="495" w:hRule="atLeast"/>
        </w:trPr>
        <w:tc>
          <w:tcPr>
            <w:tcW w:w="770" w:type="dxa"/>
            <w:tcBorders>
              <w:top w:val="nil"/>
              <w:left w:val="single" w:color="000000" w:sz="8" w:space="0"/>
              <w:bottom w:val="single" w:color="000000" w:sz="8" w:space="0"/>
              <w:right w:val="single" w:color="000000" w:sz="8" w:space="0"/>
            </w:tcBorders>
            <w:noWrap w:val="0"/>
            <w:vAlign w:val="center"/>
          </w:tcPr>
          <w:p w14:paraId="1766F808">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w:t>
            </w:r>
          </w:p>
        </w:tc>
        <w:tc>
          <w:tcPr>
            <w:tcW w:w="1110" w:type="dxa"/>
            <w:tcBorders>
              <w:top w:val="nil"/>
              <w:left w:val="nil"/>
              <w:bottom w:val="single" w:color="000000" w:sz="8" w:space="0"/>
              <w:right w:val="single" w:color="000000" w:sz="8" w:space="0"/>
            </w:tcBorders>
            <w:noWrap w:val="0"/>
            <w:vAlign w:val="center"/>
          </w:tcPr>
          <w:p w14:paraId="1A2044A9">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A020519泵</w:t>
            </w:r>
          </w:p>
        </w:tc>
        <w:tc>
          <w:tcPr>
            <w:tcW w:w="1650" w:type="dxa"/>
            <w:tcBorders>
              <w:top w:val="nil"/>
              <w:left w:val="nil"/>
              <w:bottom w:val="single" w:color="000000" w:sz="8" w:space="0"/>
              <w:right w:val="single" w:color="000000" w:sz="8" w:space="0"/>
            </w:tcBorders>
            <w:noWrap w:val="0"/>
            <w:vAlign w:val="center"/>
          </w:tcPr>
          <w:p w14:paraId="253FD961">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A02051901离心泵</w:t>
            </w:r>
          </w:p>
        </w:tc>
        <w:tc>
          <w:tcPr>
            <w:tcW w:w="1355" w:type="dxa"/>
            <w:tcBorders>
              <w:top w:val="nil"/>
              <w:left w:val="nil"/>
              <w:bottom w:val="single" w:color="000000" w:sz="8" w:space="0"/>
              <w:right w:val="single" w:color="000000" w:sz="8" w:space="0"/>
            </w:tcBorders>
            <w:noWrap w:val="0"/>
            <w:vAlign w:val="center"/>
          </w:tcPr>
          <w:p w14:paraId="0B4CF282">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33" w:type="dxa"/>
            <w:tcBorders>
              <w:top w:val="nil"/>
              <w:left w:val="nil"/>
              <w:bottom w:val="single" w:color="000000" w:sz="8" w:space="0"/>
              <w:right w:val="single" w:color="000000" w:sz="8" w:space="0"/>
            </w:tcBorders>
            <w:noWrap w:val="0"/>
            <w:vAlign w:val="center"/>
          </w:tcPr>
          <w:p w14:paraId="1309A9AC">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《清水离心泵能效限定值及节能评价值》（GB19762）</w:t>
            </w:r>
          </w:p>
        </w:tc>
      </w:tr>
      <w:tr w14:paraId="367F7163">
        <w:tblPrEx>
          <w:tblCellMar>
            <w:top w:w="0" w:type="dxa"/>
            <w:left w:w="108" w:type="dxa"/>
            <w:bottom w:w="0" w:type="dxa"/>
            <w:right w:w="108" w:type="dxa"/>
          </w:tblCellMar>
        </w:tblPrEx>
        <w:trPr>
          <w:trHeight w:val="735" w:hRule="atLeast"/>
        </w:trPr>
        <w:tc>
          <w:tcPr>
            <w:tcW w:w="770" w:type="dxa"/>
            <w:vMerge w:val="restart"/>
            <w:tcBorders>
              <w:top w:val="nil"/>
              <w:left w:val="single" w:color="000000" w:sz="8" w:space="0"/>
              <w:bottom w:val="single" w:color="000000" w:sz="8" w:space="0"/>
              <w:right w:val="single" w:color="000000" w:sz="8" w:space="0"/>
            </w:tcBorders>
            <w:noWrap w:val="0"/>
            <w:vAlign w:val="center"/>
          </w:tcPr>
          <w:p w14:paraId="4AF9DC5F">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w:t>
            </w:r>
          </w:p>
        </w:tc>
        <w:tc>
          <w:tcPr>
            <w:tcW w:w="1110" w:type="dxa"/>
            <w:vMerge w:val="restart"/>
            <w:tcBorders>
              <w:top w:val="nil"/>
              <w:left w:val="single" w:color="000000" w:sz="8" w:space="0"/>
              <w:bottom w:val="single" w:color="000000" w:sz="8" w:space="0"/>
              <w:right w:val="single" w:color="000000" w:sz="8" w:space="0"/>
            </w:tcBorders>
            <w:noWrap w:val="0"/>
            <w:vAlign w:val="center"/>
          </w:tcPr>
          <w:p w14:paraId="5744062A">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A020523制冷空调设备</w:t>
            </w:r>
          </w:p>
        </w:tc>
        <w:tc>
          <w:tcPr>
            <w:tcW w:w="1650" w:type="dxa"/>
            <w:vMerge w:val="restart"/>
            <w:tcBorders>
              <w:top w:val="nil"/>
              <w:left w:val="single" w:color="000000" w:sz="8" w:space="0"/>
              <w:bottom w:val="single" w:color="000000" w:sz="8" w:space="0"/>
              <w:right w:val="single" w:color="000000" w:sz="8" w:space="0"/>
            </w:tcBorders>
            <w:noWrap w:val="0"/>
            <w:vAlign w:val="center"/>
          </w:tcPr>
          <w:p w14:paraId="3448206C">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★A02052301制冷压缩机</w:t>
            </w:r>
          </w:p>
        </w:tc>
        <w:tc>
          <w:tcPr>
            <w:tcW w:w="1355" w:type="dxa"/>
            <w:tcBorders>
              <w:top w:val="nil"/>
              <w:left w:val="nil"/>
              <w:bottom w:val="single" w:color="000000" w:sz="8" w:space="0"/>
              <w:right w:val="single" w:color="000000" w:sz="8" w:space="0"/>
            </w:tcBorders>
            <w:noWrap w:val="0"/>
            <w:vAlign w:val="center"/>
          </w:tcPr>
          <w:p w14:paraId="2E86638C">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冷水机组</w:t>
            </w:r>
          </w:p>
        </w:tc>
        <w:tc>
          <w:tcPr>
            <w:tcW w:w="4633" w:type="dxa"/>
            <w:tcBorders>
              <w:top w:val="nil"/>
              <w:left w:val="nil"/>
              <w:bottom w:val="single" w:color="000000" w:sz="8" w:space="0"/>
              <w:right w:val="single" w:color="000000" w:sz="8" w:space="0"/>
            </w:tcBorders>
            <w:noWrap w:val="0"/>
            <w:vAlign w:val="center"/>
          </w:tcPr>
          <w:p w14:paraId="48FEE032">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《冷水机组能效限定值及能效等级》（GB19577），《低环境温度空气源热泵（冷水）机组能效限定值及能效等级》（GB37480）</w:t>
            </w:r>
          </w:p>
        </w:tc>
      </w:tr>
      <w:tr w14:paraId="6E894770">
        <w:tblPrEx>
          <w:tblCellMar>
            <w:top w:w="0" w:type="dxa"/>
            <w:left w:w="108" w:type="dxa"/>
            <w:bottom w:w="0" w:type="dxa"/>
            <w:right w:w="108" w:type="dxa"/>
          </w:tblCellMar>
        </w:tblPrEx>
        <w:trPr>
          <w:trHeight w:val="495" w:hRule="atLeast"/>
        </w:trPr>
        <w:tc>
          <w:tcPr>
            <w:tcW w:w="770" w:type="dxa"/>
            <w:vMerge w:val="continue"/>
            <w:tcBorders>
              <w:top w:val="nil"/>
              <w:left w:val="single" w:color="000000" w:sz="8" w:space="0"/>
              <w:bottom w:val="single" w:color="000000" w:sz="8" w:space="0"/>
              <w:right w:val="single" w:color="000000" w:sz="8" w:space="0"/>
            </w:tcBorders>
            <w:noWrap w:val="0"/>
            <w:vAlign w:val="center"/>
          </w:tcPr>
          <w:p w14:paraId="608934B5">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000000" w:sz="8" w:space="0"/>
              <w:bottom w:val="single" w:color="000000" w:sz="8" w:space="0"/>
              <w:right w:val="single" w:color="000000" w:sz="8" w:space="0"/>
            </w:tcBorders>
            <w:noWrap w:val="0"/>
            <w:vAlign w:val="center"/>
          </w:tcPr>
          <w:p w14:paraId="2B32FA90">
            <w:pPr>
              <w:widowControl/>
              <w:shd w:val="clear"/>
              <w:jc w:val="left"/>
              <w:rPr>
                <w:rFonts w:ascii="宋体" w:hAnsi="宋体" w:cs="宋体"/>
                <w:color w:val="auto"/>
                <w:kern w:val="0"/>
                <w:sz w:val="20"/>
                <w:szCs w:val="20"/>
                <w:highlight w:val="none"/>
              </w:rPr>
            </w:pPr>
          </w:p>
        </w:tc>
        <w:tc>
          <w:tcPr>
            <w:tcW w:w="1650" w:type="dxa"/>
            <w:vMerge w:val="continue"/>
            <w:tcBorders>
              <w:top w:val="nil"/>
              <w:left w:val="single" w:color="000000" w:sz="8" w:space="0"/>
              <w:bottom w:val="single" w:color="000000" w:sz="8" w:space="0"/>
              <w:right w:val="single" w:color="000000" w:sz="8" w:space="0"/>
            </w:tcBorders>
            <w:noWrap w:val="0"/>
            <w:vAlign w:val="center"/>
          </w:tcPr>
          <w:p w14:paraId="2FA2D4F5">
            <w:pPr>
              <w:widowControl/>
              <w:shd w:val="clear"/>
              <w:jc w:val="left"/>
              <w:rPr>
                <w:rFonts w:ascii="宋体" w:hAnsi="宋体" w:cs="宋体"/>
                <w:color w:val="auto"/>
                <w:kern w:val="0"/>
                <w:sz w:val="20"/>
                <w:szCs w:val="20"/>
                <w:highlight w:val="none"/>
              </w:rPr>
            </w:pPr>
          </w:p>
        </w:tc>
        <w:tc>
          <w:tcPr>
            <w:tcW w:w="1355" w:type="dxa"/>
            <w:tcBorders>
              <w:top w:val="nil"/>
              <w:left w:val="nil"/>
              <w:bottom w:val="single" w:color="000000" w:sz="8" w:space="0"/>
              <w:right w:val="single" w:color="000000" w:sz="8" w:space="0"/>
            </w:tcBorders>
            <w:noWrap w:val="0"/>
            <w:vAlign w:val="center"/>
          </w:tcPr>
          <w:p w14:paraId="54CEB45D">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水源热泵机组</w:t>
            </w:r>
          </w:p>
        </w:tc>
        <w:tc>
          <w:tcPr>
            <w:tcW w:w="4633" w:type="dxa"/>
            <w:tcBorders>
              <w:top w:val="nil"/>
              <w:left w:val="nil"/>
              <w:bottom w:val="single" w:color="000000" w:sz="8" w:space="0"/>
              <w:right w:val="single" w:color="000000" w:sz="8" w:space="0"/>
            </w:tcBorders>
            <w:noWrap w:val="0"/>
            <w:vAlign w:val="center"/>
          </w:tcPr>
          <w:p w14:paraId="42072E7C">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《水（地）源热泵机组能效限定值及能效等级》（GB30721）</w:t>
            </w:r>
          </w:p>
        </w:tc>
      </w:tr>
      <w:tr w14:paraId="442CF6C6">
        <w:tblPrEx>
          <w:tblCellMar>
            <w:top w:w="0" w:type="dxa"/>
            <w:left w:w="108" w:type="dxa"/>
            <w:bottom w:w="0" w:type="dxa"/>
            <w:right w:w="108" w:type="dxa"/>
          </w:tblCellMar>
        </w:tblPrEx>
        <w:trPr>
          <w:trHeight w:val="495" w:hRule="atLeast"/>
        </w:trPr>
        <w:tc>
          <w:tcPr>
            <w:tcW w:w="770" w:type="dxa"/>
            <w:vMerge w:val="continue"/>
            <w:tcBorders>
              <w:top w:val="nil"/>
              <w:left w:val="single" w:color="000000" w:sz="8" w:space="0"/>
              <w:bottom w:val="single" w:color="000000" w:sz="8" w:space="0"/>
              <w:right w:val="single" w:color="000000" w:sz="8" w:space="0"/>
            </w:tcBorders>
            <w:noWrap w:val="0"/>
            <w:vAlign w:val="center"/>
          </w:tcPr>
          <w:p w14:paraId="70AC4731">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000000" w:sz="8" w:space="0"/>
              <w:bottom w:val="single" w:color="000000" w:sz="8" w:space="0"/>
              <w:right w:val="single" w:color="000000" w:sz="8" w:space="0"/>
            </w:tcBorders>
            <w:noWrap w:val="0"/>
            <w:vAlign w:val="center"/>
          </w:tcPr>
          <w:p w14:paraId="20187C6C">
            <w:pPr>
              <w:widowControl/>
              <w:shd w:val="clear"/>
              <w:jc w:val="left"/>
              <w:rPr>
                <w:rFonts w:ascii="宋体" w:hAnsi="宋体" w:cs="宋体"/>
                <w:color w:val="auto"/>
                <w:kern w:val="0"/>
                <w:sz w:val="20"/>
                <w:szCs w:val="20"/>
                <w:highlight w:val="none"/>
              </w:rPr>
            </w:pPr>
          </w:p>
        </w:tc>
        <w:tc>
          <w:tcPr>
            <w:tcW w:w="1650" w:type="dxa"/>
            <w:vMerge w:val="continue"/>
            <w:tcBorders>
              <w:top w:val="nil"/>
              <w:left w:val="single" w:color="000000" w:sz="8" w:space="0"/>
              <w:bottom w:val="single" w:color="000000" w:sz="8" w:space="0"/>
              <w:right w:val="single" w:color="000000" w:sz="8" w:space="0"/>
            </w:tcBorders>
            <w:noWrap w:val="0"/>
            <w:vAlign w:val="center"/>
          </w:tcPr>
          <w:p w14:paraId="70A8CC2C">
            <w:pPr>
              <w:widowControl/>
              <w:shd w:val="clear"/>
              <w:jc w:val="left"/>
              <w:rPr>
                <w:rFonts w:ascii="宋体" w:hAnsi="宋体" w:cs="宋体"/>
                <w:color w:val="auto"/>
                <w:kern w:val="0"/>
                <w:sz w:val="20"/>
                <w:szCs w:val="20"/>
                <w:highlight w:val="none"/>
              </w:rPr>
            </w:pPr>
          </w:p>
        </w:tc>
        <w:tc>
          <w:tcPr>
            <w:tcW w:w="1355" w:type="dxa"/>
            <w:tcBorders>
              <w:top w:val="nil"/>
              <w:left w:val="nil"/>
              <w:bottom w:val="single" w:color="000000" w:sz="8" w:space="0"/>
              <w:right w:val="single" w:color="000000" w:sz="8" w:space="0"/>
            </w:tcBorders>
            <w:noWrap w:val="0"/>
            <w:vAlign w:val="center"/>
          </w:tcPr>
          <w:p w14:paraId="1A284237">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溴化锂吸收式冷水机组</w:t>
            </w:r>
          </w:p>
        </w:tc>
        <w:tc>
          <w:tcPr>
            <w:tcW w:w="4633" w:type="dxa"/>
            <w:tcBorders>
              <w:top w:val="nil"/>
              <w:left w:val="nil"/>
              <w:bottom w:val="single" w:color="000000" w:sz="8" w:space="0"/>
              <w:right w:val="single" w:color="000000" w:sz="8" w:space="0"/>
            </w:tcBorders>
            <w:noWrap w:val="0"/>
            <w:vAlign w:val="center"/>
          </w:tcPr>
          <w:p w14:paraId="2F047193">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《溴化锂吸收式冷水机组能效限定值及能效等级》（GB29540）</w:t>
            </w:r>
          </w:p>
        </w:tc>
      </w:tr>
      <w:tr w14:paraId="2B9F0EFD">
        <w:tblPrEx>
          <w:tblCellMar>
            <w:top w:w="0" w:type="dxa"/>
            <w:left w:w="108" w:type="dxa"/>
            <w:bottom w:w="0" w:type="dxa"/>
            <w:right w:w="108" w:type="dxa"/>
          </w:tblCellMar>
        </w:tblPrEx>
        <w:trPr>
          <w:trHeight w:val="735" w:hRule="atLeast"/>
        </w:trPr>
        <w:tc>
          <w:tcPr>
            <w:tcW w:w="770" w:type="dxa"/>
            <w:vMerge w:val="continue"/>
            <w:tcBorders>
              <w:top w:val="nil"/>
              <w:left w:val="single" w:color="000000" w:sz="8" w:space="0"/>
              <w:bottom w:val="single" w:color="000000" w:sz="8" w:space="0"/>
              <w:right w:val="single" w:color="000000" w:sz="8" w:space="0"/>
            </w:tcBorders>
            <w:noWrap w:val="0"/>
            <w:vAlign w:val="center"/>
          </w:tcPr>
          <w:p w14:paraId="2F7E3831">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000000" w:sz="8" w:space="0"/>
              <w:bottom w:val="single" w:color="000000" w:sz="8" w:space="0"/>
              <w:right w:val="single" w:color="000000" w:sz="8" w:space="0"/>
            </w:tcBorders>
            <w:noWrap w:val="0"/>
            <w:vAlign w:val="center"/>
          </w:tcPr>
          <w:p w14:paraId="220291EB">
            <w:pPr>
              <w:widowControl/>
              <w:shd w:val="clear"/>
              <w:jc w:val="left"/>
              <w:rPr>
                <w:rFonts w:ascii="宋体" w:hAnsi="宋体" w:cs="宋体"/>
                <w:color w:val="auto"/>
                <w:kern w:val="0"/>
                <w:sz w:val="20"/>
                <w:szCs w:val="20"/>
                <w:highlight w:val="none"/>
              </w:rPr>
            </w:pPr>
          </w:p>
        </w:tc>
        <w:tc>
          <w:tcPr>
            <w:tcW w:w="1650" w:type="dxa"/>
            <w:vMerge w:val="restart"/>
            <w:tcBorders>
              <w:top w:val="nil"/>
              <w:left w:val="single" w:color="000000" w:sz="8" w:space="0"/>
              <w:bottom w:val="single" w:color="000000" w:sz="8" w:space="0"/>
              <w:right w:val="single" w:color="000000" w:sz="8" w:space="0"/>
            </w:tcBorders>
            <w:noWrap w:val="0"/>
            <w:vAlign w:val="center"/>
          </w:tcPr>
          <w:p w14:paraId="4CDE380B">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★A02052305空调机组</w:t>
            </w:r>
          </w:p>
        </w:tc>
        <w:tc>
          <w:tcPr>
            <w:tcW w:w="1355" w:type="dxa"/>
            <w:tcBorders>
              <w:top w:val="nil"/>
              <w:left w:val="nil"/>
              <w:bottom w:val="single" w:color="000000" w:sz="8" w:space="0"/>
              <w:right w:val="single" w:color="000000" w:sz="8" w:space="0"/>
            </w:tcBorders>
            <w:noWrap w:val="0"/>
            <w:vAlign w:val="center"/>
          </w:tcPr>
          <w:p w14:paraId="0EB13BE9">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多联式空调（热泵）机组(制冷量&gt;14000W)</w:t>
            </w:r>
          </w:p>
        </w:tc>
        <w:tc>
          <w:tcPr>
            <w:tcW w:w="4633" w:type="dxa"/>
            <w:tcBorders>
              <w:top w:val="nil"/>
              <w:left w:val="nil"/>
              <w:bottom w:val="single" w:color="000000" w:sz="8" w:space="0"/>
              <w:right w:val="single" w:color="000000" w:sz="8" w:space="0"/>
            </w:tcBorders>
            <w:noWrap w:val="0"/>
            <w:vAlign w:val="center"/>
          </w:tcPr>
          <w:p w14:paraId="18CE5192">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《多联式空调（热泵）机组能效限定值及能源效率等级》（GB21454）</w:t>
            </w:r>
          </w:p>
        </w:tc>
      </w:tr>
      <w:tr w14:paraId="65C7EEE1">
        <w:tblPrEx>
          <w:tblCellMar>
            <w:top w:w="0" w:type="dxa"/>
            <w:left w:w="108" w:type="dxa"/>
            <w:bottom w:w="0" w:type="dxa"/>
            <w:right w:w="108" w:type="dxa"/>
          </w:tblCellMar>
        </w:tblPrEx>
        <w:trPr>
          <w:trHeight w:val="735" w:hRule="atLeast"/>
        </w:trPr>
        <w:tc>
          <w:tcPr>
            <w:tcW w:w="770" w:type="dxa"/>
            <w:vMerge w:val="continue"/>
            <w:tcBorders>
              <w:top w:val="nil"/>
              <w:left w:val="single" w:color="000000" w:sz="8" w:space="0"/>
              <w:bottom w:val="single" w:color="000000" w:sz="8" w:space="0"/>
              <w:right w:val="single" w:color="000000" w:sz="8" w:space="0"/>
            </w:tcBorders>
            <w:noWrap w:val="0"/>
            <w:vAlign w:val="center"/>
          </w:tcPr>
          <w:p w14:paraId="19C721CC">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000000" w:sz="8" w:space="0"/>
              <w:bottom w:val="single" w:color="000000" w:sz="8" w:space="0"/>
              <w:right w:val="single" w:color="000000" w:sz="8" w:space="0"/>
            </w:tcBorders>
            <w:noWrap w:val="0"/>
            <w:vAlign w:val="center"/>
          </w:tcPr>
          <w:p w14:paraId="05A41BEB">
            <w:pPr>
              <w:widowControl/>
              <w:shd w:val="clear"/>
              <w:jc w:val="left"/>
              <w:rPr>
                <w:rFonts w:ascii="宋体" w:hAnsi="宋体" w:cs="宋体"/>
                <w:color w:val="auto"/>
                <w:kern w:val="0"/>
                <w:sz w:val="20"/>
                <w:szCs w:val="20"/>
                <w:highlight w:val="none"/>
              </w:rPr>
            </w:pPr>
          </w:p>
        </w:tc>
        <w:tc>
          <w:tcPr>
            <w:tcW w:w="1650" w:type="dxa"/>
            <w:vMerge w:val="continue"/>
            <w:tcBorders>
              <w:top w:val="nil"/>
              <w:left w:val="single" w:color="000000" w:sz="8" w:space="0"/>
              <w:bottom w:val="single" w:color="000000" w:sz="8" w:space="0"/>
              <w:right w:val="single" w:color="000000" w:sz="8" w:space="0"/>
            </w:tcBorders>
            <w:noWrap w:val="0"/>
            <w:vAlign w:val="center"/>
          </w:tcPr>
          <w:p w14:paraId="37EB41C1">
            <w:pPr>
              <w:widowControl/>
              <w:shd w:val="clear"/>
              <w:jc w:val="left"/>
              <w:rPr>
                <w:rFonts w:ascii="宋体" w:hAnsi="宋体" w:cs="宋体"/>
                <w:color w:val="auto"/>
                <w:kern w:val="0"/>
                <w:sz w:val="20"/>
                <w:szCs w:val="20"/>
                <w:highlight w:val="none"/>
              </w:rPr>
            </w:pPr>
          </w:p>
        </w:tc>
        <w:tc>
          <w:tcPr>
            <w:tcW w:w="1355" w:type="dxa"/>
            <w:tcBorders>
              <w:top w:val="nil"/>
              <w:left w:val="nil"/>
              <w:bottom w:val="single" w:color="000000" w:sz="8" w:space="0"/>
              <w:right w:val="single" w:color="000000" w:sz="8" w:space="0"/>
            </w:tcBorders>
            <w:noWrap w:val="0"/>
            <w:vAlign w:val="center"/>
          </w:tcPr>
          <w:p w14:paraId="2D6163BB">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单元式空气调节机(制冷量&gt;14000W</w:t>
            </w:r>
          </w:p>
        </w:tc>
        <w:tc>
          <w:tcPr>
            <w:tcW w:w="4633" w:type="dxa"/>
            <w:tcBorders>
              <w:top w:val="nil"/>
              <w:left w:val="nil"/>
              <w:bottom w:val="single" w:color="000000" w:sz="8" w:space="0"/>
              <w:right w:val="single" w:color="000000" w:sz="8" w:space="0"/>
            </w:tcBorders>
            <w:noWrap w:val="0"/>
            <w:vAlign w:val="center"/>
          </w:tcPr>
          <w:p w14:paraId="3E9729C4">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《单元式空气调节机能效限定值及能效等级》（GB19576）《风管送风式空调机组能效限定值及能效等级》（GB37479）</w:t>
            </w:r>
          </w:p>
        </w:tc>
      </w:tr>
      <w:tr w14:paraId="21543377">
        <w:tblPrEx>
          <w:tblCellMar>
            <w:top w:w="0" w:type="dxa"/>
            <w:left w:w="108" w:type="dxa"/>
            <w:bottom w:w="0" w:type="dxa"/>
            <w:right w:w="108" w:type="dxa"/>
          </w:tblCellMar>
        </w:tblPrEx>
        <w:trPr>
          <w:trHeight w:val="735" w:hRule="atLeast"/>
        </w:trPr>
        <w:tc>
          <w:tcPr>
            <w:tcW w:w="770" w:type="dxa"/>
            <w:vMerge w:val="continue"/>
            <w:tcBorders>
              <w:top w:val="nil"/>
              <w:left w:val="single" w:color="000000" w:sz="8" w:space="0"/>
              <w:bottom w:val="single" w:color="000000" w:sz="8" w:space="0"/>
              <w:right w:val="single" w:color="000000" w:sz="8" w:space="0"/>
            </w:tcBorders>
            <w:noWrap w:val="0"/>
            <w:vAlign w:val="center"/>
          </w:tcPr>
          <w:p w14:paraId="0BD1223C">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000000" w:sz="8" w:space="0"/>
              <w:bottom w:val="single" w:color="000000" w:sz="8" w:space="0"/>
              <w:right w:val="single" w:color="000000" w:sz="8" w:space="0"/>
            </w:tcBorders>
            <w:noWrap w:val="0"/>
            <w:vAlign w:val="center"/>
          </w:tcPr>
          <w:p w14:paraId="38278C85">
            <w:pPr>
              <w:widowControl/>
              <w:shd w:val="clear"/>
              <w:jc w:val="left"/>
              <w:rPr>
                <w:rFonts w:ascii="宋体" w:hAnsi="宋体" w:cs="宋体"/>
                <w:color w:val="auto"/>
                <w:kern w:val="0"/>
                <w:sz w:val="20"/>
                <w:szCs w:val="20"/>
                <w:highlight w:val="none"/>
              </w:rPr>
            </w:pPr>
          </w:p>
        </w:tc>
        <w:tc>
          <w:tcPr>
            <w:tcW w:w="1650" w:type="dxa"/>
            <w:tcBorders>
              <w:top w:val="nil"/>
              <w:left w:val="nil"/>
              <w:bottom w:val="single" w:color="000000" w:sz="8" w:space="0"/>
              <w:right w:val="single" w:color="000000" w:sz="8" w:space="0"/>
            </w:tcBorders>
            <w:noWrap w:val="0"/>
            <w:vAlign w:val="center"/>
          </w:tcPr>
          <w:p w14:paraId="122E6D2A">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★A02052309专用制冷、空调设备</w:t>
            </w:r>
          </w:p>
        </w:tc>
        <w:tc>
          <w:tcPr>
            <w:tcW w:w="1355" w:type="dxa"/>
            <w:tcBorders>
              <w:top w:val="nil"/>
              <w:left w:val="nil"/>
              <w:bottom w:val="single" w:color="000000" w:sz="8" w:space="0"/>
              <w:right w:val="single" w:color="000000" w:sz="8" w:space="0"/>
            </w:tcBorders>
            <w:noWrap w:val="0"/>
            <w:vAlign w:val="center"/>
          </w:tcPr>
          <w:p w14:paraId="75D73EBE">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机房空调</w:t>
            </w:r>
          </w:p>
        </w:tc>
        <w:tc>
          <w:tcPr>
            <w:tcW w:w="4633" w:type="dxa"/>
            <w:tcBorders>
              <w:top w:val="nil"/>
              <w:left w:val="nil"/>
              <w:bottom w:val="single" w:color="000000" w:sz="8" w:space="0"/>
              <w:right w:val="single" w:color="000000" w:sz="8" w:space="0"/>
            </w:tcBorders>
            <w:noWrap w:val="0"/>
            <w:vAlign w:val="center"/>
          </w:tcPr>
          <w:p w14:paraId="6016EFD8">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《单元式空气调节机能效限定值及能效等级》（GB19576）</w:t>
            </w:r>
          </w:p>
        </w:tc>
      </w:tr>
      <w:tr w14:paraId="7D4189A2">
        <w:tblPrEx>
          <w:tblCellMar>
            <w:top w:w="0" w:type="dxa"/>
            <w:left w:w="108" w:type="dxa"/>
            <w:bottom w:w="0" w:type="dxa"/>
            <w:right w:w="108" w:type="dxa"/>
          </w:tblCellMar>
        </w:tblPrEx>
        <w:trPr>
          <w:trHeight w:val="735" w:hRule="atLeast"/>
        </w:trPr>
        <w:tc>
          <w:tcPr>
            <w:tcW w:w="770" w:type="dxa"/>
            <w:vMerge w:val="continue"/>
            <w:tcBorders>
              <w:top w:val="nil"/>
              <w:left w:val="single" w:color="000000" w:sz="8" w:space="0"/>
              <w:bottom w:val="single" w:color="000000" w:sz="8" w:space="0"/>
              <w:right w:val="single" w:color="000000" w:sz="8" w:space="0"/>
            </w:tcBorders>
            <w:noWrap w:val="0"/>
            <w:vAlign w:val="center"/>
          </w:tcPr>
          <w:p w14:paraId="70056A4C">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000000" w:sz="8" w:space="0"/>
              <w:bottom w:val="single" w:color="000000" w:sz="8" w:space="0"/>
              <w:right w:val="single" w:color="000000" w:sz="8" w:space="0"/>
            </w:tcBorders>
            <w:noWrap w:val="0"/>
            <w:vAlign w:val="center"/>
          </w:tcPr>
          <w:p w14:paraId="0081982A">
            <w:pPr>
              <w:widowControl/>
              <w:shd w:val="clear"/>
              <w:jc w:val="left"/>
              <w:rPr>
                <w:rFonts w:ascii="宋体" w:hAnsi="宋体" w:cs="宋体"/>
                <w:color w:val="auto"/>
                <w:kern w:val="0"/>
                <w:sz w:val="20"/>
                <w:szCs w:val="20"/>
                <w:highlight w:val="none"/>
              </w:rPr>
            </w:pPr>
          </w:p>
        </w:tc>
        <w:tc>
          <w:tcPr>
            <w:tcW w:w="1650" w:type="dxa"/>
            <w:tcBorders>
              <w:top w:val="nil"/>
              <w:left w:val="nil"/>
              <w:bottom w:val="single" w:color="000000" w:sz="8" w:space="0"/>
              <w:right w:val="single" w:color="000000" w:sz="8" w:space="0"/>
            </w:tcBorders>
            <w:noWrap w:val="0"/>
            <w:vAlign w:val="center"/>
          </w:tcPr>
          <w:p w14:paraId="426EAC5D">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A02052399其他制冷空调设备</w:t>
            </w:r>
          </w:p>
        </w:tc>
        <w:tc>
          <w:tcPr>
            <w:tcW w:w="1355" w:type="dxa"/>
            <w:tcBorders>
              <w:top w:val="nil"/>
              <w:left w:val="nil"/>
              <w:bottom w:val="single" w:color="000000" w:sz="8" w:space="0"/>
              <w:right w:val="single" w:color="000000" w:sz="8" w:space="0"/>
            </w:tcBorders>
            <w:noWrap w:val="0"/>
            <w:vAlign w:val="center"/>
          </w:tcPr>
          <w:p w14:paraId="0895F09C">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冷却塔</w:t>
            </w:r>
          </w:p>
        </w:tc>
        <w:tc>
          <w:tcPr>
            <w:tcW w:w="4633" w:type="dxa"/>
            <w:tcBorders>
              <w:top w:val="nil"/>
              <w:left w:val="nil"/>
              <w:bottom w:val="single" w:color="000000" w:sz="8" w:space="0"/>
              <w:right w:val="single" w:color="000000" w:sz="8" w:space="0"/>
            </w:tcBorders>
            <w:noWrap w:val="0"/>
            <w:vAlign w:val="center"/>
          </w:tcPr>
          <w:p w14:paraId="31C9FA9A">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《机械通风冷却塔第1部分：中小型开式冷却塔》（GB/T7190.1）；《机械通风冷却塔第2部分：大型开式冷却塔》（GB/T7190.2）</w:t>
            </w:r>
          </w:p>
        </w:tc>
      </w:tr>
      <w:tr w14:paraId="3D6C9041">
        <w:tblPrEx>
          <w:tblCellMar>
            <w:top w:w="0" w:type="dxa"/>
            <w:left w:w="108" w:type="dxa"/>
            <w:bottom w:w="0" w:type="dxa"/>
            <w:right w:w="108" w:type="dxa"/>
          </w:tblCellMar>
        </w:tblPrEx>
        <w:trPr>
          <w:trHeight w:val="495" w:hRule="atLeast"/>
        </w:trPr>
        <w:tc>
          <w:tcPr>
            <w:tcW w:w="770" w:type="dxa"/>
            <w:tcBorders>
              <w:top w:val="nil"/>
              <w:left w:val="single" w:color="000000" w:sz="8" w:space="0"/>
              <w:bottom w:val="single" w:color="000000" w:sz="8" w:space="0"/>
              <w:right w:val="single" w:color="000000" w:sz="8" w:space="0"/>
            </w:tcBorders>
            <w:noWrap w:val="0"/>
            <w:vAlign w:val="center"/>
          </w:tcPr>
          <w:p w14:paraId="11165C00">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w:t>
            </w:r>
          </w:p>
        </w:tc>
        <w:tc>
          <w:tcPr>
            <w:tcW w:w="1110" w:type="dxa"/>
            <w:tcBorders>
              <w:top w:val="nil"/>
              <w:left w:val="nil"/>
              <w:bottom w:val="single" w:color="000000" w:sz="8" w:space="0"/>
              <w:right w:val="single" w:color="000000" w:sz="8" w:space="0"/>
            </w:tcBorders>
            <w:noWrap w:val="0"/>
            <w:vAlign w:val="center"/>
          </w:tcPr>
          <w:p w14:paraId="3CE40803">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A020601电机</w:t>
            </w:r>
          </w:p>
        </w:tc>
        <w:tc>
          <w:tcPr>
            <w:tcW w:w="1650" w:type="dxa"/>
            <w:tcBorders>
              <w:top w:val="nil"/>
              <w:left w:val="nil"/>
              <w:bottom w:val="single" w:color="000000" w:sz="8" w:space="0"/>
              <w:right w:val="single" w:color="000000" w:sz="8" w:space="0"/>
            </w:tcBorders>
            <w:noWrap w:val="0"/>
            <w:vAlign w:val="center"/>
          </w:tcPr>
          <w:p w14:paraId="35F591E0">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355" w:type="dxa"/>
            <w:tcBorders>
              <w:top w:val="nil"/>
              <w:left w:val="nil"/>
              <w:bottom w:val="single" w:color="000000" w:sz="8" w:space="0"/>
              <w:right w:val="single" w:color="000000" w:sz="8" w:space="0"/>
            </w:tcBorders>
            <w:noWrap w:val="0"/>
            <w:vAlign w:val="center"/>
          </w:tcPr>
          <w:p w14:paraId="4F4ED51D">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33" w:type="dxa"/>
            <w:tcBorders>
              <w:top w:val="nil"/>
              <w:left w:val="nil"/>
              <w:bottom w:val="single" w:color="000000" w:sz="8" w:space="0"/>
              <w:right w:val="single" w:color="000000" w:sz="8" w:space="0"/>
            </w:tcBorders>
            <w:noWrap w:val="0"/>
            <w:vAlign w:val="center"/>
          </w:tcPr>
          <w:p w14:paraId="7E277B0A">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《中小型三相异步电动机能效限定值及能效等级》（GB18613）</w:t>
            </w:r>
          </w:p>
        </w:tc>
      </w:tr>
      <w:tr w14:paraId="76CFE9A3">
        <w:tblPrEx>
          <w:tblCellMar>
            <w:top w:w="0" w:type="dxa"/>
            <w:left w:w="108" w:type="dxa"/>
            <w:bottom w:w="0" w:type="dxa"/>
            <w:right w:w="108" w:type="dxa"/>
          </w:tblCellMar>
        </w:tblPrEx>
        <w:trPr>
          <w:trHeight w:val="495" w:hRule="atLeast"/>
        </w:trPr>
        <w:tc>
          <w:tcPr>
            <w:tcW w:w="770" w:type="dxa"/>
            <w:tcBorders>
              <w:top w:val="nil"/>
              <w:left w:val="single" w:color="000000" w:sz="8" w:space="0"/>
              <w:bottom w:val="single" w:color="000000" w:sz="8" w:space="0"/>
              <w:right w:val="single" w:color="000000" w:sz="8" w:space="0"/>
            </w:tcBorders>
            <w:noWrap w:val="0"/>
            <w:vAlign w:val="center"/>
          </w:tcPr>
          <w:p w14:paraId="088B3377">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w:t>
            </w:r>
          </w:p>
        </w:tc>
        <w:tc>
          <w:tcPr>
            <w:tcW w:w="1110" w:type="dxa"/>
            <w:tcBorders>
              <w:top w:val="nil"/>
              <w:left w:val="nil"/>
              <w:bottom w:val="single" w:color="000000" w:sz="8" w:space="0"/>
              <w:right w:val="single" w:color="000000" w:sz="8" w:space="0"/>
            </w:tcBorders>
            <w:noWrap w:val="0"/>
            <w:vAlign w:val="center"/>
          </w:tcPr>
          <w:p w14:paraId="4AE4B21D">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A020602变压器</w:t>
            </w:r>
          </w:p>
        </w:tc>
        <w:tc>
          <w:tcPr>
            <w:tcW w:w="1650" w:type="dxa"/>
            <w:tcBorders>
              <w:top w:val="nil"/>
              <w:left w:val="nil"/>
              <w:bottom w:val="single" w:color="000000" w:sz="8" w:space="0"/>
              <w:right w:val="single" w:color="000000" w:sz="8" w:space="0"/>
            </w:tcBorders>
            <w:noWrap w:val="0"/>
            <w:vAlign w:val="center"/>
          </w:tcPr>
          <w:p w14:paraId="1B541ACC">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配电变压器</w:t>
            </w:r>
          </w:p>
        </w:tc>
        <w:tc>
          <w:tcPr>
            <w:tcW w:w="1355" w:type="dxa"/>
            <w:tcBorders>
              <w:top w:val="nil"/>
              <w:left w:val="nil"/>
              <w:bottom w:val="single" w:color="000000" w:sz="8" w:space="0"/>
              <w:right w:val="single" w:color="000000" w:sz="8" w:space="0"/>
            </w:tcBorders>
            <w:noWrap w:val="0"/>
            <w:vAlign w:val="center"/>
          </w:tcPr>
          <w:p w14:paraId="5B29B24E">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33" w:type="dxa"/>
            <w:tcBorders>
              <w:top w:val="nil"/>
              <w:left w:val="nil"/>
              <w:bottom w:val="single" w:color="000000" w:sz="8" w:space="0"/>
              <w:right w:val="single" w:color="000000" w:sz="8" w:space="0"/>
            </w:tcBorders>
            <w:noWrap w:val="0"/>
            <w:vAlign w:val="center"/>
          </w:tcPr>
          <w:p w14:paraId="0B0D4A33">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《三相配电变压器能效限定值及能效等级》（GB20052）</w:t>
            </w:r>
          </w:p>
        </w:tc>
      </w:tr>
      <w:tr w14:paraId="44290D10">
        <w:tblPrEx>
          <w:tblCellMar>
            <w:top w:w="0" w:type="dxa"/>
            <w:left w:w="108" w:type="dxa"/>
            <w:bottom w:w="0" w:type="dxa"/>
            <w:right w:w="108" w:type="dxa"/>
          </w:tblCellMar>
        </w:tblPrEx>
        <w:trPr>
          <w:trHeight w:val="495" w:hRule="atLeast"/>
        </w:trPr>
        <w:tc>
          <w:tcPr>
            <w:tcW w:w="770" w:type="dxa"/>
            <w:tcBorders>
              <w:top w:val="nil"/>
              <w:left w:val="single" w:color="000000" w:sz="8" w:space="0"/>
              <w:bottom w:val="single" w:color="000000" w:sz="8" w:space="0"/>
              <w:right w:val="single" w:color="000000" w:sz="8" w:space="0"/>
            </w:tcBorders>
            <w:noWrap w:val="0"/>
            <w:vAlign w:val="center"/>
          </w:tcPr>
          <w:p w14:paraId="7D35C2B5">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w:t>
            </w:r>
          </w:p>
        </w:tc>
        <w:tc>
          <w:tcPr>
            <w:tcW w:w="1110" w:type="dxa"/>
            <w:tcBorders>
              <w:top w:val="nil"/>
              <w:left w:val="nil"/>
              <w:bottom w:val="single" w:color="000000" w:sz="8" w:space="0"/>
              <w:right w:val="single" w:color="000000" w:sz="8" w:space="0"/>
            </w:tcBorders>
            <w:noWrap w:val="0"/>
            <w:vAlign w:val="center"/>
          </w:tcPr>
          <w:p w14:paraId="5AEE5BB6">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★A020609镇流器</w:t>
            </w:r>
          </w:p>
        </w:tc>
        <w:tc>
          <w:tcPr>
            <w:tcW w:w="1650" w:type="dxa"/>
            <w:tcBorders>
              <w:top w:val="nil"/>
              <w:left w:val="nil"/>
              <w:bottom w:val="single" w:color="000000" w:sz="8" w:space="0"/>
              <w:right w:val="single" w:color="000000" w:sz="8" w:space="0"/>
            </w:tcBorders>
            <w:noWrap w:val="0"/>
            <w:vAlign w:val="center"/>
          </w:tcPr>
          <w:p w14:paraId="4A5CF3CA">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管型荧光灯镇流器</w:t>
            </w:r>
          </w:p>
        </w:tc>
        <w:tc>
          <w:tcPr>
            <w:tcW w:w="1355" w:type="dxa"/>
            <w:tcBorders>
              <w:top w:val="nil"/>
              <w:left w:val="nil"/>
              <w:bottom w:val="single" w:color="000000" w:sz="8" w:space="0"/>
              <w:right w:val="single" w:color="000000" w:sz="8" w:space="0"/>
            </w:tcBorders>
            <w:noWrap w:val="0"/>
            <w:vAlign w:val="center"/>
          </w:tcPr>
          <w:p w14:paraId="782806ED">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33" w:type="dxa"/>
            <w:tcBorders>
              <w:top w:val="nil"/>
              <w:left w:val="nil"/>
              <w:bottom w:val="single" w:color="000000" w:sz="8" w:space="0"/>
              <w:right w:val="single" w:color="000000" w:sz="8" w:space="0"/>
            </w:tcBorders>
            <w:noWrap w:val="0"/>
            <w:vAlign w:val="center"/>
          </w:tcPr>
          <w:p w14:paraId="26359A58">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《管形荧光灯镇流器能效限定值及能效等级》（GB17896）</w:t>
            </w:r>
          </w:p>
        </w:tc>
      </w:tr>
      <w:tr w14:paraId="768A2C46">
        <w:tblPrEx>
          <w:tblCellMar>
            <w:top w:w="0" w:type="dxa"/>
            <w:left w:w="108" w:type="dxa"/>
            <w:bottom w:w="0" w:type="dxa"/>
            <w:right w:w="108" w:type="dxa"/>
          </w:tblCellMar>
        </w:tblPrEx>
        <w:trPr>
          <w:trHeight w:val="495" w:hRule="atLeast"/>
        </w:trPr>
        <w:tc>
          <w:tcPr>
            <w:tcW w:w="770" w:type="dxa"/>
            <w:vMerge w:val="restart"/>
            <w:tcBorders>
              <w:top w:val="nil"/>
              <w:left w:val="single" w:color="000000" w:sz="8" w:space="0"/>
              <w:bottom w:val="single" w:color="000000" w:sz="8" w:space="0"/>
              <w:right w:val="single" w:color="000000" w:sz="8" w:space="0"/>
            </w:tcBorders>
            <w:noWrap w:val="0"/>
            <w:vAlign w:val="center"/>
          </w:tcPr>
          <w:p w14:paraId="694A806C">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w:t>
            </w:r>
          </w:p>
        </w:tc>
        <w:tc>
          <w:tcPr>
            <w:tcW w:w="1110" w:type="dxa"/>
            <w:vMerge w:val="restart"/>
            <w:tcBorders>
              <w:top w:val="nil"/>
              <w:left w:val="single" w:color="000000" w:sz="8" w:space="0"/>
              <w:bottom w:val="single" w:color="000000" w:sz="8" w:space="0"/>
              <w:right w:val="single" w:color="000000" w:sz="8" w:space="0"/>
            </w:tcBorders>
            <w:noWrap w:val="0"/>
            <w:vAlign w:val="center"/>
          </w:tcPr>
          <w:p w14:paraId="135DD652">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A020618生活用电器</w:t>
            </w:r>
          </w:p>
        </w:tc>
        <w:tc>
          <w:tcPr>
            <w:tcW w:w="1650" w:type="dxa"/>
            <w:tcBorders>
              <w:top w:val="nil"/>
              <w:left w:val="nil"/>
              <w:bottom w:val="single" w:color="000000" w:sz="8" w:space="0"/>
              <w:right w:val="single" w:color="000000" w:sz="8" w:space="0"/>
            </w:tcBorders>
            <w:noWrap w:val="0"/>
            <w:vAlign w:val="center"/>
          </w:tcPr>
          <w:p w14:paraId="395119DE">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A0206180101电冰箱</w:t>
            </w:r>
          </w:p>
        </w:tc>
        <w:tc>
          <w:tcPr>
            <w:tcW w:w="1355" w:type="dxa"/>
            <w:tcBorders>
              <w:top w:val="nil"/>
              <w:left w:val="nil"/>
              <w:bottom w:val="single" w:color="000000" w:sz="8" w:space="0"/>
              <w:right w:val="single" w:color="000000" w:sz="8" w:space="0"/>
            </w:tcBorders>
            <w:noWrap w:val="0"/>
            <w:vAlign w:val="center"/>
          </w:tcPr>
          <w:p w14:paraId="0F4E3242">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33" w:type="dxa"/>
            <w:tcBorders>
              <w:top w:val="nil"/>
              <w:left w:val="nil"/>
              <w:bottom w:val="single" w:color="000000" w:sz="8" w:space="0"/>
              <w:right w:val="single" w:color="000000" w:sz="8" w:space="0"/>
            </w:tcBorders>
            <w:noWrap w:val="0"/>
            <w:vAlign w:val="center"/>
          </w:tcPr>
          <w:p w14:paraId="62EE3679">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《家用电冰箱耗电量限定值及能效等级》（GB 12021.2）</w:t>
            </w:r>
          </w:p>
        </w:tc>
      </w:tr>
      <w:tr w14:paraId="048A0E8B">
        <w:tblPrEx>
          <w:tblCellMar>
            <w:top w:w="0" w:type="dxa"/>
            <w:left w:w="108" w:type="dxa"/>
            <w:bottom w:w="0" w:type="dxa"/>
            <w:right w:w="108" w:type="dxa"/>
          </w:tblCellMar>
        </w:tblPrEx>
        <w:trPr>
          <w:trHeight w:val="975" w:hRule="atLeast"/>
        </w:trPr>
        <w:tc>
          <w:tcPr>
            <w:tcW w:w="770" w:type="dxa"/>
            <w:vMerge w:val="continue"/>
            <w:tcBorders>
              <w:top w:val="nil"/>
              <w:left w:val="single" w:color="000000" w:sz="8" w:space="0"/>
              <w:bottom w:val="single" w:color="000000" w:sz="8" w:space="0"/>
              <w:right w:val="single" w:color="000000" w:sz="8" w:space="0"/>
            </w:tcBorders>
            <w:noWrap w:val="0"/>
            <w:vAlign w:val="center"/>
          </w:tcPr>
          <w:p w14:paraId="02074ED0">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000000" w:sz="8" w:space="0"/>
              <w:bottom w:val="single" w:color="000000" w:sz="8" w:space="0"/>
              <w:right w:val="single" w:color="000000" w:sz="8" w:space="0"/>
            </w:tcBorders>
            <w:noWrap w:val="0"/>
            <w:vAlign w:val="center"/>
          </w:tcPr>
          <w:p w14:paraId="6E1A2652">
            <w:pPr>
              <w:widowControl/>
              <w:shd w:val="clear"/>
              <w:jc w:val="left"/>
              <w:rPr>
                <w:rFonts w:ascii="宋体" w:hAnsi="宋体" w:cs="宋体"/>
                <w:color w:val="auto"/>
                <w:kern w:val="0"/>
                <w:sz w:val="20"/>
                <w:szCs w:val="20"/>
                <w:highlight w:val="none"/>
              </w:rPr>
            </w:pPr>
          </w:p>
        </w:tc>
        <w:tc>
          <w:tcPr>
            <w:tcW w:w="1650" w:type="dxa"/>
            <w:vMerge w:val="restart"/>
            <w:tcBorders>
              <w:top w:val="nil"/>
              <w:left w:val="single" w:color="000000" w:sz="8" w:space="0"/>
              <w:bottom w:val="single" w:color="000000" w:sz="8" w:space="0"/>
              <w:right w:val="single" w:color="000000" w:sz="8" w:space="0"/>
            </w:tcBorders>
            <w:noWrap w:val="0"/>
            <w:vAlign w:val="center"/>
          </w:tcPr>
          <w:p w14:paraId="019D9CEE">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★A0206180203空调机</w:t>
            </w:r>
          </w:p>
        </w:tc>
        <w:tc>
          <w:tcPr>
            <w:tcW w:w="1355" w:type="dxa"/>
            <w:tcBorders>
              <w:top w:val="nil"/>
              <w:left w:val="nil"/>
              <w:bottom w:val="single" w:color="000000" w:sz="8" w:space="0"/>
              <w:right w:val="single" w:color="000000" w:sz="8" w:space="0"/>
            </w:tcBorders>
            <w:noWrap w:val="0"/>
            <w:vAlign w:val="center"/>
          </w:tcPr>
          <w:p w14:paraId="3F58ECD6">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房间空气调节器</w:t>
            </w:r>
          </w:p>
        </w:tc>
        <w:tc>
          <w:tcPr>
            <w:tcW w:w="4633" w:type="dxa"/>
            <w:tcBorders>
              <w:top w:val="nil"/>
              <w:left w:val="nil"/>
              <w:bottom w:val="single" w:color="000000" w:sz="8" w:space="0"/>
              <w:right w:val="single" w:color="000000" w:sz="8" w:space="0"/>
            </w:tcBorders>
            <w:noWrap w:val="0"/>
            <w:vAlign w:val="center"/>
          </w:tcPr>
          <w:p w14:paraId="76FF9065">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《转速可控型房间空气调节器能效限定值及能效等级》（GB21455-2013），待2019年修订发布后，按《房间空气调节器能效限定值及能效等级》（GB21455-2019实施。</w:t>
            </w:r>
          </w:p>
        </w:tc>
      </w:tr>
      <w:tr w14:paraId="3A00926E">
        <w:tblPrEx>
          <w:tblCellMar>
            <w:top w:w="0" w:type="dxa"/>
            <w:left w:w="108" w:type="dxa"/>
            <w:bottom w:w="0" w:type="dxa"/>
            <w:right w:w="108" w:type="dxa"/>
          </w:tblCellMar>
        </w:tblPrEx>
        <w:trPr>
          <w:trHeight w:val="735" w:hRule="atLeast"/>
        </w:trPr>
        <w:tc>
          <w:tcPr>
            <w:tcW w:w="770" w:type="dxa"/>
            <w:vMerge w:val="continue"/>
            <w:tcBorders>
              <w:top w:val="nil"/>
              <w:left w:val="single" w:color="000000" w:sz="8" w:space="0"/>
              <w:bottom w:val="single" w:color="000000" w:sz="8" w:space="0"/>
              <w:right w:val="single" w:color="000000" w:sz="8" w:space="0"/>
            </w:tcBorders>
            <w:noWrap w:val="0"/>
            <w:vAlign w:val="center"/>
          </w:tcPr>
          <w:p w14:paraId="6CF87506">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000000" w:sz="8" w:space="0"/>
              <w:bottom w:val="single" w:color="000000" w:sz="8" w:space="0"/>
              <w:right w:val="single" w:color="000000" w:sz="8" w:space="0"/>
            </w:tcBorders>
            <w:noWrap w:val="0"/>
            <w:vAlign w:val="center"/>
          </w:tcPr>
          <w:p w14:paraId="525D4BAE">
            <w:pPr>
              <w:widowControl/>
              <w:shd w:val="clear"/>
              <w:jc w:val="left"/>
              <w:rPr>
                <w:rFonts w:ascii="宋体" w:hAnsi="宋体" w:cs="宋体"/>
                <w:color w:val="auto"/>
                <w:kern w:val="0"/>
                <w:sz w:val="20"/>
                <w:szCs w:val="20"/>
                <w:highlight w:val="none"/>
              </w:rPr>
            </w:pPr>
          </w:p>
        </w:tc>
        <w:tc>
          <w:tcPr>
            <w:tcW w:w="1650" w:type="dxa"/>
            <w:vMerge w:val="continue"/>
            <w:tcBorders>
              <w:top w:val="nil"/>
              <w:left w:val="single" w:color="000000" w:sz="8" w:space="0"/>
              <w:bottom w:val="single" w:color="000000" w:sz="8" w:space="0"/>
              <w:right w:val="single" w:color="000000" w:sz="8" w:space="0"/>
            </w:tcBorders>
            <w:noWrap w:val="0"/>
            <w:vAlign w:val="center"/>
          </w:tcPr>
          <w:p w14:paraId="3B17B174">
            <w:pPr>
              <w:widowControl/>
              <w:shd w:val="clear"/>
              <w:jc w:val="left"/>
              <w:rPr>
                <w:rFonts w:ascii="宋体" w:hAnsi="宋体" w:cs="宋体"/>
                <w:color w:val="auto"/>
                <w:kern w:val="0"/>
                <w:sz w:val="20"/>
                <w:szCs w:val="20"/>
                <w:highlight w:val="none"/>
              </w:rPr>
            </w:pPr>
          </w:p>
        </w:tc>
        <w:tc>
          <w:tcPr>
            <w:tcW w:w="1355" w:type="dxa"/>
            <w:tcBorders>
              <w:top w:val="nil"/>
              <w:left w:val="nil"/>
              <w:bottom w:val="single" w:color="000000" w:sz="8" w:space="0"/>
              <w:right w:val="single" w:color="000000" w:sz="8" w:space="0"/>
            </w:tcBorders>
            <w:noWrap w:val="0"/>
            <w:vAlign w:val="center"/>
          </w:tcPr>
          <w:p w14:paraId="0F526437">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多联式空调（热泵）机组（制冷量≤ 14000W）</w:t>
            </w:r>
          </w:p>
        </w:tc>
        <w:tc>
          <w:tcPr>
            <w:tcW w:w="4633" w:type="dxa"/>
            <w:tcBorders>
              <w:top w:val="nil"/>
              <w:left w:val="nil"/>
              <w:bottom w:val="single" w:color="000000" w:sz="8" w:space="0"/>
              <w:right w:val="single" w:color="000000" w:sz="8" w:space="0"/>
            </w:tcBorders>
            <w:noWrap w:val="0"/>
            <w:vAlign w:val="center"/>
          </w:tcPr>
          <w:p w14:paraId="5F799577">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《多联式空调（热泵）机组能效限定值及能源效率等级》（GB21454）</w:t>
            </w:r>
          </w:p>
        </w:tc>
      </w:tr>
      <w:tr w14:paraId="48E72C5C">
        <w:tblPrEx>
          <w:tblCellMar>
            <w:top w:w="0" w:type="dxa"/>
            <w:left w:w="108" w:type="dxa"/>
            <w:bottom w:w="0" w:type="dxa"/>
            <w:right w:w="108" w:type="dxa"/>
          </w:tblCellMar>
        </w:tblPrEx>
        <w:trPr>
          <w:trHeight w:val="735" w:hRule="atLeast"/>
        </w:trPr>
        <w:tc>
          <w:tcPr>
            <w:tcW w:w="770" w:type="dxa"/>
            <w:vMerge w:val="continue"/>
            <w:tcBorders>
              <w:top w:val="nil"/>
              <w:left w:val="single" w:color="000000" w:sz="8" w:space="0"/>
              <w:bottom w:val="single" w:color="000000" w:sz="8" w:space="0"/>
              <w:right w:val="single" w:color="000000" w:sz="8" w:space="0"/>
            </w:tcBorders>
            <w:noWrap w:val="0"/>
            <w:vAlign w:val="center"/>
          </w:tcPr>
          <w:p w14:paraId="3958DF33">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000000" w:sz="8" w:space="0"/>
              <w:bottom w:val="single" w:color="000000" w:sz="8" w:space="0"/>
              <w:right w:val="single" w:color="000000" w:sz="8" w:space="0"/>
            </w:tcBorders>
            <w:noWrap w:val="0"/>
            <w:vAlign w:val="center"/>
          </w:tcPr>
          <w:p w14:paraId="70011A49">
            <w:pPr>
              <w:widowControl/>
              <w:shd w:val="clear"/>
              <w:jc w:val="left"/>
              <w:rPr>
                <w:rFonts w:ascii="宋体" w:hAnsi="宋体" w:cs="宋体"/>
                <w:color w:val="auto"/>
                <w:kern w:val="0"/>
                <w:sz w:val="20"/>
                <w:szCs w:val="20"/>
                <w:highlight w:val="none"/>
              </w:rPr>
            </w:pPr>
          </w:p>
        </w:tc>
        <w:tc>
          <w:tcPr>
            <w:tcW w:w="1650" w:type="dxa"/>
            <w:vMerge w:val="continue"/>
            <w:tcBorders>
              <w:top w:val="nil"/>
              <w:left w:val="single" w:color="000000" w:sz="8" w:space="0"/>
              <w:bottom w:val="single" w:color="000000" w:sz="8" w:space="0"/>
              <w:right w:val="single" w:color="000000" w:sz="8" w:space="0"/>
            </w:tcBorders>
            <w:noWrap w:val="0"/>
            <w:vAlign w:val="center"/>
          </w:tcPr>
          <w:p w14:paraId="0B36F38A">
            <w:pPr>
              <w:widowControl/>
              <w:shd w:val="clear"/>
              <w:jc w:val="left"/>
              <w:rPr>
                <w:rFonts w:ascii="宋体" w:hAnsi="宋体" w:cs="宋体"/>
                <w:color w:val="auto"/>
                <w:kern w:val="0"/>
                <w:sz w:val="20"/>
                <w:szCs w:val="20"/>
                <w:highlight w:val="none"/>
              </w:rPr>
            </w:pPr>
          </w:p>
        </w:tc>
        <w:tc>
          <w:tcPr>
            <w:tcW w:w="1355" w:type="dxa"/>
            <w:tcBorders>
              <w:top w:val="nil"/>
              <w:left w:val="nil"/>
              <w:bottom w:val="single" w:color="000000" w:sz="8" w:space="0"/>
              <w:right w:val="single" w:color="000000" w:sz="8" w:space="0"/>
            </w:tcBorders>
            <w:noWrap w:val="0"/>
            <w:vAlign w:val="center"/>
          </w:tcPr>
          <w:p w14:paraId="34EA9713">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单元式空气调节机(制冷量≤14000W)</w:t>
            </w:r>
          </w:p>
        </w:tc>
        <w:tc>
          <w:tcPr>
            <w:tcW w:w="4633" w:type="dxa"/>
            <w:tcBorders>
              <w:top w:val="nil"/>
              <w:left w:val="nil"/>
              <w:bottom w:val="single" w:color="000000" w:sz="8" w:space="0"/>
              <w:right w:val="single" w:color="000000" w:sz="8" w:space="0"/>
            </w:tcBorders>
            <w:noWrap w:val="0"/>
            <w:vAlign w:val="center"/>
          </w:tcPr>
          <w:p w14:paraId="4B6A20AC">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《单元式空气调节机能效限定值及能源效率等级》（GB19576）《风管送风式空调机组能效限定值及能效等级》（GB37479）</w:t>
            </w:r>
          </w:p>
        </w:tc>
      </w:tr>
      <w:tr w14:paraId="1F91FB52">
        <w:tblPrEx>
          <w:tblCellMar>
            <w:top w:w="0" w:type="dxa"/>
            <w:left w:w="108" w:type="dxa"/>
            <w:bottom w:w="0" w:type="dxa"/>
            <w:right w:w="108" w:type="dxa"/>
          </w:tblCellMar>
        </w:tblPrEx>
        <w:trPr>
          <w:trHeight w:val="495" w:hRule="atLeast"/>
        </w:trPr>
        <w:tc>
          <w:tcPr>
            <w:tcW w:w="770" w:type="dxa"/>
            <w:vMerge w:val="continue"/>
            <w:tcBorders>
              <w:top w:val="nil"/>
              <w:left w:val="single" w:color="000000" w:sz="8" w:space="0"/>
              <w:bottom w:val="single" w:color="000000" w:sz="8" w:space="0"/>
              <w:right w:val="single" w:color="000000" w:sz="8" w:space="0"/>
            </w:tcBorders>
            <w:noWrap w:val="0"/>
            <w:vAlign w:val="center"/>
          </w:tcPr>
          <w:p w14:paraId="17399666">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000000" w:sz="8" w:space="0"/>
              <w:bottom w:val="single" w:color="000000" w:sz="8" w:space="0"/>
              <w:right w:val="single" w:color="000000" w:sz="8" w:space="0"/>
            </w:tcBorders>
            <w:noWrap w:val="0"/>
            <w:vAlign w:val="center"/>
          </w:tcPr>
          <w:p w14:paraId="0C3E76E6">
            <w:pPr>
              <w:widowControl/>
              <w:shd w:val="clear"/>
              <w:jc w:val="left"/>
              <w:rPr>
                <w:rFonts w:ascii="宋体" w:hAnsi="宋体" w:cs="宋体"/>
                <w:color w:val="auto"/>
                <w:kern w:val="0"/>
                <w:sz w:val="20"/>
                <w:szCs w:val="20"/>
                <w:highlight w:val="none"/>
              </w:rPr>
            </w:pPr>
          </w:p>
        </w:tc>
        <w:tc>
          <w:tcPr>
            <w:tcW w:w="1650" w:type="dxa"/>
            <w:tcBorders>
              <w:top w:val="nil"/>
              <w:left w:val="nil"/>
              <w:bottom w:val="single" w:color="000000" w:sz="8" w:space="0"/>
              <w:right w:val="single" w:color="000000" w:sz="8" w:space="0"/>
            </w:tcBorders>
            <w:noWrap w:val="0"/>
            <w:vAlign w:val="center"/>
          </w:tcPr>
          <w:p w14:paraId="780279B9">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A0206180301洗衣机</w:t>
            </w:r>
          </w:p>
        </w:tc>
        <w:tc>
          <w:tcPr>
            <w:tcW w:w="1355" w:type="dxa"/>
            <w:tcBorders>
              <w:top w:val="nil"/>
              <w:left w:val="nil"/>
              <w:bottom w:val="single" w:color="000000" w:sz="8" w:space="0"/>
              <w:right w:val="single" w:color="000000" w:sz="8" w:space="0"/>
            </w:tcBorders>
            <w:noWrap w:val="0"/>
            <w:vAlign w:val="center"/>
          </w:tcPr>
          <w:p w14:paraId="2B09FA00">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33" w:type="dxa"/>
            <w:tcBorders>
              <w:top w:val="nil"/>
              <w:left w:val="nil"/>
              <w:bottom w:val="single" w:color="000000" w:sz="8" w:space="0"/>
              <w:right w:val="single" w:color="000000" w:sz="8" w:space="0"/>
            </w:tcBorders>
            <w:noWrap w:val="0"/>
            <w:vAlign w:val="center"/>
          </w:tcPr>
          <w:p w14:paraId="3BF92941">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《电动洗衣机能效水效限定值及等级》（GB12021.4）</w:t>
            </w:r>
          </w:p>
        </w:tc>
      </w:tr>
      <w:tr w14:paraId="1414783E">
        <w:tblPrEx>
          <w:tblCellMar>
            <w:top w:w="0" w:type="dxa"/>
            <w:left w:w="108" w:type="dxa"/>
            <w:bottom w:w="0" w:type="dxa"/>
            <w:right w:w="108" w:type="dxa"/>
          </w:tblCellMar>
        </w:tblPrEx>
        <w:trPr>
          <w:trHeight w:val="495" w:hRule="atLeast"/>
        </w:trPr>
        <w:tc>
          <w:tcPr>
            <w:tcW w:w="770" w:type="dxa"/>
            <w:vMerge w:val="continue"/>
            <w:tcBorders>
              <w:top w:val="nil"/>
              <w:left w:val="single" w:color="000000" w:sz="8" w:space="0"/>
              <w:bottom w:val="single" w:color="000000" w:sz="8" w:space="0"/>
              <w:right w:val="single" w:color="000000" w:sz="8" w:space="0"/>
            </w:tcBorders>
            <w:noWrap w:val="0"/>
            <w:vAlign w:val="center"/>
          </w:tcPr>
          <w:p w14:paraId="29001F66">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000000" w:sz="8" w:space="0"/>
              <w:bottom w:val="single" w:color="000000" w:sz="8" w:space="0"/>
              <w:right w:val="single" w:color="000000" w:sz="8" w:space="0"/>
            </w:tcBorders>
            <w:noWrap w:val="0"/>
            <w:vAlign w:val="center"/>
          </w:tcPr>
          <w:p w14:paraId="348D85F6">
            <w:pPr>
              <w:widowControl/>
              <w:shd w:val="clear"/>
              <w:jc w:val="left"/>
              <w:rPr>
                <w:rFonts w:ascii="宋体" w:hAnsi="宋体" w:cs="宋体"/>
                <w:color w:val="auto"/>
                <w:kern w:val="0"/>
                <w:sz w:val="20"/>
                <w:szCs w:val="20"/>
                <w:highlight w:val="none"/>
              </w:rPr>
            </w:pPr>
          </w:p>
        </w:tc>
        <w:tc>
          <w:tcPr>
            <w:tcW w:w="1650" w:type="dxa"/>
            <w:vMerge w:val="restart"/>
            <w:tcBorders>
              <w:top w:val="nil"/>
              <w:left w:val="single" w:color="000000" w:sz="8" w:space="0"/>
              <w:bottom w:val="single" w:color="000000" w:sz="8" w:space="0"/>
              <w:right w:val="single" w:color="000000" w:sz="8" w:space="0"/>
            </w:tcBorders>
            <w:noWrap w:val="0"/>
            <w:vAlign w:val="center"/>
          </w:tcPr>
          <w:p w14:paraId="16BD0A49">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A02061808热水器</w:t>
            </w:r>
          </w:p>
        </w:tc>
        <w:tc>
          <w:tcPr>
            <w:tcW w:w="1355" w:type="dxa"/>
            <w:tcBorders>
              <w:top w:val="nil"/>
              <w:left w:val="nil"/>
              <w:bottom w:val="single" w:color="000000" w:sz="8" w:space="0"/>
              <w:right w:val="single" w:color="000000" w:sz="8" w:space="0"/>
            </w:tcBorders>
            <w:noWrap w:val="0"/>
            <w:vAlign w:val="center"/>
          </w:tcPr>
          <w:p w14:paraId="3EE0E0F1">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★电热水器</w:t>
            </w:r>
          </w:p>
        </w:tc>
        <w:tc>
          <w:tcPr>
            <w:tcW w:w="4633" w:type="dxa"/>
            <w:tcBorders>
              <w:top w:val="nil"/>
              <w:left w:val="nil"/>
              <w:bottom w:val="single" w:color="000000" w:sz="8" w:space="0"/>
              <w:right w:val="single" w:color="000000" w:sz="8" w:space="0"/>
            </w:tcBorders>
            <w:noWrap w:val="0"/>
            <w:vAlign w:val="center"/>
          </w:tcPr>
          <w:p w14:paraId="4D4CCEC9">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《储水式电热水器能效限定值及能效等级》（GB21519）</w:t>
            </w:r>
          </w:p>
        </w:tc>
      </w:tr>
      <w:tr w14:paraId="06EE1A40">
        <w:tblPrEx>
          <w:tblCellMar>
            <w:top w:w="0" w:type="dxa"/>
            <w:left w:w="108" w:type="dxa"/>
            <w:bottom w:w="0" w:type="dxa"/>
            <w:right w:w="108" w:type="dxa"/>
          </w:tblCellMar>
        </w:tblPrEx>
        <w:trPr>
          <w:trHeight w:val="495" w:hRule="atLeast"/>
        </w:trPr>
        <w:tc>
          <w:tcPr>
            <w:tcW w:w="770" w:type="dxa"/>
            <w:vMerge w:val="continue"/>
            <w:tcBorders>
              <w:top w:val="nil"/>
              <w:left w:val="single" w:color="000000" w:sz="8" w:space="0"/>
              <w:bottom w:val="single" w:color="000000" w:sz="8" w:space="0"/>
              <w:right w:val="single" w:color="000000" w:sz="8" w:space="0"/>
            </w:tcBorders>
            <w:noWrap w:val="0"/>
            <w:vAlign w:val="center"/>
          </w:tcPr>
          <w:p w14:paraId="33495395">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000000" w:sz="8" w:space="0"/>
              <w:bottom w:val="single" w:color="000000" w:sz="8" w:space="0"/>
              <w:right w:val="single" w:color="000000" w:sz="8" w:space="0"/>
            </w:tcBorders>
            <w:noWrap w:val="0"/>
            <w:vAlign w:val="center"/>
          </w:tcPr>
          <w:p w14:paraId="214B3F72">
            <w:pPr>
              <w:widowControl/>
              <w:shd w:val="clear"/>
              <w:jc w:val="left"/>
              <w:rPr>
                <w:rFonts w:ascii="宋体" w:hAnsi="宋体" w:cs="宋体"/>
                <w:color w:val="auto"/>
                <w:kern w:val="0"/>
                <w:sz w:val="20"/>
                <w:szCs w:val="20"/>
                <w:highlight w:val="none"/>
              </w:rPr>
            </w:pPr>
          </w:p>
        </w:tc>
        <w:tc>
          <w:tcPr>
            <w:tcW w:w="1650" w:type="dxa"/>
            <w:vMerge w:val="continue"/>
            <w:tcBorders>
              <w:top w:val="nil"/>
              <w:left w:val="single" w:color="000000" w:sz="8" w:space="0"/>
              <w:bottom w:val="single" w:color="000000" w:sz="8" w:space="0"/>
              <w:right w:val="single" w:color="000000" w:sz="8" w:space="0"/>
            </w:tcBorders>
            <w:noWrap w:val="0"/>
            <w:vAlign w:val="center"/>
          </w:tcPr>
          <w:p w14:paraId="15883E44">
            <w:pPr>
              <w:widowControl/>
              <w:shd w:val="clear"/>
              <w:jc w:val="left"/>
              <w:rPr>
                <w:rFonts w:ascii="宋体" w:hAnsi="宋体" w:cs="宋体"/>
                <w:color w:val="auto"/>
                <w:kern w:val="0"/>
                <w:sz w:val="20"/>
                <w:szCs w:val="20"/>
                <w:highlight w:val="none"/>
              </w:rPr>
            </w:pPr>
          </w:p>
        </w:tc>
        <w:tc>
          <w:tcPr>
            <w:tcW w:w="1355" w:type="dxa"/>
            <w:tcBorders>
              <w:top w:val="nil"/>
              <w:left w:val="nil"/>
              <w:bottom w:val="single" w:color="000000" w:sz="8" w:space="0"/>
              <w:right w:val="single" w:color="000000" w:sz="8" w:space="0"/>
            </w:tcBorders>
            <w:noWrap w:val="0"/>
            <w:vAlign w:val="center"/>
          </w:tcPr>
          <w:p w14:paraId="0697C78C">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燃气热水器</w:t>
            </w:r>
          </w:p>
        </w:tc>
        <w:tc>
          <w:tcPr>
            <w:tcW w:w="4633" w:type="dxa"/>
            <w:tcBorders>
              <w:top w:val="nil"/>
              <w:left w:val="nil"/>
              <w:bottom w:val="single" w:color="000000" w:sz="8" w:space="0"/>
              <w:right w:val="single" w:color="000000" w:sz="8" w:space="0"/>
            </w:tcBorders>
            <w:noWrap w:val="0"/>
            <w:vAlign w:val="center"/>
          </w:tcPr>
          <w:p w14:paraId="08D02CEA">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《家用燃气快速热水器和燃气采暖热水炉能效限定值及能效等级》（GB20665）</w:t>
            </w:r>
          </w:p>
        </w:tc>
      </w:tr>
      <w:tr w14:paraId="29855DBA">
        <w:tblPrEx>
          <w:tblCellMar>
            <w:top w:w="0" w:type="dxa"/>
            <w:left w:w="108" w:type="dxa"/>
            <w:bottom w:w="0" w:type="dxa"/>
            <w:right w:w="108" w:type="dxa"/>
          </w:tblCellMar>
        </w:tblPrEx>
        <w:trPr>
          <w:trHeight w:val="495" w:hRule="atLeast"/>
        </w:trPr>
        <w:tc>
          <w:tcPr>
            <w:tcW w:w="770" w:type="dxa"/>
            <w:vMerge w:val="continue"/>
            <w:tcBorders>
              <w:top w:val="nil"/>
              <w:left w:val="single" w:color="000000" w:sz="8" w:space="0"/>
              <w:bottom w:val="single" w:color="000000" w:sz="8" w:space="0"/>
              <w:right w:val="single" w:color="000000" w:sz="8" w:space="0"/>
            </w:tcBorders>
            <w:noWrap w:val="0"/>
            <w:vAlign w:val="center"/>
          </w:tcPr>
          <w:p w14:paraId="25209D11">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000000" w:sz="8" w:space="0"/>
              <w:bottom w:val="single" w:color="000000" w:sz="8" w:space="0"/>
              <w:right w:val="single" w:color="000000" w:sz="8" w:space="0"/>
            </w:tcBorders>
            <w:noWrap w:val="0"/>
            <w:vAlign w:val="center"/>
          </w:tcPr>
          <w:p w14:paraId="252DF77C">
            <w:pPr>
              <w:widowControl/>
              <w:shd w:val="clear"/>
              <w:jc w:val="left"/>
              <w:rPr>
                <w:rFonts w:ascii="宋体" w:hAnsi="宋体" w:cs="宋体"/>
                <w:color w:val="auto"/>
                <w:kern w:val="0"/>
                <w:sz w:val="20"/>
                <w:szCs w:val="20"/>
                <w:highlight w:val="none"/>
              </w:rPr>
            </w:pPr>
          </w:p>
        </w:tc>
        <w:tc>
          <w:tcPr>
            <w:tcW w:w="1650" w:type="dxa"/>
            <w:vMerge w:val="continue"/>
            <w:tcBorders>
              <w:top w:val="nil"/>
              <w:left w:val="single" w:color="000000" w:sz="8" w:space="0"/>
              <w:bottom w:val="single" w:color="000000" w:sz="8" w:space="0"/>
              <w:right w:val="single" w:color="000000" w:sz="8" w:space="0"/>
            </w:tcBorders>
            <w:noWrap w:val="0"/>
            <w:vAlign w:val="center"/>
          </w:tcPr>
          <w:p w14:paraId="6BBFD893">
            <w:pPr>
              <w:widowControl/>
              <w:shd w:val="clear"/>
              <w:jc w:val="left"/>
              <w:rPr>
                <w:rFonts w:ascii="宋体" w:hAnsi="宋体" w:cs="宋体"/>
                <w:color w:val="auto"/>
                <w:kern w:val="0"/>
                <w:sz w:val="20"/>
                <w:szCs w:val="20"/>
                <w:highlight w:val="none"/>
              </w:rPr>
            </w:pPr>
          </w:p>
        </w:tc>
        <w:tc>
          <w:tcPr>
            <w:tcW w:w="1355" w:type="dxa"/>
            <w:tcBorders>
              <w:top w:val="nil"/>
              <w:left w:val="nil"/>
              <w:bottom w:val="single" w:color="000000" w:sz="8" w:space="0"/>
              <w:right w:val="single" w:color="000000" w:sz="8" w:space="0"/>
            </w:tcBorders>
            <w:noWrap w:val="0"/>
            <w:vAlign w:val="center"/>
          </w:tcPr>
          <w:p w14:paraId="070C1537">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热泵热水器</w:t>
            </w:r>
          </w:p>
        </w:tc>
        <w:tc>
          <w:tcPr>
            <w:tcW w:w="4633" w:type="dxa"/>
            <w:tcBorders>
              <w:top w:val="nil"/>
              <w:left w:val="nil"/>
              <w:bottom w:val="single" w:color="000000" w:sz="8" w:space="0"/>
              <w:right w:val="single" w:color="000000" w:sz="8" w:space="0"/>
            </w:tcBorders>
            <w:noWrap w:val="0"/>
            <w:vAlign w:val="center"/>
          </w:tcPr>
          <w:p w14:paraId="5F390134">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《热泵热水机（器）能效限定值及能效等级》（GB29541）</w:t>
            </w:r>
          </w:p>
        </w:tc>
      </w:tr>
      <w:tr w14:paraId="6E94FBDD">
        <w:tblPrEx>
          <w:tblCellMar>
            <w:top w:w="0" w:type="dxa"/>
            <w:left w:w="108" w:type="dxa"/>
            <w:bottom w:w="0" w:type="dxa"/>
            <w:right w:w="108" w:type="dxa"/>
          </w:tblCellMar>
        </w:tblPrEx>
        <w:trPr>
          <w:trHeight w:val="495" w:hRule="atLeast"/>
        </w:trPr>
        <w:tc>
          <w:tcPr>
            <w:tcW w:w="770" w:type="dxa"/>
            <w:vMerge w:val="continue"/>
            <w:tcBorders>
              <w:top w:val="nil"/>
              <w:left w:val="single" w:color="000000" w:sz="8" w:space="0"/>
              <w:bottom w:val="single" w:color="000000" w:sz="8" w:space="0"/>
              <w:right w:val="single" w:color="000000" w:sz="8" w:space="0"/>
            </w:tcBorders>
            <w:noWrap w:val="0"/>
            <w:vAlign w:val="center"/>
          </w:tcPr>
          <w:p w14:paraId="6B063494">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000000" w:sz="8" w:space="0"/>
              <w:bottom w:val="single" w:color="000000" w:sz="8" w:space="0"/>
              <w:right w:val="single" w:color="000000" w:sz="8" w:space="0"/>
            </w:tcBorders>
            <w:noWrap w:val="0"/>
            <w:vAlign w:val="center"/>
          </w:tcPr>
          <w:p w14:paraId="4BF4D61D">
            <w:pPr>
              <w:widowControl/>
              <w:shd w:val="clear"/>
              <w:jc w:val="left"/>
              <w:rPr>
                <w:rFonts w:ascii="宋体" w:hAnsi="宋体" w:cs="宋体"/>
                <w:color w:val="auto"/>
                <w:kern w:val="0"/>
                <w:sz w:val="20"/>
                <w:szCs w:val="20"/>
                <w:highlight w:val="none"/>
              </w:rPr>
            </w:pPr>
          </w:p>
        </w:tc>
        <w:tc>
          <w:tcPr>
            <w:tcW w:w="1650" w:type="dxa"/>
            <w:vMerge w:val="continue"/>
            <w:tcBorders>
              <w:top w:val="nil"/>
              <w:left w:val="single" w:color="000000" w:sz="8" w:space="0"/>
              <w:bottom w:val="single" w:color="000000" w:sz="8" w:space="0"/>
              <w:right w:val="single" w:color="000000" w:sz="8" w:space="0"/>
            </w:tcBorders>
            <w:noWrap w:val="0"/>
            <w:vAlign w:val="center"/>
          </w:tcPr>
          <w:p w14:paraId="38501648">
            <w:pPr>
              <w:widowControl/>
              <w:shd w:val="clear"/>
              <w:jc w:val="left"/>
              <w:rPr>
                <w:rFonts w:ascii="宋体" w:hAnsi="宋体" w:cs="宋体"/>
                <w:color w:val="auto"/>
                <w:kern w:val="0"/>
                <w:sz w:val="20"/>
                <w:szCs w:val="20"/>
                <w:highlight w:val="none"/>
              </w:rPr>
            </w:pPr>
          </w:p>
        </w:tc>
        <w:tc>
          <w:tcPr>
            <w:tcW w:w="1355" w:type="dxa"/>
            <w:tcBorders>
              <w:top w:val="nil"/>
              <w:left w:val="nil"/>
              <w:bottom w:val="single" w:color="000000" w:sz="8" w:space="0"/>
              <w:right w:val="single" w:color="000000" w:sz="8" w:space="0"/>
            </w:tcBorders>
            <w:noWrap w:val="0"/>
            <w:vAlign w:val="center"/>
          </w:tcPr>
          <w:p w14:paraId="206B5464">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太阳能热水系统</w:t>
            </w:r>
          </w:p>
        </w:tc>
        <w:tc>
          <w:tcPr>
            <w:tcW w:w="4633" w:type="dxa"/>
            <w:tcBorders>
              <w:top w:val="nil"/>
              <w:left w:val="nil"/>
              <w:bottom w:val="single" w:color="000000" w:sz="8" w:space="0"/>
              <w:right w:val="single" w:color="000000" w:sz="8" w:space="0"/>
            </w:tcBorders>
            <w:noWrap w:val="0"/>
            <w:vAlign w:val="center"/>
          </w:tcPr>
          <w:p w14:paraId="13759595">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《家用太阳能热水系统能效限定值及能效等级》（GB26969）</w:t>
            </w:r>
          </w:p>
        </w:tc>
      </w:tr>
      <w:tr w14:paraId="59D19576">
        <w:tblPrEx>
          <w:tblCellMar>
            <w:top w:w="0" w:type="dxa"/>
            <w:left w:w="108" w:type="dxa"/>
            <w:bottom w:w="0" w:type="dxa"/>
            <w:right w:w="108" w:type="dxa"/>
          </w:tblCellMar>
        </w:tblPrEx>
        <w:trPr>
          <w:trHeight w:val="495" w:hRule="atLeast"/>
        </w:trPr>
        <w:tc>
          <w:tcPr>
            <w:tcW w:w="770" w:type="dxa"/>
            <w:vMerge w:val="restart"/>
            <w:tcBorders>
              <w:top w:val="nil"/>
              <w:left w:val="single" w:color="auto" w:sz="8" w:space="0"/>
              <w:bottom w:val="single" w:color="auto" w:sz="8" w:space="0"/>
              <w:right w:val="single" w:color="auto" w:sz="8" w:space="0"/>
            </w:tcBorders>
            <w:noWrap w:val="0"/>
            <w:vAlign w:val="center"/>
          </w:tcPr>
          <w:p w14:paraId="349B1DA0">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w:t>
            </w:r>
          </w:p>
        </w:tc>
        <w:tc>
          <w:tcPr>
            <w:tcW w:w="1110" w:type="dxa"/>
            <w:vMerge w:val="restart"/>
            <w:tcBorders>
              <w:top w:val="nil"/>
              <w:left w:val="single" w:color="auto" w:sz="8" w:space="0"/>
              <w:bottom w:val="single" w:color="auto" w:sz="8" w:space="0"/>
              <w:right w:val="single" w:color="auto" w:sz="8" w:space="0"/>
            </w:tcBorders>
            <w:noWrap w:val="0"/>
            <w:vAlign w:val="center"/>
          </w:tcPr>
          <w:p w14:paraId="48952758">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A020619照明设备</w:t>
            </w:r>
          </w:p>
        </w:tc>
        <w:tc>
          <w:tcPr>
            <w:tcW w:w="1650" w:type="dxa"/>
            <w:tcBorders>
              <w:top w:val="nil"/>
              <w:left w:val="nil"/>
              <w:bottom w:val="single" w:color="auto" w:sz="8" w:space="0"/>
              <w:right w:val="single" w:color="auto" w:sz="8" w:space="0"/>
            </w:tcBorders>
            <w:noWrap w:val="0"/>
            <w:vAlign w:val="center"/>
          </w:tcPr>
          <w:p w14:paraId="71CEBEF4">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★普通照明用双端荧光灯</w:t>
            </w:r>
          </w:p>
        </w:tc>
        <w:tc>
          <w:tcPr>
            <w:tcW w:w="1355" w:type="dxa"/>
            <w:tcBorders>
              <w:top w:val="nil"/>
              <w:left w:val="nil"/>
              <w:bottom w:val="single" w:color="auto" w:sz="8" w:space="0"/>
              <w:right w:val="single" w:color="auto" w:sz="8" w:space="0"/>
            </w:tcBorders>
            <w:noWrap w:val="0"/>
            <w:vAlign w:val="center"/>
          </w:tcPr>
          <w:p w14:paraId="236C0A35">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33" w:type="dxa"/>
            <w:tcBorders>
              <w:top w:val="nil"/>
              <w:left w:val="nil"/>
              <w:bottom w:val="single" w:color="auto" w:sz="8" w:space="0"/>
              <w:right w:val="single" w:color="auto" w:sz="8" w:space="0"/>
            </w:tcBorders>
            <w:noWrap w:val="0"/>
            <w:vAlign w:val="center"/>
          </w:tcPr>
          <w:p w14:paraId="3D4B69E2">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《普通照明用双端荧光灯能效限定值及能效等级》（GB19043）</w:t>
            </w:r>
          </w:p>
        </w:tc>
      </w:tr>
      <w:tr w14:paraId="59344AC7">
        <w:tblPrEx>
          <w:tblCellMar>
            <w:top w:w="0" w:type="dxa"/>
            <w:left w:w="108" w:type="dxa"/>
            <w:bottom w:w="0" w:type="dxa"/>
            <w:right w:w="108" w:type="dxa"/>
          </w:tblCellMar>
        </w:tblPrEx>
        <w:trPr>
          <w:trHeight w:val="495" w:hRule="atLeast"/>
        </w:trPr>
        <w:tc>
          <w:tcPr>
            <w:tcW w:w="770" w:type="dxa"/>
            <w:vMerge w:val="continue"/>
            <w:tcBorders>
              <w:top w:val="nil"/>
              <w:left w:val="single" w:color="auto" w:sz="8" w:space="0"/>
              <w:bottom w:val="single" w:color="auto" w:sz="8" w:space="0"/>
              <w:right w:val="single" w:color="auto" w:sz="8" w:space="0"/>
            </w:tcBorders>
            <w:noWrap w:val="0"/>
            <w:vAlign w:val="center"/>
          </w:tcPr>
          <w:p w14:paraId="1FBE9368">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auto" w:sz="8" w:space="0"/>
              <w:bottom w:val="single" w:color="auto" w:sz="8" w:space="0"/>
              <w:right w:val="single" w:color="auto" w:sz="8" w:space="0"/>
            </w:tcBorders>
            <w:noWrap w:val="0"/>
            <w:vAlign w:val="center"/>
          </w:tcPr>
          <w:p w14:paraId="2C0D1678">
            <w:pPr>
              <w:widowControl/>
              <w:shd w:val="clear"/>
              <w:jc w:val="left"/>
              <w:rPr>
                <w:rFonts w:ascii="宋体" w:hAnsi="宋体" w:cs="宋体"/>
                <w:color w:val="auto"/>
                <w:kern w:val="0"/>
                <w:sz w:val="20"/>
                <w:szCs w:val="20"/>
                <w:highlight w:val="none"/>
              </w:rPr>
            </w:pPr>
          </w:p>
        </w:tc>
        <w:tc>
          <w:tcPr>
            <w:tcW w:w="1650" w:type="dxa"/>
            <w:tcBorders>
              <w:top w:val="nil"/>
              <w:left w:val="nil"/>
              <w:bottom w:val="single" w:color="auto" w:sz="8" w:space="0"/>
              <w:right w:val="single" w:color="auto" w:sz="8" w:space="0"/>
            </w:tcBorders>
            <w:noWrap w:val="0"/>
            <w:vAlign w:val="center"/>
          </w:tcPr>
          <w:p w14:paraId="4B2BBF82">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LED道路/隧道照明产品</w:t>
            </w:r>
          </w:p>
        </w:tc>
        <w:tc>
          <w:tcPr>
            <w:tcW w:w="1355" w:type="dxa"/>
            <w:tcBorders>
              <w:top w:val="nil"/>
              <w:left w:val="nil"/>
              <w:bottom w:val="single" w:color="auto" w:sz="8" w:space="0"/>
              <w:right w:val="single" w:color="auto" w:sz="8" w:space="0"/>
            </w:tcBorders>
            <w:noWrap w:val="0"/>
            <w:vAlign w:val="center"/>
          </w:tcPr>
          <w:p w14:paraId="64A6054D">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33" w:type="dxa"/>
            <w:tcBorders>
              <w:top w:val="nil"/>
              <w:left w:val="nil"/>
              <w:bottom w:val="single" w:color="auto" w:sz="8" w:space="0"/>
              <w:right w:val="single" w:color="auto" w:sz="8" w:space="0"/>
            </w:tcBorders>
            <w:noWrap w:val="0"/>
            <w:vAlign w:val="center"/>
          </w:tcPr>
          <w:p w14:paraId="30A322E8">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《道路和隧道照明用LED灯具能效限定值及能效等级》（GB37478）</w:t>
            </w:r>
          </w:p>
        </w:tc>
      </w:tr>
      <w:tr w14:paraId="342F36E2">
        <w:tblPrEx>
          <w:tblCellMar>
            <w:top w:w="0" w:type="dxa"/>
            <w:left w:w="108" w:type="dxa"/>
            <w:bottom w:w="0" w:type="dxa"/>
            <w:right w:w="108" w:type="dxa"/>
          </w:tblCellMar>
        </w:tblPrEx>
        <w:trPr>
          <w:trHeight w:val="495" w:hRule="atLeast"/>
        </w:trPr>
        <w:tc>
          <w:tcPr>
            <w:tcW w:w="770" w:type="dxa"/>
            <w:vMerge w:val="continue"/>
            <w:tcBorders>
              <w:top w:val="nil"/>
              <w:left w:val="single" w:color="auto" w:sz="8" w:space="0"/>
              <w:bottom w:val="single" w:color="auto" w:sz="8" w:space="0"/>
              <w:right w:val="single" w:color="auto" w:sz="8" w:space="0"/>
            </w:tcBorders>
            <w:noWrap w:val="0"/>
            <w:vAlign w:val="center"/>
          </w:tcPr>
          <w:p w14:paraId="1F9CBDC0">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auto" w:sz="8" w:space="0"/>
              <w:bottom w:val="single" w:color="auto" w:sz="8" w:space="0"/>
              <w:right w:val="single" w:color="auto" w:sz="8" w:space="0"/>
            </w:tcBorders>
            <w:noWrap w:val="0"/>
            <w:vAlign w:val="center"/>
          </w:tcPr>
          <w:p w14:paraId="255F13F7">
            <w:pPr>
              <w:widowControl/>
              <w:shd w:val="clear"/>
              <w:jc w:val="left"/>
              <w:rPr>
                <w:rFonts w:ascii="宋体" w:hAnsi="宋体" w:cs="宋体"/>
                <w:color w:val="auto"/>
                <w:kern w:val="0"/>
                <w:sz w:val="20"/>
                <w:szCs w:val="20"/>
                <w:highlight w:val="none"/>
              </w:rPr>
            </w:pPr>
          </w:p>
        </w:tc>
        <w:tc>
          <w:tcPr>
            <w:tcW w:w="1650" w:type="dxa"/>
            <w:tcBorders>
              <w:top w:val="nil"/>
              <w:left w:val="nil"/>
              <w:bottom w:val="single" w:color="auto" w:sz="8" w:space="0"/>
              <w:right w:val="single" w:color="auto" w:sz="8" w:space="0"/>
            </w:tcBorders>
            <w:noWrap w:val="0"/>
            <w:vAlign w:val="center"/>
          </w:tcPr>
          <w:p w14:paraId="02A4B8A5">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LED筒灯</w:t>
            </w:r>
          </w:p>
        </w:tc>
        <w:tc>
          <w:tcPr>
            <w:tcW w:w="1355" w:type="dxa"/>
            <w:tcBorders>
              <w:top w:val="nil"/>
              <w:left w:val="nil"/>
              <w:bottom w:val="single" w:color="auto" w:sz="8" w:space="0"/>
              <w:right w:val="single" w:color="auto" w:sz="8" w:space="0"/>
            </w:tcBorders>
            <w:noWrap w:val="0"/>
            <w:vAlign w:val="center"/>
          </w:tcPr>
          <w:p w14:paraId="61B54067">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33" w:type="dxa"/>
            <w:tcBorders>
              <w:top w:val="nil"/>
              <w:left w:val="nil"/>
              <w:bottom w:val="single" w:color="auto" w:sz="8" w:space="0"/>
              <w:right w:val="single" w:color="auto" w:sz="8" w:space="0"/>
            </w:tcBorders>
            <w:noWrap w:val="0"/>
            <w:vAlign w:val="center"/>
          </w:tcPr>
          <w:p w14:paraId="7403956C">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《室内照明用LED产品能效限定值及能效等级》（GB30255）</w:t>
            </w:r>
          </w:p>
        </w:tc>
      </w:tr>
      <w:tr w14:paraId="061160AC">
        <w:tblPrEx>
          <w:tblCellMar>
            <w:top w:w="0" w:type="dxa"/>
            <w:left w:w="108" w:type="dxa"/>
            <w:bottom w:w="0" w:type="dxa"/>
            <w:right w:w="108" w:type="dxa"/>
          </w:tblCellMar>
        </w:tblPrEx>
        <w:trPr>
          <w:trHeight w:val="735" w:hRule="atLeast"/>
        </w:trPr>
        <w:tc>
          <w:tcPr>
            <w:tcW w:w="770" w:type="dxa"/>
            <w:vMerge w:val="continue"/>
            <w:tcBorders>
              <w:top w:val="nil"/>
              <w:left w:val="single" w:color="auto" w:sz="8" w:space="0"/>
              <w:bottom w:val="single" w:color="auto" w:sz="8" w:space="0"/>
              <w:right w:val="single" w:color="auto" w:sz="8" w:space="0"/>
            </w:tcBorders>
            <w:noWrap w:val="0"/>
            <w:vAlign w:val="center"/>
          </w:tcPr>
          <w:p w14:paraId="2D68FE1E">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auto" w:sz="8" w:space="0"/>
              <w:bottom w:val="single" w:color="auto" w:sz="8" w:space="0"/>
              <w:right w:val="single" w:color="auto" w:sz="8" w:space="0"/>
            </w:tcBorders>
            <w:noWrap w:val="0"/>
            <w:vAlign w:val="center"/>
          </w:tcPr>
          <w:p w14:paraId="39AEC219">
            <w:pPr>
              <w:widowControl/>
              <w:shd w:val="clear"/>
              <w:jc w:val="left"/>
              <w:rPr>
                <w:rFonts w:ascii="宋体" w:hAnsi="宋体" w:cs="宋体"/>
                <w:color w:val="auto"/>
                <w:kern w:val="0"/>
                <w:sz w:val="20"/>
                <w:szCs w:val="20"/>
                <w:highlight w:val="none"/>
              </w:rPr>
            </w:pPr>
          </w:p>
        </w:tc>
        <w:tc>
          <w:tcPr>
            <w:tcW w:w="1650" w:type="dxa"/>
            <w:tcBorders>
              <w:top w:val="nil"/>
              <w:left w:val="nil"/>
              <w:bottom w:val="single" w:color="auto" w:sz="8" w:space="0"/>
              <w:right w:val="single" w:color="auto" w:sz="8" w:space="0"/>
            </w:tcBorders>
            <w:noWrap w:val="0"/>
            <w:vAlign w:val="center"/>
          </w:tcPr>
          <w:p w14:paraId="26FB7EAA">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普通照明用非定向自镇流LED灯</w:t>
            </w:r>
          </w:p>
        </w:tc>
        <w:tc>
          <w:tcPr>
            <w:tcW w:w="1355" w:type="dxa"/>
            <w:tcBorders>
              <w:top w:val="nil"/>
              <w:left w:val="nil"/>
              <w:bottom w:val="single" w:color="auto" w:sz="8" w:space="0"/>
              <w:right w:val="single" w:color="auto" w:sz="8" w:space="0"/>
            </w:tcBorders>
            <w:noWrap w:val="0"/>
            <w:vAlign w:val="center"/>
          </w:tcPr>
          <w:p w14:paraId="5394B0C4">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33" w:type="dxa"/>
            <w:tcBorders>
              <w:top w:val="nil"/>
              <w:left w:val="nil"/>
              <w:bottom w:val="single" w:color="auto" w:sz="8" w:space="0"/>
              <w:right w:val="single" w:color="auto" w:sz="8" w:space="0"/>
            </w:tcBorders>
            <w:noWrap w:val="0"/>
            <w:vAlign w:val="center"/>
          </w:tcPr>
          <w:p w14:paraId="0D7DB2C6">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《室内照明用LED产品能效限定值及能效等级》（GB30255）</w:t>
            </w:r>
          </w:p>
        </w:tc>
      </w:tr>
      <w:tr w14:paraId="06ED7025">
        <w:tblPrEx>
          <w:tblCellMar>
            <w:top w:w="0" w:type="dxa"/>
            <w:left w:w="108" w:type="dxa"/>
            <w:bottom w:w="0" w:type="dxa"/>
            <w:right w:w="108" w:type="dxa"/>
          </w:tblCellMar>
        </w:tblPrEx>
        <w:trPr>
          <w:trHeight w:val="735" w:hRule="atLeast"/>
        </w:trPr>
        <w:tc>
          <w:tcPr>
            <w:tcW w:w="770" w:type="dxa"/>
            <w:tcBorders>
              <w:top w:val="nil"/>
              <w:left w:val="single" w:color="auto" w:sz="8" w:space="0"/>
              <w:bottom w:val="single" w:color="auto" w:sz="8" w:space="0"/>
              <w:right w:val="single" w:color="auto" w:sz="8" w:space="0"/>
            </w:tcBorders>
            <w:noWrap w:val="0"/>
            <w:vAlign w:val="center"/>
          </w:tcPr>
          <w:p w14:paraId="73D842C4">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w:t>
            </w:r>
          </w:p>
        </w:tc>
        <w:tc>
          <w:tcPr>
            <w:tcW w:w="1110" w:type="dxa"/>
            <w:tcBorders>
              <w:top w:val="nil"/>
              <w:left w:val="nil"/>
              <w:bottom w:val="single" w:color="auto" w:sz="8" w:space="0"/>
              <w:right w:val="single" w:color="auto" w:sz="8" w:space="0"/>
            </w:tcBorders>
            <w:noWrap w:val="0"/>
            <w:vAlign w:val="center"/>
          </w:tcPr>
          <w:p w14:paraId="3117995E">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★A020910电视设备</w:t>
            </w:r>
          </w:p>
        </w:tc>
        <w:tc>
          <w:tcPr>
            <w:tcW w:w="1650" w:type="dxa"/>
            <w:tcBorders>
              <w:top w:val="nil"/>
              <w:left w:val="nil"/>
              <w:bottom w:val="single" w:color="auto" w:sz="8" w:space="0"/>
              <w:right w:val="single" w:color="auto" w:sz="8" w:space="0"/>
            </w:tcBorders>
            <w:noWrap w:val="0"/>
            <w:vAlign w:val="center"/>
          </w:tcPr>
          <w:p w14:paraId="132F1AE9">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A02091001普通电视设备（电视机）</w:t>
            </w:r>
          </w:p>
        </w:tc>
        <w:tc>
          <w:tcPr>
            <w:tcW w:w="1355" w:type="dxa"/>
            <w:tcBorders>
              <w:top w:val="nil"/>
              <w:left w:val="nil"/>
              <w:bottom w:val="single" w:color="auto" w:sz="8" w:space="0"/>
              <w:right w:val="single" w:color="auto" w:sz="8" w:space="0"/>
            </w:tcBorders>
            <w:noWrap w:val="0"/>
            <w:vAlign w:val="center"/>
          </w:tcPr>
          <w:p w14:paraId="2CBEE7A1">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33" w:type="dxa"/>
            <w:tcBorders>
              <w:top w:val="nil"/>
              <w:left w:val="nil"/>
              <w:bottom w:val="single" w:color="auto" w:sz="8" w:space="0"/>
              <w:right w:val="single" w:color="auto" w:sz="8" w:space="0"/>
            </w:tcBorders>
            <w:noWrap w:val="0"/>
            <w:vAlign w:val="center"/>
          </w:tcPr>
          <w:p w14:paraId="0E865D20">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《平板电视能效限定值及能效等级》（GB24850）</w:t>
            </w:r>
          </w:p>
        </w:tc>
      </w:tr>
      <w:tr w14:paraId="090A9331">
        <w:tblPrEx>
          <w:tblCellMar>
            <w:top w:w="0" w:type="dxa"/>
            <w:left w:w="108" w:type="dxa"/>
            <w:bottom w:w="0" w:type="dxa"/>
            <w:right w:w="108" w:type="dxa"/>
          </w:tblCellMar>
        </w:tblPrEx>
        <w:trPr>
          <w:trHeight w:val="975" w:hRule="atLeast"/>
        </w:trPr>
        <w:tc>
          <w:tcPr>
            <w:tcW w:w="770" w:type="dxa"/>
            <w:tcBorders>
              <w:top w:val="nil"/>
              <w:left w:val="single" w:color="auto" w:sz="8" w:space="0"/>
              <w:bottom w:val="single" w:color="auto" w:sz="8" w:space="0"/>
              <w:right w:val="single" w:color="auto" w:sz="8" w:space="0"/>
            </w:tcBorders>
            <w:noWrap w:val="0"/>
            <w:vAlign w:val="center"/>
          </w:tcPr>
          <w:p w14:paraId="28F806DD">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13</w:t>
            </w:r>
          </w:p>
        </w:tc>
        <w:tc>
          <w:tcPr>
            <w:tcW w:w="1110" w:type="dxa"/>
            <w:tcBorders>
              <w:top w:val="nil"/>
              <w:left w:val="nil"/>
              <w:bottom w:val="single" w:color="auto" w:sz="8" w:space="0"/>
              <w:right w:val="single" w:color="auto" w:sz="8" w:space="0"/>
            </w:tcBorders>
            <w:noWrap w:val="0"/>
            <w:vAlign w:val="center"/>
          </w:tcPr>
          <w:p w14:paraId="48368FD8">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★A020911视频设备</w:t>
            </w:r>
          </w:p>
        </w:tc>
        <w:tc>
          <w:tcPr>
            <w:tcW w:w="1650" w:type="dxa"/>
            <w:tcBorders>
              <w:top w:val="nil"/>
              <w:left w:val="nil"/>
              <w:bottom w:val="single" w:color="auto" w:sz="8" w:space="0"/>
              <w:right w:val="single" w:color="auto" w:sz="8" w:space="0"/>
            </w:tcBorders>
            <w:noWrap w:val="0"/>
            <w:vAlign w:val="center"/>
          </w:tcPr>
          <w:p w14:paraId="55713818">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A02091107视频监控设备</w:t>
            </w:r>
          </w:p>
        </w:tc>
        <w:tc>
          <w:tcPr>
            <w:tcW w:w="1355" w:type="dxa"/>
            <w:tcBorders>
              <w:top w:val="nil"/>
              <w:left w:val="nil"/>
              <w:bottom w:val="single" w:color="auto" w:sz="8" w:space="0"/>
              <w:right w:val="single" w:color="auto" w:sz="8" w:space="0"/>
            </w:tcBorders>
            <w:noWrap w:val="0"/>
            <w:vAlign w:val="center"/>
          </w:tcPr>
          <w:p w14:paraId="6C4067D0">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监视器</w:t>
            </w:r>
          </w:p>
        </w:tc>
        <w:tc>
          <w:tcPr>
            <w:tcW w:w="4633" w:type="dxa"/>
            <w:tcBorders>
              <w:top w:val="nil"/>
              <w:left w:val="nil"/>
              <w:bottom w:val="single" w:color="auto" w:sz="8" w:space="0"/>
              <w:right w:val="single" w:color="auto" w:sz="8" w:space="0"/>
            </w:tcBorders>
            <w:noWrap w:val="0"/>
            <w:vAlign w:val="center"/>
          </w:tcPr>
          <w:p w14:paraId="5DFEF96F">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以射频信号为主要信号输入的监视器应符合《平板电视能效限定值及能效等级》（GB24850），以数字信号为主要信号输入的监视器应符合《计算机显示器能效限定值及能效等级》（GB21520）</w:t>
            </w:r>
          </w:p>
        </w:tc>
      </w:tr>
      <w:tr w14:paraId="4D6D1D1D">
        <w:tblPrEx>
          <w:tblCellMar>
            <w:top w:w="0" w:type="dxa"/>
            <w:left w:w="108" w:type="dxa"/>
            <w:bottom w:w="0" w:type="dxa"/>
            <w:right w:w="108" w:type="dxa"/>
          </w:tblCellMar>
        </w:tblPrEx>
        <w:trPr>
          <w:trHeight w:val="495" w:hRule="atLeast"/>
        </w:trPr>
        <w:tc>
          <w:tcPr>
            <w:tcW w:w="770" w:type="dxa"/>
            <w:tcBorders>
              <w:top w:val="nil"/>
              <w:left w:val="single" w:color="auto" w:sz="8" w:space="0"/>
              <w:bottom w:val="single" w:color="auto" w:sz="8" w:space="0"/>
              <w:right w:val="single" w:color="auto" w:sz="8" w:space="0"/>
            </w:tcBorders>
            <w:noWrap w:val="0"/>
            <w:vAlign w:val="center"/>
          </w:tcPr>
          <w:p w14:paraId="4BBC1FBE">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14</w:t>
            </w:r>
          </w:p>
        </w:tc>
        <w:tc>
          <w:tcPr>
            <w:tcW w:w="1110" w:type="dxa"/>
            <w:tcBorders>
              <w:top w:val="nil"/>
              <w:left w:val="nil"/>
              <w:bottom w:val="single" w:color="auto" w:sz="8" w:space="0"/>
              <w:right w:val="single" w:color="auto" w:sz="8" w:space="0"/>
            </w:tcBorders>
            <w:noWrap w:val="0"/>
            <w:vAlign w:val="center"/>
          </w:tcPr>
          <w:p w14:paraId="4E926EFC">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A031210饮食炊事机械</w:t>
            </w:r>
          </w:p>
        </w:tc>
        <w:tc>
          <w:tcPr>
            <w:tcW w:w="1650" w:type="dxa"/>
            <w:tcBorders>
              <w:top w:val="nil"/>
              <w:left w:val="nil"/>
              <w:bottom w:val="single" w:color="auto" w:sz="8" w:space="0"/>
              <w:right w:val="single" w:color="auto" w:sz="8" w:space="0"/>
            </w:tcBorders>
            <w:noWrap w:val="0"/>
            <w:vAlign w:val="center"/>
          </w:tcPr>
          <w:p w14:paraId="11FD9409">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商用燃气灶具</w:t>
            </w:r>
          </w:p>
        </w:tc>
        <w:tc>
          <w:tcPr>
            <w:tcW w:w="1355" w:type="dxa"/>
            <w:tcBorders>
              <w:top w:val="nil"/>
              <w:left w:val="nil"/>
              <w:bottom w:val="single" w:color="auto" w:sz="8" w:space="0"/>
              <w:right w:val="single" w:color="auto" w:sz="8" w:space="0"/>
            </w:tcBorders>
            <w:noWrap w:val="0"/>
            <w:vAlign w:val="center"/>
          </w:tcPr>
          <w:p w14:paraId="4C39D7D6">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33" w:type="dxa"/>
            <w:tcBorders>
              <w:top w:val="nil"/>
              <w:left w:val="nil"/>
              <w:bottom w:val="single" w:color="auto" w:sz="8" w:space="0"/>
              <w:right w:val="single" w:color="auto" w:sz="8" w:space="0"/>
            </w:tcBorders>
            <w:noWrap w:val="0"/>
            <w:vAlign w:val="center"/>
          </w:tcPr>
          <w:p w14:paraId="27FD4A24">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《商用燃气灶具能效限定值及能效等级》（GB30531）</w:t>
            </w:r>
          </w:p>
        </w:tc>
      </w:tr>
      <w:tr w14:paraId="4846BEB1">
        <w:tblPrEx>
          <w:tblCellMar>
            <w:top w:w="0" w:type="dxa"/>
            <w:left w:w="108" w:type="dxa"/>
            <w:bottom w:w="0" w:type="dxa"/>
            <w:right w:w="108" w:type="dxa"/>
          </w:tblCellMar>
        </w:tblPrEx>
        <w:trPr>
          <w:trHeight w:val="285" w:hRule="atLeast"/>
        </w:trPr>
        <w:tc>
          <w:tcPr>
            <w:tcW w:w="770" w:type="dxa"/>
            <w:vMerge w:val="restart"/>
            <w:tcBorders>
              <w:top w:val="nil"/>
              <w:left w:val="single" w:color="auto" w:sz="8" w:space="0"/>
              <w:bottom w:val="single" w:color="auto" w:sz="8" w:space="0"/>
              <w:right w:val="single" w:color="auto" w:sz="8" w:space="0"/>
            </w:tcBorders>
            <w:noWrap w:val="0"/>
            <w:vAlign w:val="center"/>
          </w:tcPr>
          <w:p w14:paraId="4DDF4F1B">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15</w:t>
            </w:r>
          </w:p>
        </w:tc>
        <w:tc>
          <w:tcPr>
            <w:tcW w:w="1110" w:type="dxa"/>
            <w:vMerge w:val="restart"/>
            <w:tcBorders>
              <w:top w:val="nil"/>
              <w:left w:val="single" w:color="auto" w:sz="8" w:space="0"/>
              <w:bottom w:val="single" w:color="000000" w:sz="8" w:space="0"/>
              <w:right w:val="single" w:color="auto" w:sz="8" w:space="0"/>
            </w:tcBorders>
            <w:noWrap w:val="0"/>
            <w:vAlign w:val="center"/>
          </w:tcPr>
          <w:p w14:paraId="3B49D152">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★A060805便器</w:t>
            </w:r>
          </w:p>
        </w:tc>
        <w:tc>
          <w:tcPr>
            <w:tcW w:w="1650" w:type="dxa"/>
            <w:tcBorders>
              <w:top w:val="nil"/>
              <w:left w:val="nil"/>
              <w:bottom w:val="single" w:color="auto" w:sz="8" w:space="0"/>
              <w:right w:val="single" w:color="auto" w:sz="8" w:space="0"/>
            </w:tcBorders>
            <w:noWrap w:val="0"/>
            <w:vAlign w:val="center"/>
          </w:tcPr>
          <w:p w14:paraId="4AE383DD">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坐便器</w:t>
            </w:r>
          </w:p>
        </w:tc>
        <w:tc>
          <w:tcPr>
            <w:tcW w:w="1355" w:type="dxa"/>
            <w:tcBorders>
              <w:top w:val="nil"/>
              <w:left w:val="nil"/>
              <w:bottom w:val="single" w:color="auto" w:sz="8" w:space="0"/>
              <w:right w:val="single" w:color="auto" w:sz="8" w:space="0"/>
            </w:tcBorders>
            <w:noWrap w:val="0"/>
            <w:vAlign w:val="center"/>
          </w:tcPr>
          <w:p w14:paraId="1767945D">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33" w:type="dxa"/>
            <w:tcBorders>
              <w:top w:val="nil"/>
              <w:left w:val="nil"/>
              <w:bottom w:val="single" w:color="auto" w:sz="8" w:space="0"/>
              <w:right w:val="single" w:color="auto" w:sz="8" w:space="0"/>
            </w:tcBorders>
            <w:noWrap w:val="0"/>
            <w:vAlign w:val="center"/>
          </w:tcPr>
          <w:p w14:paraId="1CF77741">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《坐便器水效限定值及水效等级》（GB25502）</w:t>
            </w:r>
          </w:p>
        </w:tc>
      </w:tr>
      <w:tr w14:paraId="76058018">
        <w:tblPrEx>
          <w:tblCellMar>
            <w:top w:w="0" w:type="dxa"/>
            <w:left w:w="108" w:type="dxa"/>
            <w:bottom w:w="0" w:type="dxa"/>
            <w:right w:w="108" w:type="dxa"/>
          </w:tblCellMar>
        </w:tblPrEx>
        <w:trPr>
          <w:trHeight w:val="495" w:hRule="atLeast"/>
        </w:trPr>
        <w:tc>
          <w:tcPr>
            <w:tcW w:w="770" w:type="dxa"/>
            <w:vMerge w:val="continue"/>
            <w:tcBorders>
              <w:top w:val="nil"/>
              <w:left w:val="single" w:color="auto" w:sz="8" w:space="0"/>
              <w:bottom w:val="single" w:color="auto" w:sz="8" w:space="0"/>
              <w:right w:val="single" w:color="auto" w:sz="8" w:space="0"/>
            </w:tcBorders>
            <w:noWrap w:val="0"/>
            <w:vAlign w:val="center"/>
          </w:tcPr>
          <w:p w14:paraId="2A41E4B9">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auto" w:sz="8" w:space="0"/>
              <w:bottom w:val="single" w:color="000000" w:sz="8" w:space="0"/>
              <w:right w:val="single" w:color="auto" w:sz="8" w:space="0"/>
            </w:tcBorders>
            <w:noWrap w:val="0"/>
            <w:vAlign w:val="center"/>
          </w:tcPr>
          <w:p w14:paraId="3FF532EE">
            <w:pPr>
              <w:widowControl/>
              <w:shd w:val="clear"/>
              <w:jc w:val="left"/>
              <w:rPr>
                <w:rFonts w:ascii="宋体" w:hAnsi="宋体" w:cs="宋体"/>
                <w:color w:val="auto"/>
                <w:kern w:val="0"/>
                <w:sz w:val="20"/>
                <w:szCs w:val="20"/>
                <w:highlight w:val="none"/>
              </w:rPr>
            </w:pPr>
          </w:p>
        </w:tc>
        <w:tc>
          <w:tcPr>
            <w:tcW w:w="1650" w:type="dxa"/>
            <w:tcBorders>
              <w:top w:val="nil"/>
              <w:left w:val="nil"/>
              <w:bottom w:val="single" w:color="auto" w:sz="8" w:space="0"/>
              <w:right w:val="single" w:color="auto" w:sz="8" w:space="0"/>
            </w:tcBorders>
            <w:noWrap w:val="0"/>
            <w:vAlign w:val="center"/>
          </w:tcPr>
          <w:p w14:paraId="116B2FF5">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蹲便器</w:t>
            </w:r>
          </w:p>
        </w:tc>
        <w:tc>
          <w:tcPr>
            <w:tcW w:w="1355" w:type="dxa"/>
            <w:tcBorders>
              <w:top w:val="nil"/>
              <w:left w:val="nil"/>
              <w:bottom w:val="single" w:color="auto" w:sz="8" w:space="0"/>
              <w:right w:val="single" w:color="auto" w:sz="8" w:space="0"/>
            </w:tcBorders>
            <w:noWrap w:val="0"/>
            <w:vAlign w:val="center"/>
          </w:tcPr>
          <w:p w14:paraId="6CF74824">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33" w:type="dxa"/>
            <w:tcBorders>
              <w:top w:val="nil"/>
              <w:left w:val="nil"/>
              <w:bottom w:val="single" w:color="auto" w:sz="8" w:space="0"/>
              <w:right w:val="single" w:color="auto" w:sz="8" w:space="0"/>
            </w:tcBorders>
            <w:noWrap w:val="0"/>
            <w:vAlign w:val="center"/>
          </w:tcPr>
          <w:p w14:paraId="73F553B0">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《蹲便器用水效率限定值及用水效率等级》（GB30717）</w:t>
            </w:r>
          </w:p>
        </w:tc>
      </w:tr>
      <w:tr w14:paraId="7D53EB18">
        <w:tblPrEx>
          <w:tblCellMar>
            <w:top w:w="0" w:type="dxa"/>
            <w:left w:w="108" w:type="dxa"/>
            <w:bottom w:w="0" w:type="dxa"/>
            <w:right w:w="108" w:type="dxa"/>
          </w:tblCellMar>
        </w:tblPrEx>
        <w:trPr>
          <w:trHeight w:val="495" w:hRule="atLeast"/>
        </w:trPr>
        <w:tc>
          <w:tcPr>
            <w:tcW w:w="770" w:type="dxa"/>
            <w:vMerge w:val="continue"/>
            <w:tcBorders>
              <w:top w:val="nil"/>
              <w:left w:val="single" w:color="auto" w:sz="8" w:space="0"/>
              <w:bottom w:val="single" w:color="auto" w:sz="8" w:space="0"/>
              <w:right w:val="single" w:color="auto" w:sz="8" w:space="0"/>
            </w:tcBorders>
            <w:noWrap w:val="0"/>
            <w:vAlign w:val="center"/>
          </w:tcPr>
          <w:p w14:paraId="41072E97">
            <w:pPr>
              <w:widowControl/>
              <w:shd w:val="clear"/>
              <w:jc w:val="left"/>
              <w:rPr>
                <w:rFonts w:ascii="宋体" w:hAnsi="宋体" w:cs="宋体"/>
                <w:color w:val="auto"/>
                <w:kern w:val="0"/>
                <w:sz w:val="20"/>
                <w:szCs w:val="20"/>
                <w:highlight w:val="none"/>
              </w:rPr>
            </w:pPr>
          </w:p>
        </w:tc>
        <w:tc>
          <w:tcPr>
            <w:tcW w:w="1110" w:type="dxa"/>
            <w:vMerge w:val="continue"/>
            <w:tcBorders>
              <w:top w:val="nil"/>
              <w:left w:val="single" w:color="auto" w:sz="8" w:space="0"/>
              <w:bottom w:val="single" w:color="000000" w:sz="8" w:space="0"/>
              <w:right w:val="single" w:color="auto" w:sz="8" w:space="0"/>
            </w:tcBorders>
            <w:noWrap w:val="0"/>
            <w:vAlign w:val="center"/>
          </w:tcPr>
          <w:p w14:paraId="70A58C32">
            <w:pPr>
              <w:widowControl/>
              <w:shd w:val="clear"/>
              <w:jc w:val="left"/>
              <w:rPr>
                <w:rFonts w:ascii="宋体" w:hAnsi="宋体" w:cs="宋体"/>
                <w:color w:val="auto"/>
                <w:kern w:val="0"/>
                <w:sz w:val="20"/>
                <w:szCs w:val="20"/>
                <w:highlight w:val="none"/>
              </w:rPr>
            </w:pPr>
          </w:p>
        </w:tc>
        <w:tc>
          <w:tcPr>
            <w:tcW w:w="1650" w:type="dxa"/>
            <w:tcBorders>
              <w:top w:val="nil"/>
              <w:left w:val="nil"/>
              <w:bottom w:val="single" w:color="auto" w:sz="8" w:space="0"/>
              <w:right w:val="single" w:color="auto" w:sz="8" w:space="0"/>
            </w:tcBorders>
            <w:noWrap w:val="0"/>
            <w:vAlign w:val="center"/>
          </w:tcPr>
          <w:p w14:paraId="4D933472">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小便器</w:t>
            </w:r>
          </w:p>
        </w:tc>
        <w:tc>
          <w:tcPr>
            <w:tcW w:w="1355" w:type="dxa"/>
            <w:tcBorders>
              <w:top w:val="nil"/>
              <w:left w:val="nil"/>
              <w:bottom w:val="single" w:color="auto" w:sz="8" w:space="0"/>
              <w:right w:val="single" w:color="auto" w:sz="8" w:space="0"/>
            </w:tcBorders>
            <w:noWrap w:val="0"/>
            <w:vAlign w:val="center"/>
          </w:tcPr>
          <w:p w14:paraId="53DB538E">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33" w:type="dxa"/>
            <w:tcBorders>
              <w:top w:val="nil"/>
              <w:left w:val="nil"/>
              <w:bottom w:val="single" w:color="auto" w:sz="8" w:space="0"/>
              <w:right w:val="single" w:color="auto" w:sz="8" w:space="0"/>
            </w:tcBorders>
            <w:noWrap w:val="0"/>
            <w:vAlign w:val="center"/>
          </w:tcPr>
          <w:p w14:paraId="1B206639">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《小便器用水效率限定值及用水效率等级》（GB28377）</w:t>
            </w:r>
          </w:p>
        </w:tc>
      </w:tr>
      <w:tr w14:paraId="701C9B13">
        <w:tblPrEx>
          <w:tblCellMar>
            <w:top w:w="0" w:type="dxa"/>
            <w:left w:w="108" w:type="dxa"/>
            <w:bottom w:w="0" w:type="dxa"/>
            <w:right w:w="108" w:type="dxa"/>
          </w:tblCellMar>
        </w:tblPrEx>
        <w:trPr>
          <w:trHeight w:val="495" w:hRule="atLeast"/>
        </w:trPr>
        <w:tc>
          <w:tcPr>
            <w:tcW w:w="770" w:type="dxa"/>
            <w:tcBorders>
              <w:top w:val="nil"/>
              <w:left w:val="single" w:color="000000" w:sz="8" w:space="0"/>
              <w:bottom w:val="single" w:color="000000" w:sz="8" w:space="0"/>
              <w:right w:val="single" w:color="000000" w:sz="8" w:space="0"/>
            </w:tcBorders>
            <w:noWrap w:val="0"/>
            <w:vAlign w:val="center"/>
          </w:tcPr>
          <w:p w14:paraId="4DB89850">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16</w:t>
            </w:r>
          </w:p>
        </w:tc>
        <w:tc>
          <w:tcPr>
            <w:tcW w:w="1110" w:type="dxa"/>
            <w:tcBorders>
              <w:top w:val="nil"/>
              <w:left w:val="nil"/>
              <w:bottom w:val="single" w:color="000000" w:sz="8" w:space="0"/>
              <w:right w:val="single" w:color="000000" w:sz="8" w:space="0"/>
            </w:tcBorders>
            <w:noWrap w:val="0"/>
            <w:vAlign w:val="center"/>
          </w:tcPr>
          <w:p w14:paraId="69CC0E49">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★A060806水嘴</w:t>
            </w:r>
          </w:p>
        </w:tc>
        <w:tc>
          <w:tcPr>
            <w:tcW w:w="1650" w:type="dxa"/>
            <w:tcBorders>
              <w:top w:val="nil"/>
              <w:left w:val="nil"/>
              <w:bottom w:val="single" w:color="000000" w:sz="8" w:space="0"/>
              <w:right w:val="single" w:color="000000" w:sz="8" w:space="0"/>
            </w:tcBorders>
            <w:noWrap w:val="0"/>
            <w:vAlign w:val="center"/>
          </w:tcPr>
          <w:p w14:paraId="0DCC5FDD">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355" w:type="dxa"/>
            <w:tcBorders>
              <w:top w:val="nil"/>
              <w:left w:val="nil"/>
              <w:bottom w:val="single" w:color="000000" w:sz="8" w:space="0"/>
              <w:right w:val="single" w:color="000000" w:sz="8" w:space="0"/>
            </w:tcBorders>
            <w:noWrap w:val="0"/>
            <w:vAlign w:val="center"/>
          </w:tcPr>
          <w:p w14:paraId="2F8A6FDE">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33" w:type="dxa"/>
            <w:tcBorders>
              <w:top w:val="nil"/>
              <w:left w:val="nil"/>
              <w:bottom w:val="single" w:color="000000" w:sz="8" w:space="0"/>
              <w:right w:val="single" w:color="000000" w:sz="8" w:space="0"/>
            </w:tcBorders>
            <w:noWrap w:val="0"/>
            <w:vAlign w:val="center"/>
          </w:tcPr>
          <w:p w14:paraId="7DDA44DA">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《水嘴用水效率限定值及用水效率等级》（GB 25501）</w:t>
            </w:r>
          </w:p>
        </w:tc>
      </w:tr>
      <w:tr w14:paraId="7F069201">
        <w:tblPrEx>
          <w:tblCellMar>
            <w:top w:w="0" w:type="dxa"/>
            <w:left w:w="108" w:type="dxa"/>
            <w:bottom w:w="0" w:type="dxa"/>
            <w:right w:w="108" w:type="dxa"/>
          </w:tblCellMar>
        </w:tblPrEx>
        <w:trPr>
          <w:trHeight w:val="495" w:hRule="atLeast"/>
        </w:trPr>
        <w:tc>
          <w:tcPr>
            <w:tcW w:w="770" w:type="dxa"/>
            <w:tcBorders>
              <w:top w:val="nil"/>
              <w:left w:val="single" w:color="000000" w:sz="8" w:space="0"/>
              <w:bottom w:val="single" w:color="000000" w:sz="8" w:space="0"/>
              <w:right w:val="single" w:color="000000" w:sz="8" w:space="0"/>
            </w:tcBorders>
            <w:noWrap w:val="0"/>
            <w:vAlign w:val="center"/>
          </w:tcPr>
          <w:p w14:paraId="2CDDA017">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17</w:t>
            </w:r>
          </w:p>
        </w:tc>
        <w:tc>
          <w:tcPr>
            <w:tcW w:w="1110" w:type="dxa"/>
            <w:tcBorders>
              <w:top w:val="nil"/>
              <w:left w:val="nil"/>
              <w:bottom w:val="single" w:color="000000" w:sz="8" w:space="0"/>
              <w:right w:val="single" w:color="000000" w:sz="8" w:space="0"/>
            </w:tcBorders>
            <w:noWrap w:val="0"/>
            <w:vAlign w:val="center"/>
          </w:tcPr>
          <w:p w14:paraId="75F4850A">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A060807便器冲洗阀</w:t>
            </w:r>
          </w:p>
        </w:tc>
        <w:tc>
          <w:tcPr>
            <w:tcW w:w="1650" w:type="dxa"/>
            <w:tcBorders>
              <w:top w:val="nil"/>
              <w:left w:val="nil"/>
              <w:bottom w:val="single" w:color="000000" w:sz="8" w:space="0"/>
              <w:right w:val="single" w:color="000000" w:sz="8" w:space="0"/>
            </w:tcBorders>
            <w:noWrap w:val="0"/>
            <w:vAlign w:val="center"/>
          </w:tcPr>
          <w:p w14:paraId="09B8345C">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355" w:type="dxa"/>
            <w:tcBorders>
              <w:top w:val="nil"/>
              <w:left w:val="nil"/>
              <w:bottom w:val="single" w:color="000000" w:sz="8" w:space="0"/>
              <w:right w:val="single" w:color="000000" w:sz="8" w:space="0"/>
            </w:tcBorders>
            <w:noWrap w:val="0"/>
            <w:vAlign w:val="center"/>
          </w:tcPr>
          <w:p w14:paraId="53AD2FCC">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33" w:type="dxa"/>
            <w:tcBorders>
              <w:top w:val="nil"/>
              <w:left w:val="nil"/>
              <w:bottom w:val="single" w:color="000000" w:sz="8" w:space="0"/>
              <w:right w:val="single" w:color="000000" w:sz="8" w:space="0"/>
            </w:tcBorders>
            <w:noWrap w:val="0"/>
            <w:vAlign w:val="center"/>
          </w:tcPr>
          <w:p w14:paraId="4EBE1479">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《便器冲洗阀用水效率限定值及用水效率等级》（GB28379）</w:t>
            </w:r>
          </w:p>
        </w:tc>
      </w:tr>
      <w:tr w14:paraId="24681E5C">
        <w:tblPrEx>
          <w:tblCellMar>
            <w:top w:w="0" w:type="dxa"/>
            <w:left w:w="108" w:type="dxa"/>
            <w:bottom w:w="0" w:type="dxa"/>
            <w:right w:w="108" w:type="dxa"/>
          </w:tblCellMar>
        </w:tblPrEx>
        <w:trPr>
          <w:trHeight w:val="495" w:hRule="atLeast"/>
        </w:trPr>
        <w:tc>
          <w:tcPr>
            <w:tcW w:w="770" w:type="dxa"/>
            <w:tcBorders>
              <w:top w:val="nil"/>
              <w:left w:val="single" w:color="000000" w:sz="8" w:space="0"/>
              <w:bottom w:val="single" w:color="000000" w:sz="8" w:space="0"/>
              <w:right w:val="single" w:color="000000" w:sz="8" w:space="0"/>
            </w:tcBorders>
            <w:noWrap w:val="0"/>
            <w:vAlign w:val="center"/>
          </w:tcPr>
          <w:p w14:paraId="1BEC861E">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18</w:t>
            </w:r>
          </w:p>
        </w:tc>
        <w:tc>
          <w:tcPr>
            <w:tcW w:w="1110" w:type="dxa"/>
            <w:tcBorders>
              <w:top w:val="nil"/>
              <w:left w:val="nil"/>
              <w:bottom w:val="single" w:color="000000" w:sz="8" w:space="0"/>
              <w:right w:val="single" w:color="000000" w:sz="8" w:space="0"/>
            </w:tcBorders>
            <w:noWrap w:val="0"/>
            <w:vAlign w:val="center"/>
          </w:tcPr>
          <w:p w14:paraId="2A10F494">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A060810淋浴器</w:t>
            </w:r>
          </w:p>
        </w:tc>
        <w:tc>
          <w:tcPr>
            <w:tcW w:w="1650" w:type="dxa"/>
            <w:tcBorders>
              <w:top w:val="nil"/>
              <w:left w:val="nil"/>
              <w:bottom w:val="single" w:color="000000" w:sz="8" w:space="0"/>
              <w:right w:val="single" w:color="000000" w:sz="8" w:space="0"/>
            </w:tcBorders>
            <w:noWrap w:val="0"/>
            <w:vAlign w:val="center"/>
          </w:tcPr>
          <w:p w14:paraId="7D41E9E8">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355" w:type="dxa"/>
            <w:tcBorders>
              <w:top w:val="nil"/>
              <w:left w:val="nil"/>
              <w:bottom w:val="single" w:color="000000" w:sz="8" w:space="0"/>
              <w:right w:val="single" w:color="000000" w:sz="8" w:space="0"/>
            </w:tcBorders>
            <w:noWrap w:val="0"/>
            <w:vAlign w:val="center"/>
          </w:tcPr>
          <w:p w14:paraId="2409D46F">
            <w:pPr>
              <w:widowControl/>
              <w:shd w:val="clear"/>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33" w:type="dxa"/>
            <w:tcBorders>
              <w:top w:val="nil"/>
              <w:left w:val="nil"/>
              <w:bottom w:val="single" w:color="000000" w:sz="8" w:space="0"/>
              <w:right w:val="single" w:color="000000" w:sz="8" w:space="0"/>
            </w:tcBorders>
            <w:noWrap w:val="0"/>
            <w:vAlign w:val="center"/>
          </w:tcPr>
          <w:p w14:paraId="0E1B7386">
            <w:pPr>
              <w:widowControl/>
              <w:shd w:val="clear"/>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《淋浴器用水效率限定值及用水效率等级》（GB28378）</w:t>
            </w:r>
          </w:p>
        </w:tc>
      </w:tr>
    </w:tbl>
    <w:p w14:paraId="17ED5B8C">
      <w:pPr>
        <w:widowControl/>
        <w:shd w:val="clear"/>
        <w:rPr>
          <w:rFonts w:ascii="宋体" w:hAnsi="宋体" w:cs="宋体"/>
          <w:color w:val="auto"/>
          <w:sz w:val="20"/>
          <w:szCs w:val="20"/>
          <w:highlight w:val="none"/>
        </w:rPr>
      </w:pPr>
    </w:p>
    <w:p w14:paraId="35921DF9">
      <w:pPr>
        <w:shd w:val="clea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注：1.节能产品认证应依据相关国家标准的最新版本，依据国家标准中二级能效（水效）指标。</w:t>
      </w:r>
    </w:p>
    <w:p w14:paraId="34B814EA">
      <w:pPr>
        <w:shd w:val="clea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    2.以“★”标注的为政府强制采购产品。</w:t>
      </w:r>
    </w:p>
    <w:p w14:paraId="6B8D966E">
      <w:pPr>
        <w:shd w:val="clear"/>
        <w:adjustRightInd w:val="0"/>
        <w:snapToGrid w:val="0"/>
        <w:rPr>
          <w:rFonts w:hint="eastAsia"/>
          <w:b/>
          <w:bCs/>
          <w:color w:val="auto"/>
          <w:sz w:val="28"/>
          <w:szCs w:val="28"/>
          <w:highlight w:val="none"/>
        </w:rPr>
      </w:pPr>
      <w:r>
        <w:rPr>
          <w:rFonts w:ascii="宋体" w:hAnsi="宋体"/>
          <w:color w:val="auto"/>
          <w:szCs w:val="20"/>
          <w:highlight w:val="none"/>
        </w:rPr>
        <w:br w:type="page"/>
      </w:r>
      <w:r>
        <w:rPr>
          <w:rFonts w:hint="eastAsia"/>
          <w:b/>
          <w:bCs/>
          <w:color w:val="auto"/>
          <w:sz w:val="28"/>
          <w:szCs w:val="28"/>
          <w:highlight w:val="none"/>
        </w:rPr>
        <w:t>附件</w:t>
      </w:r>
      <w:r>
        <w:rPr>
          <w:rFonts w:hint="eastAsia"/>
          <w:b/>
          <w:bCs/>
          <w:color w:val="auto"/>
          <w:sz w:val="28"/>
          <w:szCs w:val="28"/>
          <w:highlight w:val="none"/>
          <w:lang w:val="en-US" w:eastAsia="zh-CN"/>
        </w:rPr>
        <w:t>2</w:t>
      </w:r>
      <w:r>
        <w:rPr>
          <w:rFonts w:hint="eastAsia"/>
          <w:b/>
          <w:bCs/>
          <w:color w:val="auto"/>
          <w:sz w:val="28"/>
          <w:szCs w:val="28"/>
          <w:highlight w:val="none"/>
        </w:rPr>
        <w:t>：中小微企业划型标准</w:t>
      </w:r>
    </w:p>
    <w:p w14:paraId="7E937C20">
      <w:pPr>
        <w:shd w:val="clear"/>
        <w:rPr>
          <w:rFonts w:hint="eastAsia"/>
          <w:color w:val="auto"/>
          <w:highlight w:val="none"/>
        </w:rPr>
      </w:pPr>
    </w:p>
    <w:tbl>
      <w:tblPr>
        <w:tblStyle w:val="33"/>
        <w:tblW w:w="4825" w:type="pct"/>
        <w:tblInd w:w="143" w:type="dxa"/>
        <w:tblLayout w:type="autofit"/>
        <w:tblCellMar>
          <w:top w:w="0" w:type="dxa"/>
          <w:left w:w="108" w:type="dxa"/>
          <w:bottom w:w="0" w:type="dxa"/>
          <w:right w:w="108" w:type="dxa"/>
        </w:tblCellMar>
      </w:tblPr>
      <w:tblGrid>
        <w:gridCol w:w="1958"/>
        <w:gridCol w:w="1708"/>
        <w:gridCol w:w="1126"/>
        <w:gridCol w:w="1999"/>
        <w:gridCol w:w="1777"/>
        <w:gridCol w:w="940"/>
      </w:tblGrid>
      <w:tr w14:paraId="4FDF09A2">
        <w:tblPrEx>
          <w:tblCellMar>
            <w:top w:w="0" w:type="dxa"/>
            <w:left w:w="108" w:type="dxa"/>
            <w:bottom w:w="0" w:type="dxa"/>
            <w:right w:w="108" w:type="dxa"/>
          </w:tblCellMar>
        </w:tblPrEx>
        <w:trPr>
          <w:trHeight w:val="285" w:hRule="atLeast"/>
        </w:trPr>
        <w:tc>
          <w:tcPr>
            <w:tcW w:w="1029" w:type="pct"/>
            <w:tcBorders>
              <w:top w:val="single" w:color="auto" w:sz="4" w:space="0"/>
              <w:left w:val="single" w:color="auto" w:sz="4" w:space="0"/>
              <w:bottom w:val="single" w:color="auto" w:sz="4" w:space="0"/>
              <w:right w:val="single" w:color="auto" w:sz="4" w:space="0"/>
            </w:tcBorders>
            <w:noWrap w:val="0"/>
            <w:vAlign w:val="center"/>
          </w:tcPr>
          <w:p w14:paraId="05BA1A73">
            <w:pPr>
              <w:widowControl/>
              <w:shd w:val="clear"/>
              <w:jc w:val="center"/>
              <w:rPr>
                <w:rFonts w:ascii="仿宋_GB2312" w:hAnsi="仿宋" w:eastAsia="仿宋_GB2312" w:cs="宋体"/>
                <w:b/>
                <w:color w:val="auto"/>
                <w:kern w:val="0"/>
                <w:sz w:val="18"/>
                <w:szCs w:val="18"/>
                <w:highlight w:val="none"/>
              </w:rPr>
            </w:pPr>
            <w:r>
              <w:rPr>
                <w:rFonts w:hint="eastAsia" w:ascii="仿宋_GB2312" w:hAnsi="仿宋" w:eastAsia="仿宋_GB2312" w:cs="宋体"/>
                <w:b/>
                <w:color w:val="auto"/>
                <w:kern w:val="0"/>
                <w:sz w:val="18"/>
                <w:szCs w:val="18"/>
                <w:highlight w:val="none"/>
              </w:rPr>
              <w:t>行业名称</w:t>
            </w:r>
          </w:p>
        </w:tc>
        <w:tc>
          <w:tcPr>
            <w:tcW w:w="898" w:type="pct"/>
            <w:tcBorders>
              <w:top w:val="single" w:color="auto" w:sz="4" w:space="0"/>
              <w:left w:val="nil"/>
              <w:bottom w:val="single" w:color="auto" w:sz="4" w:space="0"/>
              <w:right w:val="single" w:color="auto" w:sz="4" w:space="0"/>
            </w:tcBorders>
            <w:noWrap w:val="0"/>
            <w:vAlign w:val="center"/>
          </w:tcPr>
          <w:p w14:paraId="755D6B8E">
            <w:pPr>
              <w:widowControl/>
              <w:shd w:val="clear"/>
              <w:jc w:val="center"/>
              <w:rPr>
                <w:rFonts w:ascii="仿宋_GB2312" w:hAnsi="仿宋" w:eastAsia="仿宋_GB2312" w:cs="宋体"/>
                <w:b/>
                <w:color w:val="auto"/>
                <w:kern w:val="0"/>
                <w:sz w:val="18"/>
                <w:szCs w:val="18"/>
                <w:highlight w:val="none"/>
              </w:rPr>
            </w:pPr>
            <w:r>
              <w:rPr>
                <w:rFonts w:hint="eastAsia" w:ascii="仿宋_GB2312" w:hAnsi="仿宋" w:eastAsia="仿宋_GB2312" w:cs="宋体"/>
                <w:b/>
                <w:color w:val="auto"/>
                <w:kern w:val="0"/>
                <w:sz w:val="18"/>
                <w:szCs w:val="18"/>
                <w:highlight w:val="none"/>
              </w:rPr>
              <w:t>指标名称</w:t>
            </w:r>
          </w:p>
        </w:tc>
        <w:tc>
          <w:tcPr>
            <w:tcW w:w="592" w:type="pct"/>
            <w:tcBorders>
              <w:top w:val="single" w:color="auto" w:sz="4" w:space="0"/>
              <w:left w:val="nil"/>
              <w:bottom w:val="single" w:color="auto" w:sz="4" w:space="0"/>
              <w:right w:val="single" w:color="auto" w:sz="4" w:space="0"/>
            </w:tcBorders>
            <w:noWrap w:val="0"/>
            <w:vAlign w:val="center"/>
          </w:tcPr>
          <w:p w14:paraId="4BE476CD">
            <w:pPr>
              <w:widowControl/>
              <w:shd w:val="clear"/>
              <w:jc w:val="center"/>
              <w:rPr>
                <w:rFonts w:ascii="仿宋_GB2312" w:hAnsi="仿宋" w:eastAsia="仿宋_GB2312" w:cs="宋体"/>
                <w:b/>
                <w:color w:val="auto"/>
                <w:kern w:val="0"/>
                <w:sz w:val="18"/>
                <w:szCs w:val="18"/>
                <w:highlight w:val="none"/>
              </w:rPr>
            </w:pPr>
            <w:r>
              <w:rPr>
                <w:rFonts w:hint="eastAsia" w:ascii="仿宋_GB2312" w:hAnsi="仿宋" w:eastAsia="仿宋_GB2312" w:cs="宋体"/>
                <w:b/>
                <w:color w:val="auto"/>
                <w:kern w:val="0"/>
                <w:sz w:val="18"/>
                <w:szCs w:val="18"/>
                <w:highlight w:val="none"/>
              </w:rPr>
              <w:t>计量单位</w:t>
            </w:r>
          </w:p>
        </w:tc>
        <w:tc>
          <w:tcPr>
            <w:tcW w:w="1051" w:type="pct"/>
            <w:tcBorders>
              <w:top w:val="single" w:color="auto" w:sz="4" w:space="0"/>
              <w:left w:val="nil"/>
              <w:bottom w:val="single" w:color="auto" w:sz="4" w:space="0"/>
              <w:right w:val="single" w:color="auto" w:sz="4" w:space="0"/>
            </w:tcBorders>
            <w:noWrap w:val="0"/>
            <w:vAlign w:val="center"/>
          </w:tcPr>
          <w:p w14:paraId="13BEAEB2">
            <w:pPr>
              <w:widowControl/>
              <w:shd w:val="clear"/>
              <w:jc w:val="center"/>
              <w:rPr>
                <w:rFonts w:ascii="仿宋_GB2312" w:hAnsi="仿宋" w:eastAsia="仿宋_GB2312" w:cs="宋体"/>
                <w:b/>
                <w:color w:val="auto"/>
                <w:kern w:val="0"/>
                <w:sz w:val="18"/>
                <w:szCs w:val="18"/>
                <w:highlight w:val="none"/>
              </w:rPr>
            </w:pPr>
            <w:r>
              <w:rPr>
                <w:rFonts w:hint="eastAsia" w:ascii="仿宋_GB2312" w:hAnsi="仿宋" w:eastAsia="仿宋_GB2312" w:cs="宋体"/>
                <w:b/>
                <w:color w:val="auto"/>
                <w:kern w:val="0"/>
                <w:sz w:val="18"/>
                <w:szCs w:val="18"/>
                <w:highlight w:val="none"/>
              </w:rPr>
              <w:t>中型</w:t>
            </w:r>
          </w:p>
        </w:tc>
        <w:tc>
          <w:tcPr>
            <w:tcW w:w="934" w:type="pct"/>
            <w:tcBorders>
              <w:top w:val="single" w:color="auto" w:sz="4" w:space="0"/>
              <w:left w:val="nil"/>
              <w:bottom w:val="single" w:color="auto" w:sz="4" w:space="0"/>
              <w:right w:val="single" w:color="auto" w:sz="4" w:space="0"/>
            </w:tcBorders>
            <w:noWrap w:val="0"/>
            <w:vAlign w:val="center"/>
          </w:tcPr>
          <w:p w14:paraId="5BE2E6A8">
            <w:pPr>
              <w:widowControl/>
              <w:shd w:val="clear"/>
              <w:jc w:val="center"/>
              <w:rPr>
                <w:rFonts w:ascii="仿宋_GB2312" w:hAnsi="仿宋" w:eastAsia="仿宋_GB2312" w:cs="宋体"/>
                <w:b/>
                <w:color w:val="auto"/>
                <w:kern w:val="0"/>
                <w:sz w:val="18"/>
                <w:szCs w:val="18"/>
                <w:highlight w:val="none"/>
              </w:rPr>
            </w:pPr>
            <w:r>
              <w:rPr>
                <w:rFonts w:hint="eastAsia" w:ascii="仿宋_GB2312" w:hAnsi="仿宋" w:eastAsia="仿宋_GB2312" w:cs="宋体"/>
                <w:b/>
                <w:color w:val="auto"/>
                <w:kern w:val="0"/>
                <w:sz w:val="18"/>
                <w:szCs w:val="18"/>
                <w:highlight w:val="none"/>
              </w:rPr>
              <w:t>小型</w:t>
            </w:r>
          </w:p>
        </w:tc>
        <w:tc>
          <w:tcPr>
            <w:tcW w:w="494" w:type="pct"/>
            <w:tcBorders>
              <w:top w:val="single" w:color="auto" w:sz="4" w:space="0"/>
              <w:left w:val="nil"/>
              <w:bottom w:val="single" w:color="auto" w:sz="4" w:space="0"/>
              <w:right w:val="single" w:color="auto" w:sz="4" w:space="0"/>
            </w:tcBorders>
            <w:noWrap w:val="0"/>
            <w:vAlign w:val="center"/>
          </w:tcPr>
          <w:p w14:paraId="7B6E0F08">
            <w:pPr>
              <w:widowControl/>
              <w:shd w:val="clear"/>
              <w:jc w:val="center"/>
              <w:rPr>
                <w:rFonts w:ascii="仿宋_GB2312" w:hAnsi="仿宋" w:eastAsia="仿宋_GB2312" w:cs="宋体"/>
                <w:b/>
                <w:color w:val="auto"/>
                <w:kern w:val="0"/>
                <w:sz w:val="18"/>
                <w:szCs w:val="18"/>
                <w:highlight w:val="none"/>
              </w:rPr>
            </w:pPr>
            <w:r>
              <w:rPr>
                <w:rFonts w:hint="eastAsia" w:ascii="仿宋_GB2312" w:hAnsi="仿宋" w:eastAsia="仿宋_GB2312" w:cs="宋体"/>
                <w:b/>
                <w:color w:val="auto"/>
                <w:kern w:val="0"/>
                <w:sz w:val="18"/>
                <w:szCs w:val="18"/>
                <w:highlight w:val="none"/>
              </w:rPr>
              <w:t>微型</w:t>
            </w:r>
          </w:p>
        </w:tc>
      </w:tr>
      <w:tr w14:paraId="2D3E6E03">
        <w:tblPrEx>
          <w:tblCellMar>
            <w:top w:w="0" w:type="dxa"/>
            <w:left w:w="108" w:type="dxa"/>
            <w:bottom w:w="0" w:type="dxa"/>
            <w:right w:w="108" w:type="dxa"/>
          </w:tblCellMar>
        </w:tblPrEx>
        <w:trPr>
          <w:trHeight w:val="225" w:hRule="atLeast"/>
        </w:trPr>
        <w:tc>
          <w:tcPr>
            <w:tcW w:w="1029" w:type="pct"/>
            <w:tcBorders>
              <w:top w:val="nil"/>
              <w:left w:val="single" w:color="auto" w:sz="4" w:space="0"/>
              <w:bottom w:val="single" w:color="auto" w:sz="4" w:space="0"/>
              <w:right w:val="single" w:color="auto" w:sz="4" w:space="0"/>
            </w:tcBorders>
            <w:noWrap w:val="0"/>
            <w:vAlign w:val="bottom"/>
          </w:tcPr>
          <w:p w14:paraId="0593D8AA">
            <w:pPr>
              <w:widowControl/>
              <w:shd w:val="clear"/>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农、林、牧、渔</w:t>
            </w:r>
          </w:p>
        </w:tc>
        <w:tc>
          <w:tcPr>
            <w:tcW w:w="898" w:type="pct"/>
            <w:tcBorders>
              <w:top w:val="nil"/>
              <w:left w:val="nil"/>
              <w:bottom w:val="single" w:color="auto" w:sz="4" w:space="0"/>
              <w:right w:val="single" w:color="auto" w:sz="4" w:space="0"/>
            </w:tcBorders>
            <w:noWrap w:val="0"/>
            <w:vAlign w:val="center"/>
          </w:tcPr>
          <w:p w14:paraId="697BE127">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592" w:type="pct"/>
            <w:tcBorders>
              <w:top w:val="nil"/>
              <w:left w:val="nil"/>
              <w:bottom w:val="single" w:color="auto" w:sz="4" w:space="0"/>
              <w:right w:val="single" w:color="auto" w:sz="4" w:space="0"/>
            </w:tcBorders>
            <w:noWrap w:val="0"/>
            <w:vAlign w:val="center"/>
          </w:tcPr>
          <w:p w14:paraId="5B9714F4">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051" w:type="pct"/>
            <w:tcBorders>
              <w:top w:val="nil"/>
              <w:left w:val="nil"/>
              <w:bottom w:val="single" w:color="auto" w:sz="4" w:space="0"/>
              <w:right w:val="single" w:color="auto" w:sz="4" w:space="0"/>
            </w:tcBorders>
            <w:noWrap w:val="0"/>
            <w:vAlign w:val="center"/>
          </w:tcPr>
          <w:p w14:paraId="3DA6D454">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500≤Y＜20000</w:t>
            </w:r>
          </w:p>
        </w:tc>
        <w:tc>
          <w:tcPr>
            <w:tcW w:w="934" w:type="pct"/>
            <w:tcBorders>
              <w:top w:val="nil"/>
              <w:left w:val="nil"/>
              <w:bottom w:val="single" w:color="auto" w:sz="4" w:space="0"/>
              <w:right w:val="single" w:color="auto" w:sz="4" w:space="0"/>
            </w:tcBorders>
            <w:noWrap w:val="0"/>
            <w:vAlign w:val="center"/>
          </w:tcPr>
          <w:p w14:paraId="17865A6F">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50≤Y＜500</w:t>
            </w:r>
          </w:p>
        </w:tc>
        <w:tc>
          <w:tcPr>
            <w:tcW w:w="494" w:type="pct"/>
            <w:tcBorders>
              <w:top w:val="nil"/>
              <w:left w:val="nil"/>
              <w:bottom w:val="single" w:color="auto" w:sz="4" w:space="0"/>
              <w:right w:val="single" w:color="auto" w:sz="4" w:space="0"/>
            </w:tcBorders>
            <w:noWrap w:val="0"/>
            <w:vAlign w:val="center"/>
          </w:tcPr>
          <w:p w14:paraId="04CDE21F">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Y＜50</w:t>
            </w:r>
          </w:p>
        </w:tc>
      </w:tr>
      <w:tr w14:paraId="3120CE4C">
        <w:tblPrEx>
          <w:tblCellMar>
            <w:top w:w="0" w:type="dxa"/>
            <w:left w:w="108" w:type="dxa"/>
            <w:bottom w:w="0" w:type="dxa"/>
            <w:right w:w="108" w:type="dxa"/>
          </w:tblCellMar>
        </w:tblPrEx>
        <w:trPr>
          <w:trHeight w:val="225" w:hRule="atLeast"/>
        </w:trPr>
        <w:tc>
          <w:tcPr>
            <w:tcW w:w="1029" w:type="pct"/>
            <w:vMerge w:val="restart"/>
            <w:tcBorders>
              <w:top w:val="nil"/>
              <w:left w:val="single" w:color="auto" w:sz="4" w:space="0"/>
              <w:bottom w:val="single" w:color="auto" w:sz="4" w:space="0"/>
              <w:right w:val="single" w:color="auto" w:sz="4" w:space="0"/>
            </w:tcBorders>
            <w:noWrap w:val="0"/>
            <w:vAlign w:val="bottom"/>
          </w:tcPr>
          <w:p w14:paraId="1BECC747">
            <w:pPr>
              <w:widowControl/>
              <w:shd w:val="clear"/>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工业</w:t>
            </w:r>
          </w:p>
        </w:tc>
        <w:tc>
          <w:tcPr>
            <w:tcW w:w="898" w:type="pct"/>
            <w:tcBorders>
              <w:top w:val="nil"/>
              <w:left w:val="nil"/>
              <w:bottom w:val="single" w:color="auto" w:sz="4" w:space="0"/>
              <w:right w:val="single" w:color="auto" w:sz="4" w:space="0"/>
            </w:tcBorders>
            <w:noWrap w:val="0"/>
            <w:vAlign w:val="center"/>
          </w:tcPr>
          <w:p w14:paraId="33181DC6">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592" w:type="pct"/>
            <w:tcBorders>
              <w:top w:val="nil"/>
              <w:left w:val="nil"/>
              <w:bottom w:val="single" w:color="auto" w:sz="4" w:space="0"/>
              <w:right w:val="single" w:color="auto" w:sz="4" w:space="0"/>
            </w:tcBorders>
            <w:noWrap w:val="0"/>
            <w:vAlign w:val="center"/>
          </w:tcPr>
          <w:p w14:paraId="565E9171">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051" w:type="pct"/>
            <w:tcBorders>
              <w:top w:val="nil"/>
              <w:left w:val="nil"/>
              <w:bottom w:val="single" w:color="auto" w:sz="4" w:space="0"/>
              <w:right w:val="single" w:color="auto" w:sz="4" w:space="0"/>
            </w:tcBorders>
            <w:noWrap w:val="0"/>
            <w:vAlign w:val="center"/>
          </w:tcPr>
          <w:p w14:paraId="757C6FBC">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934" w:type="pct"/>
            <w:tcBorders>
              <w:top w:val="nil"/>
              <w:left w:val="nil"/>
              <w:bottom w:val="single" w:color="auto" w:sz="4" w:space="0"/>
              <w:right w:val="single" w:color="auto" w:sz="4" w:space="0"/>
            </w:tcBorders>
            <w:noWrap w:val="0"/>
            <w:vAlign w:val="center"/>
          </w:tcPr>
          <w:p w14:paraId="151B6103">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20≤X＜300</w:t>
            </w:r>
          </w:p>
        </w:tc>
        <w:tc>
          <w:tcPr>
            <w:tcW w:w="494" w:type="pct"/>
            <w:tcBorders>
              <w:top w:val="nil"/>
              <w:left w:val="nil"/>
              <w:bottom w:val="single" w:color="auto" w:sz="4" w:space="0"/>
              <w:right w:val="single" w:color="auto" w:sz="4" w:space="0"/>
            </w:tcBorders>
            <w:noWrap w:val="0"/>
            <w:vAlign w:val="center"/>
          </w:tcPr>
          <w:p w14:paraId="75F87E23">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05AE3FCC">
        <w:tblPrEx>
          <w:tblCellMar>
            <w:top w:w="0" w:type="dxa"/>
            <w:left w:w="108" w:type="dxa"/>
            <w:bottom w:w="0" w:type="dxa"/>
            <w:right w:w="108" w:type="dxa"/>
          </w:tblCellMar>
        </w:tblPrEx>
        <w:trPr>
          <w:trHeight w:val="225" w:hRule="atLeast"/>
        </w:trPr>
        <w:tc>
          <w:tcPr>
            <w:tcW w:w="1029" w:type="pct"/>
            <w:vMerge w:val="continue"/>
            <w:tcBorders>
              <w:top w:val="nil"/>
              <w:left w:val="single" w:color="auto" w:sz="4" w:space="0"/>
              <w:bottom w:val="single" w:color="auto" w:sz="4" w:space="0"/>
              <w:right w:val="single" w:color="auto" w:sz="4" w:space="0"/>
            </w:tcBorders>
            <w:noWrap w:val="0"/>
            <w:vAlign w:val="center"/>
          </w:tcPr>
          <w:p w14:paraId="2B986653">
            <w:pPr>
              <w:widowControl/>
              <w:shd w:val="clear"/>
              <w:jc w:val="left"/>
              <w:rPr>
                <w:rFonts w:ascii="仿宋_GB2312" w:hAnsi="仿宋" w:eastAsia="仿宋_GB2312" w:cs="宋体"/>
                <w:b/>
                <w:bCs/>
                <w:color w:val="auto"/>
                <w:kern w:val="0"/>
                <w:sz w:val="18"/>
                <w:szCs w:val="18"/>
                <w:highlight w:val="none"/>
              </w:rPr>
            </w:pPr>
          </w:p>
        </w:tc>
        <w:tc>
          <w:tcPr>
            <w:tcW w:w="898" w:type="pct"/>
            <w:tcBorders>
              <w:top w:val="nil"/>
              <w:left w:val="nil"/>
              <w:bottom w:val="single" w:color="auto" w:sz="4" w:space="0"/>
              <w:right w:val="single" w:color="auto" w:sz="4" w:space="0"/>
            </w:tcBorders>
            <w:noWrap w:val="0"/>
            <w:vAlign w:val="center"/>
          </w:tcPr>
          <w:p w14:paraId="0D64F4FF">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592" w:type="pct"/>
            <w:tcBorders>
              <w:top w:val="nil"/>
              <w:left w:val="nil"/>
              <w:bottom w:val="single" w:color="auto" w:sz="4" w:space="0"/>
              <w:right w:val="single" w:color="auto" w:sz="4" w:space="0"/>
            </w:tcBorders>
            <w:noWrap w:val="0"/>
            <w:vAlign w:val="center"/>
          </w:tcPr>
          <w:p w14:paraId="367D6CDF">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051" w:type="pct"/>
            <w:tcBorders>
              <w:top w:val="nil"/>
              <w:left w:val="nil"/>
              <w:bottom w:val="single" w:color="auto" w:sz="4" w:space="0"/>
              <w:right w:val="single" w:color="auto" w:sz="4" w:space="0"/>
            </w:tcBorders>
            <w:noWrap w:val="0"/>
            <w:vAlign w:val="center"/>
          </w:tcPr>
          <w:p w14:paraId="666911B2">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2000≤Y＜40000</w:t>
            </w:r>
          </w:p>
        </w:tc>
        <w:tc>
          <w:tcPr>
            <w:tcW w:w="934" w:type="pct"/>
            <w:tcBorders>
              <w:top w:val="nil"/>
              <w:left w:val="nil"/>
              <w:bottom w:val="single" w:color="auto" w:sz="4" w:space="0"/>
              <w:right w:val="single" w:color="auto" w:sz="4" w:space="0"/>
            </w:tcBorders>
            <w:noWrap w:val="0"/>
            <w:vAlign w:val="center"/>
          </w:tcPr>
          <w:p w14:paraId="6A45EAE7">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300≤Y＜2000</w:t>
            </w:r>
          </w:p>
        </w:tc>
        <w:tc>
          <w:tcPr>
            <w:tcW w:w="494" w:type="pct"/>
            <w:tcBorders>
              <w:top w:val="nil"/>
              <w:left w:val="nil"/>
              <w:bottom w:val="single" w:color="auto" w:sz="4" w:space="0"/>
              <w:right w:val="single" w:color="auto" w:sz="4" w:space="0"/>
            </w:tcBorders>
            <w:noWrap w:val="0"/>
            <w:vAlign w:val="center"/>
          </w:tcPr>
          <w:p w14:paraId="50D17116">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Y＜300</w:t>
            </w:r>
          </w:p>
        </w:tc>
      </w:tr>
      <w:tr w14:paraId="080F7106">
        <w:tblPrEx>
          <w:tblCellMar>
            <w:top w:w="0" w:type="dxa"/>
            <w:left w:w="108" w:type="dxa"/>
            <w:bottom w:w="0" w:type="dxa"/>
            <w:right w:w="108" w:type="dxa"/>
          </w:tblCellMar>
        </w:tblPrEx>
        <w:trPr>
          <w:trHeight w:val="225" w:hRule="atLeast"/>
        </w:trPr>
        <w:tc>
          <w:tcPr>
            <w:tcW w:w="1029" w:type="pct"/>
            <w:vMerge w:val="restart"/>
            <w:tcBorders>
              <w:top w:val="nil"/>
              <w:left w:val="single" w:color="auto" w:sz="4" w:space="0"/>
              <w:bottom w:val="single" w:color="auto" w:sz="4" w:space="0"/>
              <w:right w:val="single" w:color="auto" w:sz="4" w:space="0"/>
            </w:tcBorders>
            <w:noWrap w:val="0"/>
            <w:vAlign w:val="bottom"/>
          </w:tcPr>
          <w:p w14:paraId="30CD4459">
            <w:pPr>
              <w:widowControl/>
              <w:shd w:val="clear"/>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建筑业</w:t>
            </w:r>
          </w:p>
        </w:tc>
        <w:tc>
          <w:tcPr>
            <w:tcW w:w="898" w:type="pct"/>
            <w:tcBorders>
              <w:top w:val="nil"/>
              <w:left w:val="nil"/>
              <w:bottom w:val="single" w:color="auto" w:sz="4" w:space="0"/>
              <w:right w:val="single" w:color="auto" w:sz="4" w:space="0"/>
            </w:tcBorders>
            <w:noWrap w:val="0"/>
            <w:vAlign w:val="center"/>
          </w:tcPr>
          <w:p w14:paraId="5F7DABB7">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592" w:type="pct"/>
            <w:tcBorders>
              <w:top w:val="nil"/>
              <w:left w:val="nil"/>
              <w:bottom w:val="single" w:color="auto" w:sz="4" w:space="0"/>
              <w:right w:val="single" w:color="auto" w:sz="4" w:space="0"/>
            </w:tcBorders>
            <w:noWrap w:val="0"/>
            <w:vAlign w:val="center"/>
          </w:tcPr>
          <w:p w14:paraId="0098E9A6">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051" w:type="pct"/>
            <w:tcBorders>
              <w:top w:val="nil"/>
              <w:left w:val="nil"/>
              <w:bottom w:val="single" w:color="auto" w:sz="4" w:space="0"/>
              <w:right w:val="single" w:color="auto" w:sz="4" w:space="0"/>
            </w:tcBorders>
            <w:noWrap w:val="0"/>
            <w:vAlign w:val="center"/>
          </w:tcPr>
          <w:p w14:paraId="7A351939">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6000≤Y＜80000</w:t>
            </w:r>
          </w:p>
        </w:tc>
        <w:tc>
          <w:tcPr>
            <w:tcW w:w="934" w:type="pct"/>
            <w:tcBorders>
              <w:top w:val="nil"/>
              <w:left w:val="nil"/>
              <w:bottom w:val="single" w:color="auto" w:sz="4" w:space="0"/>
              <w:right w:val="single" w:color="auto" w:sz="4" w:space="0"/>
            </w:tcBorders>
            <w:noWrap w:val="0"/>
            <w:vAlign w:val="center"/>
          </w:tcPr>
          <w:p w14:paraId="0654F3FD">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300≤Y＜6000</w:t>
            </w:r>
          </w:p>
        </w:tc>
        <w:tc>
          <w:tcPr>
            <w:tcW w:w="494" w:type="pct"/>
            <w:tcBorders>
              <w:top w:val="nil"/>
              <w:left w:val="nil"/>
              <w:bottom w:val="single" w:color="auto" w:sz="4" w:space="0"/>
              <w:right w:val="single" w:color="auto" w:sz="4" w:space="0"/>
            </w:tcBorders>
            <w:noWrap w:val="0"/>
            <w:vAlign w:val="center"/>
          </w:tcPr>
          <w:p w14:paraId="248B4A4F">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Y＜300</w:t>
            </w:r>
          </w:p>
        </w:tc>
      </w:tr>
      <w:tr w14:paraId="0C0A9F95">
        <w:tblPrEx>
          <w:tblCellMar>
            <w:top w:w="0" w:type="dxa"/>
            <w:left w:w="108" w:type="dxa"/>
            <w:bottom w:w="0" w:type="dxa"/>
            <w:right w:w="108" w:type="dxa"/>
          </w:tblCellMar>
        </w:tblPrEx>
        <w:trPr>
          <w:trHeight w:val="225" w:hRule="atLeast"/>
        </w:trPr>
        <w:tc>
          <w:tcPr>
            <w:tcW w:w="1029" w:type="pct"/>
            <w:vMerge w:val="continue"/>
            <w:tcBorders>
              <w:top w:val="nil"/>
              <w:left w:val="single" w:color="auto" w:sz="4" w:space="0"/>
              <w:bottom w:val="single" w:color="auto" w:sz="4" w:space="0"/>
              <w:right w:val="single" w:color="auto" w:sz="4" w:space="0"/>
            </w:tcBorders>
            <w:noWrap w:val="0"/>
            <w:vAlign w:val="center"/>
          </w:tcPr>
          <w:p w14:paraId="103BA29A">
            <w:pPr>
              <w:widowControl/>
              <w:shd w:val="clear"/>
              <w:jc w:val="left"/>
              <w:rPr>
                <w:rFonts w:ascii="仿宋_GB2312" w:hAnsi="仿宋" w:eastAsia="仿宋_GB2312" w:cs="宋体"/>
                <w:b/>
                <w:bCs/>
                <w:color w:val="auto"/>
                <w:kern w:val="0"/>
                <w:sz w:val="18"/>
                <w:szCs w:val="18"/>
                <w:highlight w:val="none"/>
              </w:rPr>
            </w:pPr>
          </w:p>
        </w:tc>
        <w:tc>
          <w:tcPr>
            <w:tcW w:w="898" w:type="pct"/>
            <w:tcBorders>
              <w:top w:val="nil"/>
              <w:left w:val="nil"/>
              <w:bottom w:val="single" w:color="auto" w:sz="4" w:space="0"/>
              <w:right w:val="single" w:color="auto" w:sz="4" w:space="0"/>
            </w:tcBorders>
            <w:noWrap w:val="0"/>
            <w:vAlign w:val="center"/>
          </w:tcPr>
          <w:p w14:paraId="39879D1D">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资产总额（Z）</w:t>
            </w:r>
          </w:p>
        </w:tc>
        <w:tc>
          <w:tcPr>
            <w:tcW w:w="592" w:type="pct"/>
            <w:tcBorders>
              <w:top w:val="nil"/>
              <w:left w:val="nil"/>
              <w:bottom w:val="single" w:color="auto" w:sz="4" w:space="0"/>
              <w:right w:val="single" w:color="auto" w:sz="4" w:space="0"/>
            </w:tcBorders>
            <w:noWrap w:val="0"/>
            <w:vAlign w:val="center"/>
          </w:tcPr>
          <w:p w14:paraId="3A7FADC9">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051" w:type="pct"/>
            <w:tcBorders>
              <w:top w:val="nil"/>
              <w:left w:val="nil"/>
              <w:bottom w:val="single" w:color="auto" w:sz="4" w:space="0"/>
              <w:right w:val="single" w:color="auto" w:sz="4" w:space="0"/>
            </w:tcBorders>
            <w:noWrap w:val="0"/>
            <w:vAlign w:val="center"/>
          </w:tcPr>
          <w:p w14:paraId="5D72DE33">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5000≤Z＜80000</w:t>
            </w:r>
          </w:p>
        </w:tc>
        <w:tc>
          <w:tcPr>
            <w:tcW w:w="934" w:type="pct"/>
            <w:tcBorders>
              <w:top w:val="nil"/>
              <w:left w:val="nil"/>
              <w:bottom w:val="single" w:color="auto" w:sz="4" w:space="0"/>
              <w:right w:val="single" w:color="auto" w:sz="4" w:space="0"/>
            </w:tcBorders>
            <w:noWrap w:val="0"/>
            <w:vAlign w:val="center"/>
          </w:tcPr>
          <w:p w14:paraId="37AD7CA7">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300≤Z＜5000</w:t>
            </w:r>
          </w:p>
        </w:tc>
        <w:tc>
          <w:tcPr>
            <w:tcW w:w="494" w:type="pct"/>
            <w:tcBorders>
              <w:top w:val="nil"/>
              <w:left w:val="nil"/>
              <w:bottom w:val="single" w:color="auto" w:sz="4" w:space="0"/>
              <w:right w:val="single" w:color="auto" w:sz="4" w:space="0"/>
            </w:tcBorders>
            <w:noWrap w:val="0"/>
            <w:vAlign w:val="center"/>
          </w:tcPr>
          <w:p w14:paraId="78AB4662">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Z＜300</w:t>
            </w:r>
          </w:p>
        </w:tc>
      </w:tr>
      <w:tr w14:paraId="4FA3674E">
        <w:tblPrEx>
          <w:tblCellMar>
            <w:top w:w="0" w:type="dxa"/>
            <w:left w:w="108" w:type="dxa"/>
            <w:bottom w:w="0" w:type="dxa"/>
            <w:right w:w="108" w:type="dxa"/>
          </w:tblCellMar>
        </w:tblPrEx>
        <w:trPr>
          <w:trHeight w:val="225" w:hRule="atLeast"/>
        </w:trPr>
        <w:tc>
          <w:tcPr>
            <w:tcW w:w="1029" w:type="pct"/>
            <w:vMerge w:val="restart"/>
            <w:tcBorders>
              <w:top w:val="nil"/>
              <w:left w:val="single" w:color="auto" w:sz="4" w:space="0"/>
              <w:bottom w:val="single" w:color="auto" w:sz="4" w:space="0"/>
              <w:right w:val="single" w:color="auto" w:sz="4" w:space="0"/>
            </w:tcBorders>
            <w:noWrap w:val="0"/>
            <w:vAlign w:val="bottom"/>
          </w:tcPr>
          <w:p w14:paraId="43896B0C">
            <w:pPr>
              <w:widowControl/>
              <w:shd w:val="clear"/>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批发业</w:t>
            </w:r>
          </w:p>
        </w:tc>
        <w:tc>
          <w:tcPr>
            <w:tcW w:w="898" w:type="pct"/>
            <w:tcBorders>
              <w:top w:val="nil"/>
              <w:left w:val="nil"/>
              <w:bottom w:val="single" w:color="auto" w:sz="4" w:space="0"/>
              <w:right w:val="single" w:color="auto" w:sz="4" w:space="0"/>
            </w:tcBorders>
            <w:noWrap w:val="0"/>
            <w:vAlign w:val="center"/>
          </w:tcPr>
          <w:p w14:paraId="39F8D903">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592" w:type="pct"/>
            <w:tcBorders>
              <w:top w:val="nil"/>
              <w:left w:val="nil"/>
              <w:bottom w:val="single" w:color="auto" w:sz="4" w:space="0"/>
              <w:right w:val="single" w:color="auto" w:sz="4" w:space="0"/>
            </w:tcBorders>
            <w:noWrap w:val="0"/>
            <w:vAlign w:val="center"/>
          </w:tcPr>
          <w:p w14:paraId="75C0DC9D">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051" w:type="pct"/>
            <w:tcBorders>
              <w:top w:val="nil"/>
              <w:left w:val="nil"/>
              <w:bottom w:val="single" w:color="auto" w:sz="4" w:space="0"/>
              <w:right w:val="single" w:color="auto" w:sz="4" w:space="0"/>
            </w:tcBorders>
            <w:noWrap w:val="0"/>
            <w:vAlign w:val="center"/>
          </w:tcPr>
          <w:p w14:paraId="3E8B69D9">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20≤X＜200</w:t>
            </w:r>
          </w:p>
        </w:tc>
        <w:tc>
          <w:tcPr>
            <w:tcW w:w="934" w:type="pct"/>
            <w:tcBorders>
              <w:top w:val="nil"/>
              <w:left w:val="nil"/>
              <w:bottom w:val="single" w:color="auto" w:sz="4" w:space="0"/>
              <w:right w:val="single" w:color="auto" w:sz="4" w:space="0"/>
            </w:tcBorders>
            <w:noWrap w:val="0"/>
            <w:vAlign w:val="center"/>
          </w:tcPr>
          <w:p w14:paraId="5E70340F">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5≤X＜20</w:t>
            </w:r>
          </w:p>
        </w:tc>
        <w:tc>
          <w:tcPr>
            <w:tcW w:w="494" w:type="pct"/>
            <w:tcBorders>
              <w:top w:val="nil"/>
              <w:left w:val="nil"/>
              <w:bottom w:val="single" w:color="auto" w:sz="4" w:space="0"/>
              <w:right w:val="single" w:color="auto" w:sz="4" w:space="0"/>
            </w:tcBorders>
            <w:noWrap w:val="0"/>
            <w:vAlign w:val="center"/>
          </w:tcPr>
          <w:p w14:paraId="7DF10C15">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X＜5</w:t>
            </w:r>
          </w:p>
        </w:tc>
      </w:tr>
      <w:tr w14:paraId="0571B870">
        <w:tblPrEx>
          <w:tblCellMar>
            <w:top w:w="0" w:type="dxa"/>
            <w:left w:w="108" w:type="dxa"/>
            <w:bottom w:w="0" w:type="dxa"/>
            <w:right w:w="108" w:type="dxa"/>
          </w:tblCellMar>
        </w:tblPrEx>
        <w:trPr>
          <w:trHeight w:val="225" w:hRule="atLeast"/>
        </w:trPr>
        <w:tc>
          <w:tcPr>
            <w:tcW w:w="1029" w:type="pct"/>
            <w:vMerge w:val="continue"/>
            <w:tcBorders>
              <w:top w:val="nil"/>
              <w:left w:val="single" w:color="auto" w:sz="4" w:space="0"/>
              <w:bottom w:val="single" w:color="auto" w:sz="4" w:space="0"/>
              <w:right w:val="single" w:color="auto" w:sz="4" w:space="0"/>
            </w:tcBorders>
            <w:noWrap w:val="0"/>
            <w:vAlign w:val="center"/>
          </w:tcPr>
          <w:p w14:paraId="0A2A99E7">
            <w:pPr>
              <w:widowControl/>
              <w:shd w:val="clear"/>
              <w:jc w:val="left"/>
              <w:rPr>
                <w:rFonts w:ascii="仿宋_GB2312" w:hAnsi="仿宋" w:eastAsia="仿宋_GB2312" w:cs="宋体"/>
                <w:b/>
                <w:bCs/>
                <w:color w:val="auto"/>
                <w:kern w:val="0"/>
                <w:sz w:val="18"/>
                <w:szCs w:val="18"/>
                <w:highlight w:val="none"/>
              </w:rPr>
            </w:pPr>
          </w:p>
        </w:tc>
        <w:tc>
          <w:tcPr>
            <w:tcW w:w="898" w:type="pct"/>
            <w:tcBorders>
              <w:top w:val="nil"/>
              <w:left w:val="nil"/>
              <w:bottom w:val="single" w:color="auto" w:sz="4" w:space="0"/>
              <w:right w:val="single" w:color="auto" w:sz="4" w:space="0"/>
            </w:tcBorders>
            <w:noWrap w:val="0"/>
            <w:vAlign w:val="center"/>
          </w:tcPr>
          <w:p w14:paraId="67B71C6C">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592" w:type="pct"/>
            <w:tcBorders>
              <w:top w:val="nil"/>
              <w:left w:val="nil"/>
              <w:bottom w:val="single" w:color="auto" w:sz="4" w:space="0"/>
              <w:right w:val="single" w:color="auto" w:sz="4" w:space="0"/>
            </w:tcBorders>
            <w:noWrap w:val="0"/>
            <w:vAlign w:val="center"/>
          </w:tcPr>
          <w:p w14:paraId="7DF7B1D3">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051" w:type="pct"/>
            <w:tcBorders>
              <w:top w:val="nil"/>
              <w:left w:val="nil"/>
              <w:bottom w:val="single" w:color="auto" w:sz="4" w:space="0"/>
              <w:right w:val="single" w:color="auto" w:sz="4" w:space="0"/>
            </w:tcBorders>
            <w:noWrap w:val="0"/>
            <w:vAlign w:val="center"/>
          </w:tcPr>
          <w:p w14:paraId="0E6F42C3">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5000≤Y＜40000</w:t>
            </w:r>
          </w:p>
        </w:tc>
        <w:tc>
          <w:tcPr>
            <w:tcW w:w="934" w:type="pct"/>
            <w:tcBorders>
              <w:top w:val="nil"/>
              <w:left w:val="nil"/>
              <w:bottom w:val="single" w:color="auto" w:sz="4" w:space="0"/>
              <w:right w:val="single" w:color="auto" w:sz="4" w:space="0"/>
            </w:tcBorders>
            <w:noWrap w:val="0"/>
            <w:vAlign w:val="center"/>
          </w:tcPr>
          <w:p w14:paraId="4F1F8D01">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1000≤Y＜5000</w:t>
            </w:r>
          </w:p>
        </w:tc>
        <w:tc>
          <w:tcPr>
            <w:tcW w:w="494" w:type="pct"/>
            <w:tcBorders>
              <w:top w:val="nil"/>
              <w:left w:val="nil"/>
              <w:bottom w:val="single" w:color="auto" w:sz="4" w:space="0"/>
              <w:right w:val="single" w:color="auto" w:sz="4" w:space="0"/>
            </w:tcBorders>
            <w:noWrap w:val="0"/>
            <w:vAlign w:val="center"/>
          </w:tcPr>
          <w:p w14:paraId="30712A88">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Y＜1000</w:t>
            </w:r>
          </w:p>
        </w:tc>
      </w:tr>
      <w:tr w14:paraId="47B5939B">
        <w:tblPrEx>
          <w:tblCellMar>
            <w:top w:w="0" w:type="dxa"/>
            <w:left w:w="108" w:type="dxa"/>
            <w:bottom w:w="0" w:type="dxa"/>
            <w:right w:w="108" w:type="dxa"/>
          </w:tblCellMar>
        </w:tblPrEx>
        <w:trPr>
          <w:trHeight w:val="225" w:hRule="atLeast"/>
        </w:trPr>
        <w:tc>
          <w:tcPr>
            <w:tcW w:w="1029" w:type="pct"/>
            <w:vMerge w:val="restart"/>
            <w:tcBorders>
              <w:top w:val="nil"/>
              <w:left w:val="single" w:color="auto" w:sz="4" w:space="0"/>
              <w:bottom w:val="single" w:color="auto" w:sz="4" w:space="0"/>
              <w:right w:val="single" w:color="auto" w:sz="4" w:space="0"/>
            </w:tcBorders>
            <w:noWrap w:val="0"/>
            <w:vAlign w:val="bottom"/>
          </w:tcPr>
          <w:p w14:paraId="249CD55B">
            <w:pPr>
              <w:widowControl/>
              <w:shd w:val="clear"/>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零售业</w:t>
            </w:r>
          </w:p>
        </w:tc>
        <w:tc>
          <w:tcPr>
            <w:tcW w:w="898" w:type="pct"/>
            <w:tcBorders>
              <w:top w:val="nil"/>
              <w:left w:val="nil"/>
              <w:bottom w:val="single" w:color="auto" w:sz="4" w:space="0"/>
              <w:right w:val="single" w:color="auto" w:sz="4" w:space="0"/>
            </w:tcBorders>
            <w:noWrap w:val="0"/>
            <w:vAlign w:val="center"/>
          </w:tcPr>
          <w:p w14:paraId="1D2C7F7B">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592" w:type="pct"/>
            <w:tcBorders>
              <w:top w:val="nil"/>
              <w:left w:val="nil"/>
              <w:bottom w:val="single" w:color="auto" w:sz="4" w:space="0"/>
              <w:right w:val="single" w:color="auto" w:sz="4" w:space="0"/>
            </w:tcBorders>
            <w:noWrap w:val="0"/>
            <w:vAlign w:val="center"/>
          </w:tcPr>
          <w:p w14:paraId="0A3617DB">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051" w:type="pct"/>
            <w:tcBorders>
              <w:top w:val="nil"/>
              <w:left w:val="nil"/>
              <w:bottom w:val="single" w:color="auto" w:sz="4" w:space="0"/>
              <w:right w:val="single" w:color="auto" w:sz="4" w:space="0"/>
            </w:tcBorders>
            <w:noWrap w:val="0"/>
            <w:vAlign w:val="center"/>
          </w:tcPr>
          <w:p w14:paraId="5DD1F0BB">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50≤X＜300</w:t>
            </w:r>
          </w:p>
        </w:tc>
        <w:tc>
          <w:tcPr>
            <w:tcW w:w="934" w:type="pct"/>
            <w:tcBorders>
              <w:top w:val="nil"/>
              <w:left w:val="nil"/>
              <w:bottom w:val="single" w:color="auto" w:sz="4" w:space="0"/>
              <w:right w:val="single" w:color="auto" w:sz="4" w:space="0"/>
            </w:tcBorders>
            <w:noWrap w:val="0"/>
            <w:vAlign w:val="center"/>
          </w:tcPr>
          <w:p w14:paraId="2EA36FF9">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10≤X＜50</w:t>
            </w:r>
          </w:p>
        </w:tc>
        <w:tc>
          <w:tcPr>
            <w:tcW w:w="494" w:type="pct"/>
            <w:tcBorders>
              <w:top w:val="nil"/>
              <w:left w:val="nil"/>
              <w:bottom w:val="single" w:color="auto" w:sz="4" w:space="0"/>
              <w:right w:val="single" w:color="auto" w:sz="4" w:space="0"/>
            </w:tcBorders>
            <w:noWrap w:val="0"/>
            <w:vAlign w:val="center"/>
          </w:tcPr>
          <w:p w14:paraId="7A51812B">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56097E3D">
        <w:tblPrEx>
          <w:tblCellMar>
            <w:top w:w="0" w:type="dxa"/>
            <w:left w:w="108" w:type="dxa"/>
            <w:bottom w:w="0" w:type="dxa"/>
            <w:right w:w="108" w:type="dxa"/>
          </w:tblCellMar>
        </w:tblPrEx>
        <w:trPr>
          <w:trHeight w:val="225" w:hRule="atLeast"/>
        </w:trPr>
        <w:tc>
          <w:tcPr>
            <w:tcW w:w="1029" w:type="pct"/>
            <w:vMerge w:val="continue"/>
            <w:tcBorders>
              <w:top w:val="nil"/>
              <w:left w:val="single" w:color="auto" w:sz="4" w:space="0"/>
              <w:bottom w:val="single" w:color="auto" w:sz="4" w:space="0"/>
              <w:right w:val="single" w:color="auto" w:sz="4" w:space="0"/>
            </w:tcBorders>
            <w:noWrap w:val="0"/>
            <w:vAlign w:val="center"/>
          </w:tcPr>
          <w:p w14:paraId="730B729A">
            <w:pPr>
              <w:widowControl/>
              <w:shd w:val="clear"/>
              <w:jc w:val="left"/>
              <w:rPr>
                <w:rFonts w:ascii="仿宋_GB2312" w:hAnsi="仿宋" w:eastAsia="仿宋_GB2312" w:cs="宋体"/>
                <w:b/>
                <w:bCs/>
                <w:color w:val="auto"/>
                <w:kern w:val="0"/>
                <w:sz w:val="18"/>
                <w:szCs w:val="18"/>
                <w:highlight w:val="none"/>
              </w:rPr>
            </w:pPr>
          </w:p>
        </w:tc>
        <w:tc>
          <w:tcPr>
            <w:tcW w:w="898" w:type="pct"/>
            <w:tcBorders>
              <w:top w:val="nil"/>
              <w:left w:val="nil"/>
              <w:bottom w:val="single" w:color="auto" w:sz="4" w:space="0"/>
              <w:right w:val="single" w:color="auto" w:sz="4" w:space="0"/>
            </w:tcBorders>
            <w:noWrap w:val="0"/>
            <w:vAlign w:val="center"/>
          </w:tcPr>
          <w:p w14:paraId="05B62BB6">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592" w:type="pct"/>
            <w:tcBorders>
              <w:top w:val="nil"/>
              <w:left w:val="nil"/>
              <w:bottom w:val="single" w:color="auto" w:sz="4" w:space="0"/>
              <w:right w:val="single" w:color="auto" w:sz="4" w:space="0"/>
            </w:tcBorders>
            <w:noWrap w:val="0"/>
            <w:vAlign w:val="center"/>
          </w:tcPr>
          <w:p w14:paraId="15C851D0">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051" w:type="pct"/>
            <w:tcBorders>
              <w:top w:val="nil"/>
              <w:left w:val="nil"/>
              <w:bottom w:val="single" w:color="auto" w:sz="4" w:space="0"/>
              <w:right w:val="single" w:color="auto" w:sz="4" w:space="0"/>
            </w:tcBorders>
            <w:noWrap w:val="0"/>
            <w:vAlign w:val="center"/>
          </w:tcPr>
          <w:p w14:paraId="64FB1E1A">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500≤Y＜20000</w:t>
            </w:r>
          </w:p>
        </w:tc>
        <w:tc>
          <w:tcPr>
            <w:tcW w:w="934" w:type="pct"/>
            <w:tcBorders>
              <w:top w:val="nil"/>
              <w:left w:val="nil"/>
              <w:bottom w:val="single" w:color="auto" w:sz="4" w:space="0"/>
              <w:right w:val="single" w:color="auto" w:sz="4" w:space="0"/>
            </w:tcBorders>
            <w:noWrap w:val="0"/>
            <w:vAlign w:val="center"/>
          </w:tcPr>
          <w:p w14:paraId="68B84DA5">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100≤Y＜500</w:t>
            </w:r>
          </w:p>
        </w:tc>
        <w:tc>
          <w:tcPr>
            <w:tcW w:w="494" w:type="pct"/>
            <w:tcBorders>
              <w:top w:val="nil"/>
              <w:left w:val="nil"/>
              <w:bottom w:val="single" w:color="auto" w:sz="4" w:space="0"/>
              <w:right w:val="single" w:color="auto" w:sz="4" w:space="0"/>
            </w:tcBorders>
            <w:noWrap w:val="0"/>
            <w:vAlign w:val="center"/>
          </w:tcPr>
          <w:p w14:paraId="457D8BB8">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2987C5E7">
        <w:tblPrEx>
          <w:tblCellMar>
            <w:top w:w="0" w:type="dxa"/>
            <w:left w:w="108" w:type="dxa"/>
            <w:bottom w:w="0" w:type="dxa"/>
            <w:right w:w="108" w:type="dxa"/>
          </w:tblCellMar>
        </w:tblPrEx>
        <w:trPr>
          <w:trHeight w:val="225" w:hRule="atLeast"/>
        </w:trPr>
        <w:tc>
          <w:tcPr>
            <w:tcW w:w="1029" w:type="pct"/>
            <w:vMerge w:val="restart"/>
            <w:tcBorders>
              <w:top w:val="nil"/>
              <w:left w:val="single" w:color="auto" w:sz="4" w:space="0"/>
              <w:bottom w:val="single" w:color="auto" w:sz="4" w:space="0"/>
              <w:right w:val="single" w:color="auto" w:sz="4" w:space="0"/>
            </w:tcBorders>
            <w:noWrap w:val="0"/>
            <w:vAlign w:val="bottom"/>
          </w:tcPr>
          <w:p w14:paraId="63E57D15">
            <w:pPr>
              <w:widowControl/>
              <w:shd w:val="clear"/>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交通运输业</w:t>
            </w:r>
          </w:p>
        </w:tc>
        <w:tc>
          <w:tcPr>
            <w:tcW w:w="898" w:type="pct"/>
            <w:tcBorders>
              <w:top w:val="nil"/>
              <w:left w:val="nil"/>
              <w:bottom w:val="single" w:color="auto" w:sz="4" w:space="0"/>
              <w:right w:val="single" w:color="auto" w:sz="4" w:space="0"/>
            </w:tcBorders>
            <w:noWrap w:val="0"/>
            <w:vAlign w:val="center"/>
          </w:tcPr>
          <w:p w14:paraId="1B4F15C8">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592" w:type="pct"/>
            <w:tcBorders>
              <w:top w:val="nil"/>
              <w:left w:val="nil"/>
              <w:bottom w:val="single" w:color="auto" w:sz="4" w:space="0"/>
              <w:right w:val="single" w:color="auto" w:sz="4" w:space="0"/>
            </w:tcBorders>
            <w:noWrap w:val="0"/>
            <w:vAlign w:val="center"/>
          </w:tcPr>
          <w:p w14:paraId="40E450D0">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051" w:type="pct"/>
            <w:tcBorders>
              <w:top w:val="nil"/>
              <w:left w:val="nil"/>
              <w:bottom w:val="single" w:color="auto" w:sz="4" w:space="0"/>
              <w:right w:val="single" w:color="auto" w:sz="4" w:space="0"/>
            </w:tcBorders>
            <w:noWrap w:val="0"/>
            <w:vAlign w:val="center"/>
          </w:tcPr>
          <w:p w14:paraId="4F4DF76F">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934" w:type="pct"/>
            <w:tcBorders>
              <w:top w:val="nil"/>
              <w:left w:val="nil"/>
              <w:bottom w:val="single" w:color="auto" w:sz="4" w:space="0"/>
              <w:right w:val="single" w:color="auto" w:sz="4" w:space="0"/>
            </w:tcBorders>
            <w:noWrap w:val="0"/>
            <w:vAlign w:val="center"/>
          </w:tcPr>
          <w:p w14:paraId="5DDEDE43">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20≤X＜300</w:t>
            </w:r>
          </w:p>
        </w:tc>
        <w:tc>
          <w:tcPr>
            <w:tcW w:w="494" w:type="pct"/>
            <w:tcBorders>
              <w:top w:val="nil"/>
              <w:left w:val="nil"/>
              <w:bottom w:val="single" w:color="auto" w:sz="4" w:space="0"/>
              <w:right w:val="single" w:color="auto" w:sz="4" w:space="0"/>
            </w:tcBorders>
            <w:noWrap w:val="0"/>
            <w:vAlign w:val="center"/>
          </w:tcPr>
          <w:p w14:paraId="71D099D2">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6799F46D">
        <w:tblPrEx>
          <w:tblCellMar>
            <w:top w:w="0" w:type="dxa"/>
            <w:left w:w="108" w:type="dxa"/>
            <w:bottom w:w="0" w:type="dxa"/>
            <w:right w:w="108" w:type="dxa"/>
          </w:tblCellMar>
        </w:tblPrEx>
        <w:trPr>
          <w:trHeight w:val="225" w:hRule="atLeast"/>
        </w:trPr>
        <w:tc>
          <w:tcPr>
            <w:tcW w:w="1029" w:type="pct"/>
            <w:vMerge w:val="continue"/>
            <w:tcBorders>
              <w:top w:val="nil"/>
              <w:left w:val="single" w:color="auto" w:sz="4" w:space="0"/>
              <w:bottom w:val="single" w:color="auto" w:sz="4" w:space="0"/>
              <w:right w:val="single" w:color="auto" w:sz="4" w:space="0"/>
            </w:tcBorders>
            <w:noWrap w:val="0"/>
            <w:vAlign w:val="center"/>
          </w:tcPr>
          <w:p w14:paraId="046D3187">
            <w:pPr>
              <w:widowControl/>
              <w:shd w:val="clear"/>
              <w:jc w:val="left"/>
              <w:rPr>
                <w:rFonts w:ascii="仿宋_GB2312" w:hAnsi="仿宋" w:eastAsia="仿宋_GB2312" w:cs="宋体"/>
                <w:b/>
                <w:bCs/>
                <w:color w:val="auto"/>
                <w:kern w:val="0"/>
                <w:sz w:val="18"/>
                <w:szCs w:val="18"/>
                <w:highlight w:val="none"/>
              </w:rPr>
            </w:pPr>
          </w:p>
        </w:tc>
        <w:tc>
          <w:tcPr>
            <w:tcW w:w="898" w:type="pct"/>
            <w:tcBorders>
              <w:top w:val="nil"/>
              <w:left w:val="nil"/>
              <w:bottom w:val="single" w:color="auto" w:sz="4" w:space="0"/>
              <w:right w:val="single" w:color="auto" w:sz="4" w:space="0"/>
            </w:tcBorders>
            <w:noWrap w:val="0"/>
            <w:vAlign w:val="center"/>
          </w:tcPr>
          <w:p w14:paraId="08CF4425">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592" w:type="pct"/>
            <w:tcBorders>
              <w:top w:val="nil"/>
              <w:left w:val="nil"/>
              <w:bottom w:val="single" w:color="auto" w:sz="4" w:space="0"/>
              <w:right w:val="single" w:color="auto" w:sz="4" w:space="0"/>
            </w:tcBorders>
            <w:noWrap w:val="0"/>
            <w:vAlign w:val="center"/>
          </w:tcPr>
          <w:p w14:paraId="4CAD664C">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051" w:type="pct"/>
            <w:tcBorders>
              <w:top w:val="nil"/>
              <w:left w:val="nil"/>
              <w:bottom w:val="single" w:color="auto" w:sz="4" w:space="0"/>
              <w:right w:val="single" w:color="auto" w:sz="4" w:space="0"/>
            </w:tcBorders>
            <w:noWrap w:val="0"/>
            <w:vAlign w:val="center"/>
          </w:tcPr>
          <w:p w14:paraId="4292366D">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3000≤Y＜30000</w:t>
            </w:r>
          </w:p>
        </w:tc>
        <w:tc>
          <w:tcPr>
            <w:tcW w:w="934" w:type="pct"/>
            <w:tcBorders>
              <w:top w:val="nil"/>
              <w:left w:val="nil"/>
              <w:bottom w:val="single" w:color="auto" w:sz="4" w:space="0"/>
              <w:right w:val="single" w:color="auto" w:sz="4" w:space="0"/>
            </w:tcBorders>
            <w:noWrap w:val="0"/>
            <w:vAlign w:val="center"/>
          </w:tcPr>
          <w:p w14:paraId="2A12AFB6">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200≤Y＜3000</w:t>
            </w:r>
          </w:p>
        </w:tc>
        <w:tc>
          <w:tcPr>
            <w:tcW w:w="494" w:type="pct"/>
            <w:tcBorders>
              <w:top w:val="nil"/>
              <w:left w:val="nil"/>
              <w:bottom w:val="single" w:color="auto" w:sz="4" w:space="0"/>
              <w:right w:val="single" w:color="auto" w:sz="4" w:space="0"/>
            </w:tcBorders>
            <w:noWrap w:val="0"/>
            <w:vAlign w:val="center"/>
          </w:tcPr>
          <w:p w14:paraId="2ADB5454">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Y＜200</w:t>
            </w:r>
          </w:p>
        </w:tc>
      </w:tr>
      <w:tr w14:paraId="6EF9BE1B">
        <w:tblPrEx>
          <w:tblCellMar>
            <w:top w:w="0" w:type="dxa"/>
            <w:left w:w="108" w:type="dxa"/>
            <w:bottom w:w="0" w:type="dxa"/>
            <w:right w:w="108" w:type="dxa"/>
          </w:tblCellMar>
        </w:tblPrEx>
        <w:trPr>
          <w:trHeight w:val="225" w:hRule="atLeast"/>
        </w:trPr>
        <w:tc>
          <w:tcPr>
            <w:tcW w:w="1029" w:type="pct"/>
            <w:vMerge w:val="restart"/>
            <w:tcBorders>
              <w:top w:val="nil"/>
              <w:left w:val="single" w:color="auto" w:sz="4" w:space="0"/>
              <w:bottom w:val="single" w:color="auto" w:sz="4" w:space="0"/>
              <w:right w:val="single" w:color="auto" w:sz="4" w:space="0"/>
            </w:tcBorders>
            <w:noWrap w:val="0"/>
            <w:vAlign w:val="bottom"/>
          </w:tcPr>
          <w:p w14:paraId="4510A8E2">
            <w:pPr>
              <w:widowControl/>
              <w:shd w:val="clear"/>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仓储业</w:t>
            </w:r>
          </w:p>
        </w:tc>
        <w:tc>
          <w:tcPr>
            <w:tcW w:w="898" w:type="pct"/>
            <w:tcBorders>
              <w:top w:val="nil"/>
              <w:left w:val="nil"/>
              <w:bottom w:val="single" w:color="auto" w:sz="4" w:space="0"/>
              <w:right w:val="single" w:color="auto" w:sz="4" w:space="0"/>
            </w:tcBorders>
            <w:noWrap w:val="0"/>
            <w:vAlign w:val="center"/>
          </w:tcPr>
          <w:p w14:paraId="155B08B4">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592" w:type="pct"/>
            <w:tcBorders>
              <w:top w:val="nil"/>
              <w:left w:val="nil"/>
              <w:bottom w:val="single" w:color="auto" w:sz="4" w:space="0"/>
              <w:right w:val="single" w:color="auto" w:sz="4" w:space="0"/>
            </w:tcBorders>
            <w:noWrap w:val="0"/>
            <w:vAlign w:val="center"/>
          </w:tcPr>
          <w:p w14:paraId="00E9297C">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051" w:type="pct"/>
            <w:tcBorders>
              <w:top w:val="nil"/>
              <w:left w:val="nil"/>
              <w:bottom w:val="single" w:color="auto" w:sz="4" w:space="0"/>
              <w:right w:val="single" w:color="auto" w:sz="4" w:space="0"/>
            </w:tcBorders>
            <w:noWrap w:val="0"/>
            <w:vAlign w:val="center"/>
          </w:tcPr>
          <w:p w14:paraId="2049615D">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100≤X＜200</w:t>
            </w:r>
          </w:p>
        </w:tc>
        <w:tc>
          <w:tcPr>
            <w:tcW w:w="934" w:type="pct"/>
            <w:tcBorders>
              <w:top w:val="nil"/>
              <w:left w:val="nil"/>
              <w:bottom w:val="single" w:color="auto" w:sz="4" w:space="0"/>
              <w:right w:val="single" w:color="auto" w:sz="4" w:space="0"/>
            </w:tcBorders>
            <w:noWrap w:val="0"/>
            <w:vAlign w:val="center"/>
          </w:tcPr>
          <w:p w14:paraId="7497D903">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20≤X＜100</w:t>
            </w:r>
          </w:p>
        </w:tc>
        <w:tc>
          <w:tcPr>
            <w:tcW w:w="494" w:type="pct"/>
            <w:tcBorders>
              <w:top w:val="nil"/>
              <w:left w:val="nil"/>
              <w:bottom w:val="single" w:color="auto" w:sz="4" w:space="0"/>
              <w:right w:val="single" w:color="auto" w:sz="4" w:space="0"/>
            </w:tcBorders>
            <w:noWrap w:val="0"/>
            <w:vAlign w:val="center"/>
          </w:tcPr>
          <w:p w14:paraId="1AFEFB78">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6C11376B">
        <w:tblPrEx>
          <w:tblCellMar>
            <w:top w:w="0" w:type="dxa"/>
            <w:left w:w="108" w:type="dxa"/>
            <w:bottom w:w="0" w:type="dxa"/>
            <w:right w:w="108" w:type="dxa"/>
          </w:tblCellMar>
        </w:tblPrEx>
        <w:trPr>
          <w:trHeight w:val="225" w:hRule="atLeast"/>
        </w:trPr>
        <w:tc>
          <w:tcPr>
            <w:tcW w:w="1029" w:type="pct"/>
            <w:vMerge w:val="continue"/>
            <w:tcBorders>
              <w:top w:val="nil"/>
              <w:left w:val="single" w:color="auto" w:sz="4" w:space="0"/>
              <w:bottom w:val="single" w:color="auto" w:sz="4" w:space="0"/>
              <w:right w:val="single" w:color="auto" w:sz="4" w:space="0"/>
            </w:tcBorders>
            <w:noWrap w:val="0"/>
            <w:vAlign w:val="center"/>
          </w:tcPr>
          <w:p w14:paraId="1159AB81">
            <w:pPr>
              <w:widowControl/>
              <w:shd w:val="clear"/>
              <w:jc w:val="left"/>
              <w:rPr>
                <w:rFonts w:ascii="仿宋_GB2312" w:hAnsi="仿宋" w:eastAsia="仿宋_GB2312" w:cs="宋体"/>
                <w:b/>
                <w:bCs/>
                <w:color w:val="auto"/>
                <w:kern w:val="0"/>
                <w:sz w:val="18"/>
                <w:szCs w:val="18"/>
                <w:highlight w:val="none"/>
              </w:rPr>
            </w:pPr>
          </w:p>
        </w:tc>
        <w:tc>
          <w:tcPr>
            <w:tcW w:w="898" w:type="pct"/>
            <w:tcBorders>
              <w:top w:val="nil"/>
              <w:left w:val="nil"/>
              <w:bottom w:val="single" w:color="auto" w:sz="4" w:space="0"/>
              <w:right w:val="single" w:color="auto" w:sz="4" w:space="0"/>
            </w:tcBorders>
            <w:noWrap w:val="0"/>
            <w:vAlign w:val="center"/>
          </w:tcPr>
          <w:p w14:paraId="65A03DB6">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592" w:type="pct"/>
            <w:tcBorders>
              <w:top w:val="nil"/>
              <w:left w:val="nil"/>
              <w:bottom w:val="single" w:color="auto" w:sz="4" w:space="0"/>
              <w:right w:val="single" w:color="auto" w:sz="4" w:space="0"/>
            </w:tcBorders>
            <w:noWrap w:val="0"/>
            <w:vAlign w:val="center"/>
          </w:tcPr>
          <w:p w14:paraId="41DFCABC">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051" w:type="pct"/>
            <w:tcBorders>
              <w:top w:val="nil"/>
              <w:left w:val="nil"/>
              <w:bottom w:val="single" w:color="auto" w:sz="4" w:space="0"/>
              <w:right w:val="single" w:color="auto" w:sz="4" w:space="0"/>
            </w:tcBorders>
            <w:noWrap w:val="0"/>
            <w:vAlign w:val="center"/>
          </w:tcPr>
          <w:p w14:paraId="4898B16F">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1000≤Y＜30000</w:t>
            </w:r>
          </w:p>
        </w:tc>
        <w:tc>
          <w:tcPr>
            <w:tcW w:w="934" w:type="pct"/>
            <w:tcBorders>
              <w:top w:val="nil"/>
              <w:left w:val="nil"/>
              <w:bottom w:val="single" w:color="auto" w:sz="4" w:space="0"/>
              <w:right w:val="single" w:color="auto" w:sz="4" w:space="0"/>
            </w:tcBorders>
            <w:noWrap w:val="0"/>
            <w:vAlign w:val="center"/>
          </w:tcPr>
          <w:p w14:paraId="2B66B430">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100≤Y＜1000</w:t>
            </w:r>
          </w:p>
        </w:tc>
        <w:tc>
          <w:tcPr>
            <w:tcW w:w="494" w:type="pct"/>
            <w:tcBorders>
              <w:top w:val="nil"/>
              <w:left w:val="nil"/>
              <w:bottom w:val="single" w:color="auto" w:sz="4" w:space="0"/>
              <w:right w:val="single" w:color="auto" w:sz="4" w:space="0"/>
            </w:tcBorders>
            <w:noWrap w:val="0"/>
            <w:vAlign w:val="center"/>
          </w:tcPr>
          <w:p w14:paraId="12B8E74E">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5334E79B">
        <w:tblPrEx>
          <w:tblCellMar>
            <w:top w:w="0" w:type="dxa"/>
            <w:left w:w="108" w:type="dxa"/>
            <w:bottom w:w="0" w:type="dxa"/>
            <w:right w:w="108" w:type="dxa"/>
          </w:tblCellMar>
        </w:tblPrEx>
        <w:trPr>
          <w:trHeight w:val="225" w:hRule="atLeast"/>
        </w:trPr>
        <w:tc>
          <w:tcPr>
            <w:tcW w:w="1029" w:type="pct"/>
            <w:vMerge w:val="restart"/>
            <w:tcBorders>
              <w:top w:val="nil"/>
              <w:left w:val="single" w:color="auto" w:sz="4" w:space="0"/>
              <w:bottom w:val="single" w:color="auto" w:sz="4" w:space="0"/>
              <w:right w:val="single" w:color="auto" w:sz="4" w:space="0"/>
            </w:tcBorders>
            <w:noWrap w:val="0"/>
            <w:vAlign w:val="bottom"/>
          </w:tcPr>
          <w:p w14:paraId="57949644">
            <w:pPr>
              <w:widowControl/>
              <w:shd w:val="clear"/>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邮政业</w:t>
            </w:r>
          </w:p>
        </w:tc>
        <w:tc>
          <w:tcPr>
            <w:tcW w:w="898" w:type="pct"/>
            <w:tcBorders>
              <w:top w:val="nil"/>
              <w:left w:val="nil"/>
              <w:bottom w:val="single" w:color="auto" w:sz="4" w:space="0"/>
              <w:right w:val="single" w:color="auto" w:sz="4" w:space="0"/>
            </w:tcBorders>
            <w:noWrap w:val="0"/>
            <w:vAlign w:val="center"/>
          </w:tcPr>
          <w:p w14:paraId="37A72256">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592" w:type="pct"/>
            <w:tcBorders>
              <w:top w:val="nil"/>
              <w:left w:val="nil"/>
              <w:bottom w:val="single" w:color="auto" w:sz="4" w:space="0"/>
              <w:right w:val="single" w:color="auto" w:sz="4" w:space="0"/>
            </w:tcBorders>
            <w:noWrap w:val="0"/>
            <w:vAlign w:val="center"/>
          </w:tcPr>
          <w:p w14:paraId="24DD4FBE">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051" w:type="pct"/>
            <w:tcBorders>
              <w:top w:val="nil"/>
              <w:left w:val="nil"/>
              <w:bottom w:val="single" w:color="auto" w:sz="4" w:space="0"/>
              <w:right w:val="single" w:color="auto" w:sz="4" w:space="0"/>
            </w:tcBorders>
            <w:noWrap w:val="0"/>
            <w:vAlign w:val="center"/>
          </w:tcPr>
          <w:p w14:paraId="3FC88D2C">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934" w:type="pct"/>
            <w:tcBorders>
              <w:top w:val="nil"/>
              <w:left w:val="nil"/>
              <w:bottom w:val="single" w:color="auto" w:sz="4" w:space="0"/>
              <w:right w:val="single" w:color="auto" w:sz="4" w:space="0"/>
            </w:tcBorders>
            <w:noWrap w:val="0"/>
            <w:vAlign w:val="center"/>
          </w:tcPr>
          <w:p w14:paraId="5D0048FD">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20≤X＜300</w:t>
            </w:r>
          </w:p>
        </w:tc>
        <w:tc>
          <w:tcPr>
            <w:tcW w:w="494" w:type="pct"/>
            <w:tcBorders>
              <w:top w:val="nil"/>
              <w:left w:val="nil"/>
              <w:bottom w:val="single" w:color="auto" w:sz="4" w:space="0"/>
              <w:right w:val="single" w:color="auto" w:sz="4" w:space="0"/>
            </w:tcBorders>
            <w:noWrap w:val="0"/>
            <w:vAlign w:val="center"/>
          </w:tcPr>
          <w:p w14:paraId="095D2F3B">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3D90C2CA">
        <w:tblPrEx>
          <w:tblCellMar>
            <w:top w:w="0" w:type="dxa"/>
            <w:left w:w="108" w:type="dxa"/>
            <w:bottom w:w="0" w:type="dxa"/>
            <w:right w:w="108" w:type="dxa"/>
          </w:tblCellMar>
        </w:tblPrEx>
        <w:trPr>
          <w:trHeight w:val="225" w:hRule="atLeast"/>
        </w:trPr>
        <w:tc>
          <w:tcPr>
            <w:tcW w:w="1029" w:type="pct"/>
            <w:vMerge w:val="continue"/>
            <w:tcBorders>
              <w:top w:val="nil"/>
              <w:left w:val="single" w:color="auto" w:sz="4" w:space="0"/>
              <w:bottom w:val="single" w:color="auto" w:sz="4" w:space="0"/>
              <w:right w:val="single" w:color="auto" w:sz="4" w:space="0"/>
            </w:tcBorders>
            <w:noWrap w:val="0"/>
            <w:vAlign w:val="center"/>
          </w:tcPr>
          <w:p w14:paraId="1284908A">
            <w:pPr>
              <w:widowControl/>
              <w:shd w:val="clear"/>
              <w:jc w:val="left"/>
              <w:rPr>
                <w:rFonts w:ascii="仿宋_GB2312" w:hAnsi="仿宋" w:eastAsia="仿宋_GB2312" w:cs="宋体"/>
                <w:b/>
                <w:bCs/>
                <w:color w:val="auto"/>
                <w:kern w:val="0"/>
                <w:sz w:val="18"/>
                <w:szCs w:val="18"/>
                <w:highlight w:val="none"/>
              </w:rPr>
            </w:pPr>
          </w:p>
        </w:tc>
        <w:tc>
          <w:tcPr>
            <w:tcW w:w="898" w:type="pct"/>
            <w:tcBorders>
              <w:top w:val="nil"/>
              <w:left w:val="nil"/>
              <w:bottom w:val="single" w:color="auto" w:sz="4" w:space="0"/>
              <w:right w:val="single" w:color="auto" w:sz="4" w:space="0"/>
            </w:tcBorders>
            <w:noWrap w:val="0"/>
            <w:vAlign w:val="center"/>
          </w:tcPr>
          <w:p w14:paraId="1CB88C0C">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592" w:type="pct"/>
            <w:tcBorders>
              <w:top w:val="nil"/>
              <w:left w:val="nil"/>
              <w:bottom w:val="single" w:color="auto" w:sz="4" w:space="0"/>
              <w:right w:val="single" w:color="auto" w:sz="4" w:space="0"/>
            </w:tcBorders>
            <w:noWrap w:val="0"/>
            <w:vAlign w:val="center"/>
          </w:tcPr>
          <w:p w14:paraId="07FCAFC7">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051" w:type="pct"/>
            <w:tcBorders>
              <w:top w:val="nil"/>
              <w:left w:val="nil"/>
              <w:bottom w:val="single" w:color="auto" w:sz="4" w:space="0"/>
              <w:right w:val="single" w:color="auto" w:sz="4" w:space="0"/>
            </w:tcBorders>
            <w:noWrap w:val="0"/>
            <w:vAlign w:val="center"/>
          </w:tcPr>
          <w:p w14:paraId="0728799B">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2000≤Y＜30000</w:t>
            </w:r>
          </w:p>
        </w:tc>
        <w:tc>
          <w:tcPr>
            <w:tcW w:w="934" w:type="pct"/>
            <w:tcBorders>
              <w:top w:val="nil"/>
              <w:left w:val="nil"/>
              <w:bottom w:val="single" w:color="auto" w:sz="4" w:space="0"/>
              <w:right w:val="single" w:color="auto" w:sz="4" w:space="0"/>
            </w:tcBorders>
            <w:noWrap w:val="0"/>
            <w:vAlign w:val="center"/>
          </w:tcPr>
          <w:p w14:paraId="7A7D641B">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100≤Y＜2000</w:t>
            </w:r>
          </w:p>
        </w:tc>
        <w:tc>
          <w:tcPr>
            <w:tcW w:w="494" w:type="pct"/>
            <w:tcBorders>
              <w:top w:val="nil"/>
              <w:left w:val="nil"/>
              <w:bottom w:val="single" w:color="auto" w:sz="4" w:space="0"/>
              <w:right w:val="single" w:color="auto" w:sz="4" w:space="0"/>
            </w:tcBorders>
            <w:noWrap w:val="0"/>
            <w:vAlign w:val="center"/>
          </w:tcPr>
          <w:p w14:paraId="241E515B">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1D554AEE">
        <w:tblPrEx>
          <w:tblCellMar>
            <w:top w:w="0" w:type="dxa"/>
            <w:left w:w="108" w:type="dxa"/>
            <w:bottom w:w="0" w:type="dxa"/>
            <w:right w:w="108" w:type="dxa"/>
          </w:tblCellMar>
        </w:tblPrEx>
        <w:trPr>
          <w:trHeight w:val="225" w:hRule="atLeast"/>
        </w:trPr>
        <w:tc>
          <w:tcPr>
            <w:tcW w:w="1029" w:type="pct"/>
            <w:vMerge w:val="restart"/>
            <w:tcBorders>
              <w:top w:val="nil"/>
              <w:left w:val="single" w:color="auto" w:sz="4" w:space="0"/>
              <w:bottom w:val="single" w:color="auto" w:sz="4" w:space="0"/>
              <w:right w:val="single" w:color="auto" w:sz="4" w:space="0"/>
            </w:tcBorders>
            <w:noWrap w:val="0"/>
            <w:vAlign w:val="bottom"/>
          </w:tcPr>
          <w:p w14:paraId="3424FE4F">
            <w:pPr>
              <w:widowControl/>
              <w:shd w:val="clear"/>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住宿业</w:t>
            </w:r>
          </w:p>
        </w:tc>
        <w:tc>
          <w:tcPr>
            <w:tcW w:w="898" w:type="pct"/>
            <w:tcBorders>
              <w:top w:val="nil"/>
              <w:left w:val="nil"/>
              <w:bottom w:val="single" w:color="auto" w:sz="4" w:space="0"/>
              <w:right w:val="single" w:color="auto" w:sz="4" w:space="0"/>
            </w:tcBorders>
            <w:noWrap w:val="0"/>
            <w:vAlign w:val="center"/>
          </w:tcPr>
          <w:p w14:paraId="07748C05">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592" w:type="pct"/>
            <w:tcBorders>
              <w:top w:val="nil"/>
              <w:left w:val="nil"/>
              <w:bottom w:val="single" w:color="auto" w:sz="4" w:space="0"/>
              <w:right w:val="single" w:color="auto" w:sz="4" w:space="0"/>
            </w:tcBorders>
            <w:noWrap w:val="0"/>
            <w:vAlign w:val="center"/>
          </w:tcPr>
          <w:p w14:paraId="7EDEF49C">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051" w:type="pct"/>
            <w:tcBorders>
              <w:top w:val="nil"/>
              <w:left w:val="nil"/>
              <w:bottom w:val="single" w:color="auto" w:sz="4" w:space="0"/>
              <w:right w:val="single" w:color="auto" w:sz="4" w:space="0"/>
            </w:tcBorders>
            <w:noWrap w:val="0"/>
            <w:vAlign w:val="center"/>
          </w:tcPr>
          <w:p w14:paraId="721619BA">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934" w:type="pct"/>
            <w:tcBorders>
              <w:top w:val="nil"/>
              <w:left w:val="nil"/>
              <w:bottom w:val="single" w:color="auto" w:sz="4" w:space="0"/>
              <w:right w:val="single" w:color="auto" w:sz="4" w:space="0"/>
            </w:tcBorders>
            <w:noWrap w:val="0"/>
            <w:vAlign w:val="center"/>
          </w:tcPr>
          <w:p w14:paraId="2AD6BE25">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494" w:type="pct"/>
            <w:tcBorders>
              <w:top w:val="nil"/>
              <w:left w:val="nil"/>
              <w:bottom w:val="single" w:color="auto" w:sz="4" w:space="0"/>
              <w:right w:val="single" w:color="auto" w:sz="4" w:space="0"/>
            </w:tcBorders>
            <w:noWrap w:val="0"/>
            <w:vAlign w:val="center"/>
          </w:tcPr>
          <w:p w14:paraId="02CCA5E6">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4410DB22">
        <w:tblPrEx>
          <w:tblCellMar>
            <w:top w:w="0" w:type="dxa"/>
            <w:left w:w="108" w:type="dxa"/>
            <w:bottom w:w="0" w:type="dxa"/>
            <w:right w:w="108" w:type="dxa"/>
          </w:tblCellMar>
        </w:tblPrEx>
        <w:trPr>
          <w:trHeight w:val="225" w:hRule="atLeast"/>
        </w:trPr>
        <w:tc>
          <w:tcPr>
            <w:tcW w:w="1029" w:type="pct"/>
            <w:vMerge w:val="continue"/>
            <w:tcBorders>
              <w:top w:val="nil"/>
              <w:left w:val="single" w:color="auto" w:sz="4" w:space="0"/>
              <w:bottom w:val="single" w:color="auto" w:sz="4" w:space="0"/>
              <w:right w:val="single" w:color="auto" w:sz="4" w:space="0"/>
            </w:tcBorders>
            <w:noWrap w:val="0"/>
            <w:vAlign w:val="center"/>
          </w:tcPr>
          <w:p w14:paraId="07AEFF55">
            <w:pPr>
              <w:widowControl/>
              <w:shd w:val="clear"/>
              <w:jc w:val="left"/>
              <w:rPr>
                <w:rFonts w:ascii="仿宋_GB2312" w:hAnsi="仿宋" w:eastAsia="仿宋_GB2312" w:cs="宋体"/>
                <w:b/>
                <w:bCs/>
                <w:color w:val="auto"/>
                <w:kern w:val="0"/>
                <w:sz w:val="18"/>
                <w:szCs w:val="18"/>
                <w:highlight w:val="none"/>
              </w:rPr>
            </w:pPr>
          </w:p>
        </w:tc>
        <w:tc>
          <w:tcPr>
            <w:tcW w:w="898" w:type="pct"/>
            <w:tcBorders>
              <w:top w:val="nil"/>
              <w:left w:val="nil"/>
              <w:bottom w:val="single" w:color="auto" w:sz="4" w:space="0"/>
              <w:right w:val="single" w:color="auto" w:sz="4" w:space="0"/>
            </w:tcBorders>
            <w:noWrap w:val="0"/>
            <w:vAlign w:val="center"/>
          </w:tcPr>
          <w:p w14:paraId="798759DB">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592" w:type="pct"/>
            <w:tcBorders>
              <w:top w:val="nil"/>
              <w:left w:val="nil"/>
              <w:bottom w:val="single" w:color="auto" w:sz="4" w:space="0"/>
              <w:right w:val="single" w:color="auto" w:sz="4" w:space="0"/>
            </w:tcBorders>
            <w:noWrap w:val="0"/>
            <w:vAlign w:val="center"/>
          </w:tcPr>
          <w:p w14:paraId="24000CC9">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051" w:type="pct"/>
            <w:tcBorders>
              <w:top w:val="nil"/>
              <w:left w:val="nil"/>
              <w:bottom w:val="single" w:color="auto" w:sz="4" w:space="0"/>
              <w:right w:val="single" w:color="auto" w:sz="4" w:space="0"/>
            </w:tcBorders>
            <w:noWrap w:val="0"/>
            <w:vAlign w:val="center"/>
          </w:tcPr>
          <w:p w14:paraId="369C0238">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2000≤Y＜10000</w:t>
            </w:r>
          </w:p>
        </w:tc>
        <w:tc>
          <w:tcPr>
            <w:tcW w:w="934" w:type="pct"/>
            <w:tcBorders>
              <w:top w:val="nil"/>
              <w:left w:val="nil"/>
              <w:bottom w:val="single" w:color="auto" w:sz="4" w:space="0"/>
              <w:right w:val="single" w:color="auto" w:sz="4" w:space="0"/>
            </w:tcBorders>
            <w:noWrap w:val="0"/>
            <w:vAlign w:val="center"/>
          </w:tcPr>
          <w:p w14:paraId="67D37E44">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100≤Y＜2000</w:t>
            </w:r>
          </w:p>
        </w:tc>
        <w:tc>
          <w:tcPr>
            <w:tcW w:w="494" w:type="pct"/>
            <w:tcBorders>
              <w:top w:val="nil"/>
              <w:left w:val="nil"/>
              <w:bottom w:val="single" w:color="auto" w:sz="4" w:space="0"/>
              <w:right w:val="single" w:color="auto" w:sz="4" w:space="0"/>
            </w:tcBorders>
            <w:noWrap w:val="0"/>
            <w:vAlign w:val="center"/>
          </w:tcPr>
          <w:p w14:paraId="29E68E3C">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564540E4">
        <w:tblPrEx>
          <w:tblCellMar>
            <w:top w:w="0" w:type="dxa"/>
            <w:left w:w="108" w:type="dxa"/>
            <w:bottom w:w="0" w:type="dxa"/>
            <w:right w:w="108" w:type="dxa"/>
          </w:tblCellMar>
        </w:tblPrEx>
        <w:trPr>
          <w:trHeight w:val="225" w:hRule="atLeast"/>
        </w:trPr>
        <w:tc>
          <w:tcPr>
            <w:tcW w:w="1029" w:type="pct"/>
            <w:vMerge w:val="restart"/>
            <w:tcBorders>
              <w:top w:val="nil"/>
              <w:left w:val="single" w:color="auto" w:sz="4" w:space="0"/>
              <w:bottom w:val="single" w:color="auto" w:sz="4" w:space="0"/>
              <w:right w:val="single" w:color="auto" w:sz="4" w:space="0"/>
            </w:tcBorders>
            <w:noWrap w:val="0"/>
            <w:vAlign w:val="bottom"/>
          </w:tcPr>
          <w:p w14:paraId="3AB60838">
            <w:pPr>
              <w:widowControl/>
              <w:shd w:val="clear"/>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餐饮业</w:t>
            </w:r>
          </w:p>
        </w:tc>
        <w:tc>
          <w:tcPr>
            <w:tcW w:w="898" w:type="pct"/>
            <w:tcBorders>
              <w:top w:val="nil"/>
              <w:left w:val="nil"/>
              <w:bottom w:val="single" w:color="auto" w:sz="4" w:space="0"/>
              <w:right w:val="single" w:color="auto" w:sz="4" w:space="0"/>
            </w:tcBorders>
            <w:noWrap w:val="0"/>
            <w:vAlign w:val="center"/>
          </w:tcPr>
          <w:p w14:paraId="2BBB8BE8">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592" w:type="pct"/>
            <w:tcBorders>
              <w:top w:val="nil"/>
              <w:left w:val="nil"/>
              <w:bottom w:val="single" w:color="auto" w:sz="4" w:space="0"/>
              <w:right w:val="single" w:color="auto" w:sz="4" w:space="0"/>
            </w:tcBorders>
            <w:noWrap w:val="0"/>
            <w:vAlign w:val="center"/>
          </w:tcPr>
          <w:p w14:paraId="23F4406F">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051" w:type="pct"/>
            <w:tcBorders>
              <w:top w:val="nil"/>
              <w:left w:val="nil"/>
              <w:bottom w:val="single" w:color="auto" w:sz="4" w:space="0"/>
              <w:right w:val="single" w:color="auto" w:sz="4" w:space="0"/>
            </w:tcBorders>
            <w:noWrap w:val="0"/>
            <w:vAlign w:val="center"/>
          </w:tcPr>
          <w:p w14:paraId="37D2DD70">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934" w:type="pct"/>
            <w:tcBorders>
              <w:top w:val="nil"/>
              <w:left w:val="nil"/>
              <w:bottom w:val="single" w:color="auto" w:sz="4" w:space="0"/>
              <w:right w:val="single" w:color="auto" w:sz="4" w:space="0"/>
            </w:tcBorders>
            <w:noWrap w:val="0"/>
            <w:vAlign w:val="center"/>
          </w:tcPr>
          <w:p w14:paraId="4D723FB2">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494" w:type="pct"/>
            <w:tcBorders>
              <w:top w:val="nil"/>
              <w:left w:val="nil"/>
              <w:bottom w:val="single" w:color="auto" w:sz="4" w:space="0"/>
              <w:right w:val="single" w:color="auto" w:sz="4" w:space="0"/>
            </w:tcBorders>
            <w:noWrap w:val="0"/>
            <w:vAlign w:val="center"/>
          </w:tcPr>
          <w:p w14:paraId="77077E3D">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3C696BB8">
        <w:tblPrEx>
          <w:tblCellMar>
            <w:top w:w="0" w:type="dxa"/>
            <w:left w:w="108" w:type="dxa"/>
            <w:bottom w:w="0" w:type="dxa"/>
            <w:right w:w="108" w:type="dxa"/>
          </w:tblCellMar>
        </w:tblPrEx>
        <w:trPr>
          <w:trHeight w:val="225" w:hRule="atLeast"/>
        </w:trPr>
        <w:tc>
          <w:tcPr>
            <w:tcW w:w="1029" w:type="pct"/>
            <w:vMerge w:val="continue"/>
            <w:tcBorders>
              <w:top w:val="nil"/>
              <w:left w:val="single" w:color="auto" w:sz="4" w:space="0"/>
              <w:bottom w:val="single" w:color="auto" w:sz="4" w:space="0"/>
              <w:right w:val="single" w:color="auto" w:sz="4" w:space="0"/>
            </w:tcBorders>
            <w:noWrap w:val="0"/>
            <w:vAlign w:val="center"/>
          </w:tcPr>
          <w:p w14:paraId="0C917A39">
            <w:pPr>
              <w:widowControl/>
              <w:shd w:val="clear"/>
              <w:jc w:val="left"/>
              <w:rPr>
                <w:rFonts w:ascii="仿宋_GB2312" w:hAnsi="仿宋" w:eastAsia="仿宋_GB2312" w:cs="宋体"/>
                <w:b/>
                <w:bCs/>
                <w:color w:val="auto"/>
                <w:kern w:val="0"/>
                <w:sz w:val="18"/>
                <w:szCs w:val="18"/>
                <w:highlight w:val="none"/>
              </w:rPr>
            </w:pPr>
          </w:p>
        </w:tc>
        <w:tc>
          <w:tcPr>
            <w:tcW w:w="898" w:type="pct"/>
            <w:tcBorders>
              <w:top w:val="nil"/>
              <w:left w:val="nil"/>
              <w:bottom w:val="single" w:color="auto" w:sz="4" w:space="0"/>
              <w:right w:val="single" w:color="auto" w:sz="4" w:space="0"/>
            </w:tcBorders>
            <w:noWrap w:val="0"/>
            <w:vAlign w:val="center"/>
          </w:tcPr>
          <w:p w14:paraId="4CF2403C">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592" w:type="pct"/>
            <w:tcBorders>
              <w:top w:val="nil"/>
              <w:left w:val="nil"/>
              <w:bottom w:val="single" w:color="auto" w:sz="4" w:space="0"/>
              <w:right w:val="single" w:color="auto" w:sz="4" w:space="0"/>
            </w:tcBorders>
            <w:noWrap w:val="0"/>
            <w:vAlign w:val="center"/>
          </w:tcPr>
          <w:p w14:paraId="6B65BB36">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051" w:type="pct"/>
            <w:tcBorders>
              <w:top w:val="nil"/>
              <w:left w:val="nil"/>
              <w:bottom w:val="single" w:color="auto" w:sz="4" w:space="0"/>
              <w:right w:val="single" w:color="auto" w:sz="4" w:space="0"/>
            </w:tcBorders>
            <w:noWrap w:val="0"/>
            <w:vAlign w:val="center"/>
          </w:tcPr>
          <w:p w14:paraId="28FEB069">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2000≤Y＜10000</w:t>
            </w:r>
          </w:p>
        </w:tc>
        <w:tc>
          <w:tcPr>
            <w:tcW w:w="934" w:type="pct"/>
            <w:tcBorders>
              <w:top w:val="nil"/>
              <w:left w:val="nil"/>
              <w:bottom w:val="single" w:color="auto" w:sz="4" w:space="0"/>
              <w:right w:val="single" w:color="auto" w:sz="4" w:space="0"/>
            </w:tcBorders>
            <w:noWrap w:val="0"/>
            <w:vAlign w:val="center"/>
          </w:tcPr>
          <w:p w14:paraId="7F5F36CE">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100≤Y＜2000</w:t>
            </w:r>
          </w:p>
        </w:tc>
        <w:tc>
          <w:tcPr>
            <w:tcW w:w="494" w:type="pct"/>
            <w:tcBorders>
              <w:top w:val="nil"/>
              <w:left w:val="nil"/>
              <w:bottom w:val="single" w:color="auto" w:sz="4" w:space="0"/>
              <w:right w:val="single" w:color="auto" w:sz="4" w:space="0"/>
            </w:tcBorders>
            <w:noWrap w:val="0"/>
            <w:vAlign w:val="center"/>
          </w:tcPr>
          <w:p w14:paraId="776E9DC3">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29E512D1">
        <w:tblPrEx>
          <w:tblCellMar>
            <w:top w:w="0" w:type="dxa"/>
            <w:left w:w="108" w:type="dxa"/>
            <w:bottom w:w="0" w:type="dxa"/>
            <w:right w:w="108" w:type="dxa"/>
          </w:tblCellMar>
        </w:tblPrEx>
        <w:trPr>
          <w:trHeight w:val="225" w:hRule="atLeast"/>
        </w:trPr>
        <w:tc>
          <w:tcPr>
            <w:tcW w:w="1029" w:type="pct"/>
            <w:vMerge w:val="restart"/>
            <w:tcBorders>
              <w:top w:val="nil"/>
              <w:left w:val="single" w:color="auto" w:sz="4" w:space="0"/>
              <w:bottom w:val="single" w:color="auto" w:sz="4" w:space="0"/>
              <w:right w:val="single" w:color="auto" w:sz="4" w:space="0"/>
            </w:tcBorders>
            <w:noWrap w:val="0"/>
            <w:vAlign w:val="bottom"/>
          </w:tcPr>
          <w:p w14:paraId="6BB95BE9">
            <w:pPr>
              <w:widowControl/>
              <w:shd w:val="clear"/>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信息传输业</w:t>
            </w:r>
          </w:p>
        </w:tc>
        <w:tc>
          <w:tcPr>
            <w:tcW w:w="898" w:type="pct"/>
            <w:tcBorders>
              <w:top w:val="nil"/>
              <w:left w:val="nil"/>
              <w:bottom w:val="single" w:color="auto" w:sz="4" w:space="0"/>
              <w:right w:val="single" w:color="auto" w:sz="4" w:space="0"/>
            </w:tcBorders>
            <w:noWrap w:val="0"/>
            <w:vAlign w:val="center"/>
          </w:tcPr>
          <w:p w14:paraId="197D0EF4">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592" w:type="pct"/>
            <w:tcBorders>
              <w:top w:val="nil"/>
              <w:left w:val="nil"/>
              <w:bottom w:val="single" w:color="auto" w:sz="4" w:space="0"/>
              <w:right w:val="single" w:color="auto" w:sz="4" w:space="0"/>
            </w:tcBorders>
            <w:noWrap w:val="0"/>
            <w:vAlign w:val="center"/>
          </w:tcPr>
          <w:p w14:paraId="610551F3">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051" w:type="pct"/>
            <w:tcBorders>
              <w:top w:val="nil"/>
              <w:left w:val="nil"/>
              <w:bottom w:val="single" w:color="auto" w:sz="4" w:space="0"/>
              <w:right w:val="single" w:color="auto" w:sz="4" w:space="0"/>
            </w:tcBorders>
            <w:noWrap w:val="0"/>
            <w:vAlign w:val="center"/>
          </w:tcPr>
          <w:p w14:paraId="1EF06BA3">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100≤X＜2000</w:t>
            </w:r>
          </w:p>
        </w:tc>
        <w:tc>
          <w:tcPr>
            <w:tcW w:w="934" w:type="pct"/>
            <w:tcBorders>
              <w:top w:val="nil"/>
              <w:left w:val="nil"/>
              <w:bottom w:val="single" w:color="auto" w:sz="4" w:space="0"/>
              <w:right w:val="single" w:color="auto" w:sz="4" w:space="0"/>
            </w:tcBorders>
            <w:noWrap w:val="0"/>
            <w:vAlign w:val="center"/>
          </w:tcPr>
          <w:p w14:paraId="67DB2035">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494" w:type="pct"/>
            <w:tcBorders>
              <w:top w:val="nil"/>
              <w:left w:val="nil"/>
              <w:bottom w:val="single" w:color="auto" w:sz="4" w:space="0"/>
              <w:right w:val="single" w:color="auto" w:sz="4" w:space="0"/>
            </w:tcBorders>
            <w:noWrap w:val="0"/>
            <w:vAlign w:val="center"/>
          </w:tcPr>
          <w:p w14:paraId="7D93DD71">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62F9CD84">
        <w:tblPrEx>
          <w:tblCellMar>
            <w:top w:w="0" w:type="dxa"/>
            <w:left w:w="108" w:type="dxa"/>
            <w:bottom w:w="0" w:type="dxa"/>
            <w:right w:w="108" w:type="dxa"/>
          </w:tblCellMar>
        </w:tblPrEx>
        <w:trPr>
          <w:trHeight w:val="225" w:hRule="atLeast"/>
        </w:trPr>
        <w:tc>
          <w:tcPr>
            <w:tcW w:w="1029" w:type="pct"/>
            <w:vMerge w:val="continue"/>
            <w:tcBorders>
              <w:top w:val="nil"/>
              <w:left w:val="single" w:color="auto" w:sz="4" w:space="0"/>
              <w:bottom w:val="single" w:color="auto" w:sz="4" w:space="0"/>
              <w:right w:val="single" w:color="auto" w:sz="4" w:space="0"/>
            </w:tcBorders>
            <w:noWrap w:val="0"/>
            <w:vAlign w:val="center"/>
          </w:tcPr>
          <w:p w14:paraId="6D22D23E">
            <w:pPr>
              <w:widowControl/>
              <w:shd w:val="clear"/>
              <w:jc w:val="left"/>
              <w:rPr>
                <w:rFonts w:ascii="仿宋_GB2312" w:hAnsi="仿宋" w:eastAsia="仿宋_GB2312" w:cs="宋体"/>
                <w:b/>
                <w:bCs/>
                <w:color w:val="auto"/>
                <w:kern w:val="0"/>
                <w:sz w:val="18"/>
                <w:szCs w:val="18"/>
                <w:highlight w:val="none"/>
              </w:rPr>
            </w:pPr>
          </w:p>
        </w:tc>
        <w:tc>
          <w:tcPr>
            <w:tcW w:w="898" w:type="pct"/>
            <w:tcBorders>
              <w:top w:val="nil"/>
              <w:left w:val="nil"/>
              <w:bottom w:val="single" w:color="auto" w:sz="4" w:space="0"/>
              <w:right w:val="single" w:color="auto" w:sz="4" w:space="0"/>
            </w:tcBorders>
            <w:noWrap w:val="0"/>
            <w:vAlign w:val="center"/>
          </w:tcPr>
          <w:p w14:paraId="54055151">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592" w:type="pct"/>
            <w:tcBorders>
              <w:top w:val="nil"/>
              <w:left w:val="nil"/>
              <w:bottom w:val="single" w:color="auto" w:sz="4" w:space="0"/>
              <w:right w:val="single" w:color="auto" w:sz="4" w:space="0"/>
            </w:tcBorders>
            <w:noWrap w:val="0"/>
            <w:vAlign w:val="center"/>
          </w:tcPr>
          <w:p w14:paraId="0E43EDCF">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051" w:type="pct"/>
            <w:tcBorders>
              <w:top w:val="nil"/>
              <w:left w:val="nil"/>
              <w:bottom w:val="single" w:color="auto" w:sz="4" w:space="0"/>
              <w:right w:val="single" w:color="auto" w:sz="4" w:space="0"/>
            </w:tcBorders>
            <w:noWrap w:val="0"/>
            <w:vAlign w:val="center"/>
          </w:tcPr>
          <w:p w14:paraId="0548B2D4">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1000≤Y＜100000</w:t>
            </w:r>
          </w:p>
        </w:tc>
        <w:tc>
          <w:tcPr>
            <w:tcW w:w="934" w:type="pct"/>
            <w:tcBorders>
              <w:top w:val="nil"/>
              <w:left w:val="nil"/>
              <w:bottom w:val="single" w:color="auto" w:sz="4" w:space="0"/>
              <w:right w:val="single" w:color="auto" w:sz="4" w:space="0"/>
            </w:tcBorders>
            <w:noWrap w:val="0"/>
            <w:vAlign w:val="center"/>
          </w:tcPr>
          <w:p w14:paraId="418EDED0">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100≤Y＜1000</w:t>
            </w:r>
          </w:p>
        </w:tc>
        <w:tc>
          <w:tcPr>
            <w:tcW w:w="494" w:type="pct"/>
            <w:tcBorders>
              <w:top w:val="nil"/>
              <w:left w:val="nil"/>
              <w:bottom w:val="single" w:color="auto" w:sz="4" w:space="0"/>
              <w:right w:val="single" w:color="auto" w:sz="4" w:space="0"/>
            </w:tcBorders>
            <w:noWrap w:val="0"/>
            <w:vAlign w:val="center"/>
          </w:tcPr>
          <w:p w14:paraId="4C3B39DA">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451DCD10">
        <w:tblPrEx>
          <w:tblCellMar>
            <w:top w:w="0" w:type="dxa"/>
            <w:left w:w="108" w:type="dxa"/>
            <w:bottom w:w="0" w:type="dxa"/>
            <w:right w:w="108" w:type="dxa"/>
          </w:tblCellMar>
        </w:tblPrEx>
        <w:trPr>
          <w:trHeight w:val="225" w:hRule="atLeast"/>
        </w:trPr>
        <w:tc>
          <w:tcPr>
            <w:tcW w:w="1029" w:type="pct"/>
            <w:vMerge w:val="restart"/>
            <w:tcBorders>
              <w:top w:val="nil"/>
              <w:left w:val="single" w:color="auto" w:sz="4" w:space="0"/>
              <w:bottom w:val="single" w:color="auto" w:sz="4" w:space="0"/>
              <w:right w:val="single" w:color="auto" w:sz="4" w:space="0"/>
            </w:tcBorders>
            <w:noWrap w:val="0"/>
            <w:vAlign w:val="bottom"/>
          </w:tcPr>
          <w:p w14:paraId="68B3E32D">
            <w:pPr>
              <w:widowControl/>
              <w:shd w:val="clear"/>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软件和信息技术服务业</w:t>
            </w:r>
          </w:p>
        </w:tc>
        <w:tc>
          <w:tcPr>
            <w:tcW w:w="898" w:type="pct"/>
            <w:tcBorders>
              <w:top w:val="nil"/>
              <w:left w:val="nil"/>
              <w:bottom w:val="single" w:color="auto" w:sz="4" w:space="0"/>
              <w:right w:val="single" w:color="auto" w:sz="4" w:space="0"/>
            </w:tcBorders>
            <w:noWrap w:val="0"/>
            <w:vAlign w:val="center"/>
          </w:tcPr>
          <w:p w14:paraId="6DC84727">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592" w:type="pct"/>
            <w:tcBorders>
              <w:top w:val="nil"/>
              <w:left w:val="nil"/>
              <w:bottom w:val="single" w:color="auto" w:sz="4" w:space="0"/>
              <w:right w:val="single" w:color="auto" w:sz="4" w:space="0"/>
            </w:tcBorders>
            <w:noWrap w:val="0"/>
            <w:vAlign w:val="center"/>
          </w:tcPr>
          <w:p w14:paraId="2DAC7970">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051" w:type="pct"/>
            <w:tcBorders>
              <w:top w:val="nil"/>
              <w:left w:val="nil"/>
              <w:bottom w:val="single" w:color="auto" w:sz="4" w:space="0"/>
              <w:right w:val="single" w:color="auto" w:sz="4" w:space="0"/>
            </w:tcBorders>
            <w:noWrap w:val="0"/>
            <w:vAlign w:val="center"/>
          </w:tcPr>
          <w:p w14:paraId="72689E87">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934" w:type="pct"/>
            <w:tcBorders>
              <w:top w:val="nil"/>
              <w:left w:val="nil"/>
              <w:bottom w:val="single" w:color="auto" w:sz="4" w:space="0"/>
              <w:right w:val="single" w:color="auto" w:sz="4" w:space="0"/>
            </w:tcBorders>
            <w:noWrap w:val="0"/>
            <w:vAlign w:val="center"/>
          </w:tcPr>
          <w:p w14:paraId="3FB9DBE8">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494" w:type="pct"/>
            <w:tcBorders>
              <w:top w:val="nil"/>
              <w:left w:val="nil"/>
              <w:bottom w:val="single" w:color="auto" w:sz="4" w:space="0"/>
              <w:right w:val="single" w:color="auto" w:sz="4" w:space="0"/>
            </w:tcBorders>
            <w:noWrap w:val="0"/>
            <w:vAlign w:val="center"/>
          </w:tcPr>
          <w:p w14:paraId="000615AF">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5D177A70">
        <w:tblPrEx>
          <w:tblCellMar>
            <w:top w:w="0" w:type="dxa"/>
            <w:left w:w="108" w:type="dxa"/>
            <w:bottom w:w="0" w:type="dxa"/>
            <w:right w:w="108" w:type="dxa"/>
          </w:tblCellMar>
        </w:tblPrEx>
        <w:trPr>
          <w:trHeight w:val="225" w:hRule="atLeast"/>
        </w:trPr>
        <w:tc>
          <w:tcPr>
            <w:tcW w:w="1029" w:type="pct"/>
            <w:vMerge w:val="continue"/>
            <w:tcBorders>
              <w:top w:val="nil"/>
              <w:left w:val="single" w:color="auto" w:sz="4" w:space="0"/>
              <w:bottom w:val="single" w:color="auto" w:sz="4" w:space="0"/>
              <w:right w:val="single" w:color="auto" w:sz="4" w:space="0"/>
            </w:tcBorders>
            <w:noWrap w:val="0"/>
            <w:vAlign w:val="center"/>
          </w:tcPr>
          <w:p w14:paraId="0B148DE4">
            <w:pPr>
              <w:widowControl/>
              <w:shd w:val="clear"/>
              <w:jc w:val="left"/>
              <w:rPr>
                <w:rFonts w:ascii="仿宋_GB2312" w:hAnsi="仿宋" w:eastAsia="仿宋_GB2312" w:cs="宋体"/>
                <w:b/>
                <w:bCs/>
                <w:color w:val="auto"/>
                <w:kern w:val="0"/>
                <w:sz w:val="18"/>
                <w:szCs w:val="18"/>
                <w:highlight w:val="none"/>
              </w:rPr>
            </w:pPr>
          </w:p>
        </w:tc>
        <w:tc>
          <w:tcPr>
            <w:tcW w:w="898" w:type="pct"/>
            <w:tcBorders>
              <w:top w:val="nil"/>
              <w:left w:val="nil"/>
              <w:bottom w:val="single" w:color="auto" w:sz="4" w:space="0"/>
              <w:right w:val="single" w:color="auto" w:sz="4" w:space="0"/>
            </w:tcBorders>
            <w:noWrap w:val="0"/>
            <w:vAlign w:val="center"/>
          </w:tcPr>
          <w:p w14:paraId="16F1CD51">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592" w:type="pct"/>
            <w:tcBorders>
              <w:top w:val="nil"/>
              <w:left w:val="nil"/>
              <w:bottom w:val="single" w:color="auto" w:sz="4" w:space="0"/>
              <w:right w:val="single" w:color="auto" w:sz="4" w:space="0"/>
            </w:tcBorders>
            <w:noWrap w:val="0"/>
            <w:vAlign w:val="center"/>
          </w:tcPr>
          <w:p w14:paraId="5BFD335E">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051" w:type="pct"/>
            <w:tcBorders>
              <w:top w:val="nil"/>
              <w:left w:val="nil"/>
              <w:bottom w:val="single" w:color="auto" w:sz="4" w:space="0"/>
              <w:right w:val="single" w:color="auto" w:sz="4" w:space="0"/>
            </w:tcBorders>
            <w:noWrap w:val="0"/>
            <w:vAlign w:val="center"/>
          </w:tcPr>
          <w:p w14:paraId="73714D06">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1000≤Y＜10000</w:t>
            </w:r>
          </w:p>
        </w:tc>
        <w:tc>
          <w:tcPr>
            <w:tcW w:w="934" w:type="pct"/>
            <w:tcBorders>
              <w:top w:val="nil"/>
              <w:left w:val="nil"/>
              <w:bottom w:val="single" w:color="auto" w:sz="4" w:space="0"/>
              <w:right w:val="single" w:color="auto" w:sz="4" w:space="0"/>
            </w:tcBorders>
            <w:noWrap w:val="0"/>
            <w:vAlign w:val="center"/>
          </w:tcPr>
          <w:p w14:paraId="60C99A05">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50≤Y＜1000</w:t>
            </w:r>
          </w:p>
        </w:tc>
        <w:tc>
          <w:tcPr>
            <w:tcW w:w="494" w:type="pct"/>
            <w:tcBorders>
              <w:top w:val="nil"/>
              <w:left w:val="nil"/>
              <w:bottom w:val="single" w:color="auto" w:sz="4" w:space="0"/>
              <w:right w:val="single" w:color="auto" w:sz="4" w:space="0"/>
            </w:tcBorders>
            <w:noWrap w:val="0"/>
            <w:vAlign w:val="center"/>
          </w:tcPr>
          <w:p w14:paraId="7A019498">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Y＜50</w:t>
            </w:r>
          </w:p>
        </w:tc>
      </w:tr>
      <w:tr w14:paraId="056A8101">
        <w:tblPrEx>
          <w:tblCellMar>
            <w:top w:w="0" w:type="dxa"/>
            <w:left w:w="108" w:type="dxa"/>
            <w:bottom w:w="0" w:type="dxa"/>
            <w:right w:w="108" w:type="dxa"/>
          </w:tblCellMar>
        </w:tblPrEx>
        <w:trPr>
          <w:trHeight w:val="225" w:hRule="atLeast"/>
        </w:trPr>
        <w:tc>
          <w:tcPr>
            <w:tcW w:w="1029" w:type="pct"/>
            <w:vMerge w:val="restart"/>
            <w:tcBorders>
              <w:top w:val="nil"/>
              <w:left w:val="single" w:color="auto" w:sz="4" w:space="0"/>
              <w:bottom w:val="single" w:color="auto" w:sz="4" w:space="0"/>
              <w:right w:val="single" w:color="auto" w:sz="4" w:space="0"/>
            </w:tcBorders>
            <w:noWrap w:val="0"/>
            <w:vAlign w:val="bottom"/>
          </w:tcPr>
          <w:p w14:paraId="1C04C93F">
            <w:pPr>
              <w:widowControl/>
              <w:shd w:val="clear"/>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房地产开发经营</w:t>
            </w:r>
          </w:p>
        </w:tc>
        <w:tc>
          <w:tcPr>
            <w:tcW w:w="898" w:type="pct"/>
            <w:tcBorders>
              <w:top w:val="nil"/>
              <w:left w:val="nil"/>
              <w:bottom w:val="single" w:color="auto" w:sz="4" w:space="0"/>
              <w:right w:val="single" w:color="auto" w:sz="4" w:space="0"/>
            </w:tcBorders>
            <w:noWrap w:val="0"/>
            <w:vAlign w:val="center"/>
          </w:tcPr>
          <w:p w14:paraId="07CADB24">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592" w:type="pct"/>
            <w:tcBorders>
              <w:top w:val="nil"/>
              <w:left w:val="nil"/>
              <w:bottom w:val="single" w:color="auto" w:sz="4" w:space="0"/>
              <w:right w:val="single" w:color="auto" w:sz="4" w:space="0"/>
            </w:tcBorders>
            <w:noWrap w:val="0"/>
            <w:vAlign w:val="center"/>
          </w:tcPr>
          <w:p w14:paraId="5020C027">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051" w:type="pct"/>
            <w:tcBorders>
              <w:top w:val="nil"/>
              <w:left w:val="nil"/>
              <w:bottom w:val="single" w:color="auto" w:sz="4" w:space="0"/>
              <w:right w:val="single" w:color="auto" w:sz="4" w:space="0"/>
            </w:tcBorders>
            <w:noWrap w:val="0"/>
            <w:vAlign w:val="center"/>
          </w:tcPr>
          <w:p w14:paraId="587A1F52">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1000≤Y＜200000</w:t>
            </w:r>
          </w:p>
        </w:tc>
        <w:tc>
          <w:tcPr>
            <w:tcW w:w="934" w:type="pct"/>
            <w:tcBorders>
              <w:top w:val="nil"/>
              <w:left w:val="nil"/>
              <w:bottom w:val="single" w:color="auto" w:sz="4" w:space="0"/>
              <w:right w:val="single" w:color="auto" w:sz="4" w:space="0"/>
            </w:tcBorders>
            <w:noWrap w:val="0"/>
            <w:vAlign w:val="center"/>
          </w:tcPr>
          <w:p w14:paraId="4C1B103D">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100≤X＜1000</w:t>
            </w:r>
          </w:p>
        </w:tc>
        <w:tc>
          <w:tcPr>
            <w:tcW w:w="494" w:type="pct"/>
            <w:tcBorders>
              <w:top w:val="nil"/>
              <w:left w:val="nil"/>
              <w:bottom w:val="single" w:color="auto" w:sz="4" w:space="0"/>
              <w:right w:val="single" w:color="auto" w:sz="4" w:space="0"/>
            </w:tcBorders>
            <w:noWrap w:val="0"/>
            <w:vAlign w:val="center"/>
          </w:tcPr>
          <w:p w14:paraId="42982A0C">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X＜100</w:t>
            </w:r>
          </w:p>
        </w:tc>
      </w:tr>
      <w:tr w14:paraId="7B201949">
        <w:tblPrEx>
          <w:tblCellMar>
            <w:top w:w="0" w:type="dxa"/>
            <w:left w:w="108" w:type="dxa"/>
            <w:bottom w:w="0" w:type="dxa"/>
            <w:right w:w="108" w:type="dxa"/>
          </w:tblCellMar>
        </w:tblPrEx>
        <w:trPr>
          <w:trHeight w:val="225" w:hRule="atLeast"/>
        </w:trPr>
        <w:tc>
          <w:tcPr>
            <w:tcW w:w="1029" w:type="pct"/>
            <w:vMerge w:val="continue"/>
            <w:tcBorders>
              <w:top w:val="nil"/>
              <w:left w:val="single" w:color="auto" w:sz="4" w:space="0"/>
              <w:bottom w:val="single" w:color="auto" w:sz="4" w:space="0"/>
              <w:right w:val="single" w:color="auto" w:sz="4" w:space="0"/>
            </w:tcBorders>
            <w:noWrap w:val="0"/>
            <w:vAlign w:val="center"/>
          </w:tcPr>
          <w:p w14:paraId="6E1EB017">
            <w:pPr>
              <w:widowControl/>
              <w:shd w:val="clear"/>
              <w:jc w:val="left"/>
              <w:rPr>
                <w:rFonts w:ascii="仿宋_GB2312" w:hAnsi="仿宋" w:eastAsia="仿宋_GB2312" w:cs="宋体"/>
                <w:b/>
                <w:bCs/>
                <w:color w:val="auto"/>
                <w:kern w:val="0"/>
                <w:sz w:val="18"/>
                <w:szCs w:val="18"/>
                <w:highlight w:val="none"/>
              </w:rPr>
            </w:pPr>
          </w:p>
        </w:tc>
        <w:tc>
          <w:tcPr>
            <w:tcW w:w="898" w:type="pct"/>
            <w:tcBorders>
              <w:top w:val="nil"/>
              <w:left w:val="nil"/>
              <w:bottom w:val="single" w:color="auto" w:sz="4" w:space="0"/>
              <w:right w:val="single" w:color="auto" w:sz="4" w:space="0"/>
            </w:tcBorders>
            <w:noWrap w:val="0"/>
            <w:vAlign w:val="center"/>
          </w:tcPr>
          <w:p w14:paraId="01581DD2">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资产总额（Z）</w:t>
            </w:r>
          </w:p>
        </w:tc>
        <w:tc>
          <w:tcPr>
            <w:tcW w:w="592" w:type="pct"/>
            <w:tcBorders>
              <w:top w:val="nil"/>
              <w:left w:val="nil"/>
              <w:bottom w:val="single" w:color="auto" w:sz="4" w:space="0"/>
              <w:right w:val="single" w:color="auto" w:sz="4" w:space="0"/>
            </w:tcBorders>
            <w:noWrap w:val="0"/>
            <w:vAlign w:val="center"/>
          </w:tcPr>
          <w:p w14:paraId="073139A2">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051" w:type="pct"/>
            <w:tcBorders>
              <w:top w:val="nil"/>
              <w:left w:val="nil"/>
              <w:bottom w:val="single" w:color="auto" w:sz="4" w:space="0"/>
              <w:right w:val="single" w:color="auto" w:sz="4" w:space="0"/>
            </w:tcBorders>
            <w:noWrap w:val="0"/>
            <w:vAlign w:val="center"/>
          </w:tcPr>
          <w:p w14:paraId="0C616112">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5000≤Z＜10000</w:t>
            </w:r>
          </w:p>
        </w:tc>
        <w:tc>
          <w:tcPr>
            <w:tcW w:w="934" w:type="pct"/>
            <w:tcBorders>
              <w:top w:val="nil"/>
              <w:left w:val="nil"/>
              <w:bottom w:val="single" w:color="auto" w:sz="4" w:space="0"/>
              <w:right w:val="single" w:color="auto" w:sz="4" w:space="0"/>
            </w:tcBorders>
            <w:noWrap w:val="0"/>
            <w:vAlign w:val="center"/>
          </w:tcPr>
          <w:p w14:paraId="03BB0FC6">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2000≤Y＜5000</w:t>
            </w:r>
          </w:p>
        </w:tc>
        <w:tc>
          <w:tcPr>
            <w:tcW w:w="494" w:type="pct"/>
            <w:tcBorders>
              <w:top w:val="nil"/>
              <w:left w:val="nil"/>
              <w:bottom w:val="single" w:color="auto" w:sz="4" w:space="0"/>
              <w:right w:val="single" w:color="auto" w:sz="4" w:space="0"/>
            </w:tcBorders>
            <w:noWrap w:val="0"/>
            <w:vAlign w:val="center"/>
          </w:tcPr>
          <w:p w14:paraId="48A2F4BF">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Y＜2000</w:t>
            </w:r>
          </w:p>
        </w:tc>
      </w:tr>
      <w:tr w14:paraId="0FF8064D">
        <w:tblPrEx>
          <w:tblCellMar>
            <w:top w:w="0" w:type="dxa"/>
            <w:left w:w="108" w:type="dxa"/>
            <w:bottom w:w="0" w:type="dxa"/>
            <w:right w:w="108" w:type="dxa"/>
          </w:tblCellMar>
        </w:tblPrEx>
        <w:trPr>
          <w:trHeight w:val="225" w:hRule="atLeast"/>
        </w:trPr>
        <w:tc>
          <w:tcPr>
            <w:tcW w:w="1029" w:type="pct"/>
            <w:vMerge w:val="restart"/>
            <w:tcBorders>
              <w:top w:val="nil"/>
              <w:left w:val="single" w:color="auto" w:sz="4" w:space="0"/>
              <w:bottom w:val="single" w:color="auto" w:sz="4" w:space="0"/>
              <w:right w:val="single" w:color="auto" w:sz="4" w:space="0"/>
            </w:tcBorders>
            <w:noWrap w:val="0"/>
            <w:vAlign w:val="bottom"/>
          </w:tcPr>
          <w:p w14:paraId="219DA5F5">
            <w:pPr>
              <w:widowControl/>
              <w:shd w:val="clear"/>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物业管理</w:t>
            </w:r>
          </w:p>
        </w:tc>
        <w:tc>
          <w:tcPr>
            <w:tcW w:w="898" w:type="pct"/>
            <w:tcBorders>
              <w:top w:val="nil"/>
              <w:left w:val="nil"/>
              <w:bottom w:val="single" w:color="auto" w:sz="4" w:space="0"/>
              <w:right w:val="single" w:color="auto" w:sz="4" w:space="0"/>
            </w:tcBorders>
            <w:noWrap w:val="0"/>
            <w:vAlign w:val="center"/>
          </w:tcPr>
          <w:p w14:paraId="65B737ED">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592" w:type="pct"/>
            <w:tcBorders>
              <w:top w:val="nil"/>
              <w:left w:val="nil"/>
              <w:bottom w:val="single" w:color="auto" w:sz="4" w:space="0"/>
              <w:right w:val="single" w:color="auto" w:sz="4" w:space="0"/>
            </w:tcBorders>
            <w:noWrap w:val="0"/>
            <w:vAlign w:val="center"/>
          </w:tcPr>
          <w:p w14:paraId="0A2C10FF">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051" w:type="pct"/>
            <w:tcBorders>
              <w:top w:val="nil"/>
              <w:left w:val="nil"/>
              <w:bottom w:val="single" w:color="auto" w:sz="4" w:space="0"/>
              <w:right w:val="single" w:color="auto" w:sz="4" w:space="0"/>
            </w:tcBorders>
            <w:noWrap w:val="0"/>
            <w:vAlign w:val="center"/>
          </w:tcPr>
          <w:p w14:paraId="3D7D88D8">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934" w:type="pct"/>
            <w:tcBorders>
              <w:top w:val="nil"/>
              <w:left w:val="nil"/>
              <w:bottom w:val="single" w:color="auto" w:sz="4" w:space="0"/>
              <w:right w:val="single" w:color="auto" w:sz="4" w:space="0"/>
            </w:tcBorders>
            <w:noWrap w:val="0"/>
            <w:vAlign w:val="center"/>
          </w:tcPr>
          <w:p w14:paraId="739ECE78">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494" w:type="pct"/>
            <w:tcBorders>
              <w:top w:val="nil"/>
              <w:left w:val="nil"/>
              <w:bottom w:val="single" w:color="auto" w:sz="4" w:space="0"/>
              <w:right w:val="single" w:color="auto" w:sz="4" w:space="0"/>
            </w:tcBorders>
            <w:noWrap w:val="0"/>
            <w:vAlign w:val="center"/>
          </w:tcPr>
          <w:p w14:paraId="42CF5DB3">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X＜100</w:t>
            </w:r>
          </w:p>
        </w:tc>
      </w:tr>
      <w:tr w14:paraId="3FB7C044">
        <w:tblPrEx>
          <w:tblCellMar>
            <w:top w:w="0" w:type="dxa"/>
            <w:left w:w="108" w:type="dxa"/>
            <w:bottom w:w="0" w:type="dxa"/>
            <w:right w:w="108" w:type="dxa"/>
          </w:tblCellMar>
        </w:tblPrEx>
        <w:trPr>
          <w:trHeight w:val="225" w:hRule="atLeast"/>
        </w:trPr>
        <w:tc>
          <w:tcPr>
            <w:tcW w:w="1029" w:type="pct"/>
            <w:vMerge w:val="continue"/>
            <w:tcBorders>
              <w:top w:val="nil"/>
              <w:left w:val="single" w:color="auto" w:sz="4" w:space="0"/>
              <w:bottom w:val="single" w:color="auto" w:sz="4" w:space="0"/>
              <w:right w:val="single" w:color="auto" w:sz="4" w:space="0"/>
            </w:tcBorders>
            <w:noWrap w:val="0"/>
            <w:vAlign w:val="center"/>
          </w:tcPr>
          <w:p w14:paraId="0DC39D3F">
            <w:pPr>
              <w:widowControl/>
              <w:shd w:val="clear"/>
              <w:jc w:val="left"/>
              <w:rPr>
                <w:rFonts w:ascii="仿宋_GB2312" w:hAnsi="仿宋" w:eastAsia="仿宋_GB2312" w:cs="宋体"/>
                <w:b/>
                <w:bCs/>
                <w:color w:val="auto"/>
                <w:kern w:val="0"/>
                <w:sz w:val="18"/>
                <w:szCs w:val="18"/>
                <w:highlight w:val="none"/>
              </w:rPr>
            </w:pPr>
          </w:p>
        </w:tc>
        <w:tc>
          <w:tcPr>
            <w:tcW w:w="898" w:type="pct"/>
            <w:tcBorders>
              <w:top w:val="nil"/>
              <w:left w:val="nil"/>
              <w:bottom w:val="single" w:color="auto" w:sz="4" w:space="0"/>
              <w:right w:val="single" w:color="auto" w:sz="4" w:space="0"/>
            </w:tcBorders>
            <w:noWrap w:val="0"/>
            <w:vAlign w:val="center"/>
          </w:tcPr>
          <w:p w14:paraId="58DAA565">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592" w:type="pct"/>
            <w:tcBorders>
              <w:top w:val="nil"/>
              <w:left w:val="nil"/>
              <w:bottom w:val="single" w:color="auto" w:sz="4" w:space="0"/>
              <w:right w:val="single" w:color="auto" w:sz="4" w:space="0"/>
            </w:tcBorders>
            <w:noWrap w:val="0"/>
            <w:vAlign w:val="center"/>
          </w:tcPr>
          <w:p w14:paraId="3DCF6291">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051" w:type="pct"/>
            <w:tcBorders>
              <w:top w:val="nil"/>
              <w:left w:val="nil"/>
              <w:bottom w:val="single" w:color="auto" w:sz="4" w:space="0"/>
              <w:right w:val="single" w:color="auto" w:sz="4" w:space="0"/>
            </w:tcBorders>
            <w:noWrap w:val="0"/>
            <w:vAlign w:val="center"/>
          </w:tcPr>
          <w:p w14:paraId="03AF78B7">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1000≤Y＜5000</w:t>
            </w:r>
          </w:p>
        </w:tc>
        <w:tc>
          <w:tcPr>
            <w:tcW w:w="934" w:type="pct"/>
            <w:tcBorders>
              <w:top w:val="nil"/>
              <w:left w:val="nil"/>
              <w:bottom w:val="single" w:color="auto" w:sz="4" w:space="0"/>
              <w:right w:val="single" w:color="auto" w:sz="4" w:space="0"/>
            </w:tcBorders>
            <w:noWrap w:val="0"/>
            <w:vAlign w:val="center"/>
          </w:tcPr>
          <w:p w14:paraId="5109EE06">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500≤Y＜1000</w:t>
            </w:r>
          </w:p>
        </w:tc>
        <w:tc>
          <w:tcPr>
            <w:tcW w:w="494" w:type="pct"/>
            <w:tcBorders>
              <w:top w:val="nil"/>
              <w:left w:val="nil"/>
              <w:bottom w:val="single" w:color="auto" w:sz="4" w:space="0"/>
              <w:right w:val="single" w:color="auto" w:sz="4" w:space="0"/>
            </w:tcBorders>
            <w:noWrap w:val="0"/>
            <w:vAlign w:val="center"/>
          </w:tcPr>
          <w:p w14:paraId="3E1ADCD6">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Y＜500</w:t>
            </w:r>
          </w:p>
        </w:tc>
      </w:tr>
      <w:tr w14:paraId="2DCD163C">
        <w:tblPrEx>
          <w:tblCellMar>
            <w:top w:w="0" w:type="dxa"/>
            <w:left w:w="108" w:type="dxa"/>
            <w:bottom w:w="0" w:type="dxa"/>
            <w:right w:w="108" w:type="dxa"/>
          </w:tblCellMar>
        </w:tblPrEx>
        <w:trPr>
          <w:trHeight w:val="225" w:hRule="atLeast"/>
        </w:trPr>
        <w:tc>
          <w:tcPr>
            <w:tcW w:w="1029" w:type="pct"/>
            <w:vMerge w:val="restart"/>
            <w:tcBorders>
              <w:top w:val="nil"/>
              <w:left w:val="single" w:color="auto" w:sz="4" w:space="0"/>
              <w:bottom w:val="single" w:color="auto" w:sz="4" w:space="0"/>
              <w:right w:val="single" w:color="auto" w:sz="4" w:space="0"/>
            </w:tcBorders>
            <w:noWrap w:val="0"/>
            <w:vAlign w:val="bottom"/>
          </w:tcPr>
          <w:p w14:paraId="0BE2AB81">
            <w:pPr>
              <w:widowControl/>
              <w:shd w:val="clear"/>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租赁和商务服务业</w:t>
            </w:r>
          </w:p>
        </w:tc>
        <w:tc>
          <w:tcPr>
            <w:tcW w:w="898" w:type="pct"/>
            <w:tcBorders>
              <w:top w:val="nil"/>
              <w:left w:val="nil"/>
              <w:bottom w:val="single" w:color="auto" w:sz="4" w:space="0"/>
              <w:right w:val="single" w:color="auto" w:sz="4" w:space="0"/>
            </w:tcBorders>
            <w:noWrap w:val="0"/>
            <w:vAlign w:val="center"/>
          </w:tcPr>
          <w:p w14:paraId="7B889EF1">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592" w:type="pct"/>
            <w:tcBorders>
              <w:top w:val="nil"/>
              <w:left w:val="nil"/>
              <w:bottom w:val="single" w:color="auto" w:sz="4" w:space="0"/>
              <w:right w:val="single" w:color="auto" w:sz="4" w:space="0"/>
            </w:tcBorders>
            <w:noWrap w:val="0"/>
            <w:vAlign w:val="center"/>
          </w:tcPr>
          <w:p w14:paraId="7134924A">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051" w:type="pct"/>
            <w:tcBorders>
              <w:top w:val="nil"/>
              <w:left w:val="nil"/>
              <w:bottom w:val="single" w:color="auto" w:sz="4" w:space="0"/>
              <w:right w:val="single" w:color="auto" w:sz="4" w:space="0"/>
            </w:tcBorders>
            <w:noWrap w:val="0"/>
            <w:vAlign w:val="center"/>
          </w:tcPr>
          <w:p w14:paraId="63ABC640">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934" w:type="pct"/>
            <w:tcBorders>
              <w:top w:val="nil"/>
              <w:left w:val="nil"/>
              <w:bottom w:val="single" w:color="auto" w:sz="4" w:space="0"/>
              <w:right w:val="single" w:color="auto" w:sz="4" w:space="0"/>
            </w:tcBorders>
            <w:noWrap w:val="0"/>
            <w:vAlign w:val="center"/>
          </w:tcPr>
          <w:p w14:paraId="7AA4D080">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494" w:type="pct"/>
            <w:tcBorders>
              <w:top w:val="nil"/>
              <w:left w:val="nil"/>
              <w:bottom w:val="single" w:color="auto" w:sz="4" w:space="0"/>
              <w:right w:val="single" w:color="auto" w:sz="4" w:space="0"/>
            </w:tcBorders>
            <w:noWrap w:val="0"/>
            <w:vAlign w:val="center"/>
          </w:tcPr>
          <w:p w14:paraId="40D6350C">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670EDF0B">
        <w:tblPrEx>
          <w:tblCellMar>
            <w:top w:w="0" w:type="dxa"/>
            <w:left w:w="108" w:type="dxa"/>
            <w:bottom w:w="0" w:type="dxa"/>
            <w:right w:w="108" w:type="dxa"/>
          </w:tblCellMar>
        </w:tblPrEx>
        <w:trPr>
          <w:trHeight w:val="225" w:hRule="atLeast"/>
        </w:trPr>
        <w:tc>
          <w:tcPr>
            <w:tcW w:w="1029" w:type="pct"/>
            <w:vMerge w:val="continue"/>
            <w:tcBorders>
              <w:top w:val="nil"/>
              <w:left w:val="single" w:color="auto" w:sz="4" w:space="0"/>
              <w:bottom w:val="single" w:color="auto" w:sz="4" w:space="0"/>
              <w:right w:val="single" w:color="auto" w:sz="4" w:space="0"/>
            </w:tcBorders>
            <w:noWrap w:val="0"/>
            <w:vAlign w:val="center"/>
          </w:tcPr>
          <w:p w14:paraId="33B772E6">
            <w:pPr>
              <w:widowControl/>
              <w:shd w:val="clear"/>
              <w:jc w:val="left"/>
              <w:rPr>
                <w:rFonts w:ascii="仿宋_GB2312" w:hAnsi="仿宋" w:eastAsia="仿宋_GB2312" w:cs="宋体"/>
                <w:b/>
                <w:bCs/>
                <w:color w:val="auto"/>
                <w:kern w:val="0"/>
                <w:sz w:val="18"/>
                <w:szCs w:val="18"/>
                <w:highlight w:val="none"/>
              </w:rPr>
            </w:pPr>
          </w:p>
        </w:tc>
        <w:tc>
          <w:tcPr>
            <w:tcW w:w="898" w:type="pct"/>
            <w:tcBorders>
              <w:top w:val="nil"/>
              <w:left w:val="nil"/>
              <w:bottom w:val="single" w:color="auto" w:sz="4" w:space="0"/>
              <w:right w:val="single" w:color="auto" w:sz="4" w:space="0"/>
            </w:tcBorders>
            <w:noWrap w:val="0"/>
            <w:vAlign w:val="center"/>
          </w:tcPr>
          <w:p w14:paraId="77F2C803">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资产总额（Z）</w:t>
            </w:r>
          </w:p>
        </w:tc>
        <w:tc>
          <w:tcPr>
            <w:tcW w:w="592" w:type="pct"/>
            <w:tcBorders>
              <w:top w:val="nil"/>
              <w:left w:val="nil"/>
              <w:bottom w:val="single" w:color="auto" w:sz="4" w:space="0"/>
              <w:right w:val="single" w:color="auto" w:sz="4" w:space="0"/>
            </w:tcBorders>
            <w:noWrap w:val="0"/>
            <w:vAlign w:val="center"/>
          </w:tcPr>
          <w:p w14:paraId="49C69F7A">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051" w:type="pct"/>
            <w:tcBorders>
              <w:top w:val="nil"/>
              <w:left w:val="nil"/>
              <w:bottom w:val="single" w:color="auto" w:sz="4" w:space="0"/>
              <w:right w:val="single" w:color="auto" w:sz="4" w:space="0"/>
            </w:tcBorders>
            <w:noWrap w:val="0"/>
            <w:vAlign w:val="center"/>
          </w:tcPr>
          <w:p w14:paraId="7F6FEA0D">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8000≤Z＜120000</w:t>
            </w:r>
          </w:p>
        </w:tc>
        <w:tc>
          <w:tcPr>
            <w:tcW w:w="934" w:type="pct"/>
            <w:tcBorders>
              <w:top w:val="nil"/>
              <w:left w:val="nil"/>
              <w:bottom w:val="single" w:color="auto" w:sz="4" w:space="0"/>
              <w:right w:val="single" w:color="auto" w:sz="4" w:space="0"/>
            </w:tcBorders>
            <w:noWrap w:val="0"/>
            <w:vAlign w:val="center"/>
          </w:tcPr>
          <w:p w14:paraId="26E3162B">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100≤Z＜8000</w:t>
            </w:r>
          </w:p>
        </w:tc>
        <w:tc>
          <w:tcPr>
            <w:tcW w:w="494" w:type="pct"/>
            <w:tcBorders>
              <w:top w:val="nil"/>
              <w:left w:val="nil"/>
              <w:bottom w:val="single" w:color="auto" w:sz="4" w:space="0"/>
              <w:right w:val="single" w:color="auto" w:sz="4" w:space="0"/>
            </w:tcBorders>
            <w:noWrap w:val="0"/>
            <w:vAlign w:val="center"/>
          </w:tcPr>
          <w:p w14:paraId="3E8532ED">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7E924781">
        <w:tblPrEx>
          <w:tblCellMar>
            <w:top w:w="0" w:type="dxa"/>
            <w:left w:w="108" w:type="dxa"/>
            <w:bottom w:w="0" w:type="dxa"/>
            <w:right w:w="108" w:type="dxa"/>
          </w:tblCellMar>
        </w:tblPrEx>
        <w:trPr>
          <w:trHeight w:val="225" w:hRule="atLeast"/>
        </w:trPr>
        <w:tc>
          <w:tcPr>
            <w:tcW w:w="1029" w:type="pct"/>
            <w:tcBorders>
              <w:top w:val="nil"/>
              <w:left w:val="single" w:color="auto" w:sz="4" w:space="0"/>
              <w:bottom w:val="single" w:color="auto" w:sz="4" w:space="0"/>
              <w:right w:val="single" w:color="auto" w:sz="4" w:space="0"/>
            </w:tcBorders>
            <w:noWrap w:val="0"/>
            <w:vAlign w:val="bottom"/>
          </w:tcPr>
          <w:p w14:paraId="27030378">
            <w:pPr>
              <w:widowControl/>
              <w:shd w:val="clear"/>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其他未列明行业</w:t>
            </w:r>
          </w:p>
        </w:tc>
        <w:tc>
          <w:tcPr>
            <w:tcW w:w="898" w:type="pct"/>
            <w:tcBorders>
              <w:top w:val="nil"/>
              <w:left w:val="nil"/>
              <w:bottom w:val="single" w:color="auto" w:sz="4" w:space="0"/>
              <w:right w:val="single" w:color="auto" w:sz="4" w:space="0"/>
            </w:tcBorders>
            <w:noWrap w:val="0"/>
            <w:vAlign w:val="center"/>
          </w:tcPr>
          <w:p w14:paraId="516787A0">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592" w:type="pct"/>
            <w:tcBorders>
              <w:top w:val="nil"/>
              <w:left w:val="nil"/>
              <w:bottom w:val="single" w:color="auto" w:sz="4" w:space="0"/>
              <w:right w:val="single" w:color="auto" w:sz="4" w:space="0"/>
            </w:tcBorders>
            <w:noWrap w:val="0"/>
            <w:vAlign w:val="center"/>
          </w:tcPr>
          <w:p w14:paraId="635299C7">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051" w:type="pct"/>
            <w:tcBorders>
              <w:top w:val="nil"/>
              <w:left w:val="nil"/>
              <w:bottom w:val="single" w:color="auto" w:sz="4" w:space="0"/>
              <w:right w:val="single" w:color="auto" w:sz="4" w:space="0"/>
            </w:tcBorders>
            <w:noWrap w:val="0"/>
            <w:vAlign w:val="center"/>
          </w:tcPr>
          <w:p w14:paraId="5E6F9FDB">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934" w:type="pct"/>
            <w:tcBorders>
              <w:top w:val="nil"/>
              <w:left w:val="nil"/>
              <w:bottom w:val="single" w:color="auto" w:sz="4" w:space="0"/>
              <w:right w:val="single" w:color="auto" w:sz="4" w:space="0"/>
            </w:tcBorders>
            <w:noWrap w:val="0"/>
            <w:vAlign w:val="center"/>
          </w:tcPr>
          <w:p w14:paraId="49F404E6">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494" w:type="pct"/>
            <w:tcBorders>
              <w:top w:val="nil"/>
              <w:left w:val="nil"/>
              <w:bottom w:val="single" w:color="auto" w:sz="4" w:space="0"/>
              <w:right w:val="single" w:color="auto" w:sz="4" w:space="0"/>
            </w:tcBorders>
            <w:noWrap w:val="0"/>
            <w:vAlign w:val="center"/>
          </w:tcPr>
          <w:p w14:paraId="0F120F06">
            <w:pPr>
              <w:widowControl/>
              <w:shd w:val="clear"/>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bl>
    <w:p w14:paraId="2262D76E">
      <w:pPr>
        <w:shd w:val="clear"/>
        <w:spacing w:line="360" w:lineRule="auto"/>
        <w:ind w:firstLine="525" w:firstLineChars="250"/>
        <w:rPr>
          <w:rFonts w:ascii="仿宋_GB2312" w:hAnsi="仿宋" w:eastAsia="仿宋_GB2312"/>
          <w:color w:val="auto"/>
          <w:szCs w:val="21"/>
          <w:highlight w:val="none"/>
        </w:rPr>
      </w:pPr>
      <w:r>
        <w:rPr>
          <w:rFonts w:hint="eastAsia" w:ascii="仿宋_GB2312" w:hAnsi="仿宋" w:eastAsia="仿宋_GB2312"/>
          <w:color w:val="auto"/>
          <w:szCs w:val="21"/>
          <w:highlight w:val="none"/>
        </w:rPr>
        <w:t>说明：上述标准参照《关于印发中小企业划型标准规定的通知》（工信部联企业</w:t>
      </w:r>
      <w:r>
        <w:rPr>
          <w:rFonts w:hint="eastAsia" w:ascii="仿宋_GB2312" w:hAnsi="仿宋" w:eastAsia="仿宋_GB2312"/>
          <w:color w:val="auto"/>
          <w:szCs w:val="21"/>
          <w:highlight w:val="none"/>
          <w:lang w:eastAsia="zh-CN"/>
        </w:rPr>
        <w:t>〔2011〕300号</w:t>
      </w:r>
      <w:r>
        <w:rPr>
          <w:rFonts w:hint="eastAsia" w:ascii="仿宋_GB2312" w:hAnsi="仿宋" w:eastAsia="仿宋_GB2312"/>
          <w:color w:val="auto"/>
          <w:szCs w:val="21"/>
          <w:highlight w:val="none"/>
        </w:rPr>
        <w:t>），大型、中型和小型企业须同时满足所列指标的下限，否则下划一档；微型企业只须满足所列指标中的一项即可。</w:t>
      </w:r>
    </w:p>
    <w:p w14:paraId="4506B781">
      <w:pPr>
        <w:shd w:val="clear"/>
        <w:jc w:val="center"/>
        <w:outlineLvl w:val="0"/>
        <w:rPr>
          <w:rFonts w:ascii="宋体" w:hAnsi="宋体"/>
          <w:color w:val="auto"/>
          <w:szCs w:val="20"/>
          <w:highlight w:val="none"/>
        </w:rPr>
        <w:sectPr>
          <w:headerReference r:id="rId7" w:type="first"/>
          <w:footerReference r:id="rId9" w:type="first"/>
          <w:footerReference r:id="rId8" w:type="default"/>
          <w:pgSz w:w="11905" w:h="16838"/>
          <w:pgMar w:top="1134" w:right="1134" w:bottom="1134" w:left="1134" w:header="720" w:footer="720" w:gutter="0"/>
          <w:cols w:space="0" w:num="1"/>
          <w:rtlGutter w:val="0"/>
          <w:docGrid w:type="lines" w:linePitch="331" w:charSpace="0"/>
        </w:sectPr>
      </w:pPr>
    </w:p>
    <w:p w14:paraId="4A6FFC1A">
      <w:pPr>
        <w:shd w:val="clear"/>
        <w:jc w:val="center"/>
        <w:outlineLvl w:val="0"/>
        <w:rPr>
          <w:rFonts w:hint="eastAsia" w:ascii="宋体" w:hAnsi="宋体"/>
          <w:b/>
          <w:color w:val="auto"/>
          <w:sz w:val="36"/>
          <w:szCs w:val="36"/>
          <w:highlight w:val="none"/>
        </w:rPr>
      </w:pPr>
      <w:bookmarkStart w:id="4" w:name="_Toc171344345"/>
      <w:r>
        <w:rPr>
          <w:rFonts w:hint="eastAsia"/>
          <w:b/>
          <w:color w:val="auto"/>
          <w:sz w:val="36"/>
          <w:szCs w:val="20"/>
          <w:highlight w:val="none"/>
        </w:rPr>
        <w:t>第三章</w:t>
      </w:r>
      <w:r>
        <w:rPr>
          <w:b/>
          <w:color w:val="auto"/>
          <w:sz w:val="36"/>
          <w:szCs w:val="20"/>
          <w:highlight w:val="none"/>
        </w:rPr>
        <w:t xml:space="preserve">  </w:t>
      </w:r>
      <w:r>
        <w:rPr>
          <w:rFonts w:hint="eastAsia"/>
          <w:b/>
          <w:color w:val="auto"/>
          <w:sz w:val="36"/>
          <w:szCs w:val="20"/>
          <w:highlight w:val="none"/>
        </w:rPr>
        <w:t>投标人须知</w:t>
      </w:r>
      <w:bookmarkEnd w:id="4"/>
    </w:p>
    <w:p w14:paraId="1F48298E">
      <w:pPr>
        <w:shd w:val="clear"/>
        <w:spacing w:line="720" w:lineRule="auto"/>
        <w:jc w:val="center"/>
        <w:outlineLvl w:val="1"/>
        <w:rPr>
          <w:rFonts w:hint="eastAsia"/>
          <w:b/>
          <w:color w:val="auto"/>
          <w:sz w:val="30"/>
          <w:szCs w:val="30"/>
          <w:highlight w:val="none"/>
        </w:rPr>
      </w:pPr>
      <w:bookmarkStart w:id="5" w:name="_Toc171344346"/>
      <w:r>
        <w:rPr>
          <w:rFonts w:hint="eastAsia"/>
          <w:b/>
          <w:color w:val="auto"/>
          <w:sz w:val="30"/>
          <w:szCs w:val="30"/>
          <w:highlight w:val="none"/>
        </w:rPr>
        <w:t>第一节 投标人须知前附表</w:t>
      </w:r>
      <w:bookmarkEnd w:id="5"/>
    </w:p>
    <w:tbl>
      <w:tblPr>
        <w:tblStyle w:val="33"/>
        <w:tblW w:w="9450" w:type="dxa"/>
        <w:tblInd w:w="18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75"/>
        <w:gridCol w:w="1785"/>
        <w:gridCol w:w="6990"/>
      </w:tblGrid>
      <w:tr w14:paraId="1E43BE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3B3AF2DC">
            <w:pPr>
              <w:shd w:val="clear"/>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条款号</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69FFFF9">
            <w:pPr>
              <w:shd w:val="clear"/>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项目内容</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620D8635">
            <w:pPr>
              <w:shd w:val="clear"/>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编列内容</w:t>
            </w:r>
          </w:p>
        </w:tc>
      </w:tr>
      <w:tr w14:paraId="7B7618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70740ED6">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23B08A7A">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是否接受联合体投标</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4C1675C2">
            <w:pPr>
              <w:shd w:val="clea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否。</w:t>
            </w:r>
          </w:p>
        </w:tc>
      </w:tr>
      <w:tr w14:paraId="3B03B8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46FE8DA2">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0F91C50F">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联合体投标要求</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4B1C18A5">
            <w:pPr>
              <w:shd w:val="clea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1.两个以上投标人可以组成一个投标联合体，以一个投标人的身份共同参加投标，联合体投标人的名称应统一按“XXX公司与XXX公司的联合体”的规则填写。</w:t>
            </w:r>
          </w:p>
          <w:p w14:paraId="25A03AC1">
            <w:pPr>
              <w:shd w:val="clea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以联合体形式参加投标的，联合体各方均必须具备《中华人民共和国政府采购法》第二十二条第一款规定的基本条件（涉及行政许可范围的内容，联合体各方均应具备相应资质）。本项目有特殊要求规定投标人特定资格或条件的，联合体各方中至少有一方必须符合招标文件“3.本项目的特定资格要求”。</w:t>
            </w:r>
          </w:p>
          <w:p w14:paraId="56ECE10B">
            <w:pPr>
              <w:shd w:val="clea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联合体投标的，须提供《联合体投标协议书》（格式后附），协议书必须明确主体方（或者牵头方）并明确约定联合体各方承担的工作和相应的责任（各方承担责任与义务的分工必须符合采购需求，否则，联合体投标无效），并将联合投标协议放入投标文件。联合体各方必须共同与采购人签订采购合同，就采购合同约定的事项对采购人承担连带责任。</w:t>
            </w:r>
          </w:p>
          <w:p w14:paraId="15CF69C8">
            <w:pPr>
              <w:shd w:val="clea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4.以联合体形式参加政府采购活动的，联合体各方不得再单独参加或者与其他投标人另外组成联合体参加同一合同项下的政府采购活动，否则与之相关的投标文件作废。</w:t>
            </w:r>
          </w:p>
          <w:p w14:paraId="034B94FA">
            <w:pPr>
              <w:shd w:val="clea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5.联合体中有同类资质的投标人按照联合体分工承担相同工作的，应当按照资质等级较低的投标人确定资质等级。</w:t>
            </w:r>
          </w:p>
          <w:p w14:paraId="5D5E33B9">
            <w:pPr>
              <w:shd w:val="clea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6.联合体投标业绩、履约能力</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联合体各方提供均可计算。</w:t>
            </w:r>
          </w:p>
          <w:p w14:paraId="2BB43283">
            <w:pPr>
              <w:shd w:val="clea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7.联合体各方均应按照招标文件的规定提交资格证明文件。</w:t>
            </w:r>
          </w:p>
          <w:p w14:paraId="000F2340">
            <w:pPr>
              <w:shd w:val="clea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8.除招标文件规定联合体各方必须分别提供的材料外，招标文件要求提供的其他材料由联合体牵头单位提供即可。招标文件要求提供的材料复印件，加盖联合体牵头人公章即可。</w:t>
            </w:r>
          </w:p>
        </w:tc>
      </w:tr>
      <w:tr w14:paraId="55CC25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43B71FA3">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784E044">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是否允许转包/分包</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703F4D43">
            <w:pPr>
              <w:shd w:val="clea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□允许/</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不允许分包。</w:t>
            </w:r>
          </w:p>
          <w:p w14:paraId="19A27218">
            <w:pPr>
              <w:shd w:val="clea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转包/分包内容：</w:t>
            </w:r>
            <w:r>
              <w:rPr>
                <w:rFonts w:hint="eastAsia" w:ascii="宋体" w:hAnsi="宋体" w:eastAsia="宋体" w:cs="宋体"/>
                <w:color w:val="auto"/>
                <w:sz w:val="21"/>
                <w:szCs w:val="21"/>
                <w:highlight w:val="none"/>
                <w:u w:val="single"/>
              </w:rPr>
              <w:t xml:space="preserve">    /     。</w:t>
            </w:r>
          </w:p>
          <w:p w14:paraId="526F09D1">
            <w:pPr>
              <w:shd w:val="clea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转包/分包金额或者比例：</w:t>
            </w:r>
            <w:r>
              <w:rPr>
                <w:rFonts w:hint="eastAsia" w:ascii="宋体" w:hAnsi="宋体" w:eastAsia="宋体" w:cs="宋体"/>
                <w:color w:val="auto"/>
                <w:sz w:val="21"/>
                <w:szCs w:val="21"/>
                <w:highlight w:val="none"/>
                <w:u w:val="single"/>
              </w:rPr>
              <w:t xml:space="preserve">    /    。</w:t>
            </w:r>
          </w:p>
        </w:tc>
      </w:tr>
      <w:tr w14:paraId="7D82D6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2C3D73FD">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7CD7205F">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媒体发布渠道</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59CC8C56">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与本项目相关的政府采购业务澄清、更正及与之相关的事项将在采购公告中“六、其他补充事宜”中网上查询地址上发布</w:t>
            </w:r>
            <w:r>
              <w:rPr>
                <w:rFonts w:hint="eastAsia" w:ascii="宋体" w:hAnsi="宋体" w:eastAsia="宋体" w:cs="宋体"/>
                <w:color w:val="auto"/>
                <w:kern w:val="0"/>
                <w:sz w:val="21"/>
                <w:szCs w:val="21"/>
                <w:highlight w:val="none"/>
              </w:rPr>
              <w:t>。</w:t>
            </w:r>
          </w:p>
        </w:tc>
      </w:tr>
      <w:tr w14:paraId="2079A2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4AAF8A99">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72AF829A">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是否组织标前答疑会</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11A933D6">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不组织召开开标前答疑会</w:t>
            </w:r>
          </w:p>
          <w:p w14:paraId="4D63DBB7">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□组织召开开标前答疑会</w:t>
            </w:r>
          </w:p>
          <w:p w14:paraId="6D5C5342">
            <w:pPr>
              <w:shd w:val="clear"/>
              <w:snapToGrid w:val="0"/>
              <w:spacing w:line="360" w:lineRule="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会议开始时间：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日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rPr>
              <w:t xml:space="preserve">  分</w:t>
            </w:r>
            <w:r>
              <w:rPr>
                <w:rFonts w:hint="eastAsia" w:ascii="宋体" w:hAnsi="宋体" w:eastAsia="宋体" w:cs="宋体"/>
                <w:color w:val="auto"/>
                <w:sz w:val="21"/>
                <w:szCs w:val="21"/>
                <w:highlight w:val="none"/>
              </w:rPr>
              <w:t>，逾期后果自负。会议地点：</w:t>
            </w:r>
            <w:r>
              <w:rPr>
                <w:rFonts w:hint="eastAsia" w:ascii="宋体" w:hAnsi="宋体" w:eastAsia="宋体" w:cs="宋体"/>
                <w:color w:val="auto"/>
                <w:sz w:val="21"/>
                <w:szCs w:val="21"/>
                <w:highlight w:val="none"/>
                <w:u w:val="single"/>
              </w:rPr>
              <w:t xml:space="preserve">              </w:t>
            </w:r>
          </w:p>
        </w:tc>
      </w:tr>
      <w:tr w14:paraId="62A11A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left w:val="single" w:color="auto" w:sz="4" w:space="0"/>
              <w:right w:val="single" w:color="auto" w:sz="4" w:space="0"/>
            </w:tcBorders>
            <w:noWrap w:val="0"/>
            <w:vAlign w:val="center"/>
          </w:tcPr>
          <w:p w14:paraId="2F6FEF84">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5F9BCBC3">
            <w:pPr>
              <w:shd w:val="clea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资格证明文件组成</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4F7FAEB1">
            <w:pPr>
              <w:shd w:val="clea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投标人为法人或者其他组织的，提供营业执照等证明文件复印件（如营业执照或者事业单位法人证书或者执业许可证等），投标人为自然人的，提供身份证复印件。（</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66C47713">
            <w:pPr>
              <w:shd w:val="clea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投标人依法缴纳税收的相关材料：投标截止时间前6个月内任意连续3个月的依法缴纳税收的凭据复印件；依法免税或零申报的供应商，必须提供相应文件证明其依法免税或零申报。从取得营业执照时间起到投标文件提交截止时间为止不足要求月数的，只需提供从取得营业执照起的依法缴纳税收相应证明文件。（</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67F96B43">
            <w:pPr>
              <w:shd w:val="clea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投标人依法缴纳社会保障资金的相关材料：[投标截止时间前6个月内任意连续3个月的依法缴纳社会保障资金的缴费凭证（专用收据或者社会保险缴纳清单）复印件；依法不需要缴纳社会保障资金的供应商，必须提供相应文件证明不需要缴纳社会保障资金。从取得营业执照时间起到投标文件提交截止时间为止不足要求月数的只需提供从取得营业执照起的依法缴纳社会保障资金的相应证明文件。（</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274F2683">
            <w:pPr>
              <w:shd w:val="clea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投标人财务状况报告：</w:t>
            </w:r>
            <w:r>
              <w:rPr>
                <w:rFonts w:hint="eastAsia" w:ascii="宋体" w:hAnsi="宋体" w:eastAsia="宋体" w:cs="宋体"/>
                <w:color w:val="auto"/>
                <w:sz w:val="21"/>
                <w:szCs w:val="21"/>
                <w:highlight w:val="none"/>
                <w:u w:val="single"/>
                <w:lang w:eastAsia="zh-CN"/>
              </w:rPr>
              <w:t>202</w:t>
            </w:r>
            <w:r>
              <w:rPr>
                <w:rFonts w:hint="eastAsia" w:ascii="宋体" w:hAnsi="宋体" w:cs="宋体"/>
                <w:color w:val="auto"/>
                <w:sz w:val="21"/>
                <w:szCs w:val="21"/>
                <w:highlight w:val="none"/>
                <w:u w:val="single"/>
                <w:lang w:val="en-US" w:eastAsia="zh-CN"/>
              </w:rPr>
              <w:t>5</w:t>
            </w:r>
            <w:r>
              <w:rPr>
                <w:rFonts w:hint="eastAsia" w:ascii="宋体" w:hAnsi="宋体" w:eastAsia="宋体" w:cs="宋体"/>
                <w:color w:val="auto"/>
                <w:sz w:val="21"/>
                <w:szCs w:val="21"/>
                <w:highlight w:val="none"/>
                <w:u w:val="single"/>
                <w:lang w:eastAsia="zh-CN"/>
              </w:rPr>
              <w:t>年</w:t>
            </w:r>
            <w:r>
              <w:rPr>
                <w:rFonts w:hint="eastAsia" w:ascii="宋体" w:hAnsi="宋体" w:eastAsia="宋体" w:cs="宋体"/>
                <w:color w:val="auto"/>
                <w:sz w:val="21"/>
                <w:szCs w:val="21"/>
                <w:highlight w:val="none"/>
              </w:rPr>
              <w:t>财务状况报告复印件或基本开户银行出具的资信证明复印件；</w:t>
            </w:r>
            <w:r>
              <w:rPr>
                <w:rFonts w:hint="eastAsia" w:ascii="宋体" w:hAnsi="宋体"/>
                <w:color w:val="auto"/>
                <w:szCs w:val="21"/>
                <w:highlight w:val="none"/>
              </w:rPr>
              <w:t>或者中国人民银行征信中心出具的信用报告（企业投标的提供企业信用报告，自然人投标的提供个人信用报告，投标人属于成立时间在规定年度之后的法人或其他组织，需提供成立之日起至投标截止时间前的月报表或银行出具的资信证明或者中国人民银行征信中心出具的企业信用报告；资信证明应在有效期内，未注明有效期的，银行出具时间至投标截止时间不超过一年]；</w:t>
            </w:r>
            <w:r>
              <w:rPr>
                <w:rFonts w:hint="eastAsia" w:ascii="宋体" w:hAnsi="宋体" w:eastAsia="宋体" w:cs="宋体"/>
                <w:color w:val="auto"/>
                <w:sz w:val="21"/>
                <w:szCs w:val="21"/>
                <w:highlight w:val="none"/>
              </w:rPr>
              <w:t>（</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790DD864">
            <w:pPr>
              <w:shd w:val="clea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投标人直接控股、管理关系信息表。</w:t>
            </w:r>
            <w:r>
              <w:rPr>
                <w:rFonts w:hint="eastAsia" w:ascii="宋体" w:hAnsi="宋体" w:eastAsia="宋体" w:cs="宋体"/>
                <w:b/>
                <w:bCs/>
                <w:color w:val="auto"/>
                <w:sz w:val="21"/>
                <w:szCs w:val="21"/>
                <w:highlight w:val="none"/>
              </w:rPr>
              <w:t>（必须提供，否则作无效投标处理）</w:t>
            </w:r>
          </w:p>
          <w:p w14:paraId="67790D92">
            <w:pPr>
              <w:shd w:val="clea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投标资格声明函。</w:t>
            </w:r>
            <w:r>
              <w:rPr>
                <w:rFonts w:hint="eastAsia" w:ascii="宋体" w:hAnsi="宋体" w:eastAsia="宋体" w:cs="宋体"/>
                <w:b/>
                <w:bCs/>
                <w:color w:val="auto"/>
                <w:sz w:val="21"/>
                <w:szCs w:val="21"/>
                <w:highlight w:val="none"/>
              </w:rPr>
              <w:t>（必须提供，否则作无效投标处理）</w:t>
            </w:r>
          </w:p>
          <w:p w14:paraId="68593C61">
            <w:pPr>
              <w:shd w:val="clea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采购人或采购代理机构根据招标公告对应的特定资格要求及特定条件设置投标人提供的资格证明材料：无。</w:t>
            </w:r>
            <w:r>
              <w:rPr>
                <w:rFonts w:hint="eastAsia" w:ascii="宋体" w:hAnsi="宋体" w:eastAsia="宋体" w:cs="宋体"/>
                <w:b/>
                <w:bCs/>
                <w:color w:val="auto"/>
                <w:sz w:val="21"/>
                <w:szCs w:val="21"/>
                <w:highlight w:val="none"/>
              </w:rPr>
              <w:t>（有要求时必须提供，否则作无效投标处理）</w:t>
            </w:r>
          </w:p>
          <w:p w14:paraId="2946BBF6">
            <w:pPr>
              <w:shd w:val="clear"/>
              <w:snapToGrid w:val="0"/>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中小企业声明函</w:t>
            </w:r>
            <w:r>
              <w:rPr>
                <w:rFonts w:hint="eastAsia" w:ascii="宋体" w:hAnsi="宋体" w:eastAsia="宋体" w:cs="宋体"/>
                <w:b/>
                <w:bCs/>
                <w:color w:val="auto"/>
                <w:sz w:val="21"/>
                <w:szCs w:val="21"/>
                <w:highlight w:val="none"/>
                <w:lang w:val="en-US" w:eastAsia="zh-CN"/>
              </w:rPr>
              <w:t>（提供中小企业声明函或监狱企业的证明文件或残疾人福利性单位声明函</w:t>
            </w: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格式后附）；（必须提供，否则作无效投标处理）</w:t>
            </w:r>
          </w:p>
          <w:p w14:paraId="316E8F65">
            <w:pPr>
              <w:shd w:val="clear"/>
              <w:snapToGrid w:val="0"/>
              <w:spacing w:line="360" w:lineRule="auto"/>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除招标文件规定必须提供以外，投标人认为需要提供的其他证明材料。</w:t>
            </w:r>
          </w:p>
          <w:p w14:paraId="244AEADE">
            <w:pPr>
              <w:shd w:val="clea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5F0A499F">
            <w:pPr>
              <w:shd w:val="clear"/>
              <w:snapToGrid w:val="0"/>
              <w:spacing w:line="360" w:lineRule="auto"/>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rPr>
              <w:t>1.以上标明“必须提供”的材料</w:t>
            </w:r>
            <w:r>
              <w:rPr>
                <w:rFonts w:hint="eastAsia" w:ascii="宋体" w:hAnsi="宋体" w:eastAsia="宋体" w:cs="宋体"/>
                <w:b/>
                <w:color w:val="auto"/>
                <w:sz w:val="21"/>
                <w:szCs w:val="21"/>
                <w:highlight w:val="none"/>
              </w:rPr>
              <w:t>属于复印件的扫描件的</w:t>
            </w:r>
            <w:r>
              <w:rPr>
                <w:rFonts w:hint="eastAsia" w:ascii="宋体" w:hAnsi="宋体" w:eastAsia="宋体" w:cs="宋体"/>
                <w:b/>
                <w:bCs/>
                <w:color w:val="auto"/>
                <w:sz w:val="21"/>
                <w:szCs w:val="21"/>
                <w:highlight w:val="none"/>
              </w:rPr>
              <w:t>，必须加盖投标人电子公章，否则</w:t>
            </w:r>
            <w:r>
              <w:rPr>
                <w:rFonts w:hint="eastAsia" w:ascii="宋体" w:hAnsi="宋体" w:eastAsia="宋体" w:cs="宋体"/>
                <w:b/>
                <w:color w:val="auto"/>
                <w:sz w:val="21"/>
                <w:szCs w:val="21"/>
                <w:highlight w:val="none"/>
              </w:rPr>
              <w:t>作无效投标处理。</w:t>
            </w:r>
          </w:p>
          <w:p w14:paraId="65B06857">
            <w:pPr>
              <w:shd w:val="clear"/>
              <w:snapToGrid w:val="0"/>
              <w:spacing w:line="360" w:lineRule="auto"/>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w:t>
            </w:r>
            <w:r>
              <w:rPr>
                <w:rFonts w:hint="eastAsia" w:ascii="宋体" w:hAnsi="宋体" w:eastAsia="宋体" w:cs="宋体"/>
                <w:b/>
                <w:bCs/>
                <w:color w:val="auto"/>
                <w:sz w:val="21"/>
                <w:szCs w:val="21"/>
                <w:highlight w:val="none"/>
              </w:rPr>
              <w:t>.联合体投标时，第1-5项资格证明文件联合体各方均必须分别提供，联合体各方分别盖章，否则投标文件按无效响应处理。</w:t>
            </w:r>
          </w:p>
        </w:tc>
      </w:tr>
      <w:tr w14:paraId="068ACE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left w:val="single" w:color="auto" w:sz="4" w:space="0"/>
              <w:right w:val="single" w:color="auto" w:sz="4" w:space="0"/>
            </w:tcBorders>
            <w:noWrap w:val="0"/>
            <w:vAlign w:val="center"/>
          </w:tcPr>
          <w:p w14:paraId="4EFA6D34">
            <w:pPr>
              <w:shd w:val="clear"/>
              <w:spacing w:line="360" w:lineRule="auto"/>
              <w:rPr>
                <w:rFonts w:hint="eastAsia" w:ascii="宋体" w:hAnsi="宋体" w:eastAsia="宋体" w:cs="宋体"/>
                <w:color w:val="auto"/>
                <w:sz w:val="21"/>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03615BF7">
            <w:pPr>
              <w:shd w:val="clea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商务文件组成</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66E77E80">
            <w:pPr>
              <w:shd w:val="clea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无串通投标行为的承诺函；（</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70A26FE1">
            <w:pPr>
              <w:shd w:val="clea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法定代表人身份证明及法定代表人有效身份证正反面复印件；（</w:t>
            </w:r>
            <w:r>
              <w:rPr>
                <w:rFonts w:hint="eastAsia" w:ascii="宋体" w:hAnsi="宋体" w:eastAsia="宋体" w:cs="宋体"/>
                <w:b/>
                <w:bCs/>
                <w:color w:val="auto"/>
                <w:sz w:val="21"/>
                <w:szCs w:val="21"/>
                <w:highlight w:val="none"/>
              </w:rPr>
              <w:t>除自然人投标外</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49883616">
            <w:pPr>
              <w:shd w:val="clea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法定代表人授权委托书及委托代理人有效身份证正反面复印件；（</w:t>
            </w:r>
            <w:r>
              <w:rPr>
                <w:rFonts w:hint="eastAsia" w:ascii="宋体" w:hAnsi="宋体" w:eastAsia="宋体" w:cs="宋体"/>
                <w:b/>
                <w:color w:val="auto"/>
                <w:sz w:val="21"/>
                <w:szCs w:val="21"/>
                <w:highlight w:val="none"/>
              </w:rPr>
              <w:t>委托时必须提供，否则作无效投标处理</w:t>
            </w:r>
            <w:r>
              <w:rPr>
                <w:rFonts w:hint="eastAsia" w:ascii="宋体" w:hAnsi="宋体" w:eastAsia="宋体" w:cs="宋体"/>
                <w:color w:val="auto"/>
                <w:sz w:val="21"/>
                <w:szCs w:val="21"/>
                <w:highlight w:val="none"/>
              </w:rPr>
              <w:t>）</w:t>
            </w:r>
          </w:p>
          <w:p w14:paraId="5E8AAEAF">
            <w:pPr>
              <w:shd w:val="clea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商务条款偏离表；（</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4EE31E1F">
            <w:pPr>
              <w:shd w:val="clea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投标人情况介绍；</w:t>
            </w:r>
          </w:p>
          <w:p w14:paraId="293FF9EC">
            <w:pPr>
              <w:shd w:val="clea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投标人类似业绩的证明文件（如有要求）；</w:t>
            </w:r>
          </w:p>
          <w:p w14:paraId="4E30283D">
            <w:pPr>
              <w:shd w:val="clea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除招标文件规定必须提供以外，投标人认为需要提供的其他商务文件或说明。（投标人根据“第二章 采购需求”及“第四章 评标方法及评标标准”提供有关证明材料）。</w:t>
            </w:r>
          </w:p>
          <w:p w14:paraId="3297DDE4">
            <w:pPr>
              <w:shd w:val="clear"/>
              <w:snapToGrid w:val="0"/>
              <w:spacing w:line="360" w:lineRule="auto"/>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注： </w:t>
            </w:r>
          </w:p>
          <w:p w14:paraId="64AA6C99">
            <w:pPr>
              <w:shd w:val="clear"/>
              <w:snapToGrid w:val="0"/>
              <w:spacing w:line="360" w:lineRule="auto"/>
              <w:ind w:firstLine="422" w:firstLineChars="20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1.法定代表人授权委托书必须由法定代表人及委托代理人签字</w:t>
            </w:r>
            <w:r>
              <w:rPr>
                <w:rFonts w:hint="eastAsia" w:ascii="宋体" w:hAnsi="宋体" w:eastAsia="宋体" w:cs="宋体"/>
                <w:b/>
                <w:bCs/>
                <w:color w:val="auto"/>
                <w:sz w:val="21"/>
                <w:szCs w:val="21"/>
                <w:highlight w:val="none"/>
                <w:lang w:val="en-US" w:eastAsia="zh-CN"/>
              </w:rPr>
              <w:t>或电子签名</w:t>
            </w:r>
            <w:r>
              <w:rPr>
                <w:rFonts w:hint="eastAsia" w:ascii="宋体" w:hAnsi="宋体" w:eastAsia="宋体" w:cs="宋体"/>
                <w:b/>
                <w:bCs/>
                <w:color w:val="auto"/>
                <w:sz w:val="21"/>
                <w:szCs w:val="21"/>
                <w:highlight w:val="none"/>
              </w:rPr>
              <w:t>，并加盖投标人电子公章，否则作无效投标处理。</w:t>
            </w:r>
          </w:p>
          <w:p w14:paraId="424DBBC3">
            <w:pPr>
              <w:shd w:val="clear"/>
              <w:snapToGrid w:val="0"/>
              <w:spacing w:line="360" w:lineRule="auto"/>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rPr>
              <w:t>2.以上标明“必须提供”的材料</w:t>
            </w:r>
            <w:r>
              <w:rPr>
                <w:rFonts w:hint="eastAsia" w:ascii="宋体" w:hAnsi="宋体" w:eastAsia="宋体" w:cs="宋体"/>
                <w:b/>
                <w:color w:val="auto"/>
                <w:sz w:val="21"/>
                <w:szCs w:val="21"/>
                <w:highlight w:val="none"/>
              </w:rPr>
              <w:t>属于复印件的扫描件的</w:t>
            </w:r>
            <w:r>
              <w:rPr>
                <w:rFonts w:hint="eastAsia" w:ascii="宋体" w:hAnsi="宋体" w:eastAsia="宋体" w:cs="宋体"/>
                <w:b/>
                <w:bCs/>
                <w:color w:val="auto"/>
                <w:sz w:val="21"/>
                <w:szCs w:val="21"/>
                <w:highlight w:val="none"/>
              </w:rPr>
              <w:t>，必须加盖投标人电子公章，否则</w:t>
            </w:r>
            <w:r>
              <w:rPr>
                <w:rFonts w:hint="eastAsia" w:ascii="宋体" w:hAnsi="宋体" w:eastAsia="宋体" w:cs="宋体"/>
                <w:b/>
                <w:color w:val="auto"/>
                <w:sz w:val="21"/>
                <w:szCs w:val="21"/>
                <w:highlight w:val="none"/>
              </w:rPr>
              <w:t>作无效投标处理</w:t>
            </w:r>
            <w:r>
              <w:rPr>
                <w:rFonts w:hint="eastAsia" w:ascii="宋体" w:hAnsi="宋体" w:eastAsia="宋体" w:cs="宋体"/>
                <w:b/>
                <w:bCs/>
                <w:color w:val="auto"/>
                <w:sz w:val="21"/>
                <w:szCs w:val="21"/>
                <w:highlight w:val="none"/>
              </w:rPr>
              <w:t>。</w:t>
            </w:r>
          </w:p>
        </w:tc>
      </w:tr>
      <w:tr w14:paraId="2A1451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vMerge w:val="restart"/>
            <w:tcBorders>
              <w:left w:val="single" w:color="auto" w:sz="4" w:space="0"/>
              <w:right w:val="single" w:color="auto" w:sz="4" w:space="0"/>
            </w:tcBorders>
            <w:noWrap w:val="0"/>
            <w:vAlign w:val="center"/>
          </w:tcPr>
          <w:p w14:paraId="414CB59C">
            <w:pPr>
              <w:shd w:val="clear"/>
              <w:spacing w:line="360" w:lineRule="auto"/>
              <w:rPr>
                <w:rFonts w:hint="eastAsia" w:ascii="宋体" w:hAnsi="宋体" w:eastAsia="宋体" w:cs="宋体"/>
                <w:color w:val="auto"/>
                <w:sz w:val="21"/>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0916A64">
            <w:pPr>
              <w:shd w:val="clea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技术文件组成</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5FF6C9A4">
            <w:pPr>
              <w:shd w:val="clea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color w:val="auto"/>
                <w:szCs w:val="21"/>
                <w:highlight w:val="none"/>
              </w:rPr>
              <w:t>投标服务技术需求偏离表</w:t>
            </w:r>
            <w:r>
              <w:rPr>
                <w:rFonts w:hint="eastAsia" w:ascii="宋体" w:hAnsi="宋体" w:eastAsia="宋体" w:cs="宋体"/>
                <w:color w:val="auto"/>
                <w:sz w:val="21"/>
                <w:szCs w:val="21"/>
                <w:highlight w:val="none"/>
              </w:rPr>
              <w:t>；（</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6706A537">
            <w:pPr>
              <w:shd w:val="clea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技术服务方案</w:t>
            </w:r>
            <w:r>
              <w:rPr>
                <w:rFonts w:hint="eastAsia" w:ascii="宋体" w:hAnsi="宋体" w:eastAsia="宋体" w:cs="宋体"/>
                <w:color w:val="auto"/>
                <w:sz w:val="21"/>
                <w:szCs w:val="21"/>
                <w:highlight w:val="none"/>
              </w:rPr>
              <w:t>（由投标人自行结合“</w:t>
            </w:r>
            <w:r>
              <w:rPr>
                <w:rFonts w:hint="eastAsia" w:ascii="宋体" w:hAnsi="宋体" w:eastAsia="宋体" w:cs="宋体"/>
                <w:color w:val="auto"/>
                <w:sz w:val="21"/>
                <w:szCs w:val="21"/>
                <w:highlight w:val="none"/>
                <w:lang w:val="en-US" w:eastAsia="zh-CN"/>
              </w:rPr>
              <w:t>采购需求</w:t>
            </w:r>
            <w:r>
              <w:rPr>
                <w:rFonts w:hint="eastAsia" w:ascii="宋体" w:hAnsi="宋体" w:eastAsia="宋体" w:cs="宋体"/>
                <w:color w:val="auto"/>
                <w:sz w:val="21"/>
                <w:szCs w:val="21"/>
                <w:highlight w:val="none"/>
              </w:rPr>
              <w:t>”及“评标</w:t>
            </w:r>
            <w:r>
              <w:rPr>
                <w:rFonts w:hint="eastAsia" w:ascii="宋体" w:hAnsi="宋体" w:eastAsia="宋体" w:cs="宋体"/>
                <w:color w:val="auto"/>
                <w:sz w:val="21"/>
                <w:szCs w:val="21"/>
                <w:highlight w:val="none"/>
                <w:lang w:val="en-US" w:eastAsia="zh-CN"/>
              </w:rPr>
              <w:t>方法及评分标准</w:t>
            </w:r>
            <w:r>
              <w:rPr>
                <w:rFonts w:hint="eastAsia" w:ascii="宋体" w:hAnsi="宋体" w:eastAsia="宋体" w:cs="宋体"/>
                <w:color w:val="auto"/>
                <w:sz w:val="21"/>
                <w:szCs w:val="21"/>
                <w:highlight w:val="none"/>
              </w:rPr>
              <w:t>”编制，格式自拟）；（如有，请提供）</w:t>
            </w:r>
          </w:p>
          <w:p w14:paraId="43CA7D1C">
            <w:pPr>
              <w:shd w:val="clear"/>
              <w:snapToGrid w:val="0"/>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3.拟投入人员一览表；</w:t>
            </w:r>
            <w:r>
              <w:rPr>
                <w:rFonts w:hint="eastAsia" w:ascii="宋体" w:hAnsi="宋体" w:eastAsia="宋体" w:cs="宋体"/>
                <w:color w:val="auto"/>
                <w:sz w:val="21"/>
                <w:szCs w:val="21"/>
                <w:highlight w:val="none"/>
              </w:rPr>
              <w:t>（</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5C8A4B38">
            <w:pPr>
              <w:shd w:val="clea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4.售后服务方案</w:t>
            </w:r>
            <w:r>
              <w:rPr>
                <w:rFonts w:hint="eastAsia" w:ascii="宋体" w:hAnsi="宋体" w:eastAsia="宋体" w:cs="宋体"/>
                <w:color w:val="auto"/>
                <w:sz w:val="21"/>
                <w:szCs w:val="21"/>
                <w:highlight w:val="none"/>
              </w:rPr>
              <w:t>；（如有，请提供）</w:t>
            </w:r>
          </w:p>
          <w:p w14:paraId="4A4B0D48">
            <w:pPr>
              <w:shd w:val="clea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.投标人对项目的合理化建议和改进措施；（如有，请提供）</w:t>
            </w:r>
          </w:p>
          <w:p w14:paraId="67E7223D">
            <w:pPr>
              <w:shd w:val="clear"/>
              <w:snapToGrid w:val="0"/>
              <w:spacing w:line="360" w:lineRule="auto"/>
              <w:jc w:val="left"/>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.除招标文件规定必须提供以外，投标人认为需要提供的其他技术文件或说明。</w:t>
            </w:r>
          </w:p>
          <w:p w14:paraId="40C15285">
            <w:pPr>
              <w:shd w:val="clear"/>
              <w:snapToGrid w:val="0"/>
              <w:spacing w:line="360" w:lineRule="auto"/>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注：以上标明“必须提供”的材料</w:t>
            </w:r>
            <w:r>
              <w:rPr>
                <w:rFonts w:hint="eastAsia" w:ascii="宋体" w:hAnsi="宋体" w:eastAsia="宋体" w:cs="宋体"/>
                <w:b/>
                <w:color w:val="auto"/>
                <w:sz w:val="21"/>
                <w:szCs w:val="21"/>
                <w:highlight w:val="none"/>
              </w:rPr>
              <w:t>属于复印件的扫描件的</w:t>
            </w:r>
            <w:r>
              <w:rPr>
                <w:rFonts w:hint="eastAsia" w:ascii="宋体" w:hAnsi="宋体" w:eastAsia="宋体" w:cs="宋体"/>
                <w:b/>
                <w:bCs/>
                <w:color w:val="auto"/>
                <w:sz w:val="21"/>
                <w:szCs w:val="21"/>
                <w:highlight w:val="none"/>
              </w:rPr>
              <w:t>，必须加盖投标人电子公章，否则</w:t>
            </w:r>
            <w:r>
              <w:rPr>
                <w:rFonts w:hint="eastAsia" w:ascii="宋体" w:hAnsi="宋体" w:eastAsia="宋体" w:cs="宋体"/>
                <w:b/>
                <w:color w:val="auto"/>
                <w:sz w:val="21"/>
                <w:szCs w:val="21"/>
                <w:highlight w:val="none"/>
              </w:rPr>
              <w:t>作无效投标处理</w:t>
            </w:r>
            <w:r>
              <w:rPr>
                <w:rFonts w:hint="eastAsia" w:ascii="宋体" w:hAnsi="宋体" w:eastAsia="宋体" w:cs="宋体"/>
                <w:b/>
                <w:bCs/>
                <w:color w:val="auto"/>
                <w:sz w:val="21"/>
                <w:szCs w:val="21"/>
                <w:highlight w:val="none"/>
              </w:rPr>
              <w:t>。</w:t>
            </w:r>
          </w:p>
        </w:tc>
      </w:tr>
      <w:tr w14:paraId="044A07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vMerge w:val="continue"/>
            <w:tcBorders>
              <w:left w:val="single" w:color="auto" w:sz="4" w:space="0"/>
              <w:bottom w:val="single" w:color="auto" w:sz="4" w:space="0"/>
              <w:right w:val="single" w:color="auto" w:sz="4" w:space="0"/>
            </w:tcBorders>
            <w:noWrap w:val="0"/>
            <w:vAlign w:val="center"/>
          </w:tcPr>
          <w:p w14:paraId="6240DE2C">
            <w:pPr>
              <w:shd w:val="clear"/>
              <w:spacing w:line="360" w:lineRule="auto"/>
              <w:rPr>
                <w:rFonts w:hint="eastAsia" w:ascii="宋体" w:hAnsi="宋体" w:eastAsia="宋体" w:cs="宋体"/>
                <w:color w:val="auto"/>
                <w:sz w:val="21"/>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7E34AE0">
            <w:pPr>
              <w:shd w:val="clea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报价文件组成</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36369994">
            <w:pPr>
              <w:shd w:val="clear"/>
              <w:tabs>
                <w:tab w:val="left" w:pos="459"/>
              </w:tabs>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1.投标函；</w:t>
            </w:r>
            <w:r>
              <w:rPr>
                <w:rFonts w:hint="eastAsia" w:ascii="宋体" w:hAnsi="宋体" w:eastAsia="宋体" w:cs="宋体"/>
                <w:b/>
                <w:color w:val="auto"/>
                <w:sz w:val="21"/>
                <w:szCs w:val="21"/>
                <w:highlight w:val="none"/>
              </w:rPr>
              <w:t>（必须提供，否则作无效投标处理）</w:t>
            </w:r>
          </w:p>
          <w:p w14:paraId="5ADDF10B">
            <w:pPr>
              <w:shd w:val="clear"/>
              <w:tabs>
                <w:tab w:val="left" w:pos="459"/>
              </w:tabs>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2.开标一览表；（</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t>3.</w:t>
            </w:r>
            <w:r>
              <w:rPr>
                <w:rFonts w:hint="eastAsia" w:ascii="宋体" w:cs="宋体"/>
                <w:color w:val="auto"/>
                <w:szCs w:val="21"/>
                <w:highlight w:val="none"/>
                <w:lang w:bidi="ar"/>
              </w:rPr>
              <w:t>投标人针对报价需要说明的其他文件和说明（格式自拟）</w:t>
            </w:r>
          </w:p>
          <w:p w14:paraId="19E31E91">
            <w:pPr>
              <w:shd w:val="clear"/>
              <w:tabs>
                <w:tab w:val="left" w:pos="459"/>
              </w:tabs>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注：以上标明“必须提供”的材料必须加盖投标人电子公章，否则</w:t>
            </w:r>
            <w:r>
              <w:rPr>
                <w:rFonts w:hint="eastAsia" w:ascii="宋体" w:hAnsi="宋体" w:eastAsia="宋体" w:cs="宋体"/>
                <w:b/>
                <w:color w:val="auto"/>
                <w:sz w:val="21"/>
                <w:szCs w:val="21"/>
                <w:highlight w:val="none"/>
              </w:rPr>
              <w:t>作无效投标处理</w:t>
            </w:r>
            <w:r>
              <w:rPr>
                <w:rFonts w:hint="eastAsia" w:ascii="宋体" w:hAnsi="宋体" w:eastAsia="宋体" w:cs="宋体"/>
                <w:b/>
                <w:bCs/>
                <w:color w:val="auto"/>
                <w:sz w:val="21"/>
                <w:szCs w:val="21"/>
                <w:highlight w:val="none"/>
              </w:rPr>
              <w:t>。</w:t>
            </w:r>
          </w:p>
        </w:tc>
      </w:tr>
      <w:tr w14:paraId="04FF58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086FEBA5">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16.2</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6D157F21">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投标报价要求</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47A7556E">
            <w:pPr>
              <w:shd w:val="clear"/>
              <w:snapToGrid w:val="0"/>
              <w:spacing w:line="360" w:lineRule="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投标报价是履行合同的最终价格，必须包含项目服务工作所需的价格。</w:t>
            </w:r>
            <w:r>
              <w:rPr>
                <w:rFonts w:hint="eastAsia" w:ascii="宋体" w:hAnsi="宋体" w:eastAsia="宋体" w:cs="宋体"/>
                <w:b/>
                <w:color w:val="auto"/>
                <w:sz w:val="21"/>
                <w:szCs w:val="21"/>
                <w:highlight w:val="none"/>
              </w:rPr>
              <w:t>（采购需求另有约定的，从其约定）</w:t>
            </w:r>
          </w:p>
        </w:tc>
      </w:tr>
      <w:tr w14:paraId="4642CB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35F78903">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17.2</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D293C3D">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589519BC">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自投标截止之日起</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u w:val="single"/>
              </w:rPr>
              <w:t>0</w:t>
            </w:r>
            <w:r>
              <w:rPr>
                <w:rFonts w:hint="eastAsia" w:ascii="宋体" w:hAnsi="宋体" w:eastAsia="宋体" w:cs="宋体"/>
                <w:color w:val="auto"/>
                <w:sz w:val="21"/>
                <w:szCs w:val="21"/>
                <w:highlight w:val="none"/>
              </w:rPr>
              <w:t>日。</w:t>
            </w:r>
          </w:p>
        </w:tc>
      </w:tr>
      <w:tr w14:paraId="224133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5A089398">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64B3B9E">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投标保证金金额</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764B22AF">
            <w:pPr>
              <w:shd w:val="clear"/>
              <w:autoSpaceDE w:val="0"/>
              <w:autoSpaceDN w:val="0"/>
              <w:snapToGrid w:val="0"/>
              <w:spacing w:line="360" w:lineRule="auto"/>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本项目不收取投标保证金。</w:t>
            </w:r>
          </w:p>
        </w:tc>
      </w:tr>
      <w:tr w14:paraId="5389F7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4C3B03E4">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19.1</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208E5817">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投标文件编制要求</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65D491A0">
            <w:pPr>
              <w:shd w:val="clear"/>
              <w:spacing w:line="360" w:lineRule="auto"/>
              <w:rPr>
                <w:rFonts w:hint="eastAsia" w:ascii="宋体" w:hAnsi="宋体" w:eastAsia="宋体" w:cs="宋体"/>
                <w:b/>
                <w:color w:val="auto"/>
                <w:sz w:val="21"/>
                <w:szCs w:val="21"/>
                <w:highlight w:val="none"/>
                <w:u w:val="single"/>
              </w:rPr>
            </w:pPr>
            <w:r>
              <w:rPr>
                <w:rFonts w:hint="eastAsia" w:ascii="宋体" w:hAnsi="宋体" w:eastAsia="宋体" w:cs="宋体"/>
                <w:color w:val="auto"/>
                <w:sz w:val="21"/>
                <w:szCs w:val="21"/>
                <w:highlight w:val="none"/>
              </w:rPr>
              <w:t>投标文件应按报价文件、资格证明文件、商务文件、技术文件分别编制，报价文件、资格证明文件分别产生电子文件，商务文件和技术文件按顺序合并生成电子文件。</w:t>
            </w:r>
          </w:p>
        </w:tc>
      </w:tr>
      <w:tr w14:paraId="540021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41ED3A0C">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50011D6">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备份投标文件</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2779D60C">
            <w:pPr>
              <w:shd w:val="clear"/>
              <w:autoSpaceDE w:val="0"/>
              <w:autoSpaceDN w:val="0"/>
              <w:snapToGrid w:val="0"/>
              <w:spacing w:line="360" w:lineRule="auto"/>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本项目不接受备份投标文件。</w:t>
            </w:r>
          </w:p>
        </w:tc>
      </w:tr>
      <w:tr w14:paraId="720C12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675" w:type="dxa"/>
            <w:vMerge w:val="restart"/>
            <w:tcBorders>
              <w:top w:val="single" w:color="auto" w:sz="4" w:space="0"/>
              <w:left w:val="single" w:color="auto" w:sz="4" w:space="0"/>
              <w:right w:val="single" w:color="auto" w:sz="4" w:space="0"/>
            </w:tcBorders>
            <w:noWrap w:val="0"/>
            <w:vAlign w:val="center"/>
          </w:tcPr>
          <w:p w14:paraId="32FCDE45">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25D45F33">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投标截止时间</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2B7E1911">
            <w:pPr>
              <w:shd w:val="clear"/>
              <w:snapToGrid w:val="0"/>
              <w:spacing w:line="360" w:lineRule="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详见招标公告</w:t>
            </w:r>
          </w:p>
        </w:tc>
      </w:tr>
      <w:tr w14:paraId="7B9864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675" w:type="dxa"/>
            <w:vMerge w:val="continue"/>
            <w:tcBorders>
              <w:left w:val="single" w:color="auto" w:sz="4" w:space="0"/>
              <w:right w:val="single" w:color="auto" w:sz="4" w:space="0"/>
            </w:tcBorders>
            <w:noWrap w:val="0"/>
            <w:vAlign w:val="center"/>
          </w:tcPr>
          <w:p w14:paraId="487411BC">
            <w:pPr>
              <w:shd w:val="clear"/>
              <w:spacing w:line="360" w:lineRule="auto"/>
              <w:rPr>
                <w:rFonts w:hint="eastAsia" w:ascii="宋体" w:hAnsi="宋体" w:eastAsia="宋体" w:cs="宋体"/>
                <w:color w:val="auto"/>
                <w:sz w:val="21"/>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35E3EBAB">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投标文件提交起止时间</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4933542B">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详见招标公告</w:t>
            </w:r>
          </w:p>
        </w:tc>
      </w:tr>
      <w:tr w14:paraId="72BB26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675" w:type="dxa"/>
            <w:vMerge w:val="continue"/>
            <w:tcBorders>
              <w:left w:val="single" w:color="auto" w:sz="4" w:space="0"/>
              <w:right w:val="single" w:color="auto" w:sz="4" w:space="0"/>
            </w:tcBorders>
            <w:noWrap w:val="0"/>
            <w:vAlign w:val="center"/>
          </w:tcPr>
          <w:p w14:paraId="3F1AE259">
            <w:pPr>
              <w:shd w:val="clear"/>
              <w:spacing w:line="360" w:lineRule="auto"/>
              <w:rPr>
                <w:rFonts w:hint="eastAsia" w:ascii="宋体" w:hAnsi="宋体" w:eastAsia="宋体" w:cs="宋体"/>
                <w:color w:val="auto"/>
                <w:sz w:val="21"/>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1ECFA81B">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投标地点</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63515064">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详见招标公告</w:t>
            </w:r>
          </w:p>
        </w:tc>
      </w:tr>
      <w:tr w14:paraId="26C2A1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675" w:type="dxa"/>
            <w:vMerge w:val="continue"/>
            <w:tcBorders>
              <w:left w:val="single" w:color="auto" w:sz="4" w:space="0"/>
              <w:right w:val="single" w:color="auto" w:sz="4" w:space="0"/>
            </w:tcBorders>
            <w:noWrap w:val="0"/>
            <w:vAlign w:val="center"/>
          </w:tcPr>
          <w:p w14:paraId="5B850344">
            <w:pPr>
              <w:shd w:val="clear"/>
              <w:spacing w:line="360" w:lineRule="auto"/>
              <w:rPr>
                <w:rFonts w:hint="eastAsia" w:ascii="宋体" w:hAnsi="宋体" w:eastAsia="宋体" w:cs="宋体"/>
                <w:color w:val="auto"/>
                <w:sz w:val="21"/>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380D6A3E">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投标人递交投标样品截止时间及地点</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007A7347">
            <w:pPr>
              <w:shd w:val="clear"/>
              <w:snapToGrid w:val="0"/>
              <w:spacing w:line="36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时间：</w:t>
            </w:r>
            <w:r>
              <w:rPr>
                <w:rFonts w:hint="eastAsia" w:ascii="宋体" w:hAnsi="宋体" w:eastAsia="宋体" w:cs="宋体"/>
                <w:bCs/>
                <w:color w:val="auto"/>
                <w:sz w:val="21"/>
                <w:szCs w:val="21"/>
                <w:highlight w:val="none"/>
                <w:u w:val="single"/>
              </w:rPr>
              <w:t xml:space="preserve">  /  年 / 月 / 日 / 时 / 分</w:t>
            </w:r>
            <w:r>
              <w:rPr>
                <w:rFonts w:hint="eastAsia" w:ascii="宋体" w:hAnsi="宋体" w:eastAsia="宋体" w:cs="宋体"/>
                <w:bCs/>
                <w:color w:val="auto"/>
                <w:sz w:val="21"/>
                <w:szCs w:val="21"/>
                <w:highlight w:val="none"/>
              </w:rPr>
              <w:t>（北京时间）</w:t>
            </w:r>
          </w:p>
          <w:p w14:paraId="4190EE41">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地点：</w:t>
            </w:r>
            <w:r>
              <w:rPr>
                <w:rFonts w:hint="eastAsia" w:ascii="宋体" w:hAnsi="宋体" w:eastAsia="宋体" w:cs="宋体"/>
                <w:bCs/>
                <w:color w:val="auto"/>
                <w:sz w:val="21"/>
                <w:szCs w:val="21"/>
                <w:highlight w:val="none"/>
                <w:u w:val="single"/>
              </w:rPr>
              <w:t xml:space="preserve">       /                   </w:t>
            </w:r>
          </w:p>
        </w:tc>
      </w:tr>
      <w:tr w14:paraId="4B26FF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2579AA96">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15EDBCBE">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开标时间、地点</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7866FA2E">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详见招标公告 </w:t>
            </w:r>
          </w:p>
        </w:tc>
      </w:tr>
      <w:tr w14:paraId="02BDB9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7" w:hRule="atLeast"/>
        </w:trPr>
        <w:tc>
          <w:tcPr>
            <w:tcW w:w="675" w:type="dxa"/>
            <w:vMerge w:val="restart"/>
            <w:tcBorders>
              <w:top w:val="single" w:color="auto" w:sz="4" w:space="0"/>
              <w:left w:val="single" w:color="auto" w:sz="4" w:space="0"/>
              <w:right w:val="single" w:color="auto" w:sz="4" w:space="0"/>
            </w:tcBorders>
            <w:noWrap w:val="0"/>
            <w:vAlign w:val="center"/>
          </w:tcPr>
          <w:p w14:paraId="2858B398">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25.3</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7F820BD6">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投标人信用查询渠道</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45D22F4E">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采购人或者采购代理机构在资格审查结束前，对投标人进行信用查询。</w:t>
            </w:r>
          </w:p>
          <w:p w14:paraId="6638BCEB">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查询渠道：“信用中国”网站(www.creditchina.gov.cn) 、中国政府采购网(www.ccgp.gov.cn)。</w:t>
            </w:r>
          </w:p>
        </w:tc>
      </w:tr>
      <w:tr w14:paraId="7ED60E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675" w:type="dxa"/>
            <w:vMerge w:val="continue"/>
            <w:tcBorders>
              <w:left w:val="single" w:color="auto" w:sz="4" w:space="0"/>
              <w:right w:val="single" w:color="auto" w:sz="4" w:space="0"/>
            </w:tcBorders>
            <w:noWrap w:val="0"/>
            <w:vAlign w:val="center"/>
          </w:tcPr>
          <w:p w14:paraId="43182758">
            <w:pPr>
              <w:shd w:val="clear"/>
              <w:spacing w:line="360" w:lineRule="auto"/>
              <w:rPr>
                <w:rFonts w:hint="eastAsia" w:ascii="宋体" w:hAnsi="宋体" w:eastAsia="宋体" w:cs="宋体"/>
                <w:color w:val="auto"/>
                <w:sz w:val="21"/>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F837B68">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信用查询截止时点</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6D50D385">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资格审查结束前</w:t>
            </w:r>
          </w:p>
        </w:tc>
      </w:tr>
      <w:tr w14:paraId="17242D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75" w:type="dxa"/>
            <w:vMerge w:val="continue"/>
            <w:tcBorders>
              <w:left w:val="single" w:color="auto" w:sz="4" w:space="0"/>
              <w:right w:val="single" w:color="auto" w:sz="4" w:space="0"/>
            </w:tcBorders>
            <w:noWrap w:val="0"/>
            <w:vAlign w:val="center"/>
          </w:tcPr>
          <w:p w14:paraId="72822860">
            <w:pPr>
              <w:shd w:val="clear"/>
              <w:spacing w:line="360" w:lineRule="auto"/>
              <w:rPr>
                <w:rFonts w:hint="eastAsia" w:ascii="宋体" w:hAnsi="宋体" w:eastAsia="宋体" w:cs="宋体"/>
                <w:color w:val="auto"/>
                <w:sz w:val="21"/>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0F78357">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查询记录和证据留存方式</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3710F3CD">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在查询网站中直接截图查询记录，截图作为在广西政府采购云平台作为附件上传保存。</w:t>
            </w:r>
          </w:p>
        </w:tc>
      </w:tr>
      <w:tr w14:paraId="4F8175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75" w:type="dxa"/>
            <w:vMerge w:val="continue"/>
            <w:tcBorders>
              <w:left w:val="single" w:color="auto" w:sz="4" w:space="0"/>
              <w:bottom w:val="single" w:color="auto" w:sz="4" w:space="0"/>
              <w:right w:val="single" w:color="auto" w:sz="4" w:space="0"/>
            </w:tcBorders>
            <w:noWrap w:val="0"/>
            <w:vAlign w:val="center"/>
          </w:tcPr>
          <w:p w14:paraId="62A80C87">
            <w:pPr>
              <w:shd w:val="clear"/>
              <w:spacing w:line="360" w:lineRule="auto"/>
              <w:rPr>
                <w:rFonts w:hint="eastAsia" w:ascii="宋体" w:hAnsi="宋体" w:eastAsia="宋体" w:cs="宋体"/>
                <w:color w:val="auto"/>
                <w:sz w:val="21"/>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1C1B20F6">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信用信息使用规则</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4AD4EF84">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对在“信用中国”网站(www.creditchina.gov.cn) 、中国政府采购网(www.ccgp.gov.cn)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714B8F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6A2C28FB">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29.1</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7AD9859B">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评标方法</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52562490">
            <w:pPr>
              <w:shd w:val="clear"/>
              <w:autoSpaceDE w:val="0"/>
              <w:autoSpaceDN w:val="0"/>
              <w:snapToGrid w:val="0"/>
              <w:spacing w:line="360" w:lineRule="auto"/>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综合评分法</w:t>
            </w:r>
          </w:p>
          <w:p w14:paraId="712DAB88">
            <w:pPr>
              <w:shd w:val="clear"/>
              <w:autoSpaceDE w:val="0"/>
              <w:autoSpaceDN w:val="0"/>
              <w:snapToGrid w:val="0"/>
              <w:spacing w:line="360" w:lineRule="auto"/>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□最低评标价法</w:t>
            </w:r>
          </w:p>
        </w:tc>
      </w:tr>
      <w:tr w14:paraId="2D3ABD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675" w:type="dxa"/>
            <w:tcBorders>
              <w:top w:val="single" w:color="auto" w:sz="4" w:space="0"/>
              <w:left w:val="single" w:color="auto" w:sz="4" w:space="0"/>
              <w:right w:val="single" w:color="auto" w:sz="4" w:space="0"/>
            </w:tcBorders>
            <w:noWrap w:val="0"/>
            <w:vAlign w:val="center"/>
          </w:tcPr>
          <w:p w14:paraId="5A912796">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29.2</w:t>
            </w:r>
          </w:p>
        </w:tc>
        <w:tc>
          <w:tcPr>
            <w:tcW w:w="1785" w:type="dxa"/>
            <w:tcBorders>
              <w:top w:val="single" w:color="auto" w:sz="4" w:space="0"/>
              <w:left w:val="single" w:color="auto" w:sz="4" w:space="0"/>
              <w:right w:val="single" w:color="auto" w:sz="4" w:space="0"/>
            </w:tcBorders>
            <w:noWrap w:val="0"/>
            <w:vAlign w:val="center"/>
          </w:tcPr>
          <w:p w14:paraId="60549B89">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允许负偏离项</w:t>
            </w:r>
          </w:p>
        </w:tc>
        <w:tc>
          <w:tcPr>
            <w:tcW w:w="6990" w:type="dxa"/>
            <w:tcBorders>
              <w:top w:val="single" w:color="auto" w:sz="4" w:space="0"/>
              <w:left w:val="single" w:color="auto" w:sz="4" w:space="0"/>
              <w:right w:val="single" w:color="auto" w:sz="4" w:space="0"/>
            </w:tcBorders>
            <w:noWrap w:val="0"/>
            <w:vAlign w:val="center"/>
          </w:tcPr>
          <w:p w14:paraId="571FBB0C">
            <w:pPr>
              <w:snapToGrid w:val="0"/>
              <w:spacing w:line="360" w:lineRule="exact"/>
              <w:rPr>
                <w:rFonts w:ascii="宋体" w:hAnsi="宋体"/>
                <w:szCs w:val="21"/>
              </w:rPr>
            </w:pPr>
            <w:r>
              <w:rPr>
                <w:rFonts w:hint="eastAsia" w:ascii="宋体" w:hAnsi="宋体" w:cs="宋体"/>
                <w:szCs w:val="21"/>
              </w:rPr>
              <w:t>商务要求</w:t>
            </w:r>
            <w:r>
              <w:rPr>
                <w:rFonts w:hint="eastAsia" w:ascii="宋体" w:hAnsi="宋体"/>
                <w:szCs w:val="21"/>
              </w:rPr>
              <w:t>评审中负偏离的条款：招标文件第二章采购需求表“商务要求”中凡标注“▲”的条款或要求不响应或不满足的，投标文件即作无效处理；</w:t>
            </w:r>
          </w:p>
          <w:p w14:paraId="01C9C711">
            <w:pPr>
              <w:shd w:val="clear"/>
              <w:spacing w:line="360" w:lineRule="auto"/>
              <w:rPr>
                <w:rFonts w:hint="eastAsia" w:ascii="宋体" w:hAnsi="宋体" w:eastAsia="宋体" w:cs="宋体"/>
                <w:color w:val="auto"/>
                <w:sz w:val="21"/>
                <w:szCs w:val="21"/>
                <w:highlight w:val="none"/>
              </w:rPr>
            </w:pPr>
            <w:r>
              <w:rPr>
                <w:rFonts w:hint="eastAsia" w:ascii="宋体" w:hAnsi="宋体" w:cs="宋体"/>
                <w:szCs w:val="21"/>
              </w:rPr>
              <w:t>技术要求</w:t>
            </w:r>
            <w:r>
              <w:rPr>
                <w:rFonts w:hint="eastAsia" w:ascii="宋体" w:hAnsi="宋体"/>
                <w:szCs w:val="21"/>
              </w:rPr>
              <w:t>评审中负偏离的条款：招标文件第二章采购需求表“主要技术参数及性能（配置）要求”中凡标注“▲”的条款或要求不响应或不满足的，投标文件即作无效处理；未标注“▲”号的条款或要求或作为评审依据进行考核，若</w:t>
            </w:r>
            <w:r>
              <w:rPr>
                <w:rFonts w:ascii="宋体" w:hAnsi="宋体"/>
                <w:szCs w:val="21"/>
              </w:rPr>
              <w:t>作为评审依据考核</w:t>
            </w:r>
            <w:r>
              <w:rPr>
                <w:rFonts w:hint="eastAsia" w:ascii="宋体" w:hAnsi="宋体"/>
                <w:szCs w:val="21"/>
              </w:rPr>
              <w:t>的，具体见本招标文件第四章。</w:t>
            </w:r>
          </w:p>
        </w:tc>
      </w:tr>
      <w:tr w14:paraId="0704DF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3E236411">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30.1</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73E80FF6">
            <w:pPr>
              <w:shd w:val="clear"/>
              <w:autoSpaceDE w:val="0"/>
              <w:autoSpaceDN w:val="0"/>
              <w:snapToGrid w:val="0"/>
              <w:spacing w:line="360" w:lineRule="auto"/>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确定中标人时，出现中标候选人分数并列的情形，确定中标人方式 </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0409E2F9">
            <w:pPr>
              <w:shd w:val="clear"/>
              <w:autoSpaceDE w:val="0"/>
              <w:autoSpaceDN w:val="0"/>
              <w:snapToGrid w:val="0"/>
              <w:spacing w:line="360" w:lineRule="auto"/>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□采用最低评标价法的，投标文件满足招标文件全部实质性要求且投标报价最低的投标人为排名第一的中标候选人； </w:t>
            </w:r>
          </w:p>
          <w:p w14:paraId="35031E0A">
            <w:pPr>
              <w:shd w:val="clear"/>
              <w:autoSpaceDE w:val="0"/>
              <w:autoSpaceDN w:val="0"/>
              <w:snapToGrid w:val="0"/>
              <w:spacing w:line="360" w:lineRule="auto"/>
              <w:textAlignment w:val="bottom"/>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采用综合评分法的，按投标报价由低到高顺序排列。得分且投标报价相同的并列。投标文件满足招标文件全部实质性要求，且按照评审因素的量化指标评审得分最高的投标人为排名第一的中标候选人。</w:t>
            </w:r>
          </w:p>
        </w:tc>
      </w:tr>
      <w:tr w14:paraId="25BE5F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05DBC06C">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7DF0BB53">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履约保证金金额</w:t>
            </w:r>
          </w:p>
        </w:tc>
        <w:tc>
          <w:tcPr>
            <w:tcW w:w="6990" w:type="dxa"/>
            <w:tcBorders>
              <w:top w:val="single" w:color="auto" w:sz="4" w:space="0"/>
              <w:left w:val="single" w:color="auto" w:sz="4" w:space="0"/>
              <w:bottom w:val="single" w:color="auto" w:sz="4" w:space="0"/>
              <w:right w:val="single" w:color="auto" w:sz="4" w:space="0"/>
            </w:tcBorders>
            <w:noWrap w:val="0"/>
            <w:vAlign w:val="bottom"/>
          </w:tcPr>
          <w:p w14:paraId="334C5E4C">
            <w:pPr>
              <w:shd w:val="clear"/>
              <w:autoSpaceDE w:val="0"/>
              <w:autoSpaceDN w:val="0"/>
              <w:snapToGrid w:val="0"/>
              <w:spacing w:line="360" w:lineRule="auto"/>
              <w:jc w:val="lef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本项目不收取履约保证金。</w:t>
            </w:r>
          </w:p>
        </w:tc>
      </w:tr>
      <w:tr w14:paraId="4333D0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4C29F5C0">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36.1</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21FAF1DE">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签订电子合同携带的材料</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2E8276F2">
            <w:pPr>
              <w:shd w:val="clear"/>
              <w:autoSpaceDE w:val="0"/>
              <w:autoSpaceDN w:val="0"/>
              <w:snapToGrid w:val="0"/>
              <w:spacing w:line="360" w:lineRule="auto"/>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电子采购合同需要供应商通过有效CA证书进行电子签署</w:t>
            </w:r>
          </w:p>
        </w:tc>
      </w:tr>
      <w:tr w14:paraId="65DF85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675" w:type="dxa"/>
            <w:vMerge w:val="restart"/>
            <w:tcBorders>
              <w:top w:val="single" w:color="auto" w:sz="4" w:space="0"/>
              <w:left w:val="single" w:color="auto" w:sz="4" w:space="0"/>
              <w:right w:val="single" w:color="auto" w:sz="4" w:space="0"/>
            </w:tcBorders>
            <w:noWrap w:val="0"/>
            <w:vAlign w:val="center"/>
          </w:tcPr>
          <w:p w14:paraId="713F0073">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38.2.1</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0A33E306">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接收质疑函方式</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5F200DE6">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以书面形式</w:t>
            </w:r>
          </w:p>
        </w:tc>
      </w:tr>
      <w:tr w14:paraId="474FB7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75" w:type="dxa"/>
            <w:vMerge w:val="continue"/>
            <w:tcBorders>
              <w:left w:val="single" w:color="auto" w:sz="4" w:space="0"/>
              <w:right w:val="single" w:color="auto" w:sz="4" w:space="0"/>
            </w:tcBorders>
            <w:noWrap w:val="0"/>
            <w:vAlign w:val="center"/>
          </w:tcPr>
          <w:p w14:paraId="177DDE44">
            <w:pPr>
              <w:shd w:val="clear"/>
              <w:spacing w:line="360" w:lineRule="auto"/>
              <w:rPr>
                <w:rFonts w:hint="eastAsia" w:ascii="宋体" w:hAnsi="宋体" w:eastAsia="宋体" w:cs="宋体"/>
                <w:color w:val="auto"/>
                <w:sz w:val="21"/>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24176C3C">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质疑联系部门及联系方式</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6C52EB9D">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（1）</w:t>
            </w:r>
            <w:r>
              <w:rPr>
                <w:rFonts w:hint="eastAsia" w:ascii="宋体" w:hAnsi="宋体" w:eastAsia="宋体" w:cs="宋体"/>
                <w:color w:val="auto"/>
                <w:sz w:val="21"/>
                <w:szCs w:val="21"/>
                <w:highlight w:val="none"/>
                <w:u w:val="single"/>
                <w:lang w:eastAsia="zh-CN"/>
              </w:rPr>
              <w:t>广西建设工程机电设备招标中心有限公司</w:t>
            </w:r>
            <w:r>
              <w:rPr>
                <w:rFonts w:hint="eastAsia" w:ascii="宋体" w:hAnsi="宋体" w:eastAsia="宋体" w:cs="宋体"/>
                <w:color w:val="auto"/>
                <w:sz w:val="21"/>
                <w:szCs w:val="21"/>
                <w:highlight w:val="none"/>
              </w:rPr>
              <w:t>；</w:t>
            </w:r>
          </w:p>
          <w:p w14:paraId="56C2026F">
            <w:pPr>
              <w:shd w:val="clear"/>
              <w:snapToGrid w:val="0"/>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lang w:eastAsia="zh-CN"/>
              </w:rPr>
              <w:t>0771-5824250</w:t>
            </w:r>
          </w:p>
          <w:p w14:paraId="733BF418">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通讯地址：</w:t>
            </w:r>
            <w:r>
              <w:rPr>
                <w:rFonts w:hint="eastAsia" w:ascii="宋体" w:hAnsi="宋体" w:eastAsia="宋体" w:cs="宋体"/>
                <w:color w:val="auto"/>
                <w:sz w:val="21"/>
                <w:szCs w:val="21"/>
                <w:highlight w:val="none"/>
                <w:u w:val="single"/>
                <w:lang w:eastAsia="zh-CN"/>
              </w:rPr>
              <w:t>南宁市青秀区枫林路18号广西国控集团（枫林路办公区）裙楼三层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55A411BB">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（2）南宁职业技术大学</w:t>
            </w:r>
            <w:r>
              <w:rPr>
                <w:rFonts w:hint="eastAsia" w:ascii="宋体" w:hAnsi="宋体" w:eastAsia="宋体" w:cs="宋体"/>
                <w:color w:val="auto"/>
                <w:sz w:val="21"/>
                <w:szCs w:val="21"/>
                <w:highlight w:val="none"/>
              </w:rPr>
              <w:t>；</w:t>
            </w:r>
          </w:p>
          <w:p w14:paraId="057C8B6A">
            <w:pPr>
              <w:shd w:val="clear"/>
              <w:snapToGrid w:val="0"/>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联系电话：</w:t>
            </w:r>
            <w:r>
              <w:rPr>
                <w:rFonts w:hint="eastAsia" w:ascii="宋体" w:hAnsi="宋体" w:cs="宋体"/>
                <w:color w:val="auto"/>
                <w:sz w:val="21"/>
                <w:szCs w:val="21"/>
                <w:highlight w:val="none"/>
                <w:lang w:eastAsia="zh-CN"/>
              </w:rPr>
              <w:t>0771-2029355</w:t>
            </w:r>
          </w:p>
          <w:p w14:paraId="156A6F01">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通讯地址：</w:t>
            </w:r>
            <w:r>
              <w:rPr>
                <w:rFonts w:hint="eastAsia" w:ascii="宋体" w:hAnsi="宋体" w:eastAsia="宋体" w:cs="宋体"/>
                <w:color w:val="auto"/>
                <w:sz w:val="21"/>
                <w:szCs w:val="21"/>
                <w:highlight w:val="none"/>
                <w:u w:val="single"/>
              </w:rPr>
              <w:t>广西南宁市西乡塘区大学西路169号</w:t>
            </w:r>
          </w:p>
        </w:tc>
      </w:tr>
      <w:tr w14:paraId="67EDAA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75" w:type="dxa"/>
            <w:vMerge w:val="continue"/>
            <w:tcBorders>
              <w:left w:val="single" w:color="auto" w:sz="4" w:space="0"/>
              <w:bottom w:val="single" w:color="auto" w:sz="4" w:space="0"/>
              <w:right w:val="single" w:color="auto" w:sz="4" w:space="0"/>
            </w:tcBorders>
            <w:noWrap w:val="0"/>
            <w:vAlign w:val="center"/>
          </w:tcPr>
          <w:p w14:paraId="22D66D75">
            <w:pPr>
              <w:shd w:val="clear"/>
              <w:spacing w:line="360" w:lineRule="auto"/>
              <w:rPr>
                <w:rFonts w:hint="eastAsia" w:ascii="宋体" w:hAnsi="宋体" w:eastAsia="宋体" w:cs="宋体"/>
                <w:color w:val="auto"/>
                <w:sz w:val="21"/>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33F1EFA6">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现场提交质疑办理业务时间</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06E5CF8E">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质疑期内每个工作日</w:t>
            </w:r>
            <w:r>
              <w:rPr>
                <w:rFonts w:hint="eastAsia" w:ascii="宋体" w:hAnsi="宋体" w:eastAsia="宋体" w:cs="宋体"/>
                <w:color w:val="auto"/>
                <w:sz w:val="21"/>
                <w:szCs w:val="21"/>
                <w:highlight w:val="none"/>
                <w:u w:val="single"/>
              </w:rPr>
              <w:t>8</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rPr>
              <w:t xml:space="preserve"> 30</w:t>
            </w:r>
            <w:r>
              <w:rPr>
                <w:rFonts w:hint="eastAsia" w:ascii="宋体" w:hAnsi="宋体" w:eastAsia="宋体" w:cs="宋体"/>
                <w:color w:val="auto"/>
                <w:sz w:val="21"/>
                <w:szCs w:val="21"/>
                <w:highlight w:val="none"/>
              </w:rPr>
              <w:t>分到</w:t>
            </w:r>
            <w:r>
              <w:rPr>
                <w:rFonts w:hint="eastAsia" w:ascii="宋体" w:hAnsi="宋体" w:eastAsia="宋体" w:cs="宋体"/>
                <w:color w:val="auto"/>
                <w:sz w:val="21"/>
                <w:szCs w:val="21"/>
                <w:highlight w:val="none"/>
                <w:u w:val="single"/>
              </w:rPr>
              <w:t xml:space="preserve"> 12 </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rPr>
              <w:t>00</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15</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0</w:t>
            </w:r>
            <w:r>
              <w:rPr>
                <w:rFonts w:hint="eastAsia" w:ascii="宋体" w:hAnsi="宋体" w:eastAsia="宋体" w:cs="宋体"/>
                <w:color w:val="auto"/>
                <w:sz w:val="21"/>
                <w:szCs w:val="21"/>
                <w:highlight w:val="none"/>
                <w:u w:val="single"/>
              </w:rPr>
              <w:t>0</w:t>
            </w:r>
            <w:r>
              <w:rPr>
                <w:rFonts w:hint="eastAsia" w:ascii="宋体" w:hAnsi="宋体" w:eastAsia="宋体" w:cs="宋体"/>
                <w:color w:val="auto"/>
                <w:sz w:val="21"/>
                <w:szCs w:val="21"/>
                <w:highlight w:val="none"/>
              </w:rPr>
              <w:t>分到</w:t>
            </w:r>
            <w:r>
              <w:rPr>
                <w:rFonts w:hint="eastAsia" w:ascii="宋体" w:hAnsi="宋体" w:eastAsia="宋体" w:cs="宋体"/>
                <w:color w:val="auto"/>
                <w:sz w:val="21"/>
                <w:szCs w:val="21"/>
                <w:highlight w:val="none"/>
                <w:u w:val="single"/>
              </w:rPr>
              <w:t>1</w:t>
            </w:r>
            <w:r>
              <w:rPr>
                <w:rFonts w:hint="eastAsia" w:ascii="宋体" w:hAnsi="宋体" w:eastAsia="宋体" w:cs="宋体"/>
                <w:color w:val="auto"/>
                <w:sz w:val="21"/>
                <w:szCs w:val="21"/>
                <w:highlight w:val="none"/>
                <w:u w:val="single"/>
                <w:lang w:val="en-US" w:eastAsia="zh-CN"/>
              </w:rPr>
              <w:t>8</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0</w:t>
            </w:r>
            <w:r>
              <w:rPr>
                <w:rFonts w:hint="eastAsia" w:ascii="宋体" w:hAnsi="宋体" w:eastAsia="宋体" w:cs="宋体"/>
                <w:color w:val="auto"/>
                <w:sz w:val="21"/>
                <w:szCs w:val="21"/>
                <w:highlight w:val="none"/>
                <w:u w:val="single"/>
              </w:rPr>
              <w:t>0</w:t>
            </w:r>
            <w:r>
              <w:rPr>
                <w:rFonts w:hint="eastAsia" w:ascii="宋体" w:hAnsi="宋体" w:eastAsia="宋体" w:cs="宋体"/>
                <w:color w:val="auto"/>
                <w:sz w:val="21"/>
                <w:szCs w:val="21"/>
                <w:highlight w:val="none"/>
              </w:rPr>
              <w:t>分</w:t>
            </w:r>
          </w:p>
        </w:tc>
      </w:tr>
      <w:tr w14:paraId="328A18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75" w:type="dxa"/>
            <w:tcBorders>
              <w:left w:val="single" w:color="auto" w:sz="4" w:space="0"/>
              <w:bottom w:val="single" w:color="auto" w:sz="4" w:space="0"/>
              <w:right w:val="single" w:color="auto" w:sz="4" w:space="0"/>
            </w:tcBorders>
            <w:noWrap w:val="0"/>
            <w:vAlign w:val="center"/>
          </w:tcPr>
          <w:p w14:paraId="5B22C1F4">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38.3.1</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D251E0B">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投诉受理方式</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4EFCF96D">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受理方式：纸质方式受理，投诉书正、副本（经过质疑的事项才可投诉）。</w:t>
            </w:r>
          </w:p>
          <w:p w14:paraId="3DE57416">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邮寄地址：</w:t>
            </w:r>
          </w:p>
          <w:p w14:paraId="4E9CFDA7">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名称：南宁市财政局政府采购监督管理科</w:t>
            </w:r>
          </w:p>
          <w:p w14:paraId="67B5A713">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地址：南宁市东葛路129号</w:t>
            </w:r>
          </w:p>
          <w:p w14:paraId="574B97A8">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联系电话：0771-2189091</w:t>
            </w:r>
          </w:p>
        </w:tc>
      </w:tr>
      <w:tr w14:paraId="0415CD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675" w:type="dxa"/>
            <w:vMerge w:val="restart"/>
            <w:tcBorders>
              <w:top w:val="single" w:color="auto" w:sz="4" w:space="0"/>
              <w:left w:val="single" w:color="auto" w:sz="4" w:space="0"/>
              <w:right w:val="single" w:color="auto" w:sz="4" w:space="0"/>
            </w:tcBorders>
            <w:noWrap w:val="0"/>
            <w:vAlign w:val="center"/>
          </w:tcPr>
          <w:p w14:paraId="104BFAC8">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658966EF">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采购代理费支付方式</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33CB0FD5">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本项目代理服务费由</w:t>
            </w:r>
            <w:r>
              <w:rPr>
                <w:rFonts w:hint="eastAsia" w:ascii="宋体" w:hAnsi="宋体" w:eastAsia="宋体" w:cs="宋体"/>
                <w:color w:val="auto"/>
                <w:sz w:val="21"/>
                <w:szCs w:val="21"/>
                <w:highlight w:val="none"/>
                <w:u w:val="single"/>
              </w:rPr>
              <w:t>中标人</w:t>
            </w:r>
            <w:r>
              <w:rPr>
                <w:rFonts w:hint="eastAsia" w:ascii="宋体" w:hAnsi="宋体" w:eastAsia="宋体" w:cs="宋体"/>
                <w:color w:val="auto"/>
                <w:sz w:val="21"/>
                <w:szCs w:val="21"/>
                <w:highlight w:val="none"/>
              </w:rPr>
              <w:t>一次性向采购代理机构支付。</w:t>
            </w:r>
          </w:p>
          <w:p w14:paraId="5AD6BC5A">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□采购人支付。</w:t>
            </w:r>
          </w:p>
          <w:p w14:paraId="14A47791">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□本项目不收取代理服务费。</w:t>
            </w:r>
          </w:p>
        </w:tc>
      </w:tr>
      <w:tr w14:paraId="34B100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2" w:hRule="atLeast"/>
        </w:trPr>
        <w:tc>
          <w:tcPr>
            <w:tcW w:w="675" w:type="dxa"/>
            <w:vMerge w:val="continue"/>
            <w:tcBorders>
              <w:left w:val="single" w:color="auto" w:sz="4" w:space="0"/>
              <w:right w:val="single" w:color="auto" w:sz="4" w:space="0"/>
            </w:tcBorders>
            <w:noWrap w:val="0"/>
            <w:vAlign w:val="center"/>
          </w:tcPr>
          <w:p w14:paraId="09507F58">
            <w:pPr>
              <w:shd w:val="clear"/>
              <w:spacing w:line="360" w:lineRule="auto"/>
              <w:rPr>
                <w:rFonts w:hint="eastAsia" w:ascii="宋体" w:hAnsi="宋体" w:eastAsia="宋体" w:cs="宋体"/>
                <w:color w:val="auto"/>
                <w:sz w:val="21"/>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65E83F6">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采购代理费收取标准</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72930AF2">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以分标（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中标金额/□采购预算/□暂定中标金额/□其他</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）为计费额，按</w:t>
            </w:r>
            <w:r>
              <w:rPr>
                <w:rFonts w:hint="eastAsia" w:ascii="宋体" w:hAnsi="宋体" w:eastAsia="宋体" w:cs="宋体"/>
                <w:color w:val="auto"/>
                <w:sz w:val="21"/>
                <w:szCs w:val="21"/>
                <w:highlight w:val="none"/>
                <w:u w:val="single"/>
              </w:rPr>
              <w:t>服务类</w:t>
            </w:r>
            <w:r>
              <w:rPr>
                <w:rFonts w:hint="eastAsia" w:ascii="宋体" w:hAnsi="宋体" w:eastAsia="宋体" w:cs="宋体"/>
                <w:color w:val="auto"/>
                <w:sz w:val="21"/>
                <w:szCs w:val="21"/>
                <w:highlight w:val="none"/>
              </w:rPr>
              <w:t>采用差额定率累进法计算出收费基准价格，采购代理收费以（□收费基准价格/</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收费基准价格下浮</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rPr>
              <w:t>0 %</w:t>
            </w:r>
            <w:r>
              <w:rPr>
                <w:rFonts w:hint="eastAsia" w:ascii="宋体" w:hAnsi="宋体" w:eastAsia="宋体" w:cs="宋体"/>
                <w:color w:val="auto"/>
                <w:sz w:val="21"/>
                <w:szCs w:val="21"/>
                <w:highlight w:val="none"/>
              </w:rPr>
              <w:t>/□收费基准价格上浮</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）收取。</w:t>
            </w:r>
          </w:p>
          <w:p w14:paraId="21CEFA3D">
            <w:pPr>
              <w:shd w:val="clear"/>
              <w:snapToGrid w:val="0"/>
              <w:spacing w:line="360" w:lineRule="auto"/>
              <w:rPr>
                <w:rFonts w:hint="eastAsia" w:ascii="宋体" w:hAnsi="宋体" w:eastAsia="宋体" w:cs="宋体"/>
                <w:b/>
                <w:color w:val="auto"/>
                <w:sz w:val="21"/>
                <w:szCs w:val="21"/>
                <w:highlight w:val="none"/>
                <w:u w:val="single"/>
                <w:lang w:bidi="ar"/>
              </w:rPr>
            </w:pPr>
            <w:r>
              <w:rPr>
                <w:rFonts w:hint="eastAsia" w:ascii="宋体" w:hAnsi="宋体" w:eastAsia="宋体" w:cs="宋体"/>
                <w:b/>
                <w:color w:val="auto"/>
                <w:sz w:val="21"/>
                <w:szCs w:val="21"/>
                <w:highlight w:val="none"/>
                <w:u w:val="single"/>
                <w:lang w:bidi="ar"/>
              </w:rPr>
              <w:t>基准价计算标准如下：</w:t>
            </w:r>
          </w:p>
          <w:p w14:paraId="0714D8FA">
            <w:pPr>
              <w:shd w:val="clear"/>
              <w:snapToGrid w:val="0"/>
              <w:spacing w:line="360" w:lineRule="auto"/>
              <w:ind w:firstLine="420" w:firstLineChars="20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参照</w:t>
            </w:r>
            <w:r>
              <w:rPr>
                <w:rFonts w:hint="eastAsia" w:ascii="宋体" w:hAnsi="宋体" w:eastAsia="宋体" w:cs="宋体"/>
                <w:color w:val="auto"/>
                <w:sz w:val="21"/>
                <w:szCs w:val="21"/>
                <w:highlight w:val="none"/>
                <w:shd w:val="clear" w:color="auto" w:fill="FFFFFF"/>
                <w:lang w:eastAsia="zh-CN"/>
              </w:rPr>
              <w:t>国家发展改革委</w:t>
            </w:r>
            <w:r>
              <w:rPr>
                <w:rFonts w:hint="eastAsia" w:ascii="宋体" w:hAnsi="宋体" w:eastAsia="宋体" w:cs="宋体"/>
                <w:color w:val="auto"/>
                <w:sz w:val="21"/>
                <w:szCs w:val="21"/>
                <w:highlight w:val="none"/>
              </w:rPr>
              <w:t xml:space="preserve">《招标代理服务收费管理暂行办法》( </w:t>
            </w:r>
            <w:r>
              <w:rPr>
                <w:rFonts w:hint="eastAsia" w:ascii="宋体" w:hAnsi="宋体" w:eastAsia="宋体" w:cs="宋体"/>
                <w:color w:val="auto"/>
                <w:sz w:val="21"/>
                <w:szCs w:val="21"/>
                <w:highlight w:val="none"/>
                <w:lang w:eastAsia="zh-CN"/>
              </w:rPr>
              <w:t>〔2002〕1980号</w:t>
            </w:r>
            <w:r>
              <w:rPr>
                <w:rFonts w:hint="eastAsia" w:ascii="宋体" w:hAnsi="宋体" w:eastAsia="宋体" w:cs="宋体"/>
                <w:color w:val="auto"/>
                <w:sz w:val="21"/>
                <w:szCs w:val="21"/>
                <w:highlight w:val="none"/>
              </w:rPr>
              <w:t>)、《国家发展改革委关于降低部分建</w:t>
            </w:r>
            <w:r>
              <w:rPr>
                <w:rFonts w:hint="eastAsia" w:ascii="宋体" w:hAnsi="宋体" w:eastAsia="宋体" w:cs="宋体"/>
                <w:color w:val="auto"/>
                <w:sz w:val="21"/>
                <w:szCs w:val="21"/>
                <w:highlight w:val="none"/>
                <w:lang w:eastAsia="zh-CN"/>
              </w:rPr>
              <w:t>设项</w:t>
            </w:r>
            <w:r>
              <w:rPr>
                <w:rFonts w:hint="eastAsia" w:ascii="宋体" w:hAnsi="宋体" w:eastAsia="宋体" w:cs="宋体"/>
                <w:color w:val="auto"/>
                <w:sz w:val="21"/>
                <w:szCs w:val="21"/>
                <w:highlight w:val="none"/>
              </w:rPr>
              <w:t>目收费标准规范收费行为等有关问题的通知》(发改价格</w:t>
            </w:r>
            <w:r>
              <w:rPr>
                <w:rFonts w:hint="eastAsia" w:ascii="宋体" w:hAnsi="宋体" w:eastAsia="宋体" w:cs="宋体"/>
                <w:color w:val="auto"/>
                <w:sz w:val="21"/>
                <w:szCs w:val="21"/>
                <w:highlight w:val="none"/>
                <w:lang w:eastAsia="zh-CN"/>
              </w:rPr>
              <w:t>〔2011〕534号</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shd w:val="clear" w:color="auto" w:fill="FFFFFF"/>
              </w:rPr>
              <w:t>要求，采用差额定率累进法计算，按下表的标准计取代理服务基准价：</w:t>
            </w:r>
          </w:p>
          <w:tbl>
            <w:tblPr>
              <w:tblStyle w:val="33"/>
              <w:tblpPr w:leftFromText="180" w:rightFromText="180" w:vertAnchor="text" w:horzAnchor="margin" w:tblpXSpec="center" w:tblpY="161"/>
              <w:tblW w:w="64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2"/>
              <w:gridCol w:w="1414"/>
              <w:gridCol w:w="1231"/>
              <w:gridCol w:w="1211"/>
            </w:tblGrid>
            <w:tr w14:paraId="1D132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2562" w:type="dxa"/>
                  <w:tcBorders>
                    <w:tl2br w:val="single" w:color="auto" w:sz="4" w:space="0"/>
                  </w:tcBorders>
                  <w:noWrap w:val="0"/>
                  <w:vAlign w:val="top"/>
                </w:tcPr>
                <w:p w14:paraId="194F34EC">
                  <w:pPr>
                    <w:keepLines/>
                    <w:shd w:val="clear"/>
                    <w:wordWrap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费率</w:t>
                  </w:r>
                </w:p>
                <w:p w14:paraId="42656D61">
                  <w:pPr>
                    <w:keepLines/>
                    <w:shd w:val="clear"/>
                    <w:wordWrap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中标金额</w:t>
                  </w:r>
                </w:p>
              </w:tc>
              <w:tc>
                <w:tcPr>
                  <w:tcW w:w="1414" w:type="dxa"/>
                  <w:noWrap w:val="0"/>
                  <w:vAlign w:val="center"/>
                </w:tcPr>
                <w:p w14:paraId="0B429638">
                  <w:pPr>
                    <w:keepLines/>
                    <w:shd w:val="clear"/>
                    <w:wordWrap w:val="0"/>
                    <w:spacing w:line="360" w:lineRule="auto"/>
                    <w:ind w:firstLine="105" w:firstLineChars="5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货物招标</w:t>
                  </w:r>
                </w:p>
              </w:tc>
              <w:tc>
                <w:tcPr>
                  <w:tcW w:w="1231" w:type="dxa"/>
                  <w:noWrap w:val="0"/>
                  <w:vAlign w:val="center"/>
                </w:tcPr>
                <w:p w14:paraId="0F210637">
                  <w:pPr>
                    <w:keepLines/>
                    <w:shd w:val="clear"/>
                    <w:wordWrap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服务招标</w:t>
                  </w:r>
                </w:p>
              </w:tc>
              <w:tc>
                <w:tcPr>
                  <w:tcW w:w="1211" w:type="dxa"/>
                  <w:noWrap w:val="0"/>
                  <w:vAlign w:val="center"/>
                </w:tcPr>
                <w:p w14:paraId="2874AB48">
                  <w:pPr>
                    <w:keepLines/>
                    <w:shd w:val="clear"/>
                    <w:wordWrap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工程招标</w:t>
                  </w:r>
                </w:p>
              </w:tc>
            </w:tr>
            <w:tr w14:paraId="05476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562" w:type="dxa"/>
                  <w:noWrap w:val="0"/>
                  <w:vAlign w:val="top"/>
                </w:tcPr>
                <w:p w14:paraId="6049DE40">
                  <w:pPr>
                    <w:keepLines/>
                    <w:shd w:val="clear"/>
                    <w:wordWrap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100万元以下</w:t>
                  </w:r>
                </w:p>
              </w:tc>
              <w:tc>
                <w:tcPr>
                  <w:tcW w:w="1414" w:type="dxa"/>
                  <w:noWrap w:val="0"/>
                  <w:vAlign w:val="top"/>
                </w:tcPr>
                <w:p w14:paraId="0671DEAF">
                  <w:pPr>
                    <w:keepLines/>
                    <w:shd w:val="clear"/>
                    <w:wordWrap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1.5%</w:t>
                  </w:r>
                </w:p>
              </w:tc>
              <w:tc>
                <w:tcPr>
                  <w:tcW w:w="1231" w:type="dxa"/>
                  <w:noWrap w:val="0"/>
                  <w:vAlign w:val="top"/>
                </w:tcPr>
                <w:p w14:paraId="50B6FA1C">
                  <w:pPr>
                    <w:keepLines/>
                    <w:shd w:val="clear"/>
                    <w:wordWrap w:val="0"/>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1211" w:type="dxa"/>
                  <w:noWrap w:val="0"/>
                  <w:vAlign w:val="top"/>
                </w:tcPr>
                <w:p w14:paraId="3BE65262">
                  <w:pPr>
                    <w:keepLines/>
                    <w:shd w:val="clear"/>
                    <w:wordWrap w:val="0"/>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1.0% </w:t>
                  </w:r>
                </w:p>
              </w:tc>
            </w:tr>
            <w:tr w14:paraId="7E7C6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562" w:type="dxa"/>
                  <w:noWrap w:val="0"/>
                  <w:vAlign w:val="top"/>
                </w:tcPr>
                <w:p w14:paraId="2C1CC191">
                  <w:pPr>
                    <w:keepLines/>
                    <w:shd w:val="clear"/>
                    <w:wordWrap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100～500万元</w:t>
                  </w:r>
                </w:p>
              </w:tc>
              <w:tc>
                <w:tcPr>
                  <w:tcW w:w="1414" w:type="dxa"/>
                  <w:noWrap w:val="0"/>
                  <w:vAlign w:val="top"/>
                </w:tcPr>
                <w:p w14:paraId="7594E7A5">
                  <w:pPr>
                    <w:keepLines/>
                    <w:shd w:val="clear"/>
                    <w:wordWrap w:val="0"/>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1231" w:type="dxa"/>
                  <w:noWrap w:val="0"/>
                  <w:vAlign w:val="top"/>
                </w:tcPr>
                <w:p w14:paraId="4688ED1B">
                  <w:pPr>
                    <w:keepLines/>
                    <w:shd w:val="clear"/>
                    <w:wordWrap w:val="0"/>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0.8%</w:t>
                  </w:r>
                </w:p>
              </w:tc>
              <w:tc>
                <w:tcPr>
                  <w:tcW w:w="1211" w:type="dxa"/>
                  <w:noWrap w:val="0"/>
                  <w:vAlign w:val="top"/>
                </w:tcPr>
                <w:p w14:paraId="7314EAC0">
                  <w:pPr>
                    <w:keepLines/>
                    <w:shd w:val="clear"/>
                    <w:wordWrap w:val="0"/>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0.7% </w:t>
                  </w:r>
                </w:p>
              </w:tc>
            </w:tr>
            <w:tr w14:paraId="3709F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562" w:type="dxa"/>
                  <w:noWrap w:val="0"/>
                  <w:vAlign w:val="top"/>
                </w:tcPr>
                <w:p w14:paraId="524A0EA3">
                  <w:pPr>
                    <w:keepLines/>
                    <w:shd w:val="clear"/>
                    <w:wordWrap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500～1000万元</w:t>
                  </w:r>
                </w:p>
              </w:tc>
              <w:tc>
                <w:tcPr>
                  <w:tcW w:w="1414" w:type="dxa"/>
                  <w:noWrap w:val="0"/>
                  <w:vAlign w:val="top"/>
                </w:tcPr>
                <w:p w14:paraId="2FD606B5">
                  <w:pPr>
                    <w:keepLines/>
                    <w:shd w:val="clear"/>
                    <w:wordWrap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0.8%</w:t>
                  </w:r>
                </w:p>
              </w:tc>
              <w:tc>
                <w:tcPr>
                  <w:tcW w:w="1231" w:type="dxa"/>
                  <w:noWrap w:val="0"/>
                  <w:vAlign w:val="top"/>
                </w:tcPr>
                <w:p w14:paraId="6A4F90C3">
                  <w:pPr>
                    <w:keepLines/>
                    <w:shd w:val="clear"/>
                    <w:wordWrap w:val="0"/>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0.45%</w:t>
                  </w:r>
                </w:p>
              </w:tc>
              <w:tc>
                <w:tcPr>
                  <w:tcW w:w="1211" w:type="dxa"/>
                  <w:noWrap w:val="0"/>
                  <w:vAlign w:val="top"/>
                </w:tcPr>
                <w:p w14:paraId="3BCA3198">
                  <w:pPr>
                    <w:keepLines/>
                    <w:shd w:val="clear"/>
                    <w:wordWrap w:val="0"/>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0.55%</w:t>
                  </w:r>
                </w:p>
              </w:tc>
            </w:tr>
            <w:tr w14:paraId="017E3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2562" w:type="dxa"/>
                  <w:noWrap w:val="0"/>
                  <w:vAlign w:val="top"/>
                </w:tcPr>
                <w:p w14:paraId="4AFFCF00">
                  <w:pPr>
                    <w:keepLines/>
                    <w:shd w:val="clear"/>
                    <w:wordWrap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1000～5000万元</w:t>
                  </w:r>
                </w:p>
              </w:tc>
              <w:tc>
                <w:tcPr>
                  <w:tcW w:w="1414" w:type="dxa"/>
                  <w:noWrap w:val="0"/>
                  <w:vAlign w:val="top"/>
                </w:tcPr>
                <w:p w14:paraId="7F6ED8F6">
                  <w:pPr>
                    <w:keepLines/>
                    <w:shd w:val="clear"/>
                    <w:wordWrap w:val="0"/>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c>
                <w:tcPr>
                  <w:tcW w:w="1231" w:type="dxa"/>
                  <w:noWrap w:val="0"/>
                  <w:vAlign w:val="top"/>
                </w:tcPr>
                <w:p w14:paraId="3C3F7E6C">
                  <w:pPr>
                    <w:keepLines/>
                    <w:shd w:val="clear"/>
                    <w:wordWrap w:val="0"/>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0.25%</w:t>
                  </w:r>
                </w:p>
              </w:tc>
              <w:tc>
                <w:tcPr>
                  <w:tcW w:w="1211" w:type="dxa"/>
                  <w:noWrap w:val="0"/>
                  <w:vAlign w:val="top"/>
                </w:tcPr>
                <w:p w14:paraId="2AC7FEDE">
                  <w:pPr>
                    <w:keepLines/>
                    <w:shd w:val="clear"/>
                    <w:wordWrap w:val="0"/>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0.35% </w:t>
                  </w:r>
                </w:p>
              </w:tc>
            </w:tr>
            <w:tr w14:paraId="08DBC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562" w:type="dxa"/>
                  <w:noWrap w:val="0"/>
                  <w:vAlign w:val="top"/>
                </w:tcPr>
                <w:p w14:paraId="27903707">
                  <w:pPr>
                    <w:keepLines/>
                    <w:shd w:val="clear"/>
                    <w:wordWrap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5000万元～1亿元</w:t>
                  </w:r>
                </w:p>
              </w:tc>
              <w:tc>
                <w:tcPr>
                  <w:tcW w:w="1414" w:type="dxa"/>
                  <w:noWrap w:val="0"/>
                  <w:vAlign w:val="top"/>
                </w:tcPr>
                <w:p w14:paraId="34BB467A">
                  <w:pPr>
                    <w:keepLines/>
                    <w:shd w:val="clear"/>
                    <w:wordWrap w:val="0"/>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0.25%</w:t>
                  </w:r>
                </w:p>
              </w:tc>
              <w:tc>
                <w:tcPr>
                  <w:tcW w:w="1231" w:type="dxa"/>
                  <w:noWrap w:val="0"/>
                  <w:vAlign w:val="top"/>
                </w:tcPr>
                <w:p w14:paraId="62E4C14C">
                  <w:pPr>
                    <w:keepLines/>
                    <w:shd w:val="clear"/>
                    <w:wordWrap w:val="0"/>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0.1%</w:t>
                  </w:r>
                </w:p>
              </w:tc>
              <w:tc>
                <w:tcPr>
                  <w:tcW w:w="1211" w:type="dxa"/>
                  <w:noWrap w:val="0"/>
                  <w:vAlign w:val="top"/>
                </w:tcPr>
                <w:p w14:paraId="4FE096D8">
                  <w:pPr>
                    <w:keepLines/>
                    <w:shd w:val="clear"/>
                    <w:wordWrap w:val="0"/>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142C8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562" w:type="dxa"/>
                  <w:noWrap w:val="0"/>
                  <w:vAlign w:val="top"/>
                </w:tcPr>
                <w:p w14:paraId="7A2177EF">
                  <w:pPr>
                    <w:keepLines/>
                    <w:shd w:val="clear"/>
                    <w:wordWrap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1～5亿元</w:t>
                  </w:r>
                </w:p>
              </w:tc>
              <w:tc>
                <w:tcPr>
                  <w:tcW w:w="1414" w:type="dxa"/>
                  <w:noWrap w:val="0"/>
                  <w:vAlign w:val="top"/>
                </w:tcPr>
                <w:p w14:paraId="5DCA7852">
                  <w:pPr>
                    <w:keepLines/>
                    <w:shd w:val="clear"/>
                    <w:wordWrap w:val="0"/>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0.05%</w:t>
                  </w:r>
                </w:p>
              </w:tc>
              <w:tc>
                <w:tcPr>
                  <w:tcW w:w="1231" w:type="dxa"/>
                  <w:noWrap w:val="0"/>
                  <w:vAlign w:val="top"/>
                </w:tcPr>
                <w:p w14:paraId="3AB2656D">
                  <w:pPr>
                    <w:keepLines/>
                    <w:shd w:val="clear"/>
                    <w:wordWrap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0.05%</w:t>
                  </w:r>
                </w:p>
              </w:tc>
              <w:tc>
                <w:tcPr>
                  <w:tcW w:w="1211" w:type="dxa"/>
                  <w:noWrap w:val="0"/>
                  <w:vAlign w:val="top"/>
                </w:tcPr>
                <w:p w14:paraId="6472C31E">
                  <w:pPr>
                    <w:keepLines/>
                    <w:shd w:val="clear"/>
                    <w:wordWrap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0.05%</w:t>
                  </w:r>
                </w:p>
              </w:tc>
            </w:tr>
            <w:tr w14:paraId="037DF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562" w:type="dxa"/>
                  <w:noWrap w:val="0"/>
                  <w:vAlign w:val="top"/>
                </w:tcPr>
                <w:p w14:paraId="24E6217C">
                  <w:pPr>
                    <w:keepLines/>
                    <w:shd w:val="clear"/>
                    <w:wordWrap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5～10亿元</w:t>
                  </w:r>
                </w:p>
              </w:tc>
              <w:tc>
                <w:tcPr>
                  <w:tcW w:w="1414" w:type="dxa"/>
                  <w:noWrap w:val="0"/>
                  <w:vAlign w:val="top"/>
                </w:tcPr>
                <w:p w14:paraId="49FEC139">
                  <w:pPr>
                    <w:keepLines/>
                    <w:shd w:val="clear"/>
                    <w:wordWrap w:val="0"/>
                    <w:spacing w:line="360" w:lineRule="auto"/>
                    <w:ind w:firstLine="105" w:firstLineChars="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0.035%</w:t>
                  </w:r>
                </w:p>
              </w:tc>
              <w:tc>
                <w:tcPr>
                  <w:tcW w:w="1231" w:type="dxa"/>
                  <w:noWrap w:val="0"/>
                  <w:vAlign w:val="top"/>
                </w:tcPr>
                <w:p w14:paraId="5C707A7B">
                  <w:pPr>
                    <w:keepLines/>
                    <w:shd w:val="clear"/>
                    <w:wordWrap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0.035%</w:t>
                  </w:r>
                </w:p>
              </w:tc>
              <w:tc>
                <w:tcPr>
                  <w:tcW w:w="1211" w:type="dxa"/>
                  <w:noWrap w:val="0"/>
                  <w:vAlign w:val="top"/>
                </w:tcPr>
                <w:p w14:paraId="75398216">
                  <w:pPr>
                    <w:keepLines/>
                    <w:shd w:val="clear"/>
                    <w:wordWrap w:val="0"/>
                    <w:spacing w:line="360" w:lineRule="auto"/>
                    <w:ind w:firstLine="105" w:firstLineChars="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0.035%</w:t>
                  </w:r>
                </w:p>
              </w:tc>
            </w:tr>
            <w:tr w14:paraId="43B0D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2562" w:type="dxa"/>
                  <w:noWrap w:val="0"/>
                  <w:vAlign w:val="top"/>
                </w:tcPr>
                <w:p w14:paraId="7FD77672">
                  <w:pPr>
                    <w:keepLines/>
                    <w:shd w:val="clear"/>
                    <w:wordWrap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10～50亿元</w:t>
                  </w:r>
                </w:p>
              </w:tc>
              <w:tc>
                <w:tcPr>
                  <w:tcW w:w="1414" w:type="dxa"/>
                  <w:noWrap w:val="0"/>
                  <w:vAlign w:val="top"/>
                </w:tcPr>
                <w:p w14:paraId="564FCB0A">
                  <w:pPr>
                    <w:keepLines/>
                    <w:shd w:val="clear"/>
                    <w:wordWrap w:val="0"/>
                    <w:spacing w:line="360" w:lineRule="auto"/>
                    <w:ind w:firstLine="105" w:firstLineChars="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0.008%</w:t>
                  </w:r>
                </w:p>
              </w:tc>
              <w:tc>
                <w:tcPr>
                  <w:tcW w:w="1231" w:type="dxa"/>
                  <w:noWrap w:val="0"/>
                  <w:vAlign w:val="top"/>
                </w:tcPr>
                <w:p w14:paraId="71624DEB">
                  <w:pPr>
                    <w:keepLines/>
                    <w:shd w:val="clear"/>
                    <w:wordWrap w:val="0"/>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0.008%</w:t>
                  </w:r>
                </w:p>
              </w:tc>
              <w:tc>
                <w:tcPr>
                  <w:tcW w:w="1211" w:type="dxa"/>
                  <w:noWrap w:val="0"/>
                  <w:vAlign w:val="top"/>
                </w:tcPr>
                <w:p w14:paraId="49F3E086">
                  <w:pPr>
                    <w:keepLines/>
                    <w:shd w:val="clear"/>
                    <w:wordWrap w:val="0"/>
                    <w:spacing w:line="360" w:lineRule="auto"/>
                    <w:ind w:firstLine="105" w:firstLineChars="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0.008%</w:t>
                  </w:r>
                </w:p>
              </w:tc>
            </w:tr>
            <w:tr w14:paraId="40171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562" w:type="dxa"/>
                  <w:noWrap w:val="0"/>
                  <w:vAlign w:val="top"/>
                </w:tcPr>
                <w:p w14:paraId="621ADA5D">
                  <w:pPr>
                    <w:keepLines/>
                    <w:shd w:val="clear"/>
                    <w:wordWrap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50～100亿元</w:t>
                  </w:r>
                </w:p>
              </w:tc>
              <w:tc>
                <w:tcPr>
                  <w:tcW w:w="1414" w:type="dxa"/>
                  <w:noWrap w:val="0"/>
                  <w:vAlign w:val="top"/>
                </w:tcPr>
                <w:p w14:paraId="5E3B1DE2">
                  <w:pPr>
                    <w:keepLines/>
                    <w:shd w:val="clear"/>
                    <w:wordWrap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0.006%</w:t>
                  </w:r>
                </w:p>
              </w:tc>
              <w:tc>
                <w:tcPr>
                  <w:tcW w:w="1231" w:type="dxa"/>
                  <w:noWrap w:val="0"/>
                  <w:vAlign w:val="top"/>
                </w:tcPr>
                <w:p w14:paraId="04A56371">
                  <w:pPr>
                    <w:keepLines/>
                    <w:shd w:val="clear"/>
                    <w:wordWrap w:val="0"/>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0.006%</w:t>
                  </w:r>
                </w:p>
              </w:tc>
              <w:tc>
                <w:tcPr>
                  <w:tcW w:w="1211" w:type="dxa"/>
                  <w:noWrap w:val="0"/>
                  <w:vAlign w:val="top"/>
                </w:tcPr>
                <w:p w14:paraId="3B43125E">
                  <w:pPr>
                    <w:keepLines/>
                    <w:shd w:val="clear"/>
                    <w:wordWrap w:val="0"/>
                    <w:spacing w:line="360" w:lineRule="auto"/>
                    <w:ind w:firstLine="105" w:firstLineChars="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0.006%</w:t>
                  </w:r>
                </w:p>
              </w:tc>
            </w:tr>
            <w:tr w14:paraId="465AD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562" w:type="dxa"/>
                  <w:noWrap w:val="0"/>
                  <w:vAlign w:val="top"/>
                </w:tcPr>
                <w:p w14:paraId="6A94BFF7">
                  <w:pPr>
                    <w:keepLines/>
                    <w:shd w:val="clear"/>
                    <w:wordWrap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100亿以上</w:t>
                  </w:r>
                </w:p>
              </w:tc>
              <w:tc>
                <w:tcPr>
                  <w:tcW w:w="1414" w:type="dxa"/>
                  <w:noWrap w:val="0"/>
                  <w:vAlign w:val="top"/>
                </w:tcPr>
                <w:p w14:paraId="0F53183B">
                  <w:pPr>
                    <w:keepLines/>
                    <w:shd w:val="clear"/>
                    <w:wordWrap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0.004%</w:t>
                  </w:r>
                </w:p>
              </w:tc>
              <w:tc>
                <w:tcPr>
                  <w:tcW w:w="1231" w:type="dxa"/>
                  <w:noWrap w:val="0"/>
                  <w:vAlign w:val="top"/>
                </w:tcPr>
                <w:p w14:paraId="00E5F6D4">
                  <w:pPr>
                    <w:keepLines/>
                    <w:shd w:val="clear"/>
                    <w:wordWrap w:val="0"/>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0.004%</w:t>
                  </w:r>
                </w:p>
              </w:tc>
              <w:tc>
                <w:tcPr>
                  <w:tcW w:w="1211" w:type="dxa"/>
                  <w:noWrap w:val="0"/>
                  <w:vAlign w:val="top"/>
                </w:tcPr>
                <w:p w14:paraId="4E6CD3D0">
                  <w:pPr>
                    <w:keepLines/>
                    <w:shd w:val="clear"/>
                    <w:wordWrap w:val="0"/>
                    <w:spacing w:line="360" w:lineRule="auto"/>
                    <w:ind w:firstLine="105" w:firstLineChars="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0.004%</w:t>
                  </w:r>
                </w:p>
              </w:tc>
            </w:tr>
          </w:tbl>
          <w:p w14:paraId="1FB0BC98">
            <w:pPr>
              <w:shd w:val="clear"/>
              <w:snapToGrid w:val="0"/>
              <w:spacing w:line="360" w:lineRule="auto"/>
              <w:rPr>
                <w:rFonts w:hint="eastAsia" w:ascii="宋体" w:hAnsi="宋体" w:eastAsia="宋体" w:cs="宋体"/>
                <w:color w:val="auto"/>
                <w:sz w:val="21"/>
                <w:szCs w:val="21"/>
                <w:highlight w:val="none"/>
                <w:u w:val="single"/>
              </w:rPr>
            </w:pPr>
          </w:p>
        </w:tc>
      </w:tr>
      <w:tr w14:paraId="299BED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49" w:hRule="atLeast"/>
        </w:trPr>
        <w:tc>
          <w:tcPr>
            <w:tcW w:w="675" w:type="dxa"/>
            <w:vMerge w:val="continue"/>
            <w:tcBorders>
              <w:left w:val="single" w:color="auto" w:sz="4" w:space="0"/>
              <w:bottom w:val="single" w:color="auto" w:sz="4" w:space="0"/>
              <w:right w:val="single" w:color="auto" w:sz="4" w:space="0"/>
            </w:tcBorders>
            <w:noWrap w:val="0"/>
            <w:vAlign w:val="center"/>
          </w:tcPr>
          <w:p w14:paraId="48EE8495">
            <w:pPr>
              <w:shd w:val="clear"/>
              <w:spacing w:line="360" w:lineRule="auto"/>
              <w:rPr>
                <w:rFonts w:hint="eastAsia" w:ascii="宋体" w:hAnsi="宋体" w:eastAsia="宋体" w:cs="宋体"/>
                <w:color w:val="auto"/>
                <w:sz w:val="21"/>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6997B584">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代理服务费收款账户信息</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76CE56DA">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账户名称：广西建设工程机电设备招标中心有限公司</w:t>
            </w:r>
          </w:p>
          <w:p w14:paraId="6071B26E">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开户银行：招商银行南宁分行营业部</w:t>
            </w:r>
          </w:p>
          <w:p w14:paraId="6A2A383E">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银行账号：7719 0142 3310 201</w:t>
            </w:r>
          </w:p>
        </w:tc>
      </w:tr>
      <w:tr w14:paraId="630392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5C25CE5E">
            <w:pPr>
              <w:shd w:val="clear"/>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41.1</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5E00F46B">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解释</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28A76998">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解释权：构成本招标文件的各个组成文件应互为解释，互为说明；除招标文件中有特别规定外，仅适用于招标投标阶段的规定，按更正公告（澄清公告）、招标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由采购人或者采购代理机构负责解释。</w:t>
            </w:r>
          </w:p>
          <w:p w14:paraId="3D7872A2">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法律责任：</w:t>
            </w:r>
          </w:p>
          <w:p w14:paraId="7C7AD935">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1.本采购文件根据《中华人民共和国政府采购法</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中华人民共和国民法典》；《中华人民共和国政府采购法实施条例</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政府采购货物和服务招标投标管理办法》等有关法律、法规编制，参与本项目的各政府采购当事人依法享有上述法律法规所赋予的权利与义务。</w:t>
            </w:r>
          </w:p>
          <w:p w14:paraId="5782CA7A">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项目采购代理机构应严格按照广西政府采购云平台项目采购全流程电子化电子开评标规程执行项目采购活动，代理机构在广西政府采购云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1E8091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1CA01070">
            <w:pPr>
              <w:shd w:val="clear"/>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41.2</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74C0EE13">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其他释义</w:t>
            </w:r>
          </w:p>
        </w:tc>
        <w:tc>
          <w:tcPr>
            <w:tcW w:w="6990" w:type="dxa"/>
            <w:tcBorders>
              <w:top w:val="single" w:color="auto" w:sz="4" w:space="0"/>
              <w:left w:val="single" w:color="auto" w:sz="4" w:space="0"/>
              <w:bottom w:val="single" w:color="auto" w:sz="4" w:space="0"/>
              <w:right w:val="single" w:color="auto" w:sz="4" w:space="0"/>
            </w:tcBorders>
            <w:noWrap w:val="0"/>
            <w:vAlign w:val="center"/>
          </w:tcPr>
          <w:p w14:paraId="74F16822">
            <w:pPr>
              <w:shd w:val="clear"/>
              <w:snapToGrid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本招标文件中描述投标人的“公章”是指根据我国对公章的管理规定，用投标人法定主体行为名称制作的印章，除本招标文件有特殊规定外，投标人的财务章、部门章、分公司章、工会章、合同章、投标专用章、业务专用章及银行的转账章、现金收讫章、现金付讫章等其他形式印章均不能代替公章。</w:t>
            </w:r>
          </w:p>
          <w:p w14:paraId="1CC872CE">
            <w:pPr>
              <w:shd w:val="clear"/>
              <w:snapToGrid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2.投标人为其他组织或者自然人时，本招标文件规定的法定代表人指负责人或者自然人。本招标文件所称负责人是指参加投标的其他组织营业执照上的负责人，本招标文件所称自然人指参与投标的自然人本人。</w:t>
            </w:r>
          </w:p>
          <w:p w14:paraId="6244F72B">
            <w:pPr>
              <w:shd w:val="clear"/>
              <w:snapToGrid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3.本招标文件中描述投标人的“签字”是指投标人的法定代表人或者委托代理人亲自在文件规定签署处亲笔写上个人的名字的行为，私章、签字章、印鉴、影印等其他形式均不能代替亲笔签字。</w:t>
            </w:r>
          </w:p>
          <w:p w14:paraId="61423B75">
            <w:pPr>
              <w:shd w:val="clear"/>
              <w:snapToGrid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4.自然人投标的，招标文件规定盖公章处由自然人摁手指指印。</w:t>
            </w:r>
          </w:p>
          <w:p w14:paraId="24097517">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5.本招标文件所称的“以上”“以下”“以内”“届满”，包括本数；所称的“不满”“超过”“以外”，不包括本数。</w:t>
            </w:r>
          </w:p>
        </w:tc>
      </w:tr>
    </w:tbl>
    <w:p w14:paraId="33C4AF8A">
      <w:pPr>
        <w:keepNext/>
        <w:keepLines/>
        <w:shd w:val="clear"/>
        <w:spacing w:before="260" w:after="260" w:line="413" w:lineRule="auto"/>
        <w:outlineLvl w:val="1"/>
        <w:rPr>
          <w:rFonts w:ascii="Arial" w:hAnsi="Arial" w:eastAsia="黑体"/>
          <w:b/>
          <w:bCs/>
          <w:color w:val="auto"/>
          <w:sz w:val="32"/>
          <w:szCs w:val="32"/>
          <w:highlight w:val="none"/>
        </w:rPr>
        <w:sectPr>
          <w:pgSz w:w="11905" w:h="16838"/>
          <w:pgMar w:top="1134" w:right="1134" w:bottom="1134" w:left="1134" w:header="720" w:footer="720" w:gutter="0"/>
          <w:cols w:space="0" w:num="1"/>
          <w:rtlGutter w:val="0"/>
          <w:docGrid w:type="lines" w:linePitch="331" w:charSpace="0"/>
        </w:sectPr>
      </w:pPr>
    </w:p>
    <w:p w14:paraId="775813D4">
      <w:pPr>
        <w:shd w:val="clear"/>
        <w:rPr>
          <w:rFonts w:hint="eastAsia"/>
          <w:color w:val="auto"/>
          <w:highlight w:val="none"/>
        </w:rPr>
      </w:pPr>
    </w:p>
    <w:p w14:paraId="7F7023E7">
      <w:pPr>
        <w:keepNext/>
        <w:keepLines/>
        <w:shd w:val="clear"/>
        <w:spacing w:before="260" w:after="260" w:line="413" w:lineRule="auto"/>
        <w:jc w:val="center"/>
        <w:outlineLvl w:val="1"/>
        <w:rPr>
          <w:rFonts w:hint="eastAsia" w:ascii="宋体" w:hAnsi="宋体" w:eastAsia="宋体" w:cs="宋体"/>
          <w:b/>
          <w:bCs/>
          <w:color w:val="auto"/>
          <w:sz w:val="32"/>
          <w:szCs w:val="32"/>
          <w:highlight w:val="none"/>
        </w:rPr>
      </w:pPr>
      <w:bookmarkStart w:id="6" w:name="_Toc171344347"/>
      <w:r>
        <w:rPr>
          <w:rFonts w:hint="eastAsia" w:ascii="宋体" w:hAnsi="宋体" w:eastAsia="宋体" w:cs="宋体"/>
          <w:b/>
          <w:bCs/>
          <w:color w:val="auto"/>
          <w:sz w:val="32"/>
          <w:szCs w:val="32"/>
          <w:highlight w:val="none"/>
        </w:rPr>
        <w:t>第二节 投标人须知正文</w:t>
      </w:r>
      <w:bookmarkEnd w:id="6"/>
    </w:p>
    <w:p w14:paraId="6D7D6C07">
      <w:pPr>
        <w:shd w:val="clear"/>
        <w:spacing w:line="400" w:lineRule="exact"/>
        <w:ind w:firstLine="643" w:firstLineChars="200"/>
        <w:jc w:val="center"/>
        <w:outlineLvl w:val="2"/>
        <w:rPr>
          <w:rFonts w:hint="eastAsia"/>
          <w:b/>
          <w:bCs/>
          <w:color w:val="auto"/>
          <w:sz w:val="32"/>
          <w:szCs w:val="32"/>
          <w:highlight w:val="none"/>
        </w:rPr>
      </w:pPr>
      <w:bookmarkStart w:id="7" w:name="_Toc171344348"/>
      <w:r>
        <w:rPr>
          <w:rFonts w:hint="eastAsia"/>
          <w:b/>
          <w:bCs/>
          <w:color w:val="auto"/>
          <w:sz w:val="32"/>
          <w:szCs w:val="32"/>
          <w:highlight w:val="none"/>
        </w:rPr>
        <w:t>一、总  则</w:t>
      </w:r>
      <w:bookmarkEnd w:id="7"/>
    </w:p>
    <w:p w14:paraId="08931833">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1.适用范围</w:t>
      </w:r>
    </w:p>
    <w:p w14:paraId="049C5F8D">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1.1适用法律：本项目采购人、采购代理机构、投标人、评标委员会的相关行为均受《中华人民共和国政府采购法</w:t>
      </w:r>
      <w:r>
        <w:rPr>
          <w:rFonts w:hint="eastAsia" w:ascii="宋体" w:hAnsi="宋体"/>
          <w:color w:val="auto"/>
          <w:szCs w:val="21"/>
          <w:highlight w:val="none"/>
          <w:lang w:eastAsia="zh-CN"/>
        </w:rPr>
        <w:t>》《</w:t>
      </w:r>
      <w:r>
        <w:rPr>
          <w:rFonts w:hint="eastAsia" w:ascii="宋体" w:hAnsi="宋体"/>
          <w:color w:val="auto"/>
          <w:szCs w:val="21"/>
          <w:highlight w:val="none"/>
        </w:rPr>
        <w:t>中华人民共和国政府采购法实施条例</w:t>
      </w:r>
      <w:r>
        <w:rPr>
          <w:rFonts w:hint="eastAsia" w:ascii="宋体" w:hAnsi="宋体"/>
          <w:color w:val="auto"/>
          <w:szCs w:val="21"/>
          <w:highlight w:val="none"/>
          <w:lang w:eastAsia="zh-CN"/>
        </w:rPr>
        <w:t>》《</w:t>
      </w:r>
      <w:r>
        <w:rPr>
          <w:rFonts w:hint="eastAsia" w:ascii="宋体" w:hAnsi="宋体"/>
          <w:color w:val="auto"/>
          <w:szCs w:val="21"/>
          <w:highlight w:val="none"/>
        </w:rPr>
        <w:t>政府采购货物和</w:t>
      </w:r>
      <w:r>
        <w:rPr>
          <w:rFonts w:hint="eastAsia" w:ascii="宋体" w:hAnsi="宋体"/>
          <w:color w:val="auto"/>
          <w:szCs w:val="21"/>
          <w:highlight w:val="none"/>
          <w:lang w:val="en-US" w:eastAsia="zh-CN"/>
        </w:rPr>
        <w:t>服务</w:t>
      </w:r>
      <w:r>
        <w:rPr>
          <w:rFonts w:hint="eastAsia" w:ascii="宋体" w:hAnsi="宋体"/>
          <w:color w:val="auto"/>
          <w:szCs w:val="21"/>
          <w:highlight w:val="none"/>
        </w:rPr>
        <w:t>招标投标管理办法》及本项目本级和上级财政部门政府采购有关规定的约束和保护。</w:t>
      </w:r>
    </w:p>
    <w:p w14:paraId="54781F58">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1.2本招标文件</w:t>
      </w:r>
      <w:r>
        <w:rPr>
          <w:rFonts w:hint="eastAsia" w:ascii="宋体" w:hAnsi="宋体" w:cs="宋体"/>
          <w:color w:val="auto"/>
          <w:spacing w:val="-6"/>
          <w:szCs w:val="21"/>
          <w:highlight w:val="none"/>
        </w:rPr>
        <w:t>适用于本项目的所有采购程序和环节（法律、法规另有规定的，从其规定）。</w:t>
      </w:r>
    </w:p>
    <w:p w14:paraId="4D14FDBD">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2.定义</w:t>
      </w:r>
    </w:p>
    <w:p w14:paraId="0066AACF">
      <w:pPr>
        <w:shd w:val="clea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2.1“采购人”是指依法进行政府采购的国家机关、事业单位、团体组织。</w:t>
      </w:r>
    </w:p>
    <w:p w14:paraId="240421BE">
      <w:pPr>
        <w:shd w:val="clea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2.2“采购代理机构” 指政府采购集中采购机构和集中采购机构以外的采购代理机构。</w:t>
      </w:r>
    </w:p>
    <w:p w14:paraId="3C87D1F1">
      <w:pPr>
        <w:shd w:val="clea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2.3“供应商”是指向采购人提供货物、工程或者服务的法人、其他组织或者自然人。</w:t>
      </w:r>
    </w:p>
    <w:p w14:paraId="69C80AA5">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2.4“投标人”是指响应招标、参加投标竞争的法人、非法人组织或者自然人。</w:t>
      </w:r>
    </w:p>
    <w:p w14:paraId="65EC1DA8">
      <w:pPr>
        <w:shd w:val="clea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2.5“服务”是指除货物和工程以外的其他政府采购对象。</w:t>
      </w:r>
    </w:p>
    <w:p w14:paraId="5B08ED0A">
      <w:pPr>
        <w:shd w:val="clea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6</w:t>
      </w:r>
      <w:r>
        <w:rPr>
          <w:rFonts w:hint="eastAsia" w:ascii="宋体" w:hAnsi="宋体" w:cs="宋体"/>
          <w:color w:val="auto"/>
          <w:szCs w:val="21"/>
          <w:highlight w:val="none"/>
        </w:rPr>
        <w:t>“书面形式”是指合同书、信件和数据电文（包括电报、电传、传真、短信、电子数据交换和电子邮件）等可以有形地表现所载内容的形式。</w:t>
      </w:r>
    </w:p>
    <w:p w14:paraId="73B6AE70">
      <w:pPr>
        <w:shd w:val="clea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7</w:t>
      </w:r>
      <w:r>
        <w:rPr>
          <w:rFonts w:hint="eastAsia" w:ascii="宋体" w:hAnsi="宋体" w:cs="宋体"/>
          <w:color w:val="auto"/>
          <w:szCs w:val="21"/>
          <w:highlight w:val="none"/>
        </w:rPr>
        <w:t>“实质性要求”是指招标文件中已经指明不满足则投标无效的条款，或者不能负偏离的条款，或者采购需求中带“▲”的条款。</w:t>
      </w:r>
    </w:p>
    <w:p w14:paraId="365B8762">
      <w:pPr>
        <w:shd w:val="clear"/>
        <w:snapToGrid w:val="0"/>
        <w:spacing w:line="360" w:lineRule="auto"/>
        <w:ind w:firstLine="420" w:firstLineChars="200"/>
        <w:jc w:val="left"/>
        <w:rPr>
          <w:rFonts w:ascii="宋体" w:hAnsi="宋体" w:cs="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8</w:t>
      </w:r>
      <w:r>
        <w:rPr>
          <w:rFonts w:hint="eastAsia" w:ascii="宋体" w:hAnsi="宋体"/>
          <w:color w:val="auto"/>
          <w:szCs w:val="21"/>
          <w:highlight w:val="none"/>
        </w:rPr>
        <w:t xml:space="preserve"> </w:t>
      </w:r>
      <w:r>
        <w:rPr>
          <w:rFonts w:hint="eastAsia" w:ascii="宋体" w:hAnsi="宋体" w:cs="宋体"/>
          <w:color w:val="auto"/>
          <w:szCs w:val="21"/>
          <w:highlight w:val="none"/>
        </w:rPr>
        <w:t>“正偏离”，是指投标文件对招标文件“采购需求”中有关条款作出的响应优于条款要求并有利于采购人的情形。</w:t>
      </w:r>
    </w:p>
    <w:p w14:paraId="2EFA78E4">
      <w:pPr>
        <w:shd w:val="clear"/>
        <w:snapToGrid w:val="0"/>
        <w:spacing w:line="360" w:lineRule="auto"/>
        <w:ind w:firstLine="420" w:firstLineChars="200"/>
        <w:jc w:val="left"/>
        <w:rPr>
          <w:rFonts w:ascii="宋体" w:hAnsi="宋体" w:cs="宋体"/>
          <w:color w:val="auto"/>
          <w:szCs w:val="21"/>
          <w:highlight w:val="none"/>
        </w:rPr>
      </w:pPr>
      <w:r>
        <w:rPr>
          <w:rFonts w:ascii="宋体" w:hAnsi="宋体" w:cs="宋体"/>
          <w:color w:val="auto"/>
          <w:szCs w:val="21"/>
          <w:highlight w:val="none"/>
        </w:rPr>
        <w:t>2.9</w:t>
      </w:r>
      <w:r>
        <w:rPr>
          <w:rFonts w:hint="eastAsia" w:ascii="宋体" w:hAnsi="宋体" w:cs="宋体"/>
          <w:color w:val="auto"/>
          <w:szCs w:val="21"/>
          <w:highlight w:val="none"/>
        </w:rPr>
        <w:t>“负偏离”，是指投标文件对招标文件“采购需求”中有关条款作出的响应不满足条款要求，导致采购人要求不能得到满足的情形。</w:t>
      </w:r>
    </w:p>
    <w:p w14:paraId="593FF686">
      <w:pPr>
        <w:shd w:val="clear"/>
        <w:snapToGrid w:val="0"/>
        <w:spacing w:line="360" w:lineRule="auto"/>
        <w:ind w:firstLine="420" w:firstLineChars="200"/>
        <w:jc w:val="left"/>
        <w:rPr>
          <w:rFonts w:ascii="宋体" w:hAnsi="宋体" w:cs="宋体"/>
          <w:color w:val="auto"/>
          <w:szCs w:val="21"/>
          <w:highlight w:val="none"/>
        </w:rPr>
      </w:pPr>
      <w:r>
        <w:rPr>
          <w:rFonts w:hint="eastAsia" w:ascii="宋体" w:hAnsi="宋体"/>
          <w:color w:val="auto"/>
          <w:szCs w:val="21"/>
          <w:highlight w:val="none"/>
        </w:rPr>
        <w:t>2.1</w:t>
      </w:r>
      <w:r>
        <w:rPr>
          <w:rFonts w:ascii="宋体" w:hAnsi="宋体"/>
          <w:color w:val="auto"/>
          <w:szCs w:val="21"/>
          <w:highlight w:val="none"/>
        </w:rPr>
        <w:t>0</w:t>
      </w:r>
      <w:r>
        <w:rPr>
          <w:rFonts w:hint="eastAsia" w:ascii="宋体" w:hAnsi="宋体" w:cs="宋体"/>
          <w:color w:val="auto"/>
          <w:szCs w:val="21"/>
          <w:highlight w:val="none"/>
        </w:rPr>
        <w:t>“允许负偏离的条款”是指采购需求中的不属于“实质性要求”的条款。</w:t>
      </w:r>
    </w:p>
    <w:p w14:paraId="5DEC6AF5">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3.投标人的资格要求</w:t>
      </w:r>
    </w:p>
    <w:p w14:paraId="43F40D47">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投标人的资格要求详见“招标公告”。</w:t>
      </w:r>
    </w:p>
    <w:p w14:paraId="4F3FC822">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4.投标委托</w:t>
      </w:r>
    </w:p>
    <w:p w14:paraId="7266419A">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投标人代表参加投标活动过程中必须携带个人有效身份证件。如投标人代表不是法定代表人，须持有法定代表人授权委托书（正本用原件，副本用复印件，按第六章要求格式填写）。</w:t>
      </w:r>
    </w:p>
    <w:p w14:paraId="00739D7C">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5.投标费用</w:t>
      </w:r>
    </w:p>
    <w:p w14:paraId="318F041D">
      <w:pPr>
        <w:shd w:val="clear"/>
        <w:spacing w:line="360" w:lineRule="auto"/>
        <w:ind w:firstLine="420" w:firstLineChars="200"/>
        <w:rPr>
          <w:rFonts w:hint="eastAsia" w:ascii="宋体" w:hAnsi="宋体"/>
          <w:color w:val="auto"/>
          <w:szCs w:val="21"/>
          <w:highlight w:val="none"/>
        </w:rPr>
      </w:pPr>
      <w:r>
        <w:rPr>
          <w:rFonts w:hint="eastAsia" w:ascii="宋体" w:hAnsi="宋体" w:cs="宋体"/>
          <w:color w:val="auto"/>
          <w:szCs w:val="21"/>
          <w:highlight w:val="none"/>
        </w:rPr>
        <w:t>投标费用：投标人应承担参与本次采购活动有关的所有费用，包括但不限于勘查现场、编制投标文件、参加澄清说明、签订合同等，不论投标结果如何，均应自行承担。</w:t>
      </w:r>
    </w:p>
    <w:p w14:paraId="0CF21221">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6.联合体投标</w:t>
      </w:r>
    </w:p>
    <w:p w14:paraId="7AB86B00">
      <w:pPr>
        <w:shd w:val="clea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6.1本项目是否接受联合体投标，详见“投标人须知前附表”。</w:t>
      </w:r>
    </w:p>
    <w:p w14:paraId="7C6A75A1">
      <w:pPr>
        <w:shd w:val="clea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6.2如接受联合体投标，联合体投标要求详见“投标人须知前附表”。</w:t>
      </w:r>
    </w:p>
    <w:p w14:paraId="7B7B8635">
      <w:pPr>
        <w:shd w:val="clear"/>
        <w:spacing w:line="360" w:lineRule="auto"/>
        <w:ind w:firstLine="420" w:firstLineChars="200"/>
        <w:rPr>
          <w:rFonts w:hint="eastAsia" w:ascii="Helvetica Neue"/>
          <w:color w:val="auto"/>
          <w:sz w:val="24"/>
          <w:highlight w:val="none"/>
          <w:shd w:val="clear" w:color="auto" w:fill="FFFFFF"/>
        </w:rPr>
      </w:pPr>
      <w:r>
        <w:rPr>
          <w:rFonts w:hint="eastAsia" w:ascii="宋体" w:hAnsi="宋体"/>
          <w:bCs/>
          <w:color w:val="auto"/>
          <w:szCs w:val="21"/>
          <w:highlight w:val="none"/>
        </w:rPr>
        <w:t>6.3根据《政府采购促进中小企业发展管理办法》（财库</w:t>
      </w:r>
      <w:r>
        <w:rPr>
          <w:rFonts w:hint="eastAsia" w:ascii="宋体" w:hAnsi="宋体"/>
          <w:bCs/>
          <w:color w:val="auto"/>
          <w:szCs w:val="21"/>
          <w:highlight w:val="none"/>
          <w:lang w:eastAsia="zh-CN"/>
        </w:rPr>
        <w:t>〔2020〕46号</w:t>
      </w:r>
      <w:r>
        <w:rPr>
          <w:rFonts w:hint="eastAsia" w:ascii="宋体" w:hAnsi="宋体"/>
          <w:bCs/>
          <w:color w:val="auto"/>
          <w:szCs w:val="21"/>
          <w:highlight w:val="none"/>
        </w:rPr>
        <w:t>）第九条、《广西壮族自治区财政厅关于持续优化政府采购营商环境推动高质量发展的通知》（桂财采〔2024〕55号）及《广西壮族自治区财政厅 广西壮族自治区工业和信息化厅转发财政部 工业和信息化部政府采购促进中小企业发展管理办法的通知》（桂财采〔2021〕70号）规定，接受大中型企业与小微企业组成联合体的采购项目，对于联合协议约定小微企业的合同份额占到合同总金额 30%以上的，采购人、采购代理机构应当对联合体的报价给予4%-6%（工程项目为 1%—2%）的扣除，用扣除后的价格参加评审。组成联合体的小微企业与联合体内其他企业、分包企业之间存在直接控股、管理关系的，不享受价格扣除优惠政策</w:t>
      </w:r>
      <w:r>
        <w:rPr>
          <w:rFonts w:ascii="宋体" w:hAnsi="宋体"/>
          <w:bCs/>
          <w:color w:val="auto"/>
          <w:szCs w:val="21"/>
          <w:highlight w:val="none"/>
        </w:rPr>
        <w:t>。</w:t>
      </w:r>
    </w:p>
    <w:p w14:paraId="4A11C293">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 xml:space="preserve">7.转包与分包             </w:t>
      </w:r>
    </w:p>
    <w:p w14:paraId="7D62932F">
      <w:pPr>
        <w:shd w:val="clea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7.</w:t>
      </w:r>
      <w:r>
        <w:rPr>
          <w:rFonts w:ascii="宋体" w:hAnsi="宋体"/>
          <w:b/>
          <w:color w:val="auto"/>
          <w:szCs w:val="21"/>
          <w:highlight w:val="none"/>
        </w:rPr>
        <w:t>1</w:t>
      </w:r>
      <w:r>
        <w:rPr>
          <w:rFonts w:hint="eastAsia" w:ascii="宋体" w:hAnsi="宋体"/>
          <w:b/>
          <w:color w:val="auto"/>
          <w:szCs w:val="21"/>
          <w:highlight w:val="none"/>
        </w:rPr>
        <w:t>本项目是否允许分包详见“投标人须知前附表”，本项目不允许违法分包。投标人根据招标文件的规定和采购项目的实际情况，拟在中标后将中标项目的非主体、非关键性工作分包的，应当在投标文件中载明分包承担主体，分包承担主体应当具备相应资质条件且不得再次分包。</w:t>
      </w:r>
    </w:p>
    <w:p w14:paraId="3D360B3F">
      <w:pPr>
        <w:shd w:val="clea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7.</w:t>
      </w:r>
      <w:r>
        <w:rPr>
          <w:rFonts w:ascii="宋体" w:hAnsi="宋体"/>
          <w:bCs/>
          <w:color w:val="auto"/>
          <w:szCs w:val="21"/>
          <w:highlight w:val="none"/>
        </w:rPr>
        <w:t>2</w:t>
      </w:r>
      <w:r>
        <w:rPr>
          <w:rFonts w:hint="eastAsia" w:ascii="宋体" w:hAnsi="宋体"/>
          <w:bCs/>
          <w:color w:val="auto"/>
          <w:szCs w:val="21"/>
          <w:highlight w:val="none"/>
        </w:rPr>
        <w:t>根据《政府采购促进中小企业发展管理办法》（财库</w:t>
      </w:r>
      <w:r>
        <w:rPr>
          <w:rFonts w:hint="eastAsia" w:ascii="宋体" w:hAnsi="宋体"/>
          <w:bCs/>
          <w:color w:val="auto"/>
          <w:szCs w:val="21"/>
          <w:highlight w:val="none"/>
          <w:lang w:eastAsia="zh-CN"/>
        </w:rPr>
        <w:t>〔2020〕46号</w:t>
      </w:r>
      <w:r>
        <w:rPr>
          <w:rFonts w:hint="eastAsia" w:ascii="宋体" w:hAnsi="宋体"/>
          <w:bCs/>
          <w:color w:val="auto"/>
          <w:szCs w:val="21"/>
          <w:highlight w:val="none"/>
        </w:rPr>
        <w:t>）</w:t>
      </w:r>
      <w:r>
        <w:rPr>
          <w:rFonts w:ascii="宋体" w:hAnsi="宋体"/>
          <w:bCs/>
          <w:color w:val="auto"/>
          <w:szCs w:val="21"/>
          <w:highlight w:val="none"/>
        </w:rPr>
        <w:t>第九条</w:t>
      </w:r>
      <w:r>
        <w:rPr>
          <w:rFonts w:hint="eastAsia" w:ascii="宋体" w:hAnsi="宋体"/>
          <w:bCs/>
          <w:color w:val="auto"/>
          <w:szCs w:val="21"/>
          <w:highlight w:val="none"/>
        </w:rPr>
        <w:t>及</w:t>
      </w:r>
      <w:r>
        <w:rPr>
          <w:rFonts w:hint="eastAsia" w:ascii="宋体" w:hAnsi="宋体"/>
          <w:color w:val="auto"/>
          <w:szCs w:val="21"/>
          <w:highlight w:val="none"/>
        </w:rPr>
        <w:t>《广西壮族自治区财政厅关于持续优化政府采购营商环境推动高质量发展的通知》（桂财采〔2024〕55号）</w:t>
      </w:r>
      <w:r>
        <w:rPr>
          <w:rFonts w:hint="eastAsia" w:ascii="宋体" w:hAnsi="宋体"/>
          <w:bCs/>
          <w:color w:val="auto"/>
          <w:szCs w:val="21"/>
          <w:highlight w:val="none"/>
        </w:rPr>
        <w:t>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r>
        <w:rPr>
          <w:rFonts w:ascii="宋体" w:hAnsi="宋体"/>
          <w:bCs/>
          <w:color w:val="auto"/>
          <w:szCs w:val="21"/>
          <w:highlight w:val="none"/>
        </w:rPr>
        <w:t>。</w:t>
      </w:r>
    </w:p>
    <w:p w14:paraId="7C0ED7A4">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8.特别说明：</w:t>
      </w:r>
    </w:p>
    <w:p w14:paraId="18664AB2">
      <w:pPr>
        <w:shd w:val="clea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8.</w:t>
      </w:r>
      <w:r>
        <w:rPr>
          <w:rFonts w:ascii="宋体" w:hAnsi="宋体"/>
          <w:b/>
          <w:color w:val="auto"/>
          <w:szCs w:val="21"/>
          <w:highlight w:val="none"/>
        </w:rPr>
        <w:t>1</w:t>
      </w:r>
      <w:r>
        <w:rPr>
          <w:rFonts w:hint="eastAsia" w:ascii="宋体" w:hAnsi="宋体"/>
          <w:b/>
          <w:color w:val="auto"/>
          <w:szCs w:val="21"/>
          <w:highlight w:val="none"/>
        </w:rPr>
        <w:t>如果本招标文件要求投标人提供资格、信誉、荣誉、业绩与企业认证等材料的，则投标人所提供的以上材料必须为投标人所拥有。</w:t>
      </w:r>
    </w:p>
    <w:p w14:paraId="439AEADD">
      <w:pPr>
        <w:shd w:val="clea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8.</w:t>
      </w:r>
      <w:r>
        <w:rPr>
          <w:rFonts w:ascii="宋体" w:hAnsi="宋体"/>
          <w:b/>
          <w:color w:val="auto"/>
          <w:szCs w:val="21"/>
          <w:highlight w:val="none"/>
        </w:rPr>
        <w:t>2</w:t>
      </w:r>
      <w:r>
        <w:rPr>
          <w:rFonts w:hint="eastAsia" w:ascii="宋体" w:hAnsi="宋体"/>
          <w:b/>
          <w:color w:val="auto"/>
          <w:szCs w:val="21"/>
          <w:highlight w:val="none"/>
        </w:rPr>
        <w:t>投标人应仔细阅读招标文件的所有内容，按照招标文件的要求提交投标文件，并对所提供的全部资料的真实性承担法律责任。</w:t>
      </w:r>
    </w:p>
    <w:p w14:paraId="31B0BB34">
      <w:pPr>
        <w:shd w:val="clea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8.</w:t>
      </w:r>
      <w:r>
        <w:rPr>
          <w:rFonts w:ascii="宋体" w:hAnsi="宋体"/>
          <w:b/>
          <w:color w:val="auto"/>
          <w:szCs w:val="21"/>
          <w:highlight w:val="none"/>
        </w:rPr>
        <w:t>3</w:t>
      </w:r>
      <w:r>
        <w:rPr>
          <w:rFonts w:hint="eastAsia" w:ascii="宋体" w:hAnsi="宋体"/>
          <w:b/>
          <w:color w:val="auto"/>
          <w:szCs w:val="21"/>
          <w:highlight w:val="none"/>
        </w:rPr>
        <w:t>投标人在投标活动中提供任何虚假材料，将报监管部门查处；中标后发现的，中标人须依照《中华人民共和国消费者权益保护法》规定赔偿采购人，且民事赔偿并不免除违法投标人的行政与刑事责任。</w:t>
      </w:r>
    </w:p>
    <w:p w14:paraId="1E57B6AC">
      <w:pPr>
        <w:shd w:val="clear"/>
        <w:spacing w:line="360" w:lineRule="auto"/>
        <w:ind w:firstLine="480" w:firstLineChars="200"/>
        <w:rPr>
          <w:rFonts w:ascii="黑体" w:hAnsi="黑体" w:eastAsia="黑体"/>
          <w:color w:val="auto"/>
          <w:sz w:val="24"/>
          <w:highlight w:val="none"/>
        </w:rPr>
      </w:pPr>
      <w:r>
        <w:rPr>
          <w:rFonts w:ascii="黑体" w:hAnsi="黑体" w:eastAsia="黑体"/>
          <w:color w:val="auto"/>
          <w:sz w:val="24"/>
          <w:highlight w:val="none"/>
        </w:rPr>
        <w:t>9.</w:t>
      </w:r>
      <w:r>
        <w:rPr>
          <w:rFonts w:hint="eastAsia" w:ascii="黑体" w:hAnsi="黑体" w:eastAsia="黑体"/>
          <w:color w:val="auto"/>
          <w:sz w:val="24"/>
          <w:highlight w:val="none"/>
        </w:rPr>
        <w:t>回避与串通投标</w:t>
      </w:r>
    </w:p>
    <w:p w14:paraId="30CD6EEE">
      <w:pPr>
        <w:shd w:val="clea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9</w:t>
      </w:r>
      <w:r>
        <w:rPr>
          <w:rFonts w:ascii="宋体" w:hAnsi="宋体"/>
          <w:b/>
          <w:color w:val="auto"/>
          <w:szCs w:val="21"/>
          <w:highlight w:val="none"/>
        </w:rPr>
        <w:t>.1在政府采购活动中，采购人员及相关人员与</w:t>
      </w:r>
      <w:r>
        <w:rPr>
          <w:rFonts w:hint="eastAsia" w:ascii="宋体" w:hAnsi="宋体"/>
          <w:b/>
          <w:color w:val="auto"/>
          <w:szCs w:val="21"/>
          <w:highlight w:val="none"/>
        </w:rPr>
        <w:t>供应商</w:t>
      </w:r>
      <w:r>
        <w:rPr>
          <w:rFonts w:ascii="宋体" w:hAnsi="宋体"/>
          <w:b/>
          <w:color w:val="auto"/>
          <w:szCs w:val="21"/>
          <w:highlight w:val="none"/>
        </w:rPr>
        <w:t>有下列利害关系之一的，应当回避：</w:t>
      </w:r>
    </w:p>
    <w:p w14:paraId="3D191C27">
      <w:pPr>
        <w:shd w:val="clear"/>
        <w:spacing w:line="360" w:lineRule="auto"/>
        <w:ind w:firstLine="420" w:firstLineChars="200"/>
        <w:rPr>
          <w:rFonts w:hAnsi="宋体"/>
          <w:color w:val="auto"/>
          <w:highlight w:val="none"/>
        </w:rPr>
      </w:pPr>
      <w:r>
        <w:rPr>
          <w:rFonts w:hAnsi="宋体"/>
          <w:color w:val="auto"/>
          <w:highlight w:val="none"/>
        </w:rPr>
        <w:t>（</w:t>
      </w:r>
      <w:r>
        <w:rPr>
          <w:rFonts w:hint="eastAsia" w:hAnsi="宋体"/>
          <w:color w:val="auto"/>
          <w:highlight w:val="none"/>
        </w:rPr>
        <w:t>1</w:t>
      </w:r>
      <w:r>
        <w:rPr>
          <w:rFonts w:hAnsi="宋体"/>
          <w:color w:val="auto"/>
          <w:highlight w:val="none"/>
        </w:rPr>
        <w:t>）参加采购活动前3年内与</w:t>
      </w:r>
      <w:r>
        <w:rPr>
          <w:rFonts w:hint="eastAsia" w:hAnsi="宋体"/>
          <w:color w:val="auto"/>
          <w:highlight w:val="none"/>
        </w:rPr>
        <w:t>供应商</w:t>
      </w:r>
      <w:r>
        <w:rPr>
          <w:rFonts w:hAnsi="宋体"/>
          <w:color w:val="auto"/>
          <w:highlight w:val="none"/>
        </w:rPr>
        <w:t>存在劳动关系；</w:t>
      </w:r>
    </w:p>
    <w:p w14:paraId="145934B9">
      <w:pPr>
        <w:shd w:val="clear"/>
        <w:spacing w:line="360" w:lineRule="auto"/>
        <w:ind w:firstLine="420" w:firstLineChars="200"/>
        <w:rPr>
          <w:rFonts w:hAnsi="宋体"/>
          <w:color w:val="auto"/>
          <w:highlight w:val="none"/>
        </w:rPr>
      </w:pPr>
      <w:r>
        <w:rPr>
          <w:rFonts w:hAnsi="宋体"/>
          <w:color w:val="auto"/>
          <w:highlight w:val="none"/>
        </w:rPr>
        <w:t>（</w:t>
      </w:r>
      <w:r>
        <w:rPr>
          <w:rFonts w:hint="eastAsia" w:hAnsi="宋体"/>
          <w:color w:val="auto"/>
          <w:highlight w:val="none"/>
        </w:rPr>
        <w:t>2</w:t>
      </w:r>
      <w:r>
        <w:rPr>
          <w:rFonts w:hAnsi="宋体"/>
          <w:color w:val="auto"/>
          <w:highlight w:val="none"/>
        </w:rPr>
        <w:t>）参加采购活动前3年内担任</w:t>
      </w:r>
      <w:r>
        <w:rPr>
          <w:rFonts w:hint="eastAsia" w:hAnsi="宋体"/>
          <w:color w:val="auto"/>
          <w:highlight w:val="none"/>
        </w:rPr>
        <w:t>供应商</w:t>
      </w:r>
      <w:r>
        <w:rPr>
          <w:rFonts w:hAnsi="宋体"/>
          <w:color w:val="auto"/>
          <w:highlight w:val="none"/>
        </w:rPr>
        <w:t>的董事、监事；</w:t>
      </w:r>
    </w:p>
    <w:p w14:paraId="7A1E734F">
      <w:pPr>
        <w:shd w:val="clear"/>
        <w:spacing w:line="360" w:lineRule="auto"/>
        <w:ind w:firstLine="420" w:firstLineChars="200"/>
        <w:rPr>
          <w:rFonts w:hAnsi="宋体"/>
          <w:color w:val="auto"/>
          <w:highlight w:val="none"/>
        </w:rPr>
      </w:pPr>
      <w:r>
        <w:rPr>
          <w:rFonts w:hAnsi="宋体"/>
          <w:color w:val="auto"/>
          <w:highlight w:val="none"/>
        </w:rPr>
        <w:t>（</w:t>
      </w:r>
      <w:r>
        <w:rPr>
          <w:rFonts w:hint="eastAsia" w:hAnsi="宋体"/>
          <w:color w:val="auto"/>
          <w:highlight w:val="none"/>
        </w:rPr>
        <w:t>3</w:t>
      </w:r>
      <w:r>
        <w:rPr>
          <w:rFonts w:hAnsi="宋体"/>
          <w:color w:val="auto"/>
          <w:highlight w:val="none"/>
        </w:rPr>
        <w:t>）参加采购活动前3年内是</w:t>
      </w:r>
      <w:r>
        <w:rPr>
          <w:rFonts w:hint="eastAsia" w:hAnsi="宋体"/>
          <w:color w:val="auto"/>
          <w:highlight w:val="none"/>
        </w:rPr>
        <w:t>供应商</w:t>
      </w:r>
      <w:r>
        <w:rPr>
          <w:rFonts w:hAnsi="宋体"/>
          <w:color w:val="auto"/>
          <w:highlight w:val="none"/>
        </w:rPr>
        <w:t>的控股股东或者实际控制人；</w:t>
      </w:r>
    </w:p>
    <w:p w14:paraId="7CBFDBDE">
      <w:pPr>
        <w:shd w:val="clear"/>
        <w:spacing w:line="360" w:lineRule="auto"/>
        <w:ind w:firstLine="420" w:firstLineChars="200"/>
        <w:rPr>
          <w:rFonts w:hAnsi="宋体"/>
          <w:color w:val="auto"/>
          <w:highlight w:val="none"/>
        </w:rPr>
      </w:pPr>
      <w:r>
        <w:rPr>
          <w:rFonts w:hAnsi="宋体"/>
          <w:color w:val="auto"/>
          <w:highlight w:val="none"/>
        </w:rPr>
        <w:t>（</w:t>
      </w:r>
      <w:r>
        <w:rPr>
          <w:rFonts w:hint="eastAsia" w:hAnsi="宋体"/>
          <w:color w:val="auto"/>
          <w:highlight w:val="none"/>
        </w:rPr>
        <w:t>4</w:t>
      </w:r>
      <w:r>
        <w:rPr>
          <w:rFonts w:hAnsi="宋体"/>
          <w:color w:val="auto"/>
          <w:highlight w:val="none"/>
        </w:rPr>
        <w:t>）与</w:t>
      </w:r>
      <w:r>
        <w:rPr>
          <w:rFonts w:hint="eastAsia" w:hAnsi="宋体"/>
          <w:color w:val="auto"/>
          <w:highlight w:val="none"/>
        </w:rPr>
        <w:t>供应商</w:t>
      </w:r>
      <w:r>
        <w:rPr>
          <w:rFonts w:hAnsi="宋体"/>
          <w:color w:val="auto"/>
          <w:highlight w:val="none"/>
        </w:rPr>
        <w:t>的法定代表人或者负责人有夫妻、直系血亲、三代以内旁系血亲或者近姻亲关系；</w:t>
      </w:r>
    </w:p>
    <w:p w14:paraId="14A8B211">
      <w:pPr>
        <w:shd w:val="clear"/>
        <w:spacing w:line="360" w:lineRule="auto"/>
        <w:ind w:firstLine="420" w:firstLineChars="200"/>
        <w:rPr>
          <w:rFonts w:hAnsi="宋体"/>
          <w:color w:val="auto"/>
          <w:highlight w:val="none"/>
        </w:rPr>
      </w:pPr>
      <w:r>
        <w:rPr>
          <w:rFonts w:hAnsi="宋体"/>
          <w:color w:val="auto"/>
          <w:highlight w:val="none"/>
        </w:rPr>
        <w:t>（</w:t>
      </w:r>
      <w:r>
        <w:rPr>
          <w:rFonts w:hint="eastAsia" w:hAnsi="宋体"/>
          <w:color w:val="auto"/>
          <w:highlight w:val="none"/>
        </w:rPr>
        <w:t>5</w:t>
      </w:r>
      <w:r>
        <w:rPr>
          <w:rFonts w:hAnsi="宋体"/>
          <w:color w:val="auto"/>
          <w:highlight w:val="none"/>
        </w:rPr>
        <w:t>）与</w:t>
      </w:r>
      <w:r>
        <w:rPr>
          <w:rFonts w:hint="eastAsia" w:hAnsi="宋体"/>
          <w:color w:val="auto"/>
          <w:highlight w:val="none"/>
        </w:rPr>
        <w:t>供应商</w:t>
      </w:r>
      <w:r>
        <w:rPr>
          <w:rFonts w:hAnsi="宋体"/>
          <w:color w:val="auto"/>
          <w:highlight w:val="none"/>
        </w:rPr>
        <w:t>有其他可能影响政府采购活动公平、公正进行的关系。</w:t>
      </w:r>
    </w:p>
    <w:p w14:paraId="41772BF5">
      <w:pPr>
        <w:shd w:val="clear"/>
        <w:spacing w:line="360" w:lineRule="auto"/>
        <w:ind w:firstLine="420" w:firstLineChars="200"/>
        <w:rPr>
          <w:rFonts w:hint="eastAsia" w:hAnsi="宋体"/>
          <w:color w:val="auto"/>
          <w:highlight w:val="none"/>
        </w:rPr>
      </w:pPr>
      <w:r>
        <w:rPr>
          <w:rFonts w:hint="eastAsia" w:hAnsi="宋体"/>
          <w:color w:val="auto"/>
          <w:highlight w:val="none"/>
        </w:rPr>
        <w:t>供应商</w:t>
      </w:r>
      <w:r>
        <w:rPr>
          <w:rFonts w:hAnsi="宋体"/>
          <w:color w:val="auto"/>
          <w:highlight w:val="none"/>
        </w:rPr>
        <w:t>认为采购人员及相关人员与其他</w:t>
      </w:r>
      <w:r>
        <w:rPr>
          <w:rFonts w:hint="eastAsia" w:hAnsi="宋体"/>
          <w:color w:val="auto"/>
          <w:highlight w:val="none"/>
        </w:rPr>
        <w:t>供应商</w:t>
      </w:r>
      <w:r>
        <w:rPr>
          <w:rFonts w:hAnsi="宋体"/>
          <w:color w:val="auto"/>
          <w:highlight w:val="none"/>
        </w:rPr>
        <w:t>有利害关系的，可以向采购人或者采购代理机构书面提出回避申请，并说明理由。采购人或者采购代理机构应当及时询问被申请回避人员，有利害关系的被申请回避人员应当回避。</w:t>
      </w:r>
    </w:p>
    <w:p w14:paraId="1C6120EB">
      <w:pPr>
        <w:shd w:val="clea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9.2</w:t>
      </w:r>
      <w:r>
        <w:rPr>
          <w:rFonts w:hint="eastAsia" w:ascii="宋体" w:hAnsi="宋体"/>
          <w:color w:val="auto"/>
          <w:szCs w:val="21"/>
          <w:highlight w:val="none"/>
        </w:rPr>
        <w:t>有下列情形之一的视为投标人相互串通投标，投标文件将被视为无效：</w:t>
      </w:r>
    </w:p>
    <w:p w14:paraId="716008DD">
      <w:pPr>
        <w:shd w:val="clear"/>
        <w:spacing w:line="360" w:lineRule="auto"/>
        <w:ind w:firstLine="422" w:firstLineChars="200"/>
        <w:rPr>
          <w:rFonts w:hint="eastAsia" w:hAnsi="宋体"/>
          <w:b/>
          <w:color w:val="auto"/>
          <w:highlight w:val="none"/>
        </w:rPr>
      </w:pPr>
      <w:r>
        <w:rPr>
          <w:rFonts w:hint="eastAsia" w:hAnsi="宋体"/>
          <w:b/>
          <w:color w:val="auto"/>
          <w:highlight w:val="none"/>
        </w:rPr>
        <w:t>（1）不同投标人的投标文件由同一单位或者个人编制；或者不同投标人报名的IP地址一致的；或者不同投标人报名的IP地址一致的；或者编制标书硬件设备CPU编号、硬盘编号、网卡地址一致的情况。</w:t>
      </w:r>
    </w:p>
    <w:p w14:paraId="7E37EEC2">
      <w:pPr>
        <w:shd w:val="clear"/>
        <w:spacing w:line="360" w:lineRule="auto"/>
        <w:ind w:firstLine="422" w:firstLineChars="200"/>
        <w:rPr>
          <w:rFonts w:hint="eastAsia" w:hAnsi="宋体"/>
          <w:b/>
          <w:color w:val="auto"/>
          <w:highlight w:val="none"/>
        </w:rPr>
      </w:pPr>
      <w:r>
        <w:rPr>
          <w:rFonts w:hint="eastAsia" w:hAnsi="宋体"/>
          <w:b/>
          <w:color w:val="auto"/>
          <w:highlight w:val="none"/>
        </w:rPr>
        <w:t>（2）不同投标人委托同一单位或者个人办理投标事宜；</w:t>
      </w:r>
    </w:p>
    <w:p w14:paraId="5FBB6481">
      <w:pPr>
        <w:shd w:val="clear"/>
        <w:spacing w:line="360" w:lineRule="auto"/>
        <w:ind w:firstLine="422" w:firstLineChars="200"/>
        <w:rPr>
          <w:rFonts w:hint="eastAsia" w:hAnsi="宋体"/>
          <w:b/>
          <w:color w:val="auto"/>
          <w:highlight w:val="none"/>
        </w:rPr>
      </w:pPr>
      <w:r>
        <w:rPr>
          <w:rFonts w:hint="eastAsia" w:hAnsi="宋体"/>
          <w:b/>
          <w:color w:val="auto"/>
          <w:highlight w:val="none"/>
        </w:rPr>
        <w:t>（3）不同的投标人的投标文件载明的项目管理员为同一个人；</w:t>
      </w:r>
    </w:p>
    <w:p w14:paraId="32293E23">
      <w:pPr>
        <w:shd w:val="clear"/>
        <w:spacing w:line="360" w:lineRule="auto"/>
        <w:ind w:firstLine="422" w:firstLineChars="200"/>
        <w:rPr>
          <w:rFonts w:hint="eastAsia" w:hAnsi="宋体"/>
          <w:b/>
          <w:color w:val="auto"/>
          <w:highlight w:val="none"/>
        </w:rPr>
      </w:pPr>
      <w:r>
        <w:rPr>
          <w:rFonts w:hint="eastAsia" w:hAnsi="宋体"/>
          <w:b/>
          <w:color w:val="auto"/>
          <w:highlight w:val="none"/>
        </w:rPr>
        <w:t>（4）不同投标人的电子或纸质投标文件异常一致或者投标报价呈规律性差异；</w:t>
      </w:r>
    </w:p>
    <w:p w14:paraId="00B4BC00">
      <w:pPr>
        <w:shd w:val="clear"/>
        <w:spacing w:line="360" w:lineRule="auto"/>
        <w:ind w:firstLine="422" w:firstLineChars="200"/>
        <w:rPr>
          <w:rFonts w:hint="eastAsia" w:hAnsi="宋体"/>
          <w:b/>
          <w:color w:val="auto"/>
          <w:highlight w:val="none"/>
        </w:rPr>
      </w:pPr>
      <w:r>
        <w:rPr>
          <w:rFonts w:hint="eastAsia" w:hAnsi="宋体"/>
          <w:b/>
          <w:color w:val="auto"/>
          <w:highlight w:val="none"/>
        </w:rPr>
        <w:t>（5）不同投标人的纸质投标文件相互混装；</w:t>
      </w:r>
    </w:p>
    <w:p w14:paraId="6B5D4B0D">
      <w:pPr>
        <w:shd w:val="clea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9.3</w:t>
      </w:r>
      <w:r>
        <w:rPr>
          <w:rFonts w:hint="eastAsia" w:ascii="宋体" w:hAnsi="宋体"/>
          <w:color w:val="auto"/>
          <w:szCs w:val="21"/>
          <w:highlight w:val="none"/>
        </w:rPr>
        <w:t>供应商有下列情形之一的，属于恶意串通行为，将报同级监督管理部门：</w:t>
      </w:r>
    </w:p>
    <w:p w14:paraId="3F22CE9B">
      <w:pPr>
        <w:shd w:val="clear"/>
        <w:spacing w:line="360" w:lineRule="auto"/>
        <w:ind w:firstLine="420" w:firstLineChars="200"/>
        <w:rPr>
          <w:rFonts w:hint="eastAsia" w:hAnsi="宋体"/>
          <w:color w:val="auto"/>
          <w:highlight w:val="none"/>
        </w:rPr>
      </w:pPr>
      <w:r>
        <w:rPr>
          <w:rFonts w:hint="eastAsia" w:hAnsi="宋体"/>
          <w:color w:val="auto"/>
          <w:highlight w:val="none"/>
        </w:rPr>
        <w:t>（1）供应商直接或者间接从采购人或者采购代理机构处获得其他供应商的相关信息并修改其投标文件或者投标文件；</w:t>
      </w:r>
    </w:p>
    <w:p w14:paraId="1C1ACC30">
      <w:pPr>
        <w:shd w:val="clear"/>
        <w:spacing w:line="360" w:lineRule="auto"/>
        <w:ind w:firstLine="420" w:firstLineChars="200"/>
        <w:rPr>
          <w:rFonts w:hint="eastAsia" w:hAnsi="宋体"/>
          <w:color w:val="auto"/>
          <w:highlight w:val="none"/>
        </w:rPr>
      </w:pPr>
      <w:r>
        <w:rPr>
          <w:rFonts w:hint="eastAsia" w:hAnsi="宋体"/>
          <w:color w:val="auto"/>
          <w:highlight w:val="none"/>
        </w:rPr>
        <w:t>（2）供应商按照采购人或者采购代理机构的授意撤换、修改投标文件；</w:t>
      </w:r>
    </w:p>
    <w:p w14:paraId="723EE21F">
      <w:pPr>
        <w:shd w:val="clear"/>
        <w:spacing w:line="360" w:lineRule="auto"/>
        <w:ind w:firstLine="420" w:firstLineChars="200"/>
        <w:rPr>
          <w:rFonts w:hint="eastAsia" w:hAnsi="宋体"/>
          <w:color w:val="auto"/>
          <w:highlight w:val="none"/>
        </w:rPr>
      </w:pPr>
      <w:r>
        <w:rPr>
          <w:rFonts w:hint="eastAsia" w:hAnsi="宋体"/>
          <w:color w:val="auto"/>
          <w:highlight w:val="none"/>
        </w:rPr>
        <w:t>（3）供应商之间协商报价、技术方案等投标文件或者投标文件的实质性内容；</w:t>
      </w:r>
    </w:p>
    <w:p w14:paraId="57B8A1C0">
      <w:pPr>
        <w:shd w:val="clear"/>
        <w:spacing w:line="360" w:lineRule="auto"/>
        <w:ind w:firstLine="420" w:firstLineChars="200"/>
        <w:rPr>
          <w:rFonts w:hint="eastAsia" w:hAnsi="宋体"/>
          <w:color w:val="auto"/>
          <w:highlight w:val="none"/>
        </w:rPr>
      </w:pPr>
      <w:r>
        <w:rPr>
          <w:rFonts w:hint="eastAsia" w:hAnsi="宋体"/>
          <w:color w:val="auto"/>
          <w:highlight w:val="none"/>
        </w:rPr>
        <w:t>（4）属于同一集团、协会、商会等组织成员的供应商按照该组织要求协同参加政府采购活动；</w:t>
      </w:r>
    </w:p>
    <w:p w14:paraId="4CF5BD88">
      <w:pPr>
        <w:shd w:val="clear"/>
        <w:spacing w:line="360" w:lineRule="auto"/>
        <w:ind w:firstLine="420" w:firstLineChars="200"/>
        <w:rPr>
          <w:rFonts w:hint="eastAsia" w:hAnsi="宋体"/>
          <w:color w:val="auto"/>
          <w:highlight w:val="none"/>
        </w:rPr>
      </w:pPr>
      <w:r>
        <w:rPr>
          <w:rFonts w:hint="eastAsia" w:hAnsi="宋体"/>
          <w:color w:val="auto"/>
          <w:highlight w:val="none"/>
        </w:rPr>
        <w:t>（5）供应商之间事先约定一致抬高或者压低投标报价，或者在招标项目中事先约定轮流以高价位或者低价位中标，或者事先约定由某一特定供应商中标，然后再参加投标；</w:t>
      </w:r>
    </w:p>
    <w:p w14:paraId="72269A02">
      <w:pPr>
        <w:shd w:val="clear"/>
        <w:spacing w:line="360" w:lineRule="auto"/>
        <w:ind w:firstLine="420" w:firstLineChars="200"/>
        <w:rPr>
          <w:rFonts w:hint="eastAsia" w:hAnsi="宋体"/>
          <w:color w:val="auto"/>
          <w:highlight w:val="none"/>
        </w:rPr>
      </w:pPr>
      <w:r>
        <w:rPr>
          <w:rFonts w:hint="eastAsia" w:hAnsi="宋体"/>
          <w:color w:val="auto"/>
          <w:highlight w:val="none"/>
        </w:rPr>
        <w:t>（6）供应商之间商定部分供应商放弃参加政府采购活动或者放弃中标；</w:t>
      </w:r>
    </w:p>
    <w:p w14:paraId="5E8AE3FE">
      <w:pPr>
        <w:shd w:val="clear"/>
        <w:spacing w:line="360" w:lineRule="auto"/>
        <w:ind w:firstLine="420" w:firstLineChars="200"/>
        <w:rPr>
          <w:rFonts w:hAnsi="宋体"/>
          <w:color w:val="auto"/>
          <w:highlight w:val="none"/>
        </w:rPr>
      </w:pPr>
      <w:r>
        <w:rPr>
          <w:rFonts w:hint="eastAsia" w:hAnsi="宋体"/>
          <w:color w:val="auto"/>
          <w:highlight w:val="none"/>
        </w:rPr>
        <w:t>（7）供应商与采购人或者采购代理机构之间、供应商相互之间，为谋求特定供应商中标或者排斥其他供应商的其他串通行为。</w:t>
      </w:r>
    </w:p>
    <w:p w14:paraId="1D7E9428">
      <w:pPr>
        <w:shd w:val="clear"/>
        <w:snapToGrid w:val="0"/>
        <w:spacing w:line="360" w:lineRule="auto"/>
        <w:ind w:left="2" w:leftChars="1" w:firstLine="422" w:firstLineChars="200"/>
        <w:rPr>
          <w:rFonts w:hint="eastAsia" w:ascii="宋体" w:hAnsi="宋体"/>
          <w:b/>
          <w:color w:val="auto"/>
          <w:szCs w:val="20"/>
          <w:highlight w:val="none"/>
        </w:rPr>
      </w:pPr>
    </w:p>
    <w:p w14:paraId="3B46624B">
      <w:pPr>
        <w:shd w:val="clear"/>
        <w:spacing w:line="400" w:lineRule="exact"/>
        <w:ind w:firstLine="643" w:firstLineChars="200"/>
        <w:jc w:val="center"/>
        <w:outlineLvl w:val="2"/>
        <w:rPr>
          <w:rFonts w:hint="eastAsia"/>
          <w:b/>
          <w:bCs/>
          <w:color w:val="auto"/>
          <w:sz w:val="32"/>
          <w:szCs w:val="32"/>
          <w:highlight w:val="none"/>
        </w:rPr>
      </w:pPr>
      <w:bookmarkStart w:id="8" w:name="_Toc171344349"/>
    </w:p>
    <w:p w14:paraId="2ADF13F2">
      <w:pPr>
        <w:shd w:val="clear"/>
        <w:spacing w:line="400" w:lineRule="exact"/>
        <w:ind w:firstLine="643" w:firstLineChars="200"/>
        <w:jc w:val="center"/>
        <w:outlineLvl w:val="2"/>
        <w:rPr>
          <w:rFonts w:hint="eastAsia"/>
          <w:b/>
          <w:bCs/>
          <w:color w:val="auto"/>
          <w:sz w:val="32"/>
          <w:szCs w:val="32"/>
          <w:highlight w:val="none"/>
        </w:rPr>
      </w:pPr>
    </w:p>
    <w:p w14:paraId="0B47C9F8">
      <w:pPr>
        <w:shd w:val="clear"/>
        <w:spacing w:line="400" w:lineRule="exact"/>
        <w:ind w:firstLine="643" w:firstLineChars="200"/>
        <w:jc w:val="center"/>
        <w:outlineLvl w:val="2"/>
        <w:rPr>
          <w:rFonts w:hint="eastAsia"/>
          <w:b/>
          <w:bCs/>
          <w:color w:val="auto"/>
          <w:sz w:val="32"/>
          <w:szCs w:val="32"/>
          <w:highlight w:val="none"/>
        </w:rPr>
      </w:pPr>
    </w:p>
    <w:p w14:paraId="3F449326">
      <w:pPr>
        <w:shd w:val="clear"/>
        <w:spacing w:line="400" w:lineRule="exact"/>
        <w:ind w:firstLine="643" w:firstLineChars="200"/>
        <w:jc w:val="center"/>
        <w:outlineLvl w:val="2"/>
        <w:rPr>
          <w:rFonts w:hint="eastAsia"/>
          <w:b/>
          <w:bCs/>
          <w:color w:val="auto"/>
          <w:sz w:val="32"/>
          <w:szCs w:val="32"/>
          <w:highlight w:val="none"/>
        </w:rPr>
      </w:pPr>
      <w:r>
        <w:rPr>
          <w:rFonts w:hint="eastAsia"/>
          <w:b/>
          <w:bCs/>
          <w:color w:val="auto"/>
          <w:sz w:val="32"/>
          <w:szCs w:val="32"/>
          <w:highlight w:val="none"/>
        </w:rPr>
        <w:t>二、招标文件</w:t>
      </w:r>
      <w:bookmarkEnd w:id="8"/>
    </w:p>
    <w:p w14:paraId="6270EEF6">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10.招标文件的组成</w:t>
      </w:r>
    </w:p>
    <w:p w14:paraId="765A9D0C">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第一章 招标公告；</w:t>
      </w:r>
    </w:p>
    <w:p w14:paraId="22D0F82B">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第二章 采购需求； </w:t>
      </w:r>
    </w:p>
    <w:p w14:paraId="30320BDC">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第三章 投标人须知；</w:t>
      </w:r>
    </w:p>
    <w:p w14:paraId="6CA920A6">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第四章 评标方法及评标标准；</w:t>
      </w:r>
    </w:p>
    <w:p w14:paraId="085B0D5C">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第五章 拟签订的合同文本；</w:t>
      </w:r>
    </w:p>
    <w:p w14:paraId="0757300F">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第六章 投标文件格式；</w:t>
      </w:r>
    </w:p>
    <w:p w14:paraId="759F403D">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第七章 质疑、投诉材料格式</w:t>
      </w:r>
    </w:p>
    <w:p w14:paraId="7A841ECA">
      <w:pPr>
        <w:shd w:val="clear"/>
        <w:spacing w:line="360" w:lineRule="auto"/>
        <w:ind w:firstLine="420" w:firstLineChars="200"/>
        <w:rPr>
          <w:rFonts w:hint="eastAsia" w:hAnsi="宋体"/>
          <w:color w:val="auto"/>
          <w:highlight w:val="none"/>
        </w:rPr>
      </w:pPr>
      <w:r>
        <w:rPr>
          <w:rFonts w:hint="eastAsia" w:hAnsi="宋体"/>
          <w:color w:val="auto"/>
          <w:highlight w:val="none"/>
        </w:rPr>
        <w:t>根据本章第11.1项的规定对公开招标文件所做的澄清、修改，构成招标文件的组成部分。当公开招标文件与招标文件的澄清和修改就同一内容的表述不一致时，</w:t>
      </w:r>
      <w:r>
        <w:rPr>
          <w:rFonts w:hint="eastAsia"/>
          <w:color w:val="auto"/>
          <w:highlight w:val="none"/>
        </w:rPr>
        <w:t>以最后澄清或修改公告为准。</w:t>
      </w:r>
    </w:p>
    <w:p w14:paraId="094E5A8A">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11.招标文件的澄清、修改 、现场考察和答疑会</w:t>
      </w:r>
    </w:p>
    <w:p w14:paraId="63740189">
      <w:pPr>
        <w:shd w:val="clea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0163387D">
      <w:pPr>
        <w:shd w:val="clear"/>
        <w:spacing w:line="360" w:lineRule="auto"/>
        <w:ind w:firstLine="420" w:firstLineChars="200"/>
        <w:rPr>
          <w:rFonts w:hint="eastAsia" w:hAnsi="宋体"/>
          <w:color w:val="auto"/>
          <w:highlight w:val="none"/>
        </w:rPr>
      </w:pPr>
      <w:r>
        <w:rPr>
          <w:rFonts w:hint="eastAsia" w:hAnsi="宋体"/>
          <w:color w:val="auto"/>
          <w:highlight w:val="none"/>
        </w:rPr>
        <w:t>11.2 投标人应认真审阅本公开招标文件，如有疑问，或发现其中有误或有要求不合理的，应在投标人须知前附表规定的</w:t>
      </w:r>
      <w:r>
        <w:rPr>
          <w:rFonts w:hint="eastAsia" w:cs="宋体"/>
          <w:color w:val="auto"/>
          <w:kern w:val="0"/>
          <w:szCs w:val="21"/>
          <w:highlight w:val="none"/>
        </w:rPr>
        <w:t>投标截止时间</w:t>
      </w:r>
      <w:r>
        <w:rPr>
          <w:rFonts w:hint="eastAsia" w:hAnsi="宋体"/>
          <w:color w:val="auto"/>
          <w:highlight w:val="none"/>
        </w:rPr>
        <w:t>前以书面形式要求采购人或采购代理机构对招标文件予以澄清；否则，由此产生的后果由投标人自行负责。</w:t>
      </w:r>
    </w:p>
    <w:p w14:paraId="18AE34F2">
      <w:pPr>
        <w:shd w:val="clear"/>
        <w:spacing w:line="360" w:lineRule="auto"/>
        <w:ind w:firstLine="420" w:firstLineChars="200"/>
        <w:rPr>
          <w:rFonts w:hint="eastAsia"/>
          <w:color w:val="auto"/>
          <w:highlight w:val="none"/>
        </w:rPr>
      </w:pPr>
      <w:r>
        <w:rPr>
          <w:rFonts w:hint="eastAsia" w:hAnsi="宋体"/>
          <w:color w:val="auto"/>
          <w:highlight w:val="none"/>
        </w:rPr>
        <w:t>11.3 采购人或者采购代理机构可以对已发出的招标文件进行必要的澄清或者修改。澄清或者修改的内容可能影响投标文件编制的，采购人或者采购代理机构应当在投标截止时间至少15日前，以书面形式通知(在“</w:t>
      </w:r>
      <w:r>
        <w:rPr>
          <w:rFonts w:hAnsi="宋体"/>
          <w:color w:val="auto"/>
          <w:szCs w:val="21"/>
          <w:highlight w:val="none"/>
        </w:rPr>
        <w:t>投标人须知前附表”</w:t>
      </w:r>
      <w:r>
        <w:rPr>
          <w:rFonts w:hint="eastAsia" w:hAnsi="宋体"/>
          <w:color w:val="auto"/>
          <w:highlight w:val="none"/>
        </w:rPr>
        <w:t>规定的政府采购信息发布媒体上发布更正公告及平台短信通知)所有获取招标文件的潜在投标人；不足15日的，采购人或者采购代理机构应当顺延提交投标文件的截止时间。发出的澄清或者修改不影响投标文件编制的也应在截标前3日发出。</w:t>
      </w:r>
    </w:p>
    <w:p w14:paraId="3DC20D6C">
      <w:pPr>
        <w:shd w:val="clear"/>
        <w:spacing w:line="360" w:lineRule="auto"/>
        <w:ind w:firstLine="420" w:firstLineChars="200"/>
        <w:rPr>
          <w:rFonts w:hint="eastAsia"/>
          <w:color w:val="auto"/>
          <w:highlight w:val="none"/>
        </w:rPr>
      </w:pPr>
      <w:r>
        <w:rPr>
          <w:rFonts w:hint="eastAsia" w:hAnsi="宋体"/>
          <w:color w:val="auto"/>
          <w:highlight w:val="none"/>
        </w:rPr>
        <w:t xml:space="preserve">11.4 </w:t>
      </w:r>
      <w:r>
        <w:rPr>
          <w:rFonts w:hint="eastAsia"/>
          <w:color w:val="auto"/>
          <w:highlight w:val="none"/>
        </w:rPr>
        <w:t>采购人和采购代理机构可以视采购具体情况，变更投标截止时间和开标时间，将变更时间在</w:t>
      </w:r>
      <w:r>
        <w:rPr>
          <w:rFonts w:hint="eastAsia" w:hAnsi="宋体"/>
          <w:color w:val="auto"/>
          <w:highlight w:val="none"/>
        </w:rPr>
        <w:t>“</w:t>
      </w:r>
      <w:r>
        <w:rPr>
          <w:rFonts w:hAnsi="宋体"/>
          <w:color w:val="auto"/>
          <w:szCs w:val="21"/>
          <w:highlight w:val="none"/>
        </w:rPr>
        <w:t>投标人须知前附表”</w:t>
      </w:r>
      <w:r>
        <w:rPr>
          <w:rFonts w:hint="eastAsia" w:cs="宋体"/>
          <w:color w:val="auto"/>
          <w:kern w:val="0"/>
          <w:szCs w:val="21"/>
          <w:highlight w:val="none"/>
        </w:rPr>
        <w:t>规定的政府采购信息发布媒体上</w:t>
      </w:r>
      <w:r>
        <w:rPr>
          <w:rFonts w:hint="eastAsia"/>
          <w:color w:val="auto"/>
          <w:highlight w:val="none"/>
        </w:rPr>
        <w:t>发布更正公告。</w:t>
      </w:r>
    </w:p>
    <w:p w14:paraId="0A0981F9">
      <w:pPr>
        <w:shd w:val="clear"/>
        <w:spacing w:line="360" w:lineRule="auto"/>
        <w:ind w:firstLine="420" w:firstLineChars="200"/>
        <w:rPr>
          <w:rFonts w:hint="eastAsia" w:hAnsi="宋体"/>
          <w:color w:val="auto"/>
          <w:highlight w:val="none"/>
        </w:rPr>
      </w:pPr>
      <w:r>
        <w:rPr>
          <w:rFonts w:hint="eastAsia" w:hAnsi="宋体"/>
          <w:color w:val="auto"/>
          <w:highlight w:val="none"/>
        </w:rPr>
        <w:t>1</w:t>
      </w:r>
      <w:r>
        <w:rPr>
          <w:rFonts w:hAnsi="宋体"/>
          <w:color w:val="auto"/>
          <w:highlight w:val="none"/>
        </w:rPr>
        <w:t>1.</w:t>
      </w:r>
      <w:r>
        <w:rPr>
          <w:rFonts w:hint="eastAsia" w:hAnsi="宋体"/>
          <w:color w:val="auto"/>
          <w:highlight w:val="none"/>
        </w:rPr>
        <w:t>5采购人或者采购代理机构可以在招标文件提供期限截止后，组织已获取招标文件的潜在投标人现场考察或者召开开标前答疑会，具体详见“投标人须知前附表”。</w:t>
      </w:r>
    </w:p>
    <w:p w14:paraId="1D6AC5E4">
      <w:pPr>
        <w:shd w:val="clear"/>
        <w:spacing w:line="400" w:lineRule="exact"/>
        <w:ind w:firstLine="643" w:firstLineChars="200"/>
        <w:jc w:val="center"/>
        <w:outlineLvl w:val="2"/>
        <w:rPr>
          <w:rFonts w:hint="eastAsia"/>
          <w:b/>
          <w:bCs/>
          <w:color w:val="auto"/>
          <w:sz w:val="32"/>
          <w:szCs w:val="32"/>
          <w:highlight w:val="none"/>
        </w:rPr>
      </w:pPr>
      <w:bookmarkStart w:id="9" w:name="_Toc171344350"/>
      <w:r>
        <w:rPr>
          <w:rFonts w:hint="eastAsia"/>
          <w:b/>
          <w:bCs/>
          <w:color w:val="auto"/>
          <w:sz w:val="32"/>
          <w:szCs w:val="32"/>
          <w:highlight w:val="none"/>
        </w:rPr>
        <w:t>三、投标文件的编制</w:t>
      </w:r>
      <w:bookmarkEnd w:id="9"/>
    </w:p>
    <w:p w14:paraId="32FDDBD6">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12.投标文件的编制原则</w:t>
      </w:r>
    </w:p>
    <w:p w14:paraId="57BCD30D">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12.1</w:t>
      </w:r>
      <w:r>
        <w:rPr>
          <w:rFonts w:ascii="宋体" w:hAnsi="宋体"/>
          <w:color w:val="auto"/>
          <w:szCs w:val="21"/>
          <w:highlight w:val="none"/>
        </w:rPr>
        <w:t>投标人必须按照招标文件的要求编制投标文件。投标文件必须对招标文件提出的要求和条件作出明确响应。</w:t>
      </w:r>
    </w:p>
    <w:p w14:paraId="4D47953C">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13.投标文件的组成</w:t>
      </w:r>
    </w:p>
    <w:p w14:paraId="412AD22A">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3.1</w:t>
      </w:r>
      <w:r>
        <w:rPr>
          <w:rFonts w:hint="eastAsia" w:ascii="宋体" w:hAnsi="宋体"/>
          <w:color w:val="auto"/>
          <w:szCs w:val="21"/>
          <w:highlight w:val="none"/>
        </w:rPr>
        <w:t>投标文件由报价文件、资格证明文件、商务文件、技术文件四部分组成。</w:t>
      </w:r>
    </w:p>
    <w:p w14:paraId="669205A5">
      <w:pPr>
        <w:shd w:val="clea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（1）资格证明文件：</w:t>
      </w:r>
      <w:r>
        <w:rPr>
          <w:rFonts w:ascii="宋体" w:hAnsi="宋体"/>
          <w:bCs/>
          <w:color w:val="auto"/>
          <w:szCs w:val="21"/>
          <w:highlight w:val="none"/>
        </w:rPr>
        <w:t>具体材料见“投标人须知前附表”</w:t>
      </w:r>
      <w:r>
        <w:rPr>
          <w:rFonts w:hint="eastAsia" w:ascii="宋体" w:hAnsi="宋体"/>
          <w:bCs/>
          <w:color w:val="auto"/>
          <w:szCs w:val="21"/>
          <w:highlight w:val="none"/>
        </w:rPr>
        <w:t>。</w:t>
      </w:r>
    </w:p>
    <w:p w14:paraId="0CD2DCE4">
      <w:pPr>
        <w:shd w:val="clea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（2）商务文件：</w:t>
      </w:r>
      <w:r>
        <w:rPr>
          <w:rFonts w:ascii="宋体" w:hAnsi="宋体"/>
          <w:bCs/>
          <w:color w:val="auto"/>
          <w:szCs w:val="21"/>
          <w:highlight w:val="none"/>
        </w:rPr>
        <w:t>具体材料见“投标人须知前附表”</w:t>
      </w:r>
      <w:r>
        <w:rPr>
          <w:rFonts w:hint="eastAsia" w:ascii="宋体" w:hAnsi="宋体"/>
          <w:bCs/>
          <w:color w:val="auto"/>
          <w:szCs w:val="21"/>
          <w:highlight w:val="none"/>
        </w:rPr>
        <w:t>。</w:t>
      </w:r>
    </w:p>
    <w:p w14:paraId="0CBB6C0F">
      <w:pPr>
        <w:shd w:val="clea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（3）技术文件：</w:t>
      </w:r>
      <w:r>
        <w:rPr>
          <w:rFonts w:ascii="宋体" w:hAnsi="宋体"/>
          <w:bCs/>
          <w:color w:val="auto"/>
          <w:szCs w:val="21"/>
          <w:highlight w:val="none"/>
        </w:rPr>
        <w:t>具体材料见“投标人须知前附表”</w:t>
      </w:r>
      <w:r>
        <w:rPr>
          <w:rFonts w:hint="eastAsia" w:ascii="宋体" w:hAnsi="宋体"/>
          <w:bCs/>
          <w:color w:val="auto"/>
          <w:szCs w:val="21"/>
          <w:highlight w:val="none"/>
        </w:rPr>
        <w:t xml:space="preserve">。 </w:t>
      </w:r>
    </w:p>
    <w:p w14:paraId="522E28CA">
      <w:pPr>
        <w:shd w:val="clea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（4）报价文件：</w:t>
      </w:r>
      <w:r>
        <w:rPr>
          <w:rFonts w:ascii="宋体" w:hAnsi="宋体"/>
          <w:bCs/>
          <w:color w:val="auto"/>
          <w:szCs w:val="21"/>
          <w:highlight w:val="none"/>
        </w:rPr>
        <w:t xml:space="preserve"> 具体材料见“投标人须知前附表”</w:t>
      </w:r>
      <w:r>
        <w:rPr>
          <w:rFonts w:hint="eastAsia" w:ascii="宋体" w:hAnsi="宋体"/>
          <w:bCs/>
          <w:color w:val="auto"/>
          <w:szCs w:val="21"/>
          <w:highlight w:val="none"/>
        </w:rPr>
        <w:t>。</w:t>
      </w:r>
    </w:p>
    <w:p w14:paraId="58E78814">
      <w:pPr>
        <w:shd w:val="clea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13.</w:t>
      </w:r>
      <w:r>
        <w:rPr>
          <w:rFonts w:ascii="宋体" w:hAnsi="宋体"/>
          <w:bCs/>
          <w:color w:val="auto"/>
          <w:szCs w:val="21"/>
          <w:highlight w:val="none"/>
        </w:rPr>
        <w:t>2</w:t>
      </w:r>
      <w:r>
        <w:rPr>
          <w:rFonts w:hint="eastAsia" w:ascii="宋体" w:hAnsi="宋体"/>
          <w:bCs/>
          <w:color w:val="auto"/>
          <w:szCs w:val="21"/>
          <w:highlight w:val="none"/>
        </w:rPr>
        <w:t>投标文件电子版：</w:t>
      </w:r>
      <w:r>
        <w:rPr>
          <w:rFonts w:ascii="宋体" w:hAnsi="宋体"/>
          <w:bCs/>
          <w:color w:val="auto"/>
          <w:szCs w:val="21"/>
          <w:highlight w:val="none"/>
        </w:rPr>
        <w:t>具体</w:t>
      </w:r>
      <w:r>
        <w:rPr>
          <w:rFonts w:hint="eastAsia" w:ascii="宋体" w:hAnsi="宋体"/>
          <w:bCs/>
          <w:color w:val="auto"/>
          <w:szCs w:val="21"/>
          <w:highlight w:val="none"/>
        </w:rPr>
        <w:t>要求</w:t>
      </w:r>
      <w:r>
        <w:rPr>
          <w:rFonts w:ascii="宋体" w:hAnsi="宋体"/>
          <w:bCs/>
          <w:color w:val="auto"/>
          <w:szCs w:val="21"/>
          <w:highlight w:val="none"/>
        </w:rPr>
        <w:t>见</w:t>
      </w:r>
      <w:r>
        <w:rPr>
          <w:rFonts w:hint="eastAsia" w:ascii="宋体" w:hAnsi="宋体"/>
          <w:bCs/>
          <w:color w:val="auto"/>
          <w:szCs w:val="21"/>
          <w:highlight w:val="none"/>
        </w:rPr>
        <w:t>本节19.投标文件编制。</w:t>
      </w:r>
    </w:p>
    <w:p w14:paraId="418C091D">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14.投标文件的语言及计量</w:t>
      </w:r>
    </w:p>
    <w:p w14:paraId="2D236AC8">
      <w:pPr>
        <w:shd w:val="clea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14.1语言文字</w:t>
      </w:r>
    </w:p>
    <w:p w14:paraId="2D1891FB">
      <w:pPr>
        <w:shd w:val="clea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7BA3E63A">
      <w:pPr>
        <w:shd w:val="clea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14.2投标计量单位</w:t>
      </w:r>
    </w:p>
    <w:p w14:paraId="4A44D39E">
      <w:pPr>
        <w:shd w:val="clea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招标文件已有明确规定的，使用招标文件规定的计量单位；招标文件没有规定的，应采用中华人民共和国法定计量单位，货币种类为人民币，否则视同未响应。</w:t>
      </w:r>
    </w:p>
    <w:p w14:paraId="356FF4D0">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15.投标的风险</w:t>
      </w:r>
    </w:p>
    <w:p w14:paraId="7683D913">
      <w:pPr>
        <w:shd w:val="clear"/>
        <w:spacing w:line="360" w:lineRule="auto"/>
        <w:ind w:firstLine="420" w:firstLineChars="200"/>
        <w:rPr>
          <w:rFonts w:hint="eastAsia" w:hAnsi="宋体"/>
          <w:b/>
          <w:bCs/>
          <w:color w:val="auto"/>
          <w:highlight w:val="none"/>
        </w:rPr>
      </w:pPr>
      <w:r>
        <w:rPr>
          <w:rFonts w:hint="eastAsia" w:hAnsi="宋体"/>
          <w:color w:val="auto"/>
          <w:highlight w:val="none"/>
        </w:rPr>
        <w:t>投标文件分为资格文件、商务文件、技术文件、报价文件四部分（其中：商务文件与技术文件合并编辑成一个电子文档）。各投标人在编制投标文件时请按照招标文件规定的格式进行，混乱的编排导致投标文件被误读或评标委员会查找不到有效文件是投标人的风险。▲</w:t>
      </w:r>
      <w:r>
        <w:rPr>
          <w:rFonts w:hint="eastAsia" w:hAnsi="宋体"/>
          <w:b/>
          <w:bCs/>
          <w:color w:val="auto"/>
          <w:highlight w:val="none"/>
        </w:rPr>
        <w:t>投标文件未按规定的格式编制的、没有按照招标文件要求提供全部资料、没有对招标文件作出实质性响应，投标无效；</w:t>
      </w:r>
    </w:p>
    <w:p w14:paraId="40F51BA7">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16.投标报价</w:t>
      </w:r>
    </w:p>
    <w:p w14:paraId="11C94F5E">
      <w:pPr>
        <w:shd w:val="clea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16.1投标报价应</w:t>
      </w:r>
      <w:r>
        <w:rPr>
          <w:rFonts w:hint="eastAsia" w:ascii="宋体" w:hAnsi="宋体"/>
          <w:bCs/>
          <w:color w:val="auto"/>
          <w:szCs w:val="20"/>
          <w:highlight w:val="none"/>
        </w:rPr>
        <w:t>按“第六章　投标文件格式”中“开标一览表”格式填写。</w:t>
      </w:r>
    </w:p>
    <w:p w14:paraId="12935278">
      <w:pPr>
        <w:shd w:val="clea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16.2投标报价具体包括内容详见“投标人须知前附表”。</w:t>
      </w:r>
    </w:p>
    <w:p w14:paraId="3801DAF7">
      <w:pPr>
        <w:shd w:val="clea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16.3投标人必须就所投每个分标的全部内容分别作完整唯一总价报价，不得存在漏项报价；投标人必须就所投分标的单项内容作唯一报价。</w:t>
      </w:r>
    </w:p>
    <w:p w14:paraId="2CBE4611">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17.投标有效期</w:t>
      </w:r>
    </w:p>
    <w:p w14:paraId="47C26662">
      <w:pPr>
        <w:shd w:val="clea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17.1投标有效期是指为保证采购人有足够的时间在开标后完成评标、定标、合同签订等工作而要求投标人提交的投标文件在一定时间内保持有效的期限。</w:t>
      </w:r>
    </w:p>
    <w:p w14:paraId="5D22ED00">
      <w:pPr>
        <w:shd w:val="clea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17.2 投标有效期应按规定的期限作出承诺，具体详见“投标人须知前附表”。</w:t>
      </w:r>
    </w:p>
    <w:p w14:paraId="6FAF8A62">
      <w:pPr>
        <w:shd w:val="clea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17.3投标人的投标文件在投标有效期内均保持有效。</w:t>
      </w:r>
    </w:p>
    <w:p w14:paraId="708DBFEE">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18.投标保证金</w:t>
      </w:r>
    </w:p>
    <w:p w14:paraId="4397FEC6">
      <w:pPr>
        <w:shd w:val="clea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见“投标人须知前附表”。</w:t>
      </w:r>
    </w:p>
    <w:p w14:paraId="37006029">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19.投标文件的编制</w:t>
      </w:r>
    </w:p>
    <w:p w14:paraId="189D331A">
      <w:pPr>
        <w:shd w:val="clear"/>
        <w:spacing w:line="360" w:lineRule="auto"/>
        <w:ind w:firstLine="422" w:firstLineChars="200"/>
        <w:rPr>
          <w:rFonts w:hint="eastAsia" w:hAnsi="宋体"/>
          <w:color w:val="auto"/>
          <w:szCs w:val="21"/>
          <w:highlight w:val="none"/>
        </w:rPr>
      </w:pPr>
      <w:r>
        <w:rPr>
          <w:rFonts w:hint="eastAsia" w:ascii="宋体" w:hAnsi="宋体"/>
          <w:b/>
          <w:color w:val="auto"/>
          <w:szCs w:val="21"/>
          <w:highlight w:val="none"/>
        </w:rPr>
        <w:t xml:space="preserve"> </w:t>
      </w:r>
      <w:r>
        <w:rPr>
          <w:rFonts w:hint="eastAsia" w:hAnsi="宋体"/>
          <w:color w:val="auto"/>
          <w:szCs w:val="21"/>
          <w:highlight w:val="none"/>
        </w:rPr>
        <w:t xml:space="preserve">19.1投标文件编制要求详见“投标人须知前附表”。投标人应按本招标文件规定的格式和顺序编制、装订投标文件并标注页码，投标文件内容不完整、编排混乱导致投标文件被误读、漏读或者查找不到相关内容的，由此引发的后果由投标人承担。 </w:t>
      </w:r>
    </w:p>
    <w:p w14:paraId="17BB33D8">
      <w:pPr>
        <w:shd w:val="clear"/>
        <w:adjustRightInd w:val="0"/>
        <w:snapToGrid w:val="0"/>
        <w:spacing w:line="360" w:lineRule="auto"/>
        <w:ind w:firstLine="420" w:firstLineChars="200"/>
        <w:rPr>
          <w:rFonts w:hint="eastAsia" w:hAnsi="宋体"/>
          <w:color w:val="auto"/>
          <w:szCs w:val="21"/>
          <w:highlight w:val="none"/>
        </w:rPr>
      </w:pPr>
      <w:r>
        <w:rPr>
          <w:rFonts w:hAnsi="宋体"/>
          <w:color w:val="auto"/>
          <w:szCs w:val="21"/>
          <w:highlight w:val="none"/>
        </w:rPr>
        <w:t>19</w:t>
      </w:r>
      <w:r>
        <w:rPr>
          <w:rFonts w:hint="eastAsia" w:hAnsi="宋体"/>
          <w:color w:val="auto"/>
          <w:szCs w:val="21"/>
          <w:highlight w:val="none"/>
        </w:rPr>
        <w:t>.2投标文件按照招标文件第六章格式要求在规定位置进行签署、盖章。投标人的投标文件未按照招标文件要求签署、盖章的，</w:t>
      </w:r>
      <w:r>
        <w:rPr>
          <w:rFonts w:hint="eastAsia" w:hAnsi="宋体"/>
          <w:b/>
          <w:color w:val="auto"/>
          <w:szCs w:val="21"/>
          <w:highlight w:val="none"/>
        </w:rPr>
        <w:t>其投标无效。</w:t>
      </w:r>
      <w:r>
        <w:rPr>
          <w:rFonts w:hint="eastAsia" w:hAnsi="宋体"/>
          <w:color w:val="auto"/>
          <w:szCs w:val="21"/>
          <w:highlight w:val="none"/>
        </w:rPr>
        <w:t>骑缝盖公章不视为在规定位置盖章。</w:t>
      </w:r>
    </w:p>
    <w:p w14:paraId="76E172D4">
      <w:pPr>
        <w:shd w:val="clear"/>
        <w:adjustRightInd w:val="0"/>
        <w:snapToGrid w:val="0"/>
        <w:spacing w:line="360" w:lineRule="auto"/>
        <w:ind w:firstLine="420" w:firstLineChars="200"/>
        <w:rPr>
          <w:rFonts w:hint="eastAsia" w:hAnsi="宋体"/>
          <w:color w:val="auto"/>
          <w:szCs w:val="21"/>
          <w:highlight w:val="none"/>
        </w:rPr>
      </w:pPr>
      <w:r>
        <w:rPr>
          <w:rFonts w:hAnsi="宋体"/>
          <w:color w:val="auto"/>
          <w:szCs w:val="21"/>
          <w:highlight w:val="none"/>
        </w:rPr>
        <w:t>19.</w:t>
      </w:r>
      <w:r>
        <w:rPr>
          <w:rFonts w:hint="eastAsia" w:hAnsi="宋体"/>
          <w:color w:val="auto"/>
          <w:szCs w:val="21"/>
          <w:highlight w:val="none"/>
        </w:rPr>
        <w:t>3为确保网上操作合法、有效和安全，投标人应当在投标截止时间前完成在广西政府采购云平台的身份认证，确保在电子投标过程中能够对相关数据电文进行加密和使用电子签名。</w:t>
      </w:r>
    </w:p>
    <w:p w14:paraId="54D8CB17">
      <w:pPr>
        <w:shd w:val="clea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19.4投标文件中标注的投标人名称应与主体资格证明（如营业执照、事业单位法人证书、执业许可证、自然人身份证等）及公章一致，</w:t>
      </w:r>
      <w:r>
        <w:rPr>
          <w:rFonts w:hint="eastAsia" w:ascii="宋体" w:hAnsi="宋体"/>
          <w:color w:val="auto"/>
          <w:szCs w:val="21"/>
          <w:highlight w:val="none"/>
        </w:rPr>
        <w:t>否则作无效投标处理</w:t>
      </w:r>
      <w:r>
        <w:rPr>
          <w:rFonts w:hint="eastAsia" w:ascii="宋体" w:hAnsi="宋体"/>
          <w:b/>
          <w:color w:val="auto"/>
          <w:szCs w:val="21"/>
          <w:highlight w:val="none"/>
        </w:rPr>
        <w:t>。</w:t>
      </w:r>
    </w:p>
    <w:p w14:paraId="71CDAFCB">
      <w:pPr>
        <w:shd w:val="clear"/>
        <w:spacing w:line="360" w:lineRule="auto"/>
        <w:ind w:firstLine="420" w:firstLineChars="200"/>
        <w:rPr>
          <w:rFonts w:hint="eastAsia" w:ascii="宋体" w:hAnsi="宋体" w:cs="宋体"/>
          <w:b/>
          <w:color w:val="auto"/>
          <w:szCs w:val="21"/>
          <w:highlight w:val="none"/>
        </w:rPr>
      </w:pPr>
      <w:r>
        <w:rPr>
          <w:rFonts w:hint="eastAsia" w:hAnsi="宋体"/>
          <w:color w:val="auto"/>
          <w:szCs w:val="21"/>
          <w:highlight w:val="none"/>
        </w:rPr>
        <w:t xml:space="preserve"> 19.5投标文件应避免涂改、行间插字或者删除，</w:t>
      </w:r>
      <w:r>
        <w:rPr>
          <w:rFonts w:hint="eastAsia" w:ascii="宋体" w:hAnsi="宋体" w:cs="宋体"/>
          <w:b/>
          <w:color w:val="auto"/>
          <w:szCs w:val="21"/>
          <w:highlight w:val="none"/>
        </w:rPr>
        <w:t>否则其投标无效。</w:t>
      </w:r>
    </w:p>
    <w:p w14:paraId="4801E505">
      <w:pPr>
        <w:shd w:val="clear"/>
        <w:spacing w:line="360" w:lineRule="auto"/>
        <w:ind w:firstLine="520" w:firstLineChars="248"/>
        <w:rPr>
          <w:rFonts w:hint="eastAsia" w:hAnsi="宋体"/>
          <w:color w:val="auto"/>
          <w:highlight w:val="none"/>
        </w:rPr>
      </w:pPr>
      <w:r>
        <w:rPr>
          <w:rFonts w:hint="eastAsia" w:hAnsi="宋体"/>
          <w:color w:val="auto"/>
          <w:highlight w:val="none"/>
        </w:rPr>
        <w:t>19.6 对招标文件的实质性要求和条件作出响应是指投标人必须对招标文件中标注为实质性要求和条件的</w:t>
      </w:r>
      <w:r>
        <w:rPr>
          <w:rFonts w:hint="eastAsia"/>
          <w:color w:val="auto"/>
          <w:szCs w:val="21"/>
          <w:highlight w:val="none"/>
        </w:rPr>
        <w:t>服务内容及要求</w:t>
      </w:r>
      <w:r>
        <w:rPr>
          <w:rFonts w:hint="eastAsia" w:hAnsi="宋体"/>
          <w:color w:val="auto"/>
          <w:highlight w:val="none"/>
        </w:rPr>
        <w:t>、商务条款及其它内容</w:t>
      </w:r>
      <w:r>
        <w:rPr>
          <w:rFonts w:hint="eastAsia"/>
          <w:b/>
          <w:color w:val="auto"/>
          <w:highlight w:val="none"/>
        </w:rPr>
        <w:t>作出满足或者优于原要求和条件的承诺</w:t>
      </w:r>
      <w:r>
        <w:rPr>
          <w:rFonts w:hint="eastAsia"/>
          <w:color w:val="auto"/>
          <w:highlight w:val="none"/>
        </w:rPr>
        <w:t>。</w:t>
      </w:r>
    </w:p>
    <w:p w14:paraId="1D21763F">
      <w:pPr>
        <w:shd w:val="clear"/>
        <w:spacing w:line="360" w:lineRule="auto"/>
        <w:ind w:firstLine="422" w:firstLineChars="200"/>
        <w:rPr>
          <w:rFonts w:hint="eastAsia" w:ascii="宋体" w:hAnsi="宋体"/>
          <w:b/>
          <w:color w:val="auto"/>
          <w:szCs w:val="21"/>
          <w:highlight w:val="none"/>
          <w:u w:val="single"/>
        </w:rPr>
      </w:pPr>
      <w:r>
        <w:rPr>
          <w:rFonts w:hint="eastAsia" w:ascii="宋体" w:hAnsi="宋体"/>
          <w:b/>
          <w:color w:val="auto"/>
          <w:szCs w:val="21"/>
          <w:highlight w:val="none"/>
          <w:u w:val="single"/>
        </w:rPr>
        <w:t>19.7本项目为南宁市全流程电子化项目，异常情况见“第二节 投标人须知正文”中“四、24.2</w:t>
      </w:r>
      <w:r>
        <w:rPr>
          <w:rFonts w:ascii="宋体" w:hAnsi="宋体"/>
          <w:b/>
          <w:color w:val="auto"/>
          <w:szCs w:val="21"/>
          <w:highlight w:val="none"/>
          <w:u w:val="single"/>
        </w:rPr>
        <w:t>开</w:t>
      </w:r>
      <w:r>
        <w:rPr>
          <w:rFonts w:hint="eastAsia" w:ascii="宋体" w:hAnsi="宋体"/>
          <w:b/>
          <w:color w:val="auto"/>
          <w:szCs w:val="21"/>
          <w:highlight w:val="none"/>
          <w:u w:val="single"/>
        </w:rPr>
        <w:t>标</w:t>
      </w:r>
      <w:r>
        <w:rPr>
          <w:rFonts w:ascii="宋体" w:hAnsi="宋体"/>
          <w:b/>
          <w:color w:val="auto"/>
          <w:szCs w:val="21"/>
          <w:highlight w:val="none"/>
          <w:u w:val="single"/>
        </w:rPr>
        <w:t>程序</w:t>
      </w:r>
      <w:r>
        <w:rPr>
          <w:rFonts w:hint="eastAsia" w:ascii="宋体" w:hAnsi="宋体"/>
          <w:b/>
          <w:color w:val="auto"/>
          <w:szCs w:val="21"/>
          <w:highlight w:val="none"/>
          <w:u w:val="single"/>
        </w:rPr>
        <w:t>。</w:t>
      </w:r>
    </w:p>
    <w:p w14:paraId="21CD767F">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20.备份投标文件</w:t>
      </w:r>
    </w:p>
    <w:p w14:paraId="38C7AA6B">
      <w:pPr>
        <w:shd w:val="clear"/>
        <w:spacing w:line="360" w:lineRule="auto"/>
        <w:ind w:firstLine="420" w:firstLineChars="200"/>
        <w:rPr>
          <w:rFonts w:hint="eastAsia" w:ascii="黑体" w:hAnsi="黑体" w:eastAsia="黑体"/>
          <w:color w:val="auto"/>
          <w:sz w:val="24"/>
          <w:highlight w:val="none"/>
        </w:rPr>
      </w:pPr>
      <w:r>
        <w:rPr>
          <w:rFonts w:hint="eastAsia" w:hAnsi="宋体"/>
          <w:bCs/>
          <w:color w:val="auto"/>
          <w:szCs w:val="21"/>
          <w:highlight w:val="none"/>
          <w:lang w:eastAsia="zh-CN"/>
        </w:rPr>
        <w:t>详见</w:t>
      </w:r>
      <w:r>
        <w:rPr>
          <w:rFonts w:hint="eastAsia" w:hAnsi="宋体"/>
          <w:bCs/>
          <w:color w:val="auto"/>
          <w:szCs w:val="21"/>
          <w:highlight w:val="none"/>
        </w:rPr>
        <w:t>“投标人须知前附表”。</w:t>
      </w:r>
    </w:p>
    <w:p w14:paraId="08F17ADF">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21.投标文件的提交</w:t>
      </w:r>
    </w:p>
    <w:p w14:paraId="553E9AF9">
      <w:pPr>
        <w:shd w:val="clear"/>
        <w:spacing w:line="360" w:lineRule="auto"/>
        <w:ind w:firstLine="420" w:firstLineChars="200"/>
        <w:rPr>
          <w:rFonts w:hint="eastAsia" w:hAnsi="宋体"/>
          <w:b/>
          <w:color w:val="auto"/>
          <w:highlight w:val="none"/>
        </w:rPr>
      </w:pPr>
      <w:r>
        <w:rPr>
          <w:rFonts w:hint="eastAsia" w:hAnsi="宋体"/>
          <w:bCs/>
          <w:color w:val="auto"/>
          <w:szCs w:val="21"/>
          <w:highlight w:val="none"/>
        </w:rPr>
        <w:t>21.1投标人必须在“投标人须知前附表”规定的投标文件接收时间和投标地点提交电子版投标文件。电子投标文件应在制作完成后，</w:t>
      </w:r>
      <w:r>
        <w:rPr>
          <w:rFonts w:hAnsi="宋体"/>
          <w:bCs/>
          <w:color w:val="auto"/>
          <w:szCs w:val="21"/>
          <w:highlight w:val="none"/>
        </w:rPr>
        <w:t>在投标截止时间前</w:t>
      </w:r>
      <w:r>
        <w:rPr>
          <w:rFonts w:hint="eastAsia" w:hAnsi="宋体"/>
          <w:bCs/>
          <w:color w:val="auto"/>
          <w:szCs w:val="21"/>
          <w:highlight w:val="none"/>
        </w:rPr>
        <w:t xml:space="preserve">通过有效数字证书（CA认证锁）进行电子签章、加密，然后通过网络将加密的电子投标文件递交至“广西政府采购云平台”。 </w:t>
      </w:r>
      <w:r>
        <w:rPr>
          <w:rFonts w:hint="eastAsia" w:hAnsi="宋体"/>
          <w:b/>
          <w:color w:val="auto"/>
          <w:highlight w:val="none"/>
        </w:rPr>
        <w:t xml:space="preserve"> </w:t>
      </w:r>
    </w:p>
    <w:p w14:paraId="60F2B2DC">
      <w:pPr>
        <w:shd w:val="clear"/>
        <w:spacing w:line="360" w:lineRule="auto"/>
        <w:ind w:firstLine="422" w:firstLineChars="200"/>
        <w:rPr>
          <w:rFonts w:hint="eastAsia" w:ascii="宋体" w:hAnsi="宋体"/>
          <w:b/>
          <w:color w:val="auto"/>
          <w:szCs w:val="20"/>
          <w:highlight w:val="none"/>
        </w:rPr>
      </w:pPr>
      <w:r>
        <w:rPr>
          <w:rFonts w:hint="eastAsia" w:ascii="宋体" w:hAnsi="宋体"/>
          <w:b/>
          <w:color w:val="auto"/>
          <w:szCs w:val="21"/>
          <w:highlight w:val="none"/>
        </w:rPr>
        <w:t>21.</w:t>
      </w:r>
      <w:r>
        <w:rPr>
          <w:rFonts w:ascii="宋体" w:hAnsi="宋体"/>
          <w:b/>
          <w:color w:val="auto"/>
          <w:szCs w:val="21"/>
          <w:highlight w:val="none"/>
        </w:rPr>
        <w:t>2</w:t>
      </w:r>
      <w:r>
        <w:rPr>
          <w:rFonts w:hint="eastAsia" w:ascii="宋体" w:hAnsi="宋体"/>
          <w:b/>
          <w:color w:val="auto"/>
          <w:szCs w:val="21"/>
          <w:highlight w:val="none"/>
        </w:rPr>
        <w:t>未在规定时间内提交或者未按照招标文件要求密封或者标记的电子投标文件，广西政府采购云平台将拒收。</w:t>
      </w:r>
    </w:p>
    <w:p w14:paraId="6F5592D4">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21.</w:t>
      </w:r>
      <w:r>
        <w:rPr>
          <w:rFonts w:ascii="宋体" w:hAnsi="宋体"/>
          <w:color w:val="auto"/>
          <w:szCs w:val="21"/>
          <w:highlight w:val="none"/>
        </w:rPr>
        <w:t>3</w:t>
      </w:r>
      <w:r>
        <w:rPr>
          <w:rFonts w:hint="eastAsia" w:ascii="宋体" w:hAnsi="宋体"/>
          <w:color w:val="auto"/>
          <w:szCs w:val="21"/>
          <w:highlight w:val="none"/>
        </w:rPr>
        <w:t>电子版投标文件提交方式见“招标公告”中“四、提交投标文件截止时间、开标时间和地点”</w:t>
      </w:r>
      <w:r>
        <w:rPr>
          <w:rFonts w:hint="eastAsia" w:ascii="宋体" w:hAnsi="宋体"/>
          <w:b/>
          <w:color w:val="auto"/>
          <w:szCs w:val="21"/>
          <w:highlight w:val="none"/>
        </w:rPr>
        <w:t xml:space="preserve"> 。</w:t>
      </w:r>
    </w:p>
    <w:p w14:paraId="46FF04AA">
      <w:pPr>
        <w:shd w:val="clear"/>
        <w:spacing w:line="360" w:lineRule="auto"/>
        <w:ind w:firstLine="480" w:firstLineChars="200"/>
        <w:rPr>
          <w:rFonts w:ascii="黑体" w:hAnsi="黑体" w:eastAsia="黑体"/>
          <w:color w:val="auto"/>
          <w:sz w:val="24"/>
          <w:highlight w:val="none"/>
        </w:rPr>
      </w:pPr>
      <w:r>
        <w:rPr>
          <w:rFonts w:hint="eastAsia" w:ascii="黑体" w:hAnsi="黑体" w:eastAsia="黑体"/>
          <w:color w:val="auto"/>
          <w:sz w:val="24"/>
          <w:highlight w:val="none"/>
        </w:rPr>
        <w:t>22. 投标文件的补充、修改、撤回与退回</w:t>
      </w:r>
    </w:p>
    <w:p w14:paraId="0789BB6E">
      <w:pPr>
        <w:shd w:val="clear"/>
        <w:spacing w:line="360" w:lineRule="auto"/>
        <w:ind w:firstLine="420" w:firstLineChars="200"/>
        <w:rPr>
          <w:rFonts w:hint="eastAsia" w:ascii="黑体" w:hAnsi="黑体" w:eastAsia="黑体"/>
          <w:color w:val="auto"/>
          <w:sz w:val="24"/>
          <w:highlight w:val="none"/>
        </w:rPr>
      </w:pPr>
      <w:r>
        <w:rPr>
          <w:rFonts w:ascii="宋体" w:hAnsi="宋体" w:cs="宋体"/>
          <w:color w:val="auto"/>
          <w:szCs w:val="21"/>
          <w:highlight w:val="none"/>
        </w:rPr>
        <w:t>22</w:t>
      </w:r>
      <w:r>
        <w:rPr>
          <w:rFonts w:hint="eastAsia" w:ascii="宋体" w:hAnsi="宋体" w:cs="宋体"/>
          <w:color w:val="auto"/>
          <w:szCs w:val="21"/>
          <w:highlight w:val="none"/>
        </w:rPr>
        <w:t>.1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广西政府采购云平台将拒收。（补充、修改或者撤回方式见公告附件“电子投标文件制作与投送教程”）</w:t>
      </w:r>
    </w:p>
    <w:p w14:paraId="276DE2AD">
      <w:pPr>
        <w:shd w:val="clear"/>
        <w:adjustRightInd w:val="0"/>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22.</w:t>
      </w:r>
      <w:r>
        <w:rPr>
          <w:rFonts w:hint="eastAsia" w:ascii="宋体" w:hAnsi="宋体" w:cs="宋体"/>
          <w:color w:val="auto"/>
          <w:szCs w:val="21"/>
          <w:highlight w:val="none"/>
        </w:rPr>
        <w:t>2广西政府采购云平台收到投标文件，将妥善保存并即时向供应商发出确认回执通知。在投标截止时</w:t>
      </w:r>
      <w:r>
        <w:rPr>
          <w:rFonts w:hint="eastAsia" w:ascii="宋体" w:hAnsi="宋体" w:cs="宋体"/>
          <w:color w:val="auto"/>
          <w:szCs w:val="21"/>
          <w:highlight w:val="none"/>
          <w:lang w:eastAsia="zh-CN"/>
        </w:rPr>
        <w:t>间之</w:t>
      </w:r>
      <w:r>
        <w:rPr>
          <w:rFonts w:hint="eastAsia" w:ascii="宋体" w:hAnsi="宋体" w:cs="宋体"/>
          <w:color w:val="auto"/>
          <w:szCs w:val="21"/>
          <w:highlight w:val="none"/>
        </w:rPr>
        <w:t>前，除供应商补充、修改或者撤回投标文件外，任何单位和个人不得解密或提取投标文件。</w:t>
      </w:r>
    </w:p>
    <w:p w14:paraId="48283DEE">
      <w:pPr>
        <w:shd w:val="clea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w:t>
      </w:r>
      <w:r>
        <w:rPr>
          <w:rFonts w:ascii="宋体" w:hAnsi="宋体" w:cs="宋体"/>
          <w:color w:val="auto"/>
          <w:szCs w:val="21"/>
          <w:highlight w:val="none"/>
        </w:rPr>
        <w:t>3</w:t>
      </w:r>
      <w:r>
        <w:rPr>
          <w:rFonts w:hint="eastAsia" w:ascii="宋体" w:hAnsi="宋体" w:cs="宋体"/>
          <w:color w:val="auto"/>
          <w:szCs w:val="21"/>
          <w:highlight w:val="none"/>
        </w:rPr>
        <w:t>在投标截止时间止提交电子版投标文件的投标人不足3家时，电子版投标文件由代理机构在广西政府采购云平台操作退回，除此之外采购人和采购代理机构对已提交的投标文件概不退回。</w:t>
      </w:r>
    </w:p>
    <w:p w14:paraId="11F560C5">
      <w:pPr>
        <w:shd w:val="clear"/>
        <w:snapToGrid w:val="0"/>
        <w:spacing w:line="400" w:lineRule="exact"/>
        <w:ind w:firstLine="739"/>
        <w:rPr>
          <w:rFonts w:hint="eastAsia" w:ascii="宋体" w:hAnsi="宋体"/>
          <w:snapToGrid w:val="0"/>
          <w:color w:val="auto"/>
          <w:spacing w:val="-4"/>
          <w:szCs w:val="21"/>
          <w:highlight w:val="none"/>
        </w:rPr>
      </w:pPr>
    </w:p>
    <w:p w14:paraId="70B02FAA">
      <w:pPr>
        <w:shd w:val="clear"/>
        <w:spacing w:line="400" w:lineRule="exact"/>
        <w:ind w:firstLine="643" w:firstLineChars="200"/>
        <w:jc w:val="center"/>
        <w:outlineLvl w:val="2"/>
        <w:rPr>
          <w:rFonts w:hint="eastAsia"/>
          <w:b/>
          <w:bCs/>
          <w:color w:val="auto"/>
          <w:sz w:val="32"/>
          <w:szCs w:val="32"/>
          <w:highlight w:val="none"/>
        </w:rPr>
      </w:pPr>
      <w:bookmarkStart w:id="10" w:name="_Toc171344351"/>
      <w:r>
        <w:rPr>
          <w:rFonts w:hint="eastAsia"/>
          <w:b/>
          <w:bCs/>
          <w:color w:val="auto"/>
          <w:sz w:val="32"/>
          <w:szCs w:val="32"/>
          <w:highlight w:val="none"/>
        </w:rPr>
        <w:t>四、开    标</w:t>
      </w:r>
      <w:bookmarkEnd w:id="10"/>
    </w:p>
    <w:p w14:paraId="5520413D">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23.开标时间和地点</w:t>
      </w:r>
    </w:p>
    <w:p w14:paraId="1ECC4F98">
      <w:pPr>
        <w:shd w:val="clear"/>
        <w:spacing w:line="360" w:lineRule="auto"/>
        <w:ind w:firstLine="420" w:firstLineChars="200"/>
        <w:rPr>
          <w:rFonts w:hint="eastAsia" w:hAnsi="宋体"/>
          <w:bCs/>
          <w:color w:val="auto"/>
          <w:highlight w:val="none"/>
        </w:rPr>
      </w:pPr>
      <w:r>
        <w:rPr>
          <w:rFonts w:hint="eastAsia" w:hAnsi="宋体"/>
          <w:bCs/>
          <w:color w:val="auto"/>
          <w:highlight w:val="none"/>
        </w:rPr>
        <w:t>23.1开标时间及地点详见“投标人须知前附表”</w:t>
      </w:r>
    </w:p>
    <w:p w14:paraId="3DBE81BD">
      <w:pPr>
        <w:shd w:val="clear"/>
        <w:spacing w:line="360" w:lineRule="auto"/>
        <w:ind w:firstLine="420" w:firstLineChars="200"/>
        <w:rPr>
          <w:rFonts w:hint="eastAsia"/>
          <w:color w:val="auto"/>
          <w:highlight w:val="none"/>
        </w:rPr>
      </w:pPr>
      <w:r>
        <w:rPr>
          <w:rFonts w:hint="eastAsia" w:hAnsi="宋体"/>
          <w:color w:val="auto"/>
          <w:highlight w:val="none"/>
        </w:rPr>
        <w:t>23.2如</w:t>
      </w:r>
      <w:r>
        <w:rPr>
          <w:rFonts w:hint="eastAsia" w:hAnsi="宋体"/>
          <w:bCs/>
          <w:color w:val="auto"/>
          <w:highlight w:val="none"/>
        </w:rPr>
        <w:t>投标人成功解密投标文件，但未在“广西政府采购云平台”电子开标大厅参加开标的，视同认可开标过程和结果，</w:t>
      </w:r>
      <w:r>
        <w:rPr>
          <w:rFonts w:hint="eastAsia" w:hAnsi="宋体"/>
          <w:color w:val="auto"/>
          <w:highlight w:val="none"/>
        </w:rPr>
        <w:t xml:space="preserve">由此产生的后果由投标人自行负责。 </w:t>
      </w:r>
      <w:r>
        <w:rPr>
          <w:rFonts w:hint="eastAsia"/>
          <w:color w:val="auto"/>
          <w:highlight w:val="none"/>
        </w:rPr>
        <w:t>投标人不足3家的，不得开标。</w:t>
      </w:r>
    </w:p>
    <w:p w14:paraId="765C6A04">
      <w:pPr>
        <w:shd w:val="clear"/>
        <w:spacing w:line="360" w:lineRule="auto"/>
        <w:ind w:firstLine="480" w:firstLineChars="200"/>
        <w:rPr>
          <w:rFonts w:ascii="黑体" w:hAnsi="黑体" w:eastAsia="黑体"/>
          <w:color w:val="auto"/>
          <w:sz w:val="24"/>
          <w:highlight w:val="none"/>
        </w:rPr>
      </w:pPr>
      <w:r>
        <w:rPr>
          <w:rFonts w:hint="eastAsia" w:ascii="黑体" w:hAnsi="黑体" w:eastAsia="黑体"/>
          <w:color w:val="auto"/>
          <w:sz w:val="24"/>
          <w:highlight w:val="none"/>
        </w:rPr>
        <w:t>24.开标程序</w:t>
      </w:r>
    </w:p>
    <w:p w14:paraId="4F82BE98">
      <w:pPr>
        <w:shd w:val="clear"/>
        <w:autoSpaceDE w:val="0"/>
        <w:autoSpaceDN w:val="0"/>
        <w:adjustRightInd w:val="0"/>
        <w:spacing w:line="440" w:lineRule="exact"/>
        <w:ind w:firstLine="420" w:firstLineChars="200"/>
        <w:rPr>
          <w:rFonts w:ascii="宋体" w:hAnsi="宋体"/>
          <w:color w:val="auto"/>
          <w:kern w:val="0"/>
          <w:szCs w:val="21"/>
          <w:highlight w:val="none"/>
        </w:rPr>
      </w:pPr>
      <w:r>
        <w:rPr>
          <w:rFonts w:hint="eastAsia" w:ascii="宋体" w:hAnsi="宋体"/>
          <w:bCs/>
          <w:color w:val="auto"/>
          <w:szCs w:val="21"/>
          <w:highlight w:val="none"/>
        </w:rPr>
        <w:t>24.1</w:t>
      </w:r>
      <w:r>
        <w:rPr>
          <w:rFonts w:hint="eastAsia" w:ascii="宋体" w:hAnsi="宋体"/>
          <w:color w:val="auto"/>
          <w:kern w:val="0"/>
          <w:szCs w:val="21"/>
          <w:highlight w:val="none"/>
        </w:rPr>
        <w:t>开标形式：</w:t>
      </w:r>
    </w:p>
    <w:p w14:paraId="3DC5947A">
      <w:pPr>
        <w:shd w:val="clear"/>
        <w:autoSpaceDE w:val="0"/>
        <w:autoSpaceDN w:val="0"/>
        <w:adjustRightInd w:val="0"/>
        <w:spacing w:line="440" w:lineRule="exact"/>
        <w:ind w:firstLine="420" w:firstLineChars="200"/>
        <w:rPr>
          <w:rFonts w:ascii="宋体" w:hAnsi="宋体"/>
          <w:bCs/>
          <w:color w:val="auto"/>
          <w:szCs w:val="21"/>
          <w:highlight w:val="none"/>
        </w:rPr>
      </w:pPr>
      <w:r>
        <w:rPr>
          <w:rFonts w:hint="eastAsia" w:ascii="宋体" w:hAnsi="宋体"/>
          <w:color w:val="auto"/>
          <w:szCs w:val="21"/>
          <w:highlight w:val="none"/>
        </w:rPr>
        <w:t>（1）</w:t>
      </w:r>
      <w:r>
        <w:rPr>
          <w:rFonts w:hint="eastAsia" w:ascii="宋体" w:hAnsi="宋体"/>
          <w:bCs/>
          <w:color w:val="auto"/>
          <w:szCs w:val="21"/>
          <w:highlight w:val="none"/>
        </w:rPr>
        <w:t>开标的准备工作由采购代理机构负责落实，采购代理机构必须基于广西政府采购云平台选取评审专家，如采购代理机构未按规定选取专家的，视为本次开评标无效，应当重新采购；</w:t>
      </w:r>
    </w:p>
    <w:p w14:paraId="7560FE10">
      <w:pPr>
        <w:shd w:val="clear"/>
        <w:autoSpaceDE w:val="0"/>
        <w:autoSpaceDN w:val="0"/>
        <w:adjustRightInd w:val="0"/>
        <w:spacing w:line="440" w:lineRule="exact"/>
        <w:ind w:firstLine="420" w:firstLineChars="200"/>
        <w:rPr>
          <w:rFonts w:ascii="宋体" w:hAnsi="宋体"/>
          <w:bCs/>
          <w:color w:val="auto"/>
          <w:szCs w:val="21"/>
          <w:highlight w:val="none"/>
        </w:rPr>
      </w:pPr>
      <w:r>
        <w:rPr>
          <w:rFonts w:hint="eastAsia" w:ascii="宋体" w:hAnsi="宋体"/>
          <w:bCs/>
          <w:color w:val="auto"/>
          <w:szCs w:val="21"/>
          <w:highlight w:val="none"/>
        </w:rPr>
        <w:t>（2）采购代理机构将按照招标文件规定的时间通过广西政府采购云平台组织线上开标活动、开启投标文件，所有供应商均应当准时在线参加。投标人</w:t>
      </w:r>
      <w:r>
        <w:rPr>
          <w:rFonts w:ascii="宋体" w:hAnsi="宋体"/>
          <w:bCs/>
          <w:color w:val="auto"/>
          <w:szCs w:val="21"/>
          <w:highlight w:val="none"/>
        </w:rPr>
        <w:t>如不</w:t>
      </w:r>
      <w:r>
        <w:rPr>
          <w:rFonts w:hint="eastAsia" w:ascii="宋体" w:hAnsi="宋体"/>
          <w:bCs/>
          <w:color w:val="auto"/>
          <w:szCs w:val="21"/>
          <w:highlight w:val="none"/>
        </w:rPr>
        <w:t>参加</w:t>
      </w:r>
      <w:r>
        <w:rPr>
          <w:rFonts w:ascii="宋体" w:hAnsi="宋体"/>
          <w:bCs/>
          <w:color w:val="auto"/>
          <w:szCs w:val="21"/>
          <w:highlight w:val="none"/>
        </w:rPr>
        <w:t>开标大会的，</w:t>
      </w:r>
      <w:r>
        <w:rPr>
          <w:rFonts w:hint="eastAsia" w:ascii="宋体" w:hAnsi="宋体"/>
          <w:bCs/>
          <w:color w:val="auto"/>
          <w:szCs w:val="21"/>
          <w:highlight w:val="none"/>
        </w:rPr>
        <w:t>视同认可开标结果，</w:t>
      </w:r>
      <w:r>
        <w:rPr>
          <w:rFonts w:ascii="宋体" w:hAnsi="宋体"/>
          <w:bCs/>
          <w:color w:val="auto"/>
          <w:szCs w:val="21"/>
          <w:highlight w:val="none"/>
        </w:rPr>
        <w:t>事后不得对采购相关人员、开标过程和开标结果提出异议</w:t>
      </w:r>
      <w:r>
        <w:rPr>
          <w:rFonts w:hint="eastAsia" w:ascii="宋体" w:hAnsi="宋体"/>
          <w:bCs/>
          <w:color w:val="auto"/>
          <w:szCs w:val="21"/>
          <w:highlight w:val="none"/>
        </w:rPr>
        <w:t>，同时投标人因未在线参加开标而导致投标文件无法按时解密等一切后果由投标人自己承担。</w:t>
      </w:r>
    </w:p>
    <w:p w14:paraId="6C442B4E">
      <w:pPr>
        <w:shd w:val="clear"/>
        <w:autoSpaceDE w:val="0"/>
        <w:autoSpaceDN w:val="0"/>
        <w:adjustRightInd w:val="0"/>
        <w:spacing w:line="440" w:lineRule="exact"/>
        <w:ind w:firstLine="420" w:firstLineChars="200"/>
        <w:rPr>
          <w:rFonts w:ascii="宋体" w:hAnsi="宋体"/>
          <w:bCs/>
          <w:color w:val="auto"/>
          <w:szCs w:val="21"/>
          <w:highlight w:val="none"/>
        </w:rPr>
      </w:pPr>
      <w:r>
        <w:rPr>
          <w:rFonts w:hint="eastAsia" w:ascii="宋体" w:hAnsi="宋体"/>
          <w:bCs/>
          <w:color w:val="auto"/>
          <w:szCs w:val="21"/>
          <w:highlight w:val="none"/>
        </w:rPr>
        <w:t>24.2</w:t>
      </w:r>
      <w:r>
        <w:rPr>
          <w:rFonts w:ascii="宋体" w:hAnsi="宋体"/>
          <w:bCs/>
          <w:color w:val="auto"/>
          <w:szCs w:val="21"/>
          <w:highlight w:val="none"/>
        </w:rPr>
        <w:t>开</w:t>
      </w:r>
      <w:r>
        <w:rPr>
          <w:rFonts w:hint="eastAsia" w:ascii="宋体" w:hAnsi="宋体"/>
          <w:bCs/>
          <w:color w:val="auto"/>
          <w:szCs w:val="21"/>
          <w:highlight w:val="none"/>
        </w:rPr>
        <w:t>标</w:t>
      </w:r>
      <w:r>
        <w:rPr>
          <w:rFonts w:ascii="宋体" w:hAnsi="宋体"/>
          <w:bCs/>
          <w:color w:val="auto"/>
          <w:szCs w:val="21"/>
          <w:highlight w:val="none"/>
        </w:rPr>
        <w:t>程序：</w:t>
      </w:r>
    </w:p>
    <w:p w14:paraId="43202ABB">
      <w:pPr>
        <w:shd w:val="clear"/>
        <w:snapToGrid w:val="0"/>
        <w:spacing w:line="440" w:lineRule="exact"/>
        <w:ind w:firstLine="422" w:firstLineChars="200"/>
        <w:rPr>
          <w:rFonts w:hint="eastAsia" w:ascii="宋体" w:hAnsi="宋体"/>
          <w:color w:val="auto"/>
          <w:szCs w:val="21"/>
          <w:highlight w:val="none"/>
        </w:rPr>
      </w:pPr>
      <w:r>
        <w:rPr>
          <w:rFonts w:hint="eastAsia" w:ascii="宋体" w:hAnsi="宋体"/>
          <w:b/>
          <w:color w:val="auto"/>
          <w:szCs w:val="21"/>
          <w:highlight w:val="none"/>
        </w:rPr>
        <w:t>（1）解密电子投标文件。</w:t>
      </w:r>
      <w:r>
        <w:rPr>
          <w:rFonts w:hint="eastAsia" w:ascii="宋体" w:hAnsi="宋体" w:cs="仿宋_GB2312"/>
          <w:b/>
          <w:color w:val="auto"/>
          <w:szCs w:val="21"/>
          <w:highlight w:val="none"/>
        </w:rPr>
        <w:t>广西政府采购云平台</w:t>
      </w:r>
      <w:r>
        <w:rPr>
          <w:rFonts w:hint="eastAsia" w:ascii="宋体" w:hAnsi="宋体" w:cs="仿宋_GB2312"/>
          <w:color w:val="auto"/>
          <w:szCs w:val="21"/>
          <w:highlight w:val="none"/>
        </w:rPr>
        <w:t>按开标时间自动提取所有投标文件。采购代理机构依托广西政府采购云平台</w:t>
      </w:r>
      <w:r>
        <w:rPr>
          <w:rFonts w:hint="eastAsia" w:ascii="宋体" w:hAnsi="宋体"/>
          <w:color w:val="auto"/>
          <w:szCs w:val="21"/>
          <w:highlight w:val="none"/>
        </w:rPr>
        <w:t>向各投标人发出电子加密投标文件【开始解密】通知，由投标人按招标文件规定的时间内自行进行投标文件解密。投标人的法定代表人或其委托代理人</w:t>
      </w:r>
      <w:r>
        <w:rPr>
          <w:rFonts w:hint="eastAsia" w:ascii="宋体" w:hAnsi="宋体"/>
          <w:b/>
          <w:color w:val="auto"/>
          <w:szCs w:val="21"/>
          <w:highlight w:val="none"/>
        </w:rPr>
        <w:t>须携带加密时所用的CA锁准时登录到广西政府采购云平台电子开标大厅签到并在</w:t>
      </w:r>
      <w:r>
        <w:rPr>
          <w:rFonts w:hint="eastAsia" w:ascii="宋体" w:hAnsi="宋体"/>
          <w:b/>
          <w:color w:val="auto"/>
          <w:kern w:val="0"/>
          <w:szCs w:val="21"/>
          <w:highlight w:val="none"/>
        </w:rPr>
        <w:t>发起解密指令之时起30分钟内完成对</w:t>
      </w:r>
      <w:r>
        <w:rPr>
          <w:rFonts w:hint="eastAsia" w:ascii="宋体" w:hAnsi="宋体"/>
          <w:b/>
          <w:color w:val="auto"/>
          <w:szCs w:val="21"/>
          <w:highlight w:val="none"/>
        </w:rPr>
        <w:t>电子投标文件解密</w:t>
      </w:r>
      <w:r>
        <w:rPr>
          <w:rFonts w:hint="eastAsia" w:ascii="宋体" w:hAnsi="宋体"/>
          <w:color w:val="auto"/>
          <w:szCs w:val="21"/>
          <w:highlight w:val="none"/>
        </w:rPr>
        <w:t>。开标后5分钟投标人还未进行解密的，代理机构要通知投标人。通知后，</w:t>
      </w:r>
      <w:r>
        <w:rPr>
          <w:rFonts w:hint="eastAsia" w:ascii="宋体" w:hAnsi="宋体" w:cs="仿宋_GB2312"/>
          <w:color w:val="auto"/>
          <w:szCs w:val="21"/>
          <w:highlight w:val="none"/>
        </w:rPr>
        <w:t>投标文件仍未按时解密，</w:t>
      </w:r>
      <w:r>
        <w:rPr>
          <w:rFonts w:hint="eastAsia" w:ascii="宋体" w:hAnsi="宋体"/>
          <w:color w:val="auto"/>
          <w:szCs w:val="21"/>
          <w:highlight w:val="none"/>
        </w:rPr>
        <w:t>或者投标人没预留联系方式或预留联系方式无效，导致代理机构无法联系到投标人进行解密的，</w:t>
      </w:r>
      <w:r>
        <w:rPr>
          <w:rFonts w:hint="eastAsia" w:ascii="宋体" w:hAnsi="宋体"/>
          <w:b/>
          <w:color w:val="auto"/>
          <w:szCs w:val="21"/>
          <w:highlight w:val="none"/>
        </w:rPr>
        <w:t>均视为无效投标。</w:t>
      </w:r>
    </w:p>
    <w:p w14:paraId="25D8B9E7">
      <w:pPr>
        <w:shd w:val="clear"/>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（解密</w:t>
      </w:r>
      <w:r>
        <w:rPr>
          <w:rFonts w:hint="eastAsia" w:ascii="宋体" w:hAnsi="宋体"/>
          <w:bCs/>
          <w:color w:val="auto"/>
          <w:szCs w:val="21"/>
          <w:highlight w:val="none"/>
        </w:rPr>
        <w:t>异常情况处理：详见本章</w:t>
      </w:r>
      <w:r>
        <w:rPr>
          <w:rFonts w:hint="eastAsia" w:ascii="宋体" w:hAnsi="宋体"/>
          <w:color w:val="auto"/>
          <w:szCs w:val="20"/>
          <w:highlight w:val="none"/>
        </w:rPr>
        <w:t>29.3 电子交易活动的中止。</w:t>
      </w:r>
      <w:r>
        <w:rPr>
          <w:rFonts w:hint="eastAsia" w:ascii="宋体" w:hAnsi="宋体"/>
          <w:color w:val="auto"/>
          <w:szCs w:val="21"/>
          <w:highlight w:val="none"/>
        </w:rPr>
        <w:t>）</w:t>
      </w:r>
    </w:p>
    <w:p w14:paraId="18481DCA">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b/>
          <w:color w:val="auto"/>
          <w:szCs w:val="21"/>
          <w:highlight w:val="none"/>
        </w:rPr>
        <w:t>电子唱标。</w:t>
      </w:r>
      <w:r>
        <w:rPr>
          <w:rFonts w:hint="eastAsia" w:ascii="宋体" w:hAnsi="宋体"/>
          <w:color w:val="auto"/>
          <w:szCs w:val="21"/>
          <w:highlight w:val="none"/>
        </w:rPr>
        <w:t>投标文件解密结束，各投标供应商报价均在广西政府采购云平台远程不见面开标大厅展示；</w:t>
      </w:r>
    </w:p>
    <w:p w14:paraId="480CAF17">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w:t>
      </w:r>
      <w:r>
        <w:rPr>
          <w:rFonts w:hint="eastAsia" w:ascii="宋体" w:hAnsi="宋体"/>
          <w:b/>
          <w:color w:val="auto"/>
          <w:szCs w:val="21"/>
          <w:highlight w:val="none"/>
        </w:rPr>
        <w:t>签署电子《政府采购活动现场确认声明书》。</w:t>
      </w:r>
      <w:r>
        <w:rPr>
          <w:rFonts w:hint="eastAsia" w:ascii="宋体" w:hAnsi="宋体"/>
          <w:color w:val="auto"/>
          <w:szCs w:val="21"/>
          <w:highlight w:val="none"/>
        </w:rPr>
        <w:t>通过邮件形式在远程不见面开标大厅发送各投标人签署电子《政府采购活动现场确认声明书》。</w:t>
      </w:r>
    </w:p>
    <w:p w14:paraId="46699A64">
      <w:pPr>
        <w:shd w:val="clea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（4）开标过程由采购代理机构如实记录，并电子留痕，由参加电子开标的各投标人代表对电子开标记录在开标记录公布后15分钟内进行当场校核及勘误，并线上确认，未确认的视同认可开标结果。</w:t>
      </w:r>
    </w:p>
    <w:p w14:paraId="48BE3EF6">
      <w:pPr>
        <w:shd w:val="clea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5）投标人代表对开标过程和开标记录有疑义，以及认为采购人、采购代理机构相关工作人员有需要回避的情形的，应当场提出在线询问或者回避申请。采购人、采购代理机构对投标人代表提出的询问或者回避申请应当及时处理。</w:t>
      </w:r>
    </w:p>
    <w:p w14:paraId="4F14E305">
      <w:pPr>
        <w:shd w:val="clea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（6）开标结束。</w:t>
      </w:r>
    </w:p>
    <w:p w14:paraId="696A4F8A">
      <w:pPr>
        <w:shd w:val="clear"/>
        <w:snapToGrid w:val="0"/>
        <w:spacing w:line="440" w:lineRule="exact"/>
        <w:ind w:firstLine="422" w:firstLineChars="200"/>
        <w:rPr>
          <w:rFonts w:ascii="宋体" w:hAnsi="宋体"/>
          <w:color w:val="auto"/>
          <w:szCs w:val="21"/>
          <w:highlight w:val="none"/>
        </w:rPr>
      </w:pPr>
      <w:r>
        <w:rPr>
          <w:rFonts w:hint="eastAsia" w:ascii="宋体" w:hAnsi="宋体"/>
          <w:b/>
          <w:bCs/>
          <w:color w:val="auto"/>
          <w:szCs w:val="21"/>
          <w:highlight w:val="none"/>
        </w:rPr>
        <w:t>特别说明：</w:t>
      </w:r>
      <w:r>
        <w:rPr>
          <w:rFonts w:hint="eastAsia" w:ascii="宋体" w:hAnsi="宋体"/>
          <w:color w:val="auto"/>
          <w:szCs w:val="21"/>
          <w:highlight w:val="none"/>
        </w:rPr>
        <w:t>如遇广西政府采购云平台电子化开标或评审程序调整的，按调整后执行。</w:t>
      </w:r>
    </w:p>
    <w:p w14:paraId="6AC8270B">
      <w:pPr>
        <w:shd w:val="clear"/>
        <w:snapToGrid w:val="0"/>
        <w:spacing w:line="400" w:lineRule="exact"/>
        <w:ind w:left="689" w:leftChars="228" w:hanging="210" w:hangingChars="100"/>
        <w:rPr>
          <w:rFonts w:hint="eastAsia" w:ascii="宋体" w:hAnsi="宋体"/>
          <w:color w:val="auto"/>
          <w:szCs w:val="20"/>
          <w:highlight w:val="none"/>
        </w:rPr>
      </w:pPr>
    </w:p>
    <w:p w14:paraId="62F72466">
      <w:pPr>
        <w:shd w:val="clear"/>
        <w:spacing w:line="400" w:lineRule="exact"/>
        <w:ind w:firstLine="643" w:firstLineChars="200"/>
        <w:jc w:val="center"/>
        <w:outlineLvl w:val="2"/>
        <w:rPr>
          <w:rFonts w:hint="eastAsia"/>
          <w:b/>
          <w:bCs/>
          <w:color w:val="auto"/>
          <w:sz w:val="32"/>
          <w:szCs w:val="32"/>
          <w:highlight w:val="none"/>
        </w:rPr>
      </w:pPr>
      <w:bookmarkStart w:id="11" w:name="_Toc171344352"/>
      <w:r>
        <w:rPr>
          <w:rFonts w:hint="eastAsia"/>
          <w:b/>
          <w:bCs/>
          <w:color w:val="auto"/>
          <w:sz w:val="32"/>
          <w:szCs w:val="32"/>
          <w:highlight w:val="none"/>
        </w:rPr>
        <w:t>五、资格审查</w:t>
      </w:r>
      <w:bookmarkEnd w:id="11"/>
    </w:p>
    <w:p w14:paraId="7ECE93BC">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25.资格审查</w:t>
      </w:r>
    </w:p>
    <w:p w14:paraId="040127A5">
      <w:pPr>
        <w:shd w:val="clear"/>
        <w:spacing w:line="360" w:lineRule="auto"/>
        <w:ind w:firstLine="422" w:firstLineChars="200"/>
        <w:rPr>
          <w:rFonts w:hint="eastAsia" w:ascii="宋体" w:hAnsi="宋体"/>
          <w:b/>
          <w:bCs/>
          <w:color w:val="auto"/>
          <w:szCs w:val="20"/>
          <w:highlight w:val="none"/>
        </w:rPr>
      </w:pPr>
      <w:r>
        <w:rPr>
          <w:rFonts w:hint="eastAsia" w:ascii="宋体" w:hAnsi="宋体"/>
          <w:b/>
          <w:bCs/>
          <w:color w:val="auto"/>
          <w:szCs w:val="20"/>
          <w:highlight w:val="none"/>
        </w:rPr>
        <w:t xml:space="preserve"> 25.1</w:t>
      </w:r>
      <w:r>
        <w:rPr>
          <w:rFonts w:ascii="宋体" w:hAnsi="宋体"/>
          <w:b/>
          <w:bCs/>
          <w:color w:val="auto"/>
          <w:szCs w:val="20"/>
          <w:highlight w:val="none"/>
        </w:rPr>
        <w:t>开标结束后，</w:t>
      </w:r>
      <w:r>
        <w:rPr>
          <w:rFonts w:hint="eastAsia" w:ascii="宋体" w:hAnsi="宋体"/>
          <w:b/>
          <w:bCs/>
          <w:color w:val="auto"/>
          <w:szCs w:val="20"/>
          <w:highlight w:val="none"/>
        </w:rPr>
        <w:t>采购人或采购机构</w:t>
      </w:r>
      <w:r>
        <w:rPr>
          <w:rFonts w:ascii="宋体" w:hAnsi="宋体"/>
          <w:b/>
          <w:bCs/>
          <w:color w:val="auto"/>
          <w:szCs w:val="20"/>
          <w:highlight w:val="none"/>
        </w:rPr>
        <w:t>依法</w:t>
      </w:r>
      <w:r>
        <w:rPr>
          <w:rFonts w:hint="eastAsia" w:ascii="宋体" w:hAnsi="宋体"/>
          <w:b/>
          <w:bCs/>
          <w:color w:val="auto"/>
          <w:szCs w:val="20"/>
          <w:highlight w:val="none"/>
        </w:rPr>
        <w:t>通过电子投标文件</w:t>
      </w:r>
      <w:r>
        <w:rPr>
          <w:rFonts w:ascii="宋体" w:hAnsi="宋体"/>
          <w:b/>
          <w:bCs/>
          <w:color w:val="auto"/>
          <w:szCs w:val="20"/>
          <w:highlight w:val="none"/>
        </w:rPr>
        <w:t>对投标人的资格进行</w:t>
      </w:r>
      <w:r>
        <w:rPr>
          <w:rFonts w:hint="eastAsia" w:ascii="宋体" w:hAnsi="宋体"/>
          <w:b/>
          <w:bCs/>
          <w:color w:val="auto"/>
          <w:szCs w:val="20"/>
          <w:highlight w:val="none"/>
        </w:rPr>
        <w:t>线上</w:t>
      </w:r>
      <w:r>
        <w:rPr>
          <w:rFonts w:ascii="宋体" w:hAnsi="宋体"/>
          <w:b/>
          <w:bCs/>
          <w:color w:val="auto"/>
          <w:szCs w:val="20"/>
          <w:highlight w:val="none"/>
        </w:rPr>
        <w:t>审查。</w:t>
      </w:r>
    </w:p>
    <w:p w14:paraId="077E7D8C">
      <w:pPr>
        <w:shd w:val="clear"/>
        <w:spacing w:line="360" w:lineRule="auto"/>
        <w:ind w:firstLine="422" w:firstLineChars="200"/>
        <w:rPr>
          <w:rFonts w:hint="eastAsia" w:ascii="宋体" w:hAnsi="宋体"/>
          <w:b/>
          <w:bCs/>
          <w:color w:val="auto"/>
          <w:szCs w:val="20"/>
          <w:highlight w:val="none"/>
        </w:rPr>
      </w:pPr>
      <w:r>
        <w:rPr>
          <w:rFonts w:hint="eastAsia" w:ascii="宋体" w:hAnsi="宋体"/>
          <w:b/>
          <w:bCs/>
          <w:color w:val="auto"/>
          <w:szCs w:val="20"/>
          <w:highlight w:val="none"/>
        </w:rPr>
        <w:t xml:space="preserve"> 25.2采购人或采购机构依据法律法规和招标文件的规定，对投标人的基本资格条件、特定资格条件进行审查。</w:t>
      </w:r>
    </w:p>
    <w:p w14:paraId="09828899">
      <w:pPr>
        <w:shd w:val="clear"/>
        <w:spacing w:line="360" w:lineRule="auto"/>
        <w:ind w:firstLine="420" w:firstLineChars="200"/>
        <w:rPr>
          <w:rFonts w:hint="eastAsia" w:ascii="宋体" w:hAnsi="宋体"/>
          <w:color w:val="auto"/>
          <w:highlight w:val="none"/>
        </w:rPr>
      </w:pPr>
      <w:r>
        <w:rPr>
          <w:rFonts w:hint="eastAsia" w:ascii="宋体" w:hAnsi="宋体"/>
          <w:color w:val="auto"/>
          <w:highlight w:val="none"/>
        </w:rPr>
        <w:t>25.3资格审查标准为本“招标文件”中“投标人须知前附表”13.1点载明对投标人资格要求的条件。本项目资格审查采用合格制，凡符合招标文件规定的投标人资格要求的投标人均通过资格审查。</w:t>
      </w:r>
    </w:p>
    <w:p w14:paraId="3747D993">
      <w:pPr>
        <w:shd w:val="clear"/>
        <w:spacing w:line="360" w:lineRule="auto"/>
        <w:ind w:firstLine="422" w:firstLineChars="200"/>
        <w:rPr>
          <w:rFonts w:hint="eastAsia" w:ascii="宋体" w:hAnsi="宋体"/>
          <w:b/>
          <w:bCs/>
          <w:color w:val="auto"/>
          <w:szCs w:val="20"/>
          <w:highlight w:val="none"/>
        </w:rPr>
      </w:pPr>
      <w:r>
        <w:rPr>
          <w:rFonts w:hint="eastAsia" w:ascii="宋体" w:hAnsi="宋体"/>
          <w:b/>
          <w:bCs/>
          <w:color w:val="auto"/>
          <w:szCs w:val="20"/>
          <w:highlight w:val="none"/>
        </w:rPr>
        <w:t>25.4投标人有下列情形之一的，资格审查不通过，作无效投标处理：</w:t>
      </w:r>
    </w:p>
    <w:p w14:paraId="5396B2B7">
      <w:pPr>
        <w:shd w:val="clear"/>
        <w:spacing w:line="360" w:lineRule="auto"/>
        <w:ind w:firstLine="420" w:firstLineChars="200"/>
        <w:rPr>
          <w:rFonts w:hint="eastAsia" w:hAnsi="宋体"/>
          <w:color w:val="auto"/>
          <w:highlight w:val="none"/>
        </w:rPr>
      </w:pPr>
      <w:r>
        <w:rPr>
          <w:rFonts w:hint="eastAsia" w:hAnsi="宋体"/>
          <w:color w:val="auto"/>
          <w:highlight w:val="none"/>
        </w:rPr>
        <w:t>（1）不具备招标文件中规定的资格要求的；（注：其中信用查询规则见“投标人须知前附表”，广西政府采购云平台已与“信用中国”平台做接口，审查专家可直接在线查询）</w:t>
      </w:r>
    </w:p>
    <w:p w14:paraId="3AE481D9">
      <w:pPr>
        <w:shd w:val="clear"/>
        <w:spacing w:line="360" w:lineRule="auto"/>
        <w:ind w:firstLine="420" w:firstLineChars="200"/>
        <w:rPr>
          <w:rFonts w:hint="eastAsia" w:hAnsi="宋体"/>
          <w:color w:val="auto"/>
          <w:highlight w:val="none"/>
        </w:rPr>
      </w:pPr>
      <w:r>
        <w:rPr>
          <w:rFonts w:hint="eastAsia" w:hAnsi="宋体"/>
          <w:color w:val="auto"/>
          <w:highlight w:val="none"/>
        </w:rPr>
        <w:t>（2）投标文件未提供任一项“投标人须知前附表”资格证明文件规定的“必须提供”的文件资料的；</w:t>
      </w:r>
    </w:p>
    <w:p w14:paraId="397D35A0">
      <w:pPr>
        <w:shd w:val="clear"/>
        <w:spacing w:line="360" w:lineRule="auto"/>
        <w:ind w:firstLine="420" w:firstLineChars="200"/>
        <w:rPr>
          <w:rFonts w:hint="eastAsia" w:hAnsi="宋体"/>
          <w:color w:val="auto"/>
          <w:highlight w:val="none"/>
        </w:rPr>
      </w:pPr>
      <w:r>
        <w:rPr>
          <w:rFonts w:hint="eastAsia" w:hAnsi="宋体"/>
          <w:color w:val="auto"/>
          <w:highlight w:val="none"/>
        </w:rPr>
        <w:t>（3）投标文件提供的资格证明文件出现任一项不符合“投标人须知前附表”资格证明文件规定的“必须提供”的文件资料要求或者无效的。</w:t>
      </w:r>
    </w:p>
    <w:p w14:paraId="714F3745">
      <w:pPr>
        <w:shd w:val="clear"/>
        <w:spacing w:line="360" w:lineRule="auto"/>
        <w:ind w:firstLine="420" w:firstLineChars="200"/>
        <w:rPr>
          <w:rFonts w:hint="eastAsia" w:ascii="宋体" w:hAnsi="宋体"/>
          <w:bCs/>
          <w:color w:val="auto"/>
          <w:highlight w:val="none"/>
        </w:rPr>
      </w:pPr>
      <w:r>
        <w:rPr>
          <w:rFonts w:hint="eastAsia" w:ascii="宋体" w:hAnsi="宋体"/>
          <w:bCs/>
          <w:color w:val="auto"/>
          <w:highlight w:val="none"/>
        </w:rPr>
        <w:t>25.5资格审查的</w:t>
      </w:r>
      <w:r>
        <w:rPr>
          <w:rFonts w:ascii="宋体" w:hAnsi="宋体"/>
          <w:bCs/>
          <w:color w:val="auto"/>
          <w:highlight w:val="none"/>
        </w:rPr>
        <w:t>合格投标人不足3家的，不得评标。</w:t>
      </w:r>
    </w:p>
    <w:p w14:paraId="33B55101">
      <w:pPr>
        <w:shd w:val="clear"/>
        <w:spacing w:line="360" w:lineRule="auto"/>
        <w:ind w:firstLine="643" w:firstLineChars="200"/>
        <w:jc w:val="center"/>
        <w:outlineLvl w:val="2"/>
        <w:rPr>
          <w:rFonts w:hint="eastAsia"/>
          <w:b/>
          <w:bCs/>
          <w:color w:val="auto"/>
          <w:sz w:val="32"/>
          <w:szCs w:val="32"/>
          <w:highlight w:val="none"/>
        </w:rPr>
      </w:pPr>
      <w:bookmarkStart w:id="12" w:name="_Toc171344353"/>
      <w:r>
        <w:rPr>
          <w:rFonts w:hint="eastAsia"/>
          <w:b/>
          <w:bCs/>
          <w:color w:val="auto"/>
          <w:sz w:val="32"/>
          <w:szCs w:val="32"/>
          <w:highlight w:val="none"/>
        </w:rPr>
        <w:t>六、评   标</w:t>
      </w:r>
      <w:bookmarkEnd w:id="12"/>
    </w:p>
    <w:p w14:paraId="76B8439F">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26.组建评标委员会</w:t>
      </w:r>
    </w:p>
    <w:p w14:paraId="52207606">
      <w:pPr>
        <w:shd w:val="clear"/>
        <w:spacing w:line="360" w:lineRule="auto"/>
        <w:ind w:firstLine="420" w:firstLineChars="200"/>
        <w:rPr>
          <w:rFonts w:hint="eastAsia" w:hAnsi="宋体"/>
          <w:color w:val="auto"/>
          <w:highlight w:val="none"/>
        </w:rPr>
      </w:pPr>
      <w:r>
        <w:rPr>
          <w:rFonts w:hint="eastAsia" w:hAnsi="宋体"/>
          <w:color w:val="auto"/>
          <w:highlight w:val="none"/>
        </w:rPr>
        <w:t>评标委员会由采购人代表和评审专家组成，人数为5人以上单数，其中评审专家不得少于成员总数的三分之二。</w:t>
      </w:r>
    </w:p>
    <w:p w14:paraId="6A3D272B">
      <w:pPr>
        <w:shd w:val="clear"/>
        <w:spacing w:line="360" w:lineRule="auto"/>
        <w:ind w:firstLine="420" w:firstLineChars="200"/>
        <w:rPr>
          <w:rFonts w:hint="eastAsia" w:hAnsi="宋体"/>
          <w:color w:val="auto"/>
          <w:highlight w:val="none"/>
        </w:rPr>
      </w:pPr>
      <w:r>
        <w:rPr>
          <w:rFonts w:hint="eastAsia" w:hAnsi="宋体"/>
          <w:color w:val="auto"/>
          <w:highlight w:val="none"/>
        </w:rPr>
        <w:t>参加过采购项目前期咨询论证的专家，不得参加该采购项目的评审活动。</w:t>
      </w:r>
    </w:p>
    <w:p w14:paraId="5410A5F8">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27.评标的依据</w:t>
      </w:r>
    </w:p>
    <w:p w14:paraId="16FD078A">
      <w:pPr>
        <w:shd w:val="clear"/>
        <w:spacing w:line="360" w:lineRule="auto"/>
        <w:ind w:firstLine="420" w:firstLineChars="200"/>
        <w:rPr>
          <w:rFonts w:hint="eastAsia" w:hAnsi="宋体"/>
          <w:color w:val="auto"/>
          <w:highlight w:val="none"/>
        </w:rPr>
      </w:pPr>
      <w:r>
        <w:rPr>
          <w:rFonts w:hint="eastAsia" w:hAnsi="宋体"/>
          <w:color w:val="auto"/>
          <w:highlight w:val="none"/>
        </w:rPr>
        <w:t>评标委员会以招标文件为依据对投标文件进行评审，</w:t>
      </w:r>
      <w:r>
        <w:rPr>
          <w:rFonts w:hint="eastAsia" w:hAnsi="宋体" w:cs="宋体"/>
          <w:color w:val="auto"/>
          <w:highlight w:val="none"/>
        </w:rPr>
        <w:t>“第四章 评标方法和评标标准”</w:t>
      </w:r>
      <w:r>
        <w:rPr>
          <w:rFonts w:hAnsi="宋体"/>
          <w:color w:val="auto"/>
          <w:highlight w:val="none"/>
        </w:rPr>
        <w:t>没有规定的方法、评审因素和标准，不作为评标依据。</w:t>
      </w:r>
    </w:p>
    <w:p w14:paraId="6D6E000B">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28.评标原则</w:t>
      </w:r>
    </w:p>
    <w:p w14:paraId="37BD6413">
      <w:pPr>
        <w:shd w:val="clear"/>
        <w:spacing w:line="360" w:lineRule="auto"/>
        <w:ind w:firstLine="420" w:firstLineChars="200"/>
        <w:rPr>
          <w:rFonts w:hint="eastAsia" w:hAnsi="宋体"/>
          <w:color w:val="auto"/>
          <w:highlight w:val="none"/>
        </w:rPr>
      </w:pPr>
      <w:r>
        <w:rPr>
          <w:rFonts w:hint="eastAsia" w:hAnsi="宋体"/>
          <w:color w:val="auto"/>
          <w:highlight w:val="none"/>
        </w:rPr>
        <w:t>28.1评标原则。评标委员</w:t>
      </w:r>
      <w:r>
        <w:rPr>
          <w:rFonts w:hint="eastAsia" w:hAnsi="宋体"/>
          <w:color w:val="auto"/>
          <w:highlight w:val="none"/>
          <w:lang w:eastAsia="zh-CN"/>
        </w:rPr>
        <w:t>会在</w:t>
      </w:r>
      <w:r>
        <w:rPr>
          <w:rFonts w:hint="eastAsia" w:hAnsi="宋体"/>
          <w:color w:val="auto"/>
          <w:highlight w:val="none"/>
        </w:rPr>
        <w:t>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5806FBB3">
      <w:pPr>
        <w:shd w:val="clear"/>
        <w:spacing w:line="360" w:lineRule="auto"/>
        <w:ind w:firstLine="420" w:firstLineChars="200"/>
        <w:rPr>
          <w:rFonts w:hint="eastAsia" w:hAnsi="宋体"/>
          <w:color w:val="auto"/>
          <w:highlight w:val="none"/>
        </w:rPr>
      </w:pPr>
      <w:r>
        <w:rPr>
          <w:rFonts w:hint="eastAsia" w:hAnsi="宋体"/>
          <w:color w:val="auto"/>
          <w:highlight w:val="none"/>
        </w:rPr>
        <w:t>28.2评委表决。在评标过程中出现法律法规和招标文件均没有明确规定的情形时，由评标委员会现场协商解决，协商不一致的，由全体评委投票表决，以得票率二分之一以上专家的意见为准并由采购代理机构作记录。</w:t>
      </w:r>
    </w:p>
    <w:p w14:paraId="67EA23CB">
      <w:pPr>
        <w:shd w:val="clear"/>
        <w:spacing w:line="360" w:lineRule="auto"/>
        <w:ind w:firstLine="420" w:firstLineChars="200"/>
        <w:rPr>
          <w:rFonts w:hAnsi="宋体"/>
          <w:color w:val="auto"/>
          <w:highlight w:val="none"/>
        </w:rPr>
      </w:pPr>
      <w:r>
        <w:rPr>
          <w:rFonts w:hint="eastAsia" w:hAnsi="宋体"/>
          <w:color w:val="auto"/>
          <w:highlight w:val="none"/>
        </w:rPr>
        <w:t>28.</w:t>
      </w:r>
      <w:r>
        <w:rPr>
          <w:rFonts w:hAnsi="宋体"/>
          <w:color w:val="auto"/>
          <w:highlight w:val="none"/>
        </w:rPr>
        <w:t>3</w:t>
      </w:r>
      <w:r>
        <w:rPr>
          <w:rFonts w:hint="eastAsia" w:hAnsi="宋体"/>
          <w:color w:val="auto"/>
          <w:highlight w:val="none"/>
        </w:rPr>
        <w:t>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1632E98B">
      <w:pPr>
        <w:shd w:val="clear"/>
        <w:spacing w:line="360" w:lineRule="auto"/>
        <w:ind w:firstLine="420" w:firstLineChars="200"/>
        <w:rPr>
          <w:rFonts w:hint="eastAsia" w:hAnsi="宋体"/>
          <w:color w:val="auto"/>
          <w:highlight w:val="none"/>
        </w:rPr>
      </w:pPr>
      <w:r>
        <w:rPr>
          <w:rFonts w:hint="eastAsia" w:hAnsi="宋体"/>
          <w:color w:val="auto"/>
          <w:highlight w:val="none"/>
        </w:rPr>
        <w:t>2</w:t>
      </w:r>
      <w:r>
        <w:rPr>
          <w:rFonts w:hAnsi="宋体"/>
          <w:color w:val="auto"/>
          <w:highlight w:val="none"/>
        </w:rPr>
        <w:t>8.4</w:t>
      </w:r>
      <w:r>
        <w:rPr>
          <w:rFonts w:hint="eastAsia" w:hAnsi="宋体"/>
          <w:color w:val="auto"/>
          <w:highlight w:val="none"/>
        </w:rPr>
        <w:t>评标过程的监控。本项目电子评标过程实行网上留痕、全程录音、录像监控，投标人在评标过程中所进行的试图影响评标结果的不公正活动，可能导致其投标按无效处理。</w:t>
      </w:r>
    </w:p>
    <w:p w14:paraId="0000528A">
      <w:pPr>
        <w:widowControl/>
        <w:shd w:val="clear"/>
        <w:spacing w:line="560" w:lineRule="exact"/>
        <w:ind w:firstLine="420" w:firstLineChars="200"/>
        <w:jc w:val="left"/>
        <w:textAlignment w:val="baseline"/>
        <w:rPr>
          <w:rFonts w:hint="eastAsia" w:hAnsi="宋体"/>
          <w:color w:val="auto"/>
          <w:highlight w:val="none"/>
        </w:rPr>
      </w:pPr>
      <w:r>
        <w:rPr>
          <w:rFonts w:hint="eastAsia" w:hAnsi="宋体"/>
          <w:color w:val="auto"/>
          <w:highlight w:val="none"/>
        </w:rPr>
        <w:t>28.5</w:t>
      </w:r>
      <w:r>
        <w:rPr>
          <w:rFonts w:hAnsi="宋体"/>
          <w:color w:val="auto"/>
          <w:highlight w:val="none"/>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2ABA7F07">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29.评标方法及评标标准</w:t>
      </w:r>
    </w:p>
    <w:p w14:paraId="3CC99C8A">
      <w:pPr>
        <w:shd w:val="clear"/>
        <w:spacing w:line="360" w:lineRule="auto"/>
        <w:ind w:firstLine="420" w:firstLineChars="200"/>
        <w:rPr>
          <w:rFonts w:hAnsi="宋体"/>
          <w:color w:val="auto"/>
          <w:highlight w:val="none"/>
        </w:rPr>
      </w:pPr>
      <w:r>
        <w:rPr>
          <w:rFonts w:hint="eastAsia" w:hAnsi="宋体"/>
          <w:color w:val="auto"/>
          <w:highlight w:val="none"/>
        </w:rPr>
        <w:t>2</w:t>
      </w:r>
      <w:r>
        <w:rPr>
          <w:rFonts w:hAnsi="宋体"/>
          <w:color w:val="auto"/>
          <w:highlight w:val="none"/>
        </w:rPr>
        <w:t>9.1</w:t>
      </w:r>
      <w:r>
        <w:rPr>
          <w:rFonts w:hint="eastAsia" w:hAnsi="宋体"/>
          <w:color w:val="auto"/>
          <w:highlight w:val="none"/>
        </w:rPr>
        <w:t>本项目的评标方法详见“投标人须知前附表”。</w:t>
      </w:r>
    </w:p>
    <w:p w14:paraId="5DD50851">
      <w:pPr>
        <w:shd w:val="clear"/>
        <w:spacing w:line="360" w:lineRule="auto"/>
        <w:ind w:firstLine="420" w:firstLineChars="200"/>
        <w:rPr>
          <w:rFonts w:hint="eastAsia" w:hAnsi="宋体"/>
          <w:color w:val="auto"/>
          <w:highlight w:val="none"/>
        </w:rPr>
      </w:pPr>
      <w:r>
        <w:rPr>
          <w:rFonts w:hint="eastAsia" w:hAnsi="宋体"/>
          <w:color w:val="auto"/>
          <w:highlight w:val="none"/>
        </w:rPr>
        <w:t>2</w:t>
      </w:r>
      <w:r>
        <w:rPr>
          <w:rFonts w:hAnsi="宋体"/>
          <w:color w:val="auto"/>
          <w:highlight w:val="none"/>
        </w:rPr>
        <w:t>9.2</w:t>
      </w:r>
      <w:r>
        <w:rPr>
          <w:rFonts w:hAnsi="宋体" w:cs="宋体"/>
          <w:color w:val="auto"/>
          <w:highlight w:val="none"/>
        </w:rPr>
        <w:t xml:space="preserve"> </w:t>
      </w:r>
      <w:r>
        <w:rPr>
          <w:rFonts w:hAnsi="宋体"/>
          <w:color w:val="auto"/>
          <w:highlight w:val="none"/>
        </w:rPr>
        <w:t>评标委员会按照</w:t>
      </w:r>
      <w:r>
        <w:rPr>
          <w:rFonts w:hint="eastAsia" w:hAnsi="宋体" w:cs="宋体"/>
          <w:b/>
          <w:color w:val="auto"/>
          <w:highlight w:val="none"/>
        </w:rPr>
        <w:t>“第四章 评标方法和评标标准”</w:t>
      </w:r>
      <w:r>
        <w:rPr>
          <w:rFonts w:hAnsi="宋体"/>
          <w:color w:val="auto"/>
          <w:highlight w:val="none"/>
        </w:rPr>
        <w:t>规定的方法、评审因素、标准和程序对投标文件进行评审。</w:t>
      </w:r>
    </w:p>
    <w:p w14:paraId="033D1DAE">
      <w:pPr>
        <w:shd w:val="clear"/>
        <w:spacing w:line="360" w:lineRule="auto"/>
        <w:ind w:firstLine="420" w:firstLineChars="200"/>
        <w:rPr>
          <w:rFonts w:hint="eastAsia" w:hAnsi="宋体"/>
          <w:color w:val="auto"/>
          <w:highlight w:val="none"/>
        </w:rPr>
      </w:pPr>
      <w:r>
        <w:rPr>
          <w:rFonts w:hint="eastAsia" w:hAnsi="宋体"/>
          <w:color w:val="auto"/>
          <w:highlight w:val="none"/>
        </w:rPr>
        <w:t>29.3 电子交易活动的中止。采购过程中出现以下情形，导致电子交易平台无法正常运行，或者无法保证电子交易的公平、公正和安全时，采购机构可中止电子交易活动：</w:t>
      </w:r>
    </w:p>
    <w:p w14:paraId="2DBE7A3F">
      <w:pPr>
        <w:shd w:val="clear"/>
        <w:spacing w:line="360" w:lineRule="auto"/>
        <w:ind w:firstLine="420" w:firstLineChars="200"/>
        <w:rPr>
          <w:rFonts w:hint="eastAsia" w:hAnsi="宋体"/>
          <w:color w:val="auto"/>
          <w:highlight w:val="none"/>
        </w:rPr>
      </w:pPr>
      <w:r>
        <w:rPr>
          <w:rFonts w:hint="eastAsia" w:hAnsi="宋体"/>
          <w:color w:val="auto"/>
          <w:highlight w:val="none"/>
        </w:rPr>
        <w:t xml:space="preserve">（1）电子交易平台发生故障而无法登录访问的； </w:t>
      </w:r>
    </w:p>
    <w:p w14:paraId="3C893388">
      <w:pPr>
        <w:shd w:val="clear"/>
        <w:spacing w:line="360" w:lineRule="auto"/>
        <w:ind w:firstLine="420" w:firstLineChars="200"/>
        <w:rPr>
          <w:rFonts w:hint="eastAsia" w:hAnsi="宋体"/>
          <w:color w:val="auto"/>
          <w:highlight w:val="none"/>
        </w:rPr>
      </w:pPr>
      <w:r>
        <w:rPr>
          <w:rFonts w:hint="eastAsia" w:hAnsi="宋体"/>
          <w:color w:val="auto"/>
          <w:highlight w:val="none"/>
        </w:rPr>
        <w:t>（2）电子交易平台应用或数据库出现错误，不能进行正常操作的；</w:t>
      </w:r>
    </w:p>
    <w:p w14:paraId="1856CD24">
      <w:pPr>
        <w:shd w:val="clear"/>
        <w:spacing w:line="360" w:lineRule="auto"/>
        <w:ind w:firstLine="420" w:firstLineChars="200"/>
        <w:rPr>
          <w:rFonts w:hint="eastAsia" w:hAnsi="宋体"/>
          <w:color w:val="auto"/>
          <w:highlight w:val="none"/>
        </w:rPr>
      </w:pPr>
      <w:r>
        <w:rPr>
          <w:rFonts w:hint="eastAsia" w:hAnsi="宋体"/>
          <w:color w:val="auto"/>
          <w:highlight w:val="none"/>
        </w:rPr>
        <w:t>（3）电子交易平台发现严重安全漏洞，有潜在泄密危险的；</w:t>
      </w:r>
    </w:p>
    <w:p w14:paraId="07F9F007">
      <w:pPr>
        <w:shd w:val="clear"/>
        <w:spacing w:line="360" w:lineRule="auto"/>
        <w:ind w:firstLine="420" w:firstLineChars="200"/>
        <w:rPr>
          <w:rFonts w:hint="eastAsia" w:hAnsi="宋体"/>
          <w:color w:val="auto"/>
          <w:highlight w:val="none"/>
        </w:rPr>
      </w:pPr>
      <w:r>
        <w:rPr>
          <w:rFonts w:hint="eastAsia" w:hAnsi="宋体"/>
          <w:color w:val="auto"/>
          <w:highlight w:val="none"/>
        </w:rPr>
        <w:t xml:space="preserve">（4）病毒发作导致不能进行正常操作的； </w:t>
      </w:r>
    </w:p>
    <w:p w14:paraId="2DD8B644">
      <w:pPr>
        <w:shd w:val="clear"/>
        <w:spacing w:line="360" w:lineRule="auto"/>
        <w:ind w:firstLine="420" w:firstLineChars="200"/>
        <w:rPr>
          <w:rFonts w:hint="eastAsia" w:hAnsi="宋体"/>
          <w:color w:val="auto"/>
          <w:highlight w:val="none"/>
        </w:rPr>
      </w:pPr>
      <w:r>
        <w:rPr>
          <w:rFonts w:hint="eastAsia" w:hAnsi="宋体"/>
          <w:color w:val="auto"/>
          <w:highlight w:val="none"/>
        </w:rPr>
        <w:t>（</w:t>
      </w:r>
      <w:r>
        <w:rPr>
          <w:rFonts w:hint="eastAsia" w:hAnsi="宋体"/>
          <w:color w:val="auto"/>
          <w:highlight w:val="none"/>
          <w:lang w:val="en-US" w:eastAsia="zh-CN"/>
        </w:rPr>
        <w:t>5</w:t>
      </w:r>
      <w:r>
        <w:rPr>
          <w:rFonts w:hint="eastAsia" w:hAnsi="宋体"/>
          <w:color w:val="auto"/>
          <w:highlight w:val="none"/>
        </w:rPr>
        <w:t>）其他无法保证电子交易的公平、公正和安全的情况。</w:t>
      </w:r>
    </w:p>
    <w:p w14:paraId="40E41B19">
      <w:pPr>
        <w:shd w:val="clear"/>
        <w:spacing w:line="360" w:lineRule="auto"/>
        <w:ind w:firstLine="420" w:firstLineChars="200"/>
        <w:rPr>
          <w:rFonts w:hint="eastAsia" w:hAnsi="宋体"/>
          <w:color w:val="auto"/>
          <w:highlight w:val="none"/>
        </w:rPr>
      </w:pPr>
      <w:r>
        <w:rPr>
          <w:rFonts w:hint="eastAsia" w:hAnsi="宋体"/>
          <w:color w:val="auto"/>
          <w:highlight w:val="none"/>
        </w:rPr>
        <w:t>29.4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16518D75">
      <w:pPr>
        <w:shd w:val="clear"/>
        <w:snapToGrid w:val="0"/>
        <w:spacing w:line="400" w:lineRule="exact"/>
        <w:ind w:firstLine="420" w:firstLineChars="200"/>
        <w:rPr>
          <w:rFonts w:hint="eastAsia" w:ascii="宋体" w:hAnsi="宋体"/>
          <w:color w:val="auto"/>
          <w:szCs w:val="20"/>
          <w:highlight w:val="none"/>
        </w:rPr>
      </w:pPr>
    </w:p>
    <w:p w14:paraId="37E33DF7">
      <w:pPr>
        <w:shd w:val="clear"/>
        <w:spacing w:line="400" w:lineRule="exact"/>
        <w:ind w:firstLine="643" w:firstLineChars="200"/>
        <w:jc w:val="center"/>
        <w:outlineLvl w:val="2"/>
        <w:rPr>
          <w:rFonts w:hint="eastAsia"/>
          <w:b/>
          <w:bCs/>
          <w:color w:val="auto"/>
          <w:sz w:val="32"/>
          <w:szCs w:val="32"/>
          <w:highlight w:val="none"/>
        </w:rPr>
      </w:pPr>
      <w:bookmarkStart w:id="13" w:name="_Toc171344354"/>
      <w:r>
        <w:rPr>
          <w:rFonts w:hint="eastAsia"/>
          <w:b/>
          <w:bCs/>
          <w:color w:val="auto"/>
          <w:sz w:val="32"/>
          <w:szCs w:val="32"/>
          <w:highlight w:val="none"/>
        </w:rPr>
        <w:t>七、中标和合同</w:t>
      </w:r>
      <w:bookmarkEnd w:id="13"/>
    </w:p>
    <w:p w14:paraId="161A6B5F">
      <w:pPr>
        <w:shd w:val="clear"/>
        <w:spacing w:line="360" w:lineRule="auto"/>
        <w:ind w:firstLine="480" w:firstLineChars="200"/>
        <w:rPr>
          <w:rFonts w:ascii="黑体" w:hAnsi="黑体" w:eastAsia="黑体"/>
          <w:color w:val="auto"/>
          <w:sz w:val="24"/>
          <w:highlight w:val="none"/>
        </w:rPr>
      </w:pPr>
      <w:r>
        <w:rPr>
          <w:rFonts w:hint="eastAsia" w:ascii="黑体" w:hAnsi="黑体" w:eastAsia="黑体"/>
          <w:color w:val="auto"/>
          <w:sz w:val="24"/>
          <w:highlight w:val="none"/>
        </w:rPr>
        <w:t>30.确定中标人</w:t>
      </w:r>
    </w:p>
    <w:p w14:paraId="5F137D38">
      <w:pPr>
        <w:shd w:val="clear"/>
        <w:spacing w:line="360" w:lineRule="auto"/>
        <w:ind w:firstLine="422" w:firstLineChars="200"/>
        <w:rPr>
          <w:rFonts w:ascii="宋体" w:hAnsi="宋体" w:cs="Courier New"/>
          <w:b/>
          <w:bCs/>
          <w:color w:val="auto"/>
          <w:szCs w:val="21"/>
          <w:highlight w:val="none"/>
        </w:rPr>
      </w:pPr>
      <w:r>
        <w:rPr>
          <w:rFonts w:ascii="宋体" w:hAnsi="宋体" w:cs="Courier New"/>
          <w:b/>
          <w:bCs/>
          <w:color w:val="auto"/>
          <w:szCs w:val="21"/>
          <w:highlight w:val="none"/>
        </w:rPr>
        <w:t>30.1</w:t>
      </w:r>
      <w:r>
        <w:rPr>
          <w:rFonts w:hint="eastAsia" w:ascii="宋体" w:hAnsi="宋体" w:cs="Courier New"/>
          <w:b/>
          <w:bCs/>
          <w:color w:val="auto"/>
          <w:szCs w:val="21"/>
          <w:highlight w:val="none"/>
        </w:rPr>
        <w:t>本项目授权评标委员会直接按第四章“评标方法及标准”的规定排列中标候选人顺序，并依照次序确定中标人。</w:t>
      </w:r>
    </w:p>
    <w:p w14:paraId="6FEDB869">
      <w:pPr>
        <w:shd w:val="clear"/>
        <w:spacing w:line="360" w:lineRule="auto"/>
        <w:ind w:firstLine="420" w:firstLineChars="200"/>
        <w:rPr>
          <w:rFonts w:hint="eastAsia" w:ascii="宋体" w:hAnsi="宋体" w:cs="Courier New"/>
          <w:color w:val="auto"/>
          <w:sz w:val="21"/>
          <w:szCs w:val="21"/>
          <w:highlight w:val="none"/>
        </w:rPr>
      </w:pPr>
      <w:r>
        <w:rPr>
          <w:rFonts w:ascii="宋体" w:hAnsi="宋体" w:cs="Courier New"/>
          <w:color w:val="auto"/>
          <w:sz w:val="21"/>
          <w:szCs w:val="21"/>
          <w:highlight w:val="none"/>
        </w:rPr>
        <w:t>30.2</w:t>
      </w:r>
      <w:r>
        <w:rPr>
          <w:rFonts w:hint="eastAsia" w:ascii="宋体" w:hAnsi="宋体" w:cs="Courier New"/>
          <w:color w:val="auto"/>
          <w:sz w:val="21"/>
          <w:szCs w:val="21"/>
          <w:highlight w:val="none"/>
        </w:rPr>
        <w:t>采购人、采购代理机构认为供应商对采购过程、中标结果提出的质疑成立且影响或者可能影响中标结果的，合格供应商符合法定数量时，可以从合格的中标候选人中另行确定中标人的，应当依法另行确定中标人；否则应当重新开展采购活动。</w:t>
      </w:r>
    </w:p>
    <w:p w14:paraId="33760EFA">
      <w:pPr>
        <w:shd w:val="clear"/>
        <w:spacing w:line="360" w:lineRule="auto"/>
        <w:ind w:firstLine="420" w:firstLineChars="200"/>
        <w:rPr>
          <w:rFonts w:hint="eastAsia" w:ascii="宋体" w:hAnsi="宋体" w:cs="Courier New"/>
          <w:color w:val="auto"/>
          <w:sz w:val="21"/>
          <w:szCs w:val="21"/>
          <w:highlight w:val="none"/>
        </w:rPr>
      </w:pPr>
      <w:r>
        <w:rPr>
          <w:rFonts w:ascii="宋体" w:hAnsi="宋体" w:cs="Courier New"/>
          <w:color w:val="auto"/>
          <w:sz w:val="21"/>
          <w:szCs w:val="21"/>
          <w:highlight w:val="none"/>
        </w:rPr>
        <w:t>30.3</w:t>
      </w:r>
      <w:r>
        <w:rPr>
          <w:rFonts w:hint="eastAsia" w:ascii="宋体" w:hAnsi="宋体" w:cs="Courier New"/>
          <w:color w:val="auto"/>
          <w:sz w:val="21"/>
          <w:szCs w:val="21"/>
          <w:highlight w:val="none"/>
        </w:rPr>
        <w:t>中标供应商无正当理由拒签合同的，根据《中华人民共和国政府采购法》第七十七条第一款规定处理。</w:t>
      </w:r>
    </w:p>
    <w:p w14:paraId="5255F920">
      <w:pPr>
        <w:shd w:val="clear"/>
        <w:spacing w:line="360" w:lineRule="auto"/>
        <w:ind w:firstLine="420" w:firstLineChars="200"/>
        <w:rPr>
          <w:rFonts w:hint="eastAsia" w:ascii="宋体" w:hAnsi="宋体" w:cs="Courier New"/>
          <w:color w:val="auto"/>
          <w:sz w:val="21"/>
          <w:szCs w:val="21"/>
          <w:highlight w:val="none"/>
        </w:rPr>
      </w:pPr>
      <w:r>
        <w:rPr>
          <w:rFonts w:hint="eastAsia" w:ascii="宋体" w:hAnsi="宋体" w:cs="Courier New"/>
          <w:color w:val="auto"/>
          <w:sz w:val="21"/>
          <w:szCs w:val="21"/>
          <w:highlight w:val="none"/>
        </w:rPr>
        <w:t>30.</w:t>
      </w:r>
      <w:r>
        <w:rPr>
          <w:rFonts w:ascii="宋体" w:hAnsi="宋体" w:cs="Courier New"/>
          <w:color w:val="auto"/>
          <w:sz w:val="21"/>
          <w:szCs w:val="21"/>
          <w:highlight w:val="none"/>
        </w:rPr>
        <w:t>4</w:t>
      </w:r>
      <w:r>
        <w:rPr>
          <w:rFonts w:hint="eastAsia" w:ascii="宋体" w:hAnsi="宋体" w:cs="Courier New"/>
          <w:color w:val="auto"/>
          <w:sz w:val="21"/>
          <w:szCs w:val="21"/>
          <w:highlight w:val="none"/>
        </w:rPr>
        <w:t>根据《中华人民共和国民法典》</w:t>
      </w:r>
      <w:r>
        <w:rPr>
          <w:color w:val="auto"/>
          <w:sz w:val="21"/>
          <w:szCs w:val="21"/>
          <w:highlight w:val="none"/>
        </w:rPr>
        <w:t>第五百六十三条</w:t>
      </w:r>
      <w:r>
        <w:rPr>
          <w:rFonts w:hint="eastAsia" w:ascii="宋体" w:hAnsi="宋体" w:cs="Courier New"/>
          <w:color w:val="auto"/>
          <w:sz w:val="21"/>
          <w:szCs w:val="21"/>
          <w:highlight w:val="none"/>
        </w:rPr>
        <w:t>，因不可抗力致使不能实现合同目的的，当事人可以解除合同。</w:t>
      </w:r>
    </w:p>
    <w:p w14:paraId="58A4736A">
      <w:pPr>
        <w:shd w:val="clear"/>
        <w:spacing w:line="360" w:lineRule="auto"/>
        <w:ind w:firstLine="480" w:firstLineChars="200"/>
        <w:rPr>
          <w:rFonts w:ascii="黑体" w:hAnsi="黑体" w:eastAsia="黑体"/>
          <w:color w:val="auto"/>
          <w:sz w:val="24"/>
          <w:highlight w:val="none"/>
        </w:rPr>
      </w:pPr>
      <w:r>
        <w:rPr>
          <w:rFonts w:hint="eastAsia" w:ascii="黑体" w:hAnsi="黑体" w:eastAsia="黑体"/>
          <w:color w:val="auto"/>
          <w:sz w:val="24"/>
          <w:highlight w:val="none"/>
        </w:rPr>
        <w:t>31. 结果公告</w:t>
      </w:r>
    </w:p>
    <w:p w14:paraId="78499665">
      <w:pPr>
        <w:shd w:val="clear"/>
        <w:spacing w:line="360" w:lineRule="auto"/>
        <w:ind w:firstLine="420" w:firstLineChars="200"/>
        <w:rPr>
          <w:rFonts w:hint="eastAsia" w:hAnsi="宋体" w:cs="宋体"/>
          <w:color w:val="auto"/>
          <w:sz w:val="21"/>
          <w:szCs w:val="21"/>
          <w:highlight w:val="none"/>
        </w:rPr>
      </w:pPr>
      <w:r>
        <w:rPr>
          <w:rFonts w:hint="eastAsia" w:hAnsi="宋体"/>
          <w:color w:val="auto"/>
          <w:sz w:val="21"/>
          <w:szCs w:val="21"/>
          <w:highlight w:val="none"/>
        </w:rPr>
        <w:t>3</w:t>
      </w:r>
      <w:r>
        <w:rPr>
          <w:rFonts w:hAnsi="宋体"/>
          <w:color w:val="auto"/>
          <w:sz w:val="21"/>
          <w:szCs w:val="21"/>
          <w:highlight w:val="none"/>
        </w:rPr>
        <w:t>1.1</w:t>
      </w:r>
      <w:r>
        <w:rPr>
          <w:rFonts w:hint="eastAsia" w:hAnsi="宋体" w:cs="宋体"/>
          <w:color w:val="auto"/>
          <w:sz w:val="21"/>
          <w:szCs w:val="21"/>
          <w:highlight w:val="none"/>
        </w:rPr>
        <w:t>在中标供应商</w:t>
      </w:r>
      <w:r>
        <w:rPr>
          <w:rFonts w:hint="eastAsia" w:hAnsi="宋体" w:cs="Arial"/>
          <w:color w:val="auto"/>
          <w:sz w:val="21"/>
          <w:szCs w:val="21"/>
          <w:highlight w:val="none"/>
        </w:rPr>
        <w:t>确定之日起</w:t>
      </w:r>
      <w:r>
        <w:rPr>
          <w:rFonts w:hint="eastAsia" w:hAnsi="宋体" w:cs="宋体"/>
          <w:color w:val="auto"/>
          <w:sz w:val="21"/>
          <w:szCs w:val="21"/>
          <w:highlight w:val="none"/>
        </w:rPr>
        <w:t>2个工作日内，由采购代理机构</w:t>
      </w:r>
      <w:r>
        <w:rPr>
          <w:rFonts w:hint="eastAsia" w:hAnsi="宋体"/>
          <w:b/>
          <w:color w:val="auto"/>
          <w:sz w:val="21"/>
          <w:szCs w:val="21"/>
          <w:highlight w:val="none"/>
        </w:rPr>
        <w:t>在招标公告发布媒体上</w:t>
      </w:r>
      <w:r>
        <w:rPr>
          <w:rFonts w:hint="eastAsia" w:hAnsi="宋体" w:cs="宋体"/>
          <w:color w:val="auto"/>
          <w:sz w:val="21"/>
          <w:szCs w:val="21"/>
          <w:highlight w:val="none"/>
        </w:rPr>
        <w:t>发布中标结果公告，中标结果公告期限为1个工作日</w:t>
      </w:r>
      <w:r>
        <w:rPr>
          <w:rFonts w:hint="eastAsia" w:hAnsi="宋体" w:cs="宋体"/>
          <w:color w:val="auto"/>
          <w:sz w:val="21"/>
          <w:szCs w:val="21"/>
          <w:highlight w:val="none"/>
          <w:lang w:eastAsia="zh-CN"/>
        </w:rPr>
        <w:t>，在</w:t>
      </w:r>
      <w:r>
        <w:rPr>
          <w:rFonts w:hint="eastAsia" w:hAnsi="宋体" w:cs="宋体"/>
          <w:color w:val="auto"/>
          <w:sz w:val="21"/>
          <w:szCs w:val="21"/>
          <w:highlight w:val="none"/>
        </w:rPr>
        <w:t>发布中标结果公告的同时向中标供应商发出中标通知书。</w:t>
      </w:r>
      <w:r>
        <w:rPr>
          <w:rFonts w:hint="eastAsia" w:hAnsi="宋体"/>
          <w:b/>
          <w:color w:val="auto"/>
          <w:sz w:val="21"/>
          <w:szCs w:val="21"/>
          <w:highlight w:val="none"/>
        </w:rPr>
        <w:t>采购代理机构发出中标通知书前，应当对中标人信用进行核实，对列入失信被执行人、重大税收违法失信主体、政府采购严重违法失信行为记录名单及其他不符合《中华人民共和国政府采购法》第二十二条规定条件的投标人，取消其中标资格，并确定排名第二的中标候选人为中标人。</w:t>
      </w:r>
      <w:r>
        <w:rPr>
          <w:rFonts w:hint="eastAsia" w:hAnsi="宋体"/>
          <w:color w:val="auto"/>
          <w:sz w:val="21"/>
          <w:szCs w:val="21"/>
          <w:highlight w:val="none"/>
        </w:rPr>
        <w:t>排名第二的中标候选人因前款规定的同样原因被取消中标资格的，</w:t>
      </w:r>
      <w:r>
        <w:rPr>
          <w:rFonts w:hint="eastAsia" w:hAnsi="宋体" w:cs="Courier New"/>
          <w:color w:val="auto"/>
          <w:sz w:val="21"/>
          <w:szCs w:val="21"/>
          <w:highlight w:val="none"/>
        </w:rPr>
        <w:t>授权的评标委员会</w:t>
      </w:r>
      <w:r>
        <w:rPr>
          <w:rFonts w:hint="eastAsia" w:hAnsi="宋体"/>
          <w:color w:val="auto"/>
          <w:sz w:val="21"/>
          <w:szCs w:val="21"/>
          <w:highlight w:val="none"/>
        </w:rPr>
        <w:t>可以确定排名第三的中标候选人为中标人，以此类推。</w:t>
      </w:r>
    </w:p>
    <w:p w14:paraId="40DC8ECA">
      <w:pPr>
        <w:shd w:val="clear"/>
        <w:spacing w:line="360" w:lineRule="auto"/>
        <w:ind w:firstLine="420" w:firstLineChars="200"/>
        <w:rPr>
          <w:rFonts w:hint="eastAsia" w:ascii="宋体" w:hAnsi="宋体"/>
          <w:color w:val="auto"/>
          <w:sz w:val="21"/>
          <w:szCs w:val="21"/>
          <w:highlight w:val="none"/>
        </w:rPr>
      </w:pPr>
      <w:r>
        <w:rPr>
          <w:rFonts w:hint="eastAsia" w:ascii="宋体" w:hAnsi="宋体"/>
          <w:color w:val="auto"/>
          <w:sz w:val="21"/>
          <w:szCs w:val="21"/>
          <w:highlight w:val="none"/>
        </w:rPr>
        <w:t>以上信息查询记录及相关证据与采购文件一并保存。</w:t>
      </w:r>
    </w:p>
    <w:p w14:paraId="731C7700">
      <w:pPr>
        <w:shd w:val="clear"/>
        <w:spacing w:line="360" w:lineRule="auto"/>
        <w:ind w:firstLine="420" w:firstLineChars="200"/>
        <w:rPr>
          <w:rFonts w:hint="eastAsia" w:ascii="宋体" w:hAnsi="宋体" w:cs="Courier New"/>
          <w:color w:val="auto"/>
          <w:sz w:val="21"/>
          <w:szCs w:val="21"/>
          <w:highlight w:val="none"/>
        </w:rPr>
      </w:pPr>
      <w:r>
        <w:rPr>
          <w:rFonts w:hint="eastAsia" w:ascii="宋体" w:hAnsi="宋体" w:cs="Courier New"/>
          <w:color w:val="auto"/>
          <w:sz w:val="21"/>
          <w:szCs w:val="21"/>
          <w:highlight w:val="none"/>
        </w:rPr>
        <w:t>31.2中小企业在政府采购活动过程中，请根据企业的真实情况出具《中小企业声明函》。依法享受中小企业优惠政策的，采购人或者采购代理机构在公告中标结果时，同时公告其《中小企业声明函》，接受社会监督。</w:t>
      </w:r>
    </w:p>
    <w:p w14:paraId="19070EF8">
      <w:pPr>
        <w:shd w:val="clear"/>
        <w:spacing w:line="360" w:lineRule="auto"/>
        <w:ind w:firstLine="480" w:firstLineChars="200"/>
        <w:rPr>
          <w:rFonts w:ascii="黑体" w:hAnsi="黑体" w:eastAsia="黑体"/>
          <w:color w:val="auto"/>
          <w:sz w:val="24"/>
          <w:highlight w:val="none"/>
        </w:rPr>
      </w:pPr>
      <w:r>
        <w:rPr>
          <w:rFonts w:hint="eastAsia" w:ascii="黑体" w:hAnsi="黑体" w:eastAsia="黑体"/>
          <w:color w:val="auto"/>
          <w:sz w:val="24"/>
          <w:highlight w:val="none"/>
        </w:rPr>
        <w:t>32.发出中标通知书</w:t>
      </w:r>
    </w:p>
    <w:p w14:paraId="517F9D41">
      <w:pPr>
        <w:shd w:val="clea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32.1在发布中标公告的同时，采购代理机构向中标人通过广西政府采购云平台发出电子中标通知书。</w:t>
      </w:r>
    </w:p>
    <w:p w14:paraId="508F13A5">
      <w:pPr>
        <w:shd w:val="clea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32.2对未通过资格审查的投标人，采购人或采购机构应当告知其未通过的原因；采用综合评分办法评审的，采购人或采购机构还应当告知未中标人本人的评审得分与排序。</w:t>
      </w:r>
    </w:p>
    <w:p w14:paraId="13E41EDA">
      <w:pPr>
        <w:shd w:val="clear"/>
        <w:spacing w:line="360" w:lineRule="auto"/>
        <w:ind w:firstLine="480" w:firstLineChars="200"/>
        <w:rPr>
          <w:rFonts w:ascii="黑体" w:hAnsi="黑体" w:eastAsia="黑体"/>
          <w:color w:val="auto"/>
          <w:sz w:val="24"/>
          <w:highlight w:val="none"/>
        </w:rPr>
      </w:pPr>
      <w:r>
        <w:rPr>
          <w:rFonts w:hint="eastAsia" w:ascii="黑体" w:hAnsi="黑体" w:eastAsia="黑体"/>
          <w:color w:val="auto"/>
          <w:sz w:val="24"/>
          <w:highlight w:val="none"/>
        </w:rPr>
        <w:t>33. 无义务解释未中标原因</w:t>
      </w:r>
    </w:p>
    <w:p w14:paraId="5D66BD01">
      <w:pPr>
        <w:shd w:val="clea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采购代理机构无义务向未中标的投标人解释未中标原因和退还投标文件。</w:t>
      </w:r>
    </w:p>
    <w:p w14:paraId="1644CA6E">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34.合同授予标准</w:t>
      </w:r>
    </w:p>
    <w:p w14:paraId="5ED13E76">
      <w:pPr>
        <w:shd w:val="clear"/>
        <w:spacing w:line="360" w:lineRule="auto"/>
        <w:ind w:firstLine="420" w:firstLineChars="200"/>
        <w:rPr>
          <w:rFonts w:hint="eastAsia" w:ascii="宋体" w:hAnsi="宋体"/>
          <w:color w:val="auto"/>
          <w:szCs w:val="21"/>
          <w:highlight w:val="none"/>
        </w:rPr>
      </w:pPr>
      <w:r>
        <w:rPr>
          <w:rFonts w:hint="eastAsia" w:ascii="宋体" w:hAnsi="宋体" w:cs="Courier New"/>
          <w:color w:val="auto"/>
          <w:szCs w:val="21"/>
          <w:highlight w:val="none"/>
        </w:rPr>
        <w:t>合同将授予被确定实质上响应招标文件要求，具备履行合同能力的中标人（招标文件另有约定多名中标人的除外）。</w:t>
      </w:r>
    </w:p>
    <w:p w14:paraId="76F4BCA1">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35.履约保证金</w:t>
      </w:r>
    </w:p>
    <w:p w14:paraId="2F893B60">
      <w:pPr>
        <w:shd w:val="clear"/>
        <w:adjustRightInd w:val="0"/>
        <w:snapToGrid w:val="0"/>
        <w:spacing w:line="360" w:lineRule="auto"/>
        <w:ind w:firstLine="420" w:firstLineChars="200"/>
        <w:rPr>
          <w:rFonts w:hint="eastAsia" w:ascii="宋体" w:hAnsi="宋体"/>
          <w:color w:val="auto"/>
          <w:kern w:val="0"/>
          <w:szCs w:val="21"/>
          <w:highlight w:val="none"/>
          <w:lang w:val="zh-CN"/>
        </w:rPr>
      </w:pPr>
      <w:r>
        <w:rPr>
          <w:rFonts w:hint="eastAsia" w:ascii="宋体" w:hAnsi="宋体"/>
          <w:color w:val="auto"/>
          <w:kern w:val="0"/>
          <w:szCs w:val="21"/>
          <w:highlight w:val="none"/>
          <w:lang w:val="zh-CN"/>
        </w:rPr>
        <w:t>见“投标人须知前附表”。</w:t>
      </w:r>
    </w:p>
    <w:p w14:paraId="509209CC">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36.签订合同</w:t>
      </w:r>
    </w:p>
    <w:p w14:paraId="10A7157A">
      <w:pPr>
        <w:shd w:val="clear"/>
        <w:adjustRightInd w:val="0"/>
        <w:snapToGrid w:val="0"/>
        <w:spacing w:line="360" w:lineRule="auto"/>
        <w:ind w:firstLine="422" w:firstLineChars="200"/>
        <w:rPr>
          <w:rFonts w:hint="eastAsia" w:ascii="宋体" w:hAnsi="宋体"/>
          <w:color w:val="auto"/>
          <w:kern w:val="0"/>
          <w:szCs w:val="21"/>
          <w:highlight w:val="none"/>
          <w:lang w:val="zh-CN"/>
        </w:rPr>
      </w:pPr>
      <w:r>
        <w:rPr>
          <w:rFonts w:hint="eastAsia" w:ascii="宋体" w:hAnsi="宋体"/>
          <w:b/>
          <w:color w:val="auto"/>
          <w:szCs w:val="21"/>
          <w:highlight w:val="none"/>
        </w:rPr>
        <w:t xml:space="preserve"> 36.1中标人领取电子中标通知书后，</w:t>
      </w:r>
      <w:r>
        <w:rPr>
          <w:rFonts w:hint="eastAsia" w:ascii="宋体" w:hAnsi="宋体"/>
          <w:color w:val="auto"/>
          <w:kern w:val="0"/>
          <w:szCs w:val="21"/>
          <w:highlight w:val="none"/>
          <w:lang w:val="zh-CN"/>
        </w:rPr>
        <w:t>按规定的日期、时间、地点，由法定代表人或其授权代表与采购人代表签订电子采购合同。如中标人为联合体的，由联合体成员各方法定代表人或其授权代表与采购人代表签订合同，签订携带资料详见“投标人须知前附表”。</w:t>
      </w:r>
    </w:p>
    <w:p w14:paraId="66079383">
      <w:pPr>
        <w:shd w:val="clear"/>
        <w:adjustRightInd w:val="0"/>
        <w:snapToGrid w:val="0"/>
        <w:spacing w:line="360" w:lineRule="auto"/>
        <w:ind w:firstLine="420" w:firstLineChars="200"/>
        <w:rPr>
          <w:rFonts w:hint="eastAsia" w:ascii="宋体" w:hAnsi="宋体"/>
          <w:color w:val="auto"/>
          <w:kern w:val="0"/>
          <w:szCs w:val="21"/>
          <w:highlight w:val="none"/>
          <w:lang w:val="zh-CN"/>
        </w:rPr>
      </w:pPr>
      <w:r>
        <w:rPr>
          <w:rFonts w:hint="eastAsia" w:ascii="宋体" w:hAnsi="宋体"/>
          <w:color w:val="auto"/>
          <w:kern w:val="0"/>
          <w:szCs w:val="21"/>
          <w:highlight w:val="none"/>
          <w:lang w:val="zh-CN"/>
        </w:rPr>
        <w:t>36.2</w:t>
      </w:r>
      <w:r>
        <w:rPr>
          <w:rFonts w:ascii="宋体" w:hAnsi="宋体" w:cs="仿宋_GB2312"/>
          <w:color w:val="auto"/>
          <w:szCs w:val="21"/>
          <w:highlight w:val="none"/>
        </w:rPr>
        <w:t>采购合同由采购人与中标供应商根据</w:t>
      </w:r>
      <w:r>
        <w:rPr>
          <w:rFonts w:hint="eastAsia" w:ascii="宋体" w:hAnsi="宋体" w:cs="仿宋_GB2312"/>
          <w:color w:val="auto"/>
          <w:szCs w:val="21"/>
          <w:highlight w:val="none"/>
        </w:rPr>
        <w:t>招标文件、投标文件等内容通过政府采购电子交易平台在线签订，自动备案。</w:t>
      </w:r>
    </w:p>
    <w:p w14:paraId="35E67091">
      <w:pPr>
        <w:shd w:val="clear"/>
        <w:adjustRightInd w:val="0"/>
        <w:snapToGrid w:val="0"/>
        <w:spacing w:line="360" w:lineRule="auto"/>
        <w:ind w:firstLine="420" w:firstLineChars="200"/>
        <w:rPr>
          <w:rFonts w:hint="eastAsia" w:ascii="宋体" w:hAnsi="宋体" w:cs="仿宋_GB2312"/>
          <w:color w:val="auto"/>
          <w:szCs w:val="21"/>
          <w:highlight w:val="none"/>
        </w:rPr>
      </w:pPr>
      <w:r>
        <w:rPr>
          <w:rFonts w:hint="eastAsia" w:ascii="宋体" w:hAnsi="宋体"/>
          <w:color w:val="auto"/>
          <w:szCs w:val="21"/>
          <w:highlight w:val="none"/>
        </w:rPr>
        <w:t>36.3签订合同时间：按中标通知书规定的时间与采购人签订合同（最长不能超过25日）。</w:t>
      </w:r>
    </w:p>
    <w:p w14:paraId="4B141A75">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36.4中标人拒绝与采购人签订合同的，采购人可以按照评审报告推荐的中标候选人名单排序，确定下一候选人为中标人，也可以重新开展政府采购活动。如采购人无正当理由拒签合同的，给中标供应商造成损失的，中标供应商可追究采购人承担相应的法律责任。</w:t>
      </w:r>
    </w:p>
    <w:p w14:paraId="234FECA7">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36.5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50C66E38">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36.6采购人或中标供应商不得单方面向合同另一方提出任何招标文件没有约定的条件或不合理的要求，作为签订合同的条件；也不得协商另行订立背离招标文件和合同实质性内容的协议。</w:t>
      </w:r>
    </w:p>
    <w:p w14:paraId="15E8D444">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36.7</w:t>
      </w:r>
      <w:r>
        <w:rPr>
          <w:rFonts w:hint="eastAsia" w:ascii="宋体" w:hAnsi="宋体" w:cs="仿宋_GB2312"/>
          <w:color w:val="auto"/>
          <w:szCs w:val="21"/>
          <w:highlight w:val="none"/>
        </w:rPr>
        <w:t>如签订合同并生效后，供应商无故拒绝或延期，除按照合同条款处理外，将承担相应的法律责任。</w:t>
      </w:r>
    </w:p>
    <w:p w14:paraId="6C6A4085">
      <w:pPr>
        <w:shd w:val="clea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36.8采购人需追加与合同标的相同的货物或者服务的，在不改变原合同条款且已报财政部门批准落实资金的前提下，可从原中标供应商处添购， 所签订的补充添置合同的采购资金总额不超过原采购合同金额的10%。</w:t>
      </w:r>
    </w:p>
    <w:p w14:paraId="2652FC81">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37.政府采购合同公告</w:t>
      </w:r>
    </w:p>
    <w:p w14:paraId="0E5E0A89">
      <w:pPr>
        <w:shd w:val="clear"/>
        <w:spacing w:line="360" w:lineRule="auto"/>
        <w:ind w:firstLine="420" w:firstLineChars="200"/>
        <w:rPr>
          <w:rFonts w:hAnsi="宋体"/>
          <w:color w:val="auto"/>
          <w:highlight w:val="none"/>
        </w:rPr>
      </w:pPr>
      <w:r>
        <w:rPr>
          <w:rFonts w:hint="eastAsia" w:hAnsi="宋体"/>
          <w:color w:val="auto"/>
          <w:highlight w:val="none"/>
        </w:rPr>
        <w:t>采购人或者受托采购代理机构应当自政府采购合同签订之日起2个工作日内，将政府采购合同</w:t>
      </w:r>
      <w:r>
        <w:rPr>
          <w:rFonts w:hint="eastAsia" w:ascii="宋体" w:hAnsi="宋体"/>
          <w:bCs/>
          <w:color w:val="auto"/>
          <w:highlight w:val="none"/>
        </w:rPr>
        <w:t>在以下媒体上发布</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eastAsia="zh-CN"/>
        </w:rPr>
        <w:t>广西壮族自治区政府采购网</w:t>
      </w:r>
      <w:r>
        <w:rPr>
          <w:rFonts w:hint="eastAsia" w:ascii="宋体" w:hAnsi="宋体" w:cs="宋体"/>
          <w:color w:val="auto"/>
          <w:kern w:val="0"/>
          <w:szCs w:val="21"/>
          <w:highlight w:val="none"/>
        </w:rPr>
        <w:t>”（http：//zfcg.gxzf.gov.cn）</w:t>
      </w:r>
      <w:r>
        <w:rPr>
          <w:rFonts w:hint="eastAsia" w:hAnsi="宋体"/>
          <w:color w:val="auto"/>
          <w:highlight w:val="none"/>
        </w:rPr>
        <w:t>上公告，</w:t>
      </w:r>
      <w:r>
        <w:rPr>
          <w:rFonts w:hAnsi="宋体"/>
          <w:color w:val="auto"/>
          <w:highlight w:val="none"/>
        </w:rPr>
        <w:t>但政府采购合同中涉及国家秘密、商业秘密的内容除外。</w:t>
      </w:r>
    </w:p>
    <w:p w14:paraId="6CCB2929">
      <w:pPr>
        <w:shd w:val="clear"/>
        <w:spacing w:line="360" w:lineRule="auto"/>
        <w:ind w:firstLine="480" w:firstLineChars="200"/>
        <w:rPr>
          <w:rFonts w:ascii="黑体" w:hAnsi="黑体" w:eastAsia="黑体"/>
          <w:color w:val="auto"/>
          <w:sz w:val="24"/>
          <w:highlight w:val="none"/>
        </w:rPr>
      </w:pPr>
      <w:r>
        <w:rPr>
          <w:rFonts w:hint="eastAsia" w:ascii="黑体" w:hAnsi="黑体" w:eastAsia="黑体"/>
          <w:color w:val="auto"/>
          <w:sz w:val="24"/>
          <w:highlight w:val="none"/>
        </w:rPr>
        <w:t>3</w:t>
      </w:r>
      <w:r>
        <w:rPr>
          <w:rFonts w:ascii="黑体" w:hAnsi="黑体" w:eastAsia="黑体"/>
          <w:color w:val="auto"/>
          <w:sz w:val="24"/>
          <w:highlight w:val="none"/>
        </w:rPr>
        <w:t>8.</w:t>
      </w:r>
      <w:r>
        <w:rPr>
          <w:rFonts w:hint="eastAsia" w:ascii="黑体" w:hAnsi="黑体" w:eastAsia="黑体"/>
          <w:color w:val="auto"/>
          <w:sz w:val="24"/>
          <w:highlight w:val="none"/>
        </w:rPr>
        <w:t xml:space="preserve"> 询问、质疑和投诉</w:t>
      </w:r>
    </w:p>
    <w:p w14:paraId="29B2D59B">
      <w:pPr>
        <w:shd w:val="clear"/>
        <w:spacing w:line="360" w:lineRule="auto"/>
        <w:ind w:firstLine="422" w:firstLineChars="200"/>
        <w:rPr>
          <w:rFonts w:hint="eastAsia" w:hAnsi="宋体"/>
          <w:b/>
          <w:color w:val="auto"/>
          <w:szCs w:val="21"/>
          <w:highlight w:val="none"/>
        </w:rPr>
      </w:pPr>
      <w:r>
        <w:rPr>
          <w:rFonts w:hAnsi="宋体"/>
          <w:b/>
          <w:color w:val="auto"/>
          <w:szCs w:val="21"/>
          <w:highlight w:val="none"/>
        </w:rPr>
        <w:t>38.1</w:t>
      </w:r>
      <w:r>
        <w:rPr>
          <w:rFonts w:hint="eastAsia" w:hAnsi="宋体"/>
          <w:b/>
          <w:color w:val="auto"/>
          <w:szCs w:val="21"/>
          <w:highlight w:val="none"/>
        </w:rPr>
        <w:t>询问</w:t>
      </w:r>
    </w:p>
    <w:p w14:paraId="14F13F56">
      <w:pPr>
        <w:shd w:val="clear"/>
        <w:spacing w:line="360" w:lineRule="auto"/>
        <w:ind w:firstLine="420" w:firstLineChars="200"/>
        <w:rPr>
          <w:rFonts w:hint="eastAsia" w:hAnsi="宋体"/>
          <w:bCs/>
          <w:color w:val="auto"/>
          <w:szCs w:val="21"/>
          <w:highlight w:val="none"/>
        </w:rPr>
      </w:pPr>
      <w:r>
        <w:rPr>
          <w:rFonts w:hAnsi="宋体"/>
          <w:bCs/>
          <w:color w:val="auto"/>
          <w:szCs w:val="21"/>
          <w:highlight w:val="none"/>
        </w:rPr>
        <w:t>38.1</w:t>
      </w:r>
      <w:r>
        <w:rPr>
          <w:rFonts w:hint="eastAsia" w:hAnsi="宋体"/>
          <w:bCs/>
          <w:color w:val="auto"/>
          <w:szCs w:val="21"/>
          <w:highlight w:val="none"/>
        </w:rPr>
        <w:t>.1供应商在开标前对政府采购活动事项有疑问的，可以向采购人或采购代理机构项目负责人提出询问。</w:t>
      </w:r>
    </w:p>
    <w:p w14:paraId="2D019014">
      <w:pPr>
        <w:shd w:val="clear"/>
        <w:spacing w:line="360" w:lineRule="auto"/>
        <w:ind w:firstLine="420" w:firstLineChars="200"/>
        <w:rPr>
          <w:rFonts w:hAnsi="宋体"/>
          <w:bCs/>
          <w:color w:val="auto"/>
          <w:szCs w:val="21"/>
          <w:highlight w:val="none"/>
        </w:rPr>
      </w:pPr>
      <w:r>
        <w:rPr>
          <w:rFonts w:hAnsi="宋体"/>
          <w:bCs/>
          <w:color w:val="auto"/>
          <w:szCs w:val="21"/>
          <w:highlight w:val="none"/>
        </w:rPr>
        <w:t>38.1</w:t>
      </w:r>
      <w:r>
        <w:rPr>
          <w:rFonts w:hint="eastAsia" w:hAnsi="宋体"/>
          <w:bCs/>
          <w:color w:val="auto"/>
          <w:szCs w:val="21"/>
          <w:highlight w:val="none"/>
        </w:rPr>
        <w:t>.2采购人或采购人委托的采购代理机构自受理询问之日起3个工作日内对供应商依法提出的询问作出答复，</w:t>
      </w:r>
      <w:r>
        <w:rPr>
          <w:rFonts w:hint="eastAsia"/>
          <w:color w:val="auto"/>
          <w:highlight w:val="none"/>
        </w:rPr>
        <w:t>但答复内容不得涉及商业秘密</w:t>
      </w:r>
      <w:r>
        <w:rPr>
          <w:rFonts w:hint="eastAsia" w:hAnsi="宋体"/>
          <w:bCs/>
          <w:color w:val="auto"/>
          <w:szCs w:val="21"/>
          <w:highlight w:val="none"/>
        </w:rPr>
        <w:t>。</w:t>
      </w:r>
    </w:p>
    <w:p w14:paraId="1AA38B63">
      <w:pPr>
        <w:shd w:val="clear"/>
        <w:spacing w:line="360" w:lineRule="auto"/>
        <w:ind w:firstLine="420" w:firstLineChars="200"/>
        <w:rPr>
          <w:rFonts w:hint="eastAsia" w:hAnsi="宋体"/>
          <w:bCs/>
          <w:color w:val="auto"/>
          <w:szCs w:val="21"/>
          <w:highlight w:val="none"/>
        </w:rPr>
      </w:pPr>
      <w:r>
        <w:rPr>
          <w:rFonts w:hAnsi="宋体"/>
          <w:bCs/>
          <w:color w:val="auto"/>
          <w:szCs w:val="21"/>
          <w:highlight w:val="none"/>
        </w:rPr>
        <w:t xml:space="preserve">38.1.3 </w:t>
      </w:r>
      <w:r>
        <w:rPr>
          <w:rFonts w:hint="eastAsia" w:hAnsi="宋体"/>
          <w:bCs/>
          <w:color w:val="auto"/>
          <w:szCs w:val="21"/>
          <w:highlight w:val="none"/>
        </w:rPr>
        <w:t>询问事项可能影响中标、成交结果的，采购人应当暂停签订合同，已经签订合同的，应当中止履行合同。</w:t>
      </w:r>
    </w:p>
    <w:p w14:paraId="2D17CAE3">
      <w:pPr>
        <w:shd w:val="clear"/>
        <w:spacing w:line="360" w:lineRule="auto"/>
        <w:ind w:firstLine="422" w:firstLineChars="200"/>
        <w:rPr>
          <w:rFonts w:hint="eastAsia" w:ascii="宋体" w:hAnsi="宋体"/>
          <w:color w:val="auto"/>
          <w:szCs w:val="21"/>
          <w:highlight w:val="none"/>
        </w:rPr>
      </w:pPr>
      <w:r>
        <w:rPr>
          <w:rFonts w:hint="eastAsia" w:ascii="宋体" w:hAnsi="宋体"/>
          <w:b/>
          <w:color w:val="auto"/>
          <w:szCs w:val="21"/>
          <w:highlight w:val="none"/>
        </w:rPr>
        <w:t xml:space="preserve"> </w:t>
      </w:r>
      <w:r>
        <w:rPr>
          <w:rFonts w:ascii="宋体" w:hAnsi="宋体"/>
          <w:color w:val="auto"/>
          <w:szCs w:val="21"/>
          <w:highlight w:val="none"/>
        </w:rPr>
        <w:t>38</w:t>
      </w: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质疑</w:t>
      </w:r>
    </w:p>
    <w:p w14:paraId="3DC0CFFC">
      <w:pPr>
        <w:shd w:val="clear"/>
        <w:spacing w:line="360" w:lineRule="auto"/>
        <w:ind w:firstLine="420" w:firstLineChars="200"/>
        <w:rPr>
          <w:rFonts w:hint="eastAsia" w:ascii="宋体" w:hAnsi="宋体"/>
          <w:b/>
          <w:color w:val="auto"/>
          <w:szCs w:val="21"/>
          <w:highlight w:val="none"/>
        </w:rPr>
      </w:pPr>
      <w:r>
        <w:rPr>
          <w:rFonts w:hint="eastAsia" w:ascii="宋体" w:hAnsi="宋体"/>
          <w:color w:val="auto"/>
          <w:szCs w:val="21"/>
          <w:highlight w:val="none"/>
        </w:rPr>
        <w:t>38.2.1</w:t>
      </w:r>
      <w:r>
        <w:rPr>
          <w:rFonts w:hint="eastAsia" w:ascii="宋体" w:hAnsi="宋体"/>
          <w:b/>
          <w:color w:val="auto"/>
          <w:szCs w:val="21"/>
          <w:highlight w:val="none"/>
        </w:rPr>
        <w:t xml:space="preserve">供应商认为招标文件、采购过程或者中标结果使自己的合法权益受到损害的，必须在知道或者应知其权益受到损害之日起7个工作日内，以书面形式向采购人、采购代理机构提出质疑，质疑有效期结束后，采购人或采购代理机构不再受理该项目质疑。采购人、采购代理机构接收质疑函的方式、联系部门、联系电话和通讯地址等信息详见“投标人须知前附表”。具体质疑起算时间及处理方式如下： </w:t>
      </w:r>
    </w:p>
    <w:p w14:paraId="107C6F72">
      <w:pPr>
        <w:shd w:val="clear"/>
        <w:spacing w:line="360" w:lineRule="auto"/>
        <w:ind w:firstLine="420" w:firstLineChars="200"/>
        <w:rPr>
          <w:rFonts w:hint="eastAsia" w:hAnsi="宋体"/>
          <w:bCs/>
          <w:color w:val="auto"/>
          <w:highlight w:val="none"/>
        </w:rPr>
      </w:pPr>
      <w:r>
        <w:rPr>
          <w:rFonts w:hint="eastAsia" w:hAnsi="宋体"/>
          <w:bCs/>
          <w:color w:val="auto"/>
          <w:highlight w:val="none"/>
        </w:rPr>
        <w:t>（1）潜在供应商依法获取公开招标文件后，认为采购文件使自己的权益受到损害的，应当在公开招标文件公告期限届满之日起7个工作日内提出质疑。</w:t>
      </w:r>
      <w:r>
        <w:rPr>
          <w:rFonts w:hint="eastAsia"/>
          <w:color w:val="auto"/>
          <w:highlight w:val="none"/>
        </w:rPr>
        <w:t>委托代理协议无特殊约定的，</w:t>
      </w:r>
      <w:r>
        <w:rPr>
          <w:rFonts w:hint="eastAsia" w:hAnsi="宋体"/>
          <w:bCs/>
          <w:color w:val="auto"/>
          <w:highlight w:val="none"/>
        </w:rPr>
        <w:t>对公开招标文件中采购需求（含资格要求、采购预算和评分办法）的质疑由采购人受理并负责答复；对公开招标文件中的采购执行程序的质疑由采购代理机构受理并负责答复。</w:t>
      </w:r>
    </w:p>
    <w:p w14:paraId="3AD82808">
      <w:pPr>
        <w:shd w:val="clear"/>
        <w:spacing w:line="360" w:lineRule="auto"/>
        <w:ind w:firstLine="420" w:firstLineChars="200"/>
        <w:rPr>
          <w:rFonts w:hint="eastAsia" w:hAnsi="宋体"/>
          <w:bCs/>
          <w:color w:val="auto"/>
          <w:highlight w:val="none"/>
        </w:rPr>
      </w:pPr>
      <w:r>
        <w:rPr>
          <w:rFonts w:hint="eastAsia" w:hAnsi="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2C62DF2A">
      <w:pPr>
        <w:shd w:val="clear"/>
        <w:spacing w:line="360" w:lineRule="auto"/>
        <w:ind w:firstLine="420" w:firstLineChars="200"/>
        <w:rPr>
          <w:rFonts w:hint="eastAsia" w:hAnsi="宋体"/>
          <w:bCs/>
          <w:color w:val="auto"/>
          <w:highlight w:val="none"/>
        </w:rPr>
      </w:pPr>
      <w:r>
        <w:rPr>
          <w:rFonts w:hint="eastAsia" w:hAnsi="宋体"/>
          <w:bCs/>
          <w:color w:val="auto"/>
          <w:highlight w:val="none"/>
        </w:rPr>
        <w:t>（3）供应商认为中标或者成交结果使自己的权益受到损害的，应当在中标或者成交结果公告期限届满之日起7个工作日内提出质疑，由采购人受理并负责答复。</w:t>
      </w:r>
    </w:p>
    <w:p w14:paraId="7287EBAE">
      <w:pPr>
        <w:shd w:val="clear"/>
        <w:spacing w:line="360" w:lineRule="auto"/>
        <w:ind w:firstLine="422" w:firstLineChars="200"/>
        <w:rPr>
          <w:rFonts w:hint="eastAsia" w:hAnsi="宋体"/>
          <w:bCs/>
          <w:color w:val="auto"/>
          <w:szCs w:val="21"/>
          <w:highlight w:val="none"/>
        </w:rPr>
      </w:pPr>
      <w:r>
        <w:rPr>
          <w:rFonts w:hint="eastAsia" w:hAnsi="宋体"/>
          <w:b/>
          <w:bCs/>
          <w:color w:val="auto"/>
          <w:szCs w:val="21"/>
          <w:highlight w:val="none"/>
        </w:rPr>
        <w:t>38.2.2</w:t>
      </w:r>
      <w:r>
        <w:rPr>
          <w:rFonts w:hint="eastAsia" w:hAnsi="宋体"/>
          <w:bCs/>
          <w:color w:val="auto"/>
          <w:szCs w:val="21"/>
          <w:highlight w:val="none"/>
        </w:rPr>
        <w:t>供应商质疑实行实名制，其质疑应当有具体的质疑事项及事实根据，质疑应当坚持依法依规、诚实信用原则，不得进行虚假、恶意质疑。</w:t>
      </w:r>
    </w:p>
    <w:p w14:paraId="66CFFBF1">
      <w:pPr>
        <w:shd w:val="clear"/>
        <w:spacing w:line="360" w:lineRule="auto"/>
        <w:ind w:firstLine="422" w:firstLineChars="200"/>
        <w:rPr>
          <w:rFonts w:hint="eastAsia" w:hAnsi="宋体"/>
          <w:bCs/>
          <w:color w:val="auto"/>
          <w:highlight w:val="none"/>
        </w:rPr>
      </w:pPr>
      <w:r>
        <w:rPr>
          <w:rFonts w:hint="eastAsia" w:hAnsi="宋体"/>
          <w:b/>
          <w:bCs/>
          <w:color w:val="auto"/>
          <w:highlight w:val="none"/>
        </w:rPr>
        <w:t>38.2.3</w:t>
      </w:r>
      <w:r>
        <w:rPr>
          <w:rFonts w:hint="eastAsia" w:hAnsi="宋体"/>
          <w:bCs/>
          <w:color w:val="auto"/>
          <w:highlight w:val="none"/>
        </w:rPr>
        <w:t xml:space="preserve"> 质疑供应商可以委托代理人办理质疑事务。委托代理人应熟悉相关业务情况。代理人办理质疑事务时，除提交质疑书外，还应当提交质疑供应商的授权委托书和委托代理人身份证明复印件</w:t>
      </w:r>
      <w:r>
        <w:rPr>
          <w:rFonts w:hint="eastAsia" w:hAnsi="宋体"/>
          <w:color w:val="auto"/>
          <w:highlight w:val="none"/>
        </w:rPr>
        <w:t>。</w:t>
      </w:r>
    </w:p>
    <w:p w14:paraId="7CD64DB5">
      <w:pPr>
        <w:shd w:val="clear"/>
        <w:spacing w:line="360" w:lineRule="auto"/>
        <w:ind w:firstLine="422" w:firstLineChars="200"/>
        <w:rPr>
          <w:rFonts w:hint="eastAsia" w:hAnsi="宋体"/>
          <w:b/>
          <w:bCs/>
          <w:color w:val="auto"/>
          <w:highlight w:val="none"/>
        </w:rPr>
      </w:pPr>
      <w:r>
        <w:rPr>
          <w:rFonts w:hint="eastAsia" w:hAnsi="宋体"/>
          <w:b/>
          <w:bCs/>
          <w:color w:val="auto"/>
          <w:highlight w:val="none"/>
        </w:rPr>
        <w:t>38.2.4 质疑供应商提起质疑应当符合下列条件：</w:t>
      </w:r>
    </w:p>
    <w:p w14:paraId="15D2BBCA">
      <w:pPr>
        <w:shd w:val="clear"/>
        <w:spacing w:line="360" w:lineRule="auto"/>
        <w:ind w:firstLine="420" w:firstLineChars="200"/>
        <w:rPr>
          <w:rFonts w:hint="eastAsia" w:hAnsi="宋体"/>
          <w:bCs/>
          <w:color w:val="auto"/>
          <w:highlight w:val="none"/>
        </w:rPr>
      </w:pPr>
      <w:r>
        <w:rPr>
          <w:rFonts w:hint="eastAsia" w:hAnsi="宋体"/>
          <w:bCs/>
          <w:color w:val="auto"/>
          <w:highlight w:val="none"/>
        </w:rPr>
        <w:t>（1）质疑供应商是参与所质疑</w:t>
      </w:r>
      <w:r>
        <w:rPr>
          <w:rFonts w:hint="eastAsia" w:hAnsi="宋体"/>
          <w:bCs/>
          <w:color w:val="auto"/>
          <w:szCs w:val="21"/>
          <w:highlight w:val="none"/>
        </w:rPr>
        <w:t>项目</w:t>
      </w:r>
      <w:r>
        <w:rPr>
          <w:rFonts w:hint="eastAsia" w:hAnsi="宋体"/>
          <w:bCs/>
          <w:color w:val="auto"/>
          <w:highlight w:val="none"/>
        </w:rPr>
        <w:t>采购活动的供应商（潜在供应商已依法获取</w:t>
      </w:r>
      <w:r>
        <w:rPr>
          <w:rFonts w:hint="eastAsia" w:hAnsi="宋体"/>
          <w:bCs/>
          <w:color w:val="auto"/>
          <w:highlight w:val="none"/>
          <w:lang w:eastAsia="zh-CN"/>
        </w:rPr>
        <w:t>可置疑的</w:t>
      </w:r>
      <w:r>
        <w:rPr>
          <w:rFonts w:hint="eastAsia" w:hAnsi="宋体"/>
          <w:bCs/>
          <w:color w:val="auto"/>
          <w:highlight w:val="none"/>
        </w:rPr>
        <w:t>采购文件的，可以对该采购文件质疑）；</w:t>
      </w:r>
    </w:p>
    <w:p w14:paraId="1D5BB62D">
      <w:pPr>
        <w:shd w:val="clear"/>
        <w:spacing w:line="360" w:lineRule="auto"/>
        <w:ind w:firstLine="420" w:firstLineChars="200"/>
        <w:rPr>
          <w:rFonts w:hint="eastAsia" w:hAnsi="宋体"/>
          <w:bCs/>
          <w:color w:val="auto"/>
          <w:highlight w:val="none"/>
        </w:rPr>
      </w:pPr>
      <w:r>
        <w:rPr>
          <w:rFonts w:hint="eastAsia" w:hAnsi="宋体"/>
          <w:bCs/>
          <w:color w:val="auto"/>
          <w:highlight w:val="none"/>
        </w:rPr>
        <w:t>（2）质疑函内容符合本章第38.2.5项的规定；</w:t>
      </w:r>
    </w:p>
    <w:p w14:paraId="43B4750D">
      <w:pPr>
        <w:shd w:val="clear"/>
        <w:spacing w:line="360" w:lineRule="auto"/>
        <w:ind w:firstLine="420" w:firstLineChars="200"/>
        <w:rPr>
          <w:rFonts w:hint="eastAsia" w:hAnsi="宋体"/>
          <w:bCs/>
          <w:color w:val="auto"/>
          <w:highlight w:val="none"/>
        </w:rPr>
      </w:pPr>
      <w:r>
        <w:rPr>
          <w:rFonts w:hint="eastAsia" w:hAnsi="宋体"/>
          <w:bCs/>
          <w:color w:val="auto"/>
          <w:highlight w:val="none"/>
        </w:rPr>
        <w:t>（3）在质疑有效期限内提起质疑；</w:t>
      </w:r>
    </w:p>
    <w:p w14:paraId="6EC23987">
      <w:pPr>
        <w:shd w:val="clear"/>
        <w:spacing w:line="360" w:lineRule="auto"/>
        <w:ind w:firstLine="420" w:firstLineChars="200"/>
        <w:rPr>
          <w:rFonts w:hint="eastAsia" w:hAnsi="宋体"/>
          <w:bCs/>
          <w:color w:val="auto"/>
          <w:highlight w:val="none"/>
        </w:rPr>
      </w:pPr>
      <w:r>
        <w:rPr>
          <w:rFonts w:hint="eastAsia" w:hAnsi="宋体"/>
          <w:bCs/>
          <w:color w:val="auto"/>
          <w:highlight w:val="none"/>
        </w:rPr>
        <w:t>（4）属于所质疑的采购人或采购人委托的采购代理机构组织的采购活动；</w:t>
      </w:r>
    </w:p>
    <w:p w14:paraId="166358C4">
      <w:pPr>
        <w:shd w:val="clear"/>
        <w:spacing w:line="360" w:lineRule="auto"/>
        <w:ind w:firstLine="420" w:firstLineChars="200"/>
        <w:rPr>
          <w:rFonts w:hint="eastAsia" w:hAnsi="宋体"/>
          <w:bCs/>
          <w:color w:val="auto"/>
          <w:highlight w:val="none"/>
        </w:rPr>
      </w:pPr>
      <w:r>
        <w:rPr>
          <w:rFonts w:hint="eastAsia" w:hAnsi="宋体"/>
          <w:bCs/>
          <w:color w:val="auto"/>
          <w:highlight w:val="none"/>
        </w:rPr>
        <w:t xml:space="preserve">（5）同一质疑事项未经采购人或采购人委托的采购代理机构质疑处理； </w:t>
      </w:r>
    </w:p>
    <w:p w14:paraId="58F6F2F8">
      <w:pPr>
        <w:shd w:val="clear"/>
        <w:spacing w:line="360" w:lineRule="auto"/>
        <w:ind w:firstLine="420" w:firstLineChars="200"/>
        <w:rPr>
          <w:rFonts w:hint="eastAsia" w:hAnsi="宋体"/>
          <w:bCs/>
          <w:color w:val="auto"/>
          <w:highlight w:val="none"/>
        </w:rPr>
      </w:pPr>
      <w:r>
        <w:rPr>
          <w:rFonts w:hint="eastAsia" w:hAnsi="宋体"/>
          <w:bCs/>
          <w:color w:val="auto"/>
          <w:highlight w:val="none"/>
        </w:rPr>
        <w:t>（6）供应商对同一采购程序环节的质疑应当在质疑有效期内一次性提出；</w:t>
      </w:r>
    </w:p>
    <w:p w14:paraId="3418AE9E">
      <w:pPr>
        <w:shd w:val="clear"/>
        <w:spacing w:line="360" w:lineRule="auto"/>
        <w:ind w:firstLine="420" w:firstLineChars="200"/>
        <w:rPr>
          <w:rFonts w:hint="eastAsia" w:hAnsi="宋体"/>
          <w:bCs/>
          <w:color w:val="auto"/>
          <w:highlight w:val="none"/>
        </w:rPr>
      </w:pPr>
      <w:r>
        <w:rPr>
          <w:rFonts w:hint="eastAsia" w:hAnsi="宋体"/>
          <w:bCs/>
          <w:color w:val="auto"/>
          <w:highlight w:val="none"/>
        </w:rPr>
        <w:t>（7）供应商提交质疑应当提交必要的证明材料，证明材料应以合法手段取得；</w:t>
      </w:r>
    </w:p>
    <w:p w14:paraId="118B955B">
      <w:pPr>
        <w:shd w:val="clear"/>
        <w:spacing w:line="360" w:lineRule="auto"/>
        <w:ind w:firstLine="420" w:firstLineChars="200"/>
        <w:rPr>
          <w:rFonts w:hint="eastAsia"/>
          <w:color w:val="auto"/>
          <w:highlight w:val="none"/>
        </w:rPr>
      </w:pPr>
      <w:r>
        <w:rPr>
          <w:rFonts w:hint="eastAsia" w:hAnsi="宋体"/>
          <w:bCs/>
          <w:color w:val="auto"/>
          <w:highlight w:val="none"/>
        </w:rPr>
        <w:t>（8）财政部门规定的其他条件。</w:t>
      </w:r>
    </w:p>
    <w:p w14:paraId="00F84736">
      <w:pPr>
        <w:shd w:val="clear"/>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 xml:space="preserve"> </w:t>
      </w:r>
      <w:r>
        <w:rPr>
          <w:rFonts w:ascii="宋体" w:hAnsi="宋体"/>
          <w:color w:val="auto"/>
          <w:szCs w:val="21"/>
          <w:highlight w:val="none"/>
        </w:rPr>
        <w:t>38</w:t>
      </w:r>
      <w:r>
        <w:rPr>
          <w:rFonts w:hint="eastAsia" w:ascii="宋体" w:hAnsi="宋体"/>
          <w:color w:val="auto"/>
          <w:szCs w:val="21"/>
          <w:highlight w:val="none"/>
        </w:rPr>
        <w:t xml:space="preserve">.2.5 </w:t>
      </w:r>
      <w:r>
        <w:rPr>
          <w:rFonts w:hAnsi="宋体"/>
          <w:bCs/>
          <w:color w:val="auto"/>
          <w:highlight w:val="none"/>
        </w:rPr>
        <w:t>供应商提出质疑应当提交质疑函和必要的证明材料</w:t>
      </w:r>
      <w:r>
        <w:rPr>
          <w:rFonts w:hint="eastAsia" w:hAnsi="宋体"/>
          <w:bCs/>
          <w:color w:val="auto"/>
          <w:highlight w:val="none"/>
        </w:rPr>
        <w:t>，</w:t>
      </w:r>
      <w:r>
        <w:rPr>
          <w:rFonts w:hAnsi="宋体"/>
          <w:bCs/>
          <w:color w:val="auto"/>
          <w:highlight w:val="none"/>
        </w:rPr>
        <w:t>针对同一采购程序环节的质疑</w:t>
      </w:r>
      <w:r>
        <w:rPr>
          <w:rFonts w:hint="eastAsia" w:hAnsi="宋体"/>
          <w:bCs/>
          <w:color w:val="auto"/>
          <w:highlight w:val="none"/>
        </w:rPr>
        <w:t>必须</w:t>
      </w:r>
      <w:r>
        <w:rPr>
          <w:rFonts w:hAnsi="宋体"/>
          <w:bCs/>
          <w:color w:val="auto"/>
          <w:highlight w:val="none"/>
        </w:rPr>
        <w:t>在法定质疑期内一次性提出。质疑函应当包括下列内容</w:t>
      </w:r>
      <w:r>
        <w:rPr>
          <w:rFonts w:hint="eastAsia" w:hAnsi="宋体"/>
          <w:bCs/>
          <w:color w:val="auto"/>
          <w:highlight w:val="none"/>
        </w:rPr>
        <w:t>（质疑函格式后附）</w:t>
      </w:r>
      <w:r>
        <w:rPr>
          <w:rFonts w:hAnsi="宋体"/>
          <w:bCs/>
          <w:color w:val="auto"/>
          <w:highlight w:val="none"/>
        </w:rPr>
        <w:t>：</w:t>
      </w:r>
    </w:p>
    <w:p w14:paraId="4782C9C8">
      <w:pPr>
        <w:shd w:val="clear"/>
        <w:spacing w:line="360" w:lineRule="auto"/>
        <w:ind w:firstLine="420" w:firstLineChars="200"/>
        <w:rPr>
          <w:rFonts w:hAnsi="宋体"/>
          <w:bCs/>
          <w:color w:val="auto"/>
          <w:highlight w:val="none"/>
        </w:rPr>
      </w:pPr>
      <w:r>
        <w:rPr>
          <w:rFonts w:hAnsi="宋体"/>
          <w:bCs/>
          <w:color w:val="auto"/>
          <w:highlight w:val="none"/>
        </w:rPr>
        <w:t>（</w:t>
      </w:r>
      <w:r>
        <w:rPr>
          <w:rFonts w:hint="eastAsia" w:hAnsi="宋体"/>
          <w:bCs/>
          <w:color w:val="auto"/>
          <w:highlight w:val="none"/>
        </w:rPr>
        <w:t>1</w:t>
      </w:r>
      <w:r>
        <w:rPr>
          <w:rFonts w:hAnsi="宋体"/>
          <w:bCs/>
          <w:color w:val="auto"/>
          <w:highlight w:val="none"/>
        </w:rPr>
        <w:t>）供应商的姓名或者名称、地址、邮编、联系人及联系电话；</w:t>
      </w:r>
    </w:p>
    <w:p w14:paraId="3F7F8DE1">
      <w:pPr>
        <w:shd w:val="clear"/>
        <w:spacing w:line="360" w:lineRule="auto"/>
        <w:ind w:firstLine="420" w:firstLineChars="200"/>
        <w:rPr>
          <w:rFonts w:hAnsi="宋体"/>
          <w:bCs/>
          <w:color w:val="auto"/>
          <w:highlight w:val="none"/>
        </w:rPr>
      </w:pPr>
      <w:r>
        <w:rPr>
          <w:rFonts w:hAnsi="宋体"/>
          <w:bCs/>
          <w:color w:val="auto"/>
          <w:highlight w:val="none"/>
        </w:rPr>
        <w:t>（</w:t>
      </w:r>
      <w:r>
        <w:rPr>
          <w:rFonts w:hint="eastAsia" w:hAnsi="宋体"/>
          <w:bCs/>
          <w:color w:val="auto"/>
          <w:highlight w:val="none"/>
        </w:rPr>
        <w:t>2</w:t>
      </w:r>
      <w:r>
        <w:rPr>
          <w:rFonts w:hAnsi="宋体"/>
          <w:bCs/>
          <w:color w:val="auto"/>
          <w:highlight w:val="none"/>
        </w:rPr>
        <w:t>）质疑项目的名称、编号；</w:t>
      </w:r>
    </w:p>
    <w:p w14:paraId="7D91C8CB">
      <w:pPr>
        <w:shd w:val="clear"/>
        <w:spacing w:line="360" w:lineRule="auto"/>
        <w:ind w:firstLine="420" w:firstLineChars="200"/>
        <w:rPr>
          <w:rFonts w:hAnsi="宋体"/>
          <w:bCs/>
          <w:color w:val="auto"/>
          <w:highlight w:val="none"/>
        </w:rPr>
      </w:pPr>
      <w:r>
        <w:rPr>
          <w:rFonts w:hAnsi="宋体"/>
          <w:bCs/>
          <w:color w:val="auto"/>
          <w:highlight w:val="none"/>
        </w:rPr>
        <w:t>（</w:t>
      </w:r>
      <w:r>
        <w:rPr>
          <w:rFonts w:hint="eastAsia" w:hAnsi="宋体"/>
          <w:bCs/>
          <w:color w:val="auto"/>
          <w:highlight w:val="none"/>
        </w:rPr>
        <w:t>3</w:t>
      </w:r>
      <w:r>
        <w:rPr>
          <w:rFonts w:hAnsi="宋体"/>
          <w:bCs/>
          <w:color w:val="auto"/>
          <w:highlight w:val="none"/>
        </w:rPr>
        <w:t>）具体、明确的质疑事项和与质疑事项相关的请求；</w:t>
      </w:r>
    </w:p>
    <w:p w14:paraId="04F2A45F">
      <w:pPr>
        <w:shd w:val="clear"/>
        <w:spacing w:line="360" w:lineRule="auto"/>
        <w:ind w:firstLine="420" w:firstLineChars="200"/>
        <w:rPr>
          <w:rFonts w:hAnsi="宋体"/>
          <w:bCs/>
          <w:color w:val="auto"/>
          <w:highlight w:val="none"/>
        </w:rPr>
      </w:pPr>
      <w:r>
        <w:rPr>
          <w:rFonts w:hAnsi="宋体"/>
          <w:bCs/>
          <w:color w:val="auto"/>
          <w:highlight w:val="none"/>
        </w:rPr>
        <w:t>（</w:t>
      </w:r>
      <w:r>
        <w:rPr>
          <w:rFonts w:hint="eastAsia" w:hAnsi="宋体"/>
          <w:bCs/>
          <w:color w:val="auto"/>
          <w:highlight w:val="none"/>
        </w:rPr>
        <w:t>4</w:t>
      </w:r>
      <w:r>
        <w:rPr>
          <w:rFonts w:hAnsi="宋体"/>
          <w:bCs/>
          <w:color w:val="auto"/>
          <w:highlight w:val="none"/>
        </w:rPr>
        <w:t>）事实依据</w:t>
      </w:r>
      <w:r>
        <w:rPr>
          <w:rFonts w:hint="eastAsia" w:hAnsi="宋体"/>
          <w:bCs/>
          <w:color w:val="auto"/>
          <w:highlight w:val="none"/>
        </w:rPr>
        <w:t>（列明权益受到损害的事实和理由）</w:t>
      </w:r>
      <w:r>
        <w:rPr>
          <w:rFonts w:hAnsi="宋体"/>
          <w:bCs/>
          <w:color w:val="auto"/>
          <w:highlight w:val="none"/>
        </w:rPr>
        <w:t>；</w:t>
      </w:r>
    </w:p>
    <w:p w14:paraId="3C95524F">
      <w:pPr>
        <w:shd w:val="clear"/>
        <w:spacing w:line="360" w:lineRule="auto"/>
        <w:ind w:firstLine="420" w:firstLineChars="200"/>
        <w:rPr>
          <w:rFonts w:hAnsi="宋体"/>
          <w:bCs/>
          <w:color w:val="auto"/>
          <w:highlight w:val="none"/>
        </w:rPr>
      </w:pPr>
      <w:r>
        <w:rPr>
          <w:rFonts w:hAnsi="宋体"/>
          <w:bCs/>
          <w:color w:val="auto"/>
          <w:highlight w:val="none"/>
        </w:rPr>
        <w:t>（</w:t>
      </w:r>
      <w:r>
        <w:rPr>
          <w:rFonts w:hint="eastAsia" w:hAnsi="宋体"/>
          <w:bCs/>
          <w:color w:val="auto"/>
          <w:highlight w:val="none"/>
        </w:rPr>
        <w:t>5</w:t>
      </w:r>
      <w:r>
        <w:rPr>
          <w:rFonts w:hAnsi="宋体"/>
          <w:bCs/>
          <w:color w:val="auto"/>
          <w:highlight w:val="none"/>
        </w:rPr>
        <w:t>）必要的法律依据；</w:t>
      </w:r>
    </w:p>
    <w:p w14:paraId="13755DF5">
      <w:pPr>
        <w:shd w:val="clear"/>
        <w:spacing w:line="360" w:lineRule="auto"/>
        <w:ind w:firstLine="420" w:firstLineChars="200"/>
        <w:rPr>
          <w:rFonts w:hAnsi="宋体"/>
          <w:bCs/>
          <w:color w:val="auto"/>
          <w:highlight w:val="none"/>
        </w:rPr>
      </w:pPr>
      <w:r>
        <w:rPr>
          <w:rFonts w:hAnsi="宋体"/>
          <w:bCs/>
          <w:color w:val="auto"/>
          <w:highlight w:val="none"/>
        </w:rPr>
        <w:t>（</w:t>
      </w:r>
      <w:r>
        <w:rPr>
          <w:rFonts w:hint="eastAsia" w:hAnsi="宋体"/>
          <w:bCs/>
          <w:color w:val="auto"/>
          <w:highlight w:val="none"/>
        </w:rPr>
        <w:t>6</w:t>
      </w:r>
      <w:r>
        <w:rPr>
          <w:rFonts w:hAnsi="宋体"/>
          <w:bCs/>
          <w:color w:val="auto"/>
          <w:highlight w:val="none"/>
        </w:rPr>
        <w:t>）提出质疑的日期。</w:t>
      </w:r>
    </w:p>
    <w:p w14:paraId="0D02D70A">
      <w:pPr>
        <w:shd w:val="clear"/>
        <w:spacing w:line="360" w:lineRule="auto"/>
        <w:ind w:firstLine="420" w:firstLineChars="200"/>
        <w:rPr>
          <w:rFonts w:hint="eastAsia" w:hAnsi="宋体"/>
          <w:bCs/>
          <w:color w:val="auto"/>
          <w:highlight w:val="none"/>
        </w:rPr>
      </w:pPr>
      <w:r>
        <w:rPr>
          <w:rFonts w:hAnsi="宋体"/>
          <w:bCs/>
          <w:color w:val="auto"/>
          <w:highlight w:val="none"/>
        </w:rPr>
        <w:t>供应商为自然人的，应当由本人签字；供应商为法人或者其他组织的，应当由法定代表人、主要负责人，或者其委托代理人签字或者盖章，并加盖公章</w:t>
      </w:r>
      <w:r>
        <w:rPr>
          <w:rFonts w:hint="eastAsia" w:hAnsi="宋体"/>
          <w:bCs/>
          <w:color w:val="auto"/>
          <w:highlight w:val="none"/>
        </w:rPr>
        <w:t>。</w:t>
      </w:r>
    </w:p>
    <w:p w14:paraId="36883B70">
      <w:pPr>
        <w:shd w:val="clear"/>
        <w:spacing w:line="360" w:lineRule="auto"/>
        <w:ind w:firstLine="422" w:firstLineChars="200"/>
        <w:rPr>
          <w:rFonts w:hint="eastAsia" w:ascii="宋体" w:hAnsi="宋体"/>
          <w:b/>
          <w:color w:val="auto"/>
          <w:szCs w:val="20"/>
          <w:highlight w:val="none"/>
        </w:rPr>
      </w:pPr>
      <w:r>
        <w:rPr>
          <w:rFonts w:hint="eastAsia" w:ascii="宋体" w:hAnsi="宋体"/>
          <w:b/>
          <w:color w:val="auto"/>
          <w:szCs w:val="20"/>
          <w:highlight w:val="none"/>
        </w:rPr>
        <w:t>38.2.6采购人或采购人委托的采购代理机构在收到质疑函后7个工作日内作出答复，并以书面形式通知质疑供应商及其他有关供应商。对不符合质疑条件的质疑，答复不予受理，并说明理由；对符合质疑条件的质疑，对质疑事项作出答复</w:t>
      </w:r>
    </w:p>
    <w:p w14:paraId="6FD7AD4E">
      <w:pPr>
        <w:shd w:val="clear"/>
        <w:spacing w:line="360" w:lineRule="auto"/>
        <w:ind w:firstLine="420" w:firstLineChars="200"/>
        <w:rPr>
          <w:rFonts w:hint="eastAsia" w:ascii="宋体" w:hAnsi="宋体"/>
          <w:bCs/>
          <w:color w:val="auto"/>
          <w:szCs w:val="21"/>
          <w:highlight w:val="none"/>
        </w:rPr>
      </w:pPr>
      <w:r>
        <w:rPr>
          <w:rFonts w:ascii="宋体" w:hAnsi="宋体"/>
          <w:color w:val="auto"/>
          <w:szCs w:val="21"/>
          <w:highlight w:val="none"/>
        </w:rPr>
        <w:t>3</w:t>
      </w:r>
      <w:r>
        <w:rPr>
          <w:rFonts w:ascii="宋体" w:hAnsi="宋体"/>
          <w:bCs/>
          <w:color w:val="auto"/>
          <w:szCs w:val="21"/>
          <w:highlight w:val="none"/>
        </w:rPr>
        <w:t>8.</w:t>
      </w:r>
      <w:r>
        <w:rPr>
          <w:rFonts w:hint="eastAsia" w:ascii="宋体" w:hAnsi="宋体"/>
          <w:bCs/>
          <w:color w:val="auto"/>
          <w:szCs w:val="21"/>
          <w:highlight w:val="none"/>
        </w:rPr>
        <w:t>2.7采购人、采购代理机构认为供应商质疑不成立，或者成立但未对中标结果构成影响的，继续开展采购活动；认为供应商质疑成立且影响或者可能影响中标结果的，按照下列情况处理：</w:t>
      </w:r>
    </w:p>
    <w:p w14:paraId="6A8D77D0">
      <w:pPr>
        <w:shd w:val="clear"/>
        <w:spacing w:line="360" w:lineRule="auto"/>
        <w:ind w:firstLine="420" w:firstLineChars="200"/>
        <w:rPr>
          <w:rFonts w:hint="eastAsia" w:hAnsi="宋体"/>
          <w:bCs/>
          <w:color w:val="auto"/>
          <w:highlight w:val="none"/>
        </w:rPr>
      </w:pPr>
      <w:r>
        <w:rPr>
          <w:rFonts w:hint="eastAsia" w:hAnsi="宋体"/>
          <w:bCs/>
          <w:color w:val="auto"/>
          <w:highlight w:val="none"/>
        </w:rPr>
        <w:t>　　（一）对招标文件提出的质疑，依法通过澄清或者修改可以继续开展采购活动的，澄清或者修改招标文件后继续开展采购活动；否则应当修改招标文件后重新开展采购活动。</w:t>
      </w:r>
    </w:p>
    <w:p w14:paraId="7B6D9295">
      <w:pPr>
        <w:shd w:val="clear"/>
        <w:spacing w:line="360" w:lineRule="auto"/>
        <w:ind w:firstLine="420" w:firstLineChars="200"/>
        <w:rPr>
          <w:rFonts w:hint="eastAsia" w:hAnsi="宋体"/>
          <w:bCs/>
          <w:color w:val="auto"/>
          <w:highlight w:val="none"/>
        </w:rPr>
      </w:pPr>
      <w:r>
        <w:rPr>
          <w:rFonts w:hint="eastAsia" w:hAnsi="宋体"/>
          <w:bCs/>
          <w:color w:val="auto"/>
          <w:highlight w:val="none"/>
        </w:rPr>
        <w:t>　　（二）对采购过程、中标结果提出的质疑，合格供应商符合法定数量时，可以从合格的中标候选人中另行确定中标供应商的，应当依法另行确定中标供应商；否则应当重新开展采购活动。</w:t>
      </w:r>
    </w:p>
    <w:p w14:paraId="4C106DCB">
      <w:pPr>
        <w:shd w:val="clear"/>
        <w:spacing w:line="360" w:lineRule="auto"/>
        <w:ind w:firstLine="420" w:firstLineChars="200"/>
        <w:rPr>
          <w:rFonts w:hAnsi="宋体"/>
          <w:bCs/>
          <w:color w:val="auto"/>
          <w:highlight w:val="none"/>
        </w:rPr>
      </w:pPr>
      <w:r>
        <w:rPr>
          <w:rFonts w:hint="eastAsia" w:hAnsi="宋体"/>
          <w:bCs/>
          <w:color w:val="auto"/>
          <w:highlight w:val="none"/>
        </w:rPr>
        <w:t>质疑答复导致中标结果改变的，采购人或者采购代理机构应当将有关情况书面报告本级财政部门。</w:t>
      </w:r>
    </w:p>
    <w:p w14:paraId="6DBCB295">
      <w:pPr>
        <w:shd w:val="clear"/>
        <w:spacing w:line="360" w:lineRule="auto"/>
        <w:ind w:firstLine="422" w:firstLineChars="200"/>
        <w:rPr>
          <w:rFonts w:hint="eastAsia" w:hAnsi="宋体"/>
          <w:b/>
          <w:color w:val="auto"/>
          <w:highlight w:val="none"/>
        </w:rPr>
      </w:pPr>
      <w:r>
        <w:rPr>
          <w:rFonts w:hAnsi="宋体"/>
          <w:b/>
          <w:color w:val="auto"/>
          <w:highlight w:val="none"/>
        </w:rPr>
        <w:t>38</w:t>
      </w:r>
      <w:r>
        <w:rPr>
          <w:rFonts w:hint="eastAsia" w:hAnsi="宋体"/>
          <w:b/>
          <w:color w:val="auto"/>
          <w:highlight w:val="none"/>
        </w:rPr>
        <w:t>.3投诉</w:t>
      </w:r>
    </w:p>
    <w:p w14:paraId="26BF79D6">
      <w:pPr>
        <w:shd w:val="clear"/>
        <w:spacing w:line="360" w:lineRule="auto"/>
        <w:ind w:firstLine="422" w:firstLineChars="200"/>
        <w:rPr>
          <w:rFonts w:hint="eastAsia" w:hAnsi="宋体"/>
          <w:bCs/>
          <w:color w:val="auto"/>
          <w:highlight w:val="none"/>
        </w:rPr>
      </w:pPr>
      <w:r>
        <w:rPr>
          <w:rFonts w:hAnsi="宋体"/>
          <w:b/>
          <w:color w:val="auto"/>
          <w:highlight w:val="none"/>
        </w:rPr>
        <w:t>38</w:t>
      </w:r>
      <w:r>
        <w:rPr>
          <w:rFonts w:hint="eastAsia" w:hAnsi="宋体"/>
          <w:b/>
          <w:color w:val="auto"/>
          <w:highlight w:val="none"/>
        </w:rPr>
        <w:t>.3</w:t>
      </w:r>
      <w:r>
        <w:rPr>
          <w:rFonts w:hint="eastAsia" w:hAnsi="宋体"/>
          <w:bCs/>
          <w:color w:val="auto"/>
          <w:highlight w:val="none"/>
        </w:rPr>
        <w:t>.</w:t>
      </w:r>
      <w:r>
        <w:rPr>
          <w:rFonts w:hint="eastAsia" w:hAnsi="宋体"/>
          <w:b/>
          <w:bCs/>
          <w:color w:val="auto"/>
          <w:highlight w:val="none"/>
        </w:rPr>
        <w:t xml:space="preserve">1 </w:t>
      </w:r>
      <w:r>
        <w:rPr>
          <w:rFonts w:hint="eastAsia" w:hAnsi="宋体"/>
          <w:bCs/>
          <w:color w:val="auto"/>
          <w:highlight w:val="none"/>
        </w:rPr>
        <w:t xml:space="preserve"> 供应商认为采购文件、采购过程、中标和成交结果使自己的合法权益受到损害的，应当首先依法向采购人或采购人委托的</w:t>
      </w:r>
      <w:r>
        <w:rPr>
          <w:rFonts w:hint="eastAsia" w:hAnsi="宋体"/>
          <w:color w:val="auto"/>
          <w:highlight w:val="none"/>
        </w:rPr>
        <w:t>采购代理机构</w:t>
      </w:r>
      <w:r>
        <w:rPr>
          <w:rFonts w:hint="eastAsia" w:hAnsi="宋体"/>
          <w:bCs/>
          <w:color w:val="auto"/>
          <w:highlight w:val="none"/>
        </w:rPr>
        <w:t>提出质疑。对采购人、</w:t>
      </w:r>
      <w:r>
        <w:rPr>
          <w:rFonts w:hint="eastAsia" w:hAnsi="宋体"/>
          <w:color w:val="auto"/>
          <w:highlight w:val="none"/>
        </w:rPr>
        <w:t>采购代理机构</w:t>
      </w:r>
      <w:r>
        <w:rPr>
          <w:rFonts w:hint="eastAsia" w:hAnsi="宋体"/>
          <w:bCs/>
          <w:color w:val="auto"/>
          <w:highlight w:val="none"/>
        </w:rPr>
        <w:t>的答复不满意，或者采购人、</w:t>
      </w:r>
      <w:r>
        <w:rPr>
          <w:rFonts w:hint="eastAsia" w:hAnsi="宋体"/>
          <w:color w:val="auto"/>
          <w:highlight w:val="none"/>
        </w:rPr>
        <w:t>采购代理机构</w:t>
      </w:r>
      <w:r>
        <w:rPr>
          <w:rFonts w:hint="eastAsia" w:hAnsi="宋体"/>
          <w:bCs/>
          <w:color w:val="auto"/>
          <w:highlight w:val="none"/>
        </w:rPr>
        <w:t>未在规定期限内</w:t>
      </w:r>
      <w:r>
        <w:rPr>
          <w:rFonts w:hint="eastAsia" w:hAnsi="宋体"/>
          <w:bCs/>
          <w:color w:val="auto"/>
          <w:highlight w:val="none"/>
          <w:lang w:eastAsia="zh-CN"/>
        </w:rPr>
        <w:t>作出</w:t>
      </w:r>
      <w:r>
        <w:rPr>
          <w:rFonts w:hint="eastAsia" w:hAnsi="宋体"/>
          <w:bCs/>
          <w:color w:val="auto"/>
          <w:highlight w:val="none"/>
        </w:rPr>
        <w:t>答复的，供应商可以在答复期满后15个工作日内向南宁市政府采购监督管理部门提起投诉，投诉联系方式见“投标人须知前附表”。</w:t>
      </w:r>
    </w:p>
    <w:p w14:paraId="28AB5307">
      <w:pPr>
        <w:shd w:val="clear"/>
        <w:spacing w:line="360" w:lineRule="auto"/>
        <w:ind w:firstLine="422" w:firstLineChars="200"/>
        <w:rPr>
          <w:rFonts w:hint="eastAsia" w:hAnsi="宋体"/>
          <w:bCs/>
          <w:color w:val="auto"/>
          <w:highlight w:val="none"/>
        </w:rPr>
      </w:pPr>
      <w:r>
        <w:rPr>
          <w:rFonts w:hAnsi="宋体"/>
          <w:b/>
          <w:color w:val="auto"/>
          <w:highlight w:val="none"/>
        </w:rPr>
        <w:t>38</w:t>
      </w:r>
      <w:r>
        <w:rPr>
          <w:rFonts w:hint="eastAsia" w:hAnsi="宋体"/>
          <w:b/>
          <w:color w:val="auto"/>
          <w:highlight w:val="none"/>
        </w:rPr>
        <w:t>.3</w:t>
      </w:r>
      <w:r>
        <w:rPr>
          <w:rFonts w:hint="eastAsia"/>
          <w:b/>
          <w:color w:val="auto"/>
          <w:highlight w:val="none"/>
        </w:rPr>
        <w:t xml:space="preserve">.2 </w:t>
      </w:r>
      <w:r>
        <w:rPr>
          <w:rFonts w:hint="eastAsia"/>
          <w:color w:val="auto"/>
          <w:highlight w:val="none"/>
        </w:rPr>
        <w:t xml:space="preserve"> 投诉人投诉时，应当提交投诉书，并按照被投诉采购人、</w:t>
      </w:r>
      <w:r>
        <w:rPr>
          <w:rFonts w:hint="eastAsia" w:hAnsi="宋体"/>
          <w:color w:val="auto"/>
          <w:highlight w:val="none"/>
        </w:rPr>
        <w:t>采购代理机构</w:t>
      </w:r>
      <w:r>
        <w:rPr>
          <w:rFonts w:hint="eastAsia"/>
          <w:color w:val="auto"/>
          <w:highlight w:val="none"/>
        </w:rPr>
        <w:t>和与投诉事项有关的供应商数量提供投诉书的副本。投诉书</w:t>
      </w:r>
      <w:r>
        <w:rPr>
          <w:rFonts w:hint="eastAsia"/>
          <w:color w:val="auto"/>
          <w:szCs w:val="21"/>
          <w:highlight w:val="none"/>
        </w:rPr>
        <w:t>应当包括下列主要内容</w:t>
      </w:r>
      <w:r>
        <w:rPr>
          <w:rFonts w:hint="eastAsia"/>
          <w:color w:val="auto"/>
          <w:highlight w:val="none"/>
        </w:rPr>
        <w:t>（如材料中有外文资料应同时附上对应的中文译本）</w:t>
      </w:r>
      <w:r>
        <w:rPr>
          <w:rFonts w:hint="eastAsia" w:hAnsi="宋体"/>
          <w:bCs/>
          <w:color w:val="auto"/>
          <w:highlight w:val="none"/>
        </w:rPr>
        <w:t>（投诉书格式后附）</w:t>
      </w:r>
      <w:r>
        <w:rPr>
          <w:rFonts w:hint="eastAsia"/>
          <w:color w:val="auto"/>
          <w:szCs w:val="21"/>
          <w:highlight w:val="none"/>
        </w:rPr>
        <w:t>：</w:t>
      </w:r>
    </w:p>
    <w:p w14:paraId="263B4874">
      <w:pPr>
        <w:shd w:val="clear"/>
        <w:spacing w:line="360" w:lineRule="auto"/>
        <w:ind w:firstLine="420" w:firstLineChars="200"/>
        <w:rPr>
          <w:rFonts w:hint="eastAsia"/>
          <w:color w:val="auto"/>
          <w:highlight w:val="none"/>
        </w:rPr>
      </w:pPr>
      <w:r>
        <w:rPr>
          <w:rFonts w:hint="eastAsia" w:hAnsi="宋体"/>
          <w:color w:val="auto"/>
          <w:highlight w:val="none"/>
        </w:rPr>
        <w:t xml:space="preserve">（1）投诉人和被投诉人的名称、地址、邮编、联系人及联系电话等； </w:t>
      </w:r>
    </w:p>
    <w:p w14:paraId="78CDD7DE">
      <w:pPr>
        <w:shd w:val="clear"/>
        <w:spacing w:line="360" w:lineRule="auto"/>
        <w:ind w:firstLine="420" w:firstLineChars="200"/>
        <w:rPr>
          <w:rFonts w:hint="eastAsia"/>
          <w:color w:val="auto"/>
          <w:highlight w:val="none"/>
        </w:rPr>
      </w:pPr>
      <w:r>
        <w:rPr>
          <w:rFonts w:hint="eastAsia" w:hAnsi="宋体"/>
          <w:color w:val="auto"/>
          <w:highlight w:val="none"/>
        </w:rPr>
        <w:t>（2）质疑和质疑答复情况及相关证明材料；</w:t>
      </w:r>
      <w:r>
        <w:rPr>
          <w:rFonts w:hint="eastAsia"/>
          <w:color w:val="auto"/>
          <w:highlight w:val="none"/>
        </w:rPr>
        <w:t xml:space="preserve"> </w:t>
      </w:r>
    </w:p>
    <w:p w14:paraId="31980261">
      <w:pPr>
        <w:shd w:val="clear"/>
        <w:spacing w:line="360" w:lineRule="auto"/>
        <w:ind w:firstLine="420" w:firstLineChars="200"/>
        <w:rPr>
          <w:rFonts w:hint="eastAsia" w:hAnsi="宋体"/>
          <w:color w:val="auto"/>
          <w:highlight w:val="none"/>
        </w:rPr>
      </w:pPr>
      <w:r>
        <w:rPr>
          <w:rFonts w:hint="eastAsia" w:hAnsi="宋体"/>
          <w:color w:val="auto"/>
          <w:highlight w:val="none"/>
        </w:rPr>
        <w:t>（3）具体、明确的投诉事项和与投诉事项相关的投诉请求；</w:t>
      </w:r>
    </w:p>
    <w:p w14:paraId="0321E1FC">
      <w:pPr>
        <w:shd w:val="clear"/>
        <w:spacing w:line="360" w:lineRule="auto"/>
        <w:ind w:firstLine="420" w:firstLineChars="200"/>
        <w:rPr>
          <w:rFonts w:hint="eastAsia" w:hAnsi="宋体"/>
          <w:color w:val="auto"/>
          <w:highlight w:val="none"/>
        </w:rPr>
      </w:pPr>
      <w:r>
        <w:rPr>
          <w:rFonts w:hint="eastAsia" w:hAnsi="宋体"/>
          <w:color w:val="auto"/>
          <w:highlight w:val="none"/>
        </w:rPr>
        <w:t>（4）事实依据；</w:t>
      </w:r>
    </w:p>
    <w:p w14:paraId="6E353C36">
      <w:pPr>
        <w:shd w:val="clear"/>
        <w:spacing w:line="360" w:lineRule="auto"/>
        <w:ind w:firstLine="420" w:firstLineChars="200"/>
        <w:rPr>
          <w:rFonts w:hint="eastAsia"/>
          <w:color w:val="auto"/>
          <w:highlight w:val="none"/>
        </w:rPr>
      </w:pPr>
      <w:r>
        <w:rPr>
          <w:rFonts w:hint="eastAsia" w:hAnsi="宋体"/>
          <w:color w:val="auto"/>
          <w:highlight w:val="none"/>
        </w:rPr>
        <w:t>（5）法律依据；</w:t>
      </w:r>
    </w:p>
    <w:p w14:paraId="672212CA">
      <w:pPr>
        <w:shd w:val="clear"/>
        <w:spacing w:line="360" w:lineRule="auto"/>
        <w:ind w:firstLine="420" w:firstLineChars="200"/>
        <w:rPr>
          <w:rFonts w:hint="eastAsia" w:hAnsi="宋体"/>
          <w:color w:val="auto"/>
          <w:highlight w:val="none"/>
        </w:rPr>
      </w:pPr>
      <w:r>
        <w:rPr>
          <w:rFonts w:hint="eastAsia" w:hAnsi="宋体"/>
          <w:color w:val="auto"/>
          <w:highlight w:val="none"/>
        </w:rPr>
        <w:t>（6）提起投诉的日期。</w:t>
      </w:r>
    </w:p>
    <w:p w14:paraId="58D01F2C">
      <w:pPr>
        <w:shd w:val="clear"/>
        <w:spacing w:line="360" w:lineRule="auto"/>
        <w:ind w:firstLine="420" w:firstLineChars="200"/>
        <w:rPr>
          <w:rFonts w:hint="eastAsia" w:hAnsi="宋体"/>
          <w:color w:val="auto"/>
          <w:highlight w:val="none"/>
        </w:rPr>
      </w:pPr>
      <w:r>
        <w:rPr>
          <w:rFonts w:hint="eastAsia" w:hAnsi="宋体"/>
          <w:color w:val="auto"/>
          <w:highlight w:val="none"/>
        </w:rPr>
        <w:t>（7）附件材料：营业执照副本内页复印件（要求证件有效并清晰反映企业法人经营范围；近期连续三个月依法缴纳税收和在职职工社会保障资金证明材料（复印件）。</w:t>
      </w:r>
      <w:r>
        <w:rPr>
          <w:rFonts w:hint="eastAsia" w:hAnsi="宋体"/>
          <w:color w:val="auto"/>
          <w:highlight w:val="none"/>
        </w:rPr>
        <w:tab/>
      </w:r>
    </w:p>
    <w:p w14:paraId="55DD5DBE">
      <w:pPr>
        <w:shd w:val="clear"/>
        <w:spacing w:line="360" w:lineRule="auto"/>
        <w:ind w:firstLine="422" w:firstLineChars="200"/>
        <w:rPr>
          <w:rFonts w:hint="eastAsia" w:hAnsi="宋体"/>
          <w:bCs/>
          <w:color w:val="auto"/>
          <w:highlight w:val="none"/>
        </w:rPr>
      </w:pPr>
      <w:r>
        <w:rPr>
          <w:rFonts w:hAnsi="宋体"/>
          <w:b/>
          <w:color w:val="auto"/>
          <w:highlight w:val="none"/>
        </w:rPr>
        <w:t>38</w:t>
      </w:r>
      <w:r>
        <w:rPr>
          <w:rFonts w:hint="eastAsia" w:hAnsi="宋体"/>
          <w:b/>
          <w:color w:val="auto"/>
          <w:highlight w:val="none"/>
        </w:rPr>
        <w:t>.3</w:t>
      </w:r>
      <w:r>
        <w:rPr>
          <w:rFonts w:hint="eastAsia"/>
          <w:b/>
          <w:color w:val="auto"/>
          <w:highlight w:val="none"/>
        </w:rPr>
        <w:t xml:space="preserve">.3  </w:t>
      </w:r>
      <w:r>
        <w:rPr>
          <w:rFonts w:hint="eastAsia"/>
          <w:color w:val="auto"/>
          <w:highlight w:val="none"/>
        </w:rPr>
        <w:t>投诉人可以委托代理人办理投诉事务。</w:t>
      </w:r>
      <w:r>
        <w:rPr>
          <w:rFonts w:hint="eastAsia" w:hAnsi="宋体"/>
          <w:bCs/>
          <w:color w:val="auto"/>
          <w:highlight w:val="none"/>
        </w:rPr>
        <w:t>委托代理人应熟悉相关业务情况。</w:t>
      </w:r>
      <w:r>
        <w:rPr>
          <w:rFonts w:hint="eastAsia"/>
          <w:color w:val="auto"/>
          <w:highlight w:val="none"/>
        </w:rPr>
        <w:t>代理人办理投诉事务时，除提交投诉书外，还应当提交投诉人的授权委托书和</w:t>
      </w:r>
      <w:r>
        <w:rPr>
          <w:rFonts w:hint="eastAsia" w:hAnsi="宋体"/>
          <w:color w:val="auto"/>
          <w:highlight w:val="none"/>
        </w:rPr>
        <w:t>委托代理人身份证明复印件。</w:t>
      </w:r>
    </w:p>
    <w:p w14:paraId="3A15373B">
      <w:pPr>
        <w:shd w:val="clear"/>
        <w:spacing w:line="360" w:lineRule="auto"/>
        <w:ind w:firstLine="422" w:firstLineChars="200"/>
        <w:rPr>
          <w:rFonts w:hint="eastAsia" w:hAnsi="宋体"/>
          <w:color w:val="auto"/>
          <w:highlight w:val="none"/>
        </w:rPr>
      </w:pPr>
      <w:r>
        <w:rPr>
          <w:rFonts w:hAnsi="宋体"/>
          <w:b/>
          <w:color w:val="auto"/>
          <w:highlight w:val="none"/>
        </w:rPr>
        <w:t>38</w:t>
      </w:r>
      <w:r>
        <w:rPr>
          <w:rFonts w:hint="eastAsia" w:hAnsi="宋体"/>
          <w:b/>
          <w:color w:val="auto"/>
          <w:highlight w:val="none"/>
        </w:rPr>
        <w:t>.3</w:t>
      </w:r>
      <w:r>
        <w:rPr>
          <w:rFonts w:hint="eastAsia"/>
          <w:b/>
          <w:color w:val="auto"/>
          <w:highlight w:val="none"/>
        </w:rPr>
        <w:t>.4</w:t>
      </w:r>
      <w:r>
        <w:rPr>
          <w:rFonts w:hint="eastAsia"/>
          <w:color w:val="auto"/>
          <w:highlight w:val="none"/>
        </w:rPr>
        <w:t xml:space="preserve">  投诉人提起投诉应当符合下列条件：</w:t>
      </w:r>
    </w:p>
    <w:p w14:paraId="30D09618">
      <w:pPr>
        <w:shd w:val="clear"/>
        <w:spacing w:line="360" w:lineRule="auto"/>
        <w:ind w:firstLine="420" w:firstLineChars="200"/>
        <w:rPr>
          <w:rFonts w:hint="eastAsia" w:ascii="宋体" w:hAnsi="宋体"/>
          <w:color w:val="auto"/>
          <w:highlight w:val="none"/>
        </w:rPr>
      </w:pPr>
      <w:r>
        <w:rPr>
          <w:rFonts w:hint="eastAsia" w:ascii="宋体" w:hAnsi="宋体"/>
          <w:color w:val="auto"/>
          <w:highlight w:val="none"/>
        </w:rPr>
        <w:t>（1）投诉人是参与所投诉政府采购活动的供应商；</w:t>
      </w:r>
    </w:p>
    <w:p w14:paraId="2518C7E3">
      <w:pPr>
        <w:shd w:val="clear"/>
        <w:spacing w:line="360" w:lineRule="auto"/>
        <w:ind w:firstLine="420" w:firstLineChars="200"/>
        <w:rPr>
          <w:rFonts w:hint="eastAsia" w:ascii="宋体" w:hAnsi="宋体"/>
          <w:color w:val="auto"/>
          <w:highlight w:val="none"/>
        </w:rPr>
      </w:pPr>
      <w:r>
        <w:rPr>
          <w:rFonts w:hint="eastAsia" w:ascii="宋体" w:hAnsi="宋体"/>
          <w:color w:val="auto"/>
          <w:highlight w:val="none"/>
        </w:rPr>
        <w:t>（2）提起投诉前已依法进行质疑；</w:t>
      </w:r>
    </w:p>
    <w:p w14:paraId="0013E83C">
      <w:pPr>
        <w:shd w:val="clear"/>
        <w:spacing w:line="360" w:lineRule="auto"/>
        <w:ind w:firstLine="420" w:firstLineChars="200"/>
        <w:rPr>
          <w:rFonts w:hint="eastAsia" w:ascii="宋体" w:hAnsi="宋体"/>
          <w:color w:val="auto"/>
          <w:highlight w:val="none"/>
        </w:rPr>
      </w:pPr>
      <w:r>
        <w:rPr>
          <w:rFonts w:hint="eastAsia" w:ascii="宋体" w:hAnsi="宋体"/>
          <w:color w:val="auto"/>
          <w:highlight w:val="none"/>
        </w:rPr>
        <w:t>（3）投诉书内容符合本章第38.3.2项的规定；</w:t>
      </w:r>
    </w:p>
    <w:p w14:paraId="55C52128">
      <w:pPr>
        <w:shd w:val="clear"/>
        <w:spacing w:line="360" w:lineRule="auto"/>
        <w:ind w:firstLine="420" w:firstLineChars="200"/>
        <w:rPr>
          <w:rFonts w:hint="eastAsia" w:ascii="宋体" w:hAnsi="宋体"/>
          <w:color w:val="auto"/>
          <w:highlight w:val="none"/>
        </w:rPr>
      </w:pPr>
      <w:r>
        <w:rPr>
          <w:rFonts w:hint="eastAsia" w:ascii="宋体" w:hAnsi="宋体"/>
          <w:color w:val="auto"/>
          <w:highlight w:val="none"/>
        </w:rPr>
        <w:t>（4）在投诉有效期限内提起投诉；</w:t>
      </w:r>
    </w:p>
    <w:p w14:paraId="1F3C948F">
      <w:pPr>
        <w:shd w:val="clear"/>
        <w:spacing w:line="360" w:lineRule="auto"/>
        <w:ind w:firstLine="420" w:firstLineChars="200"/>
        <w:rPr>
          <w:rFonts w:hint="eastAsia" w:ascii="宋体" w:hAnsi="宋体"/>
          <w:color w:val="auto"/>
          <w:highlight w:val="none"/>
        </w:rPr>
      </w:pPr>
      <w:r>
        <w:rPr>
          <w:rFonts w:hint="eastAsia" w:ascii="宋体" w:hAnsi="宋体"/>
          <w:color w:val="auto"/>
          <w:highlight w:val="none"/>
        </w:rPr>
        <w:t>（5）属于</w:t>
      </w:r>
      <w:r>
        <w:rPr>
          <w:rFonts w:hint="eastAsia" w:hAnsi="宋体"/>
          <w:bCs/>
          <w:color w:val="auto"/>
          <w:highlight w:val="none"/>
        </w:rPr>
        <w:t>南宁市政府采购监督管理部门</w:t>
      </w:r>
      <w:r>
        <w:rPr>
          <w:rFonts w:hint="eastAsia" w:ascii="宋体" w:hAnsi="宋体"/>
          <w:color w:val="auto"/>
          <w:highlight w:val="none"/>
        </w:rPr>
        <w:t>管辖；</w:t>
      </w:r>
    </w:p>
    <w:p w14:paraId="5FAD65FD">
      <w:pPr>
        <w:shd w:val="clear"/>
        <w:spacing w:line="360" w:lineRule="auto"/>
        <w:ind w:firstLine="420" w:firstLineChars="200"/>
        <w:rPr>
          <w:rFonts w:hint="eastAsia" w:ascii="宋体" w:hAnsi="宋体"/>
          <w:color w:val="auto"/>
          <w:highlight w:val="none"/>
        </w:rPr>
      </w:pPr>
      <w:r>
        <w:rPr>
          <w:rFonts w:hint="eastAsia" w:ascii="宋体" w:hAnsi="宋体"/>
          <w:color w:val="auto"/>
          <w:highlight w:val="none"/>
        </w:rPr>
        <w:t>（6）同一投诉事项未经</w:t>
      </w:r>
      <w:r>
        <w:rPr>
          <w:rFonts w:hint="eastAsia" w:hAnsi="宋体"/>
          <w:bCs/>
          <w:color w:val="auto"/>
          <w:highlight w:val="none"/>
        </w:rPr>
        <w:t>南宁市政府采购监督管理部门</w:t>
      </w:r>
      <w:r>
        <w:rPr>
          <w:rFonts w:hint="eastAsia" w:ascii="宋体" w:hAnsi="宋体"/>
          <w:color w:val="auto"/>
          <w:highlight w:val="none"/>
        </w:rPr>
        <w:t>投诉处理；</w:t>
      </w:r>
    </w:p>
    <w:p w14:paraId="55C5F3B1">
      <w:pPr>
        <w:shd w:val="clear"/>
        <w:spacing w:line="360" w:lineRule="auto"/>
        <w:ind w:firstLine="420" w:firstLineChars="200"/>
        <w:rPr>
          <w:rFonts w:hint="eastAsia" w:ascii="宋体"/>
          <w:color w:val="auto"/>
          <w:highlight w:val="none"/>
        </w:rPr>
      </w:pPr>
      <w:r>
        <w:rPr>
          <w:rFonts w:hint="eastAsia" w:ascii="宋体"/>
          <w:color w:val="auto"/>
          <w:highlight w:val="none"/>
        </w:rPr>
        <w:t>（7）国务院财政部门规定的其他条件。</w:t>
      </w:r>
    </w:p>
    <w:p w14:paraId="1F4CCAD0">
      <w:pPr>
        <w:shd w:val="clear"/>
        <w:spacing w:line="360" w:lineRule="auto"/>
        <w:ind w:firstLine="422" w:firstLineChars="200"/>
        <w:rPr>
          <w:rFonts w:hint="eastAsia"/>
          <w:color w:val="auto"/>
          <w:highlight w:val="none"/>
        </w:rPr>
      </w:pPr>
      <w:r>
        <w:rPr>
          <w:rFonts w:hAnsi="宋体"/>
          <w:b/>
          <w:color w:val="auto"/>
          <w:highlight w:val="none"/>
        </w:rPr>
        <w:t>38</w:t>
      </w:r>
      <w:r>
        <w:rPr>
          <w:rFonts w:hint="eastAsia" w:hAnsi="宋体"/>
          <w:b/>
          <w:color w:val="auto"/>
          <w:highlight w:val="none"/>
        </w:rPr>
        <w:t>.3</w:t>
      </w:r>
      <w:r>
        <w:rPr>
          <w:rFonts w:hint="eastAsia" w:ascii="宋体"/>
          <w:b/>
          <w:color w:val="auto"/>
          <w:highlight w:val="none"/>
        </w:rPr>
        <w:t>.5</w:t>
      </w:r>
      <w:r>
        <w:rPr>
          <w:rFonts w:hint="eastAsia" w:ascii="宋体"/>
          <w:color w:val="auto"/>
          <w:highlight w:val="none"/>
        </w:rPr>
        <w:t xml:space="preserve">  </w:t>
      </w:r>
      <w:r>
        <w:rPr>
          <w:rFonts w:hint="eastAsia" w:hAnsi="宋体"/>
          <w:bCs/>
          <w:color w:val="auto"/>
          <w:highlight w:val="none"/>
        </w:rPr>
        <w:t>南宁市政府采购监督管理部门</w:t>
      </w:r>
      <w:r>
        <w:rPr>
          <w:rFonts w:hint="eastAsia"/>
          <w:color w:val="auto"/>
          <w:highlight w:val="none"/>
        </w:rPr>
        <w:t>自受理投诉之日起</w:t>
      </w:r>
      <w:r>
        <w:rPr>
          <w:color w:val="auto"/>
          <w:highlight w:val="none"/>
        </w:rPr>
        <w:t>30</w:t>
      </w:r>
      <w:r>
        <w:rPr>
          <w:rFonts w:hint="eastAsia"/>
          <w:color w:val="auto"/>
          <w:highlight w:val="none"/>
        </w:rPr>
        <w:t>个工作日内，对投诉事项作出处理决定，并以书面形式通知投诉人、被投诉人及其他与投诉处理结果有利害关系的政府采购当</w:t>
      </w:r>
      <w:r>
        <w:rPr>
          <w:rFonts w:hint="eastAsia" w:ascii="宋体"/>
          <w:color w:val="auto"/>
          <w:highlight w:val="none"/>
        </w:rPr>
        <w:t>事人</w:t>
      </w:r>
      <w:r>
        <w:rPr>
          <w:rFonts w:hint="eastAsia"/>
          <w:color w:val="auto"/>
          <w:highlight w:val="none"/>
        </w:rPr>
        <w:t>。并将投诉结果在http：//zfcg.gxzf.gov.cn (广西壮族自治区政府采购网)发布。</w:t>
      </w:r>
    </w:p>
    <w:p w14:paraId="28E0B440">
      <w:pPr>
        <w:shd w:val="clear"/>
        <w:spacing w:line="360" w:lineRule="auto"/>
        <w:ind w:firstLine="422" w:firstLineChars="200"/>
        <w:rPr>
          <w:rFonts w:hint="eastAsia" w:ascii="宋体"/>
          <w:color w:val="auto"/>
          <w:highlight w:val="none"/>
        </w:rPr>
      </w:pPr>
      <w:r>
        <w:rPr>
          <w:rFonts w:hAnsi="宋体"/>
          <w:b/>
          <w:color w:val="auto"/>
          <w:highlight w:val="none"/>
        </w:rPr>
        <w:t>38</w:t>
      </w:r>
      <w:r>
        <w:rPr>
          <w:rFonts w:hint="eastAsia" w:hAnsi="宋体"/>
          <w:b/>
          <w:color w:val="auto"/>
          <w:highlight w:val="none"/>
        </w:rPr>
        <w:t>.3</w:t>
      </w:r>
      <w:r>
        <w:rPr>
          <w:rFonts w:hint="eastAsia" w:ascii="宋体"/>
          <w:b/>
          <w:color w:val="auto"/>
          <w:highlight w:val="none"/>
        </w:rPr>
        <w:t>.6</w:t>
      </w:r>
      <w:r>
        <w:rPr>
          <w:rFonts w:hint="eastAsia" w:ascii="宋体"/>
          <w:color w:val="auto"/>
          <w:highlight w:val="none"/>
        </w:rPr>
        <w:t xml:space="preserve">  </w:t>
      </w:r>
      <w:r>
        <w:rPr>
          <w:rFonts w:hint="eastAsia" w:hAnsi="宋体"/>
          <w:bCs/>
          <w:color w:val="auto"/>
          <w:highlight w:val="none"/>
        </w:rPr>
        <w:t>南宁市政府采购监督管理部门</w:t>
      </w:r>
      <w:r>
        <w:rPr>
          <w:rFonts w:hint="eastAsia" w:ascii="宋体"/>
          <w:color w:val="auto"/>
          <w:highlight w:val="none"/>
        </w:rPr>
        <w:t>在处理投诉事项期间，可以视具体情况暂停采购活动。</w:t>
      </w:r>
    </w:p>
    <w:p w14:paraId="18152487">
      <w:pPr>
        <w:shd w:val="clear"/>
        <w:snapToGrid w:val="0"/>
        <w:spacing w:line="360" w:lineRule="auto"/>
        <w:ind w:left="120" w:leftChars="57" w:firstLine="482" w:firstLineChars="150"/>
        <w:jc w:val="center"/>
        <w:rPr>
          <w:rFonts w:hint="eastAsia"/>
          <w:b/>
          <w:bCs/>
          <w:color w:val="auto"/>
          <w:sz w:val="32"/>
          <w:szCs w:val="32"/>
          <w:highlight w:val="none"/>
        </w:rPr>
      </w:pPr>
      <w:r>
        <w:rPr>
          <w:rFonts w:hint="eastAsia"/>
          <w:b/>
          <w:bCs/>
          <w:color w:val="auto"/>
          <w:sz w:val="32"/>
          <w:szCs w:val="32"/>
          <w:highlight w:val="none"/>
        </w:rPr>
        <w:t>八、验收</w:t>
      </w:r>
    </w:p>
    <w:p w14:paraId="5E140577">
      <w:pPr>
        <w:shd w:val="clear"/>
        <w:spacing w:line="360" w:lineRule="auto"/>
        <w:ind w:firstLine="422" w:firstLineChars="200"/>
        <w:rPr>
          <w:rFonts w:hint="eastAsia" w:hAnsi="宋体"/>
          <w:b/>
          <w:color w:val="auto"/>
          <w:highlight w:val="none"/>
        </w:rPr>
      </w:pPr>
      <w:r>
        <w:rPr>
          <w:rFonts w:hint="eastAsia" w:hAnsi="宋体"/>
          <w:b/>
          <w:color w:val="auto"/>
          <w:highlight w:val="none"/>
        </w:rPr>
        <w:t>39.验收</w:t>
      </w:r>
    </w:p>
    <w:p w14:paraId="4160A158">
      <w:pPr>
        <w:shd w:val="clear"/>
        <w:tabs>
          <w:tab w:val="left" w:pos="0"/>
        </w:tabs>
        <w:spacing w:line="360" w:lineRule="auto"/>
        <w:ind w:firstLine="480"/>
        <w:rPr>
          <w:rFonts w:hint="eastAsia" w:hAnsi="宋体"/>
          <w:color w:val="auto"/>
          <w:highlight w:val="none"/>
        </w:rPr>
      </w:pPr>
      <w:r>
        <w:rPr>
          <w:rFonts w:hint="eastAsia" w:hAnsi="宋体"/>
          <w:color w:val="auto"/>
          <w:highlight w:val="none"/>
        </w:rPr>
        <w:t>39.1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05527872">
      <w:pPr>
        <w:shd w:val="clear"/>
        <w:tabs>
          <w:tab w:val="left" w:pos="0"/>
        </w:tabs>
        <w:spacing w:line="360" w:lineRule="auto"/>
        <w:ind w:firstLine="480"/>
        <w:rPr>
          <w:rFonts w:hint="eastAsia" w:hAnsi="宋体"/>
          <w:color w:val="auto"/>
          <w:highlight w:val="none"/>
        </w:rPr>
      </w:pPr>
      <w:r>
        <w:rPr>
          <w:rFonts w:hint="eastAsia" w:hAnsi="宋体"/>
          <w:color w:val="auto"/>
          <w:highlight w:val="none"/>
        </w:rPr>
        <w:t>39.2采购人可以邀请参加本项目的其他投标人或者第三方机构参与验收。参与验收的投标人或者第三方机构的意见作为验收书的参考资料一并存档。</w:t>
      </w:r>
    </w:p>
    <w:p w14:paraId="2115159B">
      <w:pPr>
        <w:shd w:val="clear"/>
        <w:tabs>
          <w:tab w:val="left" w:pos="0"/>
        </w:tabs>
        <w:spacing w:line="360" w:lineRule="auto"/>
        <w:ind w:firstLine="480"/>
        <w:rPr>
          <w:rFonts w:hint="eastAsia" w:hAnsi="宋体"/>
          <w:color w:val="auto"/>
          <w:highlight w:val="none"/>
        </w:rPr>
      </w:pPr>
      <w:r>
        <w:rPr>
          <w:rFonts w:hint="eastAsia" w:hAnsi="宋体"/>
          <w:color w:val="auto"/>
          <w:highlight w:val="none"/>
        </w:rPr>
        <w:t>39.3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3BB9A6CB">
      <w:pPr>
        <w:shd w:val="clear"/>
        <w:tabs>
          <w:tab w:val="left" w:pos="0"/>
        </w:tabs>
        <w:spacing w:line="360" w:lineRule="auto"/>
        <w:ind w:firstLine="480"/>
        <w:rPr>
          <w:rFonts w:hint="eastAsia" w:hAnsi="宋体"/>
          <w:color w:val="auto"/>
          <w:highlight w:val="none"/>
        </w:rPr>
      </w:pPr>
      <w:r>
        <w:rPr>
          <w:rFonts w:hint="eastAsia" w:hAnsi="宋体"/>
          <w:color w:val="auto"/>
          <w:highlight w:val="none"/>
        </w:rPr>
        <w:t>39.4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12C9B56D">
      <w:pPr>
        <w:shd w:val="clear"/>
        <w:snapToGrid w:val="0"/>
        <w:spacing w:line="400" w:lineRule="exact"/>
        <w:rPr>
          <w:rFonts w:hint="eastAsia" w:ascii="宋体" w:hAnsi="宋体"/>
          <w:color w:val="auto"/>
          <w:szCs w:val="20"/>
          <w:highlight w:val="none"/>
        </w:rPr>
      </w:pPr>
    </w:p>
    <w:p w14:paraId="57DE9404">
      <w:pPr>
        <w:shd w:val="clear"/>
        <w:spacing w:line="360" w:lineRule="auto"/>
        <w:ind w:firstLine="643" w:firstLineChars="200"/>
        <w:jc w:val="center"/>
        <w:outlineLvl w:val="2"/>
        <w:rPr>
          <w:rFonts w:hint="eastAsia"/>
          <w:b/>
          <w:bCs/>
          <w:color w:val="auto"/>
          <w:sz w:val="32"/>
          <w:szCs w:val="32"/>
          <w:highlight w:val="none"/>
        </w:rPr>
      </w:pPr>
      <w:bookmarkStart w:id="14" w:name="_Toc171344355"/>
      <w:r>
        <w:rPr>
          <w:rFonts w:hint="eastAsia"/>
          <w:b/>
          <w:bCs/>
          <w:color w:val="auto"/>
          <w:sz w:val="32"/>
          <w:szCs w:val="32"/>
          <w:highlight w:val="none"/>
        </w:rPr>
        <w:t>九、其他事项</w:t>
      </w:r>
      <w:bookmarkEnd w:id="14"/>
    </w:p>
    <w:p w14:paraId="02A85DC7">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40.代理服务费</w:t>
      </w:r>
    </w:p>
    <w:p w14:paraId="11F8A5F2">
      <w:pPr>
        <w:shd w:val="clea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代理服务收费标准及缴费账户详见“投标人须知前附表”，投标人为联合体的，可以由联合体中的一方或者多方共同交纳代理服务费。</w:t>
      </w:r>
    </w:p>
    <w:p w14:paraId="58CFE923">
      <w:pPr>
        <w:shd w:val="clea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（1）本项目招标代理服务费参照国</w:t>
      </w:r>
      <w:r>
        <w:rPr>
          <w:rFonts w:hint="eastAsia" w:ascii="宋体" w:hAnsi="宋体"/>
          <w:b/>
          <w:color w:val="auto"/>
          <w:szCs w:val="21"/>
          <w:highlight w:val="none"/>
          <w:lang w:eastAsia="zh-CN"/>
        </w:rPr>
        <w:t>家发展改革委</w:t>
      </w:r>
      <w:r>
        <w:rPr>
          <w:rFonts w:hint="eastAsia" w:ascii="宋体" w:hAnsi="宋体"/>
          <w:b/>
          <w:color w:val="auto"/>
          <w:szCs w:val="21"/>
          <w:highlight w:val="none"/>
        </w:rPr>
        <w:t xml:space="preserve">《招标代理服务收费管理暂行办法》( </w:t>
      </w:r>
      <w:r>
        <w:rPr>
          <w:rFonts w:hint="eastAsia" w:ascii="宋体" w:hAnsi="宋体"/>
          <w:b/>
          <w:color w:val="auto"/>
          <w:szCs w:val="21"/>
          <w:highlight w:val="none"/>
          <w:lang w:eastAsia="zh-CN"/>
        </w:rPr>
        <w:t>〔2002〕1980号</w:t>
      </w:r>
      <w:r>
        <w:rPr>
          <w:rFonts w:hint="eastAsia" w:ascii="宋体" w:hAnsi="宋体"/>
          <w:b/>
          <w:color w:val="auto"/>
          <w:szCs w:val="21"/>
          <w:highlight w:val="none"/>
        </w:rPr>
        <w:t>)、《国家发展改革委关于降低部分建</w:t>
      </w:r>
      <w:r>
        <w:rPr>
          <w:rFonts w:hint="eastAsia" w:ascii="宋体" w:hAnsi="宋体"/>
          <w:b/>
          <w:color w:val="auto"/>
          <w:szCs w:val="21"/>
          <w:highlight w:val="none"/>
          <w:lang w:eastAsia="zh-CN"/>
        </w:rPr>
        <w:t>设项</w:t>
      </w:r>
      <w:r>
        <w:rPr>
          <w:rFonts w:hint="eastAsia" w:ascii="宋体" w:hAnsi="宋体"/>
          <w:b/>
          <w:color w:val="auto"/>
          <w:szCs w:val="21"/>
          <w:highlight w:val="none"/>
        </w:rPr>
        <w:t>目收费标准规范收费行为等有关问题的通知》(发改价格</w:t>
      </w:r>
      <w:r>
        <w:rPr>
          <w:rFonts w:hint="eastAsia" w:ascii="宋体" w:hAnsi="宋体"/>
          <w:b/>
          <w:color w:val="auto"/>
          <w:szCs w:val="21"/>
          <w:highlight w:val="none"/>
          <w:lang w:eastAsia="zh-CN"/>
        </w:rPr>
        <w:t>〔2011〕534号</w:t>
      </w:r>
      <w:r>
        <w:rPr>
          <w:rFonts w:hint="eastAsia" w:ascii="宋体" w:hAnsi="宋体"/>
          <w:b/>
          <w:color w:val="auto"/>
          <w:szCs w:val="21"/>
          <w:highlight w:val="none"/>
        </w:rPr>
        <w:t>)标准，并按费率表的“服务招标”标准采用差额定率累进法计算，计算结果为基准价；</w:t>
      </w:r>
    </w:p>
    <w:p w14:paraId="7AE7C034">
      <w:pPr>
        <w:shd w:val="clea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（2）代理服务费=基准价×（1</w:t>
      </w:r>
      <w:r>
        <w:rPr>
          <w:rFonts w:hint="eastAsia" w:ascii="宋体" w:hAnsi="宋体"/>
          <w:b/>
          <w:color w:val="auto"/>
          <w:szCs w:val="21"/>
          <w:highlight w:val="none"/>
          <w:lang w:eastAsia="zh-CN"/>
        </w:rPr>
        <w:t>%～</w:t>
      </w:r>
      <w:r>
        <w:rPr>
          <w:rFonts w:hint="eastAsia" w:ascii="宋体" w:hAnsi="宋体"/>
          <w:b/>
          <w:color w:val="auto"/>
          <w:szCs w:val="21"/>
          <w:highlight w:val="none"/>
          <w:lang w:val="en-US" w:eastAsia="zh-CN"/>
        </w:rPr>
        <w:t>3</w:t>
      </w:r>
      <w:r>
        <w:rPr>
          <w:rFonts w:hint="eastAsia" w:ascii="宋体" w:hAnsi="宋体"/>
          <w:b/>
          <w:color w:val="auto"/>
          <w:szCs w:val="21"/>
          <w:highlight w:val="none"/>
        </w:rPr>
        <w:t>0%）。</w:t>
      </w:r>
    </w:p>
    <w:p w14:paraId="7C367FC2">
      <w:pPr>
        <w:shd w:val="clea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（3）由中标供应商在领取中标通知书前一次性向采购代理机构支付代理服务费。</w:t>
      </w:r>
    </w:p>
    <w:p w14:paraId="76F88178">
      <w:pPr>
        <w:shd w:val="clear"/>
        <w:spacing w:line="360" w:lineRule="auto"/>
        <w:ind w:firstLine="480" w:firstLineChars="200"/>
        <w:rPr>
          <w:rFonts w:ascii="黑体" w:hAnsi="黑体" w:eastAsia="黑体"/>
          <w:color w:val="auto"/>
          <w:sz w:val="24"/>
          <w:highlight w:val="none"/>
        </w:rPr>
      </w:pPr>
      <w:r>
        <w:rPr>
          <w:rFonts w:hint="eastAsia" w:ascii="黑体" w:hAnsi="黑体" w:eastAsia="黑体"/>
          <w:color w:val="auto"/>
          <w:sz w:val="24"/>
          <w:highlight w:val="none"/>
        </w:rPr>
        <w:t>41</w:t>
      </w:r>
      <w:r>
        <w:rPr>
          <w:rFonts w:ascii="黑体" w:hAnsi="黑体" w:eastAsia="黑体"/>
          <w:color w:val="auto"/>
          <w:sz w:val="24"/>
          <w:highlight w:val="none"/>
        </w:rPr>
        <w:t>. 需要补充的其他内容</w:t>
      </w:r>
    </w:p>
    <w:p w14:paraId="4EE31E08">
      <w:pPr>
        <w:shd w:val="clear"/>
        <w:spacing w:line="360" w:lineRule="auto"/>
        <w:ind w:firstLine="420" w:firstLineChars="200"/>
        <w:rPr>
          <w:rFonts w:hAnsi="宋体"/>
          <w:color w:val="auto"/>
          <w:highlight w:val="none"/>
        </w:rPr>
      </w:pPr>
      <w:r>
        <w:rPr>
          <w:rFonts w:hAnsi="宋体"/>
          <w:color w:val="auto"/>
          <w:highlight w:val="none"/>
        </w:rPr>
        <w:t>4</w:t>
      </w:r>
      <w:r>
        <w:rPr>
          <w:rFonts w:hint="eastAsia" w:hAnsi="宋体"/>
          <w:color w:val="auto"/>
          <w:highlight w:val="none"/>
        </w:rPr>
        <w:t>1</w:t>
      </w:r>
      <w:r>
        <w:rPr>
          <w:rFonts w:hAnsi="宋体"/>
          <w:color w:val="auto"/>
          <w:highlight w:val="none"/>
        </w:rPr>
        <w:t>.1</w:t>
      </w:r>
      <w:r>
        <w:rPr>
          <w:rFonts w:hint="eastAsia" w:hAnsi="宋体" w:cs="宋体"/>
          <w:color w:val="auto"/>
          <w:highlight w:val="none"/>
        </w:rPr>
        <w:t>本招标文件解释规则详见</w:t>
      </w:r>
      <w:r>
        <w:rPr>
          <w:rFonts w:hint="eastAsia" w:hAnsi="宋体"/>
          <w:color w:val="auto"/>
          <w:highlight w:val="none"/>
        </w:rPr>
        <w:t>“投标人须知前附表”。</w:t>
      </w:r>
    </w:p>
    <w:p w14:paraId="0DAA2EB1">
      <w:pPr>
        <w:shd w:val="clear"/>
        <w:spacing w:line="360" w:lineRule="auto"/>
        <w:ind w:firstLine="420" w:firstLineChars="200"/>
        <w:rPr>
          <w:rFonts w:hAnsi="宋体"/>
          <w:color w:val="auto"/>
          <w:highlight w:val="none"/>
        </w:rPr>
      </w:pPr>
      <w:r>
        <w:rPr>
          <w:rFonts w:hAnsi="宋体" w:cs="宋体"/>
          <w:color w:val="auto"/>
          <w:highlight w:val="none"/>
        </w:rPr>
        <w:t>4</w:t>
      </w:r>
      <w:r>
        <w:rPr>
          <w:rFonts w:hint="eastAsia" w:hAnsi="宋体" w:cs="宋体"/>
          <w:color w:val="auto"/>
          <w:highlight w:val="none"/>
        </w:rPr>
        <w:t>1</w:t>
      </w:r>
      <w:r>
        <w:rPr>
          <w:rFonts w:hAnsi="宋体" w:cs="宋体"/>
          <w:color w:val="auto"/>
          <w:highlight w:val="none"/>
        </w:rPr>
        <w:t>.2</w:t>
      </w:r>
      <w:r>
        <w:rPr>
          <w:rFonts w:hint="eastAsia" w:hAnsi="宋体" w:cs="宋体"/>
          <w:color w:val="auto"/>
          <w:highlight w:val="none"/>
        </w:rPr>
        <w:t xml:space="preserve"> </w:t>
      </w:r>
      <w:r>
        <w:rPr>
          <w:rFonts w:hint="eastAsia" w:hAnsi="宋体"/>
          <w:color w:val="auto"/>
          <w:highlight w:val="none"/>
        </w:rPr>
        <w:t>其他事项详见“投标人须知前附表”。</w:t>
      </w:r>
    </w:p>
    <w:p w14:paraId="60DEA3D6">
      <w:pPr>
        <w:shd w:val="clear"/>
        <w:spacing w:before="120" w:after="120" w:line="360" w:lineRule="auto"/>
        <w:ind w:firstLine="420" w:firstLineChars="200"/>
        <w:contextualSpacing/>
        <w:rPr>
          <w:rFonts w:hint="eastAsia" w:ascii="宋体" w:hAnsi="宋体"/>
          <w:color w:val="auto"/>
          <w:szCs w:val="20"/>
          <w:highlight w:val="none"/>
        </w:rPr>
      </w:pPr>
      <w:r>
        <w:rPr>
          <w:rFonts w:hint="eastAsia" w:ascii="宋体" w:hAnsi="宋体"/>
          <w:color w:val="auto"/>
          <w:szCs w:val="20"/>
          <w:highlight w:val="none"/>
        </w:rPr>
        <w:t>41.3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服务的人员为中小企业依照《中华人民共和国劳动合同法》订立劳动合同的从业人员，不对其中涉及的货物的制造商和工程承建商作出要求的，享受本文件规定的中小企业扶持政策。</w:t>
      </w:r>
    </w:p>
    <w:p w14:paraId="5019EE73">
      <w:pPr>
        <w:shd w:val="clear"/>
        <w:spacing w:before="120" w:after="120" w:line="360" w:lineRule="auto"/>
        <w:ind w:firstLine="420" w:firstLineChars="200"/>
        <w:contextualSpacing/>
        <w:rPr>
          <w:rFonts w:hint="eastAsia" w:ascii="宋体" w:hAnsi="宋体"/>
          <w:color w:val="auto"/>
          <w:szCs w:val="20"/>
          <w:highlight w:val="none"/>
        </w:rPr>
      </w:pPr>
      <w:r>
        <w:rPr>
          <w:rFonts w:hint="eastAsia" w:ascii="宋体" w:hAnsi="宋体"/>
          <w:color w:val="auto"/>
          <w:szCs w:val="20"/>
          <w:highlight w:val="none"/>
        </w:rPr>
        <w:t>以联合体形式参加政府采购活动，联合体各方均为中小企业的，联合体视同中小企业。其中，联合体各方均为小微企业的，联合体视同小微企业。</w:t>
      </w:r>
    </w:p>
    <w:p w14:paraId="23D6FA42">
      <w:pPr>
        <w:shd w:val="clear"/>
        <w:spacing w:before="120" w:after="120" w:line="360" w:lineRule="auto"/>
        <w:ind w:firstLine="420" w:firstLineChars="200"/>
        <w:contextualSpacing/>
        <w:rPr>
          <w:rFonts w:hint="eastAsia" w:ascii="宋体" w:hAnsi="宋体"/>
          <w:color w:val="auto"/>
          <w:szCs w:val="20"/>
          <w:highlight w:val="none"/>
        </w:rPr>
      </w:pPr>
      <w:r>
        <w:rPr>
          <w:rFonts w:hint="eastAsia" w:ascii="宋体" w:hAnsi="宋体"/>
          <w:color w:val="auto"/>
          <w:szCs w:val="20"/>
          <w:highlight w:val="none"/>
        </w:rPr>
        <w:t>依据本文件规定享受扶持政策获得政府采购合同的，小微企业不得将合同分包给大中型企业，中型企业不得将合同分包给大型企业。</w:t>
      </w:r>
    </w:p>
    <w:p w14:paraId="0DD5C606">
      <w:pPr>
        <w:shd w:val="clea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42. 政采贷相关说明</w:t>
      </w:r>
    </w:p>
    <w:p w14:paraId="492BA8C7">
      <w:pPr>
        <w:shd w:val="clear"/>
        <w:spacing w:line="360" w:lineRule="auto"/>
        <w:ind w:firstLine="420" w:firstLineChars="200"/>
        <w:jc w:val="left"/>
        <w:rPr>
          <w:rFonts w:hint="eastAsia" w:hAnsi="宋体"/>
          <w:color w:val="auto"/>
          <w:highlight w:val="none"/>
        </w:rPr>
      </w:pPr>
      <w:r>
        <w:rPr>
          <w:rFonts w:hint="eastAsia" w:hAnsi="宋体"/>
          <w:color w:val="auto"/>
          <w:highlight w:val="none"/>
        </w:rPr>
        <w:t>为优化政府采购营商环境，缓解供应商资金难题，南宁市政府采购试行政府采购信用融资制度，中标供应商如有融资需求，可凭政府采购合同通过以下方式申请政府采购信用融资贷款：</w:t>
      </w:r>
    </w:p>
    <w:p w14:paraId="11982087">
      <w:pPr>
        <w:shd w:val="clear"/>
        <w:spacing w:line="360" w:lineRule="auto"/>
        <w:ind w:firstLine="420" w:firstLineChars="200"/>
        <w:jc w:val="left"/>
        <w:rPr>
          <w:rFonts w:hint="eastAsia" w:hAnsi="宋体"/>
          <w:color w:val="auto"/>
          <w:highlight w:val="none"/>
        </w:rPr>
      </w:pPr>
      <w:r>
        <w:rPr>
          <w:rFonts w:hint="eastAsia" w:hAnsi="宋体"/>
          <w:color w:val="auto"/>
          <w:highlight w:val="none"/>
        </w:rPr>
        <w:t>（1）（1）线下渠道：在“南宁市公共资源交易中心”官网（网址：http：//www.nnggzy.org.cn）“交易信息-政府采购-政府采购信用融资”中融资银行和南宁市企业融资服务中心专栏信息申请政府采购信用融资。</w:t>
      </w:r>
    </w:p>
    <w:p w14:paraId="060235A2">
      <w:pPr>
        <w:shd w:val="clear"/>
        <w:spacing w:line="360" w:lineRule="auto"/>
        <w:ind w:firstLine="420" w:firstLineChars="200"/>
        <w:jc w:val="left"/>
        <w:rPr>
          <w:rFonts w:hAnsi="宋体"/>
          <w:color w:val="auto"/>
          <w:highlight w:val="none"/>
        </w:rPr>
      </w:pPr>
      <w:r>
        <w:rPr>
          <w:rFonts w:hint="eastAsia" w:hAnsi="宋体"/>
          <w:color w:val="auto"/>
          <w:highlight w:val="none"/>
        </w:rPr>
        <w:t>（2）线上渠道：登录中征营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w:t>
      </w:r>
      <w:r>
        <w:rPr>
          <w:rFonts w:hint="eastAsia" w:hAnsi="宋体"/>
          <w:color w:val="auto"/>
          <w:highlight w:val="none"/>
          <w:lang w:eastAsia="zh-CN"/>
        </w:rPr>
        <w:t>广西壮族自治区政府采购网</w:t>
      </w:r>
      <w:r>
        <w:rPr>
          <w:rFonts w:hint="eastAsia" w:hAnsi="宋体"/>
          <w:color w:val="auto"/>
          <w:highlight w:val="none"/>
        </w:rPr>
        <w:t>”——http：//www.ccgp-guangxi.gov.cn/AdministrativeRegulations/AutonomousRegion/9830442.html）</w:t>
      </w:r>
    </w:p>
    <w:p w14:paraId="1A00CD5D">
      <w:pPr>
        <w:shd w:val="clear"/>
        <w:spacing w:line="360" w:lineRule="auto"/>
        <w:ind w:firstLine="420" w:firstLineChars="200"/>
        <w:jc w:val="left"/>
        <w:rPr>
          <w:rFonts w:hint="eastAsia" w:hAnsi="宋体"/>
          <w:color w:val="auto"/>
          <w:highlight w:val="none"/>
        </w:rPr>
      </w:pPr>
      <w:r>
        <w:rPr>
          <w:rFonts w:hAnsi="宋体"/>
          <w:color w:val="auto"/>
          <w:highlight w:val="none"/>
        </w:rPr>
        <w:br w:type="page"/>
      </w:r>
    </w:p>
    <w:p w14:paraId="202DFB12">
      <w:pPr>
        <w:shd w:val="clear"/>
        <w:jc w:val="center"/>
        <w:outlineLvl w:val="0"/>
        <w:rPr>
          <w:b/>
          <w:color w:val="auto"/>
          <w:sz w:val="36"/>
          <w:szCs w:val="20"/>
          <w:highlight w:val="none"/>
        </w:rPr>
      </w:pPr>
      <w:bookmarkStart w:id="15" w:name="_Toc171344356"/>
      <w:r>
        <w:rPr>
          <w:rFonts w:hint="eastAsia"/>
          <w:b/>
          <w:color w:val="auto"/>
          <w:sz w:val="36"/>
          <w:szCs w:val="20"/>
          <w:highlight w:val="none"/>
        </w:rPr>
        <w:t>第四章</w:t>
      </w:r>
      <w:r>
        <w:rPr>
          <w:b/>
          <w:color w:val="auto"/>
          <w:sz w:val="36"/>
          <w:szCs w:val="20"/>
          <w:highlight w:val="none"/>
        </w:rPr>
        <w:t xml:space="preserve">  </w:t>
      </w:r>
      <w:r>
        <w:rPr>
          <w:rFonts w:hint="eastAsia"/>
          <w:b/>
          <w:color w:val="auto"/>
          <w:sz w:val="36"/>
          <w:szCs w:val="20"/>
          <w:highlight w:val="none"/>
        </w:rPr>
        <w:t>评标方法及评分标准</w:t>
      </w:r>
      <w:bookmarkEnd w:id="15"/>
    </w:p>
    <w:p w14:paraId="452C01FC">
      <w:pPr>
        <w:shd w:val="clear"/>
        <w:jc w:val="center"/>
        <w:outlineLvl w:val="1"/>
        <w:rPr>
          <w:rFonts w:hint="eastAsia"/>
          <w:b/>
          <w:bCs/>
          <w:color w:val="auto"/>
          <w:sz w:val="30"/>
          <w:szCs w:val="30"/>
          <w:highlight w:val="none"/>
        </w:rPr>
      </w:pPr>
      <w:bookmarkStart w:id="16" w:name="_Toc171344357"/>
      <w:r>
        <w:rPr>
          <w:rFonts w:hint="eastAsia"/>
          <w:b/>
          <w:bCs/>
          <w:color w:val="auto"/>
          <w:sz w:val="30"/>
          <w:szCs w:val="30"/>
          <w:highlight w:val="none"/>
        </w:rPr>
        <w:t>第一节 评标方法</w:t>
      </w:r>
      <w:bookmarkEnd w:id="16"/>
    </w:p>
    <w:p w14:paraId="6974D367">
      <w:pPr>
        <w:shd w:val="clear"/>
        <w:tabs>
          <w:tab w:val="left" w:pos="2472"/>
        </w:tabs>
        <w:spacing w:line="460" w:lineRule="exact"/>
        <w:ind w:firstLine="420" w:firstLineChars="200"/>
        <w:rPr>
          <w:rFonts w:hint="eastAsia" w:ascii="宋体" w:hAnsi="Courier New"/>
          <w:color w:val="auto"/>
          <w:szCs w:val="21"/>
          <w:highlight w:val="none"/>
        </w:rPr>
      </w:pPr>
      <w:r>
        <w:rPr>
          <w:rFonts w:hint="eastAsia" w:ascii="宋体" w:hAnsi="宋体" w:cs="宋体"/>
          <w:color w:val="auto"/>
          <w:szCs w:val="21"/>
          <w:highlight w:val="none"/>
        </w:rPr>
        <w:t>本项目采用</w:t>
      </w:r>
      <w:r>
        <w:rPr>
          <w:rFonts w:hint="eastAsia" w:ascii="宋体" w:hAnsi="宋体" w:cs="宋体"/>
          <w:color w:val="auto"/>
          <w:szCs w:val="21"/>
          <w:highlight w:val="none"/>
          <w:u w:val="single"/>
        </w:rPr>
        <w:t xml:space="preserve"> 以下勾选的方式</w:t>
      </w:r>
      <w:r>
        <w:rPr>
          <w:rFonts w:hint="eastAsia" w:ascii="宋体" w:hAnsi="宋体" w:cs="宋体"/>
          <w:color w:val="auto"/>
          <w:szCs w:val="21"/>
          <w:highlight w:val="none"/>
        </w:rPr>
        <w:t>进行评审。</w:t>
      </w:r>
    </w:p>
    <w:p w14:paraId="30BF3CEE">
      <w:pPr>
        <w:shd w:val="clear"/>
        <w:spacing w:line="360" w:lineRule="auto"/>
        <w:ind w:firstLine="420"/>
        <w:rPr>
          <w:rFonts w:ascii="宋体" w:hAnsi="宋体"/>
          <w:color w:val="auto"/>
          <w:szCs w:val="20"/>
          <w:highlight w:val="none"/>
        </w:rPr>
      </w:pPr>
      <w:r>
        <w:rPr>
          <w:rFonts w:hint="eastAsia" w:ascii="宋体" w:hAnsi="宋体" w:eastAsia="宋体" w:cs="宋体"/>
          <w:color w:val="auto"/>
          <w:sz w:val="21"/>
          <w:szCs w:val="21"/>
          <w:highlight w:val="none"/>
        </w:rPr>
        <w:t>□</w:t>
      </w:r>
      <w:r>
        <w:rPr>
          <w:rFonts w:hint="eastAsia" w:ascii="宋体" w:hAnsi="宋体"/>
          <w:color w:val="auto"/>
          <w:szCs w:val="21"/>
          <w:highlight w:val="none"/>
        </w:rPr>
        <w:t>最低评标价法，是指投标文件满足招标文件</w:t>
      </w:r>
      <w:r>
        <w:rPr>
          <w:rFonts w:hint="eastAsia" w:ascii="宋体" w:hAnsi="宋体"/>
          <w:color w:val="auto"/>
          <w:szCs w:val="20"/>
          <w:highlight w:val="none"/>
        </w:rPr>
        <w:t>全部实质性要求，且投标报价最低的投标人为中标候选人的评标方法。</w:t>
      </w:r>
    </w:p>
    <w:p w14:paraId="14DEAF53">
      <w:pPr>
        <w:shd w:val="clear"/>
        <w:autoSpaceDE w:val="0"/>
        <w:autoSpaceDN w:val="0"/>
        <w:adjustRightInd w:val="0"/>
        <w:spacing w:line="440" w:lineRule="exact"/>
        <w:ind w:firstLine="420" w:firstLineChars="200"/>
        <w:rPr>
          <w:rFonts w:ascii="宋体" w:hAnsi="宋体"/>
          <w:b w:val="0"/>
          <w:bCs w:val="0"/>
          <w:color w:val="auto"/>
          <w:sz w:val="24"/>
          <w:highlight w:val="none"/>
        </w:rPr>
      </w:pPr>
      <w:r>
        <w:rPr>
          <w:rFonts w:hint="eastAsia" w:ascii="宋体" w:hAnsi="宋体" w:eastAsia="宋体" w:cs="宋体"/>
          <w:b w:val="0"/>
          <w:bCs w:val="0"/>
          <w:color w:val="auto"/>
          <w:sz w:val="21"/>
          <w:szCs w:val="21"/>
          <w:highlight w:val="none"/>
          <w:lang w:eastAsia="zh-CN"/>
        </w:rPr>
        <w:t>☑</w:t>
      </w:r>
      <w:r>
        <w:rPr>
          <w:rFonts w:hint="eastAsia" w:hAnsi="宋体"/>
          <w:b w:val="0"/>
          <w:bCs w:val="0"/>
          <w:color w:val="auto"/>
          <w:highlight w:val="none"/>
        </w:rPr>
        <w:t>综合评分法，</w:t>
      </w:r>
      <w:r>
        <w:rPr>
          <w:rFonts w:hint="eastAsia" w:ascii="宋体" w:hAnsi="宋体"/>
          <w:b w:val="0"/>
          <w:bCs w:val="0"/>
          <w:color w:val="auto"/>
          <w:szCs w:val="20"/>
          <w:highlight w:val="none"/>
        </w:rPr>
        <w:t>是指投标文件满足招标文件全部实质性要求，且按照评审因素的量化指标评审得分最高的投标人为中标候选人的评标方法。评标委员会将对各投标人的投标报价、技术和服务方案、投标人的企业实力及资质等方面进行综合评审，对实质上响应招标文件的投标人，由各评委独立记名打分。经统计，得出各投标人的综合得分</w:t>
      </w:r>
      <w:r>
        <w:rPr>
          <w:rFonts w:hint="eastAsia" w:ascii="宋体" w:hAnsi="宋体"/>
          <w:b w:val="0"/>
          <w:bCs w:val="0"/>
          <w:color w:val="auto"/>
          <w:szCs w:val="20"/>
          <w:highlight w:val="none"/>
          <w:lang w:eastAsia="zh-CN"/>
        </w:rPr>
        <w:t>，</w:t>
      </w:r>
      <w:r>
        <w:rPr>
          <w:rFonts w:hint="eastAsia" w:ascii="宋体" w:hAnsi="宋体"/>
          <w:b w:val="0"/>
          <w:bCs w:val="0"/>
          <w:color w:val="auto"/>
          <w:szCs w:val="20"/>
          <w:highlight w:val="none"/>
        </w:rPr>
        <w:t xml:space="preserve">按综合得分由高到低顺序排列。若综合得分相同的，按投标报价由低到高顺序排列。若综合得分且投标报价相同的，服务类采购项目以技术得分较高者为先，服务类采购项目以实力信誉及业绩得分较高者为先。 </w:t>
      </w:r>
    </w:p>
    <w:p w14:paraId="27102625">
      <w:pPr>
        <w:shd w:val="clear"/>
        <w:spacing w:line="360" w:lineRule="auto"/>
        <w:ind w:firstLine="420"/>
        <w:rPr>
          <w:rFonts w:ascii="宋体" w:hAnsi="宋体"/>
          <w:color w:val="auto"/>
          <w:szCs w:val="20"/>
          <w:highlight w:val="none"/>
        </w:rPr>
      </w:pPr>
    </w:p>
    <w:p w14:paraId="1E484275">
      <w:pPr>
        <w:shd w:val="clear"/>
        <w:tabs>
          <w:tab w:val="left" w:pos="2472"/>
        </w:tabs>
        <w:spacing w:line="460" w:lineRule="exact"/>
        <w:jc w:val="center"/>
        <w:outlineLvl w:val="1"/>
        <w:rPr>
          <w:rFonts w:hint="eastAsia"/>
          <w:b/>
          <w:bCs/>
          <w:color w:val="auto"/>
          <w:sz w:val="30"/>
          <w:szCs w:val="30"/>
          <w:highlight w:val="none"/>
        </w:rPr>
      </w:pPr>
      <w:bookmarkStart w:id="17" w:name="_Toc171344358"/>
      <w:r>
        <w:rPr>
          <w:rFonts w:hint="eastAsia"/>
          <w:b/>
          <w:bCs/>
          <w:color w:val="auto"/>
          <w:sz w:val="30"/>
          <w:szCs w:val="30"/>
          <w:highlight w:val="none"/>
        </w:rPr>
        <w:t>第二节 评标程序</w:t>
      </w:r>
      <w:bookmarkEnd w:id="17"/>
    </w:p>
    <w:p w14:paraId="2071DC46">
      <w:pPr>
        <w:shd w:val="clea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1.符合性审查</w:t>
      </w:r>
    </w:p>
    <w:p w14:paraId="28B3E96D">
      <w:pPr>
        <w:shd w:val="clear"/>
        <w:spacing w:line="360" w:lineRule="auto"/>
        <w:ind w:firstLine="420" w:firstLineChars="200"/>
        <w:rPr>
          <w:rFonts w:hint="eastAsia" w:hAnsi="宋体"/>
          <w:color w:val="auto"/>
          <w:highlight w:val="none"/>
        </w:rPr>
      </w:pPr>
      <w:r>
        <w:rPr>
          <w:rFonts w:hint="eastAsia" w:hAnsi="宋体"/>
          <w:color w:val="auto"/>
          <w:highlight w:val="none"/>
        </w:rPr>
        <w:t>评标委员会应当对符合资格的投标人的投标文件进行投标报价、商务、技术等实质性内容符合性审查，以确定其是否满足招标文件的实质性要求。</w:t>
      </w:r>
    </w:p>
    <w:p w14:paraId="40F70B8D">
      <w:pPr>
        <w:shd w:val="clea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w:t>
      </w:r>
      <w:r>
        <w:rPr>
          <w:rFonts w:ascii="宋体" w:hAnsi="宋体"/>
          <w:b/>
          <w:color w:val="auto"/>
          <w:szCs w:val="21"/>
          <w:highlight w:val="none"/>
        </w:rPr>
        <w:t>.</w:t>
      </w:r>
      <w:r>
        <w:rPr>
          <w:rFonts w:hint="eastAsia" w:ascii="宋体" w:hAnsi="宋体"/>
          <w:b/>
          <w:color w:val="auto"/>
          <w:szCs w:val="21"/>
          <w:highlight w:val="none"/>
        </w:rPr>
        <w:t>符合性审查不通过而导致投标无效的情形</w:t>
      </w:r>
    </w:p>
    <w:p w14:paraId="6A9260D1">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投标人的投标文件中存在对招标文件的任何实质性要求和条件的负偏离，将被视为投标无效。</w:t>
      </w:r>
    </w:p>
    <w:p w14:paraId="4F5A3E06">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2.1在报价评审时，如发现下列情形之一的，将被视为投标无效：</w:t>
      </w:r>
    </w:p>
    <w:p w14:paraId="032FD788">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（1）投标文件未提供“投标人须知前附表”第13.1条规定中“必须提供”的文件资料的</w:t>
      </w:r>
      <w:r>
        <w:rPr>
          <w:rFonts w:hint="eastAsia" w:ascii="宋体" w:hAnsi="宋体"/>
          <w:color w:val="auto"/>
          <w:szCs w:val="21"/>
          <w:highlight w:val="none"/>
          <w:lang w:eastAsia="zh-CN"/>
        </w:rPr>
        <w:t>；</w:t>
      </w:r>
    </w:p>
    <w:p w14:paraId="409359EF">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（2）未采用人民币报价或者未按照招标文件标明的币种报价的；</w:t>
      </w:r>
    </w:p>
    <w:p w14:paraId="44576E25">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（3）报价超出招标文件规定最高限价，或者超出采购预算金额（包括分项合计预算）的；</w:t>
      </w:r>
    </w:p>
    <w:p w14:paraId="18E9224B">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投标人未就所投分标进行报价或者存在漏项报价；投标人未就所投分标的单项内容作唯一报价；投标人未就所投分标的全部内容作唯一总价报价；存在有选择、有条件报价的（招标文件允许有备选方案或者其他约定的除外）；</w:t>
      </w:r>
    </w:p>
    <w:p w14:paraId="5AE5B919">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（5）修正后的报价，投标人不确认的；</w:t>
      </w:r>
    </w:p>
    <w:p w14:paraId="2ED7AD9D">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（6）投标人属于本章第</w:t>
      </w:r>
      <w:r>
        <w:rPr>
          <w:rFonts w:ascii="宋体" w:hAnsi="宋体"/>
          <w:color w:val="auto"/>
          <w:szCs w:val="21"/>
          <w:highlight w:val="none"/>
        </w:rPr>
        <w:t>5</w:t>
      </w:r>
      <w:r>
        <w:rPr>
          <w:rFonts w:hint="eastAsia" w:ascii="宋体" w:hAnsi="宋体"/>
          <w:color w:val="auto"/>
          <w:szCs w:val="21"/>
          <w:highlight w:val="none"/>
        </w:rPr>
        <w:t>条第（2）项情形的。</w:t>
      </w:r>
    </w:p>
    <w:p w14:paraId="2D036D4F">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2.2在商务评审时，如发现下列情形之一的，将被视为投标无效：</w:t>
      </w:r>
    </w:p>
    <w:p w14:paraId="1044C972">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（1）投标文件未按招标文件要求签署、盖章的；</w:t>
      </w:r>
    </w:p>
    <w:p w14:paraId="608979FB">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（2）委托代理人未能出具有效身份证明或者出具的身份证明与授权委托书中的信息不符的； </w:t>
      </w:r>
    </w:p>
    <w:p w14:paraId="7764B6BB">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（3）投标文件未提供“投标人须知前附表”第13.</w:t>
      </w:r>
      <w:r>
        <w:rPr>
          <w:rFonts w:ascii="宋体" w:hAnsi="宋体"/>
          <w:color w:val="auto"/>
          <w:szCs w:val="21"/>
          <w:highlight w:val="none"/>
        </w:rPr>
        <w:t>1</w:t>
      </w:r>
      <w:r>
        <w:rPr>
          <w:rFonts w:hint="eastAsia" w:ascii="宋体" w:hAnsi="宋体"/>
          <w:color w:val="auto"/>
          <w:szCs w:val="21"/>
          <w:highlight w:val="none"/>
        </w:rPr>
        <w:t>条规定中“必须提供”或者“委托时必须提供”的文件资料的</w:t>
      </w:r>
      <w:r>
        <w:rPr>
          <w:rFonts w:hint="eastAsia" w:ascii="宋体" w:hAnsi="宋体"/>
          <w:color w:val="auto"/>
          <w:szCs w:val="21"/>
          <w:highlight w:val="none"/>
          <w:lang w:eastAsia="zh-CN"/>
        </w:rPr>
        <w:t>；</w:t>
      </w:r>
    </w:p>
    <w:p w14:paraId="102BAE65">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（4）投标有效期、项目完成时间（交货时间、服务完成时间或者货物期等）、质保期、售后服务等招标文件中标“▲”的商务条款发生负偏离的；</w:t>
      </w:r>
    </w:p>
    <w:p w14:paraId="652B1352">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（5）商务条款评审允许负偏离的条款数超过“投标人须知前附表”规定项数的。</w:t>
      </w:r>
    </w:p>
    <w:p w14:paraId="6F9BB2EB">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（6）投标文件的实质性内容未使用中文表述、使用计量单位不符合招标文件要求的；</w:t>
      </w:r>
    </w:p>
    <w:p w14:paraId="7A1961CA">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（7）投标文件中的文件资料因填写不齐全或者内容虚假或者出现其他情形而导致被评标委员会认定无效的；</w:t>
      </w:r>
    </w:p>
    <w:p w14:paraId="55F53B90">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（8）投标文件含有采购人不能接受的附加条件的；</w:t>
      </w:r>
    </w:p>
    <w:p w14:paraId="4B45D140">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（9）未响应招标文件实质性要求的；</w:t>
      </w:r>
    </w:p>
    <w:p w14:paraId="13831B3C">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（10）属于投标人须知正文第</w:t>
      </w:r>
      <w:r>
        <w:rPr>
          <w:rFonts w:ascii="宋体" w:hAnsi="宋体"/>
          <w:color w:val="auto"/>
          <w:szCs w:val="21"/>
          <w:highlight w:val="none"/>
        </w:rPr>
        <w:t>9.2</w:t>
      </w:r>
      <w:r>
        <w:rPr>
          <w:rFonts w:hint="eastAsia" w:ascii="宋体" w:hAnsi="宋体"/>
          <w:color w:val="auto"/>
          <w:szCs w:val="21"/>
          <w:highlight w:val="none"/>
        </w:rPr>
        <w:t>条情形的；</w:t>
      </w:r>
    </w:p>
    <w:p w14:paraId="3387F9C1">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（11）法律、法规和招标文件规定的其他无效情形。</w:t>
      </w:r>
    </w:p>
    <w:p w14:paraId="155CCFFC">
      <w:pPr>
        <w:shd w:val="clea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2.3在技术评审时，如发现下列情形之一的，将被视为投标无效：</w:t>
      </w:r>
    </w:p>
    <w:p w14:paraId="7AF57DB0">
      <w:pPr>
        <w:shd w:val="clear"/>
        <w:spacing w:line="360" w:lineRule="auto"/>
        <w:ind w:firstLine="420" w:firstLineChars="200"/>
        <w:rPr>
          <w:rFonts w:hint="eastAsia" w:hAnsi="宋体"/>
          <w:color w:val="auto"/>
          <w:szCs w:val="21"/>
          <w:highlight w:val="none"/>
        </w:rPr>
      </w:pPr>
      <w:r>
        <w:rPr>
          <w:rFonts w:hint="eastAsia" w:hAnsi="宋体"/>
          <w:color w:val="auto"/>
          <w:szCs w:val="21"/>
          <w:highlight w:val="none"/>
        </w:rPr>
        <w:t>（1）不满足招标文件要求的服务内容、技术要求、安全、质量标准，或者与招标文件中标“▲”的技术需求发生负偏离的；</w:t>
      </w:r>
    </w:p>
    <w:p w14:paraId="363B6D20">
      <w:pPr>
        <w:shd w:val="clear"/>
        <w:spacing w:line="360" w:lineRule="auto"/>
        <w:ind w:firstLine="420" w:firstLineChars="200"/>
        <w:rPr>
          <w:rFonts w:hint="eastAsia" w:hAnsi="宋体"/>
          <w:color w:val="auto"/>
          <w:szCs w:val="21"/>
          <w:highlight w:val="none"/>
        </w:rPr>
      </w:pPr>
      <w:r>
        <w:rPr>
          <w:rFonts w:hint="eastAsia" w:hAnsi="宋体"/>
          <w:color w:val="auto"/>
          <w:szCs w:val="21"/>
          <w:highlight w:val="none"/>
        </w:rPr>
        <w:t>（2）技术需求评审允许负偏离的条款数超过“投标人须知前附表”规定项数的；</w:t>
      </w:r>
    </w:p>
    <w:p w14:paraId="640EBB86">
      <w:pPr>
        <w:shd w:val="clear"/>
        <w:spacing w:line="360" w:lineRule="auto"/>
        <w:ind w:firstLine="420" w:firstLineChars="200"/>
        <w:rPr>
          <w:rFonts w:hint="eastAsia" w:hAnsi="宋体"/>
          <w:color w:val="auto"/>
          <w:szCs w:val="21"/>
          <w:highlight w:val="none"/>
        </w:rPr>
      </w:pPr>
      <w:r>
        <w:rPr>
          <w:rFonts w:hint="eastAsia" w:hAnsi="宋体"/>
          <w:color w:val="auto"/>
          <w:szCs w:val="21"/>
          <w:highlight w:val="none"/>
        </w:rPr>
        <w:t>（3）投标文件未提供“投标人须知前附表”第13.</w:t>
      </w:r>
      <w:r>
        <w:rPr>
          <w:rFonts w:hAnsi="宋体"/>
          <w:color w:val="auto"/>
          <w:szCs w:val="21"/>
          <w:highlight w:val="none"/>
        </w:rPr>
        <w:t>1</w:t>
      </w:r>
      <w:r>
        <w:rPr>
          <w:rFonts w:hint="eastAsia" w:hAnsi="宋体"/>
          <w:color w:val="auto"/>
          <w:szCs w:val="21"/>
          <w:highlight w:val="none"/>
        </w:rPr>
        <w:t>条规定中“必须提供”的文件资料的</w:t>
      </w:r>
      <w:r>
        <w:rPr>
          <w:rFonts w:hint="eastAsia" w:hAnsi="宋体"/>
          <w:color w:val="auto"/>
          <w:szCs w:val="21"/>
          <w:highlight w:val="none"/>
          <w:lang w:eastAsia="zh-CN"/>
        </w:rPr>
        <w:t>；</w:t>
      </w:r>
    </w:p>
    <w:p w14:paraId="0A1CE1ED">
      <w:pPr>
        <w:shd w:val="clear"/>
        <w:spacing w:line="360" w:lineRule="auto"/>
        <w:ind w:firstLine="420" w:firstLineChars="200"/>
        <w:rPr>
          <w:rFonts w:hint="eastAsia" w:hAnsi="宋体"/>
          <w:color w:val="auto"/>
          <w:szCs w:val="21"/>
          <w:highlight w:val="none"/>
        </w:rPr>
      </w:pPr>
      <w:r>
        <w:rPr>
          <w:rFonts w:hint="eastAsia" w:hAnsi="宋体"/>
          <w:color w:val="auto"/>
          <w:szCs w:val="21"/>
          <w:highlight w:val="none"/>
        </w:rPr>
        <w:t>（4）虚假投标，或者出现其他情形而导致被评标委员会认定无效的；</w:t>
      </w:r>
    </w:p>
    <w:p w14:paraId="0808A9E0">
      <w:pPr>
        <w:shd w:val="clear"/>
        <w:spacing w:line="360" w:lineRule="auto"/>
        <w:ind w:firstLine="420" w:firstLineChars="200"/>
        <w:rPr>
          <w:rFonts w:hint="eastAsia" w:hAnsi="宋体"/>
          <w:color w:val="auto"/>
          <w:szCs w:val="21"/>
          <w:highlight w:val="none"/>
        </w:rPr>
      </w:pPr>
      <w:r>
        <w:rPr>
          <w:rFonts w:hint="eastAsia" w:hAnsi="宋体"/>
          <w:color w:val="auto"/>
          <w:szCs w:val="21"/>
          <w:highlight w:val="none"/>
        </w:rPr>
        <w:t>（5）招标文件要求提供技术方案的，投标技术方案不明确，招标文件未允许但存在一个或者一个以上备选（替代）投标方案的。</w:t>
      </w:r>
    </w:p>
    <w:p w14:paraId="15F9B54B">
      <w:pPr>
        <w:shd w:val="clea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3</w:t>
      </w:r>
      <w:r>
        <w:rPr>
          <w:rFonts w:ascii="宋体" w:hAnsi="宋体"/>
          <w:b/>
          <w:color w:val="auto"/>
          <w:szCs w:val="21"/>
          <w:highlight w:val="none"/>
        </w:rPr>
        <w:t>.</w:t>
      </w:r>
      <w:r>
        <w:rPr>
          <w:rFonts w:hint="eastAsia" w:ascii="宋体" w:hAnsi="宋体"/>
          <w:b/>
          <w:color w:val="auto"/>
          <w:szCs w:val="21"/>
          <w:highlight w:val="none"/>
        </w:rPr>
        <w:t>澄清补正、说明或者补正</w:t>
      </w:r>
    </w:p>
    <w:p w14:paraId="6E99F547">
      <w:pPr>
        <w:shd w:val="clea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单位公章后在线上传至评标委员会。投标人的澄清、说明或者补正不得超出投标文件的范围或者改变投标文件的实质性内容。投标人未在规定时间内进行澄清、说明或者补正的，按无效投标处理。</w:t>
      </w:r>
    </w:p>
    <w:p w14:paraId="687F0D6A">
      <w:pPr>
        <w:shd w:val="clear"/>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338B3B04">
      <w:pPr>
        <w:shd w:val="clear"/>
        <w:spacing w:line="360" w:lineRule="auto"/>
        <w:ind w:firstLine="422" w:firstLineChars="200"/>
        <w:rPr>
          <w:rFonts w:hint="eastAsia" w:ascii="宋体" w:hAnsi="宋体"/>
          <w:b/>
          <w:color w:val="auto"/>
          <w:szCs w:val="21"/>
          <w:highlight w:val="none"/>
        </w:rPr>
      </w:pPr>
      <w:r>
        <w:rPr>
          <w:rFonts w:ascii="宋体" w:hAnsi="宋体"/>
          <w:b/>
          <w:color w:val="auto"/>
          <w:szCs w:val="21"/>
          <w:highlight w:val="none"/>
        </w:rPr>
        <w:t>4.</w:t>
      </w:r>
      <w:r>
        <w:rPr>
          <w:rFonts w:hint="eastAsia" w:ascii="宋体" w:hAnsi="宋体"/>
          <w:b/>
          <w:color w:val="auto"/>
          <w:szCs w:val="21"/>
          <w:highlight w:val="none"/>
        </w:rPr>
        <w:t>投标文件修正</w:t>
      </w:r>
    </w:p>
    <w:p w14:paraId="3322547A">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4.1投标文件报价出现前后不一致的，按照下列规定修正： </w:t>
      </w:r>
    </w:p>
    <w:p w14:paraId="31853F4D">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（1）报价文件中“开标一览表”内容与投标文件中相应内容不一致的，以“开标一览表”为准；</w:t>
      </w:r>
    </w:p>
    <w:p w14:paraId="24EBE803">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（2）大写金额和小写金额不一致的，以大写金额为准；</w:t>
      </w:r>
    </w:p>
    <w:p w14:paraId="4F0B692B">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（3）单价金额小数点或者百分比有明显错位的，以开标一览表的总价为准，并修改单价；</w:t>
      </w:r>
    </w:p>
    <w:p w14:paraId="2112E6C6">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（4）总价金额与按单价汇总金额不一致的，以单价金额计算结果为准。</w:t>
      </w:r>
    </w:p>
    <w:p w14:paraId="329C4CE0">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同时出现两种以上不一致的，按照以上（1）-（4）规定的顺序修正。修正后的报价经投标人确认后产生约束力，投标人不确认的，其投标无效。</w:t>
      </w:r>
    </w:p>
    <w:p w14:paraId="10348701">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4.2经投标人确认修正后的报价若超过采购预算金额或者最高限价，投标人的投标文件作无效投标处理。</w:t>
      </w:r>
    </w:p>
    <w:p w14:paraId="009D8166">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4.3经投标人确认修正后的报价作为签订合同的依据，并以此报价计算价格分。</w:t>
      </w:r>
    </w:p>
    <w:p w14:paraId="6F36B65D">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5.比较与评价</w:t>
      </w:r>
    </w:p>
    <w:p w14:paraId="48B6C580">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5.1评标委员会按照招标文件中规定的评标方法和评标标准，对符合性审查合格的投标文件进行商务和技术评估，综合比较与评价。</w:t>
      </w:r>
    </w:p>
    <w:p w14:paraId="5EB896CA">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5.2 评标委员会独立对每个投标人的投标文件进行评价，并汇总每个投标人的得分。 评审委员会成员要根据政府采购法律法规和采购文件所载明的评审方法、标准进行评审。对供应商的价格分等客观评分项的评分应当一致；对其他需要借助专业知识评判的主观评分项，应当严格按照评分细则公正评分。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投标作为无效投标处理。</w:t>
      </w:r>
    </w:p>
    <w:p w14:paraId="2D9C7333">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5.2.1异常低价投标审查</w:t>
      </w:r>
    </w:p>
    <w:p w14:paraId="2F63DDB9">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（1）评标委员会在评审中发现下列情形之一的，应当启动异常低价投标审查程序：</w:t>
      </w:r>
    </w:p>
    <w:p w14:paraId="0848755C">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①投标报价低于全部通过符合性审查供应商投标报价平均值的65%，即：投标报价＜全部通过符合性审查供应商投标报价平均值×</w:t>
      </w:r>
      <w:r>
        <w:rPr>
          <w:rFonts w:hint="eastAsia" w:ascii="宋体" w:hAnsi="宋体" w:cs="Times New Roman"/>
          <w:color w:val="auto"/>
          <w:szCs w:val="21"/>
          <w:highlight w:val="none"/>
          <w:lang w:val="en-US" w:eastAsia="zh-CN"/>
        </w:rPr>
        <w:t>65</w:t>
      </w:r>
      <w:r>
        <w:rPr>
          <w:rFonts w:hint="eastAsia" w:ascii="宋体" w:hAnsi="宋体" w:eastAsia="宋体" w:cs="Times New Roman"/>
          <w:color w:val="auto"/>
          <w:szCs w:val="21"/>
          <w:highlight w:val="none"/>
        </w:rPr>
        <w:t>%；</w:t>
      </w:r>
    </w:p>
    <w:p w14:paraId="35381E20">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②投标报价低于通过符合性审查的次低投标报价的65%，即：投标报价＜通过符合性审查的次低投标报价×</w:t>
      </w:r>
      <w:r>
        <w:rPr>
          <w:rFonts w:hint="eastAsia" w:ascii="宋体" w:hAnsi="宋体" w:cs="Times New Roman"/>
          <w:color w:val="auto"/>
          <w:szCs w:val="21"/>
          <w:highlight w:val="none"/>
          <w:lang w:val="en-US" w:eastAsia="zh-CN"/>
        </w:rPr>
        <w:t>65</w:t>
      </w:r>
      <w:r>
        <w:rPr>
          <w:rFonts w:hint="eastAsia" w:ascii="宋体" w:hAnsi="宋体" w:eastAsia="宋体" w:cs="Times New Roman"/>
          <w:color w:val="auto"/>
          <w:szCs w:val="21"/>
          <w:highlight w:val="none"/>
        </w:rPr>
        <w:t>%；</w:t>
      </w:r>
    </w:p>
    <w:p w14:paraId="1550D140">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③投标报价低于本项目最高限价的65%，即：投标报价＜项目最高限价×</w:t>
      </w:r>
      <w:r>
        <w:rPr>
          <w:rFonts w:hint="eastAsia" w:ascii="宋体" w:hAnsi="宋体" w:cs="Times New Roman"/>
          <w:color w:val="auto"/>
          <w:szCs w:val="21"/>
          <w:highlight w:val="none"/>
          <w:lang w:val="en-US" w:eastAsia="zh-CN"/>
        </w:rPr>
        <w:t>6</w:t>
      </w:r>
      <w:r>
        <w:rPr>
          <w:rFonts w:hint="eastAsia" w:ascii="宋体" w:hAnsi="宋体" w:eastAsia="宋体" w:cs="Times New Roman"/>
          <w:color w:val="auto"/>
          <w:szCs w:val="21"/>
          <w:highlight w:val="none"/>
        </w:rPr>
        <w:t>5%（本项触发阈值设置区间为45%</w:t>
      </w:r>
      <w:r>
        <w:rPr>
          <w:rFonts w:hint="eastAsia" w:ascii="宋体" w:hAnsi="宋体" w:eastAsia="宋体" w:cs="Times New Roman"/>
          <w:color w:val="auto"/>
          <w:szCs w:val="21"/>
          <w:highlight w:val="none"/>
        </w:rPr>
        <w:noBreakHyphen/>
      </w:r>
      <w:r>
        <w:rPr>
          <w:rFonts w:hint="eastAsia" w:ascii="宋体" w:hAnsi="宋体" w:eastAsia="宋体" w:cs="Times New Roman"/>
          <w:color w:val="auto"/>
          <w:szCs w:val="21"/>
          <w:highlight w:val="none"/>
        </w:rPr>
        <w:t>65%）；</w:t>
      </w:r>
    </w:p>
    <w:p w14:paraId="0614D649">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④评标委员会基于专业综合判断，认为投标人报价过低，有可能影响产品质量或者不能诚信履约的其他情形。</w:t>
      </w:r>
    </w:p>
    <w:p w14:paraId="3939D88A">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评标委员会启动异常低价投标审查后，应当要求涉事投标人在评审现场合理时限内就投标价格作出解释，提交项目详细成本测算及能够佐证报价合理性的书面说明和证明材料，材料包括但不限于人工成本、服务实施成本、资源采购成本、运维成本、管理及税费等。给予投标人的答复时间一般不少于30分钟。若属于本条第③项情形，投标人已随投标文件一并提交完整的报价合理性书面说明及证明材料的，评标委员会可不再要求其重复提交。</w:t>
      </w:r>
    </w:p>
    <w:p w14:paraId="5715E838">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评标委员会结合同类项目成交价格、同类服务市场价格、行业人工薪酬标准、行业协会发布的行业平均成本等参考信息，对报价合理性开展综合研判。投标人未按要求提交书面说明及证明材料，或者提交的材料不足以证明报价能够完整履行招标文件全部要求、保障项目质量的，评标委员会应当认定其投标无效。</w:t>
      </w:r>
    </w:p>
    <w:p w14:paraId="6D0663F5">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采购人、采购代理机构应当为评标委员会查询同类项目成交价格、市场价格、行业人工及成本参考资料提供必要便利。评标委员会确需通过互联网查询相关参考信息的，必须严格遵守评标保密纪律，不得实施影响评审公正性的行为。</w:t>
      </w:r>
    </w:p>
    <w:p w14:paraId="4DC77281">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异常低价投标审查的触发事由、核查研判意见、审查处理结果应当完整记载于评标报告；投标人提交的书面说明及证明材料、评标委员会查询浏览记录等资料应当一并归档留存。</w:t>
      </w:r>
    </w:p>
    <w:p w14:paraId="69853427">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5.3评标委员会按照招标文件中规定的评标方法和标准计算各投标人的报价得分。在计算过程中，不得去掉最高报价或者最低报价。</w:t>
      </w:r>
    </w:p>
    <w:p w14:paraId="711980F3">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5.4各投标人的得分为所有评委的有效评分的算术平均数。</w:t>
      </w:r>
    </w:p>
    <w:p w14:paraId="361D78B7">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5.5评标委员会按照招标文件中的规定推荐中标候选人。</w:t>
      </w:r>
    </w:p>
    <w:p w14:paraId="5BC47841">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w:t>
      </w:r>
      <w:r>
        <w:rPr>
          <w:rFonts w:hint="eastAsia" w:ascii="宋体" w:hAnsi="宋体" w:cs="Times New Roman"/>
          <w:color w:val="auto"/>
          <w:szCs w:val="21"/>
          <w:highlight w:val="none"/>
          <w:lang w:eastAsia="zh-CN"/>
        </w:rPr>
        <w:t>原则作出结论</w:t>
      </w:r>
      <w:r>
        <w:rPr>
          <w:rFonts w:hint="eastAsia" w:ascii="宋体" w:hAnsi="宋体" w:eastAsia="宋体" w:cs="Times New Roman"/>
          <w:color w:val="auto"/>
          <w:szCs w:val="21"/>
          <w:highlight w:val="none"/>
        </w:rPr>
        <w:t>。持不同意见的评标委员会应当在评标报告上签署不同意见及理由，否则视为同意评标报告。</w:t>
      </w:r>
    </w:p>
    <w:p w14:paraId="4E0332F2">
      <w:pPr>
        <w:shd w:val="clea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6</w:t>
      </w:r>
      <w:r>
        <w:rPr>
          <w:rFonts w:ascii="宋体" w:hAnsi="宋体"/>
          <w:b/>
          <w:color w:val="auto"/>
          <w:szCs w:val="21"/>
          <w:highlight w:val="none"/>
        </w:rPr>
        <w:t>.</w:t>
      </w:r>
      <w:r>
        <w:rPr>
          <w:rFonts w:hint="eastAsia" w:ascii="宋体" w:hAnsi="宋体"/>
          <w:b/>
          <w:color w:val="auto"/>
          <w:szCs w:val="21"/>
          <w:highlight w:val="none"/>
        </w:rPr>
        <w:t>评审复核</w:t>
      </w:r>
    </w:p>
    <w:p w14:paraId="4F571C6B">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6.1评标报告签署前，评标委员会要对评审结果进行复核，复核意见要体现在评标报告中。</w:t>
      </w:r>
    </w:p>
    <w:p w14:paraId="71EB7C6D">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6.2评标结果汇总完成后，除下列情形外，任何人不得修改评标结果：</w:t>
      </w:r>
    </w:p>
    <w:p w14:paraId="076B920B">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（一）分值汇总计算错误的；</w:t>
      </w:r>
    </w:p>
    <w:p w14:paraId="0EFCD59D">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（二）分项评分超出评分标准范围的；</w:t>
      </w:r>
    </w:p>
    <w:p w14:paraId="62FF6060">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（三）评标委员会成员对客观评审因素评分不一致的；</w:t>
      </w:r>
    </w:p>
    <w:p w14:paraId="68991B1F">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（四）经评标委员会认定评分畸高、畸低的。</w:t>
      </w:r>
    </w:p>
    <w:p w14:paraId="52799342">
      <w:pPr>
        <w:shd w:val="clea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212B49CF">
      <w:pPr>
        <w:keepNext/>
        <w:keepLines/>
        <w:shd w:val="clear"/>
        <w:spacing w:before="260" w:after="260" w:line="413" w:lineRule="auto"/>
        <w:jc w:val="center"/>
        <w:outlineLvl w:val="1"/>
        <w:rPr>
          <w:rFonts w:hint="eastAsia" w:ascii="宋体" w:hAnsi="宋体" w:eastAsia="宋体" w:cs="宋体"/>
          <w:b/>
          <w:bCs w:val="0"/>
          <w:color w:val="auto"/>
          <w:sz w:val="30"/>
          <w:szCs w:val="30"/>
          <w:highlight w:val="none"/>
        </w:rPr>
      </w:pPr>
      <w:bookmarkStart w:id="18" w:name="_Toc171344359"/>
      <w:r>
        <w:rPr>
          <w:rFonts w:hint="eastAsia" w:ascii="宋体" w:hAnsi="宋体" w:eastAsia="宋体" w:cs="宋体"/>
          <w:b/>
          <w:bCs w:val="0"/>
          <w:color w:val="auto"/>
          <w:sz w:val="30"/>
          <w:szCs w:val="30"/>
          <w:highlight w:val="none"/>
        </w:rPr>
        <w:t>第三节 评分标准</w:t>
      </w:r>
      <w:bookmarkEnd w:id="18"/>
    </w:p>
    <w:p w14:paraId="099D8F66">
      <w:pPr>
        <w:shd w:val="clear"/>
        <w:ind w:firstLine="3614" w:firstLineChars="1200"/>
        <w:jc w:val="both"/>
        <w:rPr>
          <w:b/>
          <w:color w:val="auto"/>
          <w:sz w:val="30"/>
          <w:szCs w:val="30"/>
          <w:highlight w:val="none"/>
        </w:rPr>
      </w:pPr>
      <w:r>
        <w:rPr>
          <w:rFonts w:hint="eastAsia"/>
          <w:b/>
          <w:color w:val="auto"/>
          <w:sz w:val="30"/>
          <w:szCs w:val="30"/>
          <w:highlight w:val="none"/>
        </w:rPr>
        <w:t>一、综合评分法</w:t>
      </w:r>
    </w:p>
    <w:p w14:paraId="45E58477">
      <w:pPr>
        <w:shd w:val="clear"/>
        <w:spacing w:line="360" w:lineRule="auto"/>
        <w:ind w:firstLine="420"/>
        <w:rPr>
          <w:rFonts w:hint="eastAsia" w:ascii="宋体" w:hAnsi="宋体"/>
          <w:bCs/>
          <w:color w:val="auto"/>
          <w:szCs w:val="20"/>
          <w:highlight w:val="none"/>
        </w:rPr>
      </w:pPr>
      <w:r>
        <w:rPr>
          <w:rFonts w:hint="eastAsia" w:ascii="宋体" w:hAnsi="宋体"/>
          <w:bCs/>
          <w:color w:val="auto"/>
          <w:szCs w:val="20"/>
          <w:highlight w:val="none"/>
        </w:rPr>
        <w:t>注：</w:t>
      </w:r>
    </w:p>
    <w:p w14:paraId="2CC202C5">
      <w:pPr>
        <w:shd w:val="clear"/>
        <w:spacing w:line="360" w:lineRule="auto"/>
        <w:ind w:firstLine="420"/>
        <w:rPr>
          <w:rFonts w:ascii="宋体" w:hAnsi="宋体"/>
          <w:bCs/>
          <w:color w:val="auto"/>
          <w:szCs w:val="20"/>
          <w:highlight w:val="none"/>
        </w:rPr>
      </w:pPr>
      <w:r>
        <w:rPr>
          <w:rFonts w:hint="eastAsia" w:ascii="宋体" w:hAnsi="宋体"/>
          <w:bCs/>
          <w:color w:val="auto"/>
          <w:szCs w:val="20"/>
          <w:highlight w:val="none"/>
        </w:rPr>
        <w:t>1</w:t>
      </w:r>
      <w:r>
        <w:rPr>
          <w:rFonts w:hint="eastAsia" w:ascii="宋体" w:hAnsi="宋体"/>
          <w:bCs/>
          <w:color w:val="auto"/>
          <w:szCs w:val="20"/>
          <w:highlight w:val="none"/>
          <w:lang w:val="en-US" w:eastAsia="zh-CN"/>
        </w:rPr>
        <w:t>.</w:t>
      </w:r>
      <w:r>
        <w:rPr>
          <w:rFonts w:hint="eastAsia" w:ascii="宋体" w:hAnsi="宋体"/>
          <w:bCs/>
          <w:color w:val="auto"/>
          <w:szCs w:val="20"/>
          <w:highlight w:val="none"/>
        </w:rPr>
        <w:t>计分方法按四舍五入取至百分位。</w:t>
      </w:r>
    </w:p>
    <w:p w14:paraId="595108E6">
      <w:pPr>
        <w:keepNext w:val="0"/>
        <w:keepLines w:val="0"/>
        <w:pageBreakBefore w:val="0"/>
        <w:shd w:val="clear"/>
        <w:kinsoku/>
        <w:wordWrap/>
        <w:overflowPunct/>
        <w:topLinePunct w:val="0"/>
        <w:autoSpaceDE/>
        <w:autoSpaceDN/>
        <w:bidi w:val="0"/>
        <w:spacing w:line="360" w:lineRule="auto"/>
        <w:ind w:firstLine="420"/>
        <w:rPr>
          <w:rFonts w:ascii="宋体" w:hAnsi="宋体"/>
          <w:bCs/>
          <w:color w:val="auto"/>
          <w:szCs w:val="20"/>
          <w:highlight w:val="none"/>
        </w:rPr>
      </w:pPr>
      <w:r>
        <w:rPr>
          <w:rFonts w:hint="eastAsia" w:ascii="宋体" w:hAnsi="宋体"/>
          <w:bCs/>
          <w:color w:val="auto"/>
          <w:szCs w:val="20"/>
          <w:highlight w:val="none"/>
        </w:rPr>
        <w:t>2</w:t>
      </w:r>
      <w:r>
        <w:rPr>
          <w:rFonts w:hint="eastAsia" w:ascii="宋体" w:hAnsi="宋体"/>
          <w:bCs/>
          <w:color w:val="auto"/>
          <w:szCs w:val="20"/>
          <w:highlight w:val="none"/>
          <w:lang w:val="en-US" w:eastAsia="zh-CN"/>
        </w:rPr>
        <w:t>.</w:t>
      </w:r>
      <w:r>
        <w:rPr>
          <w:rFonts w:hint="eastAsia" w:ascii="宋体" w:hAnsi="宋体"/>
          <w:bCs/>
          <w:color w:val="auto"/>
          <w:szCs w:val="20"/>
          <w:highlight w:val="none"/>
        </w:rPr>
        <w:t>商务技术评审因素为客观评分项的，应在评分项目或评分标准中予以标注为“客观分”。对投标人的客观评分项目，各评标专家评分应当一致。</w:t>
      </w:r>
    </w:p>
    <w:tbl>
      <w:tblPr>
        <w:tblStyle w:val="33"/>
        <w:tblW w:w="93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1"/>
        <w:gridCol w:w="1020"/>
        <w:gridCol w:w="1126"/>
        <w:gridCol w:w="6737"/>
      </w:tblGrid>
      <w:tr w14:paraId="2C2D6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1" w:type="dxa"/>
            <w:gridSpan w:val="2"/>
            <w:tcBorders>
              <w:top w:val="single" w:color="auto" w:sz="4" w:space="0"/>
              <w:left w:val="single" w:color="auto" w:sz="4" w:space="0"/>
              <w:bottom w:val="single" w:color="auto" w:sz="4" w:space="0"/>
              <w:right w:val="single" w:color="auto" w:sz="4" w:space="0"/>
            </w:tcBorders>
            <w:noWrap w:val="0"/>
            <w:vAlign w:val="center"/>
          </w:tcPr>
          <w:p w14:paraId="1FB4AE9C">
            <w:pPr>
              <w:keepNext w:val="0"/>
              <w:keepLines w:val="0"/>
              <w:pageBreakBefore w:val="0"/>
              <w:shd w:val="clear"/>
              <w:kinsoku/>
              <w:wordWrap/>
              <w:overflowPunct/>
              <w:topLinePunct w:val="0"/>
              <w:autoSpaceDE/>
              <w:autoSpaceDN/>
              <w:bidi w:val="0"/>
              <w:adjustRightInd w:val="0"/>
              <w:spacing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序号</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485760FE">
            <w:pPr>
              <w:keepNext w:val="0"/>
              <w:keepLines w:val="0"/>
              <w:pageBreakBefore w:val="0"/>
              <w:shd w:val="clear"/>
              <w:kinsoku/>
              <w:wordWrap/>
              <w:overflowPunct/>
              <w:topLinePunct w:val="0"/>
              <w:autoSpaceDE/>
              <w:autoSpaceDN/>
              <w:bidi w:val="0"/>
              <w:adjustRightInd w:val="0"/>
              <w:spacing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评审因素</w:t>
            </w:r>
          </w:p>
        </w:tc>
        <w:tc>
          <w:tcPr>
            <w:tcW w:w="6737" w:type="dxa"/>
            <w:tcBorders>
              <w:top w:val="single" w:color="auto" w:sz="4" w:space="0"/>
              <w:left w:val="single" w:color="auto" w:sz="4" w:space="0"/>
              <w:bottom w:val="single" w:color="auto" w:sz="4" w:space="0"/>
              <w:right w:val="single" w:color="auto" w:sz="4" w:space="0"/>
            </w:tcBorders>
            <w:noWrap w:val="0"/>
            <w:vAlign w:val="center"/>
          </w:tcPr>
          <w:p w14:paraId="3FBEBE60">
            <w:pPr>
              <w:keepNext w:val="0"/>
              <w:keepLines w:val="0"/>
              <w:pageBreakBefore w:val="0"/>
              <w:shd w:val="clear"/>
              <w:kinsoku/>
              <w:wordWrap/>
              <w:overflowPunct/>
              <w:topLinePunct w:val="0"/>
              <w:autoSpaceDE/>
              <w:autoSpaceDN/>
              <w:bidi w:val="0"/>
              <w:adjustRightInd w:val="0"/>
              <w:spacing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评标标准</w:t>
            </w:r>
          </w:p>
        </w:tc>
      </w:tr>
      <w:tr w14:paraId="633E8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1" w:type="dxa"/>
            <w:tcBorders>
              <w:top w:val="single" w:color="auto" w:sz="4" w:space="0"/>
              <w:left w:val="single" w:color="auto" w:sz="4" w:space="0"/>
              <w:bottom w:val="single" w:color="auto" w:sz="4" w:space="0"/>
              <w:right w:val="single" w:color="auto" w:sz="4" w:space="0"/>
            </w:tcBorders>
            <w:noWrap w:val="0"/>
            <w:vAlign w:val="center"/>
          </w:tcPr>
          <w:p w14:paraId="39B84394">
            <w:pPr>
              <w:keepNext w:val="0"/>
              <w:keepLines w:val="0"/>
              <w:pageBreakBefore w:val="0"/>
              <w:shd w:val="clear"/>
              <w:kinsoku/>
              <w:wordWrap/>
              <w:overflowPunct/>
              <w:topLinePunct w:val="0"/>
              <w:autoSpaceDE/>
              <w:autoSpaceDN/>
              <w:bidi w:val="0"/>
              <w:adjustRightInd w:val="0"/>
              <w:spacing w:line="360" w:lineRule="auto"/>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634BCA3D">
            <w:pPr>
              <w:keepNext w:val="0"/>
              <w:keepLines w:val="0"/>
              <w:pageBreakBefore w:val="0"/>
              <w:shd w:val="clear"/>
              <w:kinsoku/>
              <w:wordWrap/>
              <w:overflowPunct/>
              <w:topLinePunct w:val="0"/>
              <w:autoSpaceDE/>
              <w:autoSpaceDN/>
              <w:bidi w:val="0"/>
              <w:adjustRightInd w:val="0"/>
              <w:spacing w:line="360" w:lineRule="auto"/>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价格分</w:t>
            </w:r>
          </w:p>
          <w:p w14:paraId="5BD7E514">
            <w:pPr>
              <w:keepNext w:val="0"/>
              <w:keepLines w:val="0"/>
              <w:pageBreakBefore w:val="0"/>
              <w:shd w:val="clear"/>
              <w:kinsoku/>
              <w:wordWrap/>
              <w:overflowPunct/>
              <w:topLinePunct w:val="0"/>
              <w:autoSpaceDE/>
              <w:autoSpaceDN/>
              <w:bidi w:val="0"/>
              <w:adjustRightInd w:val="0"/>
              <w:spacing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w:t>
            </w:r>
            <w:r>
              <w:rPr>
                <w:rFonts w:hint="eastAsia" w:ascii="宋体" w:hAnsi="宋体" w:cs="宋体"/>
                <w:b/>
                <w:color w:val="auto"/>
                <w:sz w:val="21"/>
                <w:szCs w:val="21"/>
                <w:highlight w:val="none"/>
                <w:lang w:val="en-US" w:eastAsia="zh-CN"/>
              </w:rPr>
              <w:t>25</w:t>
            </w:r>
            <w:r>
              <w:rPr>
                <w:rFonts w:hint="eastAsia" w:ascii="宋体" w:hAnsi="宋体" w:eastAsia="宋体" w:cs="宋体"/>
                <w:b/>
                <w:color w:val="auto"/>
                <w:sz w:val="21"/>
                <w:szCs w:val="21"/>
                <w:highlight w:val="none"/>
              </w:rPr>
              <w:t>分）</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000C7C74">
            <w:pPr>
              <w:keepNext w:val="0"/>
              <w:keepLines w:val="0"/>
              <w:pageBreakBefore w:val="0"/>
              <w:shd w:val="clear"/>
              <w:kinsoku/>
              <w:wordWrap/>
              <w:overflowPunct/>
              <w:topLinePunct w:val="0"/>
              <w:autoSpaceDE/>
              <w:autoSpaceDN/>
              <w:bidi w:val="0"/>
              <w:adjustRightInd w:val="0"/>
              <w:spacing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投标报价分</w:t>
            </w:r>
          </w:p>
        </w:tc>
        <w:tc>
          <w:tcPr>
            <w:tcW w:w="6737" w:type="dxa"/>
            <w:tcBorders>
              <w:top w:val="single" w:color="auto" w:sz="4" w:space="0"/>
              <w:left w:val="single" w:color="auto" w:sz="4" w:space="0"/>
              <w:bottom w:val="single" w:color="auto" w:sz="4" w:space="0"/>
              <w:right w:val="single" w:color="auto" w:sz="4" w:space="0"/>
            </w:tcBorders>
            <w:noWrap w:val="0"/>
            <w:vAlign w:val="center"/>
          </w:tcPr>
          <w:p w14:paraId="70049AA2">
            <w:pPr>
              <w:keepNext w:val="0"/>
              <w:keepLines w:val="0"/>
              <w:pageBreakBefore w:val="0"/>
              <w:shd w:val="clear"/>
              <w:kinsoku/>
              <w:wordWrap/>
              <w:overflowPunct/>
              <w:topLinePunct w:val="0"/>
              <w:autoSpaceDE/>
              <w:autoSpaceDN/>
              <w:bidi w:val="0"/>
              <w:snapToGrid w:val="0"/>
              <w:spacing w:line="360" w:lineRule="auto"/>
              <w:ind w:firstLine="233" w:firstLineChars="111"/>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eastAsia="zh-CN"/>
              </w:rPr>
              <w:t>本项目为专门面向中小企业采购项目，参与投标的供应商必须为中小微/监狱企业</w:t>
            </w:r>
            <w:r>
              <w:rPr>
                <w:rFonts w:hint="eastAsia" w:ascii="宋体" w:hAnsi="宋体" w:cs="宋体"/>
                <w:bCs/>
                <w:color w:val="auto"/>
                <w:sz w:val="21"/>
                <w:szCs w:val="21"/>
                <w:highlight w:val="none"/>
                <w:lang w:val="en-US" w:eastAsia="zh-CN"/>
              </w:rPr>
              <w:t>/</w:t>
            </w:r>
            <w:r>
              <w:rPr>
                <w:rFonts w:hint="eastAsia" w:ascii="宋体" w:hAnsi="宋体" w:eastAsia="宋体" w:cs="宋体"/>
                <w:bCs/>
                <w:color w:val="auto"/>
                <w:sz w:val="21"/>
                <w:szCs w:val="21"/>
                <w:highlight w:val="none"/>
                <w:lang w:eastAsia="zh-CN"/>
              </w:rPr>
              <w:t>残疾人福利单位，本项目不执行价格评审扣除政策</w:t>
            </w:r>
            <w:r>
              <w:rPr>
                <w:rFonts w:hint="eastAsia" w:ascii="宋体" w:hAnsi="宋体" w:cs="宋体"/>
                <w:bCs/>
                <w:color w:val="auto"/>
                <w:sz w:val="21"/>
                <w:szCs w:val="21"/>
                <w:highlight w:val="none"/>
                <w:lang w:eastAsia="zh-CN"/>
              </w:rPr>
              <w:t>。</w:t>
            </w:r>
          </w:p>
          <w:p w14:paraId="653F0E26">
            <w:pPr>
              <w:keepNext w:val="0"/>
              <w:keepLines w:val="0"/>
              <w:pageBreakBefore w:val="0"/>
              <w:shd w:val="clear"/>
              <w:kinsoku/>
              <w:wordWrap/>
              <w:overflowPunct/>
              <w:topLinePunct w:val="0"/>
              <w:autoSpaceDE/>
              <w:autoSpaceDN/>
              <w:bidi w:val="0"/>
              <w:snapToGrid w:val="0"/>
              <w:spacing w:line="360" w:lineRule="auto"/>
              <w:ind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价格分计算公式：        </w:t>
            </w:r>
          </w:p>
          <w:p w14:paraId="60490A19">
            <w:pPr>
              <w:keepNext w:val="0"/>
              <w:keepLines w:val="0"/>
              <w:pageBreakBefore w:val="0"/>
              <w:shd w:val="clear"/>
              <w:kinsoku/>
              <w:wordWrap/>
              <w:overflowPunct/>
              <w:topLinePunct w:val="0"/>
              <w:autoSpaceDE/>
              <w:autoSpaceDN/>
              <w:bidi w:val="0"/>
              <w:spacing w:line="36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某投标人价格分=基准价/某投标人</w:t>
            </w:r>
            <w:r>
              <w:rPr>
                <w:rFonts w:hint="eastAsia" w:ascii="宋体" w:hAnsi="宋体" w:eastAsia="宋体" w:cs="宋体"/>
                <w:bCs/>
                <w:color w:val="auto"/>
                <w:sz w:val="21"/>
                <w:szCs w:val="21"/>
                <w:highlight w:val="none"/>
                <w:lang w:val="en-US" w:eastAsia="zh-CN"/>
              </w:rPr>
              <w:t>评审价</w:t>
            </w:r>
            <w:r>
              <w:rPr>
                <w:rFonts w:hint="eastAsia" w:ascii="宋体" w:hAnsi="宋体" w:eastAsia="宋体" w:cs="宋体"/>
                <w:bCs/>
                <w:color w:val="auto"/>
                <w:sz w:val="21"/>
                <w:szCs w:val="21"/>
                <w:highlight w:val="none"/>
              </w:rPr>
              <w:t>×</w:t>
            </w:r>
            <w:r>
              <w:rPr>
                <w:rFonts w:hint="eastAsia" w:ascii="宋体" w:hAnsi="宋体" w:cs="宋体"/>
                <w:bCs/>
                <w:color w:val="auto"/>
                <w:sz w:val="21"/>
                <w:szCs w:val="21"/>
                <w:highlight w:val="none"/>
                <w:lang w:val="en-US" w:eastAsia="zh-CN"/>
              </w:rPr>
              <w:t>25</w:t>
            </w:r>
            <w:r>
              <w:rPr>
                <w:rFonts w:hint="eastAsia" w:ascii="宋体" w:hAnsi="宋体" w:eastAsia="宋体" w:cs="宋体"/>
                <w:bCs/>
                <w:color w:val="auto"/>
                <w:sz w:val="21"/>
                <w:szCs w:val="21"/>
                <w:highlight w:val="none"/>
              </w:rPr>
              <w:t>分</w:t>
            </w:r>
            <w:r>
              <w:rPr>
                <w:rFonts w:hint="eastAsia" w:ascii="宋体" w:hAnsi="宋体" w:eastAsia="宋体" w:cs="宋体"/>
                <w:color w:val="auto"/>
                <w:sz w:val="21"/>
                <w:szCs w:val="21"/>
                <w:highlight w:val="none"/>
              </w:rPr>
              <w:t xml:space="preserve">    </w:t>
            </w:r>
          </w:p>
        </w:tc>
      </w:tr>
      <w:tr w14:paraId="2835D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1" w:type="dxa"/>
            <w:vMerge w:val="restart"/>
            <w:tcBorders>
              <w:left w:val="single" w:color="auto" w:sz="4" w:space="0"/>
              <w:right w:val="single" w:color="auto" w:sz="4" w:space="0"/>
            </w:tcBorders>
            <w:noWrap w:val="0"/>
            <w:vAlign w:val="center"/>
          </w:tcPr>
          <w:p w14:paraId="40D35D5A">
            <w:pPr>
              <w:keepNext w:val="0"/>
              <w:keepLines w:val="0"/>
              <w:pageBreakBefore w:val="0"/>
              <w:shd w:val="clear"/>
              <w:kinsoku/>
              <w:wordWrap/>
              <w:overflowPunct/>
              <w:topLinePunct w:val="0"/>
              <w:autoSpaceDE/>
              <w:autoSpaceDN/>
              <w:bidi w:val="0"/>
              <w:adjustRightInd w:val="0"/>
              <w:spacing w:line="360" w:lineRule="auto"/>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w:t>
            </w:r>
          </w:p>
        </w:tc>
        <w:tc>
          <w:tcPr>
            <w:tcW w:w="1020" w:type="dxa"/>
            <w:vMerge w:val="restart"/>
            <w:tcBorders>
              <w:left w:val="single" w:color="auto" w:sz="4" w:space="0"/>
              <w:right w:val="single" w:color="auto" w:sz="4" w:space="0"/>
            </w:tcBorders>
            <w:noWrap w:val="0"/>
            <w:vAlign w:val="center"/>
          </w:tcPr>
          <w:p w14:paraId="721CF428">
            <w:pPr>
              <w:keepNext w:val="0"/>
              <w:keepLines w:val="0"/>
              <w:pageBreakBefore w:val="0"/>
              <w:shd w:val="clear"/>
              <w:kinsoku/>
              <w:wordWrap/>
              <w:overflowPunct/>
              <w:topLinePunct w:val="0"/>
              <w:autoSpaceDE/>
              <w:autoSpaceDN/>
              <w:bidi w:val="0"/>
              <w:adjustRightInd w:val="0"/>
              <w:spacing w:line="360" w:lineRule="auto"/>
              <w:ind w:left="-105" w:leftChars="-50" w:right="-105" w:rightChars="-50"/>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技术分</w:t>
            </w:r>
          </w:p>
          <w:p w14:paraId="4A12758B">
            <w:pPr>
              <w:keepNext w:val="0"/>
              <w:keepLines w:val="0"/>
              <w:pageBreakBefore w:val="0"/>
              <w:shd w:val="clear"/>
              <w:kinsoku/>
              <w:wordWrap/>
              <w:overflowPunct/>
              <w:topLinePunct w:val="0"/>
              <w:autoSpaceDE/>
              <w:autoSpaceDN/>
              <w:bidi w:val="0"/>
              <w:adjustRightInd w:val="0"/>
              <w:spacing w:line="360" w:lineRule="auto"/>
              <w:ind w:left="-105" w:leftChars="-50" w:right="-105" w:rightChars="-50"/>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（满分</w:t>
            </w:r>
            <w:r>
              <w:rPr>
                <w:rFonts w:hint="eastAsia" w:ascii="宋体" w:hAnsi="宋体" w:cs="宋体"/>
                <w:b/>
                <w:bCs/>
                <w:color w:val="auto"/>
                <w:sz w:val="21"/>
                <w:szCs w:val="21"/>
                <w:highlight w:val="none"/>
                <w:lang w:val="en-US" w:eastAsia="zh-CN"/>
              </w:rPr>
              <w:t>50</w:t>
            </w:r>
            <w:r>
              <w:rPr>
                <w:rFonts w:hint="eastAsia" w:ascii="宋体" w:hAnsi="宋体" w:eastAsia="宋体" w:cs="宋体"/>
                <w:b/>
                <w:bCs/>
                <w:color w:val="auto"/>
                <w:sz w:val="21"/>
                <w:szCs w:val="21"/>
                <w:highlight w:val="none"/>
              </w:rPr>
              <w:t>分）</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0A63790F">
            <w:pPr>
              <w:keepNext w:val="0"/>
              <w:keepLines w:val="0"/>
              <w:pageBreakBefore w:val="0"/>
              <w:shd w:val="clear"/>
              <w:kinsoku/>
              <w:wordWrap/>
              <w:overflowPunct/>
              <w:topLinePunct w:val="0"/>
              <w:autoSpaceDE/>
              <w:autoSpaceDN/>
              <w:bidi w:val="0"/>
              <w:snapToGrid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技术响应分</w:t>
            </w:r>
          </w:p>
          <w:p w14:paraId="1C5948EB">
            <w:pPr>
              <w:keepNext w:val="0"/>
              <w:keepLines w:val="0"/>
              <w:pageBreakBefore w:val="0"/>
              <w:shd w:val="clear"/>
              <w:kinsoku/>
              <w:wordWrap/>
              <w:overflowPunct/>
              <w:topLinePunct w:val="0"/>
              <w:autoSpaceDE/>
              <w:autoSpaceDN/>
              <w:bidi w:val="0"/>
              <w:snapToGrid w:val="0"/>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rPr>
              <w:t>（满分</w:t>
            </w:r>
            <w:r>
              <w:rPr>
                <w:rFonts w:hint="eastAsia" w:ascii="宋体" w:hAnsi="宋体" w:cs="宋体"/>
                <w:b/>
                <w:color w:val="auto"/>
                <w:sz w:val="21"/>
                <w:szCs w:val="21"/>
                <w:highlight w:val="none"/>
                <w:lang w:val="en-US" w:eastAsia="zh-CN"/>
              </w:rPr>
              <w:t>35分</w:t>
            </w:r>
            <w:r>
              <w:rPr>
                <w:rFonts w:hint="eastAsia" w:ascii="宋体" w:hAnsi="宋体" w:eastAsia="宋体" w:cs="宋体"/>
                <w:b/>
                <w:color w:val="auto"/>
                <w:sz w:val="21"/>
                <w:szCs w:val="21"/>
                <w:highlight w:val="none"/>
              </w:rPr>
              <w:t>）</w:t>
            </w:r>
          </w:p>
        </w:tc>
        <w:tc>
          <w:tcPr>
            <w:tcW w:w="6737" w:type="dxa"/>
            <w:tcBorders>
              <w:top w:val="single" w:color="auto" w:sz="4" w:space="0"/>
              <w:left w:val="single" w:color="auto" w:sz="4" w:space="0"/>
              <w:bottom w:val="single" w:color="auto" w:sz="4" w:space="0"/>
              <w:right w:val="single" w:color="auto" w:sz="4" w:space="0"/>
            </w:tcBorders>
            <w:noWrap w:val="0"/>
            <w:vAlign w:val="center"/>
          </w:tcPr>
          <w:p w14:paraId="5BFDB440">
            <w:pPr>
              <w:keepNext w:val="0"/>
              <w:keepLines w:val="0"/>
              <w:pageBreakBefore w:val="0"/>
              <w:shd w:val="clear"/>
              <w:kinsoku/>
              <w:wordWrap/>
              <w:overflowPunct/>
              <w:topLinePunct w:val="0"/>
              <w:autoSpaceDE/>
              <w:autoSpaceDN/>
              <w:bidi w:val="0"/>
              <w:spacing w:line="360" w:lineRule="auto"/>
              <w:ind w:firstLine="424" w:firstLineChars="202"/>
              <w:jc w:val="left"/>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（1）基本分</w:t>
            </w:r>
          </w:p>
          <w:p w14:paraId="435B6660">
            <w:pPr>
              <w:keepNext w:val="0"/>
              <w:keepLines w:val="0"/>
              <w:pageBreakBefore w:val="0"/>
              <w:shd w:val="clear"/>
              <w:kinsoku/>
              <w:wordWrap/>
              <w:overflowPunct/>
              <w:topLinePunct w:val="0"/>
              <w:autoSpaceDE/>
              <w:autoSpaceDN/>
              <w:bidi w:val="0"/>
              <w:spacing w:line="360" w:lineRule="auto"/>
              <w:ind w:firstLine="424" w:firstLineChars="202"/>
              <w:jc w:val="left"/>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技术基本分得</w:t>
            </w:r>
            <w:r>
              <w:rPr>
                <w:rFonts w:hint="eastAsia" w:ascii="宋体" w:hAnsi="宋体" w:cs="宋体"/>
                <w:bCs/>
                <w:color w:val="auto"/>
                <w:sz w:val="21"/>
                <w:szCs w:val="21"/>
                <w:highlight w:val="none"/>
                <w:lang w:val="en-US" w:eastAsia="zh-CN" w:bidi="ar"/>
              </w:rPr>
              <w:t>20</w:t>
            </w:r>
            <w:r>
              <w:rPr>
                <w:rFonts w:hint="eastAsia" w:ascii="宋体" w:hAnsi="宋体" w:eastAsia="宋体" w:cs="宋体"/>
                <w:bCs/>
                <w:color w:val="auto"/>
                <w:sz w:val="21"/>
                <w:szCs w:val="21"/>
                <w:highlight w:val="none"/>
                <w:lang w:bidi="ar"/>
              </w:rPr>
              <w:t>分，除主要技术参数外的技术参数及性能配置</w:t>
            </w:r>
            <w:r>
              <w:rPr>
                <w:rFonts w:hint="eastAsia" w:ascii="宋体" w:hAnsi="宋体" w:cs="宋体"/>
                <w:bCs/>
                <w:color w:val="auto"/>
                <w:sz w:val="21"/>
                <w:szCs w:val="21"/>
                <w:highlight w:val="none"/>
                <w:lang w:val="en-US" w:eastAsia="zh-CN" w:bidi="ar"/>
              </w:rPr>
              <w:t>存在负偏离</w:t>
            </w:r>
            <w:r>
              <w:rPr>
                <w:rFonts w:hint="eastAsia" w:ascii="宋体" w:hAnsi="宋体" w:eastAsia="宋体" w:cs="宋体"/>
                <w:bCs/>
                <w:color w:val="auto"/>
                <w:sz w:val="21"/>
                <w:szCs w:val="21"/>
                <w:highlight w:val="none"/>
                <w:lang w:bidi="ar"/>
              </w:rPr>
              <w:t>的，每有1项扣2分，最高可扣</w:t>
            </w:r>
            <w:r>
              <w:rPr>
                <w:rFonts w:hint="eastAsia" w:ascii="宋体" w:hAnsi="宋体" w:cs="宋体"/>
                <w:bCs/>
                <w:color w:val="auto"/>
                <w:sz w:val="21"/>
                <w:szCs w:val="21"/>
                <w:highlight w:val="none"/>
                <w:lang w:val="en-US" w:eastAsia="zh-CN" w:bidi="ar"/>
              </w:rPr>
              <w:t>2</w:t>
            </w:r>
            <w:r>
              <w:rPr>
                <w:rFonts w:hint="eastAsia" w:ascii="宋体" w:hAnsi="宋体" w:eastAsia="宋体" w:cs="宋体"/>
                <w:bCs/>
                <w:color w:val="auto"/>
                <w:sz w:val="21"/>
                <w:szCs w:val="21"/>
                <w:highlight w:val="none"/>
                <w:lang w:bidi="ar"/>
              </w:rPr>
              <w:t>0分。</w:t>
            </w:r>
          </w:p>
          <w:p w14:paraId="6BDCFC05">
            <w:pPr>
              <w:keepNext w:val="0"/>
              <w:keepLines w:val="0"/>
              <w:pageBreakBefore w:val="0"/>
              <w:shd w:val="clear"/>
              <w:kinsoku/>
              <w:wordWrap/>
              <w:overflowPunct/>
              <w:topLinePunct w:val="0"/>
              <w:autoSpaceDE/>
              <w:autoSpaceDN/>
              <w:bidi w:val="0"/>
              <w:spacing w:line="360" w:lineRule="auto"/>
              <w:ind w:firstLine="424" w:firstLineChars="202"/>
              <w:jc w:val="left"/>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（2）技术参数及性能配置分</w:t>
            </w:r>
          </w:p>
          <w:p w14:paraId="3842889E">
            <w:pPr>
              <w:keepNext w:val="0"/>
              <w:keepLines w:val="0"/>
              <w:pageBreakBefore w:val="0"/>
              <w:shd w:val="clear"/>
              <w:kinsoku/>
              <w:wordWrap/>
              <w:overflowPunct/>
              <w:topLinePunct w:val="0"/>
              <w:autoSpaceDE/>
              <w:autoSpaceDN/>
              <w:bidi w:val="0"/>
              <w:spacing w:line="360" w:lineRule="auto"/>
              <w:ind w:firstLine="424" w:firstLineChars="202"/>
              <w:jc w:val="left"/>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主要技术参数及配置优于招标文件且评标时被评标委员会接受的，每优于一项加3分，满分15分。</w:t>
            </w:r>
          </w:p>
          <w:p w14:paraId="3FB4FAE5">
            <w:pPr>
              <w:keepNext w:val="0"/>
              <w:keepLines w:val="0"/>
              <w:pageBreakBefore w:val="0"/>
              <w:shd w:val="clear"/>
              <w:kinsoku/>
              <w:wordWrap/>
              <w:overflowPunct/>
              <w:topLinePunct w:val="0"/>
              <w:autoSpaceDE/>
              <w:autoSpaceDN/>
              <w:bidi w:val="0"/>
              <w:spacing w:line="360" w:lineRule="auto"/>
              <w:ind w:firstLine="424" w:firstLineChars="202"/>
              <w:jc w:val="left"/>
              <w:rPr>
                <w:rFonts w:hint="eastAsia" w:ascii="宋体" w:hAnsi="宋体" w:eastAsia="宋体" w:cs="宋体"/>
                <w:bCs/>
                <w:color w:val="auto"/>
                <w:sz w:val="21"/>
                <w:szCs w:val="21"/>
                <w:highlight w:val="none"/>
                <w:lang w:val="en-US"/>
              </w:rPr>
            </w:pPr>
            <w:r>
              <w:rPr>
                <w:rFonts w:hint="eastAsia" w:ascii="宋体" w:hAnsi="宋体" w:eastAsia="宋体" w:cs="宋体"/>
                <w:bCs/>
                <w:color w:val="auto"/>
                <w:sz w:val="21"/>
                <w:szCs w:val="21"/>
                <w:highlight w:val="none"/>
                <w:lang w:bidi="ar"/>
              </w:rPr>
              <w:t>（主要技术参数指</w:t>
            </w:r>
            <w:r>
              <w:rPr>
                <w:rFonts w:hint="eastAsia" w:ascii="宋体" w:hAnsi="宋体" w:cs="宋体"/>
                <w:bCs/>
                <w:color w:val="auto"/>
                <w:sz w:val="21"/>
                <w:szCs w:val="21"/>
                <w:highlight w:val="none"/>
                <w:lang w:val="en-US" w:eastAsia="zh-CN" w:bidi="ar"/>
              </w:rPr>
              <w:t>服务</w:t>
            </w:r>
            <w:r>
              <w:rPr>
                <w:rFonts w:hint="eastAsia" w:ascii="宋体" w:hAnsi="宋体" w:eastAsia="宋体" w:cs="宋体"/>
                <w:bCs/>
                <w:color w:val="auto"/>
                <w:sz w:val="21"/>
                <w:szCs w:val="21"/>
                <w:highlight w:val="none"/>
                <w:lang w:bidi="ar"/>
              </w:rPr>
              <w:t>需求一览表中标注</w:t>
            </w:r>
            <w:r>
              <w:rPr>
                <w:rFonts w:ascii="Segoe UI" w:hAnsi="Segoe UI" w:eastAsia="Segoe UI" w:cs="Segoe UI"/>
                <w:color w:val="000000"/>
                <w:sz w:val="22"/>
                <w:szCs w:val="22"/>
                <w:shd w:val="clear" w:color="auto" w:fill="FFFFFF"/>
              </w:rPr>
              <w:t>◆</w:t>
            </w:r>
            <w:r>
              <w:rPr>
                <w:rFonts w:hint="eastAsia" w:ascii="宋体" w:hAnsi="宋体" w:eastAsia="宋体" w:cs="宋体"/>
                <w:bCs/>
                <w:color w:val="auto"/>
                <w:sz w:val="21"/>
                <w:szCs w:val="21"/>
                <w:highlight w:val="none"/>
                <w:lang w:bidi="ar"/>
              </w:rPr>
              <w:t>号的技术参数）</w:t>
            </w:r>
          </w:p>
        </w:tc>
      </w:tr>
      <w:tr w14:paraId="27A4B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1" w:type="dxa"/>
            <w:vMerge w:val="continue"/>
            <w:tcBorders>
              <w:left w:val="single" w:color="auto" w:sz="4" w:space="0"/>
              <w:right w:val="single" w:color="auto" w:sz="4" w:space="0"/>
            </w:tcBorders>
            <w:noWrap w:val="0"/>
            <w:vAlign w:val="center"/>
          </w:tcPr>
          <w:p w14:paraId="1B75383B">
            <w:pPr>
              <w:keepNext w:val="0"/>
              <w:keepLines w:val="0"/>
              <w:pageBreakBefore w:val="0"/>
              <w:shd w:val="clear"/>
              <w:kinsoku/>
              <w:wordWrap/>
              <w:overflowPunct/>
              <w:topLinePunct w:val="0"/>
              <w:autoSpaceDE/>
              <w:autoSpaceDN/>
              <w:bidi w:val="0"/>
              <w:adjustRightInd w:val="0"/>
              <w:spacing w:line="360" w:lineRule="auto"/>
              <w:jc w:val="center"/>
              <w:textAlignment w:val="baseline"/>
              <w:rPr>
                <w:rFonts w:hint="eastAsia" w:ascii="宋体" w:hAnsi="宋体" w:eastAsia="宋体" w:cs="宋体"/>
                <w:b/>
                <w:color w:val="auto"/>
                <w:sz w:val="21"/>
                <w:szCs w:val="21"/>
                <w:highlight w:val="none"/>
              </w:rPr>
            </w:pPr>
          </w:p>
        </w:tc>
        <w:tc>
          <w:tcPr>
            <w:tcW w:w="1020" w:type="dxa"/>
            <w:vMerge w:val="continue"/>
            <w:tcBorders>
              <w:left w:val="single" w:color="auto" w:sz="4" w:space="0"/>
              <w:right w:val="single" w:color="auto" w:sz="4" w:space="0"/>
            </w:tcBorders>
            <w:noWrap w:val="0"/>
            <w:vAlign w:val="center"/>
          </w:tcPr>
          <w:p w14:paraId="4818CF2B">
            <w:pPr>
              <w:keepNext w:val="0"/>
              <w:keepLines w:val="0"/>
              <w:pageBreakBefore w:val="0"/>
              <w:shd w:val="clear"/>
              <w:kinsoku/>
              <w:wordWrap/>
              <w:overflowPunct/>
              <w:topLinePunct w:val="0"/>
              <w:autoSpaceDE/>
              <w:autoSpaceDN/>
              <w:bidi w:val="0"/>
              <w:adjustRightInd w:val="0"/>
              <w:spacing w:line="360" w:lineRule="auto"/>
              <w:ind w:left="-105" w:leftChars="-50" w:right="-105" w:rightChars="-50"/>
              <w:jc w:val="center"/>
              <w:textAlignment w:val="baseline"/>
              <w:rPr>
                <w:rFonts w:hint="eastAsia" w:ascii="宋体" w:hAnsi="宋体" w:eastAsia="宋体" w:cs="宋体"/>
                <w:b/>
                <w:bCs/>
                <w:color w:val="auto"/>
                <w:sz w:val="21"/>
                <w:szCs w:val="21"/>
                <w:highlight w:val="none"/>
              </w:rPr>
            </w:pPr>
          </w:p>
        </w:tc>
        <w:tc>
          <w:tcPr>
            <w:tcW w:w="1126" w:type="dxa"/>
            <w:tcBorders>
              <w:top w:val="single" w:color="auto" w:sz="4" w:space="0"/>
              <w:left w:val="single" w:color="auto" w:sz="4" w:space="0"/>
              <w:bottom w:val="single" w:color="auto" w:sz="4" w:space="0"/>
              <w:right w:val="single" w:color="auto" w:sz="4" w:space="0"/>
            </w:tcBorders>
            <w:noWrap w:val="0"/>
            <w:vAlign w:val="center"/>
          </w:tcPr>
          <w:p w14:paraId="6E7419BE">
            <w:pPr>
              <w:keepNext w:val="0"/>
              <w:keepLines w:val="0"/>
              <w:pageBreakBefore w:val="0"/>
              <w:shd w:val="clear"/>
              <w:kinsoku/>
              <w:wordWrap/>
              <w:overflowPunct/>
              <w:topLinePunct w:val="0"/>
              <w:autoSpaceDE/>
              <w:autoSpaceDN/>
              <w:bidi w:val="0"/>
              <w:snapToGrid w:val="0"/>
              <w:spacing w:line="360" w:lineRule="auto"/>
              <w:rPr>
                <w:rFonts w:hint="eastAsia" w:ascii="宋体" w:hAnsi="宋体" w:eastAsia="宋体" w:cs="宋体"/>
                <w:bCs/>
                <w:color w:val="auto"/>
                <w:sz w:val="21"/>
                <w:szCs w:val="21"/>
                <w:highlight w:val="none"/>
              </w:rPr>
            </w:pPr>
            <w:r>
              <w:rPr>
                <w:rFonts w:hint="eastAsia" w:ascii="宋体" w:hAnsi="宋体" w:eastAsia="宋体" w:cs="宋体"/>
                <w:b/>
                <w:bCs/>
                <w:color w:val="auto"/>
                <w:sz w:val="21"/>
                <w:szCs w:val="21"/>
                <w:highlight w:val="none"/>
              </w:rPr>
              <w:t>平台原型演示</w:t>
            </w:r>
            <w:r>
              <w:rPr>
                <w:rFonts w:hint="eastAsia" w:ascii="宋体" w:hAnsi="宋体" w:eastAsia="宋体" w:cs="宋体"/>
                <w:b/>
                <w:color w:val="auto"/>
                <w:sz w:val="21"/>
                <w:szCs w:val="21"/>
                <w:highlight w:val="none"/>
              </w:rPr>
              <w:t>（满分</w:t>
            </w:r>
            <w:r>
              <w:rPr>
                <w:rFonts w:hint="eastAsia" w:ascii="宋体" w:hAnsi="宋体" w:cs="宋体"/>
                <w:b/>
                <w:color w:val="auto"/>
                <w:sz w:val="21"/>
                <w:szCs w:val="21"/>
                <w:highlight w:val="none"/>
                <w:lang w:val="en-US" w:eastAsia="zh-CN"/>
              </w:rPr>
              <w:t>15</w:t>
            </w:r>
            <w:r>
              <w:rPr>
                <w:rFonts w:hint="eastAsia" w:ascii="宋体" w:hAnsi="宋体" w:eastAsia="宋体" w:cs="宋体"/>
                <w:b/>
                <w:color w:val="auto"/>
                <w:sz w:val="21"/>
                <w:szCs w:val="21"/>
                <w:highlight w:val="none"/>
              </w:rPr>
              <w:t>分）</w:t>
            </w:r>
          </w:p>
        </w:tc>
        <w:tc>
          <w:tcPr>
            <w:tcW w:w="6737" w:type="dxa"/>
            <w:tcBorders>
              <w:top w:val="single" w:color="auto" w:sz="4" w:space="0"/>
              <w:left w:val="single" w:color="auto" w:sz="4" w:space="0"/>
              <w:bottom w:val="single" w:color="auto" w:sz="4" w:space="0"/>
              <w:right w:val="single" w:color="auto" w:sz="4" w:space="0"/>
            </w:tcBorders>
            <w:noWrap w:val="0"/>
            <w:vAlign w:val="center"/>
          </w:tcPr>
          <w:p w14:paraId="15B55E04">
            <w:pPr>
              <w:keepNext w:val="0"/>
              <w:keepLines w:val="0"/>
              <w:pageBreakBefore w:val="0"/>
              <w:shd w:val="clear"/>
              <w:kinsoku/>
              <w:wordWrap/>
              <w:overflowPunct/>
              <w:topLinePunct w:val="0"/>
              <w:autoSpaceDE/>
              <w:autoSpaceDN/>
              <w:bidi w:val="0"/>
              <w:spacing w:line="360" w:lineRule="auto"/>
              <w:ind w:firstLine="420" w:firstLineChars="200"/>
              <w:jc w:val="left"/>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val="en-US" w:eastAsia="zh-CN" w:bidi="ar"/>
              </w:rPr>
              <w:t>投标人</w:t>
            </w:r>
            <w:r>
              <w:rPr>
                <w:rFonts w:hint="eastAsia" w:ascii="宋体" w:hAnsi="宋体" w:eastAsia="宋体" w:cs="宋体"/>
                <w:bCs/>
                <w:color w:val="auto"/>
                <w:sz w:val="21"/>
                <w:szCs w:val="21"/>
                <w:highlight w:val="none"/>
                <w:lang w:bidi="ar"/>
              </w:rPr>
              <w:t>按照以下演示内容及有关要求进行现场演示</w:t>
            </w:r>
          </w:p>
          <w:p w14:paraId="6AE70B88">
            <w:pPr>
              <w:keepNext w:val="0"/>
              <w:keepLines w:val="0"/>
              <w:pageBreakBefore w:val="0"/>
              <w:shd w:val="clear"/>
              <w:kinsoku/>
              <w:wordWrap/>
              <w:overflowPunct/>
              <w:topLinePunct w:val="0"/>
              <w:autoSpaceDE/>
              <w:autoSpaceDN/>
              <w:bidi w:val="0"/>
              <w:spacing w:line="360" w:lineRule="auto"/>
              <w:jc w:val="left"/>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val="en-US" w:eastAsia="zh-CN" w:bidi="ar"/>
              </w:rPr>
              <w:t>1.</w:t>
            </w:r>
            <w:r>
              <w:rPr>
                <w:rFonts w:hint="eastAsia" w:ascii="宋体" w:hAnsi="宋体" w:eastAsia="宋体" w:cs="宋体"/>
                <w:bCs/>
                <w:color w:val="auto"/>
                <w:sz w:val="21"/>
                <w:szCs w:val="21"/>
                <w:highlight w:val="none"/>
                <w:lang w:bidi="ar"/>
              </w:rPr>
              <w:t>演示内容：</w:t>
            </w:r>
          </w:p>
          <w:p w14:paraId="6DD7E463">
            <w:pPr>
              <w:keepNext w:val="0"/>
              <w:keepLines w:val="0"/>
              <w:pageBreakBefore w:val="0"/>
              <w:shd w:val="clear"/>
              <w:kinsoku/>
              <w:wordWrap/>
              <w:overflowPunct/>
              <w:topLinePunct w:val="0"/>
              <w:autoSpaceDE/>
              <w:autoSpaceDN/>
              <w:bidi w:val="0"/>
              <w:spacing w:line="360" w:lineRule="auto"/>
              <w:jc w:val="left"/>
              <w:rPr>
                <w:rFonts w:hint="eastAsia" w:ascii="宋体" w:hAnsi="宋体" w:cs="宋体"/>
                <w:bCs/>
                <w:color w:val="auto"/>
                <w:szCs w:val="21"/>
                <w:highlight w:val="none"/>
                <w:lang w:bidi="ar"/>
              </w:rPr>
            </w:pPr>
            <w:r>
              <w:rPr>
                <w:rFonts w:hint="eastAsia" w:ascii="宋体" w:hAnsi="宋体" w:cs="宋体"/>
                <w:bCs/>
                <w:color w:val="auto"/>
                <w:szCs w:val="21"/>
                <w:highlight w:val="none"/>
                <w:lang w:bidi="ar"/>
              </w:rPr>
              <w:t>（1）三维场景与仿真资源开发系统模块</w:t>
            </w:r>
          </w:p>
          <w:p w14:paraId="4493B994">
            <w:pPr>
              <w:keepNext w:val="0"/>
              <w:keepLines w:val="0"/>
              <w:pageBreakBefore w:val="0"/>
              <w:shd w:val="clear"/>
              <w:kinsoku/>
              <w:wordWrap/>
              <w:overflowPunct/>
              <w:topLinePunct w:val="0"/>
              <w:autoSpaceDE/>
              <w:autoSpaceDN/>
              <w:bidi w:val="0"/>
              <w:spacing w:line="360" w:lineRule="auto"/>
              <w:jc w:val="left"/>
              <w:rPr>
                <w:rFonts w:hint="eastAsia" w:ascii="宋体" w:hAnsi="宋体" w:cs="宋体"/>
                <w:bCs/>
                <w:color w:val="auto"/>
                <w:szCs w:val="21"/>
                <w:highlight w:val="none"/>
                <w:lang w:bidi="ar"/>
              </w:rPr>
            </w:pPr>
            <w:r>
              <w:rPr>
                <w:rFonts w:hint="eastAsia" w:ascii="宋体" w:hAnsi="宋体" w:cs="宋体"/>
                <w:bCs/>
                <w:color w:val="auto"/>
                <w:szCs w:val="21"/>
                <w:highlight w:val="none"/>
                <w:lang w:bidi="ar"/>
              </w:rPr>
              <w:t>实现及运营方式</w:t>
            </w:r>
          </w:p>
          <w:p w14:paraId="57924925">
            <w:pPr>
              <w:keepNext w:val="0"/>
              <w:keepLines w:val="0"/>
              <w:pageBreakBefore w:val="0"/>
              <w:shd w:val="clear"/>
              <w:kinsoku/>
              <w:wordWrap/>
              <w:overflowPunct/>
              <w:topLinePunct w:val="0"/>
              <w:autoSpaceDE/>
              <w:autoSpaceDN/>
              <w:bidi w:val="0"/>
              <w:spacing w:line="360" w:lineRule="auto"/>
              <w:jc w:val="left"/>
              <w:rPr>
                <w:rFonts w:hint="eastAsia" w:ascii="宋体" w:hAnsi="宋体" w:cs="宋体"/>
                <w:bCs/>
                <w:color w:val="auto"/>
                <w:szCs w:val="21"/>
                <w:highlight w:val="none"/>
                <w:lang w:bidi="ar"/>
              </w:rPr>
            </w:pPr>
            <w:r>
              <w:rPr>
                <w:rFonts w:hint="eastAsia" w:ascii="宋体" w:hAnsi="宋体" w:cs="宋体"/>
                <w:bCs/>
                <w:color w:val="auto"/>
                <w:szCs w:val="21"/>
                <w:highlight w:val="none"/>
                <w:lang w:bidi="ar"/>
              </w:rPr>
              <w:t>基于网页的三维场景搭建与仿真交互运行。用浏览器访问场景开发平台网址，输入用户名、密码登录，平台提供三维机理模型库，通过拖拽三维模型即可进行场景搭建，运行一个由立库、AGV、输送线、数控机床、工业机器人、机器视觉、成品库等设备构成的机械臂智能制造的工业场景，在网页上仿真交互调试运行，并能够通过调整仿真运行倍率，实现工业场景生产线对应的仿真运行速度。</w:t>
            </w:r>
          </w:p>
          <w:p w14:paraId="4CAB41DA">
            <w:pPr>
              <w:keepNext w:val="0"/>
              <w:keepLines w:val="0"/>
              <w:pageBreakBefore w:val="0"/>
              <w:shd w:val="clear"/>
              <w:kinsoku/>
              <w:wordWrap/>
              <w:overflowPunct/>
              <w:topLinePunct w:val="0"/>
              <w:autoSpaceDE/>
              <w:autoSpaceDN/>
              <w:bidi w:val="0"/>
              <w:spacing w:line="360" w:lineRule="auto"/>
              <w:jc w:val="left"/>
              <w:rPr>
                <w:rFonts w:hint="eastAsia" w:ascii="宋体" w:hAnsi="宋体" w:cs="宋体"/>
                <w:bCs/>
                <w:color w:val="auto"/>
                <w:szCs w:val="21"/>
                <w:highlight w:val="none"/>
                <w:lang w:bidi="ar"/>
              </w:rPr>
            </w:pPr>
            <w:r>
              <w:rPr>
                <w:rFonts w:hint="eastAsia" w:ascii="宋体" w:hAnsi="宋体" w:cs="宋体"/>
                <w:bCs/>
                <w:color w:val="auto"/>
                <w:szCs w:val="21"/>
                <w:highlight w:val="none"/>
                <w:lang w:bidi="ar"/>
              </w:rPr>
              <w:t>演示点2：</w:t>
            </w:r>
          </w:p>
          <w:p w14:paraId="0B638997">
            <w:pPr>
              <w:keepNext w:val="0"/>
              <w:keepLines w:val="0"/>
              <w:pageBreakBefore w:val="0"/>
              <w:shd w:val="clear"/>
              <w:kinsoku/>
              <w:wordWrap/>
              <w:overflowPunct/>
              <w:topLinePunct w:val="0"/>
              <w:autoSpaceDE/>
              <w:autoSpaceDN/>
              <w:bidi w:val="0"/>
              <w:spacing w:line="360" w:lineRule="auto"/>
              <w:jc w:val="left"/>
              <w:rPr>
                <w:rFonts w:hint="eastAsia" w:ascii="宋体" w:hAnsi="宋体" w:cs="宋体"/>
                <w:bCs/>
                <w:color w:val="auto"/>
                <w:szCs w:val="21"/>
                <w:highlight w:val="none"/>
                <w:lang w:bidi="ar"/>
              </w:rPr>
            </w:pPr>
            <w:r>
              <w:rPr>
                <w:rFonts w:hint="eastAsia" w:ascii="宋体" w:hAnsi="宋体" w:cs="宋体"/>
                <w:bCs/>
                <w:color w:val="auto"/>
                <w:szCs w:val="21"/>
                <w:highlight w:val="none"/>
                <w:lang w:bidi="ar"/>
              </w:rPr>
              <w:t>（2）数字教材开发系统模块</w:t>
            </w:r>
          </w:p>
          <w:p w14:paraId="492A7C68">
            <w:pPr>
              <w:keepNext w:val="0"/>
              <w:keepLines w:val="0"/>
              <w:pageBreakBefore w:val="0"/>
              <w:shd w:val="clear"/>
              <w:kinsoku/>
              <w:wordWrap/>
              <w:overflowPunct/>
              <w:topLinePunct w:val="0"/>
              <w:autoSpaceDE/>
              <w:autoSpaceDN/>
              <w:bidi w:val="0"/>
              <w:spacing w:line="360" w:lineRule="auto"/>
              <w:jc w:val="left"/>
              <w:rPr>
                <w:rFonts w:hint="eastAsia" w:ascii="宋体" w:hAnsi="宋体" w:cs="宋体"/>
                <w:bCs/>
                <w:color w:val="auto"/>
                <w:szCs w:val="21"/>
                <w:highlight w:val="none"/>
                <w:lang w:bidi="ar"/>
              </w:rPr>
            </w:pPr>
            <w:r>
              <w:rPr>
                <w:rFonts w:hint="eastAsia" w:ascii="宋体" w:hAnsi="宋体" w:cs="宋体"/>
                <w:bCs/>
                <w:color w:val="auto"/>
                <w:szCs w:val="21"/>
                <w:highlight w:val="none"/>
                <w:lang w:bidi="ar"/>
              </w:rPr>
              <w:t>仿真实训任务开发的实时预览与调试：基于网页版的仿真实训任务开发，支持随时预览任务最终展示效果，保障内容质量；在制作过程中可实时调试，快速排查并解决问题，优化开发效率。</w:t>
            </w:r>
          </w:p>
          <w:p w14:paraId="136B294A">
            <w:pPr>
              <w:keepNext w:val="0"/>
              <w:keepLines w:val="0"/>
              <w:pageBreakBefore w:val="0"/>
              <w:shd w:val="clear"/>
              <w:kinsoku/>
              <w:wordWrap/>
              <w:overflowPunct/>
              <w:topLinePunct w:val="0"/>
              <w:autoSpaceDE/>
              <w:autoSpaceDN/>
              <w:bidi w:val="0"/>
              <w:spacing w:line="360" w:lineRule="auto"/>
              <w:jc w:val="left"/>
              <w:rPr>
                <w:rFonts w:hint="eastAsia" w:ascii="宋体" w:hAnsi="宋体" w:cs="宋体"/>
                <w:bCs/>
                <w:color w:val="auto"/>
                <w:szCs w:val="21"/>
                <w:highlight w:val="none"/>
                <w:lang w:bidi="ar"/>
              </w:rPr>
            </w:pPr>
            <w:r>
              <w:rPr>
                <w:rFonts w:hint="eastAsia" w:ascii="宋体" w:hAnsi="宋体" w:cs="宋体"/>
                <w:bCs/>
                <w:color w:val="auto"/>
                <w:szCs w:val="21"/>
                <w:highlight w:val="none"/>
                <w:lang w:bidi="ar"/>
              </w:rPr>
              <w:t>演示点3：</w:t>
            </w:r>
          </w:p>
          <w:p w14:paraId="11F3EB0F">
            <w:pPr>
              <w:keepNext w:val="0"/>
              <w:keepLines w:val="0"/>
              <w:pageBreakBefore w:val="0"/>
              <w:shd w:val="clear"/>
              <w:kinsoku/>
              <w:wordWrap/>
              <w:overflowPunct/>
              <w:topLinePunct w:val="0"/>
              <w:autoSpaceDE/>
              <w:autoSpaceDN/>
              <w:bidi w:val="0"/>
              <w:spacing w:line="360" w:lineRule="auto"/>
              <w:jc w:val="left"/>
              <w:rPr>
                <w:rFonts w:hint="eastAsia" w:ascii="宋体" w:hAnsi="宋体" w:cs="宋体"/>
                <w:bCs/>
                <w:color w:val="auto"/>
                <w:szCs w:val="21"/>
                <w:highlight w:val="none"/>
                <w:lang w:bidi="ar"/>
              </w:rPr>
            </w:pPr>
            <w:r>
              <w:rPr>
                <w:rFonts w:hint="eastAsia" w:ascii="宋体" w:hAnsi="宋体" w:cs="宋体"/>
                <w:bCs/>
                <w:color w:val="auto"/>
                <w:szCs w:val="21"/>
                <w:highlight w:val="none"/>
                <w:lang w:bidi="ar"/>
              </w:rPr>
              <w:t>（3）职业能力测评系统模块</w:t>
            </w:r>
          </w:p>
          <w:p w14:paraId="128BDB8E">
            <w:pPr>
              <w:keepNext w:val="0"/>
              <w:keepLines w:val="0"/>
              <w:pageBreakBefore w:val="0"/>
              <w:shd w:val="clear"/>
              <w:kinsoku/>
              <w:wordWrap/>
              <w:overflowPunct/>
              <w:topLinePunct w:val="0"/>
              <w:autoSpaceDE/>
              <w:autoSpaceDN/>
              <w:bidi w:val="0"/>
              <w:spacing w:line="360" w:lineRule="auto"/>
              <w:jc w:val="left"/>
              <w:rPr>
                <w:rFonts w:hint="eastAsia" w:ascii="宋体" w:hAnsi="宋体" w:cs="宋体"/>
                <w:bCs/>
                <w:color w:val="auto"/>
                <w:szCs w:val="21"/>
                <w:highlight w:val="none"/>
                <w:lang w:bidi="ar"/>
              </w:rPr>
            </w:pPr>
            <w:r>
              <w:rPr>
                <w:rFonts w:hint="eastAsia" w:ascii="宋体" w:hAnsi="宋体" w:cs="宋体"/>
                <w:bCs/>
                <w:color w:val="auto"/>
                <w:szCs w:val="21"/>
                <w:highlight w:val="none"/>
                <w:lang w:bidi="ar"/>
              </w:rPr>
              <w:t>能够对接主流出版社的数字教材平台，实现单点登录；仿真实训任务在线嵌入，单点登录（无需二次登录）即可进行仿真训练与过程的测评。</w:t>
            </w:r>
          </w:p>
          <w:p w14:paraId="3D22764C">
            <w:pPr>
              <w:keepNext w:val="0"/>
              <w:keepLines w:val="0"/>
              <w:pageBreakBefore w:val="0"/>
              <w:shd w:val="clear"/>
              <w:kinsoku/>
              <w:wordWrap/>
              <w:overflowPunct/>
              <w:topLinePunct w:val="0"/>
              <w:autoSpaceDE/>
              <w:autoSpaceDN/>
              <w:bidi w:val="0"/>
              <w:spacing w:line="360" w:lineRule="auto"/>
              <w:jc w:val="left"/>
              <w:rPr>
                <w:rFonts w:hint="eastAsia" w:ascii="宋体" w:hAnsi="宋体" w:cs="宋体"/>
                <w:bCs/>
                <w:color w:val="auto"/>
                <w:szCs w:val="21"/>
                <w:highlight w:val="none"/>
                <w:lang w:bidi="ar"/>
              </w:rPr>
            </w:pPr>
            <w:r>
              <w:rPr>
                <w:rFonts w:hint="eastAsia" w:ascii="宋体" w:hAnsi="宋体" w:cs="宋体"/>
                <w:bCs/>
                <w:color w:val="auto"/>
                <w:szCs w:val="21"/>
                <w:highlight w:val="none"/>
                <w:lang w:bidi="ar"/>
              </w:rPr>
              <w:t>2、演示要求</w:t>
            </w:r>
          </w:p>
          <w:p w14:paraId="686EFF00">
            <w:pPr>
              <w:keepNext w:val="0"/>
              <w:keepLines w:val="0"/>
              <w:pageBreakBefore w:val="0"/>
              <w:shd w:val="clear"/>
              <w:kinsoku/>
              <w:wordWrap/>
              <w:overflowPunct/>
              <w:topLinePunct w:val="0"/>
              <w:autoSpaceDE/>
              <w:autoSpaceDN/>
              <w:bidi w:val="0"/>
              <w:spacing w:line="360" w:lineRule="auto"/>
              <w:jc w:val="left"/>
              <w:rPr>
                <w:rFonts w:hint="eastAsia" w:ascii="宋体" w:hAnsi="宋体" w:cs="宋体"/>
                <w:bCs/>
                <w:color w:val="auto"/>
                <w:szCs w:val="21"/>
                <w:highlight w:val="none"/>
                <w:lang w:bidi="ar"/>
              </w:rPr>
            </w:pPr>
            <w:r>
              <w:rPr>
                <w:rFonts w:hint="eastAsia" w:ascii="宋体" w:hAnsi="宋体" w:cs="宋体"/>
                <w:bCs/>
                <w:color w:val="auto"/>
                <w:szCs w:val="21"/>
                <w:highlight w:val="none"/>
                <w:lang w:bidi="ar"/>
              </w:rPr>
              <w:t>(1)所有条款均须通过现场操作课程建设运行平台对照前述演示内容逐一演示，录屏演示得0分。</w:t>
            </w:r>
          </w:p>
          <w:p w14:paraId="0133F1C7">
            <w:pPr>
              <w:keepNext w:val="0"/>
              <w:keepLines w:val="0"/>
              <w:pageBreakBefore w:val="0"/>
              <w:shd w:val="clear"/>
              <w:kinsoku/>
              <w:wordWrap/>
              <w:overflowPunct/>
              <w:topLinePunct w:val="0"/>
              <w:autoSpaceDE/>
              <w:autoSpaceDN/>
              <w:bidi w:val="0"/>
              <w:spacing w:line="360" w:lineRule="auto"/>
              <w:jc w:val="left"/>
              <w:rPr>
                <w:rFonts w:hint="eastAsia" w:ascii="宋体" w:hAnsi="宋体" w:cs="宋体"/>
                <w:bCs/>
                <w:color w:val="auto"/>
                <w:szCs w:val="21"/>
                <w:highlight w:val="none"/>
                <w:lang w:bidi="ar"/>
              </w:rPr>
            </w:pPr>
            <w:r>
              <w:rPr>
                <w:rFonts w:hint="eastAsia" w:ascii="宋体" w:hAnsi="宋体" w:cs="宋体"/>
                <w:bCs/>
                <w:color w:val="auto"/>
                <w:szCs w:val="21"/>
                <w:highlight w:val="none"/>
                <w:lang w:bidi="ar"/>
              </w:rPr>
              <w:t>(2)供应商需自行准备演示所需设备、软件运行环境及其它条件。</w:t>
            </w:r>
          </w:p>
          <w:p w14:paraId="0C39D68F">
            <w:pPr>
              <w:keepNext w:val="0"/>
              <w:keepLines w:val="0"/>
              <w:pageBreakBefore w:val="0"/>
              <w:numPr>
                <w:ilvl w:val="0"/>
                <w:numId w:val="0"/>
              </w:numPr>
              <w:shd w:val="clear"/>
              <w:kinsoku/>
              <w:wordWrap/>
              <w:overflowPunct/>
              <w:topLinePunct w:val="0"/>
              <w:autoSpaceDE/>
              <w:autoSpaceDN/>
              <w:bidi w:val="0"/>
              <w:spacing w:line="360" w:lineRule="auto"/>
              <w:ind w:left="425" w:leftChars="0" w:hanging="425" w:firstLineChars="0"/>
              <w:jc w:val="left"/>
              <w:rPr>
                <w:rFonts w:hint="eastAsia" w:ascii="宋体" w:hAnsi="宋体" w:eastAsia="宋体" w:cs="宋体"/>
                <w:b/>
                <w:color w:val="auto"/>
                <w:sz w:val="21"/>
                <w:szCs w:val="21"/>
                <w:highlight w:val="none"/>
              </w:rPr>
            </w:pPr>
            <w:r>
              <w:rPr>
                <w:rFonts w:hint="eastAsia" w:ascii="宋体" w:hAnsi="宋体" w:cs="宋体"/>
                <w:bCs/>
                <w:color w:val="auto"/>
                <w:szCs w:val="21"/>
                <w:highlight w:val="none"/>
                <w:lang w:bidi="ar"/>
              </w:rPr>
              <w:t>演示时间为15分钟，未提供现场演示或未在规定时间内演示完成或因供应商原因未能成功演示的，其演示部分不得分。</w:t>
            </w:r>
          </w:p>
        </w:tc>
      </w:tr>
      <w:tr w14:paraId="45E20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61" w:type="dxa"/>
            <w:vMerge w:val="restart"/>
            <w:tcBorders>
              <w:top w:val="single" w:color="auto" w:sz="4" w:space="0"/>
              <w:left w:val="single" w:color="auto" w:sz="4" w:space="0"/>
              <w:right w:val="single" w:color="auto" w:sz="4" w:space="0"/>
            </w:tcBorders>
            <w:noWrap w:val="0"/>
            <w:vAlign w:val="center"/>
          </w:tcPr>
          <w:p w14:paraId="16C49C5B">
            <w:pPr>
              <w:keepNext w:val="0"/>
              <w:keepLines w:val="0"/>
              <w:pageBreakBefore w:val="0"/>
              <w:shd w:val="clear"/>
              <w:kinsoku/>
              <w:wordWrap/>
              <w:overflowPunct/>
              <w:topLinePunct w:val="0"/>
              <w:autoSpaceDE/>
              <w:autoSpaceDN/>
              <w:bidi w:val="0"/>
              <w:adjustRightInd w:val="0"/>
              <w:spacing w:line="360" w:lineRule="auto"/>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p>
        </w:tc>
        <w:tc>
          <w:tcPr>
            <w:tcW w:w="1020" w:type="dxa"/>
            <w:vMerge w:val="restart"/>
            <w:tcBorders>
              <w:top w:val="single" w:color="auto" w:sz="4" w:space="0"/>
              <w:left w:val="single" w:color="auto" w:sz="4" w:space="0"/>
              <w:right w:val="single" w:color="auto" w:sz="4" w:space="0"/>
            </w:tcBorders>
            <w:noWrap w:val="0"/>
            <w:vAlign w:val="center"/>
          </w:tcPr>
          <w:p w14:paraId="53002FF3">
            <w:pPr>
              <w:keepNext w:val="0"/>
              <w:keepLines w:val="0"/>
              <w:pageBreakBefore w:val="0"/>
              <w:shd w:val="clear"/>
              <w:kinsoku/>
              <w:wordWrap/>
              <w:overflowPunct/>
              <w:topLinePunct w:val="0"/>
              <w:autoSpaceDE/>
              <w:autoSpaceDN/>
              <w:bidi w:val="0"/>
              <w:adjustRightInd w:val="0"/>
              <w:spacing w:line="360" w:lineRule="auto"/>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商务分</w:t>
            </w:r>
          </w:p>
          <w:p w14:paraId="7CE4AFD9">
            <w:pPr>
              <w:keepNext w:val="0"/>
              <w:keepLines w:val="0"/>
              <w:pageBreakBefore w:val="0"/>
              <w:shd w:val="clear"/>
              <w:kinsoku/>
              <w:wordWrap/>
              <w:overflowPunct/>
              <w:topLinePunct w:val="0"/>
              <w:autoSpaceDE/>
              <w:autoSpaceDN/>
              <w:bidi w:val="0"/>
              <w:adjustRightInd w:val="0"/>
              <w:spacing w:line="360" w:lineRule="auto"/>
              <w:jc w:val="center"/>
              <w:textAlignment w:val="baseline"/>
              <w:rPr>
                <w:rFonts w:hint="eastAsia" w:ascii="宋体" w:hAnsi="宋体" w:eastAsia="宋体" w:cs="宋体"/>
                <w:b/>
                <w:color w:val="auto"/>
                <w:kern w:val="0"/>
                <w:sz w:val="21"/>
                <w:szCs w:val="21"/>
                <w:highlight w:val="none"/>
              </w:rPr>
            </w:pPr>
            <w:r>
              <w:rPr>
                <w:rFonts w:hint="eastAsia" w:ascii="宋体" w:hAnsi="宋体" w:eastAsia="宋体" w:cs="宋体"/>
                <w:b/>
                <w:bCs/>
                <w:color w:val="auto"/>
                <w:sz w:val="21"/>
                <w:szCs w:val="21"/>
                <w:highlight w:val="none"/>
              </w:rPr>
              <w:t>（满分</w:t>
            </w:r>
            <w:r>
              <w:rPr>
                <w:rFonts w:hint="eastAsia" w:ascii="宋体" w:hAnsi="宋体" w:cs="宋体"/>
                <w:b/>
                <w:bCs/>
                <w:color w:val="auto"/>
                <w:sz w:val="21"/>
                <w:szCs w:val="21"/>
                <w:highlight w:val="none"/>
                <w:lang w:val="en-US" w:eastAsia="zh-CN"/>
              </w:rPr>
              <w:t>25</w:t>
            </w:r>
            <w:r>
              <w:rPr>
                <w:rFonts w:hint="eastAsia" w:ascii="宋体" w:hAnsi="宋体" w:eastAsia="宋体" w:cs="宋体"/>
                <w:b/>
                <w:bCs/>
                <w:color w:val="auto"/>
                <w:sz w:val="21"/>
                <w:szCs w:val="21"/>
                <w:highlight w:val="none"/>
              </w:rPr>
              <w:t>分）</w:t>
            </w:r>
          </w:p>
        </w:tc>
        <w:tc>
          <w:tcPr>
            <w:tcW w:w="1126" w:type="dxa"/>
            <w:tcBorders>
              <w:top w:val="single" w:color="auto" w:sz="4" w:space="0"/>
              <w:left w:val="single" w:color="auto" w:sz="4" w:space="0"/>
              <w:right w:val="single" w:color="auto" w:sz="4" w:space="0"/>
            </w:tcBorders>
            <w:noWrap w:val="0"/>
            <w:vAlign w:val="center"/>
          </w:tcPr>
          <w:p w14:paraId="7146F6F1">
            <w:pPr>
              <w:keepNext w:val="0"/>
              <w:keepLines w:val="0"/>
              <w:pageBreakBefore w:val="0"/>
              <w:shd w:val="clear"/>
              <w:kinsoku/>
              <w:wordWrap/>
              <w:overflowPunct/>
              <w:topLinePunct w:val="0"/>
              <w:autoSpaceDE/>
              <w:autoSpaceDN/>
              <w:bidi w:val="0"/>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项目实施方案分（满分</w:t>
            </w:r>
            <w:r>
              <w:rPr>
                <w:rFonts w:hint="eastAsia" w:ascii="宋体" w:hAnsi="宋体" w:eastAsia="宋体" w:cs="宋体"/>
                <w:b/>
                <w:color w:val="auto"/>
                <w:sz w:val="21"/>
                <w:szCs w:val="21"/>
                <w:highlight w:val="none"/>
                <w:lang w:val="en-US" w:eastAsia="zh-CN"/>
              </w:rPr>
              <w:t>1</w:t>
            </w:r>
            <w:r>
              <w:rPr>
                <w:rFonts w:hint="eastAsia" w:ascii="宋体" w:hAnsi="宋体" w:cs="宋体"/>
                <w:b/>
                <w:color w:val="auto"/>
                <w:sz w:val="21"/>
                <w:szCs w:val="21"/>
                <w:highlight w:val="none"/>
                <w:lang w:val="en-US" w:eastAsia="zh-CN"/>
              </w:rPr>
              <w:t>2</w:t>
            </w:r>
            <w:r>
              <w:rPr>
                <w:rFonts w:hint="eastAsia" w:ascii="宋体" w:hAnsi="宋体" w:eastAsia="宋体" w:cs="宋体"/>
                <w:b/>
                <w:color w:val="auto"/>
                <w:sz w:val="21"/>
                <w:szCs w:val="21"/>
                <w:highlight w:val="none"/>
              </w:rPr>
              <w:t xml:space="preserve">分） </w:t>
            </w:r>
          </w:p>
          <w:p w14:paraId="0769B207">
            <w:pPr>
              <w:keepNext w:val="0"/>
              <w:keepLines w:val="0"/>
              <w:pageBreakBefore w:val="0"/>
              <w:shd w:val="clear"/>
              <w:kinsoku/>
              <w:wordWrap/>
              <w:overflowPunct/>
              <w:topLinePunct w:val="0"/>
              <w:autoSpaceDE/>
              <w:autoSpaceDN/>
              <w:bidi w:val="0"/>
              <w:spacing w:line="360" w:lineRule="auto"/>
              <w:rPr>
                <w:rFonts w:hint="eastAsia" w:ascii="宋体" w:hAnsi="宋体" w:eastAsia="宋体" w:cs="宋体"/>
                <w:bCs/>
                <w:color w:val="auto"/>
                <w:sz w:val="21"/>
                <w:szCs w:val="21"/>
                <w:highlight w:val="none"/>
              </w:rPr>
            </w:pPr>
          </w:p>
        </w:tc>
        <w:tc>
          <w:tcPr>
            <w:tcW w:w="6737" w:type="dxa"/>
            <w:tcBorders>
              <w:top w:val="single" w:color="auto" w:sz="4" w:space="0"/>
              <w:left w:val="single" w:color="auto" w:sz="4" w:space="0"/>
              <w:right w:val="single" w:color="auto" w:sz="4" w:space="0"/>
            </w:tcBorders>
            <w:noWrap w:val="0"/>
            <w:vAlign w:val="center"/>
          </w:tcPr>
          <w:p w14:paraId="6901AEA2">
            <w:pPr>
              <w:keepNext w:val="0"/>
              <w:keepLines w:val="0"/>
              <w:pageBreakBefore w:val="0"/>
              <w:shd w:val="clear"/>
              <w:kinsoku/>
              <w:wordWrap/>
              <w:overflowPunct/>
              <w:topLinePunct w:val="0"/>
              <w:autoSpaceDE/>
              <w:autoSpaceDN/>
              <w:bidi w:val="0"/>
              <w:spacing w:line="360" w:lineRule="auto"/>
              <w:ind w:firstLine="424" w:firstLineChars="202"/>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w:t>
            </w:r>
            <w:r>
              <w:rPr>
                <w:rFonts w:hint="eastAsia" w:ascii="宋体" w:hAnsi="宋体" w:eastAsia="宋体" w:cs="宋体"/>
                <w:bCs/>
                <w:color w:val="auto"/>
                <w:sz w:val="21"/>
                <w:szCs w:val="21"/>
                <w:highlight w:val="none"/>
                <w:lang w:bidi="ar"/>
              </w:rPr>
              <w:t>投标人</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文件中提供的实施方案，包括①项目组织实施计划；②三维仿真场景与课程资源设计服务措施；③核心课程与新形态数字教材建设服务措施；④平台上线、系统集成对接实施方案；⑤不少于 64 课时培训实施方案；⑥项目重难点分析与保障措施，共6个方面进行评审：</w:t>
            </w:r>
          </w:p>
          <w:p w14:paraId="099C02B5">
            <w:pPr>
              <w:keepNext w:val="0"/>
              <w:keepLines w:val="0"/>
              <w:pageBreakBefore w:val="0"/>
              <w:shd w:val="clear"/>
              <w:kinsoku/>
              <w:wordWrap/>
              <w:overflowPunct/>
              <w:topLinePunct w:val="0"/>
              <w:autoSpaceDE/>
              <w:autoSpaceDN/>
              <w:bidi w:val="0"/>
              <w:spacing w:line="360" w:lineRule="auto"/>
              <w:ind w:firstLine="424" w:firstLineChars="202"/>
              <w:jc w:val="left"/>
              <w:rPr>
                <w:rFonts w:hint="eastAsia" w:ascii="宋体" w:hAnsi="宋体" w:eastAsia="宋体" w:cs="宋体"/>
                <w:b w:val="0"/>
                <w:bCs/>
                <w:color w:val="auto"/>
                <w:sz w:val="21"/>
                <w:szCs w:val="21"/>
                <w:highlight w:val="none"/>
              </w:rPr>
            </w:pPr>
            <w:r>
              <w:rPr>
                <w:rFonts w:hint="eastAsia" w:ascii="宋体" w:hAnsi="宋体" w:cs="宋体"/>
                <w:b w:val="0"/>
                <w:bCs/>
                <w:color w:val="auto"/>
                <w:sz w:val="21"/>
                <w:szCs w:val="21"/>
                <w:highlight w:val="none"/>
                <w:lang w:val="en-US" w:eastAsia="zh-CN"/>
              </w:rPr>
              <w:t>一档（12分）</w:t>
            </w:r>
            <w:r>
              <w:rPr>
                <w:rFonts w:hint="eastAsia" w:ascii="宋体" w:hAnsi="宋体" w:eastAsia="宋体" w:cs="宋体"/>
                <w:b w:val="0"/>
                <w:bCs/>
                <w:color w:val="auto"/>
                <w:sz w:val="21"/>
                <w:szCs w:val="21"/>
                <w:highlight w:val="none"/>
              </w:rPr>
              <w:t>方案内容完整详实，6个方面均阐述完整、分析到位，服务措施针对性强，与采购人项目目标契合度高；</w:t>
            </w:r>
          </w:p>
          <w:p w14:paraId="501CB627">
            <w:pPr>
              <w:keepNext w:val="0"/>
              <w:keepLines w:val="0"/>
              <w:pageBreakBefore w:val="0"/>
              <w:shd w:val="clear"/>
              <w:kinsoku/>
              <w:wordWrap/>
              <w:overflowPunct/>
              <w:topLinePunct w:val="0"/>
              <w:autoSpaceDE/>
              <w:autoSpaceDN/>
              <w:bidi w:val="0"/>
              <w:spacing w:line="360" w:lineRule="auto"/>
              <w:ind w:firstLine="424" w:firstLineChars="202"/>
              <w:jc w:val="left"/>
              <w:rPr>
                <w:rFonts w:hint="eastAsia" w:ascii="宋体" w:hAnsi="宋体" w:eastAsia="宋体" w:cs="宋体"/>
                <w:b w:val="0"/>
                <w:bCs/>
                <w:color w:val="auto"/>
                <w:sz w:val="21"/>
                <w:szCs w:val="21"/>
                <w:highlight w:val="none"/>
              </w:rPr>
            </w:pPr>
            <w:r>
              <w:rPr>
                <w:rFonts w:hint="eastAsia" w:ascii="宋体" w:hAnsi="宋体" w:cs="宋体"/>
                <w:b w:val="0"/>
                <w:bCs/>
                <w:color w:val="auto"/>
                <w:sz w:val="21"/>
                <w:szCs w:val="21"/>
                <w:highlight w:val="none"/>
                <w:lang w:val="en-US" w:eastAsia="zh-CN"/>
              </w:rPr>
              <w:t>二档（6分）</w:t>
            </w:r>
            <w:r>
              <w:rPr>
                <w:rFonts w:hint="eastAsia" w:ascii="宋体" w:hAnsi="宋体" w:eastAsia="宋体" w:cs="宋体"/>
                <w:b w:val="0"/>
                <w:bCs/>
                <w:color w:val="auto"/>
                <w:sz w:val="21"/>
                <w:szCs w:val="21"/>
                <w:highlight w:val="none"/>
              </w:rPr>
              <w:t>方案基本响应全部6个方面，整体与采购人目标基本契合</w:t>
            </w:r>
            <w:r>
              <w:rPr>
                <w:rFonts w:hint="eastAsia" w:ascii="宋体" w:hAnsi="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部分方面分析有所欠缺、内容深度不足，；</w:t>
            </w:r>
          </w:p>
          <w:p w14:paraId="38F8CC74">
            <w:pPr>
              <w:keepNext w:val="0"/>
              <w:keepLines w:val="0"/>
              <w:pageBreakBefore w:val="0"/>
              <w:shd w:val="clear"/>
              <w:kinsoku/>
              <w:wordWrap/>
              <w:overflowPunct/>
              <w:topLinePunct w:val="0"/>
              <w:autoSpaceDE/>
              <w:autoSpaceDN/>
              <w:bidi w:val="0"/>
              <w:spacing w:line="360" w:lineRule="auto"/>
              <w:ind w:firstLine="424" w:firstLineChars="202"/>
              <w:jc w:val="left"/>
              <w:rPr>
                <w:rFonts w:hint="eastAsia" w:ascii="宋体" w:hAnsi="宋体" w:eastAsia="宋体" w:cs="宋体"/>
                <w:b w:val="0"/>
                <w:bCs/>
                <w:color w:val="auto"/>
                <w:sz w:val="21"/>
                <w:szCs w:val="21"/>
                <w:highlight w:val="none"/>
              </w:rPr>
            </w:pPr>
            <w:r>
              <w:rPr>
                <w:rFonts w:hint="eastAsia" w:ascii="宋体" w:hAnsi="宋体" w:cs="宋体"/>
                <w:b w:val="0"/>
                <w:bCs/>
                <w:color w:val="auto"/>
                <w:sz w:val="21"/>
                <w:szCs w:val="21"/>
                <w:highlight w:val="none"/>
                <w:lang w:val="en-US" w:eastAsia="zh-CN"/>
              </w:rPr>
              <w:t>三档（3分）</w:t>
            </w:r>
            <w:r>
              <w:rPr>
                <w:rFonts w:hint="eastAsia" w:ascii="宋体" w:hAnsi="宋体" w:eastAsia="宋体" w:cs="宋体"/>
                <w:b w:val="0"/>
                <w:bCs/>
                <w:color w:val="auto"/>
                <w:sz w:val="21"/>
                <w:szCs w:val="21"/>
                <w:highlight w:val="none"/>
              </w:rPr>
              <w:t>方案存在关键内容缺失，缺少3项及以上方面，或者多个方面分析不到位、服务措施针对性不强、与采购人目标契合度较低；</w:t>
            </w:r>
          </w:p>
          <w:p w14:paraId="624E456A">
            <w:pPr>
              <w:keepNext w:val="0"/>
              <w:keepLines w:val="0"/>
              <w:pageBreakBefore w:val="0"/>
              <w:shd w:val="clear"/>
              <w:kinsoku/>
              <w:wordWrap/>
              <w:overflowPunct/>
              <w:topLinePunct w:val="0"/>
              <w:autoSpaceDE/>
              <w:autoSpaceDN/>
              <w:bidi w:val="0"/>
              <w:spacing w:line="360" w:lineRule="auto"/>
              <w:ind w:firstLine="424" w:firstLineChars="202"/>
              <w:jc w:val="left"/>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rPr>
              <w:t>未提供本项实施方案得0分。</w:t>
            </w:r>
          </w:p>
        </w:tc>
      </w:tr>
      <w:tr w14:paraId="0B4AD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461" w:type="dxa"/>
            <w:vMerge w:val="continue"/>
            <w:tcBorders>
              <w:left w:val="single" w:color="auto" w:sz="4" w:space="0"/>
              <w:right w:val="single" w:color="auto" w:sz="4" w:space="0"/>
            </w:tcBorders>
            <w:noWrap w:val="0"/>
            <w:vAlign w:val="center"/>
          </w:tcPr>
          <w:p w14:paraId="4CF91828">
            <w:pPr>
              <w:keepNext w:val="0"/>
              <w:keepLines w:val="0"/>
              <w:pageBreakBefore w:val="0"/>
              <w:shd w:val="clear"/>
              <w:kinsoku/>
              <w:wordWrap/>
              <w:overflowPunct/>
              <w:topLinePunct w:val="0"/>
              <w:autoSpaceDE/>
              <w:autoSpaceDN/>
              <w:bidi w:val="0"/>
              <w:adjustRightInd w:val="0"/>
              <w:spacing w:line="360" w:lineRule="auto"/>
              <w:jc w:val="center"/>
              <w:textAlignment w:val="baseline"/>
              <w:rPr>
                <w:rFonts w:hint="eastAsia" w:ascii="宋体" w:hAnsi="宋体" w:eastAsia="宋体" w:cs="宋体"/>
                <w:b/>
                <w:color w:val="auto"/>
                <w:sz w:val="21"/>
                <w:szCs w:val="21"/>
                <w:highlight w:val="none"/>
              </w:rPr>
            </w:pPr>
          </w:p>
        </w:tc>
        <w:tc>
          <w:tcPr>
            <w:tcW w:w="1020" w:type="dxa"/>
            <w:vMerge w:val="continue"/>
            <w:tcBorders>
              <w:left w:val="single" w:color="auto" w:sz="4" w:space="0"/>
              <w:right w:val="single" w:color="auto" w:sz="4" w:space="0"/>
            </w:tcBorders>
            <w:noWrap w:val="0"/>
            <w:vAlign w:val="center"/>
          </w:tcPr>
          <w:p w14:paraId="24C567BF">
            <w:pPr>
              <w:keepNext w:val="0"/>
              <w:keepLines w:val="0"/>
              <w:pageBreakBefore w:val="0"/>
              <w:shd w:val="clear"/>
              <w:kinsoku/>
              <w:wordWrap/>
              <w:overflowPunct/>
              <w:topLinePunct w:val="0"/>
              <w:autoSpaceDE/>
              <w:autoSpaceDN/>
              <w:bidi w:val="0"/>
              <w:adjustRightInd w:val="0"/>
              <w:spacing w:line="360" w:lineRule="auto"/>
              <w:ind w:left="-105" w:leftChars="-50" w:right="-105" w:rightChars="-50"/>
              <w:jc w:val="center"/>
              <w:textAlignment w:val="baseline"/>
              <w:rPr>
                <w:rFonts w:hint="eastAsia" w:ascii="宋体" w:hAnsi="宋体" w:eastAsia="宋体" w:cs="宋体"/>
                <w:b/>
                <w:bCs/>
                <w:color w:val="auto"/>
                <w:sz w:val="21"/>
                <w:szCs w:val="21"/>
                <w:highlight w:val="none"/>
              </w:rPr>
            </w:pPr>
          </w:p>
        </w:tc>
        <w:tc>
          <w:tcPr>
            <w:tcW w:w="1126" w:type="dxa"/>
            <w:tcBorders>
              <w:left w:val="single" w:color="auto" w:sz="4" w:space="0"/>
              <w:right w:val="single" w:color="auto" w:sz="4" w:space="0"/>
            </w:tcBorders>
            <w:noWrap w:val="0"/>
            <w:vAlign w:val="center"/>
          </w:tcPr>
          <w:p w14:paraId="10E0306D">
            <w:pPr>
              <w:keepNext w:val="0"/>
              <w:keepLines w:val="0"/>
              <w:pageBreakBefore w:val="0"/>
              <w:shd w:val="clear"/>
              <w:kinsoku/>
              <w:wordWrap/>
              <w:overflowPunct/>
              <w:topLinePunct w:val="0"/>
              <w:autoSpaceDE/>
              <w:autoSpaceDN/>
              <w:bidi w:val="0"/>
              <w:snapToGrid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售后服务</w:t>
            </w:r>
            <w:r>
              <w:rPr>
                <w:rFonts w:hint="eastAsia" w:ascii="宋体" w:hAnsi="宋体" w:eastAsia="宋体" w:cs="宋体"/>
                <w:b/>
                <w:bCs/>
                <w:color w:val="auto"/>
                <w:sz w:val="21"/>
                <w:szCs w:val="21"/>
                <w:highlight w:val="none"/>
                <w:lang w:val="en-US" w:eastAsia="zh-CN"/>
              </w:rPr>
              <w:t>方案</w:t>
            </w:r>
            <w:r>
              <w:rPr>
                <w:rFonts w:hint="eastAsia" w:ascii="宋体" w:hAnsi="宋体" w:eastAsia="宋体" w:cs="宋体"/>
                <w:b/>
                <w:bCs/>
                <w:color w:val="auto"/>
                <w:sz w:val="21"/>
                <w:szCs w:val="21"/>
                <w:highlight w:val="none"/>
              </w:rPr>
              <w:t>分</w:t>
            </w:r>
          </w:p>
          <w:p w14:paraId="3481F7C5">
            <w:pPr>
              <w:keepNext w:val="0"/>
              <w:keepLines w:val="0"/>
              <w:pageBreakBefore w:val="0"/>
              <w:shd w:val="clear"/>
              <w:kinsoku/>
              <w:wordWrap/>
              <w:overflowPunct/>
              <w:topLinePunct w:val="0"/>
              <w:autoSpaceDE/>
              <w:autoSpaceDN/>
              <w:bidi w:val="0"/>
              <w:snapToGrid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eastAsia="宋体" w:cs="宋体"/>
                <w:b/>
                <w:color w:val="auto"/>
                <w:sz w:val="21"/>
                <w:szCs w:val="21"/>
                <w:highlight w:val="none"/>
              </w:rPr>
              <w:t>满分</w:t>
            </w:r>
            <w:r>
              <w:rPr>
                <w:rFonts w:hint="eastAsia" w:ascii="宋体" w:hAnsi="宋体" w:cs="宋体"/>
                <w:b/>
                <w:color w:val="auto"/>
                <w:sz w:val="21"/>
                <w:szCs w:val="21"/>
                <w:highlight w:val="none"/>
                <w:lang w:val="en-US" w:eastAsia="zh-CN"/>
              </w:rPr>
              <w:t>4</w:t>
            </w:r>
            <w:r>
              <w:rPr>
                <w:rFonts w:hint="eastAsia" w:ascii="宋体" w:hAnsi="宋体" w:eastAsia="宋体" w:cs="宋体"/>
                <w:b/>
                <w:bCs/>
                <w:color w:val="auto"/>
                <w:sz w:val="21"/>
                <w:szCs w:val="21"/>
                <w:highlight w:val="none"/>
              </w:rPr>
              <w:t>分）</w:t>
            </w:r>
          </w:p>
          <w:p w14:paraId="7D32C1F8">
            <w:pPr>
              <w:keepNext w:val="0"/>
              <w:keepLines w:val="0"/>
              <w:pageBreakBefore w:val="0"/>
              <w:shd w:val="clear"/>
              <w:kinsoku/>
              <w:wordWrap/>
              <w:overflowPunct/>
              <w:topLinePunct w:val="0"/>
              <w:autoSpaceDE/>
              <w:autoSpaceDN/>
              <w:bidi w:val="0"/>
              <w:snapToGrid w:val="0"/>
              <w:spacing w:line="360" w:lineRule="auto"/>
              <w:jc w:val="center"/>
              <w:rPr>
                <w:rFonts w:hint="eastAsia" w:ascii="宋体" w:hAnsi="宋体" w:eastAsia="宋体" w:cs="宋体"/>
                <w:bCs/>
                <w:color w:val="auto"/>
                <w:sz w:val="21"/>
                <w:szCs w:val="21"/>
                <w:highlight w:val="none"/>
              </w:rPr>
            </w:pPr>
          </w:p>
        </w:tc>
        <w:tc>
          <w:tcPr>
            <w:tcW w:w="6737" w:type="dxa"/>
            <w:tcBorders>
              <w:top w:val="single" w:color="auto" w:sz="4" w:space="0"/>
              <w:left w:val="single" w:color="auto" w:sz="4" w:space="0"/>
              <w:bottom w:val="single" w:color="auto" w:sz="4" w:space="0"/>
              <w:right w:val="single" w:color="auto" w:sz="4" w:space="0"/>
            </w:tcBorders>
            <w:noWrap w:val="0"/>
            <w:vAlign w:val="center"/>
          </w:tcPr>
          <w:p w14:paraId="22318FD7">
            <w:pPr>
              <w:keepNext w:val="0"/>
              <w:keepLines w:val="0"/>
              <w:pageBreakBefore w:val="0"/>
              <w:widowControl/>
              <w:shd w:val="clear"/>
              <w:kinsoku/>
              <w:wordWrap/>
              <w:overflowPunct/>
              <w:topLinePunct w:val="0"/>
              <w:autoSpaceDE/>
              <w:autoSpaceDN/>
              <w:bidi w:val="0"/>
              <w:snapToGrid w:val="0"/>
              <w:spacing w:line="360" w:lineRule="auto"/>
              <w:ind w:firstLine="420" w:firstLineChars="200"/>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评审售后服务方案，依据采购文件售后服务实质性要求，包含：3 年质保期服务内容、7×24 远程支持、故障现场响应、免费版本升级、平台可用率保障、质保期满后续服务方案、违约处置承诺。</w:t>
            </w:r>
          </w:p>
          <w:p w14:paraId="07AEC385">
            <w:pPr>
              <w:keepNext w:val="0"/>
              <w:keepLines w:val="0"/>
              <w:pageBreakBefore w:val="0"/>
              <w:widowControl/>
              <w:shd w:val="clear"/>
              <w:kinsoku/>
              <w:wordWrap/>
              <w:overflowPunct/>
              <w:topLinePunct w:val="0"/>
              <w:autoSpaceDE/>
              <w:autoSpaceDN/>
              <w:bidi w:val="0"/>
              <w:snapToGrid w:val="0"/>
              <w:spacing w:line="360" w:lineRule="auto"/>
              <w:ind w:firstLine="420" w:firstLineChars="200"/>
              <w:rPr>
                <w:rFonts w:hint="eastAsia" w:ascii="宋体" w:hAnsi="宋体" w:eastAsia="宋体" w:cs="宋体"/>
                <w:b w:val="0"/>
                <w:bCs/>
                <w:color w:val="auto"/>
                <w:sz w:val="21"/>
                <w:szCs w:val="21"/>
                <w:highlight w:val="none"/>
                <w:lang w:eastAsia="zh-CN"/>
              </w:rPr>
            </w:pPr>
            <w:r>
              <w:rPr>
                <w:rFonts w:hint="eastAsia" w:ascii="宋体" w:hAnsi="宋体" w:cs="宋体"/>
                <w:b w:val="0"/>
                <w:bCs/>
                <w:color w:val="auto"/>
                <w:sz w:val="21"/>
                <w:szCs w:val="21"/>
                <w:highlight w:val="none"/>
                <w:lang w:val="en-US" w:eastAsia="zh-CN"/>
              </w:rPr>
              <w:t>一档（4分）</w:t>
            </w:r>
            <w:r>
              <w:rPr>
                <w:rFonts w:hint="eastAsia" w:ascii="宋体" w:hAnsi="宋体" w:eastAsia="宋体" w:cs="宋体"/>
                <w:b w:val="0"/>
                <w:bCs/>
                <w:color w:val="auto"/>
                <w:sz w:val="21"/>
                <w:szCs w:val="21"/>
                <w:highlight w:val="none"/>
                <w:lang w:eastAsia="zh-CN"/>
              </w:rPr>
              <w:t>方案内容完整详实，全部响应采购文件要求，故障处置预案清晰、运维保障措施完备；</w:t>
            </w:r>
          </w:p>
          <w:p w14:paraId="08EBA092">
            <w:pPr>
              <w:keepNext w:val="0"/>
              <w:keepLines w:val="0"/>
              <w:pageBreakBefore w:val="0"/>
              <w:widowControl/>
              <w:shd w:val="clear"/>
              <w:kinsoku/>
              <w:wordWrap/>
              <w:overflowPunct/>
              <w:topLinePunct w:val="0"/>
              <w:autoSpaceDE/>
              <w:autoSpaceDN/>
              <w:bidi w:val="0"/>
              <w:snapToGrid w:val="0"/>
              <w:spacing w:line="360" w:lineRule="auto"/>
              <w:ind w:firstLine="420" w:firstLineChars="200"/>
              <w:rPr>
                <w:rFonts w:hint="eastAsia" w:ascii="宋体" w:hAnsi="宋体" w:eastAsia="宋体" w:cs="宋体"/>
                <w:b w:val="0"/>
                <w:bCs/>
                <w:color w:val="auto"/>
                <w:sz w:val="21"/>
                <w:szCs w:val="21"/>
                <w:highlight w:val="none"/>
                <w:lang w:eastAsia="zh-CN"/>
              </w:rPr>
            </w:pPr>
            <w:r>
              <w:rPr>
                <w:rFonts w:hint="eastAsia" w:ascii="宋体" w:hAnsi="宋体" w:cs="宋体"/>
                <w:b w:val="0"/>
                <w:bCs/>
                <w:color w:val="auto"/>
                <w:sz w:val="21"/>
                <w:szCs w:val="21"/>
                <w:highlight w:val="none"/>
                <w:lang w:val="en-US" w:eastAsia="zh-CN"/>
              </w:rPr>
              <w:t>二档（2分）</w:t>
            </w:r>
            <w:r>
              <w:rPr>
                <w:rFonts w:hint="eastAsia" w:ascii="宋体" w:hAnsi="宋体" w:eastAsia="宋体" w:cs="宋体"/>
                <w:b w:val="0"/>
                <w:bCs/>
                <w:color w:val="auto"/>
                <w:sz w:val="21"/>
                <w:szCs w:val="21"/>
                <w:highlight w:val="none"/>
                <w:lang w:eastAsia="zh-CN"/>
              </w:rPr>
              <w:t>方案基本响应全部要求，</w:t>
            </w:r>
            <w:r>
              <w:rPr>
                <w:rFonts w:hint="eastAsia" w:ascii="宋体" w:hAnsi="宋体" w:cs="宋体"/>
                <w:b w:val="0"/>
                <w:bCs/>
                <w:color w:val="auto"/>
                <w:sz w:val="21"/>
                <w:szCs w:val="21"/>
                <w:highlight w:val="none"/>
                <w:lang w:val="en-US" w:eastAsia="zh-CN"/>
              </w:rPr>
              <w:t>缺少1-2项或</w:t>
            </w:r>
            <w:r>
              <w:rPr>
                <w:rFonts w:hint="eastAsia" w:ascii="宋体" w:hAnsi="宋体" w:eastAsia="宋体" w:cs="宋体"/>
                <w:b w:val="0"/>
                <w:bCs/>
                <w:color w:val="auto"/>
                <w:sz w:val="21"/>
                <w:szCs w:val="21"/>
                <w:highlight w:val="none"/>
                <w:lang w:eastAsia="zh-CN"/>
              </w:rPr>
              <w:t>部分内容深度不足；</w:t>
            </w:r>
          </w:p>
          <w:p w14:paraId="294359C4">
            <w:pPr>
              <w:keepNext w:val="0"/>
              <w:keepLines w:val="0"/>
              <w:pageBreakBefore w:val="0"/>
              <w:widowControl/>
              <w:shd w:val="clear"/>
              <w:kinsoku/>
              <w:wordWrap/>
              <w:overflowPunct/>
              <w:topLinePunct w:val="0"/>
              <w:autoSpaceDE/>
              <w:autoSpaceDN/>
              <w:bidi w:val="0"/>
              <w:snapToGrid w:val="0"/>
              <w:spacing w:line="360" w:lineRule="auto"/>
              <w:ind w:firstLine="420" w:firstLineChars="200"/>
              <w:rPr>
                <w:rFonts w:hint="eastAsia" w:ascii="宋体" w:hAnsi="宋体" w:eastAsia="宋体" w:cs="宋体"/>
                <w:b w:val="0"/>
                <w:bCs/>
                <w:color w:val="auto"/>
                <w:sz w:val="21"/>
                <w:szCs w:val="21"/>
                <w:highlight w:val="none"/>
                <w:lang w:eastAsia="zh-CN"/>
              </w:rPr>
            </w:pPr>
            <w:r>
              <w:rPr>
                <w:rFonts w:hint="eastAsia" w:ascii="宋体" w:hAnsi="宋体" w:cs="宋体"/>
                <w:b w:val="0"/>
                <w:bCs/>
                <w:color w:val="auto"/>
                <w:sz w:val="21"/>
                <w:szCs w:val="21"/>
                <w:highlight w:val="none"/>
                <w:lang w:val="en-US" w:eastAsia="zh-CN"/>
              </w:rPr>
              <w:t>三档（1分）</w:t>
            </w:r>
            <w:r>
              <w:rPr>
                <w:rFonts w:hint="eastAsia" w:ascii="宋体" w:hAnsi="宋体" w:eastAsia="宋体" w:cs="宋体"/>
                <w:b w:val="0"/>
                <w:bCs/>
                <w:color w:val="auto"/>
                <w:sz w:val="21"/>
                <w:szCs w:val="21"/>
                <w:highlight w:val="none"/>
                <w:lang w:eastAsia="zh-CN"/>
              </w:rPr>
              <w:t>方案存在关键内容缺失，</w:t>
            </w:r>
            <w:r>
              <w:rPr>
                <w:rFonts w:hint="eastAsia" w:ascii="宋体" w:hAnsi="宋体" w:cs="宋体"/>
                <w:b w:val="0"/>
                <w:bCs/>
                <w:color w:val="auto"/>
                <w:sz w:val="21"/>
                <w:szCs w:val="21"/>
                <w:highlight w:val="none"/>
                <w:lang w:val="en-US" w:eastAsia="zh-CN"/>
              </w:rPr>
              <w:t>缺少3项以上</w:t>
            </w:r>
            <w:r>
              <w:rPr>
                <w:rFonts w:hint="eastAsia" w:ascii="宋体" w:hAnsi="宋体" w:eastAsia="宋体" w:cs="宋体"/>
                <w:b w:val="0"/>
                <w:bCs/>
                <w:color w:val="auto"/>
                <w:sz w:val="21"/>
                <w:szCs w:val="21"/>
                <w:highlight w:val="none"/>
                <w:lang w:eastAsia="zh-CN"/>
              </w:rPr>
              <w:t>；</w:t>
            </w:r>
          </w:p>
          <w:p w14:paraId="5674343A">
            <w:pPr>
              <w:keepNext w:val="0"/>
              <w:keepLines w:val="0"/>
              <w:pageBreakBefore w:val="0"/>
              <w:widowControl/>
              <w:shd w:val="clear"/>
              <w:kinsoku/>
              <w:wordWrap/>
              <w:overflowPunct/>
              <w:topLinePunct w:val="0"/>
              <w:autoSpaceDE/>
              <w:autoSpaceDN/>
              <w:bidi w:val="0"/>
              <w:snapToGrid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 w:val="0"/>
                <w:bCs/>
                <w:color w:val="auto"/>
                <w:sz w:val="21"/>
                <w:szCs w:val="21"/>
                <w:highlight w:val="none"/>
                <w:lang w:eastAsia="zh-CN"/>
              </w:rPr>
              <w:t>未提供本项方案得0分。</w:t>
            </w:r>
          </w:p>
        </w:tc>
      </w:tr>
      <w:tr w14:paraId="385C5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461" w:type="dxa"/>
            <w:vMerge w:val="continue"/>
            <w:tcBorders>
              <w:left w:val="single" w:color="auto" w:sz="4" w:space="0"/>
              <w:right w:val="single" w:color="auto" w:sz="4" w:space="0"/>
            </w:tcBorders>
            <w:noWrap w:val="0"/>
            <w:vAlign w:val="center"/>
          </w:tcPr>
          <w:p w14:paraId="7B0E3D58">
            <w:pPr>
              <w:keepNext w:val="0"/>
              <w:keepLines w:val="0"/>
              <w:pageBreakBefore w:val="0"/>
              <w:shd w:val="clear"/>
              <w:kinsoku/>
              <w:wordWrap/>
              <w:overflowPunct/>
              <w:topLinePunct w:val="0"/>
              <w:autoSpaceDE/>
              <w:autoSpaceDN/>
              <w:bidi w:val="0"/>
              <w:adjustRightInd w:val="0"/>
              <w:spacing w:line="360" w:lineRule="auto"/>
              <w:jc w:val="center"/>
              <w:textAlignment w:val="baseline"/>
              <w:rPr>
                <w:rFonts w:hint="eastAsia" w:ascii="宋体" w:hAnsi="宋体" w:eastAsia="宋体" w:cs="宋体"/>
                <w:b/>
                <w:color w:val="auto"/>
                <w:sz w:val="21"/>
                <w:szCs w:val="21"/>
                <w:highlight w:val="none"/>
              </w:rPr>
            </w:pPr>
          </w:p>
        </w:tc>
        <w:tc>
          <w:tcPr>
            <w:tcW w:w="1020" w:type="dxa"/>
            <w:vMerge w:val="continue"/>
            <w:tcBorders>
              <w:left w:val="single" w:color="auto" w:sz="4" w:space="0"/>
              <w:right w:val="single" w:color="auto" w:sz="4" w:space="0"/>
            </w:tcBorders>
            <w:noWrap w:val="0"/>
            <w:vAlign w:val="center"/>
          </w:tcPr>
          <w:p w14:paraId="35DD12E9">
            <w:pPr>
              <w:keepNext w:val="0"/>
              <w:keepLines w:val="0"/>
              <w:pageBreakBefore w:val="0"/>
              <w:shd w:val="clear"/>
              <w:kinsoku/>
              <w:wordWrap/>
              <w:overflowPunct/>
              <w:topLinePunct w:val="0"/>
              <w:autoSpaceDE/>
              <w:autoSpaceDN/>
              <w:bidi w:val="0"/>
              <w:adjustRightInd w:val="0"/>
              <w:spacing w:line="360" w:lineRule="auto"/>
              <w:jc w:val="center"/>
              <w:textAlignment w:val="baseline"/>
              <w:rPr>
                <w:rFonts w:hint="eastAsia" w:ascii="宋体" w:hAnsi="宋体" w:eastAsia="宋体" w:cs="宋体"/>
                <w:b/>
                <w:color w:val="auto"/>
                <w:kern w:val="0"/>
                <w:sz w:val="21"/>
                <w:szCs w:val="21"/>
                <w:highlight w:val="none"/>
              </w:rPr>
            </w:pPr>
          </w:p>
        </w:tc>
        <w:tc>
          <w:tcPr>
            <w:tcW w:w="112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920E240">
            <w:pPr>
              <w:keepNext w:val="0"/>
              <w:keepLines w:val="0"/>
              <w:pageBreakBefore w:val="0"/>
              <w:shd w:val="clear"/>
              <w:kinsoku/>
              <w:wordWrap/>
              <w:overflowPunct/>
              <w:topLinePunct w:val="0"/>
              <w:autoSpaceDE/>
              <w:autoSpaceDN/>
              <w:bidi w:val="0"/>
              <w:snapToGrid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拟投入人员配置</w:t>
            </w:r>
          </w:p>
          <w:p w14:paraId="18EC097C">
            <w:pPr>
              <w:keepNext w:val="0"/>
              <w:keepLines w:val="0"/>
              <w:pageBreakBefore w:val="0"/>
              <w:shd w:val="clear"/>
              <w:kinsoku/>
              <w:wordWrap/>
              <w:overflowPunct/>
              <w:topLinePunct w:val="0"/>
              <w:autoSpaceDE/>
              <w:autoSpaceDN/>
              <w:bidi w:val="0"/>
              <w:snapToGrid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（满分</w:t>
            </w:r>
            <w:r>
              <w:rPr>
                <w:rFonts w:hint="eastAsia" w:ascii="宋体" w:hAnsi="宋体" w:eastAsia="宋体" w:cs="宋体"/>
                <w:b/>
                <w:color w:val="auto"/>
                <w:sz w:val="21"/>
                <w:szCs w:val="21"/>
                <w:highlight w:val="none"/>
                <w:lang w:val="en-US" w:eastAsia="zh-CN"/>
              </w:rPr>
              <w:t>3</w:t>
            </w:r>
            <w:r>
              <w:rPr>
                <w:rFonts w:hint="eastAsia" w:ascii="宋体" w:hAnsi="宋体" w:eastAsia="宋体" w:cs="宋体"/>
                <w:b/>
                <w:color w:val="auto"/>
                <w:sz w:val="21"/>
                <w:szCs w:val="21"/>
                <w:highlight w:val="none"/>
              </w:rPr>
              <w:t>分）</w:t>
            </w:r>
          </w:p>
          <w:p w14:paraId="3D4C7ACC">
            <w:pPr>
              <w:keepNext w:val="0"/>
              <w:keepLines w:val="0"/>
              <w:pageBreakBefore w:val="0"/>
              <w:shd w:val="clear"/>
              <w:kinsoku/>
              <w:wordWrap/>
              <w:overflowPunct/>
              <w:topLinePunct w:val="0"/>
              <w:autoSpaceDE/>
              <w:autoSpaceDN/>
              <w:bidi w:val="0"/>
              <w:snapToGrid w:val="0"/>
              <w:spacing w:line="360" w:lineRule="auto"/>
              <w:jc w:val="center"/>
              <w:rPr>
                <w:rFonts w:hint="eastAsia" w:ascii="宋体" w:hAnsi="宋体" w:eastAsia="宋体" w:cs="宋体"/>
                <w:color w:val="auto"/>
                <w:sz w:val="21"/>
                <w:szCs w:val="21"/>
                <w:highlight w:val="none"/>
              </w:rPr>
            </w:pPr>
          </w:p>
        </w:tc>
        <w:tc>
          <w:tcPr>
            <w:tcW w:w="6737" w:type="dxa"/>
            <w:tcBorders>
              <w:top w:val="single" w:color="auto" w:sz="4" w:space="0"/>
              <w:left w:val="single" w:color="auto" w:sz="4" w:space="0"/>
              <w:bottom w:val="single" w:color="auto" w:sz="4" w:space="0"/>
              <w:right w:val="single" w:color="auto" w:sz="4" w:space="0"/>
            </w:tcBorders>
            <w:noWrap w:val="0"/>
            <w:vAlign w:val="center"/>
          </w:tcPr>
          <w:p w14:paraId="3A7312C0">
            <w:pPr>
              <w:pStyle w:val="11"/>
              <w:keepNext w:val="0"/>
              <w:keepLines w:val="0"/>
              <w:pageBreakBefore w:val="0"/>
              <w:shd w:val="clear"/>
              <w:kinsoku/>
              <w:wordWrap/>
              <w:overflowPunct/>
              <w:topLinePunct w:val="0"/>
              <w:autoSpaceDE/>
              <w:autoSpaceDN/>
              <w:bidi w:val="0"/>
              <w:spacing w:line="360" w:lineRule="auto"/>
              <w:rPr>
                <w:rFonts w:hint="eastAsia" w:ascii="宋体" w:hAnsi="宋体" w:eastAsia="宋体" w:cs="宋体"/>
                <w:b w:val="0"/>
                <w:bCs w:val="0"/>
                <w:color w:val="auto"/>
                <w:kern w:val="2"/>
                <w:sz w:val="21"/>
                <w:szCs w:val="21"/>
                <w:highlight w:val="none"/>
                <w:shd w:val="clear" w:color="auto" w:fill="auto"/>
                <w:lang w:val="en-US" w:eastAsia="zh-CN" w:bidi="ar-SA"/>
              </w:rPr>
            </w:pPr>
            <w:r>
              <w:rPr>
                <w:rFonts w:hint="eastAsia" w:ascii="宋体" w:hAnsi="宋体" w:eastAsia="宋体" w:cs="宋体"/>
                <w:b w:val="0"/>
                <w:bCs w:val="0"/>
                <w:color w:val="auto"/>
                <w:kern w:val="2"/>
                <w:sz w:val="21"/>
                <w:szCs w:val="21"/>
                <w:highlight w:val="none"/>
                <w:shd w:val="clear" w:color="auto" w:fill="auto"/>
                <w:lang w:val="en-US" w:eastAsia="zh-CN" w:bidi="ar-SA"/>
              </w:rPr>
              <w:t>投标人拟投入本项目的服务团队须包含以下专业人员</w:t>
            </w:r>
            <w:r>
              <w:rPr>
                <w:rFonts w:hint="eastAsia" w:ascii="宋体" w:hAnsi="宋体" w:cs="宋体"/>
                <w:b w:val="0"/>
                <w:bCs w:val="0"/>
                <w:color w:val="auto"/>
                <w:kern w:val="2"/>
                <w:sz w:val="21"/>
                <w:szCs w:val="21"/>
                <w:highlight w:val="none"/>
                <w:shd w:val="clear" w:color="auto" w:fill="auto"/>
                <w:lang w:val="en-US" w:eastAsia="zh-CN" w:bidi="ar-SA"/>
              </w:rPr>
              <w:t>，（必须提供在本单位任职的证明材料复印件，如《投保单》、《社会保险参保人员证明》、单位代缴个人所得税税单、供应商与其签订的劳务/劳动合同等）</w:t>
            </w:r>
            <w:r>
              <w:rPr>
                <w:rFonts w:hint="eastAsia" w:ascii="宋体" w:hAnsi="宋体" w:eastAsia="宋体" w:cs="宋体"/>
                <w:b w:val="0"/>
                <w:bCs w:val="0"/>
                <w:color w:val="auto"/>
                <w:kern w:val="2"/>
                <w:sz w:val="21"/>
                <w:szCs w:val="21"/>
                <w:highlight w:val="none"/>
                <w:shd w:val="clear" w:color="auto" w:fill="auto"/>
                <w:lang w:val="en-US" w:eastAsia="zh-CN" w:bidi="ar-SA"/>
              </w:rPr>
              <w:t>：</w:t>
            </w:r>
          </w:p>
          <w:p w14:paraId="768F0875">
            <w:pPr>
              <w:pStyle w:val="11"/>
              <w:keepNext w:val="0"/>
              <w:keepLines w:val="0"/>
              <w:pageBreakBefore w:val="0"/>
              <w:shd w:val="clear"/>
              <w:kinsoku/>
              <w:wordWrap/>
              <w:overflowPunct/>
              <w:topLinePunct w:val="0"/>
              <w:autoSpaceDE/>
              <w:autoSpaceDN/>
              <w:bidi w:val="0"/>
              <w:spacing w:line="360" w:lineRule="auto"/>
              <w:ind w:firstLine="420" w:firstLineChars="200"/>
              <w:rPr>
                <w:rFonts w:hint="eastAsia" w:ascii="宋体" w:hAnsi="宋体" w:eastAsia="宋体" w:cs="宋体"/>
                <w:b w:val="0"/>
                <w:bCs w:val="0"/>
                <w:color w:val="auto"/>
                <w:kern w:val="2"/>
                <w:sz w:val="21"/>
                <w:szCs w:val="21"/>
                <w:highlight w:val="none"/>
                <w:shd w:val="clear" w:color="auto" w:fill="auto"/>
                <w:lang w:val="en-US" w:eastAsia="zh-CN" w:bidi="ar-SA"/>
              </w:rPr>
            </w:pPr>
            <w:r>
              <w:rPr>
                <w:rFonts w:hint="eastAsia" w:ascii="宋体" w:hAnsi="宋体" w:eastAsia="宋体" w:cs="宋体"/>
                <w:b w:val="0"/>
                <w:bCs w:val="0"/>
                <w:color w:val="auto"/>
                <w:kern w:val="2"/>
                <w:sz w:val="21"/>
                <w:szCs w:val="21"/>
                <w:highlight w:val="none"/>
                <w:shd w:val="clear" w:color="auto" w:fill="auto"/>
                <w:lang w:val="en-US" w:eastAsia="zh-CN" w:bidi="ar-SA"/>
              </w:rPr>
              <w:t>1. 配置1名项目负责人，具备至少1项职业教育虚拟仿真/课程资源平台同类项目实施业绩，得1分，无业绩不得分。</w:t>
            </w:r>
          </w:p>
          <w:p w14:paraId="2C2C9540">
            <w:pPr>
              <w:pStyle w:val="11"/>
              <w:keepNext w:val="0"/>
              <w:keepLines w:val="0"/>
              <w:pageBreakBefore w:val="0"/>
              <w:shd w:val="clear"/>
              <w:kinsoku/>
              <w:wordWrap/>
              <w:overflowPunct/>
              <w:topLinePunct w:val="0"/>
              <w:autoSpaceDE/>
              <w:autoSpaceDN/>
              <w:bidi w:val="0"/>
              <w:spacing w:line="360" w:lineRule="auto"/>
              <w:ind w:firstLine="420" w:firstLineChars="200"/>
              <w:rPr>
                <w:rFonts w:hint="eastAsia" w:ascii="宋体" w:hAnsi="宋体" w:eastAsia="宋体" w:cs="宋体"/>
                <w:b w:val="0"/>
                <w:bCs w:val="0"/>
                <w:color w:val="auto"/>
                <w:kern w:val="2"/>
                <w:sz w:val="21"/>
                <w:szCs w:val="21"/>
                <w:highlight w:val="none"/>
                <w:shd w:val="clear" w:color="auto" w:fill="auto"/>
                <w:lang w:val="en-US" w:eastAsia="zh-CN" w:bidi="ar-SA"/>
              </w:rPr>
            </w:pPr>
            <w:r>
              <w:rPr>
                <w:rFonts w:hint="eastAsia" w:ascii="宋体" w:hAnsi="宋体" w:eastAsia="宋体" w:cs="宋体"/>
                <w:b w:val="0"/>
                <w:bCs w:val="0"/>
                <w:color w:val="auto"/>
                <w:kern w:val="2"/>
                <w:sz w:val="21"/>
                <w:szCs w:val="21"/>
                <w:highlight w:val="none"/>
                <w:shd w:val="clear" w:color="auto" w:fill="auto"/>
                <w:lang w:val="en-US" w:eastAsia="zh-CN" w:bidi="ar-SA"/>
              </w:rPr>
              <w:t>2. 课程建设人员（</w:t>
            </w:r>
            <w:r>
              <w:rPr>
                <w:rFonts w:hint="eastAsia" w:ascii="宋体" w:hAnsi="宋体" w:cs="宋体"/>
                <w:b w:val="0"/>
                <w:bCs w:val="0"/>
                <w:color w:val="auto"/>
                <w:kern w:val="2"/>
                <w:sz w:val="21"/>
                <w:szCs w:val="21"/>
                <w:highlight w:val="none"/>
                <w:shd w:val="clear" w:color="auto" w:fill="auto"/>
                <w:lang w:val="en-US" w:eastAsia="zh-CN" w:bidi="ar-SA"/>
              </w:rPr>
              <w:t>1</w:t>
            </w:r>
            <w:r>
              <w:rPr>
                <w:rFonts w:hint="eastAsia" w:ascii="宋体" w:hAnsi="宋体" w:eastAsia="宋体" w:cs="宋体"/>
                <w:b w:val="0"/>
                <w:bCs w:val="0"/>
                <w:color w:val="auto"/>
                <w:kern w:val="2"/>
                <w:sz w:val="21"/>
                <w:szCs w:val="21"/>
                <w:highlight w:val="none"/>
                <w:shd w:val="clear" w:color="auto" w:fill="auto"/>
                <w:lang w:val="en-US" w:eastAsia="zh-CN" w:bidi="ar-SA"/>
              </w:rPr>
              <w:t>分）：配备课程建设人员，负责岗位能力图谱梳理、课程、数字教材开发，至少1人，得1分。</w:t>
            </w:r>
          </w:p>
          <w:p w14:paraId="3B196272">
            <w:pPr>
              <w:keepNext w:val="0"/>
              <w:keepLines w:val="0"/>
              <w:pageBreakBefore w:val="0"/>
              <w:widowControl/>
              <w:shd w:val="clear"/>
              <w:kinsoku/>
              <w:wordWrap/>
              <w:overflowPunct/>
              <w:topLinePunct w:val="0"/>
              <w:autoSpaceDE/>
              <w:autoSpaceDN/>
              <w:bidi w:val="0"/>
              <w:snapToGrid w:val="0"/>
              <w:spacing w:line="360" w:lineRule="auto"/>
              <w:ind w:firstLine="420" w:firstLineChars="200"/>
              <w:rPr>
                <w:rFonts w:hint="eastAsia" w:ascii="宋体" w:hAnsi="宋体" w:eastAsia="宋体" w:cs="宋体"/>
                <w:b/>
                <w:color w:val="auto"/>
                <w:sz w:val="21"/>
                <w:szCs w:val="21"/>
                <w:highlight w:val="none"/>
              </w:rPr>
            </w:pPr>
            <w:r>
              <w:rPr>
                <w:rFonts w:hint="eastAsia" w:ascii="宋体" w:hAnsi="宋体" w:eastAsia="宋体" w:cs="宋体"/>
                <w:b w:val="0"/>
                <w:bCs w:val="0"/>
                <w:color w:val="auto"/>
                <w:kern w:val="2"/>
                <w:sz w:val="21"/>
                <w:szCs w:val="21"/>
                <w:highlight w:val="none"/>
                <w:shd w:val="clear" w:color="auto" w:fill="auto"/>
                <w:lang w:val="en-US" w:eastAsia="zh-CN" w:bidi="ar-SA"/>
              </w:rPr>
              <w:t>3. 平台运维实施人员（1分）：配备平台部署、系统集成对接运维人员至少1人，得1分。</w:t>
            </w:r>
          </w:p>
        </w:tc>
      </w:tr>
      <w:tr w14:paraId="4A05C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461" w:type="dxa"/>
            <w:vMerge w:val="continue"/>
            <w:tcBorders>
              <w:left w:val="single" w:color="auto" w:sz="4" w:space="0"/>
              <w:right w:val="single" w:color="auto" w:sz="4" w:space="0"/>
            </w:tcBorders>
            <w:noWrap w:val="0"/>
            <w:vAlign w:val="center"/>
          </w:tcPr>
          <w:p w14:paraId="6B559C89">
            <w:pPr>
              <w:keepNext w:val="0"/>
              <w:keepLines w:val="0"/>
              <w:pageBreakBefore w:val="0"/>
              <w:shd w:val="clear"/>
              <w:kinsoku/>
              <w:wordWrap/>
              <w:overflowPunct/>
              <w:topLinePunct w:val="0"/>
              <w:autoSpaceDE/>
              <w:autoSpaceDN/>
              <w:bidi w:val="0"/>
              <w:adjustRightInd w:val="0"/>
              <w:spacing w:line="360" w:lineRule="auto"/>
              <w:jc w:val="center"/>
              <w:textAlignment w:val="baseline"/>
              <w:rPr>
                <w:rFonts w:hint="eastAsia" w:ascii="宋体" w:hAnsi="宋体" w:eastAsia="宋体" w:cs="宋体"/>
                <w:b/>
                <w:color w:val="auto"/>
                <w:sz w:val="21"/>
                <w:szCs w:val="21"/>
                <w:highlight w:val="none"/>
              </w:rPr>
            </w:pPr>
          </w:p>
        </w:tc>
        <w:tc>
          <w:tcPr>
            <w:tcW w:w="1020" w:type="dxa"/>
            <w:vMerge w:val="continue"/>
            <w:tcBorders>
              <w:left w:val="single" w:color="auto" w:sz="4" w:space="0"/>
              <w:right w:val="single" w:color="auto" w:sz="4" w:space="0"/>
            </w:tcBorders>
            <w:noWrap w:val="0"/>
            <w:vAlign w:val="center"/>
          </w:tcPr>
          <w:p w14:paraId="43BC3556">
            <w:pPr>
              <w:keepNext w:val="0"/>
              <w:keepLines w:val="0"/>
              <w:pageBreakBefore w:val="0"/>
              <w:shd w:val="clear"/>
              <w:kinsoku/>
              <w:wordWrap/>
              <w:overflowPunct/>
              <w:topLinePunct w:val="0"/>
              <w:autoSpaceDE/>
              <w:autoSpaceDN/>
              <w:bidi w:val="0"/>
              <w:adjustRightInd w:val="0"/>
              <w:spacing w:line="360" w:lineRule="auto"/>
              <w:jc w:val="center"/>
              <w:textAlignment w:val="baseline"/>
              <w:rPr>
                <w:rFonts w:hint="eastAsia" w:ascii="宋体" w:hAnsi="宋体" w:eastAsia="宋体" w:cs="宋体"/>
                <w:b/>
                <w:bCs/>
                <w:color w:val="auto"/>
                <w:sz w:val="21"/>
                <w:szCs w:val="21"/>
                <w:highlight w:val="none"/>
              </w:rPr>
            </w:pPr>
          </w:p>
        </w:tc>
        <w:tc>
          <w:tcPr>
            <w:tcW w:w="112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571F522">
            <w:pPr>
              <w:keepNext w:val="0"/>
              <w:keepLines w:val="0"/>
              <w:pageBreakBefore w:val="0"/>
              <w:shd w:val="clear"/>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rPr>
              <w:t>类似项目业绩</w:t>
            </w:r>
            <w:r>
              <w:rPr>
                <w:rFonts w:hint="eastAsia" w:ascii="宋体" w:hAnsi="宋体" w:eastAsia="宋体" w:cs="宋体"/>
                <w:b/>
                <w:bCs/>
                <w:color w:val="auto"/>
                <w:sz w:val="21"/>
                <w:szCs w:val="21"/>
                <w:highlight w:val="none"/>
                <w:lang w:val="en-US" w:eastAsia="zh-CN"/>
              </w:rPr>
              <w:t>分</w:t>
            </w:r>
            <w:r>
              <w:rPr>
                <w:rFonts w:hint="eastAsia" w:ascii="宋体" w:hAnsi="宋体" w:eastAsia="宋体" w:cs="宋体"/>
                <w:b/>
                <w:color w:val="auto"/>
                <w:sz w:val="21"/>
                <w:szCs w:val="21"/>
                <w:highlight w:val="none"/>
              </w:rPr>
              <w:t>（满分</w:t>
            </w:r>
            <w:r>
              <w:rPr>
                <w:rFonts w:hint="eastAsia" w:ascii="宋体" w:hAnsi="宋体" w:eastAsia="宋体" w:cs="宋体"/>
                <w:b/>
                <w:color w:val="auto"/>
                <w:sz w:val="21"/>
                <w:szCs w:val="21"/>
                <w:highlight w:val="none"/>
                <w:lang w:val="en-US" w:eastAsia="zh-CN"/>
              </w:rPr>
              <w:t>6</w:t>
            </w:r>
            <w:r>
              <w:rPr>
                <w:rFonts w:hint="eastAsia" w:ascii="宋体" w:hAnsi="宋体" w:eastAsia="宋体" w:cs="宋体"/>
                <w:b/>
                <w:color w:val="auto"/>
                <w:sz w:val="21"/>
                <w:szCs w:val="21"/>
                <w:highlight w:val="none"/>
              </w:rPr>
              <w:t>分）</w:t>
            </w:r>
          </w:p>
          <w:p w14:paraId="7BF92567">
            <w:pPr>
              <w:keepNext w:val="0"/>
              <w:keepLines w:val="0"/>
              <w:pageBreakBefore w:val="0"/>
              <w:shd w:val="clear"/>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color w:val="auto"/>
                <w:sz w:val="21"/>
                <w:szCs w:val="21"/>
                <w:highlight w:val="none"/>
              </w:rPr>
            </w:pPr>
          </w:p>
        </w:tc>
        <w:tc>
          <w:tcPr>
            <w:tcW w:w="6737" w:type="dxa"/>
            <w:tcBorders>
              <w:top w:val="single" w:color="auto" w:sz="4" w:space="0"/>
              <w:left w:val="single" w:color="auto" w:sz="4" w:space="0"/>
              <w:bottom w:val="single" w:color="auto" w:sz="4" w:space="0"/>
              <w:right w:val="single" w:color="auto" w:sz="4" w:space="0"/>
            </w:tcBorders>
            <w:noWrap w:val="0"/>
            <w:vAlign w:val="center"/>
          </w:tcPr>
          <w:p w14:paraId="103B4545">
            <w:pPr>
              <w:keepNext w:val="0"/>
              <w:keepLines w:val="0"/>
              <w:pageBreakBefore w:val="0"/>
              <w:widowControl/>
              <w:shd w:val="clear"/>
              <w:kinsoku/>
              <w:wordWrap/>
              <w:overflowPunct/>
              <w:topLinePunct w:val="0"/>
              <w:autoSpaceDE/>
              <w:autoSpaceDN/>
              <w:bidi w:val="0"/>
              <w:snapToGrid w:val="0"/>
              <w:spacing w:line="360" w:lineRule="auto"/>
              <w:ind w:firstLine="420" w:firstLineChars="200"/>
              <w:rPr>
                <w:rFonts w:ascii="宋体" w:hAnsi="宋体" w:cs="Courier New"/>
                <w:bCs/>
                <w:color w:val="000000"/>
                <w:kern w:val="0"/>
                <w:szCs w:val="21"/>
              </w:rPr>
            </w:pPr>
            <w:r>
              <w:rPr>
                <w:rFonts w:ascii="宋体" w:hAnsi="宋体" w:cs="Courier New"/>
                <w:bCs/>
                <w:color w:val="000000"/>
                <w:kern w:val="0"/>
                <w:szCs w:val="21"/>
              </w:rPr>
              <w:t>投标人自2023</w:t>
            </w:r>
            <w:r>
              <w:rPr>
                <w:rFonts w:hint="eastAsia" w:ascii="宋体" w:hAnsi="宋体" w:cs="Courier New"/>
                <w:bCs/>
                <w:color w:val="000000"/>
                <w:kern w:val="0"/>
                <w:szCs w:val="21"/>
                <w:lang w:val="en-US" w:eastAsia="zh-CN"/>
              </w:rPr>
              <w:t>年</w:t>
            </w:r>
            <w:r>
              <w:rPr>
                <w:rFonts w:ascii="宋体" w:hAnsi="宋体" w:cs="Courier New"/>
                <w:bCs/>
                <w:color w:val="000000"/>
                <w:kern w:val="0"/>
                <w:szCs w:val="21"/>
              </w:rPr>
              <w:t>1</w:t>
            </w:r>
            <w:r>
              <w:rPr>
                <w:rFonts w:hint="eastAsia" w:ascii="宋体" w:hAnsi="宋体" w:cs="Courier New"/>
                <w:bCs/>
                <w:color w:val="000000"/>
                <w:kern w:val="0"/>
                <w:szCs w:val="21"/>
                <w:lang w:val="en-US" w:eastAsia="zh-CN"/>
              </w:rPr>
              <w:t>月</w:t>
            </w:r>
            <w:r>
              <w:rPr>
                <w:rFonts w:ascii="宋体" w:hAnsi="宋体" w:cs="Courier New"/>
                <w:bCs/>
                <w:color w:val="000000"/>
                <w:kern w:val="0"/>
                <w:szCs w:val="21"/>
              </w:rPr>
              <w:t>1</w:t>
            </w:r>
            <w:r>
              <w:rPr>
                <w:rFonts w:hint="eastAsia" w:ascii="宋体" w:hAnsi="宋体" w:cs="Courier New"/>
                <w:bCs/>
                <w:color w:val="000000"/>
                <w:kern w:val="0"/>
                <w:szCs w:val="21"/>
                <w:lang w:val="en-US" w:eastAsia="zh-CN"/>
              </w:rPr>
              <w:t>日</w:t>
            </w:r>
            <w:r>
              <w:rPr>
                <w:rFonts w:ascii="宋体" w:hAnsi="宋体" w:cs="Courier New"/>
                <w:bCs/>
                <w:color w:val="000000"/>
                <w:kern w:val="0"/>
                <w:szCs w:val="21"/>
              </w:rPr>
              <w:t>至投标截止之日</w:t>
            </w:r>
            <w:r>
              <w:rPr>
                <w:rFonts w:hint="eastAsia" w:ascii="宋体" w:hAnsi="宋体" w:cs="Courier New"/>
                <w:bCs/>
                <w:color w:val="000000"/>
                <w:kern w:val="0"/>
                <w:szCs w:val="21"/>
                <w:lang w:eastAsia="zh-CN"/>
              </w:rPr>
              <w:t>，投标人自2023年1月1日至投标截止之日，承接过职业教育虚拟仿真课程资源开发平台类建设项目业绩，每提供1项有效业绩得2分，满分6分。</w:t>
            </w:r>
          </w:p>
          <w:p w14:paraId="188AB3CA">
            <w:pPr>
              <w:keepNext w:val="0"/>
              <w:keepLines w:val="0"/>
              <w:pageBreakBefore w:val="0"/>
              <w:widowControl/>
              <w:shd w:val="clear"/>
              <w:kinsoku/>
              <w:wordWrap/>
              <w:overflowPunct/>
              <w:topLinePunct w:val="0"/>
              <w:autoSpaceDE/>
              <w:autoSpaceDN/>
              <w:bidi w:val="0"/>
              <w:snapToGrid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注：响应文件中须提供业绩的合同复印件或中标（成交）通知书扫描件；合同需能够体现项目包含虚拟仿真、课程资源开发平台建设相关内容；如业绩合同不能反映项目建设内容，须另附业主证明材料；无证明材料、材料不齐全、无法体现对应项目内容的不予计分</w:t>
            </w:r>
            <w:r>
              <w:rPr>
                <w:rFonts w:hint="eastAsia" w:ascii="宋体" w:hAnsi="宋体" w:cs="宋体"/>
                <w:bCs/>
                <w:color w:val="auto"/>
                <w:sz w:val="21"/>
                <w:szCs w:val="21"/>
                <w:highlight w:val="none"/>
                <w:lang w:val="en-US" w:eastAsia="zh-CN"/>
              </w:rPr>
              <w:t xml:space="preserve"> </w:t>
            </w:r>
            <w:r>
              <w:rPr>
                <w:rFonts w:hint="eastAsia" w:ascii="宋体" w:hAnsi="宋体" w:eastAsia="宋体" w:cs="宋体"/>
                <w:bCs/>
                <w:color w:val="auto"/>
                <w:sz w:val="21"/>
                <w:szCs w:val="21"/>
                <w:highlight w:val="none"/>
                <w:lang w:val="en-US" w:eastAsia="zh-CN"/>
              </w:rPr>
              <w:t>。</w:t>
            </w:r>
          </w:p>
        </w:tc>
      </w:tr>
      <w:tr w14:paraId="0E087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44" w:type="dxa"/>
            <w:gridSpan w:val="4"/>
            <w:tcBorders>
              <w:top w:val="single" w:color="auto" w:sz="4" w:space="0"/>
              <w:left w:val="single" w:color="auto" w:sz="4" w:space="0"/>
              <w:bottom w:val="single" w:color="auto" w:sz="4" w:space="0"/>
              <w:right w:val="single" w:color="auto" w:sz="4" w:space="0"/>
            </w:tcBorders>
            <w:noWrap w:val="0"/>
            <w:vAlign w:val="center"/>
          </w:tcPr>
          <w:p w14:paraId="50D4BB5F">
            <w:pPr>
              <w:keepNext w:val="0"/>
              <w:keepLines w:val="0"/>
              <w:pageBreakBefore w:val="0"/>
              <w:shd w:val="clear"/>
              <w:kinsoku/>
              <w:wordWrap/>
              <w:overflowPunct/>
              <w:topLinePunct w:val="0"/>
              <w:autoSpaceDE/>
              <w:autoSpaceDN/>
              <w:bidi w:val="0"/>
              <w:spacing w:line="360" w:lineRule="auto"/>
              <w:ind w:firstLine="420"/>
              <w:rPr>
                <w:rFonts w:hint="eastAsia" w:ascii="宋体" w:hAnsi="宋体" w:eastAsia="宋体" w:cs="宋体"/>
                <w:bCs/>
                <w:color w:val="auto"/>
                <w:sz w:val="21"/>
                <w:szCs w:val="21"/>
                <w:highlight w:val="none"/>
              </w:rPr>
            </w:pPr>
            <w:r>
              <w:rPr>
                <w:rFonts w:hint="eastAsia" w:ascii="宋体" w:hAnsi="宋体" w:eastAsia="宋体" w:cs="宋体"/>
                <w:b/>
                <w:bCs/>
                <w:color w:val="auto"/>
                <w:sz w:val="21"/>
                <w:szCs w:val="21"/>
                <w:highlight w:val="none"/>
              </w:rPr>
              <w:t>总得分=1+2+3</w:t>
            </w:r>
          </w:p>
        </w:tc>
      </w:tr>
    </w:tbl>
    <w:p w14:paraId="064139AB">
      <w:pPr>
        <w:keepNext w:val="0"/>
        <w:keepLines w:val="0"/>
        <w:pageBreakBefore w:val="0"/>
        <w:shd w:val="clear"/>
        <w:kinsoku/>
        <w:wordWrap/>
        <w:overflowPunct/>
        <w:topLinePunct w:val="0"/>
        <w:autoSpaceDE/>
        <w:autoSpaceDN/>
        <w:bidi w:val="0"/>
        <w:spacing w:line="360" w:lineRule="auto"/>
        <w:ind w:firstLine="420"/>
        <w:rPr>
          <w:rFonts w:hint="eastAsia" w:ascii="宋体" w:hAnsi="宋体"/>
          <w:bCs/>
          <w:color w:val="auto"/>
          <w:szCs w:val="20"/>
          <w:highlight w:val="none"/>
          <w:u w:val="single"/>
        </w:rPr>
      </w:pPr>
    </w:p>
    <w:p w14:paraId="4535A988">
      <w:pPr>
        <w:keepNext w:val="0"/>
        <w:keepLines w:val="0"/>
        <w:pageBreakBefore w:val="0"/>
        <w:shd w:val="clear"/>
        <w:kinsoku/>
        <w:wordWrap/>
        <w:overflowPunct/>
        <w:topLinePunct w:val="0"/>
        <w:autoSpaceDE/>
        <w:autoSpaceDN/>
        <w:bidi w:val="0"/>
        <w:spacing w:line="360" w:lineRule="auto"/>
        <w:ind w:firstLine="420"/>
        <w:rPr>
          <w:rFonts w:hint="eastAsia" w:ascii="宋体" w:hAnsi="宋体"/>
          <w:bCs/>
          <w:color w:val="auto"/>
          <w:szCs w:val="20"/>
          <w:highlight w:val="none"/>
          <w:u w:val="single"/>
        </w:rPr>
      </w:pPr>
      <w:r>
        <w:rPr>
          <w:rFonts w:ascii="宋体" w:hAnsi="宋体"/>
          <w:bCs/>
          <w:color w:val="auto"/>
          <w:szCs w:val="20"/>
          <w:highlight w:val="none"/>
          <w:u w:val="single"/>
        </w:rPr>
        <w:br w:type="page"/>
      </w:r>
    </w:p>
    <w:p w14:paraId="25D7B9AD">
      <w:pPr>
        <w:keepNext/>
        <w:keepLines/>
        <w:shd w:val="clear"/>
        <w:spacing w:before="260" w:after="260" w:line="413" w:lineRule="auto"/>
        <w:jc w:val="center"/>
        <w:outlineLvl w:val="1"/>
        <w:rPr>
          <w:rFonts w:hint="eastAsia" w:ascii="宋体" w:hAnsi="宋体" w:eastAsia="宋体" w:cs="宋体"/>
          <w:b/>
          <w:bCs w:val="0"/>
          <w:color w:val="auto"/>
          <w:sz w:val="30"/>
          <w:szCs w:val="30"/>
          <w:highlight w:val="none"/>
        </w:rPr>
      </w:pPr>
      <w:bookmarkStart w:id="19" w:name="_Toc171344360"/>
      <w:r>
        <w:rPr>
          <w:rFonts w:hint="eastAsia" w:ascii="宋体" w:hAnsi="宋体" w:eastAsia="宋体" w:cs="宋体"/>
          <w:b/>
          <w:bCs w:val="0"/>
          <w:color w:val="auto"/>
          <w:sz w:val="30"/>
          <w:szCs w:val="30"/>
          <w:highlight w:val="none"/>
        </w:rPr>
        <w:t>第四节 中标候选人推荐原则</w:t>
      </w:r>
      <w:bookmarkEnd w:id="19"/>
    </w:p>
    <w:p w14:paraId="2CDDA92B">
      <w:pPr>
        <w:pStyle w:val="17"/>
        <w:numPr>
          <w:ilvl w:val="0"/>
          <w:numId w:val="0"/>
        </w:numPr>
        <w:shd w:val="clear"/>
        <w:spacing w:line="360" w:lineRule="auto"/>
        <w:ind w:left="472" w:leftChars="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综合评分法</w:t>
      </w:r>
    </w:p>
    <w:p w14:paraId="21FF811D">
      <w:pPr>
        <w:pStyle w:val="17"/>
        <w:shd w:val="clea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标委员会将根据总得分由高到低排列次序并推荐中标候选人。总得分相同的，以投标报价由低到高顺序排列。得分相同且投标报价相同的并列，投标文件满足招标文件全部实质性要求，且按照评审因素的量化指标评审得分最高的投标人为排名第一的中标候选人。</w:t>
      </w:r>
    </w:p>
    <w:p w14:paraId="599046A9">
      <w:pPr>
        <w:pStyle w:val="17"/>
        <w:shd w:val="clear"/>
        <w:spacing w:line="360" w:lineRule="auto"/>
        <w:ind w:firstLine="482" w:firstLineChars="200"/>
        <w:rPr>
          <w:rFonts w:hint="eastAsia" w:ascii="宋体" w:hAnsi="宋体" w:eastAsia="宋体" w:cs="宋体"/>
          <w:color w:val="auto"/>
          <w:highlight w:val="none"/>
        </w:rPr>
      </w:pPr>
      <w:r>
        <w:rPr>
          <w:rFonts w:hint="eastAsia" w:ascii="宋体" w:hAnsi="宋体" w:eastAsia="宋体" w:cs="宋体"/>
          <w:b/>
          <w:bCs/>
          <w:color w:val="auto"/>
          <w:sz w:val="24"/>
          <w:szCs w:val="24"/>
          <w:highlight w:val="none"/>
        </w:rPr>
        <w:t>（二）最低评标报价法</w:t>
      </w:r>
    </w:p>
    <w:p w14:paraId="76ACAE01">
      <w:pPr>
        <w:shd w:val="clear"/>
        <w:spacing w:line="360" w:lineRule="auto"/>
        <w:ind w:firstLine="420" w:firstLineChars="200"/>
        <w:contextualSpacing/>
        <w:rPr>
          <w:rFonts w:hint="eastAsia" w:ascii="宋体" w:hAnsi="宋体"/>
          <w:color w:val="auto"/>
          <w:szCs w:val="20"/>
          <w:highlight w:val="none"/>
        </w:rPr>
      </w:pPr>
      <w:r>
        <w:rPr>
          <w:rFonts w:hint="eastAsia" w:ascii="宋体" w:hAnsi="宋体" w:eastAsia="宋体" w:cs="宋体"/>
          <w:color w:val="auto"/>
          <w:highlight w:val="none"/>
        </w:rPr>
        <w:t>评标委员会将按照有效报价从低到高排序并推荐中标候选人。投标报价相同的并列，投标文件满足招标文件全部实质性要求且投标报价最低的投标人为排名第一的中标候选人；评标价相同且前述指标均相同时，由评标委员会各成员对评标价相同的供应商，当场投票表决，得票多者优先，并依照次序确定1家中标供应商。</w:t>
      </w:r>
    </w:p>
    <w:p w14:paraId="05985A3A">
      <w:pPr>
        <w:keepNext/>
        <w:keepLines/>
        <w:shd w:val="clear"/>
        <w:spacing w:line="360" w:lineRule="auto"/>
        <w:ind w:firstLine="602" w:firstLineChars="200"/>
        <w:jc w:val="center"/>
        <w:outlineLvl w:val="1"/>
        <w:rPr>
          <w:rFonts w:hint="eastAsia" w:ascii="宋体" w:hAnsi="宋体" w:eastAsia="宋体" w:cs="宋体"/>
          <w:b/>
          <w:bCs w:val="0"/>
          <w:color w:val="auto"/>
          <w:sz w:val="30"/>
          <w:szCs w:val="30"/>
          <w:highlight w:val="none"/>
        </w:rPr>
      </w:pPr>
      <w:bookmarkStart w:id="20" w:name="_Toc171344361"/>
      <w:r>
        <w:rPr>
          <w:rFonts w:hint="eastAsia" w:ascii="宋体" w:hAnsi="宋体" w:eastAsia="宋体" w:cs="宋体"/>
          <w:b/>
          <w:bCs w:val="0"/>
          <w:color w:val="auto"/>
          <w:sz w:val="30"/>
          <w:szCs w:val="30"/>
          <w:highlight w:val="none"/>
        </w:rPr>
        <w:t>第五节 评标报告</w:t>
      </w:r>
      <w:bookmarkEnd w:id="20"/>
    </w:p>
    <w:p w14:paraId="56FFC3CD">
      <w:pPr>
        <w:shd w:val="clear"/>
        <w:adjustRightInd w:val="0"/>
        <w:spacing w:line="360" w:lineRule="auto"/>
        <w:ind w:firstLine="482" w:firstLineChars="200"/>
        <w:rPr>
          <w:rFonts w:hint="eastAsia" w:ascii="宋体" w:hAnsi="宋体"/>
          <w:b/>
          <w:bCs/>
          <w:color w:val="auto"/>
          <w:sz w:val="24"/>
          <w:highlight w:val="none"/>
        </w:rPr>
      </w:pPr>
      <w:r>
        <w:rPr>
          <w:rFonts w:hint="eastAsia" w:ascii="宋体" w:hAnsi="宋体"/>
          <w:b/>
          <w:bCs/>
          <w:color w:val="auto"/>
          <w:sz w:val="24"/>
          <w:highlight w:val="none"/>
        </w:rPr>
        <w:t>（一）评标报告与推荐中标候选人</w:t>
      </w:r>
    </w:p>
    <w:p w14:paraId="2C340B82">
      <w:pPr>
        <w:shd w:val="clear"/>
        <w:tabs>
          <w:tab w:val="left" w:pos="2472"/>
        </w:tabs>
        <w:spacing w:line="360" w:lineRule="auto"/>
        <w:ind w:firstLine="420" w:firstLineChars="200"/>
        <w:rPr>
          <w:rFonts w:hint="eastAsia" w:ascii="宋体" w:hAnsi="宋体"/>
          <w:color w:val="auto"/>
          <w:szCs w:val="20"/>
          <w:highlight w:val="none"/>
        </w:rPr>
      </w:pPr>
      <w:r>
        <w:rPr>
          <w:rFonts w:hint="eastAsia" w:ascii="宋体" w:hAnsi="宋体"/>
          <w:color w:val="auto"/>
          <w:szCs w:val="20"/>
          <w:highlight w:val="none"/>
        </w:rPr>
        <w:t>评标委员会根据原始评标记录和评标结果编写评标报告，并通过电子交易平台向采购人、采购代理机构提交。</w:t>
      </w:r>
    </w:p>
    <w:p w14:paraId="0EFEB33E">
      <w:pPr>
        <w:widowControl/>
        <w:shd w:val="clear"/>
        <w:spacing w:line="360" w:lineRule="auto"/>
        <w:ind w:firstLine="482" w:firstLineChars="200"/>
        <w:jc w:val="left"/>
        <w:rPr>
          <w:rFonts w:hint="eastAsia" w:ascii="宋体" w:hAnsi="宋体"/>
          <w:b/>
          <w:bCs/>
          <w:color w:val="auto"/>
          <w:sz w:val="24"/>
          <w:highlight w:val="none"/>
        </w:rPr>
      </w:pPr>
      <w:r>
        <w:rPr>
          <w:rFonts w:hint="eastAsia" w:ascii="宋体" w:hAnsi="宋体"/>
          <w:b/>
          <w:bCs/>
          <w:color w:val="auto"/>
          <w:sz w:val="24"/>
          <w:highlight w:val="none"/>
        </w:rPr>
        <w:t>（二）评标争议事项处理</w:t>
      </w:r>
    </w:p>
    <w:p w14:paraId="0F22B6D4">
      <w:pPr>
        <w:shd w:val="clear"/>
        <w:tabs>
          <w:tab w:val="left" w:pos="2472"/>
        </w:tabs>
        <w:spacing w:line="360" w:lineRule="auto"/>
        <w:ind w:firstLine="420" w:firstLineChars="200"/>
        <w:rPr>
          <w:rFonts w:hint="eastAsia" w:ascii="宋体" w:hAnsi="宋体"/>
          <w:color w:val="auto"/>
          <w:szCs w:val="20"/>
          <w:highlight w:val="none"/>
        </w:rPr>
      </w:pPr>
      <w:r>
        <w:rPr>
          <w:rFonts w:hint="eastAsia" w:ascii="宋体" w:hAnsi="宋体"/>
          <w:color w:val="auto"/>
          <w:szCs w:val="20"/>
          <w:highlight w:val="none"/>
        </w:rPr>
        <w:t>评标委员会成员对需要共同认定的事项存在争议的，应当按照少数服从多数的原则作出结论。持不同意见的评标委员会成员应当在评标报告上签署不同意见及理由，否则视为同意评标报告。</w:t>
      </w:r>
    </w:p>
    <w:p w14:paraId="24BBC92B">
      <w:pPr>
        <w:shd w:val="clear"/>
        <w:tabs>
          <w:tab w:val="left" w:pos="2472"/>
        </w:tabs>
        <w:spacing w:line="460" w:lineRule="exact"/>
        <w:rPr>
          <w:rFonts w:hint="eastAsia"/>
          <w:b/>
          <w:color w:val="auto"/>
          <w:sz w:val="36"/>
          <w:szCs w:val="20"/>
          <w:highlight w:val="none"/>
        </w:rPr>
        <w:sectPr>
          <w:pgSz w:w="11905" w:h="16838"/>
          <w:pgMar w:top="1134" w:right="1134" w:bottom="1134" w:left="1134" w:header="720" w:footer="720" w:gutter="0"/>
          <w:cols w:space="0" w:num="1"/>
          <w:rtlGutter w:val="0"/>
          <w:docGrid w:type="lines" w:linePitch="331" w:charSpace="0"/>
        </w:sectPr>
      </w:pPr>
    </w:p>
    <w:p w14:paraId="4BD43949">
      <w:pPr>
        <w:shd w:val="clear"/>
        <w:tabs>
          <w:tab w:val="left" w:pos="2472"/>
        </w:tabs>
        <w:spacing w:line="460" w:lineRule="exact"/>
        <w:jc w:val="center"/>
        <w:rPr>
          <w:b/>
          <w:color w:val="auto"/>
          <w:sz w:val="36"/>
          <w:szCs w:val="20"/>
          <w:highlight w:val="none"/>
        </w:rPr>
      </w:pPr>
    </w:p>
    <w:p w14:paraId="19ABE610">
      <w:pPr>
        <w:shd w:val="clear"/>
        <w:tabs>
          <w:tab w:val="left" w:pos="2472"/>
        </w:tabs>
        <w:spacing w:line="460" w:lineRule="exact"/>
        <w:jc w:val="center"/>
        <w:rPr>
          <w:b/>
          <w:color w:val="auto"/>
          <w:sz w:val="36"/>
          <w:szCs w:val="20"/>
          <w:highlight w:val="none"/>
        </w:rPr>
      </w:pPr>
    </w:p>
    <w:p w14:paraId="20C7B6F0">
      <w:pPr>
        <w:shd w:val="clear"/>
        <w:tabs>
          <w:tab w:val="left" w:pos="2472"/>
        </w:tabs>
        <w:spacing w:line="460" w:lineRule="exact"/>
        <w:jc w:val="center"/>
        <w:rPr>
          <w:b/>
          <w:color w:val="auto"/>
          <w:sz w:val="36"/>
          <w:szCs w:val="20"/>
          <w:highlight w:val="none"/>
        </w:rPr>
      </w:pPr>
    </w:p>
    <w:p w14:paraId="0E281498">
      <w:pPr>
        <w:shd w:val="clear"/>
        <w:tabs>
          <w:tab w:val="left" w:pos="2472"/>
        </w:tabs>
        <w:spacing w:line="460" w:lineRule="exact"/>
        <w:jc w:val="center"/>
        <w:rPr>
          <w:b/>
          <w:color w:val="auto"/>
          <w:sz w:val="36"/>
          <w:szCs w:val="20"/>
          <w:highlight w:val="none"/>
        </w:rPr>
      </w:pPr>
    </w:p>
    <w:p w14:paraId="07911B19">
      <w:pPr>
        <w:shd w:val="clear"/>
        <w:tabs>
          <w:tab w:val="left" w:pos="2472"/>
        </w:tabs>
        <w:spacing w:line="460" w:lineRule="exact"/>
        <w:jc w:val="center"/>
        <w:rPr>
          <w:b/>
          <w:color w:val="auto"/>
          <w:sz w:val="36"/>
          <w:szCs w:val="20"/>
          <w:highlight w:val="none"/>
        </w:rPr>
      </w:pPr>
    </w:p>
    <w:p w14:paraId="30080E8E">
      <w:pPr>
        <w:shd w:val="clear"/>
        <w:tabs>
          <w:tab w:val="left" w:pos="2472"/>
        </w:tabs>
        <w:spacing w:line="460" w:lineRule="exact"/>
        <w:jc w:val="center"/>
        <w:rPr>
          <w:b/>
          <w:color w:val="auto"/>
          <w:sz w:val="36"/>
          <w:szCs w:val="20"/>
          <w:highlight w:val="none"/>
        </w:rPr>
      </w:pPr>
    </w:p>
    <w:p w14:paraId="391D56E4">
      <w:pPr>
        <w:shd w:val="clear"/>
        <w:tabs>
          <w:tab w:val="left" w:pos="2472"/>
        </w:tabs>
        <w:spacing w:line="460" w:lineRule="exact"/>
        <w:jc w:val="center"/>
        <w:rPr>
          <w:b/>
          <w:color w:val="auto"/>
          <w:sz w:val="36"/>
          <w:szCs w:val="20"/>
          <w:highlight w:val="none"/>
        </w:rPr>
      </w:pPr>
    </w:p>
    <w:p w14:paraId="005AC41B">
      <w:pPr>
        <w:shd w:val="clear"/>
        <w:tabs>
          <w:tab w:val="left" w:pos="2472"/>
        </w:tabs>
        <w:spacing w:line="460" w:lineRule="exact"/>
        <w:jc w:val="center"/>
        <w:rPr>
          <w:b/>
          <w:color w:val="auto"/>
          <w:sz w:val="36"/>
          <w:szCs w:val="20"/>
          <w:highlight w:val="none"/>
        </w:rPr>
      </w:pPr>
    </w:p>
    <w:p w14:paraId="2B75B57B">
      <w:pPr>
        <w:shd w:val="clear"/>
        <w:tabs>
          <w:tab w:val="left" w:pos="2472"/>
        </w:tabs>
        <w:spacing w:line="460" w:lineRule="exact"/>
        <w:jc w:val="center"/>
        <w:rPr>
          <w:b/>
          <w:color w:val="auto"/>
          <w:sz w:val="36"/>
          <w:szCs w:val="20"/>
          <w:highlight w:val="none"/>
        </w:rPr>
      </w:pPr>
    </w:p>
    <w:p w14:paraId="5444F9B7">
      <w:pPr>
        <w:shd w:val="clear"/>
        <w:tabs>
          <w:tab w:val="left" w:pos="2472"/>
        </w:tabs>
        <w:spacing w:line="460" w:lineRule="exact"/>
        <w:jc w:val="center"/>
        <w:rPr>
          <w:b/>
          <w:color w:val="auto"/>
          <w:sz w:val="36"/>
          <w:szCs w:val="20"/>
          <w:highlight w:val="none"/>
        </w:rPr>
      </w:pPr>
    </w:p>
    <w:p w14:paraId="68414EA8">
      <w:pPr>
        <w:shd w:val="clear"/>
        <w:tabs>
          <w:tab w:val="left" w:pos="2472"/>
        </w:tabs>
        <w:spacing w:line="460" w:lineRule="exact"/>
        <w:jc w:val="center"/>
        <w:rPr>
          <w:b/>
          <w:color w:val="auto"/>
          <w:sz w:val="36"/>
          <w:szCs w:val="20"/>
          <w:highlight w:val="none"/>
        </w:rPr>
      </w:pPr>
    </w:p>
    <w:p w14:paraId="4C8C7E25">
      <w:pPr>
        <w:shd w:val="clear"/>
        <w:tabs>
          <w:tab w:val="left" w:pos="2472"/>
        </w:tabs>
        <w:spacing w:line="460" w:lineRule="exact"/>
        <w:jc w:val="center"/>
        <w:rPr>
          <w:rFonts w:hint="eastAsia"/>
          <w:b/>
          <w:color w:val="auto"/>
          <w:sz w:val="36"/>
          <w:szCs w:val="20"/>
          <w:highlight w:val="none"/>
        </w:rPr>
      </w:pPr>
    </w:p>
    <w:p w14:paraId="54B525CE">
      <w:pPr>
        <w:shd w:val="clear"/>
        <w:tabs>
          <w:tab w:val="left" w:pos="2472"/>
        </w:tabs>
        <w:spacing w:line="460" w:lineRule="exact"/>
        <w:jc w:val="center"/>
        <w:rPr>
          <w:rFonts w:hint="eastAsia"/>
          <w:b/>
          <w:color w:val="auto"/>
          <w:sz w:val="36"/>
          <w:szCs w:val="20"/>
          <w:highlight w:val="none"/>
        </w:rPr>
      </w:pPr>
    </w:p>
    <w:p w14:paraId="51BE98AE">
      <w:pPr>
        <w:shd w:val="clear"/>
        <w:tabs>
          <w:tab w:val="left" w:pos="2472"/>
        </w:tabs>
        <w:spacing w:line="460" w:lineRule="exact"/>
        <w:jc w:val="center"/>
        <w:outlineLvl w:val="0"/>
        <w:rPr>
          <w:b/>
          <w:color w:val="auto"/>
          <w:sz w:val="36"/>
          <w:szCs w:val="20"/>
          <w:highlight w:val="none"/>
        </w:rPr>
      </w:pPr>
      <w:bookmarkStart w:id="21" w:name="_Toc171344362"/>
      <w:r>
        <w:rPr>
          <w:rFonts w:hint="eastAsia"/>
          <w:b/>
          <w:color w:val="auto"/>
          <w:sz w:val="36"/>
          <w:szCs w:val="20"/>
          <w:highlight w:val="none"/>
        </w:rPr>
        <w:t>第五章 拟签订的合同文本</w:t>
      </w:r>
      <w:bookmarkEnd w:id="21"/>
    </w:p>
    <w:p w14:paraId="17295406">
      <w:pPr>
        <w:shd w:val="clear"/>
        <w:tabs>
          <w:tab w:val="left" w:pos="720"/>
        </w:tabs>
        <w:spacing w:line="460" w:lineRule="exact"/>
        <w:rPr>
          <w:rFonts w:ascii="宋体" w:hAnsi="Courier New"/>
          <w:bCs/>
          <w:color w:val="auto"/>
          <w:szCs w:val="20"/>
          <w:highlight w:val="none"/>
        </w:rPr>
        <w:sectPr>
          <w:pgSz w:w="11905" w:h="16838"/>
          <w:pgMar w:top="1134" w:right="1134" w:bottom="1134" w:left="1134" w:header="720" w:footer="720" w:gutter="0"/>
          <w:cols w:space="0" w:num="1"/>
          <w:rtlGutter w:val="0"/>
          <w:docGrid w:type="lines" w:linePitch="331" w:charSpace="0"/>
        </w:sectPr>
      </w:pPr>
    </w:p>
    <w:p w14:paraId="3EF46330">
      <w:pPr>
        <w:shd w:val="clear"/>
        <w:spacing w:line="360" w:lineRule="auto"/>
        <w:rPr>
          <w:rFonts w:hint="eastAsia" w:ascii="仿宋_GB2312" w:hAnsi="楷体" w:eastAsia="仿宋_GB2312"/>
          <w:color w:val="auto"/>
          <w:sz w:val="24"/>
          <w:highlight w:val="none"/>
          <w:u w:val="single"/>
        </w:rPr>
      </w:pPr>
      <w:r>
        <w:rPr>
          <w:rFonts w:hint="eastAsia" w:ascii="仿宋_GB2312" w:hAnsi="楷体" w:eastAsia="仿宋_GB2312"/>
          <w:color w:val="auto"/>
          <w:sz w:val="24"/>
          <w:highlight w:val="none"/>
        </w:rPr>
        <w:t>广西政府采购云平台合同编号：</w:t>
      </w:r>
      <w:r>
        <w:rPr>
          <w:rFonts w:hint="eastAsia" w:ascii="仿宋_GB2312" w:hAnsi="楷体" w:eastAsia="仿宋_GB2312"/>
          <w:color w:val="auto"/>
          <w:sz w:val="24"/>
          <w:highlight w:val="none"/>
          <w:u w:val="single"/>
        </w:rPr>
        <w:t xml:space="preserve">           </w:t>
      </w:r>
    </w:p>
    <w:p w14:paraId="4F21DA38">
      <w:pPr>
        <w:shd w:val="clear"/>
        <w:spacing w:line="360" w:lineRule="auto"/>
        <w:jc w:val="center"/>
        <w:rPr>
          <w:rFonts w:hint="eastAsia" w:ascii="宋体" w:hAnsi="宋体" w:cs="宋体"/>
          <w:b/>
          <w:bCs/>
          <w:color w:val="auto"/>
          <w:sz w:val="52"/>
          <w:highlight w:val="none"/>
        </w:rPr>
      </w:pPr>
    </w:p>
    <w:p w14:paraId="593DAC73">
      <w:pPr>
        <w:shd w:val="clear"/>
        <w:spacing w:line="360" w:lineRule="auto"/>
        <w:jc w:val="center"/>
        <w:rPr>
          <w:rFonts w:ascii="宋体" w:hAnsi="宋体" w:cs="宋体"/>
          <w:b/>
          <w:bCs/>
          <w:color w:val="auto"/>
          <w:sz w:val="52"/>
          <w:highlight w:val="none"/>
        </w:rPr>
      </w:pPr>
      <w:r>
        <w:rPr>
          <w:rFonts w:hint="eastAsia" w:ascii="宋体" w:hAnsi="宋体" w:cs="宋体"/>
          <w:b/>
          <w:bCs/>
          <w:color w:val="auto"/>
          <w:sz w:val="52"/>
          <w:highlight w:val="none"/>
        </w:rPr>
        <w:t>南 宁 市 政 府 采 购</w:t>
      </w:r>
    </w:p>
    <w:p w14:paraId="3D79A082">
      <w:pPr>
        <w:shd w:val="clear"/>
        <w:spacing w:line="360" w:lineRule="auto"/>
        <w:ind w:firstLine="420" w:firstLineChars="200"/>
        <w:rPr>
          <w:rFonts w:ascii="宋体" w:hAnsi="宋体" w:cs="宋体"/>
          <w:color w:val="auto"/>
          <w:highlight w:val="none"/>
        </w:rPr>
      </w:pPr>
    </w:p>
    <w:p w14:paraId="3D5793A0">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 xml:space="preserve">                                                 </w:t>
      </w:r>
    </w:p>
    <w:p w14:paraId="142A318D">
      <w:pPr>
        <w:shd w:val="clear"/>
        <w:spacing w:line="360" w:lineRule="auto"/>
        <w:jc w:val="center"/>
        <w:rPr>
          <w:rFonts w:ascii="宋体" w:hAnsi="宋体" w:cs="宋体"/>
          <w:b/>
          <w:bCs/>
          <w:color w:val="auto"/>
          <w:sz w:val="44"/>
          <w:highlight w:val="none"/>
        </w:rPr>
      </w:pPr>
      <w:r>
        <w:rPr>
          <w:rFonts w:hint="eastAsia" w:ascii="宋体" w:hAnsi="宋体" w:cs="宋体"/>
          <w:b/>
          <w:bCs/>
          <w:color w:val="auto"/>
          <w:sz w:val="44"/>
          <w:highlight w:val="none"/>
          <w:u w:val="single"/>
        </w:rPr>
        <w:t xml:space="preserve">         （项目名称）         </w:t>
      </w:r>
      <w:r>
        <w:rPr>
          <w:rFonts w:hint="eastAsia" w:ascii="宋体" w:hAnsi="宋体" w:cs="宋体"/>
          <w:b/>
          <w:bCs/>
          <w:color w:val="auto"/>
          <w:sz w:val="44"/>
          <w:highlight w:val="none"/>
        </w:rPr>
        <w:t>合同</w:t>
      </w:r>
    </w:p>
    <w:p w14:paraId="015F040F">
      <w:pPr>
        <w:shd w:val="clear"/>
        <w:spacing w:line="360" w:lineRule="auto"/>
        <w:jc w:val="center"/>
        <w:rPr>
          <w:rFonts w:ascii="宋体" w:hAnsi="宋体" w:cs="宋体"/>
          <w:b/>
          <w:bCs/>
          <w:color w:val="auto"/>
          <w:sz w:val="44"/>
          <w:highlight w:val="none"/>
        </w:rPr>
      </w:pPr>
    </w:p>
    <w:p w14:paraId="3823F830">
      <w:pPr>
        <w:shd w:val="clear"/>
        <w:spacing w:line="360" w:lineRule="auto"/>
        <w:jc w:val="center"/>
        <w:rPr>
          <w:rFonts w:ascii="宋体" w:hAnsi="宋体" w:cs="宋体"/>
          <w:b/>
          <w:bCs/>
          <w:color w:val="auto"/>
          <w:sz w:val="44"/>
          <w:highlight w:val="none"/>
        </w:rPr>
      </w:pPr>
    </w:p>
    <w:p w14:paraId="2336E7A6">
      <w:pPr>
        <w:shd w:val="clear"/>
        <w:spacing w:line="360" w:lineRule="auto"/>
        <w:ind w:firstLine="3507" w:firstLineChars="794"/>
        <w:rPr>
          <w:rFonts w:ascii="宋体" w:hAnsi="宋体" w:cs="宋体"/>
          <w:b/>
          <w:bCs/>
          <w:color w:val="auto"/>
          <w:sz w:val="44"/>
          <w:highlight w:val="none"/>
        </w:rPr>
      </w:pPr>
    </w:p>
    <w:p w14:paraId="79A6F669">
      <w:pPr>
        <w:shd w:val="clear"/>
        <w:spacing w:line="360" w:lineRule="auto"/>
        <w:ind w:firstLine="3507" w:firstLineChars="794"/>
        <w:rPr>
          <w:rFonts w:ascii="宋体" w:hAnsi="宋体" w:cs="宋体"/>
          <w:b/>
          <w:bCs/>
          <w:color w:val="auto"/>
          <w:sz w:val="44"/>
          <w:highlight w:val="none"/>
        </w:rPr>
      </w:pPr>
    </w:p>
    <w:p w14:paraId="2B0A9A0E">
      <w:pPr>
        <w:shd w:val="clear"/>
        <w:ind w:firstLine="1995" w:firstLineChars="552"/>
        <w:rPr>
          <w:rFonts w:ascii="宋体" w:hAnsi="宋体" w:cs="宋体"/>
          <w:b/>
          <w:color w:val="auto"/>
          <w:sz w:val="36"/>
          <w:szCs w:val="36"/>
          <w:highlight w:val="none"/>
        </w:rPr>
      </w:pPr>
      <w:r>
        <w:rPr>
          <w:rFonts w:hint="eastAsia" w:ascii="宋体" w:hAnsi="宋体" w:cs="宋体"/>
          <w:b/>
          <w:color w:val="auto"/>
          <w:sz w:val="36"/>
          <w:szCs w:val="36"/>
          <w:highlight w:val="none"/>
        </w:rPr>
        <w:t>项目编号：</w:t>
      </w:r>
      <w:r>
        <w:rPr>
          <w:rFonts w:hint="eastAsia" w:ascii="宋体" w:hAnsi="宋体" w:cs="宋体"/>
          <w:b/>
          <w:color w:val="auto"/>
          <w:sz w:val="36"/>
          <w:szCs w:val="36"/>
          <w:highlight w:val="none"/>
          <w:u w:val="single"/>
        </w:rPr>
        <w:t xml:space="preserve">                     </w:t>
      </w:r>
    </w:p>
    <w:p w14:paraId="7B6C2DD4">
      <w:pPr>
        <w:shd w:val="clear"/>
        <w:ind w:firstLine="1995" w:firstLineChars="552"/>
        <w:rPr>
          <w:rFonts w:ascii="宋体" w:hAnsi="宋体" w:cs="宋体"/>
          <w:b/>
          <w:color w:val="auto"/>
          <w:sz w:val="36"/>
          <w:szCs w:val="36"/>
          <w:highlight w:val="none"/>
        </w:rPr>
      </w:pPr>
      <w:r>
        <w:rPr>
          <w:rFonts w:hint="eastAsia" w:ascii="宋体" w:hAnsi="宋体" w:cs="宋体"/>
          <w:b/>
          <w:color w:val="auto"/>
          <w:sz w:val="36"/>
          <w:szCs w:val="36"/>
          <w:highlight w:val="none"/>
        </w:rPr>
        <w:t>计划编号：</w:t>
      </w:r>
      <w:r>
        <w:rPr>
          <w:rFonts w:hint="eastAsia" w:ascii="宋体" w:hAnsi="宋体" w:cs="宋体"/>
          <w:b/>
          <w:color w:val="auto"/>
          <w:sz w:val="36"/>
          <w:szCs w:val="36"/>
          <w:highlight w:val="none"/>
          <w:u w:val="single"/>
        </w:rPr>
        <w:t xml:space="preserve">                     </w:t>
      </w:r>
    </w:p>
    <w:p w14:paraId="3720EF1C">
      <w:pPr>
        <w:shd w:val="clear"/>
        <w:ind w:firstLine="1970" w:firstLineChars="545"/>
        <w:rPr>
          <w:rFonts w:ascii="宋体" w:hAnsi="宋体" w:cs="宋体"/>
          <w:b/>
          <w:color w:val="auto"/>
          <w:sz w:val="36"/>
          <w:szCs w:val="36"/>
          <w:highlight w:val="none"/>
          <w:u w:val="single"/>
        </w:rPr>
      </w:pPr>
    </w:p>
    <w:p w14:paraId="1615B9B0">
      <w:pPr>
        <w:shd w:val="clear"/>
        <w:ind w:firstLine="1995" w:firstLineChars="552"/>
        <w:rPr>
          <w:rFonts w:ascii="宋体" w:hAnsi="宋体" w:cs="宋体"/>
          <w:b/>
          <w:color w:val="auto"/>
          <w:sz w:val="36"/>
          <w:szCs w:val="36"/>
          <w:highlight w:val="none"/>
          <w:u w:val="single"/>
        </w:rPr>
      </w:pPr>
    </w:p>
    <w:p w14:paraId="257A314E">
      <w:pPr>
        <w:shd w:val="clear"/>
        <w:ind w:firstLine="1995" w:firstLineChars="552"/>
        <w:rPr>
          <w:rFonts w:ascii="宋体" w:hAnsi="宋体" w:cs="宋体"/>
          <w:b/>
          <w:color w:val="auto"/>
          <w:sz w:val="36"/>
          <w:szCs w:val="36"/>
          <w:highlight w:val="none"/>
          <w:u w:val="single"/>
        </w:rPr>
      </w:pPr>
    </w:p>
    <w:p w14:paraId="6A56B619">
      <w:pPr>
        <w:shd w:val="clear"/>
        <w:tabs>
          <w:tab w:val="left" w:pos="7200"/>
        </w:tabs>
        <w:spacing w:line="360" w:lineRule="auto"/>
        <w:ind w:firstLine="1995" w:firstLineChars="552"/>
        <w:rPr>
          <w:rFonts w:ascii="宋体" w:hAnsi="宋体" w:cs="宋体"/>
          <w:b/>
          <w:color w:val="auto"/>
          <w:sz w:val="36"/>
          <w:szCs w:val="36"/>
          <w:highlight w:val="none"/>
          <w:u w:val="single"/>
        </w:rPr>
      </w:pPr>
      <w:r>
        <w:rPr>
          <w:rFonts w:hint="eastAsia" w:ascii="宋体" w:hAnsi="宋体" w:cs="宋体"/>
          <w:b/>
          <w:color w:val="auto"/>
          <w:sz w:val="36"/>
          <w:szCs w:val="36"/>
          <w:highlight w:val="none"/>
        </w:rPr>
        <w:t>采购人：</w:t>
      </w:r>
      <w:r>
        <w:rPr>
          <w:rFonts w:hint="eastAsia" w:ascii="宋体" w:hAnsi="宋体" w:cs="宋体"/>
          <w:b/>
          <w:color w:val="auto"/>
          <w:sz w:val="36"/>
          <w:szCs w:val="36"/>
          <w:highlight w:val="none"/>
          <w:u w:val="single"/>
        </w:rPr>
        <w:t xml:space="preserve">                       </w:t>
      </w:r>
    </w:p>
    <w:p w14:paraId="0A1ABC8B">
      <w:pPr>
        <w:shd w:val="clear"/>
        <w:tabs>
          <w:tab w:val="left" w:pos="7380"/>
        </w:tabs>
        <w:spacing w:line="360" w:lineRule="auto"/>
        <w:ind w:firstLine="1995" w:firstLineChars="552"/>
        <w:rPr>
          <w:rFonts w:ascii="宋体" w:hAnsi="宋体" w:cs="宋体"/>
          <w:color w:val="auto"/>
          <w:sz w:val="24"/>
          <w:highlight w:val="none"/>
        </w:rPr>
      </w:pPr>
      <w:r>
        <w:rPr>
          <w:rFonts w:hint="eastAsia" w:ascii="宋体" w:hAnsi="宋体" w:cs="宋体"/>
          <w:b/>
          <w:color w:val="auto"/>
          <w:sz w:val="36"/>
          <w:szCs w:val="36"/>
          <w:highlight w:val="none"/>
        </w:rPr>
        <w:t>中标供应商：</w:t>
      </w:r>
      <w:r>
        <w:rPr>
          <w:rFonts w:hint="eastAsia" w:ascii="宋体" w:hAnsi="宋体" w:cs="宋体"/>
          <w:b/>
          <w:color w:val="auto"/>
          <w:sz w:val="36"/>
          <w:szCs w:val="36"/>
          <w:highlight w:val="none"/>
          <w:u w:val="single"/>
        </w:rPr>
        <w:t xml:space="preserve">                   </w:t>
      </w:r>
    </w:p>
    <w:p w14:paraId="02C583FF">
      <w:pPr>
        <w:shd w:val="clear"/>
        <w:spacing w:before="120" w:line="360" w:lineRule="auto"/>
        <w:ind w:firstLine="960" w:firstLineChars="400"/>
        <w:rPr>
          <w:rFonts w:ascii="宋体" w:hAnsi="宋体" w:cs="宋体"/>
          <w:color w:val="auto"/>
          <w:sz w:val="24"/>
          <w:highlight w:val="none"/>
        </w:rPr>
      </w:pPr>
    </w:p>
    <w:p w14:paraId="7493584E">
      <w:pPr>
        <w:shd w:val="clear"/>
        <w:spacing w:before="120" w:line="360" w:lineRule="auto"/>
        <w:ind w:firstLine="2280" w:firstLineChars="950"/>
        <w:rPr>
          <w:rFonts w:hint="eastAsia" w:ascii="仿宋_GB2312" w:hAnsi="楷体" w:eastAsia="仿宋_GB2312"/>
          <w:color w:val="auto"/>
          <w:sz w:val="24"/>
          <w:highlight w:val="none"/>
          <w:u w:val="single"/>
        </w:rPr>
      </w:pPr>
      <w:r>
        <w:rPr>
          <w:rFonts w:hint="eastAsia" w:ascii="宋体" w:hAnsi="宋体" w:cs="宋体"/>
          <w:color w:val="auto"/>
          <w:sz w:val="24"/>
          <w:highlight w:val="none"/>
        </w:rPr>
        <w:t>签订日期：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0F3C1F19">
      <w:pPr>
        <w:shd w:val="clear"/>
        <w:autoSpaceDE w:val="0"/>
        <w:autoSpaceDN w:val="0"/>
        <w:adjustRightInd w:val="0"/>
        <w:snapToGrid w:val="0"/>
        <w:spacing w:after="120" w:line="360" w:lineRule="auto"/>
        <w:ind w:left="420" w:leftChars="200" w:firstLine="883" w:firstLineChars="200"/>
        <w:jc w:val="center"/>
        <w:rPr>
          <w:rFonts w:hint="eastAsia" w:ascii="宋体"/>
          <w:b/>
          <w:bCs/>
          <w:color w:val="auto"/>
          <w:sz w:val="44"/>
          <w:szCs w:val="21"/>
          <w:highlight w:val="none"/>
        </w:rPr>
      </w:pPr>
    </w:p>
    <w:p w14:paraId="547604B2">
      <w:pPr>
        <w:shd w:val="clear"/>
        <w:snapToGrid w:val="0"/>
        <w:spacing w:line="360" w:lineRule="auto"/>
        <w:jc w:val="center"/>
        <w:rPr>
          <w:rFonts w:ascii="宋体"/>
          <w:b/>
          <w:bCs/>
          <w:color w:val="auto"/>
          <w:sz w:val="44"/>
          <w:highlight w:val="none"/>
        </w:rPr>
      </w:pPr>
      <w:r>
        <w:rPr>
          <w:rFonts w:hint="eastAsia" w:ascii="宋体"/>
          <w:b/>
          <w:bCs/>
          <w:color w:val="auto"/>
          <w:sz w:val="44"/>
          <w:highlight w:val="none"/>
        </w:rPr>
        <w:br w:type="page"/>
      </w:r>
    </w:p>
    <w:p w14:paraId="1D6D3BDF">
      <w:pPr>
        <w:shd w:val="clear"/>
        <w:snapToGrid w:val="0"/>
        <w:spacing w:line="360" w:lineRule="auto"/>
        <w:jc w:val="center"/>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合同目录</w:t>
      </w:r>
    </w:p>
    <w:p w14:paraId="4407D997">
      <w:pPr>
        <w:shd w:val="clear"/>
        <w:snapToGrid w:val="0"/>
        <w:spacing w:line="360" w:lineRule="auto"/>
        <w:jc w:val="center"/>
        <w:rPr>
          <w:rFonts w:hint="eastAsia" w:ascii="宋体"/>
          <w:b/>
          <w:bCs/>
          <w:color w:val="auto"/>
          <w:sz w:val="44"/>
          <w:highlight w:val="none"/>
        </w:rPr>
      </w:pPr>
    </w:p>
    <w:p w14:paraId="1B27E820">
      <w:pPr>
        <w:shd w:val="clea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一、</w:t>
      </w:r>
      <w:r>
        <w:rPr>
          <w:rFonts w:hint="eastAsia" w:ascii="仿宋_GB2312" w:hAnsi="仿宋" w:eastAsia="仿宋_GB2312"/>
          <w:color w:val="auto"/>
          <w:sz w:val="24"/>
          <w:highlight w:val="none"/>
        </w:rPr>
        <w:t>第一部分 合同书</w:t>
      </w:r>
      <w:r>
        <w:rPr>
          <w:rFonts w:hint="eastAsia" w:ascii="仿宋_GB2312" w:hAnsi="仿宋" w:eastAsia="仿宋_GB2312" w:cs="仿宋_GB2312"/>
          <w:color w:val="auto"/>
          <w:kern w:val="0"/>
          <w:sz w:val="24"/>
          <w:highlight w:val="none"/>
        </w:rPr>
        <w:t>……………………………………………………………（页码）</w:t>
      </w:r>
    </w:p>
    <w:p w14:paraId="727B9103">
      <w:pPr>
        <w:shd w:val="clea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二、第二部分 合同一般条款……………………………………………………（页码）</w:t>
      </w:r>
    </w:p>
    <w:p w14:paraId="4058CD2D">
      <w:pPr>
        <w:shd w:val="clea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三、第三部分 合同专用条款……………………………………………………（页码）</w:t>
      </w:r>
    </w:p>
    <w:p w14:paraId="55DA69F8">
      <w:pPr>
        <w:shd w:val="clea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四、</w:t>
      </w:r>
      <w:r>
        <w:rPr>
          <w:rFonts w:hint="eastAsia" w:ascii="仿宋_GB2312" w:hAnsi="仿宋" w:eastAsia="仿宋_GB2312"/>
          <w:color w:val="auto"/>
          <w:sz w:val="24"/>
          <w:highlight w:val="none"/>
        </w:rPr>
        <w:t>第四部分 合同附件</w:t>
      </w:r>
      <w:r>
        <w:rPr>
          <w:rFonts w:hint="eastAsia" w:ascii="仿宋_GB2312" w:hAnsi="仿宋" w:eastAsia="仿宋_GB2312" w:cs="仿宋_GB2312"/>
          <w:color w:val="auto"/>
          <w:kern w:val="0"/>
          <w:sz w:val="24"/>
          <w:highlight w:val="none"/>
        </w:rPr>
        <w:t>…………………………………………………………（页码）</w:t>
      </w:r>
    </w:p>
    <w:p w14:paraId="3145278E">
      <w:pPr>
        <w:shd w:val="clea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4.1中标通知书 …………………………………………………………………（页码）</w:t>
      </w:r>
    </w:p>
    <w:p w14:paraId="64CA2829">
      <w:pPr>
        <w:shd w:val="clea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4.2招标文件服务需求一览表 …………………………………………………（页码）</w:t>
      </w:r>
    </w:p>
    <w:p w14:paraId="26FD002C">
      <w:pPr>
        <w:shd w:val="clea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4.3招标文件的更改通知（如有） ……………………………………………（页码）</w:t>
      </w:r>
    </w:p>
    <w:p w14:paraId="2C0029CF">
      <w:pPr>
        <w:shd w:val="clea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4.4投标函 ………………………………………………………………………（页码）</w:t>
      </w:r>
    </w:p>
    <w:p w14:paraId="5404B77D">
      <w:pPr>
        <w:shd w:val="clea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4.5报价表（开标一览表） ……………………………………………………（页码）</w:t>
      </w:r>
    </w:p>
    <w:p w14:paraId="4075412D">
      <w:pPr>
        <w:shd w:val="clea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4.6投标服务技术资料表（</w:t>
      </w:r>
      <w:r>
        <w:rPr>
          <w:rFonts w:hint="eastAsia" w:ascii="仿宋_GB2312" w:hAnsi="仿宋" w:eastAsia="仿宋_GB2312" w:cs="仿宋_GB2312"/>
          <w:color w:val="auto"/>
          <w:kern w:val="0"/>
          <w:sz w:val="24"/>
          <w:highlight w:val="none"/>
          <w:lang w:eastAsia="zh-CN"/>
        </w:rPr>
        <w:t>服务需求偏离表</w:t>
      </w:r>
      <w:r>
        <w:rPr>
          <w:rFonts w:hint="eastAsia" w:ascii="仿宋_GB2312" w:hAnsi="仿宋" w:eastAsia="仿宋_GB2312" w:cs="仿宋_GB2312"/>
          <w:color w:val="auto"/>
          <w:kern w:val="0"/>
          <w:sz w:val="24"/>
          <w:highlight w:val="none"/>
        </w:rPr>
        <w:t>） …………………（页码）</w:t>
      </w:r>
    </w:p>
    <w:p w14:paraId="14E7F90B">
      <w:pPr>
        <w:shd w:val="clea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4.7商务条款偏离表 ……………………………………………………………（页码）</w:t>
      </w:r>
    </w:p>
    <w:p w14:paraId="4FD19B67">
      <w:pPr>
        <w:shd w:val="clea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4.8中标供应商澄清函（如有请提供） ………………………………………（页码）</w:t>
      </w:r>
    </w:p>
    <w:p w14:paraId="63394284">
      <w:pPr>
        <w:shd w:val="clea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4.9其他与本合同相关的资料（如有请提供） ………………………………（页码）</w:t>
      </w:r>
    </w:p>
    <w:p w14:paraId="339DD42F">
      <w:pPr>
        <w:shd w:val="clear"/>
        <w:snapToGrid w:val="0"/>
        <w:spacing w:line="360" w:lineRule="auto"/>
        <w:rPr>
          <w:rFonts w:hint="eastAsia" w:ascii="仿宋_GB2312" w:hAnsi="仿宋" w:eastAsia="仿宋_GB2312" w:cs="仿宋_GB2312"/>
          <w:color w:val="auto"/>
          <w:kern w:val="0"/>
          <w:sz w:val="24"/>
          <w:highlight w:val="none"/>
        </w:rPr>
      </w:pPr>
    </w:p>
    <w:p w14:paraId="0C8F370D">
      <w:pPr>
        <w:widowControl/>
        <w:shd w:val="clear"/>
        <w:jc w:val="left"/>
        <w:rPr>
          <w:rFonts w:hint="eastAsia" w:ascii="仿宋_GB2312" w:hAnsi="Courier New" w:eastAsia="仿宋_GB2312"/>
          <w:color w:val="auto"/>
          <w:spacing w:val="-4"/>
          <w:sz w:val="24"/>
          <w:highlight w:val="none"/>
        </w:rPr>
        <w:sectPr>
          <w:pgSz w:w="11905" w:h="16838"/>
          <w:pgMar w:top="1134" w:right="1134" w:bottom="1134" w:left="1134" w:header="720" w:footer="720" w:gutter="0"/>
          <w:cols w:space="0" w:num="1"/>
          <w:rtlGutter w:val="0"/>
          <w:docGrid w:type="lines" w:linePitch="331" w:charSpace="0"/>
        </w:sectPr>
      </w:pPr>
    </w:p>
    <w:p w14:paraId="19F09AC9">
      <w:pPr>
        <w:shd w:val="clear"/>
        <w:autoSpaceDE w:val="0"/>
        <w:autoSpaceDN w:val="0"/>
        <w:adjustRightInd w:val="0"/>
        <w:snapToGrid w:val="0"/>
        <w:spacing w:after="120" w:line="360" w:lineRule="auto"/>
        <w:jc w:val="center"/>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第一部分 合同书</w:t>
      </w:r>
    </w:p>
    <w:p w14:paraId="3DB603AA">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u w:val="single"/>
          <w:lang w:val="zh-CN"/>
        </w:rPr>
        <w:t xml:space="preserve">     </w:t>
      </w:r>
      <w:r>
        <w:rPr>
          <w:rFonts w:hint="eastAsia" w:ascii="仿宋_GB2312" w:hAnsi="楷体" w:eastAsia="仿宋_GB2312"/>
          <w:color w:val="auto"/>
          <w:sz w:val="24"/>
          <w:highlight w:val="none"/>
          <w:lang w:val="zh-CN"/>
        </w:rPr>
        <w:t>年</w:t>
      </w:r>
      <w:r>
        <w:rPr>
          <w:rFonts w:hint="eastAsia" w:ascii="仿宋_GB2312" w:hAnsi="楷体" w:eastAsia="仿宋_GB2312"/>
          <w:color w:val="auto"/>
          <w:sz w:val="24"/>
          <w:highlight w:val="none"/>
          <w:u w:val="single"/>
          <w:lang w:val="zh-CN"/>
        </w:rPr>
        <w:t xml:space="preserve">    </w:t>
      </w:r>
      <w:r>
        <w:rPr>
          <w:rFonts w:hint="eastAsia" w:ascii="仿宋_GB2312" w:hAnsi="楷体" w:eastAsia="仿宋_GB2312"/>
          <w:color w:val="auto"/>
          <w:sz w:val="24"/>
          <w:highlight w:val="none"/>
          <w:lang w:val="zh-CN"/>
        </w:rPr>
        <w:t>月</w:t>
      </w:r>
      <w:r>
        <w:rPr>
          <w:rFonts w:hint="eastAsia" w:ascii="仿宋_GB2312" w:hAnsi="楷体" w:eastAsia="仿宋_GB2312"/>
          <w:color w:val="auto"/>
          <w:sz w:val="24"/>
          <w:highlight w:val="none"/>
          <w:u w:val="single"/>
          <w:lang w:val="zh-CN"/>
        </w:rPr>
        <w:t xml:space="preserve">    </w:t>
      </w:r>
      <w:r>
        <w:rPr>
          <w:rFonts w:hint="eastAsia" w:ascii="仿宋_GB2312" w:hAnsi="楷体" w:eastAsia="仿宋_GB2312"/>
          <w:color w:val="auto"/>
          <w:sz w:val="24"/>
          <w:highlight w:val="none"/>
          <w:lang w:val="zh-CN"/>
        </w:rPr>
        <w:t>日</w:t>
      </w:r>
      <w:r>
        <w:rPr>
          <w:rFonts w:hint="eastAsia" w:ascii="仿宋_GB2312" w:hAnsi="楷体" w:eastAsia="仿宋_GB2312"/>
          <w:color w:val="auto"/>
          <w:sz w:val="24"/>
          <w:highlight w:val="none"/>
        </w:rPr>
        <w:t>，</w:t>
      </w:r>
      <w:r>
        <w:rPr>
          <w:rFonts w:hint="eastAsia" w:ascii="仿宋_GB2312" w:hAnsi="仿宋" w:eastAsia="仿宋_GB2312"/>
          <w:color w:val="auto"/>
          <w:sz w:val="24"/>
          <w:highlight w:val="none"/>
          <w:u w:val="single"/>
        </w:rPr>
        <w:t xml:space="preserve">  南宁职业技术大学  </w:t>
      </w:r>
      <w:r>
        <w:rPr>
          <w:rFonts w:hint="eastAsia" w:ascii="仿宋_GB2312" w:hAnsi="仿宋" w:eastAsia="仿宋_GB2312"/>
          <w:color w:val="auto"/>
          <w:sz w:val="24"/>
          <w:highlight w:val="none"/>
        </w:rPr>
        <w:t>以</w:t>
      </w:r>
      <w:r>
        <w:rPr>
          <w:rFonts w:hint="eastAsia" w:ascii="仿宋_GB2312" w:hAnsi="仿宋" w:eastAsia="仿宋_GB2312"/>
          <w:color w:val="auto"/>
          <w:sz w:val="24"/>
          <w:highlight w:val="none"/>
          <w:u w:val="single"/>
        </w:rPr>
        <w:t xml:space="preserve">   公开招标方式  </w:t>
      </w:r>
      <w:r>
        <w:rPr>
          <w:rFonts w:hint="eastAsia" w:ascii="仿宋_GB2312" w:hAnsi="仿宋" w:eastAsia="仿宋_GB2312"/>
          <w:color w:val="auto"/>
          <w:sz w:val="24"/>
          <w:highlight w:val="none"/>
        </w:rPr>
        <w:t>对</w:t>
      </w:r>
      <w:r>
        <w:rPr>
          <w:rFonts w:hint="eastAsia" w:ascii="仿宋_GB2312" w:hAnsi="仿宋" w:eastAsia="仿宋_GB2312"/>
          <w:color w:val="auto"/>
          <w:sz w:val="24"/>
          <w:highlight w:val="none"/>
          <w:u w:val="single"/>
          <w:lang w:eastAsia="zh-CN"/>
        </w:rPr>
        <w:t>南宁职业技术大学智能制造领域课程资源开发平台项目</w:t>
      </w:r>
      <w:r>
        <w:rPr>
          <w:rFonts w:hint="eastAsia" w:ascii="仿宋_GB2312" w:hAnsi="楷体" w:eastAsia="仿宋_GB2312"/>
          <w:color w:val="auto"/>
          <w:sz w:val="24"/>
          <w:highlight w:val="none"/>
        </w:rPr>
        <w:t>进行了采购。经</w:t>
      </w:r>
      <w:r>
        <w:rPr>
          <w:rFonts w:hint="eastAsia" w:ascii="仿宋_GB2312" w:hAnsi="楷体" w:eastAsia="仿宋_GB2312"/>
          <w:color w:val="auto"/>
          <w:sz w:val="24"/>
          <w:highlight w:val="none"/>
          <w:u w:val="single"/>
        </w:rPr>
        <w:t xml:space="preserve">   （相关评定主体名称）   </w:t>
      </w:r>
      <w:r>
        <w:rPr>
          <w:rFonts w:hint="eastAsia" w:ascii="仿宋_GB2312" w:hAnsi="楷体" w:eastAsia="仿宋_GB2312"/>
          <w:color w:val="auto"/>
          <w:sz w:val="24"/>
          <w:highlight w:val="none"/>
        </w:rPr>
        <w:t>评定，</w:t>
      </w:r>
      <w:r>
        <w:rPr>
          <w:rFonts w:hint="eastAsia" w:ascii="仿宋_GB2312" w:hAnsi="楷体" w:eastAsia="仿宋_GB2312"/>
          <w:color w:val="auto"/>
          <w:sz w:val="24"/>
          <w:highlight w:val="none"/>
          <w:u w:val="single"/>
        </w:rPr>
        <w:t xml:space="preserve">   （中标人名称）</w:t>
      </w:r>
      <w:r>
        <w:rPr>
          <w:rFonts w:hint="eastAsia" w:ascii="仿宋_GB2312" w:hAnsi="楷体" w:eastAsia="仿宋_GB2312"/>
          <w:color w:val="auto"/>
          <w:sz w:val="24"/>
          <w:highlight w:val="none"/>
        </w:rPr>
        <w:t>为该项目中标人。现于中标通知书发出之日起</w:t>
      </w:r>
      <w:r>
        <w:rPr>
          <w:rFonts w:hint="eastAsia" w:ascii="仿宋_GB2312" w:hAnsi="楷体" w:eastAsia="仿宋_GB2312"/>
          <w:color w:val="auto"/>
          <w:sz w:val="24"/>
          <w:highlight w:val="none"/>
          <w:u w:val="single"/>
        </w:rPr>
        <w:t xml:space="preserve">  25 </w:t>
      </w:r>
      <w:r>
        <w:rPr>
          <w:rFonts w:hint="eastAsia" w:ascii="仿宋_GB2312" w:hAnsi="楷体" w:eastAsia="仿宋_GB2312"/>
          <w:color w:val="auto"/>
          <w:sz w:val="24"/>
          <w:highlight w:val="none"/>
        </w:rPr>
        <w:t>日内，按照采购文件确定的事项签订本合同。</w:t>
      </w:r>
    </w:p>
    <w:p w14:paraId="594E4411">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lang w:val="zh-CN"/>
        </w:rPr>
        <w:t>根据《中华人民共和国民法典》《中华人民共和国政府采购法》等相关法律法规之规定，按照平等、自愿、公平和诚实信用的原则，经</w:t>
      </w:r>
      <w:r>
        <w:rPr>
          <w:rFonts w:hint="eastAsia" w:ascii="仿宋_GB2312" w:hAnsi="楷体" w:eastAsia="仿宋_GB2312"/>
          <w:color w:val="auto"/>
          <w:sz w:val="24"/>
          <w:highlight w:val="none"/>
          <w:u w:val="single"/>
        </w:rPr>
        <w:t xml:space="preserve"> 南宁职业技术大学 </w:t>
      </w:r>
      <w:r>
        <w:rPr>
          <w:rFonts w:hint="eastAsia" w:ascii="仿宋_GB2312" w:hAnsi="楷体" w:eastAsia="仿宋_GB2312"/>
          <w:color w:val="auto"/>
          <w:sz w:val="24"/>
          <w:highlight w:val="none"/>
          <w:lang w:val="zh-CN"/>
        </w:rPr>
        <w:t>(以下简称：甲方)和</w:t>
      </w:r>
      <w:r>
        <w:rPr>
          <w:rFonts w:hint="eastAsia" w:ascii="仿宋_GB2312" w:hAnsi="楷体" w:eastAsia="仿宋_GB2312"/>
          <w:color w:val="auto"/>
          <w:sz w:val="24"/>
          <w:highlight w:val="none"/>
          <w:u w:val="single"/>
        </w:rPr>
        <w:t xml:space="preserve">   （中标人名称）   </w:t>
      </w:r>
      <w:r>
        <w:rPr>
          <w:rFonts w:hint="eastAsia" w:ascii="仿宋_GB2312" w:hAnsi="楷体" w:eastAsia="仿宋_GB2312"/>
          <w:color w:val="auto"/>
          <w:sz w:val="24"/>
          <w:highlight w:val="none"/>
          <w:lang w:val="zh-CN"/>
        </w:rPr>
        <w:t>(以下简称：乙方)协商一致，约定以下合同</w:t>
      </w:r>
      <w:r>
        <w:rPr>
          <w:rFonts w:hint="eastAsia" w:ascii="仿宋_GB2312" w:hAnsi="楷体" w:eastAsia="仿宋_GB2312"/>
          <w:color w:val="auto"/>
          <w:sz w:val="24"/>
          <w:highlight w:val="none"/>
        </w:rPr>
        <w:t>条款，以兹共同遵守、全面履行。</w:t>
      </w:r>
    </w:p>
    <w:p w14:paraId="51D03B70">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1.1 合同组成部分</w:t>
      </w:r>
    </w:p>
    <w:p w14:paraId="27F87373">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下列文件为本合同的组成部分，并构成一个整体，需综合解释、相互补充。如果下列文件内容出现不一致的情形，在保证按照采购文件确定的事项的前提下，组成本合同的多个文件的优先适用顺序如下：</w:t>
      </w:r>
    </w:p>
    <w:p w14:paraId="46C78CEB">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1.1.1 本合同及其补充合同、变更协议；</w:t>
      </w:r>
    </w:p>
    <w:p w14:paraId="416A1131">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1.1.2 中标通知书；</w:t>
      </w:r>
    </w:p>
    <w:p w14:paraId="02B51E2A">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1.1.3 投标文件及“投标报价”（含澄清或者说明文件）；</w:t>
      </w:r>
    </w:p>
    <w:p w14:paraId="6A84B0E3">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1.1.4 招标文件（含澄清或者修改文件）；</w:t>
      </w:r>
    </w:p>
    <w:p w14:paraId="0B975AD1">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1.1.5 其他相关采购文件。</w:t>
      </w:r>
    </w:p>
    <w:p w14:paraId="3CA43B5A">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1.2 标的物</w:t>
      </w:r>
    </w:p>
    <w:p w14:paraId="4D44CFA6">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1.2.1 标的物1信息</w:t>
      </w:r>
    </w:p>
    <w:p w14:paraId="2C359614">
      <w:pPr>
        <w:shd w:val="clear"/>
        <w:spacing w:line="360" w:lineRule="auto"/>
        <w:ind w:firstLine="480" w:firstLineChars="200"/>
        <w:rPr>
          <w:rFonts w:hint="eastAsia" w:ascii="仿宋_GB2312" w:hAnsi="楷体" w:eastAsia="仿宋_GB2312"/>
          <w:color w:val="auto"/>
          <w:sz w:val="24"/>
          <w:highlight w:val="none"/>
          <w:u w:val="single"/>
        </w:rPr>
      </w:pPr>
      <w:r>
        <w:rPr>
          <w:rFonts w:hint="eastAsia" w:ascii="仿宋_GB2312" w:hAnsi="楷体" w:eastAsia="仿宋_GB2312"/>
          <w:color w:val="auto"/>
          <w:sz w:val="24"/>
          <w:highlight w:val="none"/>
        </w:rPr>
        <w:t>1.2.1.1名称：</w:t>
      </w: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rPr>
        <w:t>；</w:t>
      </w:r>
    </w:p>
    <w:p w14:paraId="0E8494E6">
      <w:pPr>
        <w:shd w:val="clear"/>
        <w:spacing w:line="360" w:lineRule="auto"/>
        <w:ind w:firstLine="480" w:firstLineChars="200"/>
        <w:rPr>
          <w:rFonts w:hint="eastAsia" w:ascii="仿宋_GB2312" w:hAnsi="楷体" w:eastAsia="仿宋_GB2312"/>
          <w:color w:val="auto"/>
          <w:sz w:val="24"/>
          <w:highlight w:val="none"/>
          <w:u w:val="single"/>
        </w:rPr>
      </w:pPr>
      <w:r>
        <w:rPr>
          <w:rFonts w:hint="eastAsia" w:ascii="仿宋_GB2312" w:hAnsi="楷体" w:eastAsia="仿宋_GB2312"/>
          <w:color w:val="auto"/>
          <w:sz w:val="24"/>
          <w:highlight w:val="none"/>
        </w:rPr>
        <w:t>1.2.1.2数量：</w:t>
      </w: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rPr>
        <w:t>；</w:t>
      </w:r>
    </w:p>
    <w:p w14:paraId="21AF02BC">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1.2.1.3质量：</w:t>
      </w: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rPr>
        <w:t>。</w:t>
      </w:r>
    </w:p>
    <w:p w14:paraId="6BE5975E">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w:t>
      </w:r>
    </w:p>
    <w:p w14:paraId="10C2E591">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1.3 价款</w:t>
      </w:r>
    </w:p>
    <w:p w14:paraId="470A48D6">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本合同总价为：人民币</w:t>
      </w: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rPr>
        <w:t>元（大写：</w:t>
      </w: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rPr>
        <w:t>元人民币，含税），其中增值税税款为</w:t>
      </w:r>
      <w:r>
        <w:rPr>
          <w:rFonts w:ascii="仿宋_GB2312" w:hAnsi="楷体" w:eastAsia="仿宋_GB2312"/>
          <w:color w:val="auto"/>
          <w:sz w:val="24"/>
          <w:highlight w:val="none"/>
        </w:rPr>
        <w:t xml:space="preserve">          </w:t>
      </w:r>
      <w:r>
        <w:rPr>
          <w:rFonts w:hint="eastAsia" w:ascii="仿宋_GB2312" w:hAnsi="楷体" w:eastAsia="仿宋_GB2312"/>
          <w:color w:val="auto"/>
          <w:sz w:val="24"/>
          <w:highlight w:val="none"/>
        </w:rPr>
        <w:t>元。如国家税收政策变化，导致增值税税率调整的，则按照调整后的税率开具增值税发票。</w:t>
      </w:r>
    </w:p>
    <w:p w14:paraId="0DE07E3A">
      <w:pPr>
        <w:shd w:val="clear"/>
        <w:spacing w:line="360" w:lineRule="auto"/>
        <w:ind w:firstLine="480" w:firstLineChars="200"/>
        <w:rPr>
          <w:rFonts w:hint="eastAsia" w:ascii="仿宋_GB2312" w:hAnsi="楷体" w:eastAsia="仿宋_GB2312"/>
          <w:color w:val="auto"/>
          <w:sz w:val="24"/>
          <w:highlight w:val="none"/>
          <w:u w:val="single"/>
        </w:rPr>
      </w:pPr>
      <w:r>
        <w:rPr>
          <w:rFonts w:hint="eastAsia" w:ascii="仿宋_GB2312" w:hAnsi="楷体" w:eastAsia="仿宋_GB2312"/>
          <w:color w:val="auto"/>
          <w:sz w:val="24"/>
          <w:highlight w:val="none"/>
        </w:rPr>
        <w:t>分项价格：</w:t>
      </w:r>
    </w:p>
    <w:tbl>
      <w:tblPr>
        <w:tblStyle w:val="33"/>
        <w:tblW w:w="48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1"/>
        <w:gridCol w:w="4688"/>
        <w:gridCol w:w="3203"/>
      </w:tblGrid>
      <w:tr w14:paraId="2CD7A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65" w:type="pct"/>
            <w:tcBorders>
              <w:top w:val="single" w:color="auto" w:sz="4" w:space="0"/>
              <w:left w:val="single" w:color="auto" w:sz="4" w:space="0"/>
              <w:bottom w:val="single" w:color="auto" w:sz="4" w:space="0"/>
              <w:right w:val="single" w:color="auto" w:sz="4" w:space="0"/>
            </w:tcBorders>
            <w:noWrap w:val="0"/>
            <w:vAlign w:val="center"/>
          </w:tcPr>
          <w:p w14:paraId="5992DB10">
            <w:pPr>
              <w:shd w:val="clear"/>
              <w:spacing w:line="360" w:lineRule="auto"/>
              <w:jc w:val="center"/>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序号</w:t>
            </w:r>
          </w:p>
        </w:tc>
        <w:tc>
          <w:tcPr>
            <w:tcW w:w="2456" w:type="pct"/>
            <w:tcBorders>
              <w:top w:val="single" w:color="auto" w:sz="4" w:space="0"/>
              <w:left w:val="single" w:color="auto" w:sz="4" w:space="0"/>
              <w:bottom w:val="single" w:color="auto" w:sz="4" w:space="0"/>
              <w:right w:val="single" w:color="auto" w:sz="4" w:space="0"/>
            </w:tcBorders>
            <w:noWrap w:val="0"/>
            <w:vAlign w:val="center"/>
          </w:tcPr>
          <w:p w14:paraId="52D5A9DD">
            <w:pPr>
              <w:shd w:val="clear"/>
              <w:spacing w:line="360" w:lineRule="auto"/>
              <w:jc w:val="center"/>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分项名称</w:t>
            </w:r>
          </w:p>
        </w:tc>
        <w:tc>
          <w:tcPr>
            <w:tcW w:w="1678" w:type="pct"/>
            <w:tcBorders>
              <w:top w:val="single" w:color="auto" w:sz="4" w:space="0"/>
              <w:left w:val="single" w:color="auto" w:sz="4" w:space="0"/>
              <w:bottom w:val="single" w:color="auto" w:sz="4" w:space="0"/>
              <w:right w:val="single" w:color="auto" w:sz="4" w:space="0"/>
            </w:tcBorders>
            <w:noWrap w:val="0"/>
            <w:vAlign w:val="center"/>
          </w:tcPr>
          <w:p w14:paraId="0A4953A9">
            <w:pPr>
              <w:shd w:val="clear"/>
              <w:spacing w:line="360" w:lineRule="auto"/>
              <w:jc w:val="center"/>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分项价格</w:t>
            </w:r>
          </w:p>
        </w:tc>
      </w:tr>
      <w:tr w14:paraId="329F4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65" w:type="pct"/>
            <w:tcBorders>
              <w:top w:val="single" w:color="auto" w:sz="4" w:space="0"/>
              <w:left w:val="single" w:color="auto" w:sz="4" w:space="0"/>
              <w:bottom w:val="single" w:color="auto" w:sz="4" w:space="0"/>
              <w:right w:val="single" w:color="auto" w:sz="4" w:space="0"/>
            </w:tcBorders>
            <w:noWrap w:val="0"/>
            <w:vAlign w:val="center"/>
          </w:tcPr>
          <w:p w14:paraId="2040AC0B">
            <w:pPr>
              <w:shd w:val="clear"/>
              <w:spacing w:line="360" w:lineRule="auto"/>
              <w:jc w:val="center"/>
              <w:rPr>
                <w:rFonts w:hint="eastAsia" w:ascii="仿宋_GB2312" w:hAnsi="楷体" w:eastAsia="仿宋_GB2312"/>
                <w:color w:val="auto"/>
                <w:sz w:val="24"/>
                <w:highlight w:val="none"/>
              </w:rPr>
            </w:pPr>
          </w:p>
        </w:tc>
        <w:tc>
          <w:tcPr>
            <w:tcW w:w="2456" w:type="pct"/>
            <w:tcBorders>
              <w:top w:val="single" w:color="auto" w:sz="4" w:space="0"/>
              <w:left w:val="single" w:color="auto" w:sz="4" w:space="0"/>
              <w:bottom w:val="single" w:color="auto" w:sz="4" w:space="0"/>
              <w:right w:val="single" w:color="auto" w:sz="4" w:space="0"/>
            </w:tcBorders>
            <w:noWrap w:val="0"/>
            <w:vAlign w:val="center"/>
          </w:tcPr>
          <w:p w14:paraId="4D35AFB4">
            <w:pPr>
              <w:shd w:val="clear"/>
              <w:spacing w:line="360" w:lineRule="auto"/>
              <w:jc w:val="center"/>
              <w:rPr>
                <w:rFonts w:hint="eastAsia" w:ascii="仿宋_GB2312" w:hAnsi="楷体" w:eastAsia="仿宋_GB2312"/>
                <w:color w:val="auto"/>
                <w:sz w:val="24"/>
                <w:highlight w:val="none"/>
              </w:rPr>
            </w:pPr>
          </w:p>
        </w:tc>
        <w:tc>
          <w:tcPr>
            <w:tcW w:w="1678" w:type="pct"/>
            <w:tcBorders>
              <w:top w:val="single" w:color="auto" w:sz="4" w:space="0"/>
              <w:left w:val="single" w:color="auto" w:sz="4" w:space="0"/>
              <w:bottom w:val="single" w:color="auto" w:sz="4" w:space="0"/>
              <w:right w:val="single" w:color="auto" w:sz="4" w:space="0"/>
            </w:tcBorders>
            <w:noWrap w:val="0"/>
            <w:vAlign w:val="center"/>
          </w:tcPr>
          <w:p w14:paraId="44FADC8E">
            <w:pPr>
              <w:shd w:val="clear"/>
              <w:spacing w:line="360" w:lineRule="auto"/>
              <w:jc w:val="center"/>
              <w:rPr>
                <w:rFonts w:hint="eastAsia" w:ascii="仿宋_GB2312" w:hAnsi="楷体" w:eastAsia="仿宋_GB2312"/>
                <w:color w:val="auto"/>
                <w:sz w:val="24"/>
                <w:highlight w:val="none"/>
              </w:rPr>
            </w:pPr>
          </w:p>
        </w:tc>
      </w:tr>
      <w:tr w14:paraId="65298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65" w:type="pct"/>
            <w:tcBorders>
              <w:top w:val="single" w:color="auto" w:sz="4" w:space="0"/>
              <w:left w:val="single" w:color="auto" w:sz="4" w:space="0"/>
              <w:bottom w:val="single" w:color="auto" w:sz="4" w:space="0"/>
              <w:right w:val="single" w:color="auto" w:sz="4" w:space="0"/>
            </w:tcBorders>
            <w:noWrap w:val="0"/>
            <w:vAlign w:val="center"/>
          </w:tcPr>
          <w:p w14:paraId="35E75945">
            <w:pPr>
              <w:shd w:val="clear"/>
              <w:spacing w:line="360" w:lineRule="auto"/>
              <w:jc w:val="center"/>
              <w:rPr>
                <w:rFonts w:hint="eastAsia" w:ascii="仿宋_GB2312" w:hAnsi="楷体" w:eastAsia="仿宋_GB2312"/>
                <w:color w:val="auto"/>
                <w:sz w:val="24"/>
                <w:highlight w:val="none"/>
              </w:rPr>
            </w:pPr>
          </w:p>
        </w:tc>
        <w:tc>
          <w:tcPr>
            <w:tcW w:w="2456" w:type="pct"/>
            <w:tcBorders>
              <w:top w:val="single" w:color="auto" w:sz="4" w:space="0"/>
              <w:left w:val="single" w:color="auto" w:sz="4" w:space="0"/>
              <w:bottom w:val="single" w:color="auto" w:sz="4" w:space="0"/>
              <w:right w:val="single" w:color="auto" w:sz="4" w:space="0"/>
            </w:tcBorders>
            <w:noWrap w:val="0"/>
            <w:vAlign w:val="center"/>
          </w:tcPr>
          <w:p w14:paraId="57461188">
            <w:pPr>
              <w:shd w:val="clear"/>
              <w:spacing w:line="360" w:lineRule="auto"/>
              <w:jc w:val="center"/>
              <w:rPr>
                <w:rFonts w:hint="eastAsia" w:ascii="仿宋_GB2312" w:hAnsi="楷体" w:eastAsia="仿宋_GB2312"/>
                <w:color w:val="auto"/>
                <w:sz w:val="24"/>
                <w:highlight w:val="none"/>
              </w:rPr>
            </w:pPr>
          </w:p>
        </w:tc>
        <w:tc>
          <w:tcPr>
            <w:tcW w:w="1678" w:type="pct"/>
            <w:tcBorders>
              <w:top w:val="single" w:color="auto" w:sz="4" w:space="0"/>
              <w:left w:val="single" w:color="auto" w:sz="4" w:space="0"/>
              <w:bottom w:val="single" w:color="auto" w:sz="4" w:space="0"/>
              <w:right w:val="single" w:color="auto" w:sz="4" w:space="0"/>
            </w:tcBorders>
            <w:noWrap w:val="0"/>
            <w:vAlign w:val="center"/>
          </w:tcPr>
          <w:p w14:paraId="5E49E496">
            <w:pPr>
              <w:shd w:val="clear"/>
              <w:spacing w:line="360" w:lineRule="auto"/>
              <w:jc w:val="center"/>
              <w:rPr>
                <w:rFonts w:hint="eastAsia" w:ascii="仿宋_GB2312" w:hAnsi="楷体" w:eastAsia="仿宋_GB2312"/>
                <w:color w:val="auto"/>
                <w:sz w:val="24"/>
                <w:highlight w:val="none"/>
              </w:rPr>
            </w:pPr>
          </w:p>
        </w:tc>
      </w:tr>
      <w:tr w14:paraId="170EF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65" w:type="pct"/>
            <w:tcBorders>
              <w:top w:val="single" w:color="auto" w:sz="4" w:space="0"/>
              <w:left w:val="single" w:color="auto" w:sz="4" w:space="0"/>
              <w:bottom w:val="single" w:color="auto" w:sz="4" w:space="0"/>
              <w:right w:val="single" w:color="auto" w:sz="4" w:space="0"/>
            </w:tcBorders>
            <w:noWrap w:val="0"/>
            <w:vAlign w:val="center"/>
          </w:tcPr>
          <w:p w14:paraId="7CA9CB53">
            <w:pPr>
              <w:shd w:val="clear"/>
              <w:spacing w:line="360" w:lineRule="auto"/>
              <w:jc w:val="center"/>
              <w:rPr>
                <w:rFonts w:hint="eastAsia" w:ascii="仿宋_GB2312" w:hAnsi="楷体" w:eastAsia="仿宋_GB2312"/>
                <w:color w:val="auto"/>
                <w:sz w:val="24"/>
                <w:highlight w:val="none"/>
              </w:rPr>
            </w:pPr>
          </w:p>
        </w:tc>
        <w:tc>
          <w:tcPr>
            <w:tcW w:w="2456" w:type="pct"/>
            <w:tcBorders>
              <w:top w:val="single" w:color="auto" w:sz="4" w:space="0"/>
              <w:left w:val="single" w:color="auto" w:sz="4" w:space="0"/>
              <w:bottom w:val="single" w:color="auto" w:sz="4" w:space="0"/>
              <w:right w:val="single" w:color="auto" w:sz="4" w:space="0"/>
            </w:tcBorders>
            <w:noWrap w:val="0"/>
            <w:vAlign w:val="center"/>
          </w:tcPr>
          <w:p w14:paraId="15C7F847">
            <w:pPr>
              <w:shd w:val="clear"/>
              <w:spacing w:line="360" w:lineRule="auto"/>
              <w:jc w:val="center"/>
              <w:rPr>
                <w:rFonts w:hint="eastAsia" w:ascii="仿宋_GB2312" w:hAnsi="楷体" w:eastAsia="仿宋_GB2312"/>
                <w:color w:val="auto"/>
                <w:sz w:val="24"/>
                <w:highlight w:val="none"/>
              </w:rPr>
            </w:pPr>
          </w:p>
        </w:tc>
        <w:tc>
          <w:tcPr>
            <w:tcW w:w="1678" w:type="pct"/>
            <w:tcBorders>
              <w:top w:val="single" w:color="auto" w:sz="4" w:space="0"/>
              <w:left w:val="single" w:color="auto" w:sz="4" w:space="0"/>
              <w:bottom w:val="single" w:color="auto" w:sz="4" w:space="0"/>
              <w:right w:val="single" w:color="auto" w:sz="4" w:space="0"/>
            </w:tcBorders>
            <w:noWrap w:val="0"/>
            <w:vAlign w:val="center"/>
          </w:tcPr>
          <w:p w14:paraId="4777D499">
            <w:pPr>
              <w:shd w:val="clear"/>
              <w:spacing w:line="360" w:lineRule="auto"/>
              <w:jc w:val="center"/>
              <w:rPr>
                <w:rFonts w:hint="eastAsia" w:ascii="仿宋_GB2312" w:hAnsi="楷体" w:eastAsia="仿宋_GB2312"/>
                <w:color w:val="auto"/>
                <w:sz w:val="24"/>
                <w:highlight w:val="none"/>
              </w:rPr>
            </w:pPr>
          </w:p>
        </w:tc>
      </w:tr>
      <w:tr w14:paraId="1B399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21" w:type="pct"/>
            <w:gridSpan w:val="2"/>
            <w:tcBorders>
              <w:top w:val="single" w:color="auto" w:sz="4" w:space="0"/>
              <w:left w:val="single" w:color="auto" w:sz="4" w:space="0"/>
              <w:bottom w:val="single" w:color="auto" w:sz="4" w:space="0"/>
              <w:right w:val="single" w:color="auto" w:sz="4" w:space="0"/>
            </w:tcBorders>
            <w:noWrap w:val="0"/>
            <w:vAlign w:val="center"/>
          </w:tcPr>
          <w:p w14:paraId="0C388F0D">
            <w:pPr>
              <w:shd w:val="clear"/>
              <w:spacing w:line="360" w:lineRule="auto"/>
              <w:ind w:firstLine="480" w:firstLineChars="200"/>
              <w:jc w:val="center"/>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总价</w:t>
            </w:r>
          </w:p>
        </w:tc>
        <w:tc>
          <w:tcPr>
            <w:tcW w:w="1678" w:type="pct"/>
            <w:tcBorders>
              <w:top w:val="single" w:color="auto" w:sz="4" w:space="0"/>
              <w:left w:val="single" w:color="auto" w:sz="4" w:space="0"/>
              <w:bottom w:val="single" w:color="auto" w:sz="4" w:space="0"/>
              <w:right w:val="single" w:color="auto" w:sz="4" w:space="0"/>
            </w:tcBorders>
            <w:noWrap w:val="0"/>
            <w:vAlign w:val="center"/>
          </w:tcPr>
          <w:p w14:paraId="7680D06A">
            <w:pPr>
              <w:shd w:val="clear"/>
              <w:spacing w:line="360" w:lineRule="auto"/>
              <w:jc w:val="center"/>
              <w:rPr>
                <w:rFonts w:hint="eastAsia" w:ascii="仿宋_GB2312" w:hAnsi="楷体" w:eastAsia="仿宋_GB2312"/>
                <w:color w:val="auto"/>
                <w:sz w:val="24"/>
                <w:highlight w:val="none"/>
              </w:rPr>
            </w:pPr>
          </w:p>
        </w:tc>
      </w:tr>
    </w:tbl>
    <w:p w14:paraId="5508DAC3">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1.4 付款方式和发票开具方式</w:t>
      </w:r>
    </w:p>
    <w:p w14:paraId="5973B469">
      <w:pPr>
        <w:shd w:val="clear"/>
        <w:spacing w:line="360" w:lineRule="auto"/>
        <w:ind w:firstLine="480" w:firstLineChars="200"/>
        <w:rPr>
          <w:rFonts w:ascii="仿宋_GB2312" w:hAnsi="楷体" w:eastAsia="仿宋_GB2312"/>
          <w:color w:val="auto"/>
          <w:sz w:val="24"/>
          <w:highlight w:val="none"/>
          <w:u w:val="single"/>
        </w:rPr>
      </w:pPr>
      <w:r>
        <w:rPr>
          <w:rFonts w:hint="eastAsia" w:ascii="仿宋_GB2312" w:hAnsi="楷体" w:eastAsia="仿宋_GB2312"/>
          <w:color w:val="auto"/>
          <w:sz w:val="24"/>
          <w:highlight w:val="none"/>
        </w:rPr>
        <w:t>1.4.1 付款方式：</w:t>
      </w:r>
    </w:p>
    <w:p w14:paraId="02648645">
      <w:pPr>
        <w:shd w:val="clear"/>
        <w:spacing w:line="360" w:lineRule="auto"/>
        <w:ind w:firstLine="480" w:firstLineChars="200"/>
        <w:rPr>
          <w:rFonts w:hint="eastAsia" w:ascii="仿宋_GB2312" w:hAnsi="楷体" w:eastAsia="仿宋_GB2312"/>
          <w:color w:val="auto"/>
          <w:sz w:val="24"/>
          <w:highlight w:val="none"/>
          <w:u w:val="single"/>
        </w:rPr>
      </w:pPr>
      <w:r>
        <w:rPr>
          <w:rFonts w:hint="eastAsia" w:ascii="仿宋_GB2312" w:hAnsi="楷体" w:eastAsia="仿宋_GB2312"/>
          <w:color w:val="auto"/>
          <w:sz w:val="24"/>
          <w:highlight w:val="none"/>
          <w:u w:val="single"/>
        </w:rPr>
        <w:t xml:space="preserve">（1） </w:t>
      </w:r>
      <w:r>
        <w:rPr>
          <w:rFonts w:ascii="仿宋_GB2312" w:hAnsi="楷体" w:eastAsia="仿宋_GB2312"/>
          <w:color w:val="auto"/>
          <w:sz w:val="24"/>
          <w:highlight w:val="none"/>
          <w:u w:val="single"/>
        </w:rPr>
        <w:t xml:space="preserve">                                      </w:t>
      </w:r>
    </w:p>
    <w:p w14:paraId="3AEC7F92">
      <w:pPr>
        <w:shd w:val="clear"/>
        <w:spacing w:line="360" w:lineRule="auto"/>
        <w:ind w:firstLine="480" w:firstLineChars="200"/>
        <w:rPr>
          <w:rFonts w:hint="eastAsia" w:ascii="仿宋_GB2312" w:hAnsi="楷体" w:eastAsia="仿宋_GB2312"/>
          <w:color w:val="auto"/>
          <w:sz w:val="24"/>
          <w:highlight w:val="none"/>
          <w:u w:val="single"/>
        </w:rPr>
      </w:pPr>
      <w:r>
        <w:rPr>
          <w:rFonts w:hint="eastAsia" w:ascii="仿宋_GB2312" w:hAnsi="楷体" w:eastAsia="仿宋_GB2312"/>
          <w:color w:val="auto"/>
          <w:sz w:val="24"/>
          <w:highlight w:val="none"/>
          <w:u w:val="single"/>
        </w:rPr>
        <w:t xml:space="preserve">（2） </w:t>
      </w:r>
      <w:r>
        <w:rPr>
          <w:rFonts w:ascii="仿宋_GB2312" w:hAnsi="楷体" w:eastAsia="仿宋_GB2312"/>
          <w:color w:val="auto"/>
          <w:sz w:val="24"/>
          <w:highlight w:val="none"/>
          <w:u w:val="single"/>
        </w:rPr>
        <w:t xml:space="preserve">                                      </w:t>
      </w:r>
    </w:p>
    <w:p w14:paraId="6CC669BE">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1.4.2 发票开具方式：</w:t>
      </w:r>
      <w:r>
        <w:rPr>
          <w:rFonts w:hint="eastAsia" w:ascii="仿宋_GB2312" w:hAnsi="楷体" w:eastAsia="仿宋_GB2312"/>
          <w:color w:val="auto"/>
          <w:sz w:val="24"/>
          <w:highlight w:val="none"/>
          <w:u w:val="single"/>
          <w:lang w:val="en-US" w:eastAsia="zh-CN"/>
        </w:rPr>
        <w:t xml:space="preserve">                        </w:t>
      </w:r>
    </w:p>
    <w:p w14:paraId="2002C410">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1.5 标的物交付期限、地点、方式和服务期限</w:t>
      </w:r>
    </w:p>
    <w:p w14:paraId="7C2123BE">
      <w:pPr>
        <w:shd w:val="clear"/>
        <w:spacing w:line="360" w:lineRule="auto"/>
        <w:ind w:firstLine="480" w:firstLineChars="200"/>
        <w:rPr>
          <w:rFonts w:hint="eastAsia" w:ascii="仿宋_GB2312" w:hAnsi="楷体" w:eastAsia="仿宋_GB2312"/>
          <w:color w:val="auto"/>
          <w:sz w:val="24"/>
          <w:highlight w:val="none"/>
          <w:u w:val="single"/>
        </w:rPr>
      </w:pPr>
      <w:r>
        <w:rPr>
          <w:rFonts w:hint="eastAsia" w:ascii="仿宋_GB2312" w:hAnsi="楷体" w:eastAsia="仿宋_GB2312"/>
          <w:color w:val="auto"/>
          <w:sz w:val="24"/>
          <w:highlight w:val="none"/>
        </w:rPr>
        <w:t>1.5.1 交付期限：</w:t>
      </w:r>
      <w:r>
        <w:rPr>
          <w:rFonts w:hint="eastAsia" w:ascii="仿宋_GB2312" w:hAnsi="楷体" w:eastAsia="仿宋_GB2312"/>
          <w:color w:val="auto"/>
          <w:sz w:val="24"/>
          <w:highlight w:val="none"/>
          <w:u w:val="single"/>
        </w:rPr>
        <w:t xml:space="preserve">                                                 ；</w:t>
      </w:r>
    </w:p>
    <w:p w14:paraId="75F1B70C">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1.5.2 交付地点：</w:t>
      </w: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rPr>
        <w:t>；</w:t>
      </w:r>
    </w:p>
    <w:p w14:paraId="367DFB13">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1.5.3 交付方式：</w:t>
      </w: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rPr>
        <w:t>；</w:t>
      </w:r>
    </w:p>
    <w:p w14:paraId="35C14F34">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1.5.4 服务及质保期限：</w:t>
      </w: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rPr>
        <w:t>。</w:t>
      </w:r>
    </w:p>
    <w:p w14:paraId="5E397AB7">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1.6 违约责任</w:t>
      </w:r>
    </w:p>
    <w:p w14:paraId="452F674C">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1.6.1 除不可抗力外，如果乙方没有按照本合同约定的期限、地点和方式交付标的物，甲方可要求乙方支付违约金，违约金按每迟延交付标的物一日的应交付而未交付标的物价格的</w:t>
      </w:r>
      <w:r>
        <w:rPr>
          <w:rFonts w:hint="eastAsia" w:ascii="仿宋_GB2312" w:hAnsi="楷体" w:eastAsia="仿宋_GB2312"/>
          <w:color w:val="auto"/>
          <w:sz w:val="24"/>
          <w:highlight w:val="none"/>
          <w:u w:val="single"/>
        </w:rPr>
        <w:t xml:space="preserve"> 万分之五 </w:t>
      </w:r>
      <w:r>
        <w:rPr>
          <w:rFonts w:hint="eastAsia" w:ascii="仿宋_GB2312" w:hAnsi="楷体" w:eastAsia="仿宋_GB2312"/>
          <w:color w:val="auto"/>
          <w:sz w:val="24"/>
          <w:highlight w:val="none"/>
        </w:rPr>
        <w:t>计算，最高限额为本合同总价的</w:t>
      </w:r>
      <w:r>
        <w:rPr>
          <w:rFonts w:hint="eastAsia" w:ascii="仿宋_GB2312" w:hAnsi="楷体" w:eastAsia="仿宋_GB2312"/>
          <w:color w:val="auto"/>
          <w:sz w:val="24"/>
          <w:highlight w:val="none"/>
          <w:u w:val="single"/>
        </w:rPr>
        <w:t xml:space="preserve"> 20 </w:t>
      </w:r>
      <w:r>
        <w:rPr>
          <w:rFonts w:hint="eastAsia" w:ascii="仿宋_GB2312" w:hAnsi="楷体" w:eastAsia="仿宋_GB2312"/>
          <w:color w:val="auto"/>
          <w:sz w:val="24"/>
          <w:highlight w:val="none"/>
        </w:rPr>
        <w:t>%；迟延超过【60】日的，甲方有权要求乙方支付违约金的同时，书面通知乙方解除本合同，乙方应退回全部已收取的合同价款并按合同总金额的</w:t>
      </w:r>
      <w:r>
        <w:rPr>
          <w:rFonts w:hint="eastAsia" w:ascii="仿宋_GB2312" w:hAnsi="楷体" w:eastAsia="仿宋_GB2312"/>
          <w:color w:val="auto"/>
          <w:sz w:val="24"/>
          <w:highlight w:val="none"/>
          <w:u w:val="single"/>
        </w:rPr>
        <w:t xml:space="preserve"> 20% </w:t>
      </w:r>
      <w:r>
        <w:rPr>
          <w:rFonts w:hint="eastAsia" w:ascii="仿宋_GB2312" w:hAnsi="楷体" w:eastAsia="仿宋_GB2312"/>
          <w:color w:val="auto"/>
          <w:sz w:val="24"/>
          <w:highlight w:val="none"/>
        </w:rPr>
        <w:t>向甲方支付违约金；甲方可从未支付的合同款中扣减违约金；</w:t>
      </w:r>
    </w:p>
    <w:p w14:paraId="63FC8A6A">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1.6.2 除不可抗力外，如果甲方没有按照本合同约定的付款方式付款，乙方可要求甲方支付违约金，违约金按每迟延付款一日的应付而未付款的</w:t>
      </w:r>
      <w:r>
        <w:rPr>
          <w:rFonts w:hint="eastAsia" w:ascii="仿宋_GB2312" w:hAnsi="楷体" w:eastAsia="仿宋_GB2312"/>
          <w:color w:val="auto"/>
          <w:sz w:val="24"/>
          <w:highlight w:val="none"/>
          <w:u w:val="single"/>
        </w:rPr>
        <w:t xml:space="preserve"> 万分之五 </w:t>
      </w:r>
      <w:r>
        <w:rPr>
          <w:rFonts w:hint="eastAsia" w:ascii="仿宋_GB2312" w:hAnsi="楷体" w:eastAsia="仿宋_GB2312"/>
          <w:color w:val="auto"/>
          <w:sz w:val="24"/>
          <w:highlight w:val="none"/>
        </w:rPr>
        <w:t>计算，最高限额为欠付金额的</w:t>
      </w:r>
      <w:r>
        <w:rPr>
          <w:rFonts w:hint="eastAsia" w:ascii="仿宋_GB2312" w:hAnsi="楷体" w:eastAsia="仿宋_GB2312"/>
          <w:color w:val="auto"/>
          <w:sz w:val="24"/>
          <w:highlight w:val="none"/>
          <w:u w:val="single"/>
        </w:rPr>
        <w:t xml:space="preserve"> 20 </w:t>
      </w:r>
      <w:r>
        <w:rPr>
          <w:rFonts w:hint="eastAsia" w:ascii="仿宋_GB2312" w:hAnsi="楷体" w:eastAsia="仿宋_GB2312"/>
          <w:color w:val="auto"/>
          <w:sz w:val="24"/>
          <w:highlight w:val="none"/>
        </w:rPr>
        <w:t>%；迟延付款的违约金计算数额达到前述最高限额之日起，乙方有权在要求甲方支付违约金的同时，书面通知甲方解除本合同；</w:t>
      </w:r>
    </w:p>
    <w:p w14:paraId="5EFA5192">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73C777C0">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1.6.4乙方在质保期内未按承诺提供售后等服务的，每发生一次向甲方支付违约金额</w:t>
      </w:r>
      <w:r>
        <w:rPr>
          <w:rFonts w:hint="eastAsia" w:ascii="仿宋_GB2312" w:hAnsi="楷体" w:eastAsia="仿宋_GB2312"/>
          <w:color w:val="auto"/>
          <w:sz w:val="24"/>
          <w:highlight w:val="none"/>
          <w:u w:val="single"/>
        </w:rPr>
        <w:t xml:space="preserve"> 3万</w:t>
      </w:r>
      <w:r>
        <w:rPr>
          <w:rFonts w:hint="eastAsia" w:ascii="仿宋_GB2312" w:hAnsi="楷体" w:eastAsia="仿宋_GB2312"/>
          <w:color w:val="auto"/>
          <w:sz w:val="24"/>
          <w:highlight w:val="none"/>
        </w:rPr>
        <w:t>元。甲方可从未支付的合同款中扣减违约金；</w:t>
      </w:r>
    </w:p>
    <w:p w14:paraId="4FC27771">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1.6.5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DB78BDC">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712858E2">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1.6.7 如果出现政府采购监督管理部门在处理投诉事项期间，书面通知甲方暂停采购活动的情形，或者询问或质疑事项可能影响中标结果的，导致甲方中止履行合同的情形，均不视为甲方违约。</w:t>
      </w:r>
    </w:p>
    <w:p w14:paraId="28EFBB04">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1.7 合同争议的解决</w:t>
      </w:r>
    </w:p>
    <w:p w14:paraId="425CBA38">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本合同履行过程中发生的任何争议，双方当事人均应通过友好协商的方式和解或者调解解决；不愿和解、调解或者和解、调解不成的，可以选择下列第</w:t>
      </w:r>
      <w:r>
        <w:rPr>
          <w:rFonts w:hint="eastAsia" w:ascii="仿宋_GB2312" w:hAnsi="楷体" w:eastAsia="仿宋_GB2312"/>
          <w:color w:val="auto"/>
          <w:sz w:val="24"/>
          <w:highlight w:val="none"/>
          <w:u w:val="single"/>
        </w:rPr>
        <w:t xml:space="preserve"> 1.7.2 </w:t>
      </w:r>
      <w:r>
        <w:rPr>
          <w:rFonts w:hint="eastAsia" w:ascii="仿宋_GB2312" w:hAnsi="楷体" w:eastAsia="仿宋_GB2312"/>
          <w:color w:val="auto"/>
          <w:sz w:val="24"/>
          <w:highlight w:val="none"/>
        </w:rPr>
        <w:t>种方式解决：</w:t>
      </w:r>
    </w:p>
    <w:p w14:paraId="0C12E827">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1.7.1 将争议提交</w:t>
      </w:r>
      <w:r>
        <w:rPr>
          <w:rFonts w:hint="eastAsia" w:ascii="仿宋_GB2312" w:hAnsi="楷体" w:eastAsia="仿宋_GB2312"/>
          <w:color w:val="auto"/>
          <w:sz w:val="24"/>
          <w:highlight w:val="none"/>
          <w:u w:val="single"/>
        </w:rPr>
        <w:t>南宁市</w:t>
      </w:r>
      <w:r>
        <w:rPr>
          <w:rFonts w:hint="eastAsia" w:ascii="仿宋_GB2312" w:hAnsi="楷体" w:eastAsia="仿宋_GB2312"/>
          <w:color w:val="auto"/>
          <w:sz w:val="24"/>
          <w:highlight w:val="none"/>
        </w:rPr>
        <w:t>仲裁委员会依申请仲裁时其现行有效的仲裁规则裁决；</w:t>
      </w:r>
    </w:p>
    <w:p w14:paraId="6245311C">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1.7.2 向</w:t>
      </w:r>
      <w:r>
        <w:rPr>
          <w:rFonts w:hint="eastAsia" w:ascii="仿宋_GB2312" w:hAnsi="楷体" w:eastAsia="仿宋_GB2312"/>
          <w:color w:val="auto"/>
          <w:sz w:val="24"/>
          <w:highlight w:val="none"/>
          <w:u w:val="single"/>
        </w:rPr>
        <w:t xml:space="preserve"> 甲方所在地 有管辖权的</w:t>
      </w:r>
      <w:r>
        <w:rPr>
          <w:rFonts w:hint="eastAsia" w:ascii="仿宋_GB2312" w:hAnsi="楷体" w:eastAsia="仿宋_GB2312"/>
          <w:color w:val="auto"/>
          <w:sz w:val="24"/>
          <w:highlight w:val="none"/>
        </w:rPr>
        <w:t>人民法院起诉。</w:t>
      </w:r>
    </w:p>
    <w:p w14:paraId="2AB96647">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1.8 合同生效</w:t>
      </w:r>
    </w:p>
    <w:p w14:paraId="6B403931">
      <w:pPr>
        <w:shd w:val="clear"/>
        <w:spacing w:line="360" w:lineRule="auto"/>
        <w:ind w:firstLine="480" w:firstLineChars="200"/>
        <w:rPr>
          <w:rFonts w:hint="eastAsia" w:ascii="仿宋_GB2312" w:hAnsi="楷体" w:eastAsia="仿宋_GB2312"/>
          <w:b/>
          <w:color w:val="auto"/>
          <w:sz w:val="24"/>
          <w:highlight w:val="none"/>
        </w:rPr>
      </w:pPr>
      <w:r>
        <w:rPr>
          <w:rFonts w:hint="eastAsia" w:ascii="仿宋_GB2312" w:hAnsi="楷体" w:eastAsia="仿宋_GB2312"/>
          <w:color w:val="auto"/>
          <w:sz w:val="24"/>
          <w:highlight w:val="none"/>
        </w:rPr>
        <w:t>本合同自双方当事人加盖有效公章时生效。</w:t>
      </w:r>
    </w:p>
    <w:p w14:paraId="0657B82A">
      <w:pPr>
        <w:shd w:val="clear"/>
        <w:spacing w:line="360" w:lineRule="auto"/>
        <w:ind w:firstLine="200"/>
        <w:rPr>
          <w:rFonts w:hint="eastAsia"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甲方：                                  乙方：</w:t>
      </w:r>
    </w:p>
    <w:p w14:paraId="08F75201">
      <w:pPr>
        <w:shd w:val="clear"/>
        <w:spacing w:line="360" w:lineRule="auto"/>
        <w:ind w:firstLine="200"/>
        <w:rPr>
          <w:rFonts w:hint="eastAsia"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统一社会信用代码：                      统一社会信用代码或身份证号码：</w:t>
      </w:r>
    </w:p>
    <w:p w14:paraId="15B3C554">
      <w:pPr>
        <w:shd w:val="clear"/>
        <w:spacing w:line="360" w:lineRule="auto"/>
        <w:ind w:firstLine="200"/>
        <w:rPr>
          <w:rFonts w:hint="eastAsia" w:ascii="仿宋_GB2312" w:hAnsi="楷体" w:eastAsia="仿宋_GB2312"/>
          <w:color w:val="auto"/>
          <w:sz w:val="24"/>
          <w:highlight w:val="none"/>
          <w:lang w:val="zh-CN"/>
        </w:rPr>
      </w:pPr>
    </w:p>
    <w:p w14:paraId="0EA5E896">
      <w:pPr>
        <w:shd w:val="clear"/>
        <w:spacing w:line="360" w:lineRule="auto"/>
        <w:ind w:firstLine="200"/>
        <w:rPr>
          <w:rFonts w:hint="eastAsia"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住所：                                   住所：</w:t>
      </w:r>
    </w:p>
    <w:p w14:paraId="35F70B14">
      <w:pPr>
        <w:shd w:val="clear"/>
        <w:spacing w:line="360" w:lineRule="auto"/>
        <w:ind w:firstLine="200"/>
        <w:rPr>
          <w:rFonts w:hint="eastAsia"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法定代表人或                             法定代表人</w:t>
      </w:r>
    </w:p>
    <w:p w14:paraId="4C9F1143">
      <w:pPr>
        <w:shd w:val="clear"/>
        <w:spacing w:line="360" w:lineRule="auto"/>
        <w:ind w:firstLine="200"/>
        <w:rPr>
          <w:rFonts w:hint="eastAsia"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 xml:space="preserve">授权代表（签字）：                       或授权代表（签字）： </w:t>
      </w:r>
    </w:p>
    <w:p w14:paraId="6CB8B6D8">
      <w:pPr>
        <w:shd w:val="clear"/>
        <w:spacing w:line="360" w:lineRule="auto"/>
        <w:ind w:firstLine="200"/>
        <w:rPr>
          <w:rFonts w:hint="eastAsia"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联系人：                                 联系人：</w:t>
      </w:r>
    </w:p>
    <w:p w14:paraId="0D873A7D">
      <w:pPr>
        <w:shd w:val="clear"/>
        <w:spacing w:line="360" w:lineRule="auto"/>
        <w:ind w:firstLine="200"/>
        <w:rPr>
          <w:rFonts w:hint="eastAsia"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约定送达地址：                           约定送达地址：</w:t>
      </w:r>
    </w:p>
    <w:p w14:paraId="7E120D56">
      <w:pPr>
        <w:shd w:val="clear"/>
        <w:spacing w:line="360" w:lineRule="auto"/>
        <w:ind w:firstLine="200"/>
        <w:rPr>
          <w:rFonts w:hint="eastAsia"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邮政编码：                               邮政编码：</w:t>
      </w:r>
    </w:p>
    <w:p w14:paraId="0880FA54">
      <w:pPr>
        <w:shd w:val="clear"/>
        <w:spacing w:line="360" w:lineRule="auto"/>
        <w:ind w:firstLine="200"/>
        <w:rPr>
          <w:rFonts w:hint="eastAsia"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 xml:space="preserve">电话：                                    电话： </w:t>
      </w:r>
    </w:p>
    <w:p w14:paraId="0FD953DE">
      <w:pPr>
        <w:shd w:val="clear"/>
        <w:spacing w:line="360" w:lineRule="auto"/>
        <w:ind w:firstLine="200"/>
        <w:rPr>
          <w:rFonts w:hint="eastAsia"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传真：                                    传真：</w:t>
      </w:r>
    </w:p>
    <w:p w14:paraId="37DD87E3">
      <w:pPr>
        <w:shd w:val="clear"/>
        <w:spacing w:line="360" w:lineRule="auto"/>
        <w:ind w:firstLine="200"/>
        <w:rPr>
          <w:rFonts w:hint="eastAsia" w:ascii="仿宋_GB2312" w:hAnsi="楷体" w:eastAsia="仿宋_GB2312"/>
          <w:color w:val="auto"/>
          <w:sz w:val="24"/>
          <w:highlight w:val="none"/>
        </w:rPr>
      </w:pPr>
      <w:r>
        <w:rPr>
          <w:rFonts w:hint="eastAsia" w:ascii="仿宋_GB2312" w:hAnsi="楷体" w:eastAsia="仿宋_GB2312"/>
          <w:color w:val="auto"/>
          <w:sz w:val="24"/>
          <w:highlight w:val="none"/>
          <w:lang w:val="zh-CN"/>
        </w:rPr>
        <w:t>电子邮箱：                               电子邮箱：</w:t>
      </w:r>
    </w:p>
    <w:p w14:paraId="1E1F4711">
      <w:pPr>
        <w:shd w:val="clear"/>
        <w:spacing w:line="360" w:lineRule="auto"/>
        <w:ind w:firstLine="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 xml:space="preserve">开户银行：                               开户银行： </w:t>
      </w:r>
    </w:p>
    <w:p w14:paraId="46484873">
      <w:pPr>
        <w:shd w:val="clear"/>
        <w:spacing w:line="360" w:lineRule="auto"/>
        <w:ind w:firstLine="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 xml:space="preserve">开户名称：                               开户名称： </w:t>
      </w:r>
    </w:p>
    <w:p w14:paraId="7A31B9C0">
      <w:pPr>
        <w:shd w:val="clear"/>
        <w:spacing w:line="360" w:lineRule="auto"/>
        <w:ind w:firstLine="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开户账号：</w:t>
      </w:r>
      <w:r>
        <w:rPr>
          <w:rFonts w:hint="eastAsia" w:ascii="仿宋_GB2312" w:hAnsi="楷体" w:eastAsia="仿宋_GB2312"/>
          <w:color w:val="auto"/>
          <w:sz w:val="24"/>
          <w:highlight w:val="none"/>
          <w:lang w:val="zh-CN"/>
        </w:rPr>
        <w:t xml:space="preserve">                               </w:t>
      </w:r>
      <w:r>
        <w:rPr>
          <w:rFonts w:hint="eastAsia" w:ascii="仿宋_GB2312" w:hAnsi="楷体" w:eastAsia="仿宋_GB2312"/>
          <w:color w:val="auto"/>
          <w:sz w:val="24"/>
          <w:highlight w:val="none"/>
        </w:rPr>
        <w:t>开户账号：</w:t>
      </w:r>
    </w:p>
    <w:p w14:paraId="59F03B72">
      <w:pPr>
        <w:shd w:val="clear"/>
        <w:spacing w:line="360" w:lineRule="auto"/>
        <w:ind w:firstLine="200"/>
        <w:jc w:val="center"/>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br w:type="page"/>
      </w:r>
      <w:r>
        <w:rPr>
          <w:rFonts w:hint="eastAsia" w:ascii="仿宋_GB2312" w:hAnsi="楷体" w:eastAsia="仿宋_GB2312"/>
          <w:b/>
          <w:color w:val="auto"/>
          <w:sz w:val="24"/>
          <w:highlight w:val="none"/>
        </w:rPr>
        <w:t>第二部分 合同一般条款</w:t>
      </w:r>
    </w:p>
    <w:p w14:paraId="5AF3711F">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2.1 定义</w:t>
      </w:r>
    </w:p>
    <w:p w14:paraId="18AAC34A">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本合同中的下列词语应按以下内容进行解释：</w:t>
      </w:r>
    </w:p>
    <w:p w14:paraId="3AC755AC">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2.1.1 “合同”系指采购人和中标人签订的载明双方当事人所达成的协议，并包括所有的附件、附录和构成合同的其他文件。</w:t>
      </w:r>
    </w:p>
    <w:p w14:paraId="3EB1B5D7">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2.1.2 “合同价”系指根据合同约定，中标人在完全履行合同义务后，采购人应支付给中标人的价格。</w:t>
      </w:r>
    </w:p>
    <w:p w14:paraId="55F499C9">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2.1.3 “标的物”系指中标人根据合同约定应向采购人交付的一切各种形态和种类的货物、服务和工程，包括但不限于原材料、燃料、设备、机械、仪表、备件、计算机软件、信息化系统、信息化维保、物业服务、产品等，并包括工具、手册等其他相关资料。</w:t>
      </w:r>
    </w:p>
    <w:p w14:paraId="4ED97E48">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2.1.4 “甲方”系指与中标人签署合同的采购人；采购人委托采购机构代表其与乙方签订合同的，采购人的授权委托书作为合同附件。</w:t>
      </w:r>
    </w:p>
    <w:p w14:paraId="58B3E077">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2.1.5 “乙方”系指根据合同约定交付标的物的中标人；两个以上的自然人、法人或者其他组织组成一个联合体，以一个供应商的身份共同参加政府采购的，联合体各方均应为乙方或者与乙方相同地位的合同当事人，并就合同约定的事项对甲方承担连带责任。</w:t>
      </w:r>
    </w:p>
    <w:p w14:paraId="7F1868B7">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2.1.6 “现场”系指合同约定标的物将要运至或者实施或者安装的地点。</w:t>
      </w:r>
    </w:p>
    <w:p w14:paraId="6DB97942">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2.2 技术规范</w:t>
      </w:r>
    </w:p>
    <w:p w14:paraId="37F2D2B3">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7E2D4731">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2.3 知识产权</w:t>
      </w:r>
    </w:p>
    <w:p w14:paraId="35DC23F0">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5FF593B6">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2.3.2具有知识产权的计算机软件等标的物的知识产权归属，详见</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w:t>
      </w:r>
    </w:p>
    <w:p w14:paraId="10795E05">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2.4 包装和装运</w:t>
      </w:r>
    </w:p>
    <w:p w14:paraId="4599EBE9">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2.4.1除</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另有约定外</w:t>
      </w:r>
      <w:r>
        <w:rPr>
          <w:rFonts w:hint="eastAsia" w:ascii="仿宋_GB2312" w:hAnsi="楷体" w:eastAsia="仿宋_GB2312"/>
          <w:color w:val="auto"/>
          <w:sz w:val="24"/>
          <w:highlight w:val="none"/>
          <w:lang w:eastAsia="zh-CN"/>
        </w:rPr>
        <w:t>，</w:t>
      </w:r>
      <w:r>
        <w:rPr>
          <w:rFonts w:hint="eastAsia" w:ascii="仿宋_GB2312" w:hAnsi="楷体" w:eastAsia="仿宋_GB2312"/>
          <w:color w:val="auto"/>
          <w:sz w:val="24"/>
          <w:highlight w:val="none"/>
        </w:rPr>
        <w:t>乙方交付的全部标的物</w:t>
      </w:r>
      <w:r>
        <w:rPr>
          <w:rFonts w:hint="eastAsia" w:ascii="仿宋_GB2312" w:hAnsi="楷体" w:eastAsia="仿宋_GB2312"/>
          <w:color w:val="auto"/>
          <w:sz w:val="24"/>
          <w:highlight w:val="none"/>
          <w:lang w:eastAsia="zh-CN"/>
        </w:rPr>
        <w:t>，</w:t>
      </w:r>
      <w:r>
        <w:rPr>
          <w:rFonts w:hint="eastAsia" w:ascii="仿宋_GB2312" w:hAnsi="楷体" w:eastAsia="仿宋_GB2312"/>
          <w:color w:val="auto"/>
          <w:sz w:val="24"/>
          <w:highlight w:val="none"/>
        </w:rPr>
        <w:t>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5594E9EC">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2.4.2 装运标的物的要求和通知，详见</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w:t>
      </w:r>
    </w:p>
    <w:p w14:paraId="6AF86884">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2.5 履约检查和问题反馈</w:t>
      </w:r>
    </w:p>
    <w:p w14:paraId="3751EB82">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2.5.1甲方有权在其认为必要时，对乙方是否能够按照合同约定交付标的物进行履约检查，以确保乙方所交付的标的物能够依约满足甲方之项目需求，但不得因履约检查妨碍乙方的正常工作，乙方应予积极配合；</w:t>
      </w:r>
    </w:p>
    <w:p w14:paraId="65BB2A2A">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2.5.2 合同履行期间，甲方有权将履行过程中出现的问题反馈给乙方，双方当事人应以书面形式约定需要完善和改进的内容。</w:t>
      </w:r>
    </w:p>
    <w:p w14:paraId="34AD17C9">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2.6 结算方式和付款条件</w:t>
      </w:r>
    </w:p>
    <w:p w14:paraId="150E044C">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详见</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w:t>
      </w:r>
    </w:p>
    <w:p w14:paraId="6B79F1D8">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2.7 技术资料和保密义务</w:t>
      </w:r>
    </w:p>
    <w:p w14:paraId="41970495">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2.7.1 乙方有权依据合同约定和项目需要，向甲方了解有关情况，调阅有关资料等，甲方应予积极配合；</w:t>
      </w:r>
    </w:p>
    <w:p w14:paraId="098C8A52">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2.7.2 乙方有义务妥善保管和保护由甲方提供的前款信息和资料等；</w:t>
      </w:r>
    </w:p>
    <w:p w14:paraId="1EDE1E80">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07A7C63C">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2.8 质量保证</w:t>
      </w:r>
    </w:p>
    <w:p w14:paraId="695D9C51">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2.8.1 乙方应建立和完善履行合同的内部质量保证体系，并提供相关内部规章制度给甲方，以便甲方进行监督检查；</w:t>
      </w:r>
    </w:p>
    <w:p w14:paraId="5CAD6C96">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2.8.2 乙方应保证履行合同的人员数量和素质、软件和硬件设备的配置、场地、环境和设施等满足全面履行合同的要求，并应接受甲方的监督检查。</w:t>
      </w:r>
    </w:p>
    <w:p w14:paraId="57145F00">
      <w:pPr>
        <w:shd w:val="clear"/>
        <w:spacing w:line="360" w:lineRule="auto"/>
        <w:ind w:firstLine="480" w:firstLineChars="200"/>
        <w:rPr>
          <w:rFonts w:hint="eastAsia" w:ascii="仿宋_GB2312" w:hAnsi="仿宋" w:eastAsia="仿宋_GB2312" w:cs="仿宋_GB2312"/>
          <w:color w:val="auto"/>
          <w:kern w:val="0"/>
          <w:sz w:val="24"/>
          <w:highlight w:val="none"/>
        </w:rPr>
      </w:pPr>
      <w:r>
        <w:rPr>
          <w:rFonts w:hint="eastAsia" w:ascii="仿宋_GB2312" w:hAnsi="仿宋" w:eastAsia="仿宋_GB2312"/>
          <w:color w:val="auto"/>
          <w:sz w:val="24"/>
          <w:highlight w:val="none"/>
        </w:rPr>
        <w:t>2.8.3乙方应确保项目技术人员的数量和水平与投标文件一致。未经甲方书面同意，乙方不得擅自更换投标文件中注明的项目经理和技术负责人。否则</w:t>
      </w:r>
      <w:r>
        <w:rPr>
          <w:rFonts w:hint="eastAsia" w:ascii="仿宋_GB2312" w:hAnsi="仿宋" w:eastAsia="仿宋_GB2312" w:cs="仿宋_GB2312"/>
          <w:color w:val="auto"/>
          <w:kern w:val="0"/>
          <w:sz w:val="24"/>
          <w:highlight w:val="none"/>
        </w:rPr>
        <w:t>甲方有权放弃或终止合同，并没收履约保证金。</w:t>
      </w:r>
    </w:p>
    <w:p w14:paraId="3A6FFFC2">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仿宋" w:eastAsia="仿宋_GB2312"/>
          <w:color w:val="auto"/>
          <w:sz w:val="24"/>
          <w:highlight w:val="none"/>
        </w:rPr>
        <w:t>2.8.4因乙方原因造成甲方其他系统不能正常运行，酿成重大事故（工作日系统中断一天以上）的，乙方应承担全部法律责任，并赔偿经济损失，赔偿金额为项目总价的</w:t>
      </w:r>
      <w:r>
        <w:rPr>
          <w:rFonts w:hint="eastAsia" w:ascii="仿宋_GB2312" w:hAnsi="仿宋" w:eastAsia="仿宋_GB2312"/>
          <w:color w:val="auto"/>
          <w:sz w:val="24"/>
          <w:highlight w:val="none"/>
          <w:u w:val="single"/>
        </w:rPr>
        <w:t xml:space="preserve"> 30% ，</w:t>
      </w:r>
      <w:r>
        <w:rPr>
          <w:rFonts w:hint="eastAsia" w:ascii="仿宋_GB2312" w:hAnsi="楷体" w:eastAsia="仿宋_GB2312"/>
          <w:color w:val="auto"/>
          <w:sz w:val="24"/>
          <w:highlight w:val="none"/>
        </w:rPr>
        <w:t>甲方可从未支付的合同款中扣减赔偿金额</w:t>
      </w:r>
      <w:r>
        <w:rPr>
          <w:rFonts w:hint="eastAsia" w:ascii="仿宋_GB2312" w:hAnsi="仿宋" w:eastAsia="仿宋_GB2312"/>
          <w:color w:val="auto"/>
          <w:sz w:val="24"/>
          <w:highlight w:val="none"/>
        </w:rPr>
        <w:t>。</w:t>
      </w:r>
    </w:p>
    <w:p w14:paraId="3A4E536E">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2.9 标的物的风险负担</w:t>
      </w:r>
    </w:p>
    <w:p w14:paraId="5E42FE71">
      <w:pPr>
        <w:shd w:val="clear"/>
        <w:spacing w:line="360" w:lineRule="auto"/>
        <w:ind w:firstLine="480" w:firstLineChars="200"/>
        <w:rPr>
          <w:rFonts w:hint="eastAsia" w:ascii="仿宋_GB2312" w:hAnsi="楷体" w:eastAsia="仿宋_GB2312"/>
          <w:b/>
          <w:color w:val="auto"/>
          <w:sz w:val="24"/>
          <w:highlight w:val="none"/>
        </w:rPr>
      </w:pPr>
      <w:r>
        <w:rPr>
          <w:rFonts w:hint="eastAsia" w:ascii="仿宋_GB2312" w:hAnsi="楷体" w:eastAsia="仿宋_GB2312"/>
          <w:color w:val="auto"/>
          <w:sz w:val="24"/>
          <w:highlight w:val="none"/>
        </w:rPr>
        <w:t>标的物或者在途标的物或者交付给第一承运人后的标的物毁损、灭失的风险负担详见</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w:t>
      </w:r>
    </w:p>
    <w:p w14:paraId="38320AD3">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2.10 延迟交货/交付</w:t>
      </w:r>
    </w:p>
    <w:p w14:paraId="7D9A66F9">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0C5F2D5C">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2.11 合同变更</w:t>
      </w:r>
    </w:p>
    <w:p w14:paraId="679E7CD5">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3206A9DF">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2.11.2 合同继续履行将损害国家利益和社会公共利益的，双方当事人应当以书面形式变更合同。有过错的一方应当承担赔偿责任，双方当事人都有过错的，各自承担相应的责任。</w:t>
      </w:r>
    </w:p>
    <w:p w14:paraId="2A20E4D2">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2.12 合同转让和分包</w:t>
      </w:r>
    </w:p>
    <w:p w14:paraId="3E461B60">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68D52158">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2.13 不可抗力</w:t>
      </w:r>
    </w:p>
    <w:p w14:paraId="25738694">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2.13.1如果任何一方遭遇法律规定的不可抗力，致使合同履行受阻时，履行合同的期限应予延长，延长的期限应相当于不可抗力所影响的时间；</w:t>
      </w:r>
    </w:p>
    <w:p w14:paraId="3201DB77">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2.13.2受不可抗力影响的一方在不可抗力发生后，应在</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约定时间内以书面形式通知对方当事人，并在</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约定时间内，将有关部门出具的证明文件送达对方当事人。</w:t>
      </w:r>
    </w:p>
    <w:p w14:paraId="534F8B8F">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2.13.3 因不可抗力致使不能实现合同目的的，当事人可以解除合同；</w:t>
      </w:r>
    </w:p>
    <w:p w14:paraId="1D37AD6C">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2.13.4 因不可抗力致使合同有变更必要的，双方当事人应在</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约定时间内以书面形式变更合同；</w:t>
      </w:r>
    </w:p>
    <w:p w14:paraId="5768E8D0">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2.14 税费</w:t>
      </w:r>
    </w:p>
    <w:p w14:paraId="1FEB3A63">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与合同有关的一切税费，均按照中华人民共和国法律的相关规定执行。</w:t>
      </w:r>
    </w:p>
    <w:p w14:paraId="73B09E20">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2.15 乙方破产</w:t>
      </w:r>
    </w:p>
    <w:p w14:paraId="2FB90839">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2E5B8AFA">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2.16 合同中止、终止</w:t>
      </w:r>
    </w:p>
    <w:p w14:paraId="29F97948">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2.16.1 双方当事人不得擅自中止或者终止合同；</w:t>
      </w:r>
    </w:p>
    <w:p w14:paraId="01909E38">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2.16.2合同继续履行将损害国家利益和社会公共利益的，双方当事人应当中止或者终止合同。有过错的一方应当承担赔偿责任，双方当事人都有过错的，各自承担相应的责任。</w:t>
      </w:r>
    </w:p>
    <w:p w14:paraId="42F2F481">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2.17 检验和验收</w:t>
      </w:r>
    </w:p>
    <w:p w14:paraId="63759D0A">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2.17.1标的物交付前，乙方应对标的物的质量、数量等方面进行详细、全面的检验，并向甲方出具证明标的物符合合同约定的文件；标的物交付时，乙方在</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约定时间内组织验收，并可依法邀请相关方参加，验收应出具验收书。</w:t>
      </w:r>
    </w:p>
    <w:p w14:paraId="1F0F555B">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666FBED3">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2.17.3 检验和验收标准、程序等具体内容以及前述验收书的效力详见</w:t>
      </w:r>
      <w:r>
        <w:rPr>
          <w:rFonts w:hint="eastAsia" w:ascii="仿宋_GB2312" w:hAnsi="楷体" w:eastAsia="仿宋_GB2312"/>
          <w:b/>
          <w:i/>
          <w:color w:val="auto"/>
          <w:sz w:val="24"/>
          <w:highlight w:val="none"/>
          <w:u w:val="single"/>
        </w:rPr>
        <w:t>合同专用条款</w:t>
      </w:r>
      <w:r>
        <w:rPr>
          <w:rFonts w:hint="eastAsia" w:ascii="仿宋_GB2312" w:hAnsi="楷体" w:eastAsia="仿宋_GB2312"/>
          <w:i/>
          <w:color w:val="auto"/>
          <w:sz w:val="24"/>
          <w:highlight w:val="none"/>
        </w:rPr>
        <w:t>。</w:t>
      </w:r>
    </w:p>
    <w:p w14:paraId="6075D8E5">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2.18 通知和送达</w:t>
      </w:r>
    </w:p>
    <w:p w14:paraId="7ACF7B2D">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2.18.1 任何一方因履行合同而以合同第一部分尾部所列明的</w:t>
      </w:r>
      <w:r>
        <w:rPr>
          <w:rFonts w:hint="eastAsia" w:ascii="仿宋_GB2312" w:hAnsi="楷体" w:eastAsia="仿宋_GB2312"/>
          <w:color w:val="auto"/>
          <w:sz w:val="24"/>
          <w:highlight w:val="none"/>
          <w:u w:val="single"/>
        </w:rPr>
        <w:t>“约定送达地址”</w:t>
      </w:r>
      <w:r>
        <w:rPr>
          <w:rFonts w:hint="eastAsia" w:ascii="仿宋_GB2312" w:hAnsi="楷体" w:eastAsia="仿宋_GB2312"/>
          <w:color w:val="auto"/>
          <w:sz w:val="24"/>
          <w:highlight w:val="none"/>
        </w:rPr>
        <w:t>为收件地址的所有通知、文件、材料，均视为已向对方当事人送达；任何一方变更上述送达方式或者地址的，应于</w:t>
      </w:r>
      <w:r>
        <w:rPr>
          <w:rFonts w:hint="eastAsia" w:ascii="仿宋_GB2312" w:hAnsi="楷体" w:eastAsia="仿宋_GB2312"/>
          <w:color w:val="auto"/>
          <w:sz w:val="24"/>
          <w:highlight w:val="none"/>
          <w:u w:val="single"/>
        </w:rPr>
        <w:t xml:space="preserve"> 5 </w:t>
      </w:r>
      <w:r>
        <w:rPr>
          <w:rFonts w:hint="eastAsia" w:ascii="仿宋_GB2312" w:hAnsi="楷体" w:eastAsia="仿宋_GB2312"/>
          <w:color w:val="auto"/>
          <w:sz w:val="24"/>
          <w:highlight w:val="none"/>
        </w:rPr>
        <w:t>个工作日内书面通知对方当事人，在对方当事人收到有关变更通知之前，变更前的约定送达方式或者地址仍视为有效。</w:t>
      </w:r>
    </w:p>
    <w:p w14:paraId="3BA52661">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2.18.2以当面交付方式送达的，交付之时视为送达；以电子邮件方式送达的，发出电子邮件之时视为送达；以传真方式送达的，发出传真之时视为送达；以邮寄方式送达的，邮件挂号寄出或者交邮之日之次日视为送达。</w:t>
      </w:r>
    </w:p>
    <w:p w14:paraId="374A9737">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2.19 计量单位</w:t>
      </w:r>
    </w:p>
    <w:p w14:paraId="3A4C59B8">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除技术规范中另有规定外</w:t>
      </w:r>
      <w:r>
        <w:rPr>
          <w:rFonts w:hint="eastAsia" w:ascii="仿宋_GB2312" w:hAnsi="楷体" w:eastAsia="仿宋_GB2312"/>
          <w:color w:val="auto"/>
          <w:sz w:val="24"/>
          <w:highlight w:val="none"/>
          <w:lang w:eastAsia="zh-CN"/>
        </w:rPr>
        <w:t>，</w:t>
      </w:r>
      <w:r>
        <w:rPr>
          <w:rFonts w:hint="eastAsia" w:ascii="仿宋_GB2312" w:hAnsi="楷体" w:eastAsia="仿宋_GB2312"/>
          <w:color w:val="auto"/>
          <w:sz w:val="24"/>
          <w:highlight w:val="none"/>
        </w:rPr>
        <w:t>合同的计量单位均使用国家法定计量单位。</w:t>
      </w:r>
    </w:p>
    <w:p w14:paraId="1CE33A29">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2.20 合同使用的文字和适用的法律</w:t>
      </w:r>
    </w:p>
    <w:p w14:paraId="6BFEC03F">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2.20.1 合同使用汉语书就、变更和解释；</w:t>
      </w:r>
    </w:p>
    <w:p w14:paraId="1D00DB60">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2.20.2 合同适用中华人民共和国法律。</w:t>
      </w:r>
    </w:p>
    <w:p w14:paraId="4656248A">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2.21 履约保证金</w:t>
      </w:r>
    </w:p>
    <w:p w14:paraId="223939B1">
      <w:pPr>
        <w:shd w:val="clear"/>
        <w:spacing w:line="360" w:lineRule="auto"/>
        <w:ind w:firstLine="480" w:firstLineChars="200"/>
        <w:rPr>
          <w:rFonts w:hint="eastAsia" w:ascii="仿宋_GB2312" w:hAnsi="仿宋" w:eastAsia="仿宋_GB2312" w:cs="Arial"/>
          <w:snapToGrid w:val="0"/>
          <w:color w:val="auto"/>
          <w:kern w:val="0"/>
          <w:sz w:val="24"/>
          <w:highlight w:val="none"/>
        </w:rPr>
      </w:pPr>
      <w:r>
        <w:rPr>
          <w:rFonts w:hint="eastAsia" w:ascii="仿宋_GB2312" w:hAnsi="楷体" w:eastAsia="仿宋_GB2312"/>
          <w:color w:val="auto"/>
          <w:sz w:val="24"/>
          <w:highlight w:val="none"/>
        </w:rPr>
        <w:t>本项目不收取履约保证金</w:t>
      </w:r>
    </w:p>
    <w:p w14:paraId="0EFDD262">
      <w:pPr>
        <w:shd w:val="clear"/>
        <w:spacing w:line="360" w:lineRule="auto"/>
        <w:ind w:firstLine="482" w:firstLineChars="200"/>
        <w:rPr>
          <w:rFonts w:hint="eastAsia" w:ascii="仿宋_GB2312" w:hAnsi="仿宋" w:eastAsia="仿宋_GB2312"/>
          <w:color w:val="auto"/>
          <w:kern w:val="0"/>
          <w:sz w:val="24"/>
          <w:highlight w:val="none"/>
          <w:lang w:val="zh-CN"/>
        </w:rPr>
      </w:pPr>
      <w:r>
        <w:rPr>
          <w:rFonts w:hint="eastAsia" w:ascii="仿宋_GB2312" w:hAnsi="楷体" w:eastAsia="仿宋_GB2312"/>
          <w:b/>
          <w:color w:val="auto"/>
          <w:sz w:val="24"/>
          <w:highlight w:val="none"/>
        </w:rPr>
        <w:t>2.22 中小企业政策</w:t>
      </w:r>
    </w:p>
    <w:p w14:paraId="037D0D53">
      <w:pPr>
        <w:shd w:val="clear"/>
        <w:spacing w:line="360" w:lineRule="auto"/>
        <w:ind w:firstLine="480" w:firstLineChars="200"/>
        <w:rPr>
          <w:rFonts w:hint="eastAsia" w:ascii="仿宋_GB2312" w:hAnsi="仿宋" w:eastAsia="仿宋_GB2312"/>
          <w:color w:val="auto"/>
          <w:kern w:val="0"/>
          <w:sz w:val="24"/>
          <w:highlight w:val="none"/>
          <w:lang w:val="zh-CN"/>
        </w:rPr>
      </w:pPr>
      <w:r>
        <w:rPr>
          <w:rFonts w:hint="eastAsia" w:ascii="仿宋_GB2312" w:hAnsi="仿宋" w:eastAsia="仿宋_GB2312"/>
          <w:color w:val="auto"/>
          <w:kern w:val="0"/>
          <w:sz w:val="24"/>
          <w:highlight w:val="none"/>
          <w:lang w:val="zh-CN"/>
        </w:rPr>
        <w:t xml:space="preserve">2.22.1本合同（□是  </w:t>
      </w:r>
      <w:r>
        <w:rPr>
          <w:rFonts w:hint="eastAsia" w:ascii="仿宋_GB2312" w:hAnsi="宋体" w:eastAsia="仿宋_GB2312"/>
          <w:color w:val="auto"/>
          <w:sz w:val="24"/>
          <w:highlight w:val="none"/>
        </w:rPr>
        <w:sym w:font="Wingdings 2" w:char="F052"/>
      </w:r>
      <w:r>
        <w:rPr>
          <w:rFonts w:hint="eastAsia" w:ascii="仿宋_GB2312" w:hAnsi="仿宋" w:eastAsia="仿宋_GB2312"/>
          <w:color w:val="auto"/>
          <w:kern w:val="0"/>
          <w:sz w:val="24"/>
          <w:highlight w:val="none"/>
          <w:lang w:val="zh-CN"/>
        </w:rPr>
        <w:t>否）为中小企业“政采贷”可融资合同，关于中小企业信用融资事项见采购文件“投标人须知正文”。</w:t>
      </w:r>
    </w:p>
    <w:p w14:paraId="3BD2CC7A">
      <w:pPr>
        <w:shd w:val="clear"/>
        <w:spacing w:line="360" w:lineRule="auto"/>
        <w:ind w:firstLine="480" w:firstLineChars="200"/>
        <w:rPr>
          <w:rFonts w:hint="eastAsia" w:ascii="仿宋_GB2312" w:hAnsi="仿宋" w:eastAsia="仿宋_GB2312"/>
          <w:color w:val="auto"/>
          <w:kern w:val="0"/>
          <w:sz w:val="24"/>
          <w:highlight w:val="none"/>
          <w:lang w:val="zh-CN"/>
        </w:rPr>
      </w:pPr>
      <w:r>
        <w:rPr>
          <w:rFonts w:hint="eastAsia" w:ascii="仿宋_GB2312" w:hAnsi="仿宋" w:eastAsia="仿宋_GB2312"/>
          <w:color w:val="auto"/>
          <w:kern w:val="0"/>
          <w:sz w:val="24"/>
          <w:highlight w:val="none"/>
          <w:lang w:val="zh-CN"/>
        </w:rPr>
        <w:t xml:space="preserve">2.22.2本合同（□是  </w:t>
      </w:r>
      <w:r>
        <w:rPr>
          <w:rFonts w:hint="eastAsia" w:ascii="仿宋_GB2312" w:hAnsi="宋体" w:eastAsia="仿宋_GB2312"/>
          <w:color w:val="auto"/>
          <w:sz w:val="24"/>
          <w:highlight w:val="none"/>
        </w:rPr>
        <w:sym w:font="Wingdings 2" w:char="F052"/>
      </w:r>
      <w:r>
        <w:rPr>
          <w:rFonts w:hint="eastAsia" w:ascii="仿宋_GB2312" w:hAnsi="仿宋" w:eastAsia="仿宋_GB2312"/>
          <w:color w:val="auto"/>
          <w:kern w:val="0"/>
          <w:sz w:val="24"/>
          <w:highlight w:val="none"/>
          <w:lang w:val="zh-CN"/>
        </w:rPr>
        <w:t>否）为中小企业预留合同。</w:t>
      </w:r>
    </w:p>
    <w:p w14:paraId="72E13D13">
      <w:pPr>
        <w:shd w:val="clear"/>
        <w:spacing w:line="360" w:lineRule="auto"/>
        <w:ind w:firstLine="482" w:firstLineChars="200"/>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2.23 合同份数</w:t>
      </w:r>
    </w:p>
    <w:p w14:paraId="4035CFDA">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宋体" w:eastAsia="仿宋_GB2312"/>
          <w:color w:val="auto"/>
          <w:sz w:val="24"/>
          <w:highlight w:val="none"/>
        </w:rPr>
        <w:t>本合同壹式</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u w:val="single"/>
          <w:lang w:val="en-US" w:eastAsia="zh-CN"/>
        </w:rPr>
        <w:t>伍</w:t>
      </w:r>
      <w:r>
        <w:rPr>
          <w:rFonts w:hint="eastAsia" w:ascii="仿宋_GB2312" w:hAnsi="仿宋" w:eastAsia="仿宋_GB2312"/>
          <w:color w:val="auto"/>
          <w:sz w:val="24"/>
          <w:highlight w:val="none"/>
          <w:u w:val="single"/>
        </w:rPr>
        <w:t xml:space="preserve"> </w:t>
      </w:r>
      <w:r>
        <w:rPr>
          <w:rFonts w:hint="eastAsia" w:ascii="仿宋_GB2312" w:hAnsi="宋体" w:eastAsia="仿宋_GB2312"/>
          <w:color w:val="auto"/>
          <w:sz w:val="24"/>
          <w:highlight w:val="none"/>
        </w:rPr>
        <w:t>份，甲方执</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u w:val="single"/>
          <w:lang w:val="en-US" w:eastAsia="zh-CN"/>
        </w:rPr>
        <w:t>贰</w:t>
      </w:r>
      <w:r>
        <w:rPr>
          <w:rFonts w:hint="eastAsia" w:ascii="仿宋_GB2312" w:hAnsi="仿宋" w:eastAsia="仿宋_GB2312"/>
          <w:color w:val="auto"/>
          <w:sz w:val="24"/>
          <w:highlight w:val="none"/>
          <w:u w:val="single"/>
        </w:rPr>
        <w:t xml:space="preserve"> </w:t>
      </w:r>
      <w:r>
        <w:rPr>
          <w:rFonts w:hint="eastAsia" w:ascii="仿宋_GB2312" w:hAnsi="宋体" w:eastAsia="仿宋_GB2312"/>
          <w:color w:val="auto"/>
          <w:sz w:val="24"/>
          <w:highlight w:val="none"/>
        </w:rPr>
        <w:t>份，乙方执</w:t>
      </w:r>
      <w:r>
        <w:rPr>
          <w:rFonts w:hint="eastAsia" w:ascii="仿宋_GB2312" w:hAnsi="仿宋" w:eastAsia="仿宋_GB2312"/>
          <w:color w:val="auto"/>
          <w:sz w:val="24"/>
          <w:highlight w:val="none"/>
          <w:u w:val="single"/>
        </w:rPr>
        <w:t xml:space="preserve"> </w:t>
      </w:r>
      <w:r>
        <w:rPr>
          <w:rFonts w:hint="eastAsia" w:ascii="仿宋_GB2312" w:hAnsi="仿宋" w:eastAsia="仿宋_GB2312"/>
          <w:color w:val="auto"/>
          <w:sz w:val="24"/>
          <w:highlight w:val="none"/>
          <w:u w:val="single"/>
          <w:lang w:val="en-US" w:eastAsia="zh-CN"/>
        </w:rPr>
        <w:t>贰</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份，代理机构执</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u w:val="single"/>
          <w:lang w:val="en-US" w:eastAsia="zh-CN"/>
        </w:rPr>
        <w:t>壹</w:t>
      </w:r>
      <w:r>
        <w:rPr>
          <w:rFonts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份。</w:t>
      </w:r>
      <w:r>
        <w:rPr>
          <w:rFonts w:hint="eastAsia" w:ascii="仿宋_GB2312" w:hAnsi="楷体" w:eastAsia="仿宋_GB2312"/>
          <w:color w:val="auto"/>
          <w:sz w:val="24"/>
          <w:highlight w:val="none"/>
        </w:rPr>
        <w:t>每份均具有同等法律效力。</w:t>
      </w:r>
    </w:p>
    <w:p w14:paraId="6E8EF9F2">
      <w:pPr>
        <w:shd w:val="clear"/>
        <w:spacing w:line="360" w:lineRule="auto"/>
        <w:jc w:val="center"/>
        <w:rPr>
          <w:rFonts w:hint="eastAsia" w:ascii="仿宋_GB2312" w:hAnsi="楷体" w:eastAsia="仿宋_GB2312"/>
          <w:b/>
          <w:color w:val="auto"/>
          <w:sz w:val="24"/>
          <w:highlight w:val="none"/>
        </w:rPr>
      </w:pPr>
      <w:r>
        <w:rPr>
          <w:rFonts w:hint="eastAsia" w:ascii="仿宋_GB2312" w:hAnsi="楷体" w:eastAsia="仿宋_GB2312"/>
          <w:color w:val="auto"/>
          <w:sz w:val="24"/>
          <w:highlight w:val="none"/>
        </w:rPr>
        <w:br w:type="page"/>
      </w:r>
      <w:r>
        <w:rPr>
          <w:rFonts w:hint="eastAsia" w:ascii="仿宋_GB2312" w:hAnsi="楷体" w:eastAsia="仿宋_GB2312"/>
          <w:b/>
          <w:color w:val="auto"/>
          <w:sz w:val="24"/>
          <w:highlight w:val="none"/>
        </w:rPr>
        <w:t>第三部分  合同专用条款</w:t>
      </w:r>
    </w:p>
    <w:p w14:paraId="2A6FAF0B">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p w14:paraId="040E332B">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3.1具有知识产权的标的物知识产权归属：</w:t>
      </w:r>
    </w:p>
    <w:p w14:paraId="2F22E4BC">
      <w:pPr>
        <w:shd w:val="clear"/>
        <w:spacing w:line="360" w:lineRule="auto"/>
        <w:ind w:firstLine="480" w:firstLineChars="200"/>
        <w:rPr>
          <w:rFonts w:hint="eastAsia" w:ascii="仿宋_GB2312" w:hAnsi="楷体" w:eastAsia="仿宋_GB2312"/>
          <w:color w:val="auto"/>
          <w:sz w:val="24"/>
          <w:highlight w:val="none"/>
          <w:u w:val="single"/>
        </w:rPr>
      </w:pPr>
      <w:r>
        <w:rPr>
          <w:rFonts w:hint="eastAsia" w:ascii="仿宋_GB2312" w:hAnsi="楷体" w:eastAsia="仿宋_GB2312"/>
          <w:color w:val="auto"/>
          <w:sz w:val="24"/>
          <w:highlight w:val="none"/>
          <w:u w:val="single"/>
        </w:rPr>
        <w:t xml:space="preserve">                                                                           </w:t>
      </w:r>
    </w:p>
    <w:p w14:paraId="79507EEA">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3.2包装和装运专用条款（如果有）：</w:t>
      </w:r>
    </w:p>
    <w:p w14:paraId="1C867DBB">
      <w:pPr>
        <w:shd w:val="clear"/>
        <w:spacing w:line="360" w:lineRule="auto"/>
        <w:ind w:firstLine="480" w:firstLineChars="200"/>
        <w:rPr>
          <w:rFonts w:hint="eastAsia" w:ascii="仿宋_GB2312" w:hAnsi="楷体" w:eastAsia="仿宋_GB2312"/>
          <w:color w:val="auto"/>
          <w:sz w:val="24"/>
          <w:highlight w:val="none"/>
          <w:u w:val="single"/>
        </w:rPr>
      </w:pPr>
      <w:r>
        <w:rPr>
          <w:rFonts w:hint="eastAsia" w:ascii="仿宋_GB2312" w:hAnsi="楷体" w:eastAsia="仿宋_GB2312"/>
          <w:color w:val="auto"/>
          <w:sz w:val="24"/>
          <w:highlight w:val="none"/>
          <w:u w:val="single"/>
        </w:rPr>
        <w:t xml:space="preserve">                                                                           </w:t>
      </w:r>
    </w:p>
    <w:p w14:paraId="20223995">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3.3装运标的物的要求和通知：</w:t>
      </w:r>
    </w:p>
    <w:p w14:paraId="247E3363">
      <w:pPr>
        <w:shd w:val="clear"/>
        <w:spacing w:line="360" w:lineRule="auto"/>
        <w:ind w:firstLine="480" w:firstLineChars="200"/>
        <w:rPr>
          <w:rFonts w:hint="eastAsia" w:ascii="仿宋_GB2312" w:hAnsi="楷体" w:eastAsia="仿宋_GB2312"/>
          <w:color w:val="auto"/>
          <w:sz w:val="24"/>
          <w:highlight w:val="none"/>
          <w:u w:val="single"/>
        </w:rPr>
      </w:pPr>
      <w:r>
        <w:rPr>
          <w:rFonts w:hint="eastAsia" w:ascii="仿宋_GB2312" w:hAnsi="楷体" w:eastAsia="仿宋_GB2312"/>
          <w:color w:val="auto"/>
          <w:sz w:val="24"/>
          <w:highlight w:val="none"/>
          <w:u w:val="single"/>
        </w:rPr>
        <w:t xml:space="preserve">                                                                           </w:t>
      </w:r>
    </w:p>
    <w:p w14:paraId="51D40347">
      <w:pPr>
        <w:shd w:val="clear"/>
        <w:spacing w:line="360" w:lineRule="auto"/>
        <w:ind w:firstLine="480" w:firstLineChars="200"/>
        <w:rPr>
          <w:rFonts w:hint="eastAsia" w:ascii="仿宋_GB2312" w:hAnsi="楷体" w:eastAsia="仿宋_GB2312"/>
          <w:b/>
          <w:color w:val="auto"/>
          <w:sz w:val="24"/>
          <w:highlight w:val="none"/>
        </w:rPr>
      </w:pPr>
      <w:r>
        <w:rPr>
          <w:rFonts w:hint="eastAsia" w:ascii="仿宋_GB2312" w:hAnsi="楷体" w:eastAsia="仿宋_GB2312"/>
          <w:color w:val="auto"/>
          <w:sz w:val="24"/>
          <w:highlight w:val="none"/>
        </w:rPr>
        <w:t>3.4</w:t>
      </w:r>
      <w:r>
        <w:rPr>
          <w:rFonts w:hint="eastAsia" w:ascii="仿宋_GB2312" w:hAnsi="楷体" w:eastAsia="仿宋_GB2312"/>
          <w:b/>
          <w:color w:val="auto"/>
          <w:sz w:val="24"/>
          <w:highlight w:val="none"/>
        </w:rPr>
        <w:t>结算方式和付款条件</w:t>
      </w:r>
    </w:p>
    <w:p w14:paraId="14B76CB6">
      <w:pPr>
        <w:shd w:val="clear"/>
        <w:spacing w:line="360" w:lineRule="auto"/>
        <w:ind w:firstLine="480" w:firstLineChars="200"/>
        <w:rPr>
          <w:rFonts w:hint="eastAsia" w:ascii="仿宋_GB2312" w:eastAsia="仿宋_GB2312" w:cs="仿宋_GB2312"/>
          <w:color w:val="auto"/>
          <w:kern w:val="0"/>
          <w:sz w:val="24"/>
          <w:highlight w:val="none"/>
          <w:lang w:val="zh-CN"/>
        </w:rPr>
      </w:pPr>
      <w:r>
        <w:rPr>
          <w:rFonts w:hint="eastAsia" w:ascii="仿宋_GB2312" w:eastAsia="仿宋_GB2312" w:cs="仿宋_GB2312"/>
          <w:color w:val="auto"/>
          <w:kern w:val="0"/>
          <w:sz w:val="24"/>
          <w:highlight w:val="none"/>
          <w:lang w:val="zh-CN"/>
        </w:rPr>
        <w:t>本次项目合同总价为大写人民币</w:t>
      </w:r>
      <w:r>
        <w:rPr>
          <w:rFonts w:hint="eastAsia" w:ascii="仿宋_GB2312" w:eastAsia="仿宋_GB2312" w:cs="仿宋_GB2312"/>
          <w:color w:val="auto"/>
          <w:kern w:val="0"/>
          <w:sz w:val="24"/>
          <w:highlight w:val="none"/>
          <w:u w:val="single"/>
          <w:lang w:val="zh-CN"/>
        </w:rPr>
        <w:t xml:space="preserve">            （</w:t>
      </w:r>
      <w:r>
        <w:rPr>
          <w:rFonts w:hint="eastAsia" w:ascii="仿宋_GB2312" w:eastAsia="仿宋_GB2312" w:cs="仿宋_GB2312"/>
          <w:color w:val="auto"/>
          <w:kern w:val="0"/>
          <w:sz w:val="24"/>
          <w:highlight w:val="none"/>
          <w:lang w:val="zh-CN"/>
        </w:rPr>
        <w:t>¥</w:t>
      </w:r>
      <w:r>
        <w:rPr>
          <w:rFonts w:hint="eastAsia" w:ascii="仿宋_GB2312" w:eastAsia="仿宋_GB2312" w:cs="仿宋_GB2312"/>
          <w:color w:val="auto"/>
          <w:kern w:val="0"/>
          <w:sz w:val="24"/>
          <w:highlight w:val="none"/>
          <w:u w:val="single"/>
          <w:lang w:val="zh-CN"/>
        </w:rPr>
        <w:t xml:space="preserve">    </w:t>
      </w:r>
      <w:r>
        <w:rPr>
          <w:rFonts w:hint="eastAsia" w:ascii="仿宋_GB2312" w:eastAsia="仿宋_GB2312" w:cs="仿宋_GB2312"/>
          <w:color w:val="auto"/>
          <w:kern w:val="0"/>
          <w:sz w:val="24"/>
          <w:highlight w:val="none"/>
          <w:lang w:val="zh-CN"/>
        </w:rPr>
        <w:t>元）。本项目采用以下勾选结算方式进行支付：</w:t>
      </w:r>
    </w:p>
    <w:p w14:paraId="55FB73D4">
      <w:pPr>
        <w:shd w:val="clear"/>
        <w:spacing w:line="360" w:lineRule="auto"/>
        <w:ind w:firstLine="480" w:firstLineChars="200"/>
        <w:rPr>
          <w:rFonts w:hint="eastAsia" w:ascii="仿宋_GB2312" w:eastAsia="仿宋_GB2312" w:cs="仿宋_GB2312"/>
          <w:color w:val="auto"/>
          <w:kern w:val="0"/>
          <w:sz w:val="24"/>
          <w:highlight w:val="none"/>
          <w:u w:val="single"/>
        </w:rPr>
      </w:pPr>
      <w:r>
        <w:rPr>
          <w:rFonts w:hint="eastAsia" w:ascii="仿宋_GB2312" w:eastAsia="仿宋_GB2312" w:cs="仿宋_GB2312"/>
          <w:color w:val="auto"/>
          <w:kern w:val="0"/>
          <w:sz w:val="24"/>
          <w:highlight w:val="none"/>
          <w:lang w:val="zh-CN"/>
        </w:rPr>
        <w:t>□采用一次性支付方式，付款条件为：</w:t>
      </w:r>
      <w:r>
        <w:rPr>
          <w:rFonts w:hint="eastAsia" w:ascii="仿宋_GB2312" w:eastAsia="仿宋_GB2312" w:cs="仿宋_GB2312"/>
          <w:color w:val="auto"/>
          <w:kern w:val="0"/>
          <w:sz w:val="24"/>
          <w:highlight w:val="none"/>
          <w:u w:val="single"/>
        </w:rPr>
        <w:t xml:space="preserve">           </w:t>
      </w:r>
    </w:p>
    <w:p w14:paraId="76A852E7">
      <w:pPr>
        <w:shd w:val="clear"/>
        <w:spacing w:line="360" w:lineRule="auto"/>
        <w:ind w:firstLine="480" w:firstLineChars="200"/>
        <w:rPr>
          <w:rFonts w:hint="eastAsia" w:ascii="仿宋_GB2312" w:eastAsia="仿宋_GB2312" w:cs="仿宋_GB2312"/>
          <w:color w:val="auto"/>
          <w:kern w:val="0"/>
          <w:sz w:val="24"/>
          <w:highlight w:val="none"/>
        </w:rPr>
      </w:pPr>
      <w:r>
        <w:rPr>
          <w:rFonts w:hint="eastAsia" w:ascii="仿宋_GB2312" w:hAnsi="宋体" w:eastAsia="仿宋_GB2312"/>
          <w:color w:val="auto"/>
          <w:sz w:val="24"/>
          <w:highlight w:val="none"/>
        </w:rPr>
        <w:sym w:font="Wingdings 2" w:char="00A3"/>
      </w:r>
      <w:r>
        <w:rPr>
          <w:rFonts w:hint="eastAsia" w:ascii="仿宋_GB2312" w:eastAsia="仿宋_GB2312" w:cs="仿宋_GB2312"/>
          <w:color w:val="auto"/>
          <w:kern w:val="0"/>
          <w:sz w:val="24"/>
          <w:highlight w:val="none"/>
          <w:lang w:val="zh-CN"/>
        </w:rPr>
        <w:t>采用分期付款方式，付款条件为</w:t>
      </w:r>
      <w:r>
        <w:rPr>
          <w:rFonts w:hint="eastAsia" w:ascii="仿宋_GB2312" w:eastAsia="仿宋_GB2312" w:cs="仿宋_GB2312"/>
          <w:color w:val="auto"/>
          <w:kern w:val="0"/>
          <w:sz w:val="24"/>
          <w:highlight w:val="none"/>
        </w:rPr>
        <w:t>：</w:t>
      </w:r>
    </w:p>
    <w:p w14:paraId="3F19D3A6">
      <w:pPr>
        <w:shd w:val="clear"/>
        <w:spacing w:line="360" w:lineRule="auto"/>
        <w:ind w:firstLine="480" w:firstLineChars="200"/>
        <w:rPr>
          <w:rFonts w:hint="eastAsia" w:ascii="仿宋_GB2312" w:eastAsia="仿宋_GB2312" w:cs="仿宋_GB2312"/>
          <w:color w:val="auto"/>
          <w:kern w:val="0"/>
          <w:sz w:val="24"/>
          <w:highlight w:val="none"/>
        </w:rPr>
      </w:pPr>
      <w:r>
        <w:rPr>
          <w:rFonts w:hint="eastAsia" w:ascii="仿宋_GB2312" w:eastAsia="仿宋_GB2312" w:cs="仿宋_GB2312"/>
          <w:color w:val="auto"/>
          <w:kern w:val="0"/>
          <w:sz w:val="24"/>
          <w:highlight w:val="none"/>
        </w:rPr>
        <w:t>甲方收到乙方等额合法有效的增值税普通发票后通过银行转账方式向乙方支付合同款：</w:t>
      </w:r>
    </w:p>
    <w:p w14:paraId="3EEB3F96">
      <w:pPr>
        <w:shd w:val="clear"/>
        <w:spacing w:line="360" w:lineRule="auto"/>
        <w:ind w:firstLine="480" w:firstLineChars="200"/>
        <w:rPr>
          <w:rFonts w:hint="eastAsia" w:ascii="仿宋_GB2312" w:hAnsi="楷体" w:eastAsia="仿宋_GB2312"/>
          <w:color w:val="auto"/>
          <w:sz w:val="24"/>
          <w:highlight w:val="none"/>
          <w:u w:val="single"/>
        </w:rPr>
      </w:pPr>
      <w:r>
        <w:rPr>
          <w:rFonts w:hint="eastAsia" w:ascii="仿宋_GB2312" w:hAnsi="楷体" w:eastAsia="仿宋_GB2312"/>
          <w:color w:val="auto"/>
          <w:sz w:val="24"/>
          <w:highlight w:val="none"/>
          <w:u w:val="single"/>
        </w:rPr>
        <w:t xml:space="preserve"> </w:t>
      </w:r>
      <w:r>
        <w:rPr>
          <w:rFonts w:ascii="仿宋_GB2312" w:hAnsi="楷体" w:eastAsia="仿宋_GB2312"/>
          <w:color w:val="auto"/>
          <w:sz w:val="24"/>
          <w:highlight w:val="none"/>
          <w:u w:val="single"/>
        </w:rPr>
        <w:t xml:space="preserve">                                                                     </w:t>
      </w:r>
    </w:p>
    <w:p w14:paraId="5799E0A0">
      <w:pPr>
        <w:shd w:val="clear"/>
        <w:spacing w:line="360" w:lineRule="auto"/>
        <w:ind w:firstLine="480" w:firstLineChars="200"/>
        <w:rPr>
          <w:rFonts w:hint="eastAsia" w:ascii="仿宋_GB2312" w:hAnsi="仿宋" w:eastAsia="仿宋_GB2312"/>
          <w:color w:val="auto"/>
          <w:sz w:val="24"/>
          <w:highlight w:val="none"/>
          <w:lang w:val="zh-CN"/>
        </w:rPr>
      </w:pPr>
      <w:r>
        <w:rPr>
          <w:rFonts w:hint="eastAsia" w:ascii="仿宋_GB2312" w:hAnsi="仿宋" w:eastAsia="仿宋_GB2312"/>
          <w:color w:val="auto"/>
          <w:sz w:val="24"/>
          <w:highlight w:val="none"/>
        </w:rPr>
        <w:t>甲方无故逾期支付服务费用的，按照每逾期一日支付欠付服务费额度的</w:t>
      </w:r>
      <w:r>
        <w:rPr>
          <w:rFonts w:hint="eastAsia" w:ascii="仿宋_GB2312" w:hAnsi="仿宋" w:eastAsia="仿宋_GB2312"/>
          <w:color w:val="auto"/>
          <w:sz w:val="24"/>
          <w:highlight w:val="none"/>
          <w:u w:val="single"/>
        </w:rPr>
        <w:t xml:space="preserve"> 万分之五 </w:t>
      </w:r>
      <w:r>
        <w:rPr>
          <w:rFonts w:hint="eastAsia" w:ascii="仿宋_GB2312" w:hAnsi="仿宋" w:eastAsia="仿宋_GB2312"/>
          <w:color w:val="auto"/>
          <w:sz w:val="24"/>
          <w:highlight w:val="none"/>
        </w:rPr>
        <w:t>承担违约责任，违约金上限按照《合同书》约定执行。</w:t>
      </w:r>
    </w:p>
    <w:p w14:paraId="3389C2BB">
      <w:pPr>
        <w:shd w:val="clear"/>
        <w:spacing w:line="360" w:lineRule="auto"/>
        <w:ind w:firstLine="480" w:firstLineChars="200"/>
        <w:rPr>
          <w:rFonts w:hint="eastAsia" w:ascii="仿宋_GB2312" w:hAnsi="楷体" w:eastAsia="仿宋_GB2312"/>
          <w:b/>
          <w:color w:val="auto"/>
          <w:sz w:val="24"/>
          <w:highlight w:val="none"/>
        </w:rPr>
      </w:pPr>
      <w:r>
        <w:rPr>
          <w:rFonts w:hint="eastAsia" w:ascii="仿宋_GB2312" w:hAnsi="楷体" w:eastAsia="仿宋_GB2312"/>
          <w:color w:val="auto"/>
          <w:sz w:val="24"/>
          <w:highlight w:val="none"/>
        </w:rPr>
        <w:t>3.5</w:t>
      </w:r>
      <w:r>
        <w:rPr>
          <w:rFonts w:hint="eastAsia" w:ascii="仿宋_GB2312" w:hAnsi="楷体" w:eastAsia="仿宋_GB2312"/>
          <w:b/>
          <w:color w:val="auto"/>
          <w:sz w:val="24"/>
          <w:highlight w:val="none"/>
        </w:rPr>
        <w:t>标的物的风险负担</w:t>
      </w:r>
    </w:p>
    <w:p w14:paraId="79997AEC">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标的物或者在途标的物或者交付给第一承运人后的标的物毁损、灭失的风险负担：</w:t>
      </w:r>
    </w:p>
    <w:p w14:paraId="45D4467C">
      <w:pPr>
        <w:shd w:val="clear"/>
        <w:spacing w:line="360" w:lineRule="auto"/>
        <w:ind w:firstLine="480" w:firstLineChars="200"/>
        <w:rPr>
          <w:rFonts w:hint="eastAsia" w:ascii="仿宋_GB2312" w:hAnsi="楷体" w:eastAsia="仿宋_GB2312"/>
          <w:color w:val="auto"/>
          <w:sz w:val="24"/>
          <w:highlight w:val="none"/>
          <w:u w:val="single"/>
        </w:rPr>
      </w:pPr>
      <w:r>
        <w:rPr>
          <w:rFonts w:hint="eastAsia" w:ascii="仿宋_GB2312" w:hAnsi="楷体" w:eastAsia="仿宋_GB2312"/>
          <w:color w:val="auto"/>
          <w:sz w:val="24"/>
          <w:highlight w:val="none"/>
          <w:u w:val="single"/>
        </w:rPr>
        <w:t xml:space="preserve">乙方                                                                       </w:t>
      </w:r>
    </w:p>
    <w:p w14:paraId="5AE866A8">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3.5.1受不可抗力影响的一方在不可抗力发生后，应在</w:t>
      </w:r>
      <w:r>
        <w:rPr>
          <w:rFonts w:hint="eastAsia" w:ascii="仿宋_GB2312" w:hAnsi="楷体" w:eastAsia="仿宋_GB2312"/>
          <w:color w:val="auto"/>
          <w:sz w:val="24"/>
          <w:highlight w:val="none"/>
          <w:u w:val="single"/>
        </w:rPr>
        <w:t xml:space="preserve"> 5个</w:t>
      </w:r>
      <w:r>
        <w:rPr>
          <w:rFonts w:hint="eastAsia" w:ascii="仿宋_GB2312" w:hAnsi="楷体" w:eastAsia="仿宋_GB2312"/>
          <w:color w:val="auto"/>
          <w:sz w:val="24"/>
          <w:highlight w:val="none"/>
          <w:u w:val="single"/>
          <w:lang w:eastAsia="zh-CN"/>
        </w:rPr>
        <w:t>工作日</w:t>
      </w:r>
      <w:r>
        <w:rPr>
          <w:rFonts w:hint="eastAsia" w:ascii="仿宋_GB2312" w:hAnsi="楷体" w:eastAsia="仿宋_GB2312"/>
          <w:color w:val="auto"/>
          <w:sz w:val="24"/>
          <w:highlight w:val="none"/>
        </w:rPr>
        <w:t>内以书面形式通知对方当事人，并将有关部门出具的证明文件送达对方当事人。</w:t>
      </w:r>
    </w:p>
    <w:p w14:paraId="79E6D499">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3.5.2因不可抗力致使合同有变更必要的，双方当事人应在</w:t>
      </w:r>
      <w:r>
        <w:rPr>
          <w:rFonts w:hint="eastAsia" w:ascii="仿宋_GB2312" w:hAnsi="楷体" w:eastAsia="仿宋_GB2312"/>
          <w:color w:val="auto"/>
          <w:sz w:val="24"/>
          <w:highlight w:val="none"/>
          <w:u w:val="single"/>
        </w:rPr>
        <w:t xml:space="preserve"> 5个</w:t>
      </w:r>
      <w:r>
        <w:rPr>
          <w:rFonts w:hint="eastAsia" w:ascii="仿宋_GB2312" w:hAnsi="楷体" w:eastAsia="仿宋_GB2312"/>
          <w:color w:val="auto"/>
          <w:sz w:val="24"/>
          <w:highlight w:val="none"/>
          <w:u w:val="single"/>
          <w:lang w:eastAsia="zh-CN"/>
        </w:rPr>
        <w:t>工作日</w:t>
      </w:r>
      <w:r>
        <w:rPr>
          <w:rFonts w:hint="eastAsia" w:ascii="仿宋_GB2312" w:hAnsi="楷体" w:eastAsia="仿宋_GB2312"/>
          <w:color w:val="auto"/>
          <w:sz w:val="24"/>
          <w:highlight w:val="none"/>
        </w:rPr>
        <w:t>内以书面形式变更合同；</w:t>
      </w:r>
    </w:p>
    <w:p w14:paraId="082B33EA">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3.5.3标的物交付前，乙方应对标的物的质量、数量等方面进行详细、全面的检验，并向甲方出具证明标的物符合合同约定的文件；标的物交付时，甲方在</w:t>
      </w:r>
      <w:r>
        <w:rPr>
          <w:rFonts w:hint="eastAsia" w:ascii="仿宋_GB2312" w:hAnsi="楷体" w:eastAsia="仿宋_GB2312"/>
          <w:color w:val="auto"/>
          <w:sz w:val="24"/>
          <w:highlight w:val="none"/>
          <w:u w:val="single"/>
        </w:rPr>
        <w:t xml:space="preserve"> 4个</w:t>
      </w:r>
      <w:r>
        <w:rPr>
          <w:rFonts w:hint="eastAsia" w:ascii="仿宋_GB2312" w:hAnsi="楷体" w:eastAsia="仿宋_GB2312"/>
          <w:color w:val="auto"/>
          <w:sz w:val="24"/>
          <w:highlight w:val="none"/>
          <w:u w:val="single"/>
          <w:lang w:eastAsia="zh-CN"/>
        </w:rPr>
        <w:t>工作日</w:t>
      </w:r>
      <w:r>
        <w:rPr>
          <w:rFonts w:hint="eastAsia" w:ascii="仿宋_GB2312" w:hAnsi="楷体" w:eastAsia="仿宋_GB2312"/>
          <w:color w:val="auto"/>
          <w:sz w:val="24"/>
          <w:highlight w:val="none"/>
        </w:rPr>
        <w:t>内发起验收，并可依法邀请相关方参加，验收应出具验收书。</w:t>
      </w:r>
    </w:p>
    <w:p w14:paraId="542F7CBF">
      <w:pPr>
        <w:shd w:val="clea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3.5.4 检验和验收标准、程序等具体内容以及前述验收书的效力：</w:t>
      </w:r>
    </w:p>
    <w:p w14:paraId="5457454D">
      <w:pPr>
        <w:shd w:val="clear"/>
        <w:spacing w:line="360" w:lineRule="auto"/>
        <w:ind w:firstLine="480" w:firstLineChars="200"/>
        <w:rPr>
          <w:rFonts w:hint="eastAsia" w:ascii="仿宋_GB2312" w:hAnsi="楷体" w:eastAsia="仿宋_GB2312"/>
          <w:color w:val="auto"/>
          <w:sz w:val="24"/>
          <w:highlight w:val="none"/>
          <w:u w:val="single"/>
        </w:rPr>
      </w:pPr>
      <w:r>
        <w:rPr>
          <w:rFonts w:hint="eastAsia" w:ascii="仿宋_GB2312" w:hAnsi="楷体" w:eastAsia="仿宋_GB2312"/>
          <w:color w:val="auto"/>
          <w:sz w:val="24"/>
          <w:highlight w:val="none"/>
          <w:u w:val="single"/>
        </w:rPr>
        <w:t xml:space="preserve">                                                                           </w:t>
      </w:r>
    </w:p>
    <w:p w14:paraId="000BEEE0">
      <w:pPr>
        <w:shd w:val="clear"/>
        <w:spacing w:line="360" w:lineRule="auto"/>
        <w:ind w:firstLine="480" w:firstLineChars="200"/>
        <w:rPr>
          <w:rFonts w:hint="eastAsia" w:ascii="仿宋_GB2312" w:hAnsi="楷体" w:eastAsia="仿宋_GB2312"/>
          <w:color w:val="auto"/>
          <w:sz w:val="24"/>
          <w:highlight w:val="none"/>
          <w:u w:val="single"/>
        </w:rPr>
      </w:pPr>
      <w:r>
        <w:rPr>
          <w:rFonts w:hint="eastAsia" w:ascii="仿宋_GB2312" w:hAnsi="楷体" w:eastAsia="仿宋_GB2312"/>
          <w:color w:val="auto"/>
          <w:sz w:val="24"/>
          <w:highlight w:val="none"/>
        </w:rPr>
        <w:t>3.5.5 其他：</w:t>
      </w:r>
      <w:r>
        <w:rPr>
          <w:rFonts w:hint="eastAsia" w:ascii="仿宋_GB2312" w:hAnsi="楷体" w:eastAsia="仿宋_GB2312"/>
          <w:color w:val="auto"/>
          <w:sz w:val="24"/>
          <w:highlight w:val="none"/>
          <w:u w:val="single"/>
        </w:rPr>
        <w:t xml:space="preserve">                                                               </w:t>
      </w:r>
    </w:p>
    <w:p w14:paraId="7791F99C">
      <w:pPr>
        <w:shd w:val="clear"/>
        <w:spacing w:line="360" w:lineRule="auto"/>
        <w:ind w:firstLine="480" w:firstLineChars="200"/>
        <w:rPr>
          <w:rFonts w:hint="eastAsia" w:ascii="仿宋_GB2312" w:hAnsi="仿宋" w:eastAsia="仿宋_GB2312" w:cs="仿宋"/>
          <w:b/>
          <w:color w:val="auto"/>
          <w:sz w:val="24"/>
          <w:highlight w:val="none"/>
        </w:rPr>
      </w:pPr>
      <w:r>
        <w:rPr>
          <w:rFonts w:hint="eastAsia" w:ascii="仿宋_GB2312" w:hAnsi="楷体" w:eastAsia="仿宋_GB2312"/>
          <w:color w:val="auto"/>
          <w:sz w:val="24"/>
          <w:highlight w:val="none"/>
        </w:rPr>
        <w:t>3.6</w:t>
      </w:r>
      <w:r>
        <w:rPr>
          <w:rFonts w:hint="eastAsia" w:ascii="仿宋_GB2312" w:hAnsi="仿宋" w:eastAsia="仿宋_GB2312" w:cs="仿宋"/>
          <w:b/>
          <w:color w:val="auto"/>
          <w:sz w:val="24"/>
          <w:highlight w:val="none"/>
        </w:rPr>
        <w:t>项目验收：</w:t>
      </w:r>
    </w:p>
    <w:p w14:paraId="6F4D475B">
      <w:pPr>
        <w:shd w:val="clear"/>
        <w:tabs>
          <w:tab w:val="left" w:pos="904"/>
        </w:tabs>
        <w:snapToGrid w:val="0"/>
        <w:spacing w:line="360" w:lineRule="auto"/>
        <w:ind w:firstLine="480" w:firstLineChars="200"/>
        <w:jc w:val="left"/>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3.6.1甲方参照《南宁市政府采购供应商履约验收评价管理办法》（南财采</w:t>
      </w:r>
      <w:r>
        <w:rPr>
          <w:rFonts w:hint="eastAsia" w:ascii="仿宋_GB2312" w:hAnsi="仿宋" w:eastAsia="仿宋_GB2312" w:cs="仿宋"/>
          <w:color w:val="auto"/>
          <w:kern w:val="0"/>
          <w:sz w:val="24"/>
          <w:highlight w:val="none"/>
          <w:lang w:eastAsia="zh-CN"/>
        </w:rPr>
        <w:t>〔2019〕217号</w:t>
      </w:r>
      <w:r>
        <w:rPr>
          <w:rFonts w:hint="eastAsia" w:ascii="仿宋_GB2312" w:hAnsi="仿宋" w:eastAsia="仿宋_GB2312" w:cs="仿宋"/>
          <w:color w:val="auto"/>
          <w:kern w:val="0"/>
          <w:sz w:val="24"/>
          <w:highlight w:val="none"/>
        </w:rPr>
        <w:t>）规定组织对乙方履约的验收。验收方成员应当在验收书上签字，并承担相应的法律责任。如果发现与合同中要求不符，乙方须承担由此发生的一切损失和费用，并接受相应的处理。</w:t>
      </w:r>
    </w:p>
    <w:p w14:paraId="35BC15ED">
      <w:pPr>
        <w:shd w:val="clear"/>
        <w:tabs>
          <w:tab w:val="left" w:pos="904"/>
        </w:tabs>
        <w:snapToGrid w:val="0"/>
        <w:spacing w:line="360" w:lineRule="auto"/>
        <w:ind w:firstLine="480" w:firstLineChars="200"/>
        <w:jc w:val="left"/>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3.6.2严格按照采购合同开展履约验收。甲方成立验收小组，按照采购合同的约定对供应商履约情况进行验收，验收时，按照采购合同的约定对每一项技术、服务、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34F20AD1">
      <w:pPr>
        <w:shd w:val="clear"/>
        <w:tabs>
          <w:tab w:val="left" w:pos="904"/>
        </w:tabs>
        <w:snapToGrid w:val="0"/>
        <w:spacing w:line="360" w:lineRule="auto"/>
        <w:ind w:firstLine="480" w:firstLineChars="200"/>
        <w:jc w:val="left"/>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3.6.3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6BBF472C">
      <w:pPr>
        <w:shd w:val="clear"/>
        <w:tabs>
          <w:tab w:val="left" w:pos="904"/>
        </w:tabs>
        <w:snapToGrid w:val="0"/>
        <w:spacing w:line="360" w:lineRule="auto"/>
        <w:ind w:firstLine="480" w:firstLineChars="200"/>
        <w:jc w:val="left"/>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3.6.4验收产生的费用由乙方承担。</w:t>
      </w:r>
    </w:p>
    <w:p w14:paraId="154F4A79">
      <w:pPr>
        <w:shd w:val="clear"/>
        <w:tabs>
          <w:tab w:val="left" w:pos="904"/>
        </w:tabs>
        <w:snapToGrid w:val="0"/>
        <w:spacing w:line="360" w:lineRule="auto"/>
        <w:ind w:firstLine="480" w:firstLineChars="200"/>
        <w:jc w:val="left"/>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3.6.5验收内容及资料要求：</w:t>
      </w:r>
    </w:p>
    <w:p w14:paraId="39C1D5D5">
      <w:pPr>
        <w:shd w:val="clear"/>
        <w:tabs>
          <w:tab w:val="left" w:pos="904"/>
        </w:tabs>
        <w:snapToGrid w:val="0"/>
        <w:spacing w:line="360" w:lineRule="auto"/>
        <w:ind w:firstLine="480" w:firstLineChars="200"/>
        <w:jc w:val="left"/>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lang w:eastAsia="zh-CN"/>
        </w:rPr>
        <w:t>根据</w:t>
      </w:r>
      <w:r>
        <w:rPr>
          <w:rFonts w:hint="eastAsia" w:ascii="仿宋_GB2312" w:hAnsi="仿宋" w:eastAsia="仿宋_GB2312" w:cs="仿宋"/>
          <w:color w:val="auto"/>
          <w:kern w:val="0"/>
          <w:sz w:val="24"/>
          <w:highlight w:val="none"/>
        </w:rPr>
        <w:t>采购文件确定的技术指标或者服务要求确定验收指标和标准。未进行相应约定的，应当符合国家强制性规定、政策要求、安全标准、行业或企业有关标准等。</w:t>
      </w:r>
    </w:p>
    <w:p w14:paraId="186AF9A4">
      <w:pPr>
        <w:shd w:val="clear"/>
        <w:tabs>
          <w:tab w:val="left" w:pos="904"/>
        </w:tabs>
        <w:snapToGrid w:val="0"/>
        <w:spacing w:line="360" w:lineRule="auto"/>
        <w:ind w:firstLine="480" w:firstLineChars="200"/>
        <w:jc w:val="left"/>
        <w:rPr>
          <w:rFonts w:hint="eastAsia" w:ascii="仿宋_GB2312" w:hAnsi="仿宋" w:eastAsia="仿宋_GB2312" w:cs="仿宋"/>
          <w:color w:val="auto"/>
          <w:sz w:val="24"/>
          <w:highlight w:val="none"/>
        </w:rPr>
      </w:pPr>
      <w:r>
        <w:rPr>
          <w:rFonts w:hint="eastAsia" w:ascii="仿宋_GB2312" w:hAnsi="仿宋" w:eastAsia="仿宋_GB2312" w:cs="仿宋"/>
          <w:color w:val="auto"/>
          <w:kern w:val="0"/>
          <w:sz w:val="24"/>
          <w:highlight w:val="none"/>
        </w:rPr>
        <w:t>3.6.6</w:t>
      </w:r>
      <w:r>
        <w:rPr>
          <w:rFonts w:hint="eastAsia" w:ascii="仿宋_GB2312" w:hAnsi="仿宋" w:eastAsia="仿宋_GB2312" w:cs="仿宋"/>
          <w:color w:val="auto"/>
          <w:sz w:val="24"/>
          <w:highlight w:val="none"/>
        </w:rPr>
        <w:t>验收内容</w:t>
      </w:r>
    </w:p>
    <w:tbl>
      <w:tblPr>
        <w:tblStyle w:val="33"/>
        <w:tblW w:w="49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2550"/>
        <w:gridCol w:w="6005"/>
      </w:tblGrid>
      <w:tr w14:paraId="1B657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0" w:type="pct"/>
            <w:tcBorders>
              <w:top w:val="single" w:color="auto" w:sz="4" w:space="0"/>
              <w:left w:val="single" w:color="auto" w:sz="4" w:space="0"/>
              <w:bottom w:val="single" w:color="auto" w:sz="4" w:space="0"/>
              <w:right w:val="single" w:color="auto" w:sz="4" w:space="0"/>
            </w:tcBorders>
            <w:noWrap w:val="0"/>
            <w:vAlign w:val="center"/>
          </w:tcPr>
          <w:p w14:paraId="45AAC346">
            <w:pPr>
              <w:widowControl/>
              <w:shd w:val="clear"/>
              <w:spacing w:line="360" w:lineRule="auto"/>
              <w:jc w:val="center"/>
              <w:rPr>
                <w:rFonts w:hint="eastAsia" w:ascii="仿宋_GB2312" w:hAnsi="仿宋" w:eastAsia="仿宋_GB2312" w:cs="仿宋"/>
                <w:bCs/>
                <w:color w:val="auto"/>
                <w:kern w:val="0"/>
                <w:sz w:val="24"/>
                <w:highlight w:val="none"/>
              </w:rPr>
            </w:pPr>
            <w:r>
              <w:rPr>
                <w:rFonts w:hint="eastAsia" w:ascii="仿宋_GB2312" w:hAnsi="仿宋" w:eastAsia="仿宋_GB2312" w:cs="仿宋"/>
                <w:bCs/>
                <w:color w:val="auto"/>
                <w:kern w:val="0"/>
                <w:sz w:val="24"/>
                <w:highlight w:val="none"/>
              </w:rPr>
              <w:t>序号</w:t>
            </w:r>
          </w:p>
        </w:tc>
        <w:tc>
          <w:tcPr>
            <w:tcW w:w="1320" w:type="pct"/>
            <w:tcBorders>
              <w:top w:val="single" w:color="auto" w:sz="4" w:space="0"/>
              <w:left w:val="single" w:color="auto" w:sz="4" w:space="0"/>
              <w:bottom w:val="single" w:color="auto" w:sz="4" w:space="0"/>
              <w:right w:val="single" w:color="auto" w:sz="4" w:space="0"/>
            </w:tcBorders>
            <w:noWrap w:val="0"/>
            <w:vAlign w:val="center"/>
          </w:tcPr>
          <w:p w14:paraId="7D0DAA74">
            <w:pPr>
              <w:widowControl/>
              <w:shd w:val="clear"/>
              <w:spacing w:line="360" w:lineRule="auto"/>
              <w:jc w:val="center"/>
              <w:rPr>
                <w:rFonts w:hint="eastAsia" w:ascii="仿宋_GB2312" w:hAnsi="仿宋" w:eastAsia="仿宋_GB2312" w:cs="仿宋"/>
                <w:bCs/>
                <w:color w:val="auto"/>
                <w:kern w:val="0"/>
                <w:sz w:val="24"/>
                <w:highlight w:val="none"/>
              </w:rPr>
            </w:pPr>
            <w:r>
              <w:rPr>
                <w:rFonts w:hint="eastAsia" w:ascii="仿宋_GB2312" w:hAnsi="仿宋" w:eastAsia="仿宋_GB2312" w:cs="仿宋"/>
                <w:bCs/>
                <w:color w:val="auto"/>
                <w:kern w:val="0"/>
                <w:sz w:val="24"/>
                <w:highlight w:val="none"/>
              </w:rPr>
              <w:t>验收内容</w:t>
            </w:r>
          </w:p>
        </w:tc>
        <w:tc>
          <w:tcPr>
            <w:tcW w:w="3108" w:type="pct"/>
            <w:tcBorders>
              <w:top w:val="single" w:color="auto" w:sz="4" w:space="0"/>
              <w:left w:val="single" w:color="auto" w:sz="4" w:space="0"/>
              <w:bottom w:val="single" w:color="auto" w:sz="4" w:space="0"/>
              <w:right w:val="single" w:color="auto" w:sz="4" w:space="0"/>
            </w:tcBorders>
            <w:noWrap w:val="0"/>
            <w:vAlign w:val="center"/>
          </w:tcPr>
          <w:p w14:paraId="27DAAA30">
            <w:pPr>
              <w:widowControl/>
              <w:shd w:val="clear"/>
              <w:spacing w:line="360" w:lineRule="auto"/>
              <w:jc w:val="center"/>
              <w:rPr>
                <w:rFonts w:hint="eastAsia" w:ascii="仿宋_GB2312" w:hAnsi="仿宋" w:eastAsia="仿宋_GB2312" w:cs="仿宋"/>
                <w:bCs/>
                <w:color w:val="auto"/>
                <w:kern w:val="0"/>
                <w:sz w:val="24"/>
                <w:highlight w:val="none"/>
              </w:rPr>
            </w:pPr>
            <w:r>
              <w:rPr>
                <w:rFonts w:hint="eastAsia" w:ascii="仿宋_GB2312" w:hAnsi="仿宋" w:eastAsia="仿宋_GB2312" w:cs="仿宋"/>
                <w:bCs/>
                <w:color w:val="auto"/>
                <w:kern w:val="0"/>
                <w:sz w:val="24"/>
                <w:highlight w:val="none"/>
              </w:rPr>
              <w:t>验收标准</w:t>
            </w:r>
          </w:p>
        </w:tc>
      </w:tr>
      <w:tr w14:paraId="0322C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0" w:type="pct"/>
            <w:tcBorders>
              <w:top w:val="single" w:color="auto" w:sz="4" w:space="0"/>
              <w:left w:val="single" w:color="auto" w:sz="4" w:space="0"/>
              <w:bottom w:val="single" w:color="auto" w:sz="4" w:space="0"/>
              <w:right w:val="single" w:color="auto" w:sz="4" w:space="0"/>
            </w:tcBorders>
            <w:noWrap w:val="0"/>
            <w:vAlign w:val="center"/>
          </w:tcPr>
          <w:p w14:paraId="60A32229">
            <w:pPr>
              <w:widowControl/>
              <w:shd w:val="clear"/>
              <w:spacing w:line="360" w:lineRule="auto"/>
              <w:jc w:val="center"/>
              <w:rPr>
                <w:rFonts w:hint="eastAsia" w:ascii="仿宋_GB2312" w:hAnsi="仿宋" w:eastAsia="仿宋_GB2312" w:cs="仿宋"/>
                <w:bCs/>
                <w:color w:val="auto"/>
                <w:kern w:val="0"/>
                <w:sz w:val="24"/>
                <w:highlight w:val="none"/>
              </w:rPr>
            </w:pPr>
            <w:r>
              <w:rPr>
                <w:rFonts w:hint="eastAsia" w:ascii="仿宋_GB2312" w:hAnsi="仿宋" w:eastAsia="仿宋_GB2312" w:cs="仿宋"/>
                <w:bCs/>
                <w:color w:val="auto"/>
                <w:kern w:val="0"/>
                <w:sz w:val="24"/>
                <w:highlight w:val="none"/>
              </w:rPr>
              <w:t>1</w:t>
            </w:r>
          </w:p>
        </w:tc>
        <w:tc>
          <w:tcPr>
            <w:tcW w:w="1320" w:type="pct"/>
            <w:tcBorders>
              <w:top w:val="single" w:color="auto" w:sz="4" w:space="0"/>
              <w:left w:val="single" w:color="auto" w:sz="4" w:space="0"/>
              <w:bottom w:val="single" w:color="auto" w:sz="4" w:space="0"/>
              <w:right w:val="single" w:color="auto" w:sz="4" w:space="0"/>
            </w:tcBorders>
            <w:noWrap w:val="0"/>
            <w:vAlign w:val="center"/>
          </w:tcPr>
          <w:p w14:paraId="71B02F02">
            <w:pPr>
              <w:widowControl/>
              <w:shd w:val="clear"/>
              <w:spacing w:line="360" w:lineRule="auto"/>
              <w:rPr>
                <w:rFonts w:hint="eastAsia" w:ascii="仿宋_GB2312" w:hAnsi="仿宋" w:eastAsia="仿宋_GB2312" w:cs="仿宋"/>
                <w:bCs/>
                <w:color w:val="auto"/>
                <w:kern w:val="0"/>
                <w:sz w:val="24"/>
                <w:highlight w:val="none"/>
              </w:rPr>
            </w:pPr>
            <w:r>
              <w:rPr>
                <w:rFonts w:hint="eastAsia" w:ascii="仿宋_GB2312" w:hAnsi="仿宋" w:eastAsia="仿宋_GB2312" w:cs="仿宋"/>
                <w:bCs/>
                <w:color w:val="auto"/>
                <w:kern w:val="0"/>
                <w:sz w:val="24"/>
                <w:highlight w:val="none"/>
              </w:rPr>
              <w:t>交付标的物数量</w:t>
            </w:r>
          </w:p>
        </w:tc>
        <w:tc>
          <w:tcPr>
            <w:tcW w:w="3108" w:type="pct"/>
            <w:tcBorders>
              <w:top w:val="single" w:color="auto" w:sz="4" w:space="0"/>
              <w:left w:val="single" w:color="auto" w:sz="4" w:space="0"/>
              <w:bottom w:val="single" w:color="auto" w:sz="4" w:space="0"/>
              <w:right w:val="single" w:color="auto" w:sz="4" w:space="0"/>
            </w:tcBorders>
            <w:noWrap w:val="0"/>
            <w:vAlign w:val="center"/>
          </w:tcPr>
          <w:p w14:paraId="6B62CAF4">
            <w:pPr>
              <w:widowControl/>
              <w:shd w:val="clear"/>
              <w:spacing w:line="360" w:lineRule="auto"/>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按项目采购文件要求和投标（响应）文件执行。</w:t>
            </w:r>
          </w:p>
        </w:tc>
      </w:tr>
      <w:tr w14:paraId="66984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0" w:type="pct"/>
            <w:tcBorders>
              <w:top w:val="single" w:color="auto" w:sz="4" w:space="0"/>
              <w:left w:val="single" w:color="auto" w:sz="4" w:space="0"/>
              <w:bottom w:val="single" w:color="auto" w:sz="4" w:space="0"/>
              <w:right w:val="single" w:color="auto" w:sz="4" w:space="0"/>
            </w:tcBorders>
            <w:noWrap w:val="0"/>
            <w:vAlign w:val="center"/>
          </w:tcPr>
          <w:p w14:paraId="73A28115">
            <w:pPr>
              <w:widowControl/>
              <w:shd w:val="clear"/>
              <w:spacing w:line="360" w:lineRule="auto"/>
              <w:jc w:val="center"/>
              <w:rPr>
                <w:rFonts w:hint="eastAsia" w:ascii="仿宋_GB2312" w:hAnsi="仿宋" w:eastAsia="仿宋_GB2312" w:cs="仿宋"/>
                <w:bCs/>
                <w:color w:val="auto"/>
                <w:kern w:val="0"/>
                <w:sz w:val="24"/>
                <w:highlight w:val="none"/>
              </w:rPr>
            </w:pPr>
            <w:r>
              <w:rPr>
                <w:rFonts w:hint="eastAsia" w:ascii="仿宋_GB2312" w:hAnsi="仿宋" w:eastAsia="仿宋_GB2312" w:cs="仿宋"/>
                <w:bCs/>
                <w:color w:val="auto"/>
                <w:kern w:val="0"/>
                <w:sz w:val="24"/>
                <w:highlight w:val="none"/>
              </w:rPr>
              <w:t>2</w:t>
            </w:r>
          </w:p>
        </w:tc>
        <w:tc>
          <w:tcPr>
            <w:tcW w:w="1320" w:type="pct"/>
            <w:tcBorders>
              <w:top w:val="single" w:color="auto" w:sz="4" w:space="0"/>
              <w:left w:val="single" w:color="auto" w:sz="4" w:space="0"/>
              <w:bottom w:val="single" w:color="auto" w:sz="4" w:space="0"/>
              <w:right w:val="single" w:color="auto" w:sz="4" w:space="0"/>
            </w:tcBorders>
            <w:noWrap w:val="0"/>
            <w:vAlign w:val="center"/>
          </w:tcPr>
          <w:p w14:paraId="27D07046">
            <w:pPr>
              <w:widowControl/>
              <w:shd w:val="clear"/>
              <w:spacing w:line="360" w:lineRule="auto"/>
              <w:rPr>
                <w:rFonts w:hint="eastAsia" w:ascii="仿宋_GB2312" w:hAnsi="仿宋" w:eastAsia="仿宋_GB2312" w:cs="仿宋"/>
                <w:bCs/>
                <w:color w:val="auto"/>
                <w:kern w:val="0"/>
                <w:sz w:val="24"/>
                <w:highlight w:val="none"/>
              </w:rPr>
            </w:pPr>
            <w:r>
              <w:rPr>
                <w:rFonts w:hint="eastAsia" w:ascii="仿宋_GB2312" w:hAnsi="仿宋" w:eastAsia="仿宋_GB2312" w:cs="仿宋"/>
                <w:bCs/>
                <w:color w:val="auto"/>
                <w:kern w:val="0"/>
                <w:sz w:val="24"/>
                <w:highlight w:val="none"/>
              </w:rPr>
              <w:t>交付标的物质量</w:t>
            </w:r>
          </w:p>
        </w:tc>
        <w:tc>
          <w:tcPr>
            <w:tcW w:w="3108" w:type="pct"/>
            <w:tcBorders>
              <w:top w:val="single" w:color="auto" w:sz="4" w:space="0"/>
              <w:left w:val="single" w:color="auto" w:sz="4" w:space="0"/>
              <w:bottom w:val="single" w:color="auto" w:sz="4" w:space="0"/>
              <w:right w:val="single" w:color="auto" w:sz="4" w:space="0"/>
            </w:tcBorders>
            <w:noWrap w:val="0"/>
            <w:vAlign w:val="center"/>
          </w:tcPr>
          <w:p w14:paraId="05033E2B">
            <w:pPr>
              <w:widowControl/>
              <w:shd w:val="clear"/>
              <w:spacing w:line="360" w:lineRule="auto"/>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按项目采购文件要求和投标（响应）文件执行。</w:t>
            </w:r>
          </w:p>
        </w:tc>
      </w:tr>
      <w:tr w14:paraId="1BBD4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0" w:type="pct"/>
            <w:tcBorders>
              <w:top w:val="single" w:color="auto" w:sz="4" w:space="0"/>
              <w:left w:val="single" w:color="auto" w:sz="4" w:space="0"/>
              <w:bottom w:val="single" w:color="auto" w:sz="4" w:space="0"/>
              <w:right w:val="single" w:color="auto" w:sz="4" w:space="0"/>
            </w:tcBorders>
            <w:noWrap w:val="0"/>
            <w:vAlign w:val="center"/>
          </w:tcPr>
          <w:p w14:paraId="7E4CC0BB">
            <w:pPr>
              <w:widowControl/>
              <w:shd w:val="clear"/>
              <w:spacing w:line="360" w:lineRule="auto"/>
              <w:jc w:val="center"/>
              <w:rPr>
                <w:rFonts w:hint="eastAsia" w:ascii="仿宋_GB2312" w:hAnsi="仿宋" w:eastAsia="仿宋_GB2312" w:cs="仿宋"/>
                <w:bCs/>
                <w:color w:val="auto"/>
                <w:kern w:val="0"/>
                <w:sz w:val="24"/>
                <w:highlight w:val="none"/>
              </w:rPr>
            </w:pPr>
            <w:r>
              <w:rPr>
                <w:rFonts w:hint="eastAsia" w:ascii="仿宋_GB2312" w:hAnsi="仿宋" w:eastAsia="仿宋_GB2312" w:cs="仿宋"/>
                <w:bCs/>
                <w:color w:val="auto"/>
                <w:kern w:val="0"/>
                <w:sz w:val="24"/>
                <w:highlight w:val="none"/>
              </w:rPr>
              <w:t>3</w:t>
            </w:r>
          </w:p>
        </w:tc>
        <w:tc>
          <w:tcPr>
            <w:tcW w:w="1320" w:type="pct"/>
            <w:tcBorders>
              <w:top w:val="single" w:color="auto" w:sz="4" w:space="0"/>
              <w:left w:val="single" w:color="auto" w:sz="4" w:space="0"/>
              <w:bottom w:val="single" w:color="auto" w:sz="4" w:space="0"/>
              <w:right w:val="single" w:color="auto" w:sz="4" w:space="0"/>
            </w:tcBorders>
            <w:noWrap w:val="0"/>
            <w:vAlign w:val="center"/>
          </w:tcPr>
          <w:p w14:paraId="67C34CF5">
            <w:pPr>
              <w:shd w:val="clear"/>
              <w:spacing w:line="360" w:lineRule="auto"/>
              <w:rPr>
                <w:rFonts w:hint="eastAsia" w:ascii="仿宋_GB2312" w:hAnsi="仿宋" w:eastAsia="仿宋_GB2312" w:cs="仿宋"/>
                <w:bCs/>
                <w:color w:val="auto"/>
                <w:kern w:val="0"/>
                <w:sz w:val="24"/>
                <w:highlight w:val="none"/>
              </w:rPr>
            </w:pPr>
            <w:r>
              <w:rPr>
                <w:rFonts w:hint="eastAsia" w:ascii="仿宋_GB2312" w:hAnsi="仿宋" w:eastAsia="仿宋_GB2312" w:cs="仿宋"/>
                <w:bCs/>
                <w:color w:val="auto"/>
                <w:kern w:val="0"/>
                <w:sz w:val="24"/>
                <w:highlight w:val="none"/>
              </w:rPr>
              <w:t xml:space="preserve">交付标的物技术、性能指标 </w:t>
            </w:r>
          </w:p>
        </w:tc>
        <w:tc>
          <w:tcPr>
            <w:tcW w:w="3108" w:type="pct"/>
            <w:tcBorders>
              <w:top w:val="single" w:color="auto" w:sz="4" w:space="0"/>
              <w:left w:val="single" w:color="auto" w:sz="4" w:space="0"/>
              <w:bottom w:val="single" w:color="auto" w:sz="4" w:space="0"/>
              <w:right w:val="single" w:color="auto" w:sz="4" w:space="0"/>
            </w:tcBorders>
            <w:noWrap w:val="0"/>
            <w:vAlign w:val="center"/>
          </w:tcPr>
          <w:p w14:paraId="04362342">
            <w:pPr>
              <w:shd w:val="clear"/>
              <w:spacing w:line="360" w:lineRule="auto"/>
              <w:jc w:val="left"/>
              <w:rPr>
                <w:rFonts w:hint="eastAsia" w:ascii="仿宋_GB2312" w:hAnsi="仿宋" w:eastAsia="仿宋_GB2312" w:cs="仿宋"/>
                <w:color w:val="auto"/>
                <w:sz w:val="24"/>
                <w:highlight w:val="none"/>
              </w:rPr>
            </w:pPr>
            <w:r>
              <w:rPr>
                <w:rFonts w:hint="eastAsia" w:ascii="仿宋_GB2312" w:hAnsi="仿宋" w:eastAsia="仿宋_GB2312" w:cs="仿宋"/>
                <w:color w:val="auto"/>
                <w:kern w:val="0"/>
                <w:sz w:val="24"/>
                <w:highlight w:val="none"/>
              </w:rPr>
              <w:t>按项目采购文件要求和投标（响应）文件执行。</w:t>
            </w:r>
          </w:p>
        </w:tc>
      </w:tr>
      <w:tr w14:paraId="79E29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0" w:type="pct"/>
            <w:tcBorders>
              <w:top w:val="single" w:color="auto" w:sz="4" w:space="0"/>
              <w:left w:val="single" w:color="auto" w:sz="4" w:space="0"/>
              <w:bottom w:val="single" w:color="auto" w:sz="4" w:space="0"/>
              <w:right w:val="single" w:color="auto" w:sz="4" w:space="0"/>
            </w:tcBorders>
            <w:noWrap w:val="0"/>
            <w:vAlign w:val="center"/>
          </w:tcPr>
          <w:p w14:paraId="3120E817">
            <w:pPr>
              <w:widowControl/>
              <w:shd w:val="clear"/>
              <w:spacing w:line="360" w:lineRule="auto"/>
              <w:jc w:val="center"/>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4</w:t>
            </w:r>
          </w:p>
        </w:tc>
        <w:tc>
          <w:tcPr>
            <w:tcW w:w="1320" w:type="pct"/>
            <w:tcBorders>
              <w:top w:val="single" w:color="auto" w:sz="4" w:space="0"/>
              <w:left w:val="single" w:color="auto" w:sz="4" w:space="0"/>
              <w:bottom w:val="single" w:color="auto" w:sz="4" w:space="0"/>
              <w:right w:val="single" w:color="auto" w:sz="4" w:space="0"/>
            </w:tcBorders>
            <w:noWrap w:val="0"/>
            <w:vAlign w:val="center"/>
          </w:tcPr>
          <w:p w14:paraId="095CF2CF">
            <w:pPr>
              <w:shd w:val="clear"/>
              <w:spacing w:line="360" w:lineRule="auto"/>
              <w:rPr>
                <w:rFonts w:hint="eastAsia" w:ascii="仿宋_GB2312" w:hAnsi="仿宋" w:eastAsia="仿宋_GB2312" w:cs="仿宋"/>
                <w:color w:val="auto"/>
                <w:sz w:val="24"/>
                <w:highlight w:val="none"/>
              </w:rPr>
            </w:pPr>
            <w:r>
              <w:rPr>
                <w:rFonts w:hint="eastAsia" w:ascii="仿宋_GB2312" w:hAnsi="仿宋" w:eastAsia="仿宋_GB2312" w:cs="仿宋"/>
                <w:color w:val="auto"/>
                <w:sz w:val="24"/>
                <w:highlight w:val="none"/>
              </w:rPr>
              <w:t>售后服务承诺</w:t>
            </w:r>
          </w:p>
        </w:tc>
        <w:tc>
          <w:tcPr>
            <w:tcW w:w="3108" w:type="pct"/>
            <w:tcBorders>
              <w:top w:val="single" w:color="auto" w:sz="4" w:space="0"/>
              <w:left w:val="single" w:color="auto" w:sz="4" w:space="0"/>
              <w:bottom w:val="single" w:color="auto" w:sz="4" w:space="0"/>
              <w:right w:val="single" w:color="auto" w:sz="4" w:space="0"/>
            </w:tcBorders>
            <w:noWrap w:val="0"/>
            <w:vAlign w:val="center"/>
          </w:tcPr>
          <w:p w14:paraId="43AB2D61">
            <w:pPr>
              <w:widowControl/>
              <w:shd w:val="clear"/>
              <w:spacing w:line="360" w:lineRule="auto"/>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按项目采购文件要求和投标（响应）文件执行。</w:t>
            </w:r>
          </w:p>
        </w:tc>
      </w:tr>
      <w:tr w14:paraId="32FB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0" w:type="pct"/>
            <w:tcBorders>
              <w:top w:val="single" w:color="auto" w:sz="4" w:space="0"/>
              <w:left w:val="single" w:color="auto" w:sz="4" w:space="0"/>
              <w:bottom w:val="single" w:color="auto" w:sz="4" w:space="0"/>
              <w:right w:val="single" w:color="auto" w:sz="4" w:space="0"/>
            </w:tcBorders>
            <w:noWrap w:val="0"/>
            <w:vAlign w:val="center"/>
          </w:tcPr>
          <w:p w14:paraId="0C6A2040">
            <w:pPr>
              <w:widowControl/>
              <w:shd w:val="clear"/>
              <w:spacing w:line="360" w:lineRule="auto"/>
              <w:jc w:val="center"/>
              <w:rPr>
                <w:rFonts w:hint="eastAsia" w:ascii="仿宋_GB2312" w:hAnsi="仿宋" w:eastAsia="仿宋_GB2312" w:cs="仿宋"/>
                <w:bCs/>
                <w:color w:val="auto"/>
                <w:kern w:val="0"/>
                <w:sz w:val="24"/>
                <w:highlight w:val="none"/>
              </w:rPr>
            </w:pPr>
            <w:r>
              <w:rPr>
                <w:rFonts w:hint="eastAsia" w:ascii="仿宋_GB2312" w:hAnsi="仿宋" w:eastAsia="仿宋_GB2312" w:cs="仿宋"/>
                <w:bCs/>
                <w:color w:val="auto"/>
                <w:kern w:val="0"/>
                <w:sz w:val="24"/>
                <w:highlight w:val="none"/>
              </w:rPr>
              <w:t>5</w:t>
            </w:r>
          </w:p>
        </w:tc>
        <w:tc>
          <w:tcPr>
            <w:tcW w:w="1320" w:type="pct"/>
            <w:tcBorders>
              <w:top w:val="single" w:color="auto" w:sz="4" w:space="0"/>
              <w:left w:val="single" w:color="auto" w:sz="4" w:space="0"/>
              <w:bottom w:val="single" w:color="auto" w:sz="4" w:space="0"/>
              <w:right w:val="single" w:color="auto" w:sz="4" w:space="0"/>
            </w:tcBorders>
            <w:noWrap w:val="0"/>
            <w:vAlign w:val="center"/>
          </w:tcPr>
          <w:p w14:paraId="6D2D3483">
            <w:pPr>
              <w:widowControl/>
              <w:shd w:val="clear"/>
              <w:spacing w:line="360" w:lineRule="auto"/>
              <w:rPr>
                <w:rFonts w:hint="eastAsia" w:ascii="仿宋_GB2312" w:hAnsi="仿宋" w:eastAsia="仿宋_GB2312" w:cs="仿宋"/>
                <w:bCs/>
                <w:color w:val="auto"/>
                <w:kern w:val="0"/>
                <w:sz w:val="24"/>
                <w:highlight w:val="none"/>
              </w:rPr>
            </w:pPr>
            <w:r>
              <w:rPr>
                <w:rFonts w:hint="eastAsia" w:ascii="仿宋_GB2312" w:hAnsi="仿宋" w:eastAsia="仿宋_GB2312" w:cs="仿宋"/>
                <w:bCs/>
                <w:color w:val="auto"/>
                <w:kern w:val="0"/>
                <w:sz w:val="24"/>
                <w:highlight w:val="none"/>
              </w:rPr>
              <w:t>其他工作</w:t>
            </w:r>
          </w:p>
        </w:tc>
        <w:tc>
          <w:tcPr>
            <w:tcW w:w="3108" w:type="pct"/>
            <w:tcBorders>
              <w:top w:val="single" w:color="auto" w:sz="4" w:space="0"/>
              <w:left w:val="single" w:color="auto" w:sz="4" w:space="0"/>
              <w:bottom w:val="single" w:color="auto" w:sz="4" w:space="0"/>
              <w:right w:val="single" w:color="auto" w:sz="4" w:space="0"/>
            </w:tcBorders>
            <w:noWrap w:val="0"/>
            <w:vAlign w:val="center"/>
          </w:tcPr>
          <w:p w14:paraId="7B8BDE33">
            <w:pPr>
              <w:widowControl/>
              <w:shd w:val="clear"/>
              <w:spacing w:line="360" w:lineRule="auto"/>
              <w:jc w:val="left"/>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按项目采购文件要求和投标（响应）文件执行。</w:t>
            </w:r>
          </w:p>
        </w:tc>
      </w:tr>
    </w:tbl>
    <w:p w14:paraId="5F206CC1">
      <w:pPr>
        <w:shd w:val="clear"/>
        <w:tabs>
          <w:tab w:val="left" w:pos="904"/>
        </w:tabs>
        <w:snapToGrid w:val="0"/>
        <w:spacing w:line="360" w:lineRule="auto"/>
        <w:ind w:firstLine="480" w:firstLineChars="200"/>
        <w:jc w:val="left"/>
        <w:rPr>
          <w:rFonts w:hint="eastAsia" w:ascii="仿宋_GB2312" w:hAnsi="仿宋" w:eastAsia="仿宋_GB2312" w:cs="仿宋"/>
          <w:color w:val="auto"/>
          <w:sz w:val="24"/>
          <w:highlight w:val="none"/>
        </w:rPr>
      </w:pPr>
    </w:p>
    <w:p w14:paraId="1FCD7490">
      <w:pPr>
        <w:shd w:val="clear"/>
        <w:tabs>
          <w:tab w:val="left" w:pos="904"/>
        </w:tabs>
        <w:snapToGrid w:val="0"/>
        <w:spacing w:line="360" w:lineRule="auto"/>
        <w:ind w:firstLine="480" w:firstLineChars="200"/>
        <w:jc w:val="left"/>
        <w:rPr>
          <w:rFonts w:hint="eastAsia" w:ascii="仿宋_GB2312" w:hAnsi="仿宋" w:eastAsia="仿宋_GB2312" w:cs="仿宋"/>
          <w:color w:val="auto"/>
          <w:sz w:val="24"/>
          <w:highlight w:val="none"/>
        </w:rPr>
      </w:pPr>
      <w:r>
        <w:rPr>
          <w:rFonts w:hint="eastAsia" w:ascii="仿宋_GB2312" w:hAnsi="仿宋" w:eastAsia="仿宋_GB2312" w:cs="仿宋"/>
          <w:color w:val="auto"/>
          <w:sz w:val="24"/>
          <w:highlight w:val="none"/>
        </w:rPr>
        <w:t>3.6.7验收资料要求</w:t>
      </w:r>
    </w:p>
    <w:p w14:paraId="46E8FF23">
      <w:pPr>
        <w:shd w:val="clear"/>
        <w:tabs>
          <w:tab w:val="left" w:pos="904"/>
        </w:tabs>
        <w:snapToGrid w:val="0"/>
        <w:spacing w:line="360" w:lineRule="auto"/>
        <w:ind w:firstLine="480" w:firstLineChars="200"/>
        <w:jc w:val="left"/>
        <w:rPr>
          <w:rFonts w:hint="eastAsia" w:ascii="仿宋_GB2312" w:hAnsi="仿宋" w:eastAsia="仿宋_GB2312" w:cs="仿宋"/>
          <w:color w:val="auto"/>
          <w:sz w:val="24"/>
          <w:highlight w:val="none"/>
        </w:rPr>
      </w:pPr>
      <w:r>
        <w:rPr>
          <w:rFonts w:hint="eastAsia" w:ascii="仿宋_GB2312" w:hAnsi="仿宋" w:eastAsia="仿宋_GB2312" w:cs="仿宋"/>
          <w:color w:val="auto"/>
          <w:sz w:val="24"/>
          <w:highlight w:val="none"/>
        </w:rPr>
        <w:t>验收资料要求包括（不限于）以下内容：</w:t>
      </w:r>
    </w:p>
    <w:p w14:paraId="55A525A4">
      <w:pPr>
        <w:shd w:val="clear"/>
        <w:tabs>
          <w:tab w:val="left" w:pos="904"/>
        </w:tabs>
        <w:adjustRightInd w:val="0"/>
        <w:snapToGrid w:val="0"/>
        <w:spacing w:line="360" w:lineRule="auto"/>
        <w:ind w:firstLine="240" w:firstLineChars="100"/>
        <w:jc w:val="left"/>
        <w:rPr>
          <w:rFonts w:hint="eastAsia" w:ascii="仿宋_GB2312" w:hAnsi="仿宋" w:eastAsia="仿宋_GB2312" w:cs="仿宋"/>
          <w:color w:val="auto"/>
          <w:sz w:val="24"/>
          <w:highlight w:val="none"/>
        </w:rPr>
      </w:pPr>
      <w:r>
        <w:rPr>
          <w:rFonts w:hint="eastAsia" w:ascii="仿宋_GB2312" w:hAnsi="仿宋" w:eastAsia="仿宋_GB2312" w:cs="仿宋"/>
          <w:color w:val="auto"/>
          <w:sz w:val="24"/>
          <w:highlight w:val="none"/>
        </w:rPr>
        <w:t>（1）采购文件；</w:t>
      </w:r>
    </w:p>
    <w:p w14:paraId="4B17D213">
      <w:pPr>
        <w:shd w:val="clear"/>
        <w:tabs>
          <w:tab w:val="left" w:pos="904"/>
        </w:tabs>
        <w:adjustRightInd w:val="0"/>
        <w:snapToGrid w:val="0"/>
        <w:spacing w:line="360" w:lineRule="auto"/>
        <w:ind w:firstLine="240" w:firstLineChars="100"/>
        <w:jc w:val="left"/>
        <w:rPr>
          <w:rFonts w:hint="eastAsia" w:ascii="仿宋_GB2312" w:hAnsi="仿宋" w:eastAsia="仿宋_GB2312" w:cs="仿宋"/>
          <w:color w:val="auto"/>
          <w:sz w:val="24"/>
          <w:highlight w:val="none"/>
        </w:rPr>
      </w:pPr>
      <w:r>
        <w:rPr>
          <w:rFonts w:hint="eastAsia" w:ascii="仿宋_GB2312" w:hAnsi="仿宋" w:eastAsia="仿宋_GB2312" w:cs="仿宋"/>
          <w:color w:val="auto"/>
          <w:sz w:val="24"/>
          <w:highlight w:val="none"/>
        </w:rPr>
        <w:t>（2）投标文件；</w:t>
      </w:r>
    </w:p>
    <w:p w14:paraId="5BAAFDF3">
      <w:pPr>
        <w:shd w:val="clear"/>
        <w:tabs>
          <w:tab w:val="left" w:pos="904"/>
        </w:tabs>
        <w:adjustRightInd w:val="0"/>
        <w:snapToGrid w:val="0"/>
        <w:spacing w:line="360" w:lineRule="auto"/>
        <w:ind w:firstLine="240" w:firstLineChars="100"/>
        <w:jc w:val="left"/>
        <w:rPr>
          <w:rFonts w:hint="eastAsia" w:ascii="仿宋_GB2312" w:hAnsi="仿宋" w:eastAsia="仿宋_GB2312" w:cs="仿宋"/>
          <w:color w:val="auto"/>
          <w:sz w:val="24"/>
          <w:highlight w:val="none"/>
        </w:rPr>
      </w:pPr>
      <w:r>
        <w:rPr>
          <w:rFonts w:hint="eastAsia" w:ascii="仿宋_GB2312" w:hAnsi="仿宋" w:eastAsia="仿宋_GB2312" w:cs="仿宋"/>
          <w:color w:val="auto"/>
          <w:sz w:val="24"/>
          <w:highlight w:val="none"/>
        </w:rPr>
        <w:t>（3）采购合同；</w:t>
      </w:r>
    </w:p>
    <w:p w14:paraId="77C2D7B3">
      <w:pPr>
        <w:shd w:val="clear"/>
        <w:tabs>
          <w:tab w:val="left" w:pos="904"/>
        </w:tabs>
        <w:adjustRightInd w:val="0"/>
        <w:snapToGrid w:val="0"/>
        <w:spacing w:line="360" w:lineRule="auto"/>
        <w:ind w:firstLine="240" w:firstLineChars="100"/>
        <w:jc w:val="left"/>
        <w:rPr>
          <w:rFonts w:hint="eastAsia" w:ascii="仿宋_GB2312" w:hAnsi="仿宋" w:eastAsia="仿宋_GB2312" w:cs="仿宋_GB2312"/>
          <w:b/>
          <w:color w:val="auto"/>
          <w:sz w:val="24"/>
          <w:highlight w:val="none"/>
        </w:rPr>
      </w:pPr>
      <w:r>
        <w:rPr>
          <w:rFonts w:hint="eastAsia" w:ascii="仿宋_GB2312" w:hAnsi="仿宋" w:eastAsia="仿宋_GB2312" w:cs="仿宋"/>
          <w:color w:val="auto"/>
          <w:sz w:val="24"/>
          <w:highlight w:val="none"/>
        </w:rPr>
        <w:t>（4）其他需提供的相关材料。</w:t>
      </w:r>
    </w:p>
    <w:p w14:paraId="6CC8C637">
      <w:pPr>
        <w:shd w:val="clear"/>
        <w:tabs>
          <w:tab w:val="left" w:pos="904"/>
        </w:tabs>
        <w:adjustRightInd w:val="0"/>
        <w:snapToGrid w:val="0"/>
        <w:spacing w:line="360" w:lineRule="auto"/>
        <w:ind w:firstLine="240" w:firstLineChars="100"/>
        <w:jc w:val="left"/>
        <w:rPr>
          <w:rFonts w:hint="eastAsia" w:ascii="仿宋_GB2312" w:hAnsi="仿宋" w:eastAsia="仿宋_GB2312" w:cs="仿宋"/>
          <w:color w:val="auto"/>
          <w:sz w:val="24"/>
          <w:highlight w:val="none"/>
        </w:rPr>
      </w:pPr>
    </w:p>
    <w:p w14:paraId="3B00FCD0">
      <w:pPr>
        <w:shd w:val="clear"/>
        <w:tabs>
          <w:tab w:val="left" w:pos="904"/>
        </w:tabs>
        <w:adjustRightInd w:val="0"/>
        <w:snapToGrid w:val="0"/>
        <w:spacing w:line="360" w:lineRule="auto"/>
        <w:ind w:firstLine="240" w:firstLineChars="100"/>
        <w:jc w:val="left"/>
        <w:rPr>
          <w:rFonts w:hint="eastAsia" w:ascii="仿宋_GB2312" w:hAnsi="仿宋" w:eastAsia="仿宋_GB2312" w:cs="仿宋"/>
          <w:color w:val="auto"/>
          <w:sz w:val="24"/>
          <w:highlight w:val="none"/>
        </w:rPr>
      </w:pPr>
    </w:p>
    <w:p w14:paraId="27A6CDB8">
      <w:pPr>
        <w:shd w:val="clear"/>
        <w:tabs>
          <w:tab w:val="left" w:pos="904"/>
        </w:tabs>
        <w:adjustRightInd w:val="0"/>
        <w:snapToGrid w:val="0"/>
        <w:spacing w:line="360" w:lineRule="auto"/>
        <w:ind w:firstLine="240" w:firstLineChars="100"/>
        <w:jc w:val="left"/>
        <w:rPr>
          <w:rFonts w:hint="eastAsia" w:ascii="仿宋_GB2312" w:hAnsi="仿宋" w:eastAsia="仿宋_GB2312" w:cs="仿宋"/>
          <w:color w:val="auto"/>
          <w:sz w:val="24"/>
          <w:highlight w:val="none"/>
        </w:rPr>
      </w:pPr>
    </w:p>
    <w:p w14:paraId="13DA3257">
      <w:pPr>
        <w:shd w:val="clear"/>
        <w:tabs>
          <w:tab w:val="left" w:pos="904"/>
        </w:tabs>
        <w:adjustRightInd w:val="0"/>
        <w:snapToGrid w:val="0"/>
        <w:spacing w:line="360" w:lineRule="auto"/>
        <w:ind w:firstLine="240" w:firstLineChars="100"/>
        <w:jc w:val="left"/>
        <w:rPr>
          <w:rFonts w:ascii="仿宋_GB2312" w:hAnsi="仿宋" w:eastAsia="仿宋_GB2312" w:cs="仿宋"/>
          <w:color w:val="auto"/>
          <w:sz w:val="24"/>
          <w:highlight w:val="none"/>
        </w:rPr>
        <w:sectPr>
          <w:pgSz w:w="11905" w:h="16838"/>
          <w:pgMar w:top="1134" w:right="1134" w:bottom="1134" w:left="1134" w:header="720" w:footer="720" w:gutter="0"/>
          <w:cols w:space="0" w:num="1"/>
          <w:rtlGutter w:val="0"/>
          <w:docGrid w:type="lines" w:linePitch="331" w:charSpace="0"/>
        </w:sectPr>
      </w:pPr>
    </w:p>
    <w:p w14:paraId="440243BF">
      <w:pPr>
        <w:shd w:val="clear"/>
        <w:spacing w:line="360" w:lineRule="auto"/>
        <w:ind w:left="178" w:leftChars="85"/>
        <w:rPr>
          <w:rFonts w:hint="eastAsia" w:ascii="宋体" w:hAnsi="宋体"/>
          <w:color w:val="auto"/>
          <w:szCs w:val="20"/>
          <w:highlight w:val="none"/>
        </w:rPr>
      </w:pPr>
    </w:p>
    <w:p w14:paraId="6906822F">
      <w:pPr>
        <w:shd w:val="clear"/>
        <w:tabs>
          <w:tab w:val="left" w:pos="2472"/>
        </w:tabs>
        <w:spacing w:line="460" w:lineRule="exact"/>
        <w:jc w:val="center"/>
        <w:rPr>
          <w:rFonts w:hint="eastAsia"/>
          <w:b/>
          <w:color w:val="auto"/>
          <w:sz w:val="36"/>
          <w:szCs w:val="20"/>
          <w:highlight w:val="none"/>
        </w:rPr>
      </w:pPr>
    </w:p>
    <w:p w14:paraId="088C05A5">
      <w:pPr>
        <w:shd w:val="clear"/>
        <w:tabs>
          <w:tab w:val="left" w:pos="2472"/>
        </w:tabs>
        <w:spacing w:line="460" w:lineRule="exact"/>
        <w:jc w:val="center"/>
        <w:rPr>
          <w:rFonts w:hint="eastAsia"/>
          <w:b/>
          <w:color w:val="auto"/>
          <w:sz w:val="36"/>
          <w:szCs w:val="20"/>
          <w:highlight w:val="none"/>
        </w:rPr>
      </w:pPr>
    </w:p>
    <w:p w14:paraId="4D2810E3">
      <w:pPr>
        <w:shd w:val="clear"/>
        <w:tabs>
          <w:tab w:val="left" w:pos="2472"/>
        </w:tabs>
        <w:spacing w:line="460" w:lineRule="exact"/>
        <w:jc w:val="center"/>
        <w:rPr>
          <w:rFonts w:hint="eastAsia"/>
          <w:b/>
          <w:color w:val="auto"/>
          <w:sz w:val="36"/>
          <w:szCs w:val="20"/>
          <w:highlight w:val="none"/>
        </w:rPr>
      </w:pPr>
    </w:p>
    <w:p w14:paraId="3C1EF191">
      <w:pPr>
        <w:shd w:val="clear"/>
        <w:tabs>
          <w:tab w:val="left" w:pos="2472"/>
        </w:tabs>
        <w:spacing w:line="460" w:lineRule="exact"/>
        <w:jc w:val="center"/>
        <w:rPr>
          <w:rFonts w:hint="eastAsia"/>
          <w:b/>
          <w:color w:val="auto"/>
          <w:sz w:val="36"/>
          <w:szCs w:val="20"/>
          <w:highlight w:val="none"/>
        </w:rPr>
      </w:pPr>
    </w:p>
    <w:p w14:paraId="6EF7D900">
      <w:pPr>
        <w:shd w:val="clear"/>
        <w:tabs>
          <w:tab w:val="left" w:pos="2472"/>
        </w:tabs>
        <w:spacing w:line="460" w:lineRule="exact"/>
        <w:jc w:val="center"/>
        <w:rPr>
          <w:rFonts w:hint="eastAsia"/>
          <w:b/>
          <w:color w:val="auto"/>
          <w:sz w:val="36"/>
          <w:szCs w:val="20"/>
          <w:highlight w:val="none"/>
        </w:rPr>
      </w:pPr>
    </w:p>
    <w:p w14:paraId="326E3CA4">
      <w:pPr>
        <w:shd w:val="clear"/>
        <w:tabs>
          <w:tab w:val="left" w:pos="2472"/>
        </w:tabs>
        <w:spacing w:line="460" w:lineRule="exact"/>
        <w:jc w:val="center"/>
        <w:rPr>
          <w:rFonts w:hint="eastAsia"/>
          <w:b/>
          <w:color w:val="auto"/>
          <w:sz w:val="36"/>
          <w:szCs w:val="20"/>
          <w:highlight w:val="none"/>
        </w:rPr>
      </w:pPr>
    </w:p>
    <w:p w14:paraId="238F1DE5">
      <w:pPr>
        <w:shd w:val="clear"/>
        <w:tabs>
          <w:tab w:val="left" w:pos="2472"/>
        </w:tabs>
        <w:spacing w:line="460" w:lineRule="exact"/>
        <w:jc w:val="center"/>
        <w:rPr>
          <w:b/>
          <w:color w:val="auto"/>
          <w:sz w:val="36"/>
          <w:szCs w:val="20"/>
          <w:highlight w:val="none"/>
        </w:rPr>
      </w:pPr>
    </w:p>
    <w:p w14:paraId="79F29169">
      <w:pPr>
        <w:shd w:val="clear"/>
        <w:tabs>
          <w:tab w:val="left" w:pos="2472"/>
        </w:tabs>
        <w:spacing w:line="460" w:lineRule="exact"/>
        <w:jc w:val="center"/>
        <w:rPr>
          <w:b/>
          <w:color w:val="auto"/>
          <w:sz w:val="36"/>
          <w:szCs w:val="20"/>
          <w:highlight w:val="none"/>
        </w:rPr>
      </w:pPr>
    </w:p>
    <w:p w14:paraId="3C1D92D1">
      <w:pPr>
        <w:shd w:val="clear"/>
        <w:tabs>
          <w:tab w:val="left" w:pos="2472"/>
        </w:tabs>
        <w:spacing w:line="460" w:lineRule="exact"/>
        <w:jc w:val="center"/>
        <w:rPr>
          <w:b/>
          <w:color w:val="auto"/>
          <w:sz w:val="36"/>
          <w:szCs w:val="20"/>
          <w:highlight w:val="none"/>
        </w:rPr>
      </w:pPr>
    </w:p>
    <w:p w14:paraId="0A68BC8F">
      <w:pPr>
        <w:shd w:val="clear"/>
        <w:tabs>
          <w:tab w:val="left" w:pos="2472"/>
        </w:tabs>
        <w:spacing w:line="460" w:lineRule="exact"/>
        <w:jc w:val="center"/>
        <w:rPr>
          <w:b/>
          <w:color w:val="auto"/>
          <w:sz w:val="36"/>
          <w:szCs w:val="20"/>
          <w:highlight w:val="none"/>
        </w:rPr>
      </w:pPr>
    </w:p>
    <w:p w14:paraId="725C6A7F">
      <w:pPr>
        <w:shd w:val="clear"/>
        <w:tabs>
          <w:tab w:val="left" w:pos="2472"/>
        </w:tabs>
        <w:spacing w:line="460" w:lineRule="exact"/>
        <w:jc w:val="center"/>
        <w:rPr>
          <w:rFonts w:hint="eastAsia"/>
          <w:b/>
          <w:color w:val="auto"/>
          <w:sz w:val="36"/>
          <w:szCs w:val="20"/>
          <w:highlight w:val="none"/>
        </w:rPr>
      </w:pPr>
    </w:p>
    <w:p w14:paraId="4A8CAC7F">
      <w:pPr>
        <w:shd w:val="clear"/>
        <w:tabs>
          <w:tab w:val="left" w:pos="2472"/>
        </w:tabs>
        <w:spacing w:line="460" w:lineRule="exact"/>
        <w:jc w:val="center"/>
        <w:rPr>
          <w:rFonts w:hint="eastAsia"/>
          <w:b/>
          <w:color w:val="auto"/>
          <w:sz w:val="36"/>
          <w:szCs w:val="20"/>
          <w:highlight w:val="none"/>
        </w:rPr>
      </w:pPr>
    </w:p>
    <w:p w14:paraId="6838DD85">
      <w:pPr>
        <w:shd w:val="clear"/>
        <w:tabs>
          <w:tab w:val="left" w:pos="2472"/>
        </w:tabs>
        <w:spacing w:line="460" w:lineRule="exact"/>
        <w:jc w:val="center"/>
        <w:rPr>
          <w:rFonts w:hint="eastAsia"/>
          <w:b/>
          <w:color w:val="auto"/>
          <w:sz w:val="36"/>
          <w:szCs w:val="20"/>
          <w:highlight w:val="none"/>
        </w:rPr>
      </w:pPr>
    </w:p>
    <w:p w14:paraId="3E37BA90">
      <w:pPr>
        <w:shd w:val="clear"/>
        <w:tabs>
          <w:tab w:val="left" w:pos="2472"/>
        </w:tabs>
        <w:spacing w:line="460" w:lineRule="exact"/>
        <w:jc w:val="center"/>
        <w:outlineLvl w:val="0"/>
        <w:rPr>
          <w:b/>
          <w:color w:val="auto"/>
          <w:sz w:val="36"/>
          <w:szCs w:val="20"/>
          <w:highlight w:val="none"/>
        </w:rPr>
      </w:pPr>
      <w:bookmarkStart w:id="22" w:name="_Toc171344363"/>
      <w:r>
        <w:rPr>
          <w:rFonts w:hint="eastAsia"/>
          <w:b/>
          <w:color w:val="auto"/>
          <w:sz w:val="36"/>
          <w:szCs w:val="20"/>
          <w:highlight w:val="none"/>
        </w:rPr>
        <w:t>第六章 投标文件格式</w:t>
      </w:r>
      <w:bookmarkEnd w:id="22"/>
    </w:p>
    <w:p w14:paraId="6CB70003">
      <w:pPr>
        <w:shd w:val="clear"/>
        <w:spacing w:line="360" w:lineRule="auto"/>
        <w:rPr>
          <w:rFonts w:ascii="宋体" w:hAnsi="宋体"/>
          <w:color w:val="auto"/>
          <w:szCs w:val="20"/>
          <w:highlight w:val="none"/>
        </w:rPr>
        <w:sectPr>
          <w:pgSz w:w="11905" w:h="16838"/>
          <w:pgMar w:top="1134" w:right="1134" w:bottom="1134" w:left="1134" w:header="720" w:footer="720" w:gutter="0"/>
          <w:cols w:space="0" w:num="1"/>
          <w:rtlGutter w:val="0"/>
          <w:docGrid w:type="lines" w:linePitch="331" w:charSpace="0"/>
        </w:sectPr>
      </w:pPr>
    </w:p>
    <w:p w14:paraId="5492ADBE">
      <w:pPr>
        <w:shd w:val="clear"/>
        <w:ind w:firstLine="590" w:firstLineChars="196"/>
        <w:jc w:val="center"/>
        <w:outlineLvl w:val="1"/>
        <w:rPr>
          <w:rFonts w:hint="eastAsia" w:ascii="宋体" w:hAnsi="宋体"/>
          <w:b/>
          <w:bCs/>
          <w:color w:val="auto"/>
          <w:sz w:val="30"/>
          <w:szCs w:val="30"/>
          <w:highlight w:val="none"/>
        </w:rPr>
      </w:pPr>
      <w:bookmarkStart w:id="23" w:name="_Toc171344364"/>
      <w:r>
        <w:rPr>
          <w:rFonts w:hint="eastAsia" w:ascii="宋体" w:hAnsi="宋体"/>
          <w:b/>
          <w:bCs/>
          <w:color w:val="auto"/>
          <w:sz w:val="30"/>
          <w:szCs w:val="30"/>
          <w:highlight w:val="none"/>
        </w:rPr>
        <w:t>第一节 投标文件外层包装封面</w:t>
      </w:r>
      <w:bookmarkEnd w:id="23"/>
    </w:p>
    <w:p w14:paraId="24244365">
      <w:pPr>
        <w:shd w:val="clear"/>
        <w:spacing w:before="120" w:beforeLines="50" w:after="120" w:afterLines="50"/>
        <w:jc w:val="center"/>
        <w:rPr>
          <w:rFonts w:hint="eastAsia" w:ascii="宋体" w:hAnsi="宋体" w:cs="宋体"/>
          <w:color w:val="auto"/>
          <w:spacing w:val="20"/>
          <w:sz w:val="44"/>
          <w:szCs w:val="44"/>
          <w:highlight w:val="none"/>
        </w:rPr>
      </w:pPr>
    </w:p>
    <w:p w14:paraId="5EDC1912">
      <w:pPr>
        <w:shd w:val="clear"/>
        <w:spacing w:before="120" w:beforeLines="50" w:after="120" w:afterLines="50"/>
        <w:jc w:val="center"/>
        <w:rPr>
          <w:rFonts w:hint="eastAsia" w:ascii="宋体" w:hAnsi="宋体" w:cs="宋体"/>
          <w:color w:val="auto"/>
          <w:spacing w:val="20"/>
          <w:sz w:val="44"/>
          <w:szCs w:val="44"/>
          <w:highlight w:val="none"/>
        </w:rPr>
      </w:pPr>
    </w:p>
    <w:p w14:paraId="494DF50E">
      <w:pPr>
        <w:shd w:val="clear"/>
        <w:spacing w:before="120" w:beforeLines="50" w:after="120" w:afterLines="50"/>
        <w:jc w:val="center"/>
        <w:rPr>
          <w:rFonts w:hint="eastAsia" w:ascii="宋体" w:hAnsi="宋体" w:cs="宋体"/>
          <w:color w:val="auto"/>
          <w:spacing w:val="20"/>
          <w:sz w:val="44"/>
          <w:szCs w:val="44"/>
          <w:highlight w:val="none"/>
        </w:rPr>
      </w:pPr>
    </w:p>
    <w:p w14:paraId="7BC62301">
      <w:pPr>
        <w:shd w:val="clear"/>
        <w:spacing w:before="120" w:beforeLines="50" w:after="120" w:afterLines="50"/>
        <w:jc w:val="center"/>
        <w:rPr>
          <w:rFonts w:hint="eastAsia" w:ascii="宋体" w:hAnsi="宋体" w:cs="宋体"/>
          <w:color w:val="auto"/>
          <w:spacing w:val="20"/>
          <w:sz w:val="44"/>
          <w:szCs w:val="44"/>
          <w:highlight w:val="none"/>
        </w:rPr>
      </w:pPr>
    </w:p>
    <w:p w14:paraId="1E661BC5">
      <w:pPr>
        <w:shd w:val="clear"/>
        <w:spacing w:before="120" w:beforeLines="50" w:after="120" w:afterLines="50"/>
        <w:jc w:val="center"/>
        <w:rPr>
          <w:rFonts w:hint="eastAsia" w:ascii="宋体" w:hAnsi="宋体" w:cs="宋体"/>
          <w:color w:val="auto"/>
          <w:spacing w:val="20"/>
          <w:sz w:val="44"/>
          <w:szCs w:val="44"/>
          <w:highlight w:val="none"/>
        </w:rPr>
      </w:pPr>
    </w:p>
    <w:p w14:paraId="37D870F0">
      <w:pPr>
        <w:shd w:val="clear"/>
        <w:spacing w:before="120" w:beforeLines="50" w:after="120" w:afterLines="50"/>
        <w:jc w:val="center"/>
        <w:rPr>
          <w:rFonts w:ascii="宋体" w:hAnsi="宋体" w:cs="宋体"/>
          <w:color w:val="auto"/>
          <w:spacing w:val="40"/>
          <w:w w:val="110"/>
          <w:sz w:val="44"/>
          <w:szCs w:val="44"/>
          <w:highlight w:val="none"/>
        </w:rPr>
      </w:pPr>
      <w:r>
        <w:rPr>
          <w:rFonts w:hint="eastAsia" w:ascii="宋体" w:hAnsi="宋体" w:cs="宋体"/>
          <w:color w:val="auto"/>
          <w:spacing w:val="40"/>
          <w:w w:val="110"/>
          <w:sz w:val="44"/>
          <w:szCs w:val="44"/>
          <w:highlight w:val="none"/>
        </w:rPr>
        <w:t>投标文件</w:t>
      </w:r>
    </w:p>
    <w:p w14:paraId="14B98A92">
      <w:pPr>
        <w:shd w:val="clear"/>
        <w:jc w:val="center"/>
        <w:rPr>
          <w:rFonts w:ascii="宋体" w:hAnsi="宋体" w:cs="宋体"/>
          <w:color w:val="auto"/>
          <w:sz w:val="24"/>
          <w:highlight w:val="none"/>
        </w:rPr>
      </w:pPr>
      <w:r>
        <w:rPr>
          <w:rFonts w:hint="eastAsia" w:ascii="宋体" w:hAnsi="宋体" w:cs="宋体"/>
          <w:color w:val="auto"/>
          <w:sz w:val="24"/>
          <w:highlight w:val="none"/>
        </w:rPr>
        <w:t>（电子投标文件）</w:t>
      </w:r>
    </w:p>
    <w:tbl>
      <w:tblPr>
        <w:tblStyle w:val="33"/>
        <w:tblW w:w="0" w:type="auto"/>
        <w:jc w:val="center"/>
        <w:tblLayout w:type="fixed"/>
        <w:tblCellMar>
          <w:top w:w="0" w:type="dxa"/>
          <w:left w:w="108" w:type="dxa"/>
          <w:bottom w:w="0" w:type="dxa"/>
          <w:right w:w="108" w:type="dxa"/>
        </w:tblCellMar>
      </w:tblPr>
      <w:tblGrid>
        <w:gridCol w:w="1601"/>
        <w:gridCol w:w="6172"/>
      </w:tblGrid>
      <w:tr w14:paraId="3AC258C4">
        <w:tblPrEx>
          <w:tblCellMar>
            <w:top w:w="0" w:type="dxa"/>
            <w:left w:w="108" w:type="dxa"/>
            <w:bottom w:w="0" w:type="dxa"/>
            <w:right w:w="108" w:type="dxa"/>
          </w:tblCellMar>
        </w:tblPrEx>
        <w:trPr>
          <w:jc w:val="center"/>
        </w:trPr>
        <w:tc>
          <w:tcPr>
            <w:tcW w:w="1601" w:type="dxa"/>
            <w:noWrap w:val="0"/>
            <w:vAlign w:val="bottom"/>
          </w:tcPr>
          <w:p w14:paraId="5B2F1A0A">
            <w:pPr>
              <w:shd w:val="clear"/>
              <w:jc w:val="distribute"/>
              <w:rPr>
                <w:rFonts w:ascii="宋体" w:hAnsi="宋体" w:cs="宋体"/>
                <w:color w:val="auto"/>
                <w:sz w:val="24"/>
                <w:highlight w:val="none"/>
              </w:rPr>
            </w:pPr>
            <w:r>
              <w:rPr>
                <w:rFonts w:hint="eastAsia" w:ascii="宋体" w:hAnsi="宋体" w:cs="宋体"/>
                <w:color w:val="auto"/>
                <w:sz w:val="24"/>
                <w:highlight w:val="none"/>
              </w:rPr>
              <w:t>项目名称：</w:t>
            </w:r>
          </w:p>
        </w:tc>
        <w:tc>
          <w:tcPr>
            <w:tcW w:w="6172" w:type="dxa"/>
            <w:tcBorders>
              <w:bottom w:val="single" w:color="000000" w:sz="4" w:space="0"/>
            </w:tcBorders>
            <w:noWrap w:val="0"/>
            <w:vAlign w:val="bottom"/>
          </w:tcPr>
          <w:p w14:paraId="4004AFB4">
            <w:pPr>
              <w:shd w:val="clear"/>
              <w:jc w:val="left"/>
              <w:rPr>
                <w:rFonts w:ascii="宋体" w:hAnsi="宋体" w:cs="宋体"/>
                <w:color w:val="auto"/>
                <w:sz w:val="24"/>
                <w:highlight w:val="none"/>
              </w:rPr>
            </w:pPr>
          </w:p>
        </w:tc>
      </w:tr>
      <w:tr w14:paraId="3A143692">
        <w:tblPrEx>
          <w:tblCellMar>
            <w:top w:w="0" w:type="dxa"/>
            <w:left w:w="108" w:type="dxa"/>
            <w:bottom w:w="0" w:type="dxa"/>
            <w:right w:w="108" w:type="dxa"/>
          </w:tblCellMar>
        </w:tblPrEx>
        <w:trPr>
          <w:jc w:val="center"/>
        </w:trPr>
        <w:tc>
          <w:tcPr>
            <w:tcW w:w="1601" w:type="dxa"/>
            <w:noWrap w:val="0"/>
            <w:vAlign w:val="bottom"/>
          </w:tcPr>
          <w:p w14:paraId="3789BD5D">
            <w:pPr>
              <w:shd w:val="clear"/>
              <w:jc w:val="distribute"/>
              <w:rPr>
                <w:rFonts w:ascii="宋体" w:hAnsi="宋体" w:cs="宋体"/>
                <w:color w:val="auto"/>
                <w:sz w:val="24"/>
                <w:highlight w:val="none"/>
              </w:rPr>
            </w:pPr>
            <w:r>
              <w:rPr>
                <w:rFonts w:hint="eastAsia" w:ascii="宋体" w:hAnsi="宋体" w:cs="宋体"/>
                <w:color w:val="auto"/>
                <w:sz w:val="24"/>
                <w:highlight w:val="none"/>
              </w:rPr>
              <w:t>采购方式：</w:t>
            </w:r>
          </w:p>
        </w:tc>
        <w:tc>
          <w:tcPr>
            <w:tcW w:w="6172" w:type="dxa"/>
            <w:tcBorders>
              <w:top w:val="single" w:color="000000" w:sz="4" w:space="0"/>
              <w:bottom w:val="single" w:color="000000" w:sz="4" w:space="0"/>
            </w:tcBorders>
            <w:noWrap w:val="0"/>
            <w:vAlign w:val="bottom"/>
          </w:tcPr>
          <w:p w14:paraId="36EBF66C">
            <w:pPr>
              <w:shd w:val="clear"/>
              <w:jc w:val="left"/>
              <w:rPr>
                <w:rFonts w:ascii="宋体" w:hAnsi="宋体" w:cs="宋体"/>
                <w:color w:val="auto"/>
                <w:sz w:val="24"/>
                <w:highlight w:val="none"/>
              </w:rPr>
            </w:pPr>
          </w:p>
        </w:tc>
      </w:tr>
      <w:tr w14:paraId="00664633">
        <w:tblPrEx>
          <w:tblCellMar>
            <w:top w:w="0" w:type="dxa"/>
            <w:left w:w="108" w:type="dxa"/>
            <w:bottom w:w="0" w:type="dxa"/>
            <w:right w:w="108" w:type="dxa"/>
          </w:tblCellMar>
        </w:tblPrEx>
        <w:trPr>
          <w:jc w:val="center"/>
        </w:trPr>
        <w:tc>
          <w:tcPr>
            <w:tcW w:w="1601" w:type="dxa"/>
            <w:noWrap w:val="0"/>
            <w:vAlign w:val="bottom"/>
          </w:tcPr>
          <w:p w14:paraId="661DA9DC">
            <w:pPr>
              <w:shd w:val="clear"/>
              <w:jc w:val="distribute"/>
              <w:rPr>
                <w:rFonts w:ascii="宋体" w:hAnsi="宋体" w:cs="宋体"/>
                <w:color w:val="auto"/>
                <w:sz w:val="24"/>
                <w:highlight w:val="none"/>
              </w:rPr>
            </w:pPr>
            <w:r>
              <w:rPr>
                <w:rFonts w:hint="eastAsia" w:ascii="宋体" w:hAnsi="宋体" w:cs="宋体"/>
                <w:color w:val="auto"/>
                <w:sz w:val="24"/>
                <w:highlight w:val="none"/>
              </w:rPr>
              <w:t>项目编号：</w:t>
            </w:r>
          </w:p>
        </w:tc>
        <w:tc>
          <w:tcPr>
            <w:tcW w:w="6172" w:type="dxa"/>
            <w:tcBorders>
              <w:top w:val="single" w:color="000000" w:sz="4" w:space="0"/>
              <w:bottom w:val="single" w:color="000000" w:sz="4" w:space="0"/>
            </w:tcBorders>
            <w:noWrap w:val="0"/>
            <w:vAlign w:val="bottom"/>
          </w:tcPr>
          <w:p w14:paraId="054128CA">
            <w:pPr>
              <w:shd w:val="clear"/>
              <w:jc w:val="left"/>
              <w:rPr>
                <w:rFonts w:ascii="宋体" w:hAnsi="宋体" w:cs="宋体"/>
                <w:color w:val="auto"/>
                <w:sz w:val="24"/>
                <w:highlight w:val="none"/>
              </w:rPr>
            </w:pPr>
          </w:p>
        </w:tc>
      </w:tr>
      <w:tr w14:paraId="14ECABC9">
        <w:tblPrEx>
          <w:tblCellMar>
            <w:top w:w="0" w:type="dxa"/>
            <w:left w:w="108" w:type="dxa"/>
            <w:bottom w:w="0" w:type="dxa"/>
            <w:right w:w="108" w:type="dxa"/>
          </w:tblCellMar>
        </w:tblPrEx>
        <w:trPr>
          <w:jc w:val="center"/>
        </w:trPr>
        <w:tc>
          <w:tcPr>
            <w:tcW w:w="1601" w:type="dxa"/>
            <w:noWrap w:val="0"/>
            <w:vAlign w:val="bottom"/>
          </w:tcPr>
          <w:p w14:paraId="5189EC77">
            <w:pPr>
              <w:shd w:val="clear"/>
              <w:jc w:val="distribute"/>
              <w:rPr>
                <w:rFonts w:hint="eastAsia" w:ascii="宋体" w:hAnsi="宋体" w:cs="宋体"/>
                <w:color w:val="auto"/>
                <w:sz w:val="24"/>
                <w:highlight w:val="none"/>
              </w:rPr>
            </w:pPr>
            <w:r>
              <w:rPr>
                <w:rFonts w:hint="eastAsia" w:ascii="宋体" w:hAnsi="宋体" w:cs="宋体"/>
                <w:color w:val="auto"/>
                <w:sz w:val="24"/>
                <w:highlight w:val="none"/>
              </w:rPr>
              <w:t>所投分标：</w:t>
            </w:r>
          </w:p>
        </w:tc>
        <w:tc>
          <w:tcPr>
            <w:tcW w:w="6172" w:type="dxa"/>
            <w:tcBorders>
              <w:top w:val="single" w:color="000000" w:sz="4" w:space="0"/>
              <w:bottom w:val="single" w:color="000000" w:sz="4" w:space="0"/>
            </w:tcBorders>
            <w:noWrap w:val="0"/>
            <w:vAlign w:val="bottom"/>
          </w:tcPr>
          <w:p w14:paraId="0B216460">
            <w:pPr>
              <w:shd w:val="clear"/>
              <w:jc w:val="left"/>
              <w:rPr>
                <w:rFonts w:ascii="宋体" w:hAnsi="宋体" w:cs="宋体"/>
                <w:color w:val="auto"/>
                <w:sz w:val="24"/>
                <w:highlight w:val="none"/>
              </w:rPr>
            </w:pPr>
          </w:p>
        </w:tc>
      </w:tr>
      <w:tr w14:paraId="20645E3E">
        <w:tblPrEx>
          <w:tblCellMar>
            <w:top w:w="0" w:type="dxa"/>
            <w:left w:w="108" w:type="dxa"/>
            <w:bottom w:w="0" w:type="dxa"/>
            <w:right w:w="108" w:type="dxa"/>
          </w:tblCellMar>
        </w:tblPrEx>
        <w:trPr>
          <w:jc w:val="center"/>
        </w:trPr>
        <w:tc>
          <w:tcPr>
            <w:tcW w:w="1601" w:type="dxa"/>
            <w:noWrap w:val="0"/>
            <w:vAlign w:val="bottom"/>
          </w:tcPr>
          <w:p w14:paraId="69E128E2">
            <w:pPr>
              <w:shd w:val="clear"/>
              <w:jc w:val="distribute"/>
              <w:rPr>
                <w:rFonts w:ascii="宋体" w:hAnsi="宋体" w:cs="宋体"/>
                <w:color w:val="auto"/>
                <w:sz w:val="24"/>
                <w:highlight w:val="none"/>
              </w:rPr>
            </w:pPr>
            <w:r>
              <w:rPr>
                <w:rFonts w:hint="eastAsia" w:ascii="宋体" w:hAnsi="宋体" w:cs="宋体"/>
                <w:color w:val="auto"/>
                <w:sz w:val="24"/>
                <w:highlight w:val="none"/>
              </w:rPr>
              <w:t>投标人名称：</w:t>
            </w:r>
          </w:p>
        </w:tc>
        <w:tc>
          <w:tcPr>
            <w:tcW w:w="6172" w:type="dxa"/>
            <w:tcBorders>
              <w:top w:val="single" w:color="000000" w:sz="4" w:space="0"/>
              <w:bottom w:val="single" w:color="000000" w:sz="4" w:space="0"/>
            </w:tcBorders>
            <w:noWrap w:val="0"/>
            <w:vAlign w:val="bottom"/>
          </w:tcPr>
          <w:p w14:paraId="0176B417">
            <w:pPr>
              <w:shd w:val="clear"/>
              <w:jc w:val="left"/>
              <w:rPr>
                <w:rFonts w:ascii="宋体" w:hAnsi="宋体" w:cs="宋体"/>
                <w:color w:val="auto"/>
                <w:sz w:val="24"/>
                <w:highlight w:val="none"/>
              </w:rPr>
            </w:pPr>
          </w:p>
        </w:tc>
      </w:tr>
      <w:tr w14:paraId="76A5C6DF">
        <w:tblPrEx>
          <w:tblCellMar>
            <w:top w:w="0" w:type="dxa"/>
            <w:left w:w="108" w:type="dxa"/>
            <w:bottom w:w="0" w:type="dxa"/>
            <w:right w:w="108" w:type="dxa"/>
          </w:tblCellMar>
        </w:tblPrEx>
        <w:trPr>
          <w:jc w:val="center"/>
        </w:trPr>
        <w:tc>
          <w:tcPr>
            <w:tcW w:w="1601" w:type="dxa"/>
            <w:noWrap w:val="0"/>
            <w:vAlign w:val="bottom"/>
          </w:tcPr>
          <w:p w14:paraId="70247CE0">
            <w:pPr>
              <w:shd w:val="clear"/>
              <w:jc w:val="distribute"/>
              <w:rPr>
                <w:rFonts w:ascii="宋体" w:hAnsi="宋体" w:cs="宋体"/>
                <w:color w:val="auto"/>
                <w:sz w:val="24"/>
                <w:highlight w:val="none"/>
              </w:rPr>
            </w:pPr>
            <w:r>
              <w:rPr>
                <w:rFonts w:hint="eastAsia" w:ascii="宋体" w:hAnsi="宋体" w:cs="宋体"/>
                <w:color w:val="auto"/>
                <w:sz w:val="24"/>
                <w:highlight w:val="none"/>
              </w:rPr>
              <w:t>投标人地址：</w:t>
            </w:r>
          </w:p>
        </w:tc>
        <w:tc>
          <w:tcPr>
            <w:tcW w:w="6172" w:type="dxa"/>
            <w:tcBorders>
              <w:top w:val="single" w:color="000000" w:sz="4" w:space="0"/>
              <w:bottom w:val="single" w:color="000000" w:sz="4" w:space="0"/>
            </w:tcBorders>
            <w:noWrap w:val="0"/>
            <w:vAlign w:val="bottom"/>
          </w:tcPr>
          <w:p w14:paraId="6A1C05C8">
            <w:pPr>
              <w:shd w:val="clear"/>
              <w:jc w:val="left"/>
              <w:rPr>
                <w:rFonts w:ascii="宋体" w:hAnsi="宋体" w:cs="宋体"/>
                <w:color w:val="auto"/>
                <w:sz w:val="24"/>
                <w:highlight w:val="none"/>
              </w:rPr>
            </w:pPr>
          </w:p>
        </w:tc>
      </w:tr>
    </w:tbl>
    <w:p w14:paraId="0EB3B734">
      <w:pPr>
        <w:shd w:val="clear"/>
        <w:ind w:firstLine="4200" w:firstLineChars="1750"/>
        <w:rPr>
          <w:rFonts w:hint="eastAsia" w:ascii="宋体" w:hAnsi="宋体" w:cs="宋体"/>
          <w:color w:val="auto"/>
          <w:sz w:val="24"/>
          <w:highlight w:val="none"/>
        </w:rPr>
      </w:pPr>
    </w:p>
    <w:p w14:paraId="599E6F31">
      <w:pPr>
        <w:shd w:val="clear"/>
        <w:ind w:firstLine="4200" w:firstLineChars="1750"/>
        <w:rPr>
          <w:rFonts w:hint="eastAsia" w:ascii="宋体" w:hAnsi="宋体" w:cs="宋体"/>
          <w:color w:val="auto"/>
          <w:sz w:val="24"/>
          <w:highlight w:val="none"/>
        </w:rPr>
      </w:pPr>
    </w:p>
    <w:p w14:paraId="79A5E7E1">
      <w:pPr>
        <w:shd w:val="clear"/>
        <w:ind w:firstLine="4200" w:firstLineChars="1750"/>
        <w:rPr>
          <w:rFonts w:hint="eastAsia" w:ascii="宋体" w:hAnsi="宋体" w:cs="宋体"/>
          <w:color w:val="auto"/>
          <w:sz w:val="24"/>
          <w:highlight w:val="none"/>
        </w:rPr>
      </w:pPr>
    </w:p>
    <w:p w14:paraId="53C66912">
      <w:pPr>
        <w:shd w:val="clear"/>
        <w:ind w:firstLine="5880" w:firstLineChars="2450"/>
        <w:rPr>
          <w:rFonts w:hint="eastAsia" w:ascii="宋体" w:hAnsi="宋体" w:cs="宋体"/>
          <w:color w:val="auto"/>
          <w:sz w:val="24"/>
          <w:highlight w:val="none"/>
        </w:rPr>
      </w:pPr>
      <w:r>
        <w:rPr>
          <w:rFonts w:hint="eastAsia" w:ascii="宋体" w:hAnsi="宋体" w:cs="宋体"/>
          <w:color w:val="auto"/>
          <w:sz w:val="24"/>
          <w:highlight w:val="none"/>
        </w:rPr>
        <w:t>投标截止时</w:t>
      </w:r>
      <w:r>
        <w:rPr>
          <w:rFonts w:hint="eastAsia" w:ascii="宋体" w:hAnsi="宋体" w:cs="宋体"/>
          <w:color w:val="auto"/>
          <w:sz w:val="24"/>
          <w:highlight w:val="none"/>
          <w:lang w:eastAsia="zh-CN"/>
        </w:rPr>
        <w:t>间之</w:t>
      </w:r>
      <w:r>
        <w:rPr>
          <w:rFonts w:hint="eastAsia" w:ascii="宋体" w:hAnsi="宋体" w:cs="宋体"/>
          <w:color w:val="auto"/>
          <w:sz w:val="24"/>
          <w:highlight w:val="none"/>
        </w:rPr>
        <w:t>前不得解密</w:t>
      </w:r>
    </w:p>
    <w:p w14:paraId="3DBDB4B6">
      <w:pPr>
        <w:shd w:val="clear"/>
        <w:ind w:firstLine="6480" w:firstLineChars="2700"/>
        <w:rPr>
          <w:rFonts w:ascii="宋体" w:hAnsi="宋体" w:cs="宋体"/>
          <w:color w:val="auto"/>
          <w:sz w:val="24"/>
          <w:highlight w:val="none"/>
        </w:rPr>
        <w:sectPr>
          <w:headerReference r:id="rId10" w:type="default"/>
          <w:footerReference r:id="rId11" w:type="default"/>
          <w:pgSz w:w="11905" w:h="16838"/>
          <w:pgMar w:top="1134" w:right="1134" w:bottom="1134" w:left="1134" w:header="720" w:footer="720" w:gutter="0"/>
          <w:cols w:space="0" w:num="1"/>
          <w:rtlGutter w:val="0"/>
          <w:docGrid w:type="lines" w:linePitch="331" w:charSpace="0"/>
        </w:sectPr>
      </w:pPr>
      <w:r>
        <w:rPr>
          <w:rFonts w:hint="eastAsia" w:ascii="宋体" w:hAnsi="宋体" w:cs="宋体"/>
          <w:color w:val="auto"/>
          <w:sz w:val="24"/>
          <w:highlight w:val="none"/>
        </w:rPr>
        <w:t>年   月   日</w:t>
      </w:r>
    </w:p>
    <w:p w14:paraId="58155805">
      <w:pPr>
        <w:shd w:val="clear"/>
        <w:jc w:val="center"/>
        <w:outlineLvl w:val="1"/>
        <w:rPr>
          <w:rFonts w:hint="eastAsia" w:ascii="宋体" w:hAnsi="宋体"/>
          <w:b/>
          <w:bCs/>
          <w:color w:val="auto"/>
          <w:sz w:val="30"/>
          <w:szCs w:val="30"/>
          <w:highlight w:val="none"/>
        </w:rPr>
      </w:pPr>
      <w:bookmarkStart w:id="24" w:name="_Toc171344365"/>
      <w:r>
        <w:rPr>
          <w:rFonts w:hint="eastAsia" w:ascii="宋体" w:hAnsi="宋体"/>
          <w:b/>
          <w:bCs/>
          <w:color w:val="auto"/>
          <w:sz w:val="30"/>
          <w:szCs w:val="30"/>
          <w:highlight w:val="none"/>
        </w:rPr>
        <w:t>第二节 资格证明文件格式</w:t>
      </w:r>
      <w:bookmarkEnd w:id="24"/>
    </w:p>
    <w:p w14:paraId="6FF38D3A">
      <w:pPr>
        <w:shd w:val="clear"/>
        <w:spacing w:line="360" w:lineRule="auto"/>
        <w:ind w:firstLine="420"/>
        <w:rPr>
          <w:rFonts w:hint="eastAsia" w:ascii="宋体" w:hAnsi="宋体"/>
          <w:color w:val="auto"/>
          <w:sz w:val="30"/>
          <w:szCs w:val="20"/>
          <w:highlight w:val="none"/>
        </w:rPr>
      </w:pPr>
    </w:p>
    <w:p w14:paraId="4A61701D">
      <w:pPr>
        <w:shd w:val="clear"/>
        <w:snapToGrid w:val="0"/>
        <w:spacing w:before="165"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电子投标文件</w:t>
      </w:r>
    </w:p>
    <w:p w14:paraId="06B46D7A">
      <w:pPr>
        <w:shd w:val="clear"/>
        <w:snapToGrid w:val="0"/>
        <w:spacing w:before="165" w:beforeLines="50" w:after="50"/>
        <w:rPr>
          <w:rFonts w:hint="eastAsia" w:ascii="宋体" w:hAnsi="宋体"/>
          <w:color w:val="auto"/>
          <w:sz w:val="24"/>
          <w:szCs w:val="20"/>
          <w:highlight w:val="none"/>
        </w:rPr>
      </w:pPr>
    </w:p>
    <w:p w14:paraId="70A2B3F1">
      <w:pPr>
        <w:shd w:val="clear"/>
        <w:snapToGrid w:val="0"/>
        <w:spacing w:before="165" w:beforeLines="50" w:after="50"/>
        <w:jc w:val="center"/>
        <w:rPr>
          <w:rFonts w:hint="eastAsia" w:ascii="宋体" w:hAnsi="宋体"/>
          <w:b/>
          <w:color w:val="auto"/>
          <w:sz w:val="24"/>
          <w:szCs w:val="20"/>
          <w:highlight w:val="none"/>
        </w:rPr>
      </w:pPr>
      <w:r>
        <w:rPr>
          <w:rFonts w:hint="eastAsia" w:ascii="宋体" w:hAnsi="宋体"/>
          <w:b/>
          <w:color w:val="auto"/>
          <w:sz w:val="32"/>
          <w:szCs w:val="32"/>
          <w:highlight w:val="none"/>
        </w:rPr>
        <w:t>资格证明文件（封面）</w:t>
      </w:r>
    </w:p>
    <w:p w14:paraId="35DE4D93">
      <w:pPr>
        <w:shd w:val="clear"/>
        <w:snapToGrid w:val="0"/>
        <w:spacing w:before="165" w:beforeLines="50" w:after="50"/>
        <w:rPr>
          <w:rFonts w:ascii="宋体" w:hAnsi="宋体"/>
          <w:bCs/>
          <w:color w:val="auto"/>
          <w:sz w:val="24"/>
          <w:szCs w:val="20"/>
          <w:highlight w:val="none"/>
        </w:rPr>
      </w:pPr>
    </w:p>
    <w:p w14:paraId="4513B69D">
      <w:pPr>
        <w:shd w:val="clear"/>
        <w:snapToGrid w:val="0"/>
        <w:spacing w:before="165" w:beforeLines="50" w:after="50"/>
        <w:rPr>
          <w:rFonts w:ascii="宋体" w:hAnsi="宋体"/>
          <w:bCs/>
          <w:color w:val="auto"/>
          <w:sz w:val="24"/>
          <w:szCs w:val="20"/>
          <w:highlight w:val="none"/>
        </w:rPr>
      </w:pPr>
    </w:p>
    <w:p w14:paraId="790A2BD7">
      <w:pPr>
        <w:shd w:val="clear"/>
        <w:snapToGrid w:val="0"/>
        <w:spacing w:before="165" w:beforeLines="50" w:after="50"/>
        <w:rPr>
          <w:rFonts w:ascii="宋体" w:hAnsi="宋体"/>
          <w:bCs/>
          <w:color w:val="auto"/>
          <w:sz w:val="24"/>
          <w:szCs w:val="20"/>
          <w:highlight w:val="none"/>
        </w:rPr>
      </w:pPr>
    </w:p>
    <w:p w14:paraId="04CBA6C8">
      <w:pPr>
        <w:shd w:val="clear"/>
        <w:snapToGrid w:val="0"/>
        <w:spacing w:before="165" w:beforeLines="50" w:after="50"/>
        <w:rPr>
          <w:rFonts w:ascii="宋体" w:hAnsi="宋体"/>
          <w:bCs/>
          <w:color w:val="auto"/>
          <w:sz w:val="24"/>
          <w:szCs w:val="20"/>
          <w:highlight w:val="none"/>
        </w:rPr>
      </w:pPr>
    </w:p>
    <w:p w14:paraId="03912369">
      <w:pPr>
        <w:shd w:val="clear"/>
        <w:snapToGrid w:val="0"/>
        <w:spacing w:before="165" w:beforeLines="50" w:after="50"/>
        <w:rPr>
          <w:rFonts w:ascii="宋体" w:hAnsi="宋体"/>
          <w:bCs/>
          <w:color w:val="auto"/>
          <w:sz w:val="24"/>
          <w:szCs w:val="20"/>
          <w:highlight w:val="none"/>
        </w:rPr>
      </w:pPr>
    </w:p>
    <w:p w14:paraId="135636E2">
      <w:pPr>
        <w:shd w:val="clear"/>
        <w:snapToGrid w:val="0"/>
        <w:spacing w:before="165" w:beforeLines="50" w:after="50"/>
        <w:rPr>
          <w:rFonts w:ascii="宋体" w:hAnsi="宋体"/>
          <w:bCs/>
          <w:color w:val="auto"/>
          <w:sz w:val="24"/>
          <w:szCs w:val="20"/>
          <w:highlight w:val="none"/>
        </w:rPr>
      </w:pPr>
    </w:p>
    <w:p w14:paraId="5082E430">
      <w:pPr>
        <w:shd w:val="clear"/>
        <w:snapToGrid w:val="0"/>
        <w:spacing w:before="165" w:beforeLines="50" w:after="50"/>
        <w:rPr>
          <w:rFonts w:hint="eastAsia" w:ascii="宋体" w:hAnsi="宋体"/>
          <w:bCs/>
          <w:color w:val="auto"/>
          <w:sz w:val="24"/>
          <w:szCs w:val="20"/>
          <w:highlight w:val="none"/>
        </w:rPr>
      </w:pPr>
    </w:p>
    <w:p w14:paraId="1F95D262">
      <w:pPr>
        <w:shd w:val="clear"/>
        <w:snapToGrid w:val="0"/>
        <w:spacing w:before="165" w:beforeLines="50" w:after="50"/>
        <w:ind w:firstLine="540" w:firstLineChars="225"/>
        <w:rPr>
          <w:rFonts w:hint="eastAsia" w:ascii="宋体" w:hAnsi="宋体"/>
          <w:bCs/>
          <w:color w:val="auto"/>
          <w:sz w:val="24"/>
          <w:highlight w:val="none"/>
        </w:rPr>
      </w:pPr>
      <w:r>
        <w:rPr>
          <w:rFonts w:hint="eastAsia" w:ascii="宋体" w:hAnsi="宋体"/>
          <w:bCs/>
          <w:color w:val="auto"/>
          <w:sz w:val="24"/>
          <w:highlight w:val="none"/>
        </w:rPr>
        <w:t>项目名称：</w:t>
      </w:r>
    </w:p>
    <w:p w14:paraId="6F263DA5">
      <w:pPr>
        <w:shd w:val="clear"/>
        <w:snapToGrid w:val="0"/>
        <w:spacing w:before="165" w:beforeLines="50" w:after="50"/>
        <w:ind w:firstLine="540" w:firstLineChars="225"/>
        <w:rPr>
          <w:rFonts w:hint="eastAsia" w:ascii="宋体" w:hAnsi="宋体"/>
          <w:bCs/>
          <w:color w:val="auto"/>
          <w:sz w:val="24"/>
          <w:szCs w:val="20"/>
          <w:highlight w:val="none"/>
        </w:rPr>
      </w:pPr>
    </w:p>
    <w:p w14:paraId="09FD450E">
      <w:pPr>
        <w:shd w:val="clear"/>
        <w:snapToGrid w:val="0"/>
        <w:spacing w:before="165" w:beforeLines="50" w:after="50"/>
        <w:ind w:firstLine="540" w:firstLineChars="225"/>
        <w:rPr>
          <w:rFonts w:hint="eastAsia" w:ascii="宋体" w:hAnsi="宋体"/>
          <w:bCs/>
          <w:color w:val="auto"/>
          <w:sz w:val="24"/>
          <w:highlight w:val="none"/>
        </w:rPr>
      </w:pPr>
      <w:r>
        <w:rPr>
          <w:rFonts w:hint="eastAsia" w:ascii="宋体" w:hAnsi="宋体"/>
          <w:bCs/>
          <w:color w:val="auto"/>
          <w:sz w:val="24"/>
          <w:highlight w:val="none"/>
        </w:rPr>
        <w:t>项目编号：</w:t>
      </w:r>
    </w:p>
    <w:p w14:paraId="588DB354">
      <w:pPr>
        <w:shd w:val="clear"/>
        <w:snapToGrid w:val="0"/>
        <w:spacing w:before="165" w:beforeLines="50" w:after="50"/>
        <w:ind w:firstLine="540" w:firstLineChars="225"/>
        <w:rPr>
          <w:rFonts w:hint="eastAsia" w:ascii="宋体" w:hAnsi="宋体"/>
          <w:bCs/>
          <w:color w:val="auto"/>
          <w:sz w:val="24"/>
          <w:szCs w:val="20"/>
          <w:highlight w:val="none"/>
        </w:rPr>
      </w:pPr>
      <w:r>
        <w:rPr>
          <w:rFonts w:hint="eastAsia" w:ascii="宋体" w:hAnsi="宋体"/>
          <w:bCs/>
          <w:color w:val="auto"/>
          <w:sz w:val="24"/>
          <w:highlight w:val="none"/>
        </w:rPr>
        <w:t xml:space="preserve"> </w:t>
      </w:r>
    </w:p>
    <w:p w14:paraId="37EA3DCD">
      <w:pPr>
        <w:shd w:val="clear"/>
        <w:snapToGrid w:val="0"/>
        <w:spacing w:before="165" w:beforeLines="50" w:after="50"/>
        <w:ind w:firstLine="540" w:firstLineChars="225"/>
        <w:rPr>
          <w:rFonts w:hint="eastAsia" w:ascii="宋体" w:hAnsi="宋体"/>
          <w:bCs/>
          <w:color w:val="auto"/>
          <w:sz w:val="24"/>
          <w:highlight w:val="none"/>
        </w:rPr>
      </w:pPr>
      <w:r>
        <w:rPr>
          <w:rFonts w:hint="eastAsia" w:ascii="宋体" w:hAnsi="宋体"/>
          <w:bCs/>
          <w:color w:val="auto"/>
          <w:sz w:val="24"/>
          <w:highlight w:val="none"/>
        </w:rPr>
        <w:t>所投分标：</w:t>
      </w:r>
    </w:p>
    <w:p w14:paraId="4BCC82C8">
      <w:pPr>
        <w:shd w:val="clear"/>
        <w:snapToGrid w:val="0"/>
        <w:spacing w:before="50" w:after="50"/>
        <w:ind w:firstLine="540" w:firstLineChars="225"/>
        <w:rPr>
          <w:rFonts w:hint="eastAsia" w:ascii="宋体" w:hAnsi="宋体"/>
          <w:bCs/>
          <w:color w:val="auto"/>
          <w:sz w:val="24"/>
          <w:highlight w:val="none"/>
        </w:rPr>
      </w:pPr>
    </w:p>
    <w:p w14:paraId="1F9A8AE6">
      <w:pPr>
        <w:shd w:val="clear"/>
        <w:snapToGrid w:val="0"/>
        <w:spacing w:before="50" w:after="50"/>
        <w:ind w:firstLine="540" w:firstLineChars="225"/>
        <w:rPr>
          <w:rFonts w:hint="eastAsia" w:ascii="宋体" w:hAnsi="宋体"/>
          <w:bCs/>
          <w:color w:val="auto"/>
          <w:sz w:val="24"/>
          <w:highlight w:val="none"/>
        </w:rPr>
      </w:pPr>
      <w:r>
        <w:rPr>
          <w:rFonts w:hint="eastAsia" w:ascii="宋体" w:hAnsi="宋体"/>
          <w:bCs/>
          <w:color w:val="auto"/>
          <w:sz w:val="24"/>
          <w:highlight w:val="none"/>
        </w:rPr>
        <w:t>投标人名称：</w:t>
      </w:r>
    </w:p>
    <w:p w14:paraId="75537DD6">
      <w:pPr>
        <w:shd w:val="clear"/>
        <w:snapToGrid w:val="0"/>
        <w:spacing w:before="50" w:after="50"/>
        <w:ind w:firstLine="540" w:firstLineChars="225"/>
        <w:rPr>
          <w:rFonts w:hint="eastAsia" w:ascii="宋体" w:hAnsi="宋体"/>
          <w:bCs/>
          <w:color w:val="auto"/>
          <w:sz w:val="24"/>
          <w:highlight w:val="none"/>
        </w:rPr>
      </w:pPr>
    </w:p>
    <w:p w14:paraId="2478557D">
      <w:pPr>
        <w:shd w:val="clear"/>
        <w:snapToGrid w:val="0"/>
        <w:spacing w:before="50" w:after="50"/>
        <w:ind w:firstLine="960" w:firstLineChars="400"/>
        <w:rPr>
          <w:rFonts w:hint="eastAsia" w:ascii="宋体" w:hAnsi="宋体"/>
          <w:bCs/>
          <w:color w:val="auto"/>
          <w:sz w:val="24"/>
          <w:highlight w:val="none"/>
        </w:rPr>
      </w:pPr>
    </w:p>
    <w:p w14:paraId="1D90FD00">
      <w:pPr>
        <w:shd w:val="clear"/>
        <w:snapToGrid w:val="0"/>
        <w:spacing w:before="165" w:beforeLines="50" w:after="50"/>
        <w:ind w:firstLine="645"/>
        <w:jc w:val="center"/>
        <w:rPr>
          <w:rFonts w:ascii="宋体" w:hAnsi="宋体"/>
          <w:color w:val="auto"/>
          <w:sz w:val="24"/>
          <w:highlight w:val="none"/>
        </w:rPr>
      </w:pPr>
      <w:r>
        <w:rPr>
          <w:rFonts w:hint="eastAsia" w:ascii="宋体" w:hAnsi="宋体"/>
          <w:color w:val="auto"/>
          <w:sz w:val="24"/>
          <w:highlight w:val="none"/>
        </w:rPr>
        <w:t>年  月  日</w:t>
      </w:r>
    </w:p>
    <w:p w14:paraId="0A2B597A">
      <w:pPr>
        <w:shd w:val="clear"/>
        <w:spacing w:line="360" w:lineRule="auto"/>
        <w:ind w:firstLine="420"/>
        <w:rPr>
          <w:rFonts w:ascii="宋体" w:hAnsi="宋体"/>
          <w:color w:val="auto"/>
          <w:sz w:val="30"/>
          <w:szCs w:val="20"/>
          <w:highlight w:val="none"/>
        </w:rPr>
        <w:sectPr>
          <w:pgSz w:w="11905" w:h="16838"/>
          <w:pgMar w:top="1134" w:right="1134" w:bottom="1134" w:left="1134" w:header="720" w:footer="720" w:gutter="0"/>
          <w:cols w:space="0" w:num="1"/>
          <w:rtlGutter w:val="0"/>
          <w:docGrid w:type="lines" w:linePitch="331" w:charSpace="0"/>
        </w:sectPr>
      </w:pPr>
    </w:p>
    <w:p w14:paraId="3D8FE2C5">
      <w:pPr>
        <w:shd w:val="clear"/>
        <w:jc w:val="center"/>
        <w:rPr>
          <w:rFonts w:hint="eastAsia" w:ascii="仿宋_GB2312" w:hAnsi="仿宋" w:eastAsia="仿宋_GB2312" w:cs="仿宋_GB2312"/>
          <w:b/>
          <w:color w:val="auto"/>
          <w:kern w:val="0"/>
          <w:sz w:val="36"/>
          <w:szCs w:val="36"/>
          <w:highlight w:val="none"/>
        </w:rPr>
      </w:pPr>
      <w:r>
        <w:rPr>
          <w:rFonts w:hint="eastAsia" w:ascii="仿宋_GB2312" w:hAnsi="仿宋" w:eastAsia="仿宋_GB2312" w:cs="仿宋_GB2312"/>
          <w:b/>
          <w:color w:val="auto"/>
          <w:kern w:val="0"/>
          <w:sz w:val="36"/>
          <w:szCs w:val="36"/>
          <w:highlight w:val="none"/>
        </w:rPr>
        <w:t>资格证明文件目录</w:t>
      </w:r>
    </w:p>
    <w:p w14:paraId="3532852A">
      <w:pPr>
        <w:shd w:val="clear"/>
        <w:snapToGrid w:val="0"/>
        <w:spacing w:line="360" w:lineRule="auto"/>
        <w:rPr>
          <w:rFonts w:hint="eastAsia" w:ascii="仿宋_GB2312" w:hAnsi="仿宋" w:eastAsia="仿宋_GB2312" w:cs="仿宋_GB2312"/>
          <w:color w:val="auto"/>
          <w:kern w:val="0"/>
          <w:sz w:val="24"/>
          <w:highlight w:val="none"/>
        </w:rPr>
      </w:pPr>
    </w:p>
    <w:p w14:paraId="1F61E394">
      <w:pPr>
        <w:shd w:val="clea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一、</w:t>
      </w:r>
      <w:r>
        <w:rPr>
          <w:rFonts w:hint="eastAsia" w:ascii="仿宋_GB2312" w:hAnsi="仿宋" w:eastAsia="仿宋_GB2312"/>
          <w:color w:val="auto"/>
          <w:sz w:val="24"/>
          <w:highlight w:val="none"/>
        </w:rPr>
        <w:t>营业执照(或者事业单位法人证书或者执业许可证等证明材料)复印件（投标人为自然人的，须提供</w:t>
      </w:r>
      <w:r>
        <w:rPr>
          <w:rFonts w:hint="eastAsia" w:ascii="仿宋_GB2312" w:hAnsi="仿宋" w:eastAsia="仿宋_GB2312" w:cs="Helvetica"/>
          <w:color w:val="auto"/>
          <w:kern w:val="0"/>
          <w:sz w:val="24"/>
          <w:highlight w:val="none"/>
        </w:rPr>
        <w:t>自然人的身份证明</w:t>
      </w:r>
      <w:r>
        <w:rPr>
          <w:rFonts w:hint="eastAsia" w:ascii="仿宋_GB2312" w:hAnsi="仿宋" w:eastAsia="仿宋_GB2312"/>
          <w:color w:val="auto"/>
          <w:sz w:val="24"/>
          <w:highlight w:val="none"/>
        </w:rPr>
        <w:t>）</w:t>
      </w:r>
      <w:r>
        <w:rPr>
          <w:rFonts w:hint="eastAsia" w:ascii="仿宋_GB2312" w:hAnsi="仿宋" w:eastAsia="仿宋_GB2312" w:cs="仿宋_GB2312"/>
          <w:color w:val="auto"/>
          <w:kern w:val="0"/>
          <w:sz w:val="24"/>
          <w:highlight w:val="none"/>
        </w:rPr>
        <w:t>………………………………………………………（页码）</w:t>
      </w:r>
    </w:p>
    <w:p w14:paraId="76C3CC07">
      <w:pPr>
        <w:shd w:val="clea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二、符合参与政府采购活动的资格条件依法缴纳税收、社会保障资金等方面的材料…………………………………………………………………………………………（页码）</w:t>
      </w:r>
    </w:p>
    <w:p w14:paraId="4B36019C">
      <w:pPr>
        <w:shd w:val="clea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三、财务状况报告方面的材料…………………………………………………………（页码）</w:t>
      </w:r>
    </w:p>
    <w:p w14:paraId="1DFF470F">
      <w:pPr>
        <w:shd w:val="clea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sz w:val="24"/>
          <w:highlight w:val="none"/>
        </w:rPr>
        <w:t>四、投标人直接控股股东信息</w:t>
      </w:r>
      <w:r>
        <w:rPr>
          <w:rFonts w:hint="eastAsia" w:ascii="仿宋_GB2312" w:hAnsi="仿宋" w:eastAsia="仿宋_GB2312" w:cs="仿宋_GB2312"/>
          <w:color w:val="auto"/>
          <w:kern w:val="0"/>
          <w:sz w:val="24"/>
          <w:highlight w:val="none"/>
        </w:rPr>
        <w:t>…………………………………………………………（页码）</w:t>
      </w:r>
    </w:p>
    <w:p w14:paraId="190AF319">
      <w:pPr>
        <w:shd w:val="clea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sz w:val="24"/>
          <w:highlight w:val="none"/>
        </w:rPr>
        <w:t>五、投标人直接关联关系信息表</w:t>
      </w:r>
      <w:r>
        <w:rPr>
          <w:rFonts w:hint="eastAsia" w:ascii="仿宋_GB2312" w:hAnsi="仿宋" w:eastAsia="仿宋_GB2312" w:cs="仿宋_GB2312"/>
          <w:color w:val="auto"/>
          <w:kern w:val="0"/>
          <w:sz w:val="24"/>
          <w:highlight w:val="none"/>
        </w:rPr>
        <w:t>………………………………………………………（页码）</w:t>
      </w:r>
    </w:p>
    <w:p w14:paraId="7F36904A">
      <w:pPr>
        <w:shd w:val="clea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六、投标资格声明函……………………………………………………………………（页码）</w:t>
      </w:r>
    </w:p>
    <w:p w14:paraId="154869C7">
      <w:pPr>
        <w:shd w:val="clea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sz w:val="24"/>
          <w:highlight w:val="none"/>
          <w:lang w:val="en-US" w:eastAsia="zh-CN"/>
        </w:rPr>
        <w:t>七</w:t>
      </w:r>
      <w:r>
        <w:rPr>
          <w:rFonts w:hint="eastAsia" w:ascii="仿宋_GB2312" w:hAnsi="仿宋" w:eastAsia="仿宋_GB2312" w:cs="仿宋_GB2312"/>
          <w:color w:val="auto"/>
          <w:sz w:val="24"/>
          <w:highlight w:val="none"/>
        </w:rPr>
        <w:t>、符合特定资格</w:t>
      </w:r>
      <w:r>
        <w:rPr>
          <w:rFonts w:hint="eastAsia" w:ascii="仿宋_GB2312" w:hAnsi="仿宋" w:eastAsia="仿宋_GB2312" w:cs="仿宋_GB2312"/>
          <w:color w:val="auto"/>
          <w:sz w:val="24"/>
          <w:highlight w:val="none"/>
          <w:lang w:val="en-US" w:eastAsia="zh-CN"/>
        </w:rPr>
        <w:t>要求</w:t>
      </w:r>
      <w:r>
        <w:rPr>
          <w:rFonts w:hint="eastAsia" w:ascii="仿宋_GB2312" w:hAnsi="仿宋" w:eastAsia="仿宋_GB2312" w:cs="仿宋_GB2312"/>
          <w:color w:val="auto"/>
          <w:sz w:val="24"/>
          <w:highlight w:val="none"/>
        </w:rPr>
        <w:t>（如有）的有关证明材料（复印件）</w:t>
      </w:r>
      <w:r>
        <w:rPr>
          <w:rFonts w:hint="eastAsia" w:ascii="仿宋_GB2312" w:hAnsi="仿宋" w:eastAsia="仿宋_GB2312" w:cs="仿宋_GB2312"/>
          <w:color w:val="auto"/>
          <w:kern w:val="0"/>
          <w:sz w:val="24"/>
          <w:highlight w:val="none"/>
        </w:rPr>
        <w:t>………………………（页码）</w:t>
      </w:r>
    </w:p>
    <w:p w14:paraId="37AD7B07">
      <w:pPr>
        <w:shd w:val="clear"/>
        <w:snapToGrid w:val="0"/>
        <w:spacing w:line="360" w:lineRule="auto"/>
        <w:rPr>
          <w:rFonts w:hint="eastAsia" w:ascii="仿宋_GB2312" w:hAnsi="仿宋" w:eastAsia="仿宋_GB2312" w:cs="仿宋_GB2312"/>
          <w:color w:val="auto"/>
          <w:kern w:val="0"/>
          <w:sz w:val="24"/>
          <w:highlight w:val="none"/>
          <w:lang w:val="en-US" w:eastAsia="zh-CN"/>
        </w:rPr>
      </w:pPr>
      <w:r>
        <w:rPr>
          <w:rFonts w:hint="eastAsia" w:ascii="仿宋_GB2312" w:hAnsi="仿宋" w:eastAsia="仿宋_GB2312" w:cs="仿宋_GB2312"/>
          <w:color w:val="auto"/>
          <w:kern w:val="0"/>
          <w:sz w:val="24"/>
          <w:highlight w:val="none"/>
          <w:lang w:val="en-US" w:eastAsia="zh-CN"/>
        </w:rPr>
        <w:t xml:space="preserve">八、中小企业声明函；（提供中小企业声明函或监狱企业的证明文件或残疾人福利性单位声明函）                                                          </w:t>
      </w:r>
      <w:r>
        <w:rPr>
          <w:rFonts w:hint="eastAsia" w:ascii="仿宋_GB2312" w:hAnsi="仿宋" w:eastAsia="仿宋_GB2312" w:cs="仿宋_GB2312"/>
          <w:color w:val="auto"/>
          <w:kern w:val="0"/>
          <w:sz w:val="24"/>
          <w:highlight w:val="none"/>
        </w:rPr>
        <w:t>………（页码）</w:t>
      </w:r>
    </w:p>
    <w:p w14:paraId="59A75677">
      <w:pPr>
        <w:shd w:val="clear"/>
        <w:snapToGrid w:val="0"/>
        <w:spacing w:line="360" w:lineRule="auto"/>
        <w:rPr>
          <w:rFonts w:hint="eastAsia" w:ascii="仿宋_GB2312" w:hAnsi="仿宋" w:eastAsia="仿宋_GB2312" w:cs="仿宋_GB2312"/>
          <w:color w:val="auto"/>
          <w:kern w:val="0"/>
          <w:sz w:val="24"/>
          <w:highlight w:val="none"/>
          <w:lang w:val="en-US" w:eastAsia="zh-CN"/>
        </w:rPr>
      </w:pPr>
      <w:r>
        <w:rPr>
          <w:rFonts w:hint="eastAsia" w:ascii="仿宋_GB2312" w:hAnsi="仿宋" w:eastAsia="仿宋_GB2312" w:cs="仿宋_GB2312"/>
          <w:color w:val="auto"/>
          <w:kern w:val="0"/>
          <w:sz w:val="24"/>
          <w:highlight w:val="none"/>
          <w:lang w:val="en-US" w:eastAsia="zh-CN"/>
        </w:rPr>
        <w:t>九、除招标文件规定必须提供以外，投标人认为需要提供的其他证明材料</w:t>
      </w:r>
      <w:r>
        <w:rPr>
          <w:rFonts w:hint="eastAsia" w:ascii="仿宋_GB2312" w:hAnsi="仿宋" w:eastAsia="仿宋_GB2312" w:cs="仿宋_GB2312"/>
          <w:color w:val="auto"/>
          <w:kern w:val="0"/>
          <w:sz w:val="24"/>
          <w:highlight w:val="none"/>
        </w:rPr>
        <w:t>………（页码）</w:t>
      </w:r>
    </w:p>
    <w:p w14:paraId="685C8FB3">
      <w:pPr>
        <w:shd w:val="clear"/>
        <w:spacing w:line="360" w:lineRule="auto"/>
        <w:rPr>
          <w:rFonts w:hint="eastAsia" w:ascii="仿宋_GB2312" w:hAnsi="仿宋" w:eastAsia="仿宋_GB2312" w:cs="仿宋_GB2312"/>
          <w:b/>
          <w:bCs/>
          <w:color w:val="auto"/>
          <w:sz w:val="24"/>
          <w:highlight w:val="none"/>
        </w:rPr>
      </w:pPr>
      <w:r>
        <w:rPr>
          <w:rFonts w:hint="eastAsia" w:ascii="仿宋_GB2312" w:hAnsi="仿宋" w:eastAsia="仿宋_GB2312" w:cs="仿宋_GB2312"/>
          <w:b/>
          <w:bCs/>
          <w:color w:val="auto"/>
          <w:sz w:val="24"/>
          <w:highlight w:val="none"/>
        </w:rPr>
        <w:t>注：以上目录是基本格式要求，各投标人可根据自身情况进一步向下增加内容或细化。</w:t>
      </w:r>
    </w:p>
    <w:p w14:paraId="0D0CA03D">
      <w:pPr>
        <w:shd w:val="clear"/>
        <w:spacing w:line="360" w:lineRule="auto"/>
        <w:ind w:firstLine="420"/>
        <w:rPr>
          <w:rFonts w:ascii="宋体" w:hAnsi="宋体"/>
          <w:color w:val="auto"/>
          <w:sz w:val="30"/>
          <w:szCs w:val="20"/>
          <w:highlight w:val="none"/>
        </w:rPr>
        <w:sectPr>
          <w:pgSz w:w="11905" w:h="16838"/>
          <w:pgMar w:top="1134" w:right="1134" w:bottom="1134" w:left="1134" w:header="720" w:footer="720" w:gutter="0"/>
          <w:cols w:space="0" w:num="1"/>
          <w:rtlGutter w:val="0"/>
          <w:docGrid w:type="lines" w:linePitch="331" w:charSpace="0"/>
        </w:sectPr>
      </w:pPr>
    </w:p>
    <w:p w14:paraId="5B2014F6">
      <w:pPr>
        <w:shd w:val="clear"/>
        <w:snapToGrid w:val="0"/>
        <w:spacing w:line="360" w:lineRule="auto"/>
        <w:rPr>
          <w:rFonts w:hint="eastAsia" w:ascii="仿宋_GB2312" w:hAnsi="仿宋" w:eastAsia="仿宋_GB2312" w:cs="仿宋_GB2312"/>
          <w:b/>
          <w:color w:val="auto"/>
          <w:kern w:val="0"/>
          <w:sz w:val="32"/>
          <w:szCs w:val="32"/>
          <w:highlight w:val="none"/>
          <w:lang w:val="zh-CN"/>
        </w:rPr>
      </w:pPr>
    </w:p>
    <w:p w14:paraId="1135669D">
      <w:pPr>
        <w:shd w:val="clear"/>
        <w:spacing w:line="360" w:lineRule="auto"/>
        <w:jc w:val="center"/>
        <w:rPr>
          <w:rFonts w:hint="eastAsia" w:ascii="仿宋_GB2312" w:hAnsi="仿宋" w:eastAsia="仿宋_GB2312" w:cs="仿宋_GB2312"/>
          <w:b/>
          <w:color w:val="auto"/>
          <w:sz w:val="30"/>
          <w:szCs w:val="30"/>
          <w:highlight w:val="none"/>
        </w:rPr>
      </w:pPr>
      <w:r>
        <w:rPr>
          <w:rFonts w:hint="eastAsia" w:ascii="仿宋_GB2312" w:hAnsi="仿宋" w:eastAsia="仿宋_GB2312" w:cs="仿宋_GB2312"/>
          <w:b/>
          <w:color w:val="auto"/>
          <w:kern w:val="0"/>
          <w:sz w:val="32"/>
          <w:szCs w:val="32"/>
          <w:highlight w:val="none"/>
          <w:lang w:val="zh-CN"/>
        </w:rPr>
        <w:t>一、</w:t>
      </w:r>
      <w:r>
        <w:rPr>
          <w:rFonts w:hint="eastAsia" w:ascii="仿宋_GB2312" w:hAnsi="仿宋" w:eastAsia="仿宋_GB2312" w:cs="仿宋_GB2312"/>
          <w:b/>
          <w:color w:val="auto"/>
          <w:sz w:val="30"/>
          <w:szCs w:val="30"/>
          <w:highlight w:val="none"/>
        </w:rPr>
        <w:t>营业执照(或者事业单位法人证书或者执业许可证等证明材料)复印件（投标人为自然人的，提供自然人的身份证明）</w:t>
      </w:r>
    </w:p>
    <w:p w14:paraId="38C6ED6A">
      <w:pPr>
        <w:shd w:val="clear"/>
        <w:spacing w:line="360" w:lineRule="auto"/>
        <w:rPr>
          <w:rFonts w:hint="eastAsia" w:ascii="仿宋_GB2312" w:hAnsi="仿宋" w:eastAsia="仿宋_GB2312" w:cs="仿宋_GB2312"/>
          <w:b/>
          <w:color w:val="auto"/>
          <w:sz w:val="30"/>
          <w:szCs w:val="30"/>
          <w:highlight w:val="none"/>
        </w:rPr>
      </w:pPr>
    </w:p>
    <w:p w14:paraId="4F169C5D">
      <w:pPr>
        <w:shd w:val="clear"/>
        <w:snapToGrid w:val="0"/>
        <w:spacing w:line="360" w:lineRule="auto"/>
        <w:ind w:firstLine="576"/>
        <w:jc w:val="center"/>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 xml:space="preserve">               投标人名称(电子签章)：                              </w:t>
      </w:r>
    </w:p>
    <w:p w14:paraId="7CA928A9">
      <w:pPr>
        <w:shd w:val="clear"/>
        <w:spacing w:line="360" w:lineRule="auto"/>
        <w:jc w:val="center"/>
        <w:rPr>
          <w:rFonts w:hint="eastAsia" w:ascii="仿宋_GB2312" w:hAnsi="仿宋" w:eastAsia="仿宋_GB2312" w:cs="仿宋_GB2312"/>
          <w:b/>
          <w:color w:val="auto"/>
          <w:sz w:val="30"/>
          <w:szCs w:val="30"/>
          <w:highlight w:val="none"/>
        </w:rPr>
      </w:pPr>
      <w:r>
        <w:rPr>
          <w:rFonts w:hint="eastAsia" w:ascii="仿宋_GB2312" w:hAnsi="仿宋" w:eastAsia="仿宋_GB2312" w:cs="仿宋_GB2312"/>
          <w:color w:val="auto"/>
          <w:kern w:val="0"/>
          <w:sz w:val="24"/>
          <w:highlight w:val="none"/>
          <w:lang w:val="zh-CN"/>
        </w:rPr>
        <w:t xml:space="preserve">                   日期：  年  月</w:t>
      </w:r>
    </w:p>
    <w:p w14:paraId="3F8BFB27">
      <w:pPr>
        <w:shd w:val="clear"/>
        <w:spacing w:line="360" w:lineRule="auto"/>
        <w:jc w:val="center"/>
        <w:rPr>
          <w:rFonts w:hint="eastAsia" w:ascii="仿宋_GB2312" w:hAnsi="仿宋" w:eastAsia="仿宋_GB2312" w:cs="仿宋_GB2312"/>
          <w:b/>
          <w:color w:val="auto"/>
          <w:sz w:val="30"/>
          <w:szCs w:val="30"/>
          <w:highlight w:val="none"/>
        </w:rPr>
      </w:pPr>
    </w:p>
    <w:p w14:paraId="5493B1CA">
      <w:pPr>
        <w:shd w:val="clear"/>
        <w:snapToGrid w:val="0"/>
        <w:spacing w:line="360" w:lineRule="auto"/>
        <w:ind w:right="480"/>
        <w:jc w:val="center"/>
        <w:rPr>
          <w:rFonts w:hint="eastAsia" w:ascii="仿宋_GB2312" w:hAnsi="仿宋" w:eastAsia="仿宋_GB2312" w:cs="仿宋_GB2312"/>
          <w:b/>
          <w:color w:val="auto"/>
          <w:kern w:val="0"/>
          <w:sz w:val="32"/>
          <w:szCs w:val="32"/>
          <w:highlight w:val="none"/>
        </w:rPr>
      </w:pPr>
      <w:r>
        <w:rPr>
          <w:rFonts w:hint="eastAsia" w:ascii="仿宋_GB2312" w:hAnsi="仿宋" w:eastAsia="仿宋_GB2312" w:cs="仿宋_GB2312"/>
          <w:b/>
          <w:color w:val="auto"/>
          <w:sz w:val="30"/>
          <w:szCs w:val="30"/>
          <w:highlight w:val="none"/>
        </w:rPr>
        <w:t>二、</w:t>
      </w:r>
      <w:r>
        <w:rPr>
          <w:rFonts w:hint="eastAsia" w:ascii="仿宋_GB2312" w:hAnsi="仿宋" w:eastAsia="仿宋_GB2312" w:cs="仿宋_GB2312"/>
          <w:b/>
          <w:color w:val="auto"/>
          <w:kern w:val="0"/>
          <w:sz w:val="32"/>
          <w:szCs w:val="32"/>
          <w:highlight w:val="none"/>
        </w:rPr>
        <w:t>符合参与政府采购活动的资格条件依法缴纳税收、社会保障资金等方面的材料</w:t>
      </w:r>
    </w:p>
    <w:p w14:paraId="2924C128">
      <w:pPr>
        <w:shd w:val="clear"/>
        <w:snapToGrid w:val="0"/>
        <w:spacing w:line="360" w:lineRule="auto"/>
        <w:ind w:firstLine="480" w:firstLineChars="200"/>
        <w:rPr>
          <w:rFonts w:hint="eastAsia" w:ascii="仿宋_GB2312" w:hAnsi="仿宋" w:eastAsia="仿宋_GB2312" w:cs="仿宋_GB2312"/>
          <w:color w:val="auto"/>
          <w:sz w:val="24"/>
          <w:highlight w:val="none"/>
        </w:rPr>
      </w:pPr>
    </w:p>
    <w:p w14:paraId="6A5A3449">
      <w:pPr>
        <w:shd w:val="clear"/>
        <w:snapToGrid w:val="0"/>
        <w:spacing w:line="360" w:lineRule="auto"/>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 xml:space="preserve">                                          </w:t>
      </w:r>
    </w:p>
    <w:p w14:paraId="6302F6D1">
      <w:pPr>
        <w:shd w:val="clear"/>
        <w:snapToGrid w:val="0"/>
        <w:spacing w:line="360" w:lineRule="auto"/>
        <w:ind w:firstLine="5040" w:firstLineChars="2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lang w:val="zh-CN"/>
        </w:rPr>
        <w:t xml:space="preserve"> 投标人名称(电子签章)：</w:t>
      </w:r>
    </w:p>
    <w:p w14:paraId="2ABD9354">
      <w:pPr>
        <w:shd w:val="clear"/>
        <w:snapToGrid w:val="0"/>
        <w:spacing w:line="360" w:lineRule="auto"/>
        <w:ind w:firstLine="5160" w:firstLineChars="21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55E690DB">
      <w:pPr>
        <w:shd w:val="clear"/>
        <w:snapToGrid w:val="0"/>
        <w:spacing w:line="360" w:lineRule="auto"/>
        <w:ind w:right="480"/>
        <w:jc w:val="center"/>
        <w:rPr>
          <w:rFonts w:hint="eastAsia" w:ascii="仿宋_GB2312" w:hAnsi="仿宋" w:eastAsia="仿宋_GB2312" w:cs="仿宋_GB2312"/>
          <w:b/>
          <w:color w:val="auto"/>
          <w:kern w:val="0"/>
          <w:sz w:val="32"/>
          <w:szCs w:val="32"/>
          <w:highlight w:val="none"/>
        </w:rPr>
      </w:pPr>
      <w:r>
        <w:rPr>
          <w:rFonts w:hint="eastAsia" w:ascii="仿宋_GB2312" w:hAnsi="仿宋" w:eastAsia="仿宋_GB2312" w:cs="仿宋_GB2312"/>
          <w:b/>
          <w:color w:val="auto"/>
          <w:sz w:val="30"/>
          <w:szCs w:val="30"/>
          <w:highlight w:val="none"/>
        </w:rPr>
        <w:t>三、</w:t>
      </w:r>
      <w:r>
        <w:rPr>
          <w:rFonts w:hint="eastAsia" w:ascii="仿宋_GB2312" w:hAnsi="仿宋" w:eastAsia="仿宋_GB2312" w:cs="仿宋_GB2312"/>
          <w:b/>
          <w:color w:val="auto"/>
          <w:kern w:val="0"/>
          <w:sz w:val="32"/>
          <w:szCs w:val="32"/>
          <w:highlight w:val="none"/>
        </w:rPr>
        <w:t>财务状况报告方面的材料</w:t>
      </w:r>
    </w:p>
    <w:p w14:paraId="41A8323C">
      <w:pPr>
        <w:shd w:val="clear"/>
        <w:snapToGrid w:val="0"/>
        <w:spacing w:line="360" w:lineRule="auto"/>
        <w:ind w:firstLine="480" w:firstLineChars="200"/>
        <w:rPr>
          <w:rFonts w:hint="eastAsia" w:ascii="仿宋_GB2312" w:hAnsi="仿宋" w:eastAsia="仿宋_GB2312" w:cs="仿宋_GB2312"/>
          <w:color w:val="auto"/>
          <w:sz w:val="24"/>
          <w:highlight w:val="none"/>
        </w:rPr>
      </w:pPr>
    </w:p>
    <w:p w14:paraId="4CE8E693">
      <w:pPr>
        <w:shd w:val="clear"/>
        <w:snapToGrid w:val="0"/>
        <w:spacing w:line="360" w:lineRule="auto"/>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 xml:space="preserve">                                          </w:t>
      </w:r>
    </w:p>
    <w:p w14:paraId="56E44100">
      <w:pPr>
        <w:shd w:val="clear"/>
        <w:snapToGrid w:val="0"/>
        <w:spacing w:line="360" w:lineRule="auto"/>
        <w:ind w:firstLine="5040" w:firstLineChars="2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lang w:val="zh-CN"/>
        </w:rPr>
        <w:t xml:space="preserve"> 投标人名称(电子签章)：</w:t>
      </w:r>
    </w:p>
    <w:p w14:paraId="35585BAB">
      <w:pPr>
        <w:shd w:val="clear"/>
        <w:snapToGrid w:val="0"/>
        <w:spacing w:line="360" w:lineRule="auto"/>
        <w:ind w:firstLine="5160" w:firstLineChars="21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71AFBAF4">
      <w:pPr>
        <w:shd w:val="clear"/>
        <w:snapToGrid w:val="0"/>
        <w:spacing w:line="360" w:lineRule="auto"/>
        <w:ind w:firstLine="5160" w:firstLineChars="2150"/>
        <w:rPr>
          <w:rFonts w:hint="eastAsia" w:ascii="仿宋_GB2312" w:hAnsi="仿宋" w:eastAsia="仿宋_GB2312" w:cs="仿宋_GB2312"/>
          <w:color w:val="auto"/>
          <w:kern w:val="0"/>
          <w:sz w:val="24"/>
          <w:highlight w:val="none"/>
          <w:lang w:val="zh-CN"/>
        </w:rPr>
      </w:pPr>
    </w:p>
    <w:p w14:paraId="15230F68">
      <w:pPr>
        <w:shd w:val="clear"/>
        <w:snapToGrid w:val="0"/>
        <w:spacing w:line="360" w:lineRule="auto"/>
        <w:ind w:right="480"/>
        <w:jc w:val="center"/>
        <w:rPr>
          <w:rFonts w:hint="eastAsia" w:ascii="仿宋_GB2312" w:hAnsi="仿宋" w:eastAsia="仿宋_GB2312" w:cs="仿宋_GB2312"/>
          <w:b/>
          <w:color w:val="auto"/>
          <w:kern w:val="0"/>
          <w:sz w:val="32"/>
          <w:szCs w:val="32"/>
          <w:highlight w:val="none"/>
          <w:lang w:val="zh-CN"/>
        </w:rPr>
      </w:pPr>
    </w:p>
    <w:p w14:paraId="3585F299">
      <w:pPr>
        <w:shd w:val="clear"/>
        <w:snapToGrid w:val="0"/>
        <w:spacing w:line="360" w:lineRule="auto"/>
        <w:ind w:right="480"/>
        <w:jc w:val="center"/>
        <w:rPr>
          <w:rFonts w:hint="eastAsia" w:ascii="宋体" w:hAnsi="宋体"/>
          <w:b/>
          <w:color w:val="auto"/>
          <w:sz w:val="28"/>
          <w:szCs w:val="28"/>
          <w:highlight w:val="none"/>
        </w:rPr>
      </w:pPr>
      <w:r>
        <w:rPr>
          <w:rFonts w:ascii="仿宋_GB2312" w:hAnsi="仿宋" w:eastAsia="仿宋_GB2312" w:cs="仿宋_GB2312"/>
          <w:b/>
          <w:color w:val="auto"/>
          <w:kern w:val="0"/>
          <w:sz w:val="32"/>
          <w:szCs w:val="32"/>
          <w:highlight w:val="none"/>
        </w:rPr>
        <w:br w:type="page"/>
      </w:r>
    </w:p>
    <w:p w14:paraId="3265457C">
      <w:pPr>
        <w:shd w:val="clear"/>
        <w:snapToGrid w:val="0"/>
        <w:spacing w:before="50" w:after="165" w:afterLines="50" w:line="360" w:lineRule="auto"/>
        <w:jc w:val="center"/>
        <w:rPr>
          <w:rFonts w:hint="eastAsia" w:ascii="仿宋_GB2312" w:hAnsi="仿宋" w:eastAsia="仿宋_GB2312" w:cs="仿宋_GB2312"/>
          <w:b/>
          <w:color w:val="auto"/>
          <w:kern w:val="0"/>
          <w:sz w:val="32"/>
          <w:szCs w:val="32"/>
          <w:highlight w:val="none"/>
        </w:rPr>
      </w:pPr>
      <w:r>
        <w:rPr>
          <w:rFonts w:hint="eastAsia" w:ascii="仿宋_GB2312" w:hAnsi="仿宋" w:eastAsia="仿宋_GB2312" w:cs="仿宋_GB2312"/>
          <w:b/>
          <w:color w:val="auto"/>
          <w:kern w:val="0"/>
          <w:sz w:val="32"/>
          <w:szCs w:val="32"/>
          <w:highlight w:val="none"/>
        </w:rPr>
        <w:t>四、投标人直接控股股东信息表</w:t>
      </w:r>
    </w:p>
    <w:tbl>
      <w:tblPr>
        <w:tblStyle w:val="33"/>
        <w:tblW w:w="0" w:type="auto"/>
        <w:tblInd w:w="0"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55276C9F">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ADE14D6">
            <w:pPr>
              <w:shd w:val="clea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96A13A7">
            <w:pPr>
              <w:shd w:val="clea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D5E5A45">
            <w:pPr>
              <w:shd w:val="clea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461C2DF">
            <w:pPr>
              <w:shd w:val="clea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2CC7B10">
            <w:pPr>
              <w:shd w:val="clea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629953DE">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97AABF3">
            <w:pPr>
              <w:shd w:val="clea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AAF618">
            <w:pPr>
              <w:shd w:val="clear"/>
              <w:spacing w:line="360" w:lineRule="auto"/>
              <w:jc w:val="center"/>
              <w:rPr>
                <w:rFonts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8C888C9">
            <w:pPr>
              <w:shd w:val="clear"/>
              <w:spacing w:line="360" w:lineRule="auto"/>
              <w:jc w:val="center"/>
              <w:rPr>
                <w:rFonts w:ascii="宋体" w:hAnsi="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42FBEB1">
            <w:pPr>
              <w:shd w:val="clear"/>
              <w:spacing w:line="360" w:lineRule="auto"/>
              <w:jc w:val="center"/>
              <w:rPr>
                <w:rFonts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4D13EF2">
            <w:pPr>
              <w:shd w:val="clear"/>
              <w:spacing w:line="360" w:lineRule="auto"/>
              <w:jc w:val="center"/>
              <w:rPr>
                <w:rFonts w:ascii="宋体" w:hAnsi="宋体" w:cs="宋体"/>
                <w:color w:val="auto"/>
                <w:kern w:val="0"/>
                <w:sz w:val="24"/>
                <w:highlight w:val="none"/>
              </w:rPr>
            </w:pPr>
          </w:p>
        </w:tc>
      </w:tr>
      <w:tr w14:paraId="1F522C44">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9D64C3">
            <w:pPr>
              <w:shd w:val="clea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0D73273">
            <w:pPr>
              <w:shd w:val="clear"/>
              <w:spacing w:line="360" w:lineRule="auto"/>
              <w:jc w:val="center"/>
              <w:rPr>
                <w:rFonts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63C9FF">
            <w:pPr>
              <w:shd w:val="clear"/>
              <w:spacing w:line="360" w:lineRule="auto"/>
              <w:jc w:val="center"/>
              <w:rPr>
                <w:rFonts w:ascii="宋体" w:hAnsi="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47D3FE">
            <w:pPr>
              <w:shd w:val="clear"/>
              <w:spacing w:line="360" w:lineRule="auto"/>
              <w:jc w:val="center"/>
              <w:rPr>
                <w:rFonts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BC903F8">
            <w:pPr>
              <w:shd w:val="clear"/>
              <w:spacing w:line="360" w:lineRule="auto"/>
              <w:jc w:val="center"/>
              <w:rPr>
                <w:rFonts w:ascii="宋体" w:hAnsi="宋体" w:cs="宋体"/>
                <w:color w:val="auto"/>
                <w:kern w:val="0"/>
                <w:sz w:val="24"/>
                <w:highlight w:val="none"/>
              </w:rPr>
            </w:pPr>
          </w:p>
        </w:tc>
      </w:tr>
      <w:tr w14:paraId="74F0688F">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569FD5">
            <w:pPr>
              <w:shd w:val="clea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85EC989">
            <w:pPr>
              <w:shd w:val="clear"/>
              <w:spacing w:line="360" w:lineRule="auto"/>
              <w:jc w:val="center"/>
              <w:rPr>
                <w:rFonts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C8445DE">
            <w:pPr>
              <w:shd w:val="clear"/>
              <w:spacing w:line="360" w:lineRule="auto"/>
              <w:jc w:val="center"/>
              <w:rPr>
                <w:rFonts w:ascii="宋体" w:hAnsi="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1B3BCB5">
            <w:pPr>
              <w:shd w:val="clear"/>
              <w:spacing w:line="360" w:lineRule="auto"/>
              <w:jc w:val="center"/>
              <w:rPr>
                <w:rFonts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AC36445">
            <w:pPr>
              <w:shd w:val="clear"/>
              <w:spacing w:line="360" w:lineRule="auto"/>
              <w:jc w:val="center"/>
              <w:rPr>
                <w:rFonts w:ascii="宋体" w:hAnsi="宋体" w:cs="宋体"/>
                <w:color w:val="auto"/>
                <w:kern w:val="0"/>
                <w:sz w:val="24"/>
                <w:highlight w:val="none"/>
              </w:rPr>
            </w:pPr>
          </w:p>
        </w:tc>
      </w:tr>
      <w:tr w14:paraId="7BBE5008">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7176A95">
            <w:pPr>
              <w:shd w:val="clea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AB51AA">
            <w:pPr>
              <w:shd w:val="clear"/>
              <w:spacing w:line="360" w:lineRule="auto"/>
              <w:jc w:val="center"/>
              <w:rPr>
                <w:rFonts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C13C79A">
            <w:pPr>
              <w:shd w:val="clear"/>
              <w:spacing w:line="360" w:lineRule="auto"/>
              <w:jc w:val="center"/>
              <w:rPr>
                <w:rFonts w:ascii="宋体" w:hAnsi="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BFA0DD3">
            <w:pPr>
              <w:shd w:val="clear"/>
              <w:spacing w:line="360" w:lineRule="auto"/>
              <w:jc w:val="center"/>
              <w:rPr>
                <w:rFonts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135BEDE">
            <w:pPr>
              <w:shd w:val="clear"/>
              <w:spacing w:line="360" w:lineRule="auto"/>
              <w:jc w:val="center"/>
              <w:rPr>
                <w:rFonts w:ascii="宋体" w:hAnsi="宋体" w:cs="宋体"/>
                <w:color w:val="auto"/>
                <w:kern w:val="0"/>
                <w:sz w:val="24"/>
                <w:highlight w:val="none"/>
              </w:rPr>
            </w:pPr>
          </w:p>
        </w:tc>
      </w:tr>
    </w:tbl>
    <w:p w14:paraId="79869BBC">
      <w:pPr>
        <w:shd w:val="clear"/>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注：</w:t>
      </w:r>
    </w:p>
    <w:p w14:paraId="309745B6">
      <w:pPr>
        <w:shd w:val="clear"/>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DFA7CF2">
      <w:pPr>
        <w:shd w:val="clear"/>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2.本表所指的控股关系仅限于直接控股关系，不包括间接的控股关系。公司实际控制人与公司之间的关系不属于本表所指的直接控股关系。</w:t>
      </w:r>
    </w:p>
    <w:p w14:paraId="3FFA620E">
      <w:pPr>
        <w:shd w:val="clear"/>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3.供应商不存在直接控股股东的，则填“无”。</w:t>
      </w:r>
    </w:p>
    <w:p w14:paraId="512CC5B8">
      <w:pPr>
        <w:shd w:val="clear"/>
        <w:snapToGrid w:val="0"/>
        <w:spacing w:line="360" w:lineRule="auto"/>
        <w:jc w:val="left"/>
        <w:rPr>
          <w:rFonts w:hint="eastAsia" w:ascii="宋体" w:hAnsi="宋体"/>
          <w:color w:val="auto"/>
          <w:sz w:val="24"/>
          <w:highlight w:val="none"/>
        </w:rPr>
      </w:pPr>
    </w:p>
    <w:p w14:paraId="4AFB30C0">
      <w:pPr>
        <w:shd w:val="clear"/>
        <w:snapToGrid w:val="0"/>
        <w:spacing w:line="360" w:lineRule="auto"/>
        <w:jc w:val="left"/>
        <w:rPr>
          <w:rFonts w:hint="eastAsia" w:ascii="宋体" w:hAnsi="宋体"/>
          <w:color w:val="auto"/>
          <w:sz w:val="24"/>
          <w:highlight w:val="none"/>
        </w:rPr>
      </w:pPr>
    </w:p>
    <w:p w14:paraId="3826D35B">
      <w:pPr>
        <w:shd w:val="clear"/>
        <w:snapToGrid w:val="0"/>
        <w:spacing w:line="360" w:lineRule="auto"/>
        <w:jc w:val="left"/>
        <w:rPr>
          <w:rFonts w:hint="eastAsia" w:ascii="宋体" w:hAnsi="宋体"/>
          <w:color w:val="auto"/>
          <w:sz w:val="24"/>
          <w:highlight w:val="none"/>
        </w:rPr>
      </w:pPr>
    </w:p>
    <w:p w14:paraId="2AC1C56B">
      <w:pPr>
        <w:shd w:val="clear"/>
        <w:snapToGrid w:val="0"/>
        <w:spacing w:line="360" w:lineRule="auto"/>
        <w:jc w:val="left"/>
        <w:rPr>
          <w:rFonts w:hint="eastAsia" w:ascii="宋体" w:hAnsi="宋体"/>
          <w:color w:val="auto"/>
          <w:sz w:val="24"/>
          <w:highlight w:val="none"/>
        </w:rPr>
      </w:pPr>
    </w:p>
    <w:p w14:paraId="37734E3F">
      <w:pPr>
        <w:shd w:val="clear"/>
        <w:snapToGrid w:val="0"/>
        <w:spacing w:line="360" w:lineRule="auto"/>
        <w:jc w:val="left"/>
        <w:rPr>
          <w:rFonts w:hint="eastAsia" w:ascii="宋体" w:hAnsi="宋体"/>
          <w:color w:val="auto"/>
          <w:sz w:val="24"/>
          <w:highlight w:val="none"/>
        </w:rPr>
      </w:pPr>
    </w:p>
    <w:p w14:paraId="507724C6">
      <w:pPr>
        <w:shd w:val="clear"/>
        <w:snapToGrid w:val="0"/>
        <w:spacing w:line="360" w:lineRule="auto"/>
        <w:ind w:firstLine="5040" w:firstLineChars="2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lang w:val="zh-CN"/>
        </w:rPr>
        <w:t>投标人名称(电子签章)：</w:t>
      </w:r>
    </w:p>
    <w:p w14:paraId="103DDFB3">
      <w:pPr>
        <w:shd w:val="clear"/>
        <w:snapToGrid w:val="0"/>
        <w:spacing w:line="360" w:lineRule="auto"/>
        <w:ind w:firstLine="5160" w:firstLineChars="21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33D53D3E">
      <w:pPr>
        <w:shd w:val="clear"/>
        <w:snapToGrid w:val="0"/>
        <w:jc w:val="center"/>
        <w:rPr>
          <w:rFonts w:hint="eastAsia" w:ascii="宋体" w:hAnsi="宋体"/>
          <w:b/>
          <w:color w:val="auto"/>
          <w:sz w:val="28"/>
          <w:szCs w:val="28"/>
          <w:highlight w:val="none"/>
        </w:rPr>
      </w:pPr>
      <w:r>
        <w:rPr>
          <w:rFonts w:ascii="宋体" w:hAnsi="宋体"/>
          <w:b/>
          <w:color w:val="auto"/>
          <w:sz w:val="28"/>
          <w:szCs w:val="28"/>
          <w:highlight w:val="none"/>
        </w:rPr>
        <w:br w:type="page"/>
      </w:r>
    </w:p>
    <w:p w14:paraId="79768621">
      <w:pPr>
        <w:shd w:val="clear"/>
        <w:snapToGrid w:val="0"/>
        <w:spacing w:line="360" w:lineRule="auto"/>
        <w:jc w:val="center"/>
        <w:rPr>
          <w:rFonts w:hint="eastAsia" w:ascii="宋体" w:hAnsi="宋体"/>
          <w:color w:val="auto"/>
          <w:sz w:val="32"/>
          <w:szCs w:val="32"/>
          <w:highlight w:val="none"/>
        </w:rPr>
      </w:pPr>
      <w:r>
        <w:rPr>
          <w:rFonts w:hint="eastAsia" w:ascii="宋体" w:hAnsi="宋体"/>
          <w:b/>
          <w:color w:val="auto"/>
          <w:sz w:val="32"/>
          <w:szCs w:val="32"/>
          <w:highlight w:val="none"/>
        </w:rPr>
        <w:t>五、投标人直接管理关系信息表</w:t>
      </w:r>
    </w:p>
    <w:tbl>
      <w:tblPr>
        <w:tblStyle w:val="33"/>
        <w:tblW w:w="0" w:type="auto"/>
        <w:tblInd w:w="0" w:type="dxa"/>
        <w:shd w:val="clear" w:color="auto" w:fill="FBFBFB"/>
        <w:tblLayout w:type="fixed"/>
        <w:tblCellMar>
          <w:top w:w="0" w:type="dxa"/>
          <w:left w:w="0" w:type="dxa"/>
          <w:bottom w:w="0" w:type="dxa"/>
          <w:right w:w="0" w:type="dxa"/>
        </w:tblCellMar>
      </w:tblPr>
      <w:tblGrid>
        <w:gridCol w:w="1005"/>
        <w:gridCol w:w="2659"/>
        <w:gridCol w:w="3924"/>
        <w:gridCol w:w="2064"/>
      </w:tblGrid>
      <w:tr w14:paraId="74CCFE5C">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2CB408E">
            <w:pPr>
              <w:shd w:val="clea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B707EC3">
            <w:pPr>
              <w:shd w:val="clea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F4048F1">
            <w:pPr>
              <w:shd w:val="clea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9FC8D00">
            <w:pPr>
              <w:shd w:val="clea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3193ABF8">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8BEAC2">
            <w:pPr>
              <w:shd w:val="clea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376D4F1">
            <w:pPr>
              <w:shd w:val="clear"/>
              <w:spacing w:line="360" w:lineRule="auto"/>
              <w:jc w:val="center"/>
              <w:rPr>
                <w:rFonts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9F8A707">
            <w:pPr>
              <w:shd w:val="clear"/>
              <w:spacing w:line="360" w:lineRule="auto"/>
              <w:jc w:val="center"/>
              <w:rPr>
                <w:rFonts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2C94B63">
            <w:pPr>
              <w:shd w:val="clear"/>
              <w:spacing w:line="360" w:lineRule="auto"/>
              <w:jc w:val="center"/>
              <w:rPr>
                <w:rFonts w:ascii="宋体" w:hAnsi="宋体" w:cs="宋体"/>
                <w:color w:val="auto"/>
                <w:kern w:val="0"/>
                <w:sz w:val="24"/>
                <w:highlight w:val="none"/>
              </w:rPr>
            </w:pPr>
          </w:p>
        </w:tc>
      </w:tr>
      <w:tr w14:paraId="09E0B872">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34508F">
            <w:pPr>
              <w:shd w:val="clea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0277E">
            <w:pPr>
              <w:shd w:val="clear"/>
              <w:spacing w:line="360" w:lineRule="auto"/>
              <w:jc w:val="center"/>
              <w:rPr>
                <w:rFonts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CC0781A">
            <w:pPr>
              <w:shd w:val="clear"/>
              <w:spacing w:line="360" w:lineRule="auto"/>
              <w:jc w:val="center"/>
              <w:rPr>
                <w:rFonts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666A0C9">
            <w:pPr>
              <w:shd w:val="clear"/>
              <w:spacing w:line="360" w:lineRule="auto"/>
              <w:jc w:val="center"/>
              <w:rPr>
                <w:rFonts w:ascii="宋体" w:hAnsi="宋体" w:cs="宋体"/>
                <w:color w:val="auto"/>
                <w:kern w:val="0"/>
                <w:sz w:val="24"/>
                <w:highlight w:val="none"/>
              </w:rPr>
            </w:pPr>
          </w:p>
        </w:tc>
      </w:tr>
      <w:tr w14:paraId="518AE386">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39FF4C">
            <w:pPr>
              <w:shd w:val="clea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0585B10">
            <w:pPr>
              <w:shd w:val="clear"/>
              <w:spacing w:line="360" w:lineRule="auto"/>
              <w:jc w:val="center"/>
              <w:rPr>
                <w:rFonts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2005BEE">
            <w:pPr>
              <w:shd w:val="clear"/>
              <w:spacing w:line="360" w:lineRule="auto"/>
              <w:jc w:val="center"/>
              <w:rPr>
                <w:rFonts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D03D29E">
            <w:pPr>
              <w:shd w:val="clear"/>
              <w:spacing w:line="360" w:lineRule="auto"/>
              <w:jc w:val="center"/>
              <w:rPr>
                <w:rFonts w:ascii="宋体" w:hAnsi="宋体" w:cs="宋体"/>
                <w:color w:val="auto"/>
                <w:kern w:val="0"/>
                <w:sz w:val="24"/>
                <w:highlight w:val="none"/>
              </w:rPr>
            </w:pPr>
          </w:p>
        </w:tc>
      </w:tr>
      <w:tr w14:paraId="2180AD57">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BB405B">
            <w:pPr>
              <w:shd w:val="clea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8D007E">
            <w:pPr>
              <w:shd w:val="clear"/>
              <w:spacing w:line="360" w:lineRule="auto"/>
              <w:jc w:val="center"/>
              <w:rPr>
                <w:rFonts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3F0E65D">
            <w:pPr>
              <w:shd w:val="clear"/>
              <w:spacing w:line="360" w:lineRule="auto"/>
              <w:jc w:val="center"/>
              <w:rPr>
                <w:rFonts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1F02BA1">
            <w:pPr>
              <w:shd w:val="clear"/>
              <w:spacing w:line="360" w:lineRule="auto"/>
              <w:jc w:val="center"/>
              <w:rPr>
                <w:rFonts w:ascii="宋体" w:hAnsi="宋体" w:cs="宋体"/>
                <w:color w:val="auto"/>
                <w:kern w:val="0"/>
                <w:sz w:val="24"/>
                <w:highlight w:val="none"/>
              </w:rPr>
            </w:pPr>
          </w:p>
        </w:tc>
      </w:tr>
    </w:tbl>
    <w:p w14:paraId="596C3A5C">
      <w:pPr>
        <w:shd w:val="clear"/>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注：</w:t>
      </w:r>
    </w:p>
    <w:p w14:paraId="6CAAE1B7">
      <w:pPr>
        <w:shd w:val="clear"/>
        <w:snapToGrid w:val="0"/>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1.管理关系：是指不具有出资持股关系的其他单位之间存在的管理与被管理关系，如一些上下级关系的事业单位和团体组织。</w:t>
      </w:r>
    </w:p>
    <w:p w14:paraId="1E728E01">
      <w:pPr>
        <w:shd w:val="clear"/>
        <w:snapToGrid w:val="0"/>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2.</w:t>
      </w:r>
      <w:r>
        <w:rPr>
          <w:rFonts w:hint="eastAsia" w:ascii="宋体" w:hAnsi="宋体"/>
          <w:color w:val="auto"/>
          <w:spacing w:val="-6"/>
          <w:sz w:val="24"/>
          <w:highlight w:val="none"/>
        </w:rPr>
        <w:t>本表所指的管理关系仅限于直接管理关系，不包括间接的管理关系。</w:t>
      </w:r>
    </w:p>
    <w:p w14:paraId="3511AA53">
      <w:pPr>
        <w:shd w:val="clear"/>
        <w:snapToGrid w:val="0"/>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3.供应商不存在直接管理关系的，则填“无”。</w:t>
      </w:r>
    </w:p>
    <w:p w14:paraId="61E8EC29">
      <w:pPr>
        <w:shd w:val="clear"/>
        <w:snapToGrid w:val="0"/>
        <w:spacing w:line="360" w:lineRule="auto"/>
        <w:jc w:val="left"/>
        <w:rPr>
          <w:rFonts w:hint="eastAsia" w:ascii="宋体" w:hAnsi="宋体"/>
          <w:color w:val="auto"/>
          <w:sz w:val="24"/>
          <w:highlight w:val="none"/>
        </w:rPr>
      </w:pPr>
    </w:p>
    <w:p w14:paraId="29A7D140">
      <w:pPr>
        <w:shd w:val="clear"/>
        <w:snapToGrid w:val="0"/>
        <w:spacing w:line="360" w:lineRule="auto"/>
        <w:jc w:val="left"/>
        <w:rPr>
          <w:rFonts w:hint="eastAsia" w:ascii="宋体" w:hAnsi="宋体"/>
          <w:color w:val="auto"/>
          <w:sz w:val="24"/>
          <w:highlight w:val="none"/>
        </w:rPr>
      </w:pPr>
    </w:p>
    <w:p w14:paraId="761550EF">
      <w:pPr>
        <w:shd w:val="clear"/>
        <w:snapToGrid w:val="0"/>
        <w:spacing w:line="360" w:lineRule="auto"/>
        <w:jc w:val="left"/>
        <w:rPr>
          <w:rFonts w:hint="eastAsia" w:ascii="宋体" w:hAnsi="宋体"/>
          <w:color w:val="auto"/>
          <w:sz w:val="24"/>
          <w:highlight w:val="none"/>
        </w:rPr>
      </w:pPr>
    </w:p>
    <w:p w14:paraId="19C51BB1">
      <w:pPr>
        <w:shd w:val="clear"/>
        <w:snapToGrid w:val="0"/>
        <w:spacing w:line="360" w:lineRule="auto"/>
        <w:jc w:val="left"/>
        <w:rPr>
          <w:rFonts w:hint="eastAsia"/>
          <w:color w:val="auto"/>
          <w:sz w:val="24"/>
          <w:highlight w:val="none"/>
        </w:rPr>
      </w:pPr>
    </w:p>
    <w:p w14:paraId="62C3460E">
      <w:pPr>
        <w:shd w:val="clear"/>
        <w:snapToGrid w:val="0"/>
        <w:spacing w:line="360" w:lineRule="auto"/>
        <w:jc w:val="left"/>
        <w:rPr>
          <w:rFonts w:hint="eastAsia"/>
          <w:color w:val="auto"/>
          <w:sz w:val="24"/>
          <w:highlight w:val="none"/>
        </w:rPr>
      </w:pPr>
    </w:p>
    <w:p w14:paraId="54CBD06C">
      <w:pPr>
        <w:shd w:val="clear"/>
        <w:snapToGrid w:val="0"/>
        <w:spacing w:line="360" w:lineRule="auto"/>
        <w:jc w:val="left"/>
        <w:rPr>
          <w:rFonts w:hint="eastAsia"/>
          <w:color w:val="auto"/>
          <w:sz w:val="24"/>
          <w:highlight w:val="none"/>
        </w:rPr>
      </w:pPr>
    </w:p>
    <w:p w14:paraId="23A14C23">
      <w:pPr>
        <w:shd w:val="clear"/>
        <w:snapToGrid w:val="0"/>
        <w:spacing w:line="360" w:lineRule="auto"/>
        <w:jc w:val="left"/>
        <w:rPr>
          <w:rFonts w:hint="eastAsia" w:ascii="宋体" w:hAnsi="宋体"/>
          <w:color w:val="auto"/>
          <w:sz w:val="24"/>
          <w:highlight w:val="none"/>
        </w:rPr>
      </w:pPr>
    </w:p>
    <w:p w14:paraId="3BECC243">
      <w:pPr>
        <w:shd w:val="clear"/>
        <w:snapToGrid w:val="0"/>
        <w:spacing w:line="360" w:lineRule="auto"/>
        <w:jc w:val="left"/>
        <w:rPr>
          <w:rFonts w:hint="eastAsia" w:ascii="宋体" w:hAnsi="宋体"/>
          <w:color w:val="auto"/>
          <w:sz w:val="24"/>
          <w:highlight w:val="none"/>
        </w:rPr>
      </w:pPr>
    </w:p>
    <w:p w14:paraId="758C33F8">
      <w:pPr>
        <w:shd w:val="clear"/>
        <w:snapToGrid w:val="0"/>
        <w:spacing w:line="360" w:lineRule="auto"/>
        <w:ind w:firstLine="5040" w:firstLineChars="2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lang w:val="zh-CN"/>
        </w:rPr>
        <w:t>投标人名称(电子签章)：</w:t>
      </w:r>
    </w:p>
    <w:p w14:paraId="6101A015">
      <w:pPr>
        <w:shd w:val="clear"/>
        <w:snapToGrid w:val="0"/>
        <w:spacing w:line="360" w:lineRule="auto"/>
        <w:ind w:firstLine="5160" w:firstLineChars="21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08B6C574">
      <w:pPr>
        <w:shd w:val="clear"/>
        <w:snapToGrid w:val="0"/>
        <w:spacing w:before="50" w:after="165" w:afterLines="50"/>
        <w:jc w:val="left"/>
        <w:rPr>
          <w:rFonts w:hint="eastAsia" w:ascii="宋体" w:hAnsi="宋体"/>
          <w:color w:val="auto"/>
          <w:szCs w:val="21"/>
          <w:highlight w:val="none"/>
        </w:rPr>
      </w:pPr>
    </w:p>
    <w:p w14:paraId="688B8BE1">
      <w:pPr>
        <w:shd w:val="clear"/>
        <w:snapToGrid w:val="0"/>
        <w:spacing w:before="165" w:beforeLines="50" w:after="50"/>
        <w:jc w:val="left"/>
        <w:rPr>
          <w:rFonts w:hint="eastAsia" w:ascii="宋体" w:hAnsi="宋体"/>
          <w:b/>
          <w:color w:val="auto"/>
          <w:sz w:val="24"/>
          <w:szCs w:val="20"/>
          <w:highlight w:val="none"/>
        </w:rPr>
      </w:pPr>
    </w:p>
    <w:p w14:paraId="6AA0A592">
      <w:pPr>
        <w:shd w:val="clear"/>
        <w:snapToGrid w:val="0"/>
        <w:spacing w:before="165" w:beforeLines="50" w:after="50"/>
        <w:jc w:val="left"/>
        <w:rPr>
          <w:rFonts w:hint="eastAsia" w:ascii="宋体" w:hAnsi="宋体"/>
          <w:b/>
          <w:color w:val="auto"/>
          <w:sz w:val="24"/>
          <w:highlight w:val="none"/>
        </w:rPr>
      </w:pPr>
    </w:p>
    <w:p w14:paraId="2C7E43DC">
      <w:pPr>
        <w:shd w:val="clear"/>
        <w:snapToGrid w:val="0"/>
        <w:spacing w:before="165" w:beforeLines="50" w:after="50"/>
        <w:jc w:val="left"/>
        <w:rPr>
          <w:rFonts w:hint="eastAsia" w:ascii="宋体" w:hAnsi="宋体"/>
          <w:b/>
          <w:color w:val="auto"/>
          <w:sz w:val="24"/>
          <w:szCs w:val="20"/>
          <w:highlight w:val="none"/>
        </w:rPr>
      </w:pPr>
      <w:r>
        <w:rPr>
          <w:rFonts w:hint="eastAsia" w:ascii="宋体" w:hAnsi="宋体"/>
          <w:b/>
          <w:color w:val="auto"/>
          <w:sz w:val="24"/>
          <w:szCs w:val="20"/>
          <w:highlight w:val="none"/>
        </w:rPr>
        <w:t xml:space="preserve"> </w:t>
      </w:r>
    </w:p>
    <w:p w14:paraId="05C58FF2">
      <w:pPr>
        <w:shd w:val="clear"/>
        <w:snapToGrid w:val="0"/>
        <w:spacing w:before="165" w:beforeLines="50" w:after="50"/>
        <w:jc w:val="left"/>
        <w:rPr>
          <w:rFonts w:hint="eastAsia" w:ascii="宋体" w:hAnsi="宋体"/>
          <w:b/>
          <w:color w:val="auto"/>
          <w:sz w:val="24"/>
          <w:szCs w:val="20"/>
          <w:highlight w:val="none"/>
        </w:rPr>
      </w:pPr>
    </w:p>
    <w:p w14:paraId="645A8DEC">
      <w:pPr>
        <w:shd w:val="clear"/>
        <w:snapToGrid w:val="0"/>
        <w:spacing w:before="165" w:beforeLines="50" w:after="50"/>
        <w:jc w:val="left"/>
        <w:rPr>
          <w:rFonts w:hint="eastAsia" w:ascii="宋体" w:hAnsi="宋体"/>
          <w:b/>
          <w:color w:val="auto"/>
          <w:sz w:val="24"/>
          <w:szCs w:val="20"/>
          <w:highlight w:val="none"/>
        </w:rPr>
      </w:pPr>
    </w:p>
    <w:p w14:paraId="2E303F95">
      <w:pPr>
        <w:shd w:val="clear"/>
        <w:snapToGrid w:val="0"/>
        <w:spacing w:before="50" w:after="165" w:afterLines="50"/>
        <w:jc w:val="left"/>
        <w:rPr>
          <w:rFonts w:hint="eastAsia" w:ascii="宋体" w:hAnsi="宋体"/>
          <w:color w:val="auto"/>
          <w:highlight w:val="none"/>
        </w:rPr>
      </w:pPr>
    </w:p>
    <w:p w14:paraId="5F1700DD">
      <w:pPr>
        <w:shd w:val="clear"/>
        <w:snapToGrid w:val="0"/>
        <w:spacing w:before="50" w:after="165" w:afterLines="50"/>
        <w:jc w:val="center"/>
        <w:rPr>
          <w:rFonts w:hint="eastAsia" w:ascii="宋体" w:hAnsi="宋体"/>
          <w:b/>
          <w:color w:val="auto"/>
          <w:sz w:val="32"/>
          <w:szCs w:val="32"/>
          <w:highlight w:val="none"/>
        </w:rPr>
      </w:pPr>
      <w:r>
        <w:rPr>
          <w:rFonts w:hint="eastAsia" w:ascii="宋体" w:hAnsi="宋体"/>
          <w:b/>
          <w:color w:val="auto"/>
          <w:sz w:val="32"/>
          <w:szCs w:val="32"/>
          <w:highlight w:val="none"/>
        </w:rPr>
        <w:t>六、投标资格声明函</w:t>
      </w:r>
    </w:p>
    <w:p w14:paraId="2460E58F">
      <w:pPr>
        <w:shd w:val="clear"/>
        <w:tabs>
          <w:tab w:val="left" w:pos="7200"/>
        </w:tabs>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致：</w:t>
      </w:r>
      <w:r>
        <w:rPr>
          <w:rFonts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（采购人名称）</w:t>
      </w:r>
      <w:r>
        <w:rPr>
          <w:rFonts w:ascii="宋体" w:hAnsi="宋体"/>
          <w:color w:val="auto"/>
          <w:sz w:val="21"/>
          <w:szCs w:val="21"/>
          <w:highlight w:val="none"/>
          <w:u w:val="single"/>
        </w:rPr>
        <w:t xml:space="preserve"> </w:t>
      </w:r>
    </w:p>
    <w:p w14:paraId="0704EEA3">
      <w:pPr>
        <w:shd w:val="clear"/>
        <w:snapToGrid w:val="0"/>
        <w:spacing w:line="360" w:lineRule="auto"/>
        <w:ind w:firstLine="420" w:firstLineChars="200"/>
        <w:jc w:val="left"/>
        <w:rPr>
          <w:rFonts w:ascii="宋体" w:hAnsi="宋体"/>
          <w:color w:val="auto"/>
          <w:sz w:val="21"/>
          <w:szCs w:val="21"/>
          <w:highlight w:val="none"/>
        </w:rPr>
      </w:pPr>
      <w:r>
        <w:rPr>
          <w:rFonts w:hint="eastAsia" w:ascii="宋体" w:hAnsi="宋体"/>
          <w:color w:val="auto"/>
          <w:sz w:val="21"/>
          <w:szCs w:val="21"/>
          <w:highlight w:val="none"/>
        </w:rPr>
        <w:t>我方愿意参加贵方组织的</w:t>
      </w:r>
      <w:bookmarkStart w:id="25" w:name="PO_3000001867_PM002_3"/>
      <w:r>
        <w:rPr>
          <w:rFonts w:hint="eastAsia" w:ascii="宋体" w:hAnsi="宋体"/>
          <w:color w:val="auto"/>
          <w:sz w:val="21"/>
          <w:szCs w:val="21"/>
          <w:highlight w:val="none"/>
          <w:u w:val="single"/>
          <w:lang w:val="en-US" w:eastAsia="zh-CN"/>
        </w:rPr>
        <w:t xml:space="preserve"> </w:t>
      </w:r>
      <w:bookmarkEnd w:id="25"/>
      <w:r>
        <w:rPr>
          <w:rFonts w:hint="eastAsia" w:ascii="宋体" w:hAnsi="宋体"/>
          <w:color w:val="auto"/>
          <w:sz w:val="21"/>
          <w:szCs w:val="21"/>
          <w:highlight w:val="none"/>
          <w:u w:val="single"/>
          <w:lang w:eastAsia="zh-CN"/>
        </w:rPr>
        <w:t>（</w:t>
      </w:r>
      <w:r>
        <w:rPr>
          <w:rFonts w:hint="eastAsia" w:ascii="宋体" w:hAnsi="宋体"/>
          <w:color w:val="auto"/>
          <w:sz w:val="21"/>
          <w:szCs w:val="21"/>
          <w:highlight w:val="none"/>
          <w:u w:val="single"/>
          <w:lang w:val="en-US" w:eastAsia="zh-CN"/>
        </w:rPr>
        <w:t>项目名称</w:t>
      </w:r>
      <w:r>
        <w:rPr>
          <w:rFonts w:hint="eastAsia" w:ascii="宋体" w:hAnsi="宋体"/>
          <w:color w:val="auto"/>
          <w:sz w:val="21"/>
          <w:szCs w:val="21"/>
          <w:highlight w:val="none"/>
          <w:u w:val="single"/>
          <w:lang w:eastAsia="zh-CN"/>
        </w:rPr>
        <w:t>）</w:t>
      </w:r>
      <w:r>
        <w:rPr>
          <w:rFonts w:hint="eastAsia" w:ascii="宋体" w:hAnsi="宋体"/>
          <w:color w:val="auto"/>
          <w:sz w:val="21"/>
          <w:szCs w:val="21"/>
          <w:highlight w:val="none"/>
        </w:rPr>
        <w:t>（项目编号：</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rPr>
        <w:t>）项目的投标，为便于贵方公正、择优地确定中标人，我方就本次投标有关事项郑重声明如下：</w:t>
      </w:r>
    </w:p>
    <w:p w14:paraId="261F5F5B">
      <w:pPr>
        <w:shd w:val="clear"/>
        <w:snapToGrid w:val="0"/>
        <w:spacing w:line="360" w:lineRule="auto"/>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1.我方承诺已经具备《中华人民共和国政府采购法》第二十二条中规定的参加政府采购活动的供应商应当具备的条件并按本项目投标文件“第三章”“第二节投标人须知前附表”中“资格证明文件组成”完整提供证明材料。</w:t>
      </w:r>
    </w:p>
    <w:p w14:paraId="3305210F">
      <w:pPr>
        <w:shd w:val="clear"/>
        <w:snapToGrid w:val="0"/>
        <w:spacing w:line="360" w:lineRule="auto"/>
        <w:ind w:firstLine="420" w:firstLineChars="200"/>
        <w:jc w:val="left"/>
        <w:rPr>
          <w:rFonts w:hint="eastAsia" w:ascii="宋体" w:hAnsi="宋体"/>
          <w:color w:val="auto"/>
          <w:sz w:val="21"/>
          <w:szCs w:val="21"/>
          <w:highlight w:val="none"/>
        </w:rPr>
      </w:pPr>
      <w:r>
        <w:rPr>
          <w:rFonts w:ascii="宋体" w:hAnsi="宋体"/>
          <w:color w:val="auto"/>
          <w:sz w:val="21"/>
          <w:szCs w:val="21"/>
          <w:highlight w:val="none"/>
        </w:rPr>
        <w:t xml:space="preserve">2. </w:t>
      </w:r>
      <w:r>
        <w:rPr>
          <w:rFonts w:hint="eastAsia" w:ascii="宋体" w:hAnsi="宋体"/>
          <w:color w:val="auto"/>
          <w:sz w:val="21"/>
          <w:szCs w:val="21"/>
          <w:highlight w:val="none"/>
        </w:rPr>
        <w:t>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73AFB926">
      <w:pPr>
        <w:shd w:val="clear"/>
        <w:snapToGrid w:val="0"/>
        <w:spacing w:line="360" w:lineRule="auto"/>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3.经查询，在“信用中国”和“中国政府采购网”网站我方未被列入失信被执行人、重大税收违法失信主体、政府采购严重违法失信行为记录名单。</w:t>
      </w:r>
    </w:p>
    <w:p w14:paraId="20DF2B8F">
      <w:pPr>
        <w:shd w:val="clear"/>
        <w:snapToGrid w:val="0"/>
        <w:spacing w:line="360" w:lineRule="auto"/>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 xml:space="preserve">4.以上事项如有虚假或隐瞒，我方愿意承担一切后果，并不再寻求任何旨在减轻或免除法律责任的辩解。 </w:t>
      </w:r>
    </w:p>
    <w:p w14:paraId="0C58FED1">
      <w:pPr>
        <w:shd w:val="clear"/>
        <w:tabs>
          <w:tab w:val="left" w:pos="7200"/>
        </w:tabs>
        <w:spacing w:line="360" w:lineRule="auto"/>
        <w:ind w:firstLine="315" w:firstLineChars="150"/>
        <w:rPr>
          <w:rFonts w:ascii="宋体" w:hAnsi="宋体"/>
          <w:color w:val="auto"/>
          <w:sz w:val="21"/>
          <w:szCs w:val="21"/>
          <w:highlight w:val="none"/>
        </w:rPr>
      </w:pPr>
      <w:r>
        <w:rPr>
          <w:rFonts w:hint="eastAsia" w:ascii="宋体" w:hAnsi="宋体"/>
          <w:color w:val="auto"/>
          <w:sz w:val="21"/>
          <w:szCs w:val="21"/>
          <w:highlight w:val="none"/>
        </w:rPr>
        <w:t>说明：</w:t>
      </w:r>
    </w:p>
    <w:p w14:paraId="4351A4C4">
      <w:pPr>
        <w:shd w:val="clear"/>
        <w:spacing w:line="360" w:lineRule="auto"/>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1.投标人应当通过 “信用中国”（www.creditchina.gov.cn）和“中国政府采购网”网站（www.ccgp.gov.cn）查询投标人相关主体的信用记录。查询时间为本项目投标截止时间前10日至投标截止时间中任意一天。对列入失信被执行人、重大税收违法失信主体、政府采购严重违法失信行为记录名单的投标人，将被拒绝参与本项目政府采购活动。</w:t>
      </w:r>
    </w:p>
    <w:p w14:paraId="4E2AC97F">
      <w:pPr>
        <w:shd w:val="clear"/>
        <w:spacing w:line="360" w:lineRule="auto"/>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2.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7B86CB9D">
      <w:pPr>
        <w:shd w:val="clear"/>
        <w:snapToGrid w:val="0"/>
        <w:spacing w:before="50" w:after="165" w:afterLines="50" w:line="360" w:lineRule="auto"/>
        <w:jc w:val="left"/>
        <w:rPr>
          <w:rFonts w:ascii="宋体" w:hAnsi="宋体"/>
          <w:color w:val="auto"/>
          <w:sz w:val="21"/>
          <w:szCs w:val="21"/>
          <w:highlight w:val="none"/>
        </w:rPr>
      </w:pPr>
      <w:r>
        <w:rPr>
          <w:rFonts w:hint="eastAsia" w:ascii="宋体" w:hAnsi="宋体"/>
          <w:color w:val="auto"/>
          <w:sz w:val="21"/>
          <w:szCs w:val="21"/>
          <w:highlight w:val="none"/>
        </w:rPr>
        <w:t xml:space="preserve"> </w:t>
      </w:r>
      <w:r>
        <w:rPr>
          <w:rFonts w:hint="eastAsia" w:ascii="宋体" w:hAnsi="宋体"/>
          <w:b/>
          <w:color w:val="auto"/>
          <w:sz w:val="21"/>
          <w:szCs w:val="21"/>
          <w:highlight w:val="none"/>
        </w:rPr>
        <w:t xml:space="preserve">  3.如为联合体投标，盖章处须加盖联合体各方公章并由联合体各方法定代表人分别签署，否则投标无效。</w:t>
      </w:r>
    </w:p>
    <w:p w14:paraId="5CD560D4">
      <w:pPr>
        <w:shd w:val="clear"/>
        <w:snapToGrid w:val="0"/>
        <w:spacing w:before="50" w:after="331" w:afterLines="100" w:line="360" w:lineRule="auto"/>
        <w:jc w:val="left"/>
        <w:rPr>
          <w:rFonts w:hint="eastAsia" w:ascii="宋体" w:hAnsi="宋体"/>
          <w:color w:val="auto"/>
          <w:sz w:val="24"/>
          <w:highlight w:val="none"/>
        </w:rPr>
      </w:pPr>
      <w:r>
        <w:rPr>
          <w:rFonts w:hint="eastAsia" w:ascii="宋体" w:hAnsi="宋体"/>
          <w:color w:val="auto"/>
          <w:sz w:val="24"/>
          <w:highlight w:val="none"/>
        </w:rPr>
        <w:t xml:space="preserve">                                     </w:t>
      </w:r>
    </w:p>
    <w:p w14:paraId="4A166B50">
      <w:pPr>
        <w:shd w:val="clear"/>
        <w:snapToGrid w:val="0"/>
        <w:spacing w:before="50" w:after="331" w:afterLines="100" w:line="360" w:lineRule="auto"/>
        <w:ind w:left="7083" w:leftChars="2223" w:hanging="2415" w:hangingChars="115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kern w:val="0"/>
          <w:sz w:val="21"/>
          <w:szCs w:val="21"/>
          <w:highlight w:val="none"/>
          <w:lang w:val="zh-CN"/>
        </w:rPr>
        <w:t>投标人名称(电子签章)：</w:t>
      </w:r>
      <w:r>
        <w:rPr>
          <w:rFonts w:hint="eastAsia" w:ascii="宋体" w:hAnsi="宋体" w:eastAsia="宋体" w:cs="宋体"/>
          <w:color w:val="auto"/>
          <w:sz w:val="21"/>
          <w:szCs w:val="21"/>
          <w:highlight w:val="none"/>
        </w:rPr>
        <w:t xml:space="preserve">                                     年    月    日</w:t>
      </w:r>
    </w:p>
    <w:p w14:paraId="25773C29">
      <w:pPr>
        <w:shd w:val="clear"/>
        <w:spacing w:line="600" w:lineRule="exact"/>
        <w:jc w:val="center"/>
        <w:rPr>
          <w:rFonts w:hint="eastAsia"/>
          <w:b/>
          <w:bCs/>
          <w:color w:val="auto"/>
          <w:sz w:val="30"/>
          <w:szCs w:val="30"/>
          <w:highlight w:val="none"/>
        </w:rPr>
      </w:pPr>
    </w:p>
    <w:p w14:paraId="61382235">
      <w:pPr>
        <w:shd w:val="clear"/>
        <w:spacing w:line="600" w:lineRule="exact"/>
        <w:jc w:val="center"/>
        <w:rPr>
          <w:rFonts w:hint="eastAsia"/>
          <w:b/>
          <w:bCs/>
          <w:color w:val="auto"/>
          <w:sz w:val="30"/>
          <w:szCs w:val="30"/>
          <w:highlight w:val="none"/>
        </w:rPr>
      </w:pPr>
    </w:p>
    <w:p w14:paraId="3F2F06C8">
      <w:pPr>
        <w:shd w:val="clear"/>
        <w:spacing w:line="600" w:lineRule="exact"/>
        <w:jc w:val="center"/>
        <w:rPr>
          <w:b/>
          <w:bCs/>
          <w:color w:val="auto"/>
          <w:sz w:val="30"/>
          <w:szCs w:val="30"/>
          <w:highlight w:val="none"/>
        </w:rPr>
        <w:sectPr>
          <w:pgSz w:w="11905" w:h="16838"/>
          <w:pgMar w:top="1134" w:right="1134" w:bottom="1134" w:left="1134" w:header="720" w:footer="720" w:gutter="0"/>
          <w:cols w:space="0" w:num="1"/>
          <w:rtlGutter w:val="0"/>
          <w:docGrid w:type="lines" w:linePitch="331" w:charSpace="0"/>
        </w:sectPr>
      </w:pPr>
    </w:p>
    <w:p w14:paraId="0650855B">
      <w:pPr>
        <w:shd w:val="clear"/>
        <w:spacing w:line="600" w:lineRule="exact"/>
        <w:jc w:val="center"/>
        <w:rPr>
          <w:rFonts w:hint="eastAsia"/>
          <w:b/>
          <w:bCs/>
          <w:color w:val="auto"/>
          <w:sz w:val="30"/>
          <w:szCs w:val="30"/>
          <w:highlight w:val="none"/>
        </w:rPr>
      </w:pPr>
    </w:p>
    <w:p w14:paraId="56FB79A3">
      <w:pPr>
        <w:shd w:val="clear"/>
        <w:spacing w:line="600" w:lineRule="exact"/>
        <w:jc w:val="center"/>
        <w:rPr>
          <w:rFonts w:hint="eastAsia"/>
          <w:b/>
          <w:bCs/>
          <w:color w:val="auto"/>
          <w:sz w:val="30"/>
          <w:szCs w:val="30"/>
          <w:highlight w:val="none"/>
        </w:rPr>
      </w:pPr>
      <w:r>
        <w:rPr>
          <w:rFonts w:hint="eastAsia"/>
          <w:b/>
          <w:bCs/>
          <w:color w:val="auto"/>
          <w:sz w:val="30"/>
          <w:szCs w:val="30"/>
          <w:highlight w:val="none"/>
          <w:lang w:val="en-US" w:eastAsia="zh-CN"/>
        </w:rPr>
        <w:t>七</w:t>
      </w:r>
      <w:r>
        <w:rPr>
          <w:rFonts w:hint="eastAsia"/>
          <w:b/>
          <w:bCs/>
          <w:color w:val="auto"/>
          <w:sz w:val="30"/>
          <w:szCs w:val="30"/>
          <w:highlight w:val="none"/>
        </w:rPr>
        <w:t>、符合特定资格</w:t>
      </w:r>
      <w:r>
        <w:rPr>
          <w:rFonts w:hint="eastAsia"/>
          <w:b/>
          <w:bCs/>
          <w:color w:val="auto"/>
          <w:sz w:val="30"/>
          <w:szCs w:val="30"/>
          <w:highlight w:val="none"/>
          <w:lang w:val="en-US" w:eastAsia="zh-CN"/>
        </w:rPr>
        <w:t>要求</w:t>
      </w:r>
      <w:r>
        <w:rPr>
          <w:rFonts w:hint="eastAsia"/>
          <w:b/>
          <w:bCs/>
          <w:color w:val="auto"/>
          <w:sz w:val="30"/>
          <w:szCs w:val="30"/>
          <w:highlight w:val="none"/>
        </w:rPr>
        <w:t>（如有）的有关证明材料</w:t>
      </w:r>
    </w:p>
    <w:p w14:paraId="59C5C387">
      <w:pPr>
        <w:shd w:val="clear"/>
        <w:spacing w:line="600" w:lineRule="exact"/>
        <w:jc w:val="center"/>
        <w:rPr>
          <w:rFonts w:hint="eastAsia"/>
          <w:b/>
          <w:bCs/>
          <w:color w:val="auto"/>
          <w:sz w:val="30"/>
          <w:szCs w:val="30"/>
          <w:highlight w:val="none"/>
        </w:rPr>
      </w:pPr>
    </w:p>
    <w:p w14:paraId="6363E9BE">
      <w:pPr>
        <w:shd w:val="clear"/>
        <w:spacing w:line="600" w:lineRule="exact"/>
        <w:jc w:val="center"/>
        <w:rPr>
          <w:rFonts w:hint="eastAsia"/>
          <w:b/>
          <w:bCs/>
          <w:color w:val="auto"/>
          <w:sz w:val="30"/>
          <w:szCs w:val="30"/>
          <w:highlight w:val="none"/>
        </w:rPr>
      </w:pPr>
    </w:p>
    <w:p w14:paraId="406BE9AB">
      <w:pPr>
        <w:shd w:val="clear"/>
        <w:snapToGrid w:val="0"/>
        <w:spacing w:line="360" w:lineRule="auto"/>
        <w:ind w:firstLine="4410" w:firstLineChars="21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zh-CN"/>
        </w:rPr>
        <w:t>投标人名称(电子签章)：</w:t>
      </w:r>
    </w:p>
    <w:p w14:paraId="3A278B5D">
      <w:pPr>
        <w:shd w:val="clear"/>
        <w:snapToGrid w:val="0"/>
        <w:spacing w:line="360" w:lineRule="auto"/>
        <w:ind w:firstLine="4515" w:firstLineChars="215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日期</w:t>
      </w:r>
      <w:r>
        <w:rPr>
          <w:rFonts w:hint="eastAsia" w:ascii="宋体" w:hAnsi="宋体" w:eastAsia="宋体" w:cs="宋体"/>
          <w:color w:val="auto"/>
          <w:kern w:val="0"/>
          <w:sz w:val="21"/>
          <w:szCs w:val="21"/>
          <w:highlight w:val="none"/>
        </w:rPr>
        <w:t xml:space="preserve">：  年  </w:t>
      </w:r>
      <w:r>
        <w:rPr>
          <w:rFonts w:hint="eastAsia" w:ascii="宋体" w:hAnsi="宋体" w:eastAsia="宋体" w:cs="宋体"/>
          <w:color w:val="auto"/>
          <w:kern w:val="0"/>
          <w:sz w:val="21"/>
          <w:szCs w:val="21"/>
          <w:highlight w:val="none"/>
          <w:lang w:val="zh-CN"/>
        </w:rPr>
        <w:t>月</w:t>
      </w: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lang w:val="zh-CN"/>
        </w:rPr>
        <w:t>日</w:t>
      </w:r>
    </w:p>
    <w:p w14:paraId="55046D65">
      <w:pPr>
        <w:shd w:val="clear"/>
        <w:spacing w:line="600" w:lineRule="exact"/>
        <w:jc w:val="center"/>
        <w:rPr>
          <w:rFonts w:hint="eastAsia"/>
          <w:color w:val="auto"/>
          <w:szCs w:val="20"/>
          <w:highlight w:val="none"/>
        </w:rPr>
      </w:pPr>
    </w:p>
    <w:p w14:paraId="68EF1D81">
      <w:pPr>
        <w:shd w:val="clear"/>
        <w:spacing w:line="360" w:lineRule="auto"/>
        <w:jc w:val="center"/>
        <w:rPr>
          <w:b/>
          <w:color w:val="auto"/>
          <w:sz w:val="30"/>
          <w:szCs w:val="30"/>
          <w:highlight w:val="none"/>
        </w:rPr>
      </w:pPr>
      <w:r>
        <w:rPr>
          <w:rFonts w:hint="eastAsia"/>
          <w:b/>
          <w:color w:val="auto"/>
          <w:sz w:val="30"/>
          <w:szCs w:val="30"/>
          <w:highlight w:val="none"/>
          <w:lang w:val="en-US" w:eastAsia="zh-CN"/>
        </w:rPr>
        <w:t>八、</w:t>
      </w:r>
      <w:r>
        <w:rPr>
          <w:rFonts w:hint="eastAsia"/>
          <w:b/>
          <w:color w:val="auto"/>
          <w:sz w:val="30"/>
          <w:szCs w:val="30"/>
          <w:highlight w:val="none"/>
        </w:rPr>
        <w:t>中小企业声明函</w:t>
      </w:r>
    </w:p>
    <w:p w14:paraId="7C940818">
      <w:pPr>
        <w:shd w:val="clear"/>
        <w:ind w:firstLine="404" w:firstLineChars="200"/>
        <w:rPr>
          <w:rFonts w:hAnsi="宋体"/>
          <w:color w:val="auto"/>
          <w:spacing w:val="-4"/>
          <w:szCs w:val="21"/>
          <w:highlight w:val="none"/>
        </w:rPr>
      </w:pPr>
    </w:p>
    <w:p w14:paraId="73951282">
      <w:pPr>
        <w:pStyle w:val="13"/>
        <w:shd w:val="clear"/>
        <w:spacing w:line="500" w:lineRule="exact"/>
        <w:ind w:right="142" w:firstLine="420" w:firstLineChars="200"/>
        <w:rPr>
          <w:rFonts w:ascii="宋体" w:hAnsi="宋体"/>
          <w:color w:val="auto"/>
          <w:sz w:val="21"/>
          <w:szCs w:val="21"/>
          <w:highlight w:val="none"/>
        </w:rPr>
      </w:pPr>
      <w:r>
        <w:rPr>
          <w:rFonts w:ascii="宋体" w:hAnsi="宋体"/>
          <w:color w:val="auto"/>
          <w:sz w:val="21"/>
          <w:szCs w:val="21"/>
          <w:highlight w:val="none"/>
        </w:rPr>
        <w:t>本公司（联合体）郑重声明，根据《政府采购促进中小企业发展管理办法》（财库﹝2020﹞46号）的规定，本公司（联合体）参加</w:t>
      </w:r>
      <w:r>
        <w:rPr>
          <w:rFonts w:ascii="宋体" w:hAnsi="宋体"/>
          <w:color w:val="auto"/>
          <w:sz w:val="21"/>
          <w:szCs w:val="21"/>
          <w:highlight w:val="none"/>
          <w:u w:val="single"/>
        </w:rPr>
        <w:t>（单位名称）</w:t>
      </w:r>
      <w:r>
        <w:rPr>
          <w:rFonts w:ascii="宋体" w:hAnsi="宋体"/>
          <w:color w:val="auto"/>
          <w:sz w:val="21"/>
          <w:szCs w:val="21"/>
          <w:highlight w:val="none"/>
        </w:rPr>
        <w:t>的</w:t>
      </w:r>
      <w:r>
        <w:rPr>
          <w:rFonts w:ascii="宋体" w:hAnsi="宋体"/>
          <w:color w:val="auto"/>
          <w:sz w:val="21"/>
          <w:szCs w:val="21"/>
          <w:highlight w:val="none"/>
          <w:u w:val="single"/>
        </w:rPr>
        <w:t>（项目名称）</w:t>
      </w:r>
      <w:r>
        <w:rPr>
          <w:rFonts w:ascii="宋体" w:hAnsi="宋体"/>
          <w:color w:val="auto"/>
          <w:sz w:val="21"/>
          <w:szCs w:val="21"/>
          <w:highlight w:val="none"/>
        </w:rPr>
        <w:t>采购活动，</w:t>
      </w:r>
      <w:r>
        <w:rPr>
          <w:rFonts w:hint="eastAsia" w:ascii="宋体" w:hAnsi="宋体"/>
          <w:color w:val="auto"/>
          <w:sz w:val="21"/>
          <w:szCs w:val="21"/>
          <w:highlight w:val="none"/>
        </w:rPr>
        <w:t>服务全部由符合政策要求的中小企业承接。相关企业（含联合体中的中小企业、签订分包意向协议的中小企业）的具体情况如下：</w:t>
      </w:r>
    </w:p>
    <w:p w14:paraId="73E4A6A0">
      <w:pPr>
        <w:shd w:val="clear"/>
        <w:tabs>
          <w:tab w:val="left" w:pos="1384"/>
          <w:tab w:val="left" w:pos="4562"/>
          <w:tab w:val="left" w:pos="6803"/>
        </w:tabs>
        <w:spacing w:before="13" w:line="500" w:lineRule="exact"/>
        <w:ind w:right="142" w:firstLine="600" w:firstLineChars="286"/>
        <w:rPr>
          <w:rFonts w:ascii="宋体" w:hAnsi="宋体"/>
          <w:color w:val="auto"/>
          <w:sz w:val="21"/>
          <w:szCs w:val="21"/>
          <w:highlight w:val="none"/>
        </w:rPr>
      </w:pPr>
      <w:r>
        <w:rPr>
          <w:rFonts w:ascii="宋体" w:hAnsi="宋体"/>
          <w:color w:val="auto"/>
          <w:sz w:val="21"/>
          <w:szCs w:val="21"/>
          <w:highlight w:val="none"/>
        </w:rPr>
        <w:t>1.</w:t>
      </w:r>
      <w:r>
        <w:rPr>
          <w:rFonts w:hint="eastAsia" w:ascii="宋体" w:hAnsi="宋体"/>
          <w:color w:val="auto"/>
          <w:sz w:val="21"/>
          <w:szCs w:val="21"/>
          <w:highlight w:val="none"/>
          <w:u w:val="single"/>
        </w:rPr>
        <w:t xml:space="preserve"> </w:t>
      </w:r>
      <w:r>
        <w:rPr>
          <w:rFonts w:ascii="宋体" w:hAnsi="宋体"/>
          <w:color w:val="auto"/>
          <w:sz w:val="21"/>
          <w:szCs w:val="21"/>
          <w:highlight w:val="none"/>
          <w:u w:val="single"/>
        </w:rPr>
        <w:t xml:space="preserve"> ……  </w:t>
      </w:r>
      <w:r>
        <w:rPr>
          <w:rFonts w:ascii="宋体" w:hAnsi="宋体"/>
          <w:color w:val="auto"/>
          <w:sz w:val="21"/>
          <w:szCs w:val="21"/>
          <w:highlight w:val="none"/>
        </w:rPr>
        <w:t>，属于</w:t>
      </w:r>
      <w:r>
        <w:rPr>
          <w:rFonts w:hint="eastAsia" w:ascii="宋体" w:hAnsi="宋体"/>
          <w:color w:val="auto"/>
          <w:sz w:val="21"/>
          <w:szCs w:val="21"/>
          <w:highlight w:val="none"/>
          <w:u w:val="single"/>
        </w:rPr>
        <w:t xml:space="preserve"> </w:t>
      </w:r>
      <w:r>
        <w:rPr>
          <w:rFonts w:ascii="宋体" w:hAnsi="宋体"/>
          <w:color w:val="auto"/>
          <w:sz w:val="21"/>
          <w:szCs w:val="21"/>
          <w:highlight w:val="none"/>
          <w:u w:val="single"/>
        </w:rPr>
        <w:t>……</w:t>
      </w:r>
      <w:r>
        <w:rPr>
          <w:rFonts w:hint="eastAsia" w:ascii="宋体" w:hAnsi="宋体"/>
          <w:color w:val="auto"/>
          <w:sz w:val="21"/>
          <w:szCs w:val="21"/>
          <w:highlight w:val="none"/>
          <w:u w:val="single"/>
        </w:rPr>
        <w:t xml:space="preserve"> </w:t>
      </w:r>
      <w:r>
        <w:rPr>
          <w:rFonts w:ascii="宋体" w:hAnsi="宋体"/>
          <w:color w:val="auto"/>
          <w:sz w:val="21"/>
          <w:szCs w:val="21"/>
          <w:highlight w:val="none"/>
        </w:rPr>
        <w:t>；</w:t>
      </w:r>
      <w:r>
        <w:rPr>
          <w:rFonts w:hint="eastAsia" w:ascii="宋体" w:hAnsi="宋体"/>
          <w:color w:val="auto"/>
          <w:sz w:val="21"/>
          <w:szCs w:val="21"/>
          <w:highlight w:val="none"/>
        </w:rPr>
        <w:t>承接企业为</w:t>
      </w:r>
      <w:r>
        <w:rPr>
          <w:rFonts w:hint="eastAsia" w:ascii="宋体" w:hAnsi="宋体"/>
          <w:color w:val="auto"/>
          <w:sz w:val="21"/>
          <w:szCs w:val="21"/>
          <w:highlight w:val="none"/>
          <w:u w:val="single"/>
        </w:rPr>
        <w:t>（企业名称）</w:t>
      </w:r>
      <w:r>
        <w:rPr>
          <w:rFonts w:hint="eastAsia" w:ascii="宋体" w:hAnsi="宋体"/>
          <w:color w:val="auto"/>
          <w:sz w:val="21"/>
          <w:szCs w:val="21"/>
          <w:highlight w:val="none"/>
        </w:rPr>
        <w:t>，从业人员</w:t>
      </w:r>
      <w:r>
        <w:rPr>
          <w:rFonts w:hint="eastAsia" w:ascii="宋体" w:hAnsi="宋体"/>
          <w:color w:val="auto"/>
          <w:sz w:val="21"/>
          <w:szCs w:val="21"/>
          <w:highlight w:val="none"/>
          <w:u w:val="single"/>
        </w:rPr>
        <w:t xml:space="preserve"> </w:t>
      </w:r>
      <w:r>
        <w:rPr>
          <w:rFonts w:ascii="宋体" w:hAnsi="宋体"/>
          <w:color w:val="auto"/>
          <w:sz w:val="21"/>
          <w:szCs w:val="21"/>
          <w:highlight w:val="none"/>
          <w:u w:val="single"/>
        </w:rPr>
        <w:t xml:space="preserve">     </w:t>
      </w:r>
      <w:r>
        <w:rPr>
          <w:rFonts w:hint="eastAsia" w:ascii="宋体" w:hAnsi="宋体"/>
          <w:color w:val="auto"/>
          <w:sz w:val="21"/>
          <w:szCs w:val="21"/>
          <w:highlight w:val="none"/>
        </w:rPr>
        <w:t>人，营业收入为</w:t>
      </w:r>
      <w:r>
        <w:rPr>
          <w:rFonts w:hint="eastAsia" w:ascii="宋体" w:hAnsi="宋体"/>
          <w:color w:val="auto"/>
          <w:sz w:val="21"/>
          <w:szCs w:val="21"/>
          <w:highlight w:val="none"/>
          <w:u w:val="single"/>
        </w:rPr>
        <w:t xml:space="preserve"> </w:t>
      </w:r>
      <w:r>
        <w:rPr>
          <w:rFonts w:ascii="宋体" w:hAnsi="宋体"/>
          <w:color w:val="auto"/>
          <w:sz w:val="21"/>
          <w:szCs w:val="21"/>
          <w:highlight w:val="none"/>
          <w:u w:val="single"/>
        </w:rPr>
        <w:t xml:space="preserve">     </w:t>
      </w:r>
      <w:r>
        <w:rPr>
          <w:rFonts w:hint="eastAsia" w:ascii="宋体" w:hAnsi="宋体"/>
          <w:color w:val="auto"/>
          <w:sz w:val="21"/>
          <w:szCs w:val="21"/>
          <w:highlight w:val="none"/>
        </w:rPr>
        <w:t>万元，资产总额为</w:t>
      </w:r>
      <w:r>
        <w:rPr>
          <w:rFonts w:hint="eastAsia" w:ascii="宋体" w:hAnsi="宋体"/>
          <w:color w:val="auto"/>
          <w:sz w:val="21"/>
          <w:szCs w:val="21"/>
          <w:highlight w:val="none"/>
          <w:u w:val="single"/>
        </w:rPr>
        <w:t xml:space="preserve"> </w:t>
      </w:r>
      <w:r>
        <w:rPr>
          <w:rFonts w:ascii="宋体" w:hAnsi="宋体"/>
          <w:color w:val="auto"/>
          <w:sz w:val="21"/>
          <w:szCs w:val="21"/>
          <w:highlight w:val="none"/>
          <w:u w:val="single"/>
        </w:rPr>
        <w:t xml:space="preserve">     </w:t>
      </w:r>
      <w:r>
        <w:rPr>
          <w:rFonts w:hint="eastAsia" w:ascii="宋体" w:hAnsi="宋体"/>
          <w:color w:val="auto"/>
          <w:sz w:val="21"/>
          <w:szCs w:val="21"/>
          <w:highlight w:val="none"/>
        </w:rPr>
        <w:t>万元</w:t>
      </w:r>
      <w:r>
        <w:rPr>
          <w:rFonts w:ascii="宋体" w:hAnsi="宋体"/>
          <w:color w:val="auto"/>
          <w:sz w:val="21"/>
          <w:szCs w:val="21"/>
          <w:highlight w:val="none"/>
        </w:rPr>
        <w:t>，属于</w:t>
      </w:r>
      <w:r>
        <w:rPr>
          <w:rFonts w:hint="eastAsia" w:ascii="宋体" w:hAnsi="宋体"/>
          <w:color w:val="auto"/>
          <w:sz w:val="21"/>
          <w:szCs w:val="21"/>
          <w:highlight w:val="none"/>
          <w:u w:val="single"/>
        </w:rPr>
        <w:t xml:space="preserve">     </w:t>
      </w:r>
      <w:r>
        <w:rPr>
          <w:rFonts w:ascii="宋体" w:hAnsi="宋体"/>
          <w:color w:val="auto"/>
          <w:sz w:val="21"/>
          <w:szCs w:val="21"/>
          <w:highlight w:val="none"/>
          <w:u w:val="single"/>
        </w:rPr>
        <w:t>（中型企业、</w:t>
      </w:r>
      <w:r>
        <w:rPr>
          <w:rFonts w:hint="eastAsia" w:ascii="宋体" w:hAnsi="宋体"/>
          <w:color w:val="auto"/>
          <w:sz w:val="21"/>
          <w:szCs w:val="21"/>
          <w:highlight w:val="none"/>
          <w:u w:val="single"/>
        </w:rPr>
        <w:t>小型企业、微型企业）</w:t>
      </w:r>
      <w:r>
        <w:rPr>
          <w:rFonts w:hint="eastAsia" w:ascii="宋体" w:hAnsi="宋体"/>
          <w:color w:val="auto"/>
          <w:sz w:val="21"/>
          <w:szCs w:val="21"/>
          <w:highlight w:val="none"/>
        </w:rPr>
        <w:t>；</w:t>
      </w:r>
    </w:p>
    <w:p w14:paraId="17FB54AA">
      <w:pPr>
        <w:shd w:val="clear"/>
        <w:tabs>
          <w:tab w:val="left" w:pos="1384"/>
          <w:tab w:val="left" w:pos="4562"/>
          <w:tab w:val="left" w:pos="6803"/>
        </w:tabs>
        <w:spacing w:before="13" w:line="500" w:lineRule="exact"/>
        <w:ind w:right="142" w:firstLine="600" w:firstLineChars="286"/>
        <w:rPr>
          <w:rFonts w:ascii="宋体" w:hAnsi="宋体"/>
          <w:color w:val="auto"/>
          <w:sz w:val="21"/>
          <w:szCs w:val="21"/>
          <w:highlight w:val="none"/>
        </w:rPr>
      </w:pPr>
      <w:r>
        <w:rPr>
          <w:rFonts w:ascii="宋体" w:hAnsi="宋体"/>
          <w:color w:val="auto"/>
          <w:sz w:val="21"/>
          <w:szCs w:val="21"/>
          <w:highlight w:val="none"/>
        </w:rPr>
        <w:t>2.</w:t>
      </w:r>
      <w:r>
        <w:rPr>
          <w:rFonts w:hint="eastAsia" w:ascii="宋体" w:hAnsi="宋体"/>
          <w:color w:val="auto"/>
          <w:sz w:val="21"/>
          <w:szCs w:val="21"/>
          <w:highlight w:val="none"/>
          <w:u w:val="single"/>
        </w:rPr>
        <w:t xml:space="preserve"> </w:t>
      </w:r>
      <w:r>
        <w:rPr>
          <w:rFonts w:ascii="宋体" w:hAnsi="宋体"/>
          <w:color w:val="auto"/>
          <w:sz w:val="21"/>
          <w:szCs w:val="21"/>
          <w:highlight w:val="none"/>
          <w:u w:val="single"/>
        </w:rPr>
        <w:t xml:space="preserve"> ……  </w:t>
      </w:r>
      <w:r>
        <w:rPr>
          <w:rFonts w:ascii="宋体" w:hAnsi="宋体"/>
          <w:color w:val="auto"/>
          <w:sz w:val="21"/>
          <w:szCs w:val="21"/>
          <w:highlight w:val="none"/>
        </w:rPr>
        <w:t>，属于</w:t>
      </w:r>
      <w:r>
        <w:rPr>
          <w:rFonts w:hint="eastAsia" w:ascii="宋体" w:hAnsi="宋体"/>
          <w:color w:val="auto"/>
          <w:sz w:val="21"/>
          <w:szCs w:val="21"/>
          <w:highlight w:val="none"/>
          <w:u w:val="single"/>
        </w:rPr>
        <w:t xml:space="preserve"> </w:t>
      </w:r>
      <w:r>
        <w:rPr>
          <w:rFonts w:ascii="宋体" w:hAnsi="宋体"/>
          <w:color w:val="auto"/>
          <w:sz w:val="21"/>
          <w:szCs w:val="21"/>
          <w:highlight w:val="none"/>
          <w:u w:val="single"/>
        </w:rPr>
        <w:t>……</w:t>
      </w:r>
      <w:r>
        <w:rPr>
          <w:rFonts w:hint="eastAsia" w:ascii="宋体" w:hAnsi="宋体"/>
          <w:color w:val="auto"/>
          <w:sz w:val="21"/>
          <w:szCs w:val="21"/>
          <w:highlight w:val="none"/>
          <w:u w:val="single"/>
        </w:rPr>
        <w:t xml:space="preserve"> </w:t>
      </w:r>
      <w:r>
        <w:rPr>
          <w:rFonts w:ascii="宋体" w:hAnsi="宋体"/>
          <w:color w:val="auto"/>
          <w:sz w:val="21"/>
          <w:szCs w:val="21"/>
          <w:highlight w:val="none"/>
        </w:rPr>
        <w:t>；</w:t>
      </w:r>
      <w:r>
        <w:rPr>
          <w:rFonts w:hint="eastAsia" w:ascii="宋体" w:hAnsi="宋体"/>
          <w:color w:val="auto"/>
          <w:sz w:val="21"/>
          <w:szCs w:val="21"/>
          <w:highlight w:val="none"/>
        </w:rPr>
        <w:t>承接企业为</w:t>
      </w:r>
      <w:r>
        <w:rPr>
          <w:rFonts w:hint="eastAsia" w:ascii="宋体" w:hAnsi="宋体"/>
          <w:color w:val="auto"/>
          <w:sz w:val="21"/>
          <w:szCs w:val="21"/>
          <w:highlight w:val="none"/>
          <w:u w:val="single"/>
        </w:rPr>
        <w:t>（企业名称）</w:t>
      </w:r>
      <w:r>
        <w:rPr>
          <w:rFonts w:hint="eastAsia" w:ascii="宋体" w:hAnsi="宋体"/>
          <w:color w:val="auto"/>
          <w:sz w:val="21"/>
          <w:szCs w:val="21"/>
          <w:highlight w:val="none"/>
        </w:rPr>
        <w:t>，从业人员</w:t>
      </w:r>
      <w:r>
        <w:rPr>
          <w:rFonts w:hint="eastAsia" w:ascii="宋体" w:hAnsi="宋体"/>
          <w:color w:val="auto"/>
          <w:sz w:val="21"/>
          <w:szCs w:val="21"/>
          <w:highlight w:val="none"/>
          <w:u w:val="single"/>
        </w:rPr>
        <w:t xml:space="preserve"> </w:t>
      </w:r>
      <w:r>
        <w:rPr>
          <w:rFonts w:ascii="宋体" w:hAnsi="宋体"/>
          <w:color w:val="auto"/>
          <w:sz w:val="21"/>
          <w:szCs w:val="21"/>
          <w:highlight w:val="none"/>
          <w:u w:val="single"/>
        </w:rPr>
        <w:t xml:space="preserve">     </w:t>
      </w:r>
      <w:r>
        <w:rPr>
          <w:rFonts w:hint="eastAsia" w:ascii="宋体" w:hAnsi="宋体"/>
          <w:color w:val="auto"/>
          <w:sz w:val="21"/>
          <w:szCs w:val="21"/>
          <w:highlight w:val="none"/>
        </w:rPr>
        <w:t>人，营业收入为</w:t>
      </w:r>
      <w:r>
        <w:rPr>
          <w:rFonts w:hint="eastAsia" w:ascii="宋体" w:hAnsi="宋体"/>
          <w:color w:val="auto"/>
          <w:sz w:val="21"/>
          <w:szCs w:val="21"/>
          <w:highlight w:val="none"/>
          <w:u w:val="single"/>
        </w:rPr>
        <w:t xml:space="preserve"> </w:t>
      </w:r>
      <w:r>
        <w:rPr>
          <w:rFonts w:ascii="宋体" w:hAnsi="宋体"/>
          <w:color w:val="auto"/>
          <w:sz w:val="21"/>
          <w:szCs w:val="21"/>
          <w:highlight w:val="none"/>
          <w:u w:val="single"/>
        </w:rPr>
        <w:t xml:space="preserve">     </w:t>
      </w:r>
      <w:r>
        <w:rPr>
          <w:rFonts w:hint="eastAsia" w:ascii="宋体" w:hAnsi="宋体"/>
          <w:color w:val="auto"/>
          <w:sz w:val="21"/>
          <w:szCs w:val="21"/>
          <w:highlight w:val="none"/>
        </w:rPr>
        <w:t>万元，资产总额为</w:t>
      </w:r>
      <w:r>
        <w:rPr>
          <w:rFonts w:hint="eastAsia" w:ascii="宋体" w:hAnsi="宋体"/>
          <w:color w:val="auto"/>
          <w:sz w:val="21"/>
          <w:szCs w:val="21"/>
          <w:highlight w:val="none"/>
          <w:u w:val="single"/>
        </w:rPr>
        <w:t xml:space="preserve"> </w:t>
      </w:r>
      <w:r>
        <w:rPr>
          <w:rFonts w:ascii="宋体" w:hAnsi="宋体"/>
          <w:color w:val="auto"/>
          <w:sz w:val="21"/>
          <w:szCs w:val="21"/>
          <w:highlight w:val="none"/>
          <w:u w:val="single"/>
        </w:rPr>
        <w:t xml:space="preserve">     </w:t>
      </w:r>
      <w:r>
        <w:rPr>
          <w:rFonts w:hint="eastAsia" w:ascii="宋体" w:hAnsi="宋体"/>
          <w:color w:val="auto"/>
          <w:sz w:val="21"/>
          <w:szCs w:val="21"/>
          <w:highlight w:val="none"/>
        </w:rPr>
        <w:t>万元</w:t>
      </w:r>
      <w:r>
        <w:rPr>
          <w:rFonts w:ascii="宋体" w:hAnsi="宋体"/>
          <w:color w:val="auto"/>
          <w:sz w:val="21"/>
          <w:szCs w:val="21"/>
          <w:highlight w:val="none"/>
        </w:rPr>
        <w:t>，属于</w:t>
      </w:r>
      <w:r>
        <w:rPr>
          <w:rFonts w:hint="eastAsia" w:ascii="宋体" w:hAnsi="宋体"/>
          <w:color w:val="auto"/>
          <w:sz w:val="21"/>
          <w:szCs w:val="21"/>
          <w:highlight w:val="none"/>
          <w:u w:val="single"/>
        </w:rPr>
        <w:t xml:space="preserve">     </w:t>
      </w:r>
      <w:r>
        <w:rPr>
          <w:rFonts w:ascii="宋体" w:hAnsi="宋体"/>
          <w:color w:val="auto"/>
          <w:sz w:val="21"/>
          <w:szCs w:val="21"/>
          <w:highlight w:val="none"/>
          <w:u w:val="single"/>
        </w:rPr>
        <w:t>（中型企业、</w:t>
      </w:r>
      <w:r>
        <w:rPr>
          <w:rFonts w:hint="eastAsia" w:ascii="宋体" w:hAnsi="宋体"/>
          <w:color w:val="auto"/>
          <w:sz w:val="21"/>
          <w:szCs w:val="21"/>
          <w:highlight w:val="none"/>
          <w:u w:val="single"/>
        </w:rPr>
        <w:t>小型企业、微型企业）</w:t>
      </w:r>
      <w:r>
        <w:rPr>
          <w:rFonts w:hint="eastAsia" w:ascii="宋体" w:hAnsi="宋体"/>
          <w:color w:val="auto"/>
          <w:sz w:val="21"/>
          <w:szCs w:val="21"/>
          <w:highlight w:val="none"/>
        </w:rPr>
        <w:t>；</w:t>
      </w:r>
    </w:p>
    <w:p w14:paraId="199B8D93">
      <w:pPr>
        <w:pStyle w:val="13"/>
        <w:shd w:val="clear"/>
        <w:spacing w:before="34" w:line="500" w:lineRule="exact"/>
        <w:ind w:left="765" w:right="142" w:hanging="5"/>
        <w:rPr>
          <w:rFonts w:ascii="宋体" w:hAnsi="宋体"/>
          <w:color w:val="auto"/>
          <w:sz w:val="21"/>
          <w:szCs w:val="21"/>
          <w:highlight w:val="none"/>
        </w:rPr>
      </w:pPr>
      <w:r>
        <w:rPr>
          <w:rFonts w:ascii="宋体" w:hAnsi="宋体"/>
          <w:color w:val="auto"/>
          <w:sz w:val="21"/>
          <w:szCs w:val="21"/>
          <w:highlight w:val="none"/>
        </w:rPr>
        <w:t xml:space="preserve">…… </w:t>
      </w:r>
    </w:p>
    <w:p w14:paraId="6ADF2B88">
      <w:pPr>
        <w:pStyle w:val="13"/>
        <w:shd w:val="clear"/>
        <w:spacing w:before="34" w:line="500" w:lineRule="exact"/>
        <w:ind w:right="142" w:firstLine="420" w:firstLineChars="200"/>
        <w:rPr>
          <w:rFonts w:hint="eastAsia" w:ascii="宋体" w:hAnsi="宋体"/>
          <w:color w:val="auto"/>
          <w:sz w:val="21"/>
          <w:szCs w:val="21"/>
          <w:highlight w:val="none"/>
        </w:rPr>
      </w:pPr>
      <w:r>
        <w:rPr>
          <w:rFonts w:ascii="宋体" w:hAnsi="宋体"/>
          <w:color w:val="auto"/>
          <w:sz w:val="21"/>
          <w:szCs w:val="21"/>
          <w:highlight w:val="none"/>
        </w:rPr>
        <w:t>以上企业，不属于大企业的分支机构，不存在控股股东为大企业的情形，也不存在与大企业的负责人为同一人的情形。</w:t>
      </w:r>
    </w:p>
    <w:p w14:paraId="7549AAEC">
      <w:pPr>
        <w:pStyle w:val="13"/>
        <w:shd w:val="clear"/>
        <w:spacing w:before="34" w:line="500" w:lineRule="exact"/>
        <w:ind w:right="142" w:firstLine="420" w:firstLineChars="200"/>
        <w:rPr>
          <w:rFonts w:ascii="宋体" w:hAnsi="宋体"/>
          <w:color w:val="auto"/>
          <w:sz w:val="21"/>
          <w:szCs w:val="21"/>
          <w:highlight w:val="none"/>
        </w:rPr>
      </w:pPr>
      <w:r>
        <w:rPr>
          <w:rFonts w:ascii="宋体" w:hAnsi="宋体"/>
          <w:color w:val="auto"/>
          <w:sz w:val="21"/>
          <w:szCs w:val="21"/>
          <w:highlight w:val="none"/>
        </w:rPr>
        <w:t>本企业对上述声明内容的真实性负责。如有虚假，将依法承担相应责任。</w:t>
      </w:r>
    </w:p>
    <w:p w14:paraId="48B916E9">
      <w:pPr>
        <w:pStyle w:val="13"/>
        <w:shd w:val="clear"/>
        <w:spacing w:before="56" w:line="500" w:lineRule="exact"/>
        <w:ind w:left="3960" w:right="1808"/>
        <w:rPr>
          <w:rFonts w:ascii="宋体" w:hAnsi="宋体"/>
          <w:color w:val="auto"/>
          <w:sz w:val="21"/>
          <w:szCs w:val="21"/>
          <w:highlight w:val="none"/>
        </w:rPr>
      </w:pPr>
      <w:r>
        <w:rPr>
          <w:rFonts w:hint="eastAsia" w:ascii="宋体" w:hAnsi="宋体" w:eastAsia="宋体" w:cs="宋体"/>
          <w:color w:val="auto"/>
          <w:kern w:val="0"/>
          <w:sz w:val="21"/>
          <w:szCs w:val="21"/>
          <w:highlight w:val="none"/>
          <w:lang w:val="zh-CN"/>
        </w:rPr>
        <w:t>投标人名称</w:t>
      </w:r>
      <w:r>
        <w:rPr>
          <w:rFonts w:ascii="宋体" w:hAnsi="宋体"/>
          <w:color w:val="auto"/>
          <w:kern w:val="24"/>
          <w:sz w:val="21"/>
          <w:szCs w:val="21"/>
          <w:highlight w:val="none"/>
        </w:rPr>
        <w:t>（</w:t>
      </w:r>
      <w:r>
        <w:rPr>
          <w:rFonts w:hint="eastAsia" w:ascii="宋体" w:hAnsi="宋体"/>
          <w:color w:val="auto"/>
          <w:kern w:val="24"/>
          <w:sz w:val="21"/>
          <w:szCs w:val="21"/>
          <w:highlight w:val="none"/>
        </w:rPr>
        <w:t>电子签章</w:t>
      </w:r>
      <w:r>
        <w:rPr>
          <w:rFonts w:ascii="宋体" w:hAnsi="宋体"/>
          <w:color w:val="auto"/>
          <w:kern w:val="24"/>
          <w:sz w:val="21"/>
          <w:szCs w:val="21"/>
          <w:highlight w:val="none"/>
        </w:rPr>
        <w:t>）：</w:t>
      </w:r>
      <w:r>
        <w:rPr>
          <w:rFonts w:ascii="宋体" w:hAnsi="宋体"/>
          <w:color w:val="auto"/>
          <w:sz w:val="21"/>
          <w:szCs w:val="21"/>
          <w:highlight w:val="none"/>
        </w:rPr>
        <w:t xml:space="preserve"> </w:t>
      </w:r>
    </w:p>
    <w:p w14:paraId="6679CA86">
      <w:pPr>
        <w:pStyle w:val="13"/>
        <w:shd w:val="clear"/>
        <w:spacing w:before="56" w:line="500" w:lineRule="exact"/>
        <w:ind w:left="3960" w:right="1808"/>
        <w:rPr>
          <w:rFonts w:hint="eastAsia" w:ascii="宋体" w:hAnsi="宋体"/>
          <w:color w:val="auto"/>
          <w:sz w:val="21"/>
          <w:szCs w:val="21"/>
          <w:highlight w:val="none"/>
        </w:rPr>
      </w:pPr>
      <w:r>
        <w:rPr>
          <w:rFonts w:ascii="宋体" w:hAnsi="宋体"/>
          <w:color w:val="auto"/>
          <w:sz w:val="21"/>
          <w:szCs w:val="21"/>
          <w:highlight w:val="none"/>
        </w:rPr>
        <w:t>日 期：</w:t>
      </w:r>
    </w:p>
    <w:p w14:paraId="402654A2">
      <w:pPr>
        <w:shd w:val="clear"/>
        <w:rPr>
          <w:rFonts w:hint="eastAsia" w:ascii="宋体" w:hAnsi="宋体"/>
          <w:color w:val="auto"/>
          <w:sz w:val="21"/>
          <w:szCs w:val="21"/>
          <w:highlight w:val="none"/>
        </w:rPr>
      </w:pPr>
      <w:r>
        <w:rPr>
          <w:rFonts w:hint="eastAsia" w:ascii="宋体" w:hAnsi="宋体"/>
          <w:color w:val="auto"/>
          <w:spacing w:val="6"/>
          <w:sz w:val="21"/>
          <w:szCs w:val="21"/>
          <w:highlight w:val="none"/>
        </w:rPr>
        <w:t xml:space="preserve"> </w:t>
      </w:r>
    </w:p>
    <w:p w14:paraId="1A4A9D7B">
      <w:pPr>
        <w:shd w:val="clear"/>
        <w:snapToGrid w:val="0"/>
        <w:spacing w:line="440" w:lineRule="exact"/>
        <w:rPr>
          <w:rFonts w:hint="eastAsia" w:ascii="仿宋_GB2312" w:hAnsi="仿宋" w:eastAsia="仿宋_GB2312" w:cs="仿宋_GB2312"/>
          <w:color w:val="auto"/>
          <w:kern w:val="0"/>
          <w:sz w:val="21"/>
          <w:szCs w:val="21"/>
          <w:highlight w:val="none"/>
          <w:lang w:val="zh-CN"/>
        </w:rPr>
      </w:pPr>
      <w:r>
        <w:rPr>
          <w:rFonts w:hint="eastAsia" w:ascii="宋体" w:hAnsi="宋体"/>
          <w:color w:val="auto"/>
          <w:sz w:val="21"/>
          <w:szCs w:val="21"/>
          <w:highlight w:val="none"/>
        </w:rPr>
        <w:t>注：享受《政府采购促进中小企业发展管理办法》（财库〔2020〕46号）规定的中小企业扶持政策的，采购人、采购代理机构应当随中标结果公开中标供应商的《中小企业声明函》。从业人员、营业收入、资产总额填报上一年度数据，无上一年度数据的新成立企业可不填报。</w:t>
      </w:r>
    </w:p>
    <w:p w14:paraId="5C6E59D7">
      <w:pPr>
        <w:shd w:val="clear"/>
        <w:spacing w:line="360" w:lineRule="auto"/>
        <w:ind w:firstLine="420" w:firstLineChars="200"/>
        <w:rPr>
          <w:rFonts w:hint="eastAsia" w:ascii="宋体" w:hAnsi="宋体"/>
          <w:color w:val="auto"/>
          <w:szCs w:val="21"/>
          <w:highlight w:val="none"/>
        </w:rPr>
      </w:pPr>
    </w:p>
    <w:p w14:paraId="71D89826">
      <w:pPr>
        <w:shd w:val="clear"/>
        <w:jc w:val="center"/>
        <w:rPr>
          <w:rFonts w:hint="eastAsia" w:ascii="Times New Roman" w:hAnsi="Times New Roman" w:eastAsia="宋体" w:cs="Times New Roman"/>
          <w:b/>
          <w:color w:val="auto"/>
          <w:sz w:val="30"/>
          <w:szCs w:val="30"/>
          <w:highlight w:val="none"/>
        </w:rPr>
      </w:pPr>
      <w:r>
        <w:rPr>
          <w:rFonts w:hint="eastAsia" w:ascii="Times New Roman" w:hAnsi="Times New Roman" w:eastAsia="宋体" w:cs="Times New Roman"/>
          <w:b/>
          <w:color w:val="auto"/>
          <w:sz w:val="30"/>
          <w:szCs w:val="30"/>
          <w:highlight w:val="none"/>
        </w:rPr>
        <w:br w:type="page"/>
      </w:r>
      <w:r>
        <w:rPr>
          <w:rFonts w:hint="eastAsia" w:ascii="Times New Roman" w:hAnsi="Times New Roman" w:eastAsia="宋体" w:cs="Times New Roman"/>
          <w:b/>
          <w:color w:val="auto"/>
          <w:sz w:val="30"/>
          <w:szCs w:val="30"/>
          <w:highlight w:val="none"/>
        </w:rPr>
        <w:t>残疾人福利性单位声明函</w:t>
      </w:r>
    </w:p>
    <w:p w14:paraId="7E5AE9FB">
      <w:pPr>
        <w:shd w:val="clear"/>
        <w:spacing w:line="588" w:lineRule="exact"/>
        <w:rPr>
          <w:rFonts w:ascii="仿宋_GB2312" w:eastAsia="仿宋_GB2312"/>
          <w:b/>
          <w:color w:val="auto"/>
          <w:spacing w:val="6"/>
          <w:sz w:val="30"/>
          <w:szCs w:val="30"/>
          <w:highlight w:val="none"/>
        </w:rPr>
      </w:pPr>
    </w:p>
    <w:p w14:paraId="477271D0">
      <w:pPr>
        <w:shd w:val="clear"/>
        <w:spacing w:line="360" w:lineRule="auto"/>
        <w:ind w:firstLine="444" w:firstLineChars="200"/>
        <w:contextualSpacing/>
        <w:rPr>
          <w:rFonts w:ascii="宋体" w:hAnsi="宋体"/>
          <w:color w:val="auto"/>
          <w:spacing w:val="6"/>
          <w:sz w:val="21"/>
          <w:szCs w:val="21"/>
          <w:highlight w:val="none"/>
        </w:rPr>
      </w:pPr>
      <w:r>
        <w:rPr>
          <w:rFonts w:hint="eastAsia" w:ascii="宋体" w:hAnsi="宋体"/>
          <w:color w:val="auto"/>
          <w:spacing w:val="6"/>
          <w:sz w:val="21"/>
          <w:szCs w:val="21"/>
          <w:highlight w:val="none"/>
        </w:rPr>
        <w:t>本单位郑重声明，根据《财政部 民政部 中国残疾人联合会关于促进残疾人就业政府采购政策的通知》（财库</w:t>
      </w:r>
      <w:r>
        <w:rPr>
          <w:rFonts w:hint="eastAsia" w:ascii="宋体" w:hAnsi="宋体"/>
          <w:color w:val="auto"/>
          <w:spacing w:val="6"/>
          <w:sz w:val="21"/>
          <w:szCs w:val="21"/>
          <w:highlight w:val="none"/>
          <w:lang w:eastAsia="zh-CN"/>
        </w:rPr>
        <w:t>〔2017〕141号</w:t>
      </w:r>
      <w:r>
        <w:rPr>
          <w:rFonts w:hint="eastAsia" w:ascii="宋体" w:hAnsi="宋体"/>
          <w:color w:val="auto"/>
          <w:spacing w:val="6"/>
          <w:sz w:val="21"/>
          <w:szCs w:val="21"/>
          <w:highlight w:val="none"/>
        </w:rPr>
        <w:t>）的规定，本单位为符合条件的残疾人福利性单位，且本单位参加______单位的______项目采购活动提供本单位制造的货物（由本单位承担工程/提供服务），或者提供其他残</w:t>
      </w:r>
      <w:r>
        <w:rPr>
          <w:rFonts w:hint="eastAsia" w:ascii="宋体" w:hAnsi="宋体"/>
          <w:color w:val="auto"/>
          <w:spacing w:val="-6"/>
          <w:sz w:val="21"/>
          <w:szCs w:val="21"/>
          <w:highlight w:val="none"/>
        </w:rPr>
        <w:t>疾人福利性单位制造的货物（不包括使用非残疾人福利性单位注册商标的货物）。</w:t>
      </w:r>
    </w:p>
    <w:p w14:paraId="6B5E0678">
      <w:pPr>
        <w:shd w:val="clear"/>
        <w:spacing w:line="360" w:lineRule="auto"/>
        <w:ind w:firstLine="444" w:firstLineChars="200"/>
        <w:contextualSpacing/>
        <w:rPr>
          <w:rFonts w:ascii="宋体" w:hAnsi="宋体"/>
          <w:color w:val="auto"/>
          <w:spacing w:val="6"/>
          <w:sz w:val="21"/>
          <w:szCs w:val="21"/>
          <w:highlight w:val="none"/>
        </w:rPr>
      </w:pPr>
      <w:r>
        <w:rPr>
          <w:rFonts w:hint="eastAsia" w:ascii="宋体" w:hAnsi="宋体"/>
          <w:color w:val="auto"/>
          <w:spacing w:val="6"/>
          <w:sz w:val="21"/>
          <w:szCs w:val="21"/>
          <w:highlight w:val="none"/>
        </w:rPr>
        <w:t>本单位对上述声明的真实性负责。如有虚假，将依法承担相应责任。</w:t>
      </w:r>
    </w:p>
    <w:p w14:paraId="1F09825D">
      <w:pPr>
        <w:shd w:val="clear"/>
        <w:spacing w:line="360" w:lineRule="auto"/>
        <w:ind w:firstLine="444" w:firstLineChars="200"/>
        <w:contextualSpacing/>
        <w:rPr>
          <w:rFonts w:ascii="宋体" w:hAnsi="宋体"/>
          <w:color w:val="auto"/>
          <w:spacing w:val="6"/>
          <w:sz w:val="21"/>
          <w:szCs w:val="21"/>
          <w:highlight w:val="none"/>
        </w:rPr>
      </w:pPr>
    </w:p>
    <w:p w14:paraId="27B1FF40">
      <w:pPr>
        <w:shd w:val="clear"/>
        <w:spacing w:line="360" w:lineRule="auto"/>
        <w:ind w:firstLine="444" w:firstLineChars="200"/>
        <w:contextualSpacing/>
        <w:rPr>
          <w:rFonts w:ascii="宋体" w:hAnsi="宋体"/>
          <w:color w:val="auto"/>
          <w:spacing w:val="6"/>
          <w:sz w:val="21"/>
          <w:szCs w:val="21"/>
          <w:highlight w:val="none"/>
        </w:rPr>
      </w:pPr>
    </w:p>
    <w:p w14:paraId="073A4CA1">
      <w:pPr>
        <w:shd w:val="clear"/>
        <w:tabs>
          <w:tab w:val="left" w:pos="4860"/>
        </w:tabs>
        <w:spacing w:line="360" w:lineRule="auto"/>
        <w:ind w:right="1560" w:firstLine="422" w:firstLineChars="200"/>
        <w:contextualSpacing/>
        <w:jc w:val="center"/>
        <w:rPr>
          <w:rFonts w:ascii="宋体" w:hAnsi="宋体"/>
          <w:color w:val="auto"/>
          <w:spacing w:val="6"/>
          <w:sz w:val="21"/>
          <w:szCs w:val="21"/>
          <w:highlight w:val="none"/>
        </w:rPr>
      </w:pPr>
      <w:r>
        <w:rPr>
          <w:rFonts w:hint="eastAsia" w:ascii="宋体" w:hAnsi="宋体" w:eastAsia="宋体" w:cs="宋体"/>
          <w:b/>
          <w:color w:val="auto"/>
          <w:sz w:val="21"/>
          <w:szCs w:val="21"/>
          <w:highlight w:val="none"/>
        </w:rPr>
        <w:t xml:space="preserve"> </w:t>
      </w:r>
      <w:r>
        <w:rPr>
          <w:rFonts w:hint="eastAsia" w:ascii="宋体" w:hAnsi="宋体" w:eastAsia="宋体" w:cs="宋体"/>
          <w:color w:val="auto"/>
          <w:kern w:val="0"/>
          <w:sz w:val="21"/>
          <w:szCs w:val="21"/>
          <w:highlight w:val="none"/>
          <w:lang w:val="zh-CN"/>
        </w:rPr>
        <w:t>投标人名称</w:t>
      </w:r>
      <w:r>
        <w:rPr>
          <w:rFonts w:hint="eastAsia" w:ascii="宋体" w:hAnsi="宋体"/>
          <w:color w:val="auto"/>
          <w:spacing w:val="6"/>
          <w:sz w:val="21"/>
          <w:szCs w:val="21"/>
          <w:highlight w:val="none"/>
        </w:rPr>
        <w:t>（电子签章）：</w:t>
      </w:r>
    </w:p>
    <w:p w14:paraId="64BCFC25">
      <w:pPr>
        <w:shd w:val="clear"/>
        <w:tabs>
          <w:tab w:val="left" w:pos="4860"/>
        </w:tabs>
        <w:spacing w:line="360" w:lineRule="auto"/>
        <w:ind w:right="1560" w:firstLine="444" w:firstLineChars="200"/>
        <w:contextualSpacing/>
        <w:jc w:val="center"/>
        <w:rPr>
          <w:rFonts w:ascii="宋体" w:hAnsi="宋体"/>
          <w:color w:val="auto"/>
          <w:spacing w:val="6"/>
          <w:sz w:val="21"/>
          <w:szCs w:val="21"/>
          <w:highlight w:val="none"/>
        </w:rPr>
      </w:pPr>
      <w:r>
        <w:rPr>
          <w:rFonts w:hint="eastAsia" w:ascii="宋体" w:hAnsi="宋体"/>
          <w:color w:val="auto"/>
          <w:spacing w:val="6"/>
          <w:sz w:val="21"/>
          <w:szCs w:val="21"/>
          <w:highlight w:val="none"/>
        </w:rPr>
        <w:t>日  期：</w:t>
      </w:r>
    </w:p>
    <w:p w14:paraId="258F7EF3">
      <w:pPr>
        <w:shd w:val="clear"/>
        <w:spacing w:line="360" w:lineRule="auto"/>
        <w:contextualSpacing/>
        <w:rPr>
          <w:rFonts w:ascii="宋体" w:hAnsi="宋体"/>
          <w:color w:val="auto"/>
          <w:sz w:val="21"/>
          <w:szCs w:val="21"/>
          <w:highlight w:val="none"/>
        </w:rPr>
      </w:pPr>
    </w:p>
    <w:p w14:paraId="5D63B9B0">
      <w:pPr>
        <w:shd w:val="clear"/>
        <w:spacing w:line="360" w:lineRule="auto"/>
        <w:contextualSpacing/>
        <w:rPr>
          <w:rFonts w:hint="eastAsia" w:ascii="宋体" w:hAnsi="宋体"/>
          <w:color w:val="auto"/>
          <w:sz w:val="21"/>
          <w:szCs w:val="21"/>
          <w:highlight w:val="none"/>
        </w:rPr>
      </w:pPr>
    </w:p>
    <w:p w14:paraId="57A697F5">
      <w:pPr>
        <w:shd w:val="clear"/>
        <w:spacing w:line="360" w:lineRule="auto"/>
        <w:contextualSpacing/>
        <w:rPr>
          <w:rFonts w:ascii="宋体" w:hAnsi="宋体"/>
          <w:color w:val="auto"/>
          <w:sz w:val="21"/>
          <w:szCs w:val="21"/>
          <w:highlight w:val="none"/>
        </w:rPr>
      </w:pPr>
    </w:p>
    <w:p w14:paraId="6D3E0EAA">
      <w:pPr>
        <w:shd w:val="clear"/>
        <w:snapToGrid w:val="0"/>
        <w:spacing w:before="50" w:after="165" w:afterLines="50" w:line="360" w:lineRule="auto"/>
        <w:ind w:firstLine="315" w:firstLineChars="150"/>
        <w:jc w:val="left"/>
        <w:rPr>
          <w:rFonts w:hint="eastAsia" w:ascii="宋体" w:hAnsi="宋体"/>
          <w:color w:val="auto"/>
          <w:sz w:val="21"/>
          <w:szCs w:val="21"/>
          <w:highlight w:val="none"/>
        </w:rPr>
      </w:pPr>
      <w:r>
        <w:rPr>
          <w:rFonts w:hint="eastAsia" w:ascii="宋体" w:hAnsi="宋体"/>
          <w:color w:val="auto"/>
          <w:sz w:val="21"/>
          <w:szCs w:val="21"/>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02452AAE">
      <w:pPr>
        <w:shd w:val="clear"/>
        <w:snapToGrid w:val="0"/>
        <w:spacing w:before="50" w:after="165" w:afterLines="50" w:line="360" w:lineRule="auto"/>
        <w:ind w:firstLine="315" w:firstLineChars="150"/>
        <w:jc w:val="left"/>
        <w:rPr>
          <w:rFonts w:hint="eastAsia" w:ascii="宋体" w:hAnsi="宋体"/>
          <w:color w:val="auto"/>
          <w:sz w:val="21"/>
          <w:szCs w:val="21"/>
          <w:highlight w:val="none"/>
        </w:rPr>
      </w:pPr>
    </w:p>
    <w:p w14:paraId="2B1C367A">
      <w:pPr>
        <w:shd w:val="clear"/>
        <w:snapToGrid w:val="0"/>
        <w:spacing w:before="50" w:after="165" w:afterLines="50" w:line="360" w:lineRule="auto"/>
        <w:ind w:firstLine="315" w:firstLineChars="150"/>
        <w:jc w:val="left"/>
        <w:rPr>
          <w:rFonts w:hint="eastAsia" w:ascii="宋体" w:hAnsi="宋体"/>
          <w:color w:val="auto"/>
          <w:sz w:val="21"/>
          <w:szCs w:val="21"/>
          <w:highlight w:val="none"/>
        </w:rPr>
      </w:pPr>
    </w:p>
    <w:p w14:paraId="1DE3D1C4">
      <w:pPr>
        <w:shd w:val="clear"/>
        <w:snapToGrid w:val="0"/>
        <w:spacing w:before="50" w:after="165" w:afterLines="50" w:line="360" w:lineRule="auto"/>
        <w:ind w:firstLine="452" w:firstLineChars="150"/>
        <w:jc w:val="left"/>
        <w:rPr>
          <w:rFonts w:hint="eastAsia" w:ascii="Times New Roman" w:hAnsi="Times New Roman" w:eastAsia="宋体" w:cs="Times New Roman"/>
          <w:b/>
          <w:bCs/>
          <w:color w:val="auto"/>
          <w:sz w:val="30"/>
          <w:szCs w:val="30"/>
          <w:highlight w:val="none"/>
          <w:lang w:val="en-US" w:eastAsia="zh-CN"/>
        </w:rPr>
      </w:pPr>
      <w:r>
        <w:rPr>
          <w:rFonts w:hint="eastAsia" w:ascii="Times New Roman" w:hAnsi="Times New Roman" w:eastAsia="宋体" w:cs="Times New Roman"/>
          <w:b/>
          <w:bCs/>
          <w:color w:val="auto"/>
          <w:kern w:val="2"/>
          <w:sz w:val="30"/>
          <w:szCs w:val="30"/>
          <w:highlight w:val="none"/>
          <w:lang w:val="en-US" w:eastAsia="zh-CN" w:bidi="ar-SA"/>
        </w:rPr>
        <w:t>九、</w:t>
      </w:r>
      <w:r>
        <w:rPr>
          <w:rFonts w:hint="eastAsia" w:ascii="Times New Roman" w:hAnsi="Times New Roman" w:eastAsia="宋体" w:cs="Times New Roman"/>
          <w:b/>
          <w:bCs/>
          <w:color w:val="auto"/>
          <w:sz w:val="30"/>
          <w:szCs w:val="30"/>
          <w:highlight w:val="none"/>
          <w:lang w:val="en-US" w:eastAsia="zh-CN"/>
        </w:rPr>
        <w:t>除招标文件规定必须提供以外，投标人认为需要提供的其他证明材料</w:t>
      </w:r>
    </w:p>
    <w:p w14:paraId="135339CC">
      <w:pPr>
        <w:widowControl w:val="0"/>
        <w:numPr>
          <w:ilvl w:val="0"/>
          <w:numId w:val="0"/>
        </w:numPr>
        <w:shd w:val="clear"/>
        <w:spacing w:line="600" w:lineRule="exact"/>
        <w:jc w:val="center"/>
        <w:rPr>
          <w:rFonts w:hint="eastAsia" w:ascii="Times New Roman" w:hAnsi="Times New Roman" w:eastAsia="宋体" w:cs="Times New Roman"/>
          <w:b/>
          <w:bCs/>
          <w:color w:val="auto"/>
          <w:sz w:val="30"/>
          <w:szCs w:val="30"/>
          <w:highlight w:val="none"/>
          <w:lang w:val="en-US" w:eastAsia="zh-CN"/>
        </w:rPr>
      </w:pPr>
    </w:p>
    <w:p w14:paraId="3FBF352C">
      <w:pPr>
        <w:widowControl w:val="0"/>
        <w:numPr>
          <w:ilvl w:val="0"/>
          <w:numId w:val="0"/>
        </w:numPr>
        <w:shd w:val="clear"/>
        <w:spacing w:line="600" w:lineRule="exact"/>
        <w:jc w:val="center"/>
        <w:rPr>
          <w:rFonts w:hint="eastAsia" w:ascii="Times New Roman" w:hAnsi="Times New Roman" w:eastAsia="宋体" w:cs="Times New Roman"/>
          <w:b/>
          <w:bCs/>
          <w:color w:val="auto"/>
          <w:sz w:val="30"/>
          <w:szCs w:val="30"/>
          <w:highlight w:val="none"/>
          <w:lang w:val="en-US" w:eastAsia="zh-CN"/>
        </w:rPr>
      </w:pPr>
    </w:p>
    <w:p w14:paraId="7093F394">
      <w:pPr>
        <w:shd w:val="clear"/>
        <w:snapToGrid w:val="0"/>
        <w:spacing w:line="360" w:lineRule="auto"/>
        <w:ind w:firstLine="4410" w:firstLineChars="21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zh-CN"/>
        </w:rPr>
        <w:t>投标人名称(电子签章)：</w:t>
      </w:r>
    </w:p>
    <w:p w14:paraId="661FDA46">
      <w:pPr>
        <w:shd w:val="clear"/>
        <w:snapToGrid w:val="0"/>
        <w:spacing w:line="360" w:lineRule="auto"/>
        <w:ind w:firstLine="4515" w:firstLineChars="215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日期</w:t>
      </w:r>
      <w:r>
        <w:rPr>
          <w:rFonts w:hint="eastAsia" w:ascii="宋体" w:hAnsi="宋体" w:eastAsia="宋体" w:cs="宋体"/>
          <w:color w:val="auto"/>
          <w:kern w:val="0"/>
          <w:sz w:val="21"/>
          <w:szCs w:val="21"/>
          <w:highlight w:val="none"/>
        </w:rPr>
        <w:t xml:space="preserve">：  年  </w:t>
      </w:r>
      <w:r>
        <w:rPr>
          <w:rFonts w:hint="eastAsia" w:ascii="宋体" w:hAnsi="宋体" w:eastAsia="宋体" w:cs="宋体"/>
          <w:color w:val="auto"/>
          <w:kern w:val="0"/>
          <w:sz w:val="21"/>
          <w:szCs w:val="21"/>
          <w:highlight w:val="none"/>
          <w:lang w:val="zh-CN"/>
        </w:rPr>
        <w:t>月</w:t>
      </w: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lang w:val="zh-CN"/>
        </w:rPr>
        <w:t>日</w:t>
      </w:r>
    </w:p>
    <w:p w14:paraId="1607FDA3">
      <w:pPr>
        <w:widowControl w:val="0"/>
        <w:numPr>
          <w:ilvl w:val="0"/>
          <w:numId w:val="0"/>
        </w:numPr>
        <w:shd w:val="clear"/>
        <w:spacing w:line="600" w:lineRule="exact"/>
        <w:jc w:val="center"/>
        <w:rPr>
          <w:rFonts w:hint="eastAsia" w:ascii="宋体" w:hAnsi="宋体" w:eastAsia="宋体" w:cs="宋体"/>
          <w:b/>
          <w:bCs/>
          <w:color w:val="auto"/>
          <w:sz w:val="21"/>
          <w:szCs w:val="21"/>
          <w:highlight w:val="none"/>
          <w:lang w:val="en-US" w:eastAsia="zh-CN"/>
        </w:rPr>
        <w:sectPr>
          <w:pgSz w:w="11905" w:h="16838"/>
          <w:pgMar w:top="1134" w:right="1134" w:bottom="1134" w:left="1134" w:header="720" w:footer="720" w:gutter="0"/>
          <w:cols w:space="0" w:num="1"/>
          <w:rtlGutter w:val="0"/>
          <w:docGrid w:type="lines" w:linePitch="331" w:charSpace="0"/>
        </w:sectPr>
      </w:pPr>
    </w:p>
    <w:p w14:paraId="18D5D0CF">
      <w:pPr>
        <w:shd w:val="clear"/>
        <w:autoSpaceDE w:val="0"/>
        <w:autoSpaceDN w:val="0"/>
        <w:adjustRightInd w:val="0"/>
        <w:spacing w:line="360" w:lineRule="auto"/>
        <w:jc w:val="left"/>
        <w:rPr>
          <w:rFonts w:hAnsi="宋体"/>
          <w:color w:val="auto"/>
          <w:szCs w:val="21"/>
          <w:highlight w:val="none"/>
        </w:rPr>
      </w:pPr>
    </w:p>
    <w:p w14:paraId="60D91EBE">
      <w:pPr>
        <w:shd w:val="clear"/>
        <w:jc w:val="center"/>
        <w:outlineLvl w:val="1"/>
        <w:rPr>
          <w:rFonts w:hint="eastAsia" w:ascii="宋体" w:hAnsi="宋体"/>
          <w:b/>
          <w:bCs/>
          <w:color w:val="auto"/>
          <w:sz w:val="30"/>
          <w:szCs w:val="30"/>
          <w:highlight w:val="none"/>
        </w:rPr>
      </w:pPr>
      <w:bookmarkStart w:id="26" w:name="_Toc171344366"/>
      <w:r>
        <w:rPr>
          <w:rFonts w:hint="eastAsia" w:ascii="宋体" w:hAnsi="宋体"/>
          <w:b/>
          <w:bCs/>
          <w:color w:val="auto"/>
          <w:sz w:val="30"/>
          <w:szCs w:val="30"/>
          <w:highlight w:val="none"/>
        </w:rPr>
        <w:t>第三节 商务文件格式</w:t>
      </w:r>
      <w:bookmarkEnd w:id="26"/>
    </w:p>
    <w:p w14:paraId="58FD1170">
      <w:pPr>
        <w:shd w:val="clear"/>
        <w:snapToGrid w:val="0"/>
        <w:spacing w:before="165" w:beforeLines="50" w:after="50"/>
        <w:rPr>
          <w:rFonts w:hint="eastAsia" w:ascii="宋体" w:hAnsi="宋体"/>
          <w:color w:val="auto"/>
          <w:sz w:val="30"/>
          <w:szCs w:val="20"/>
          <w:highlight w:val="none"/>
        </w:rPr>
      </w:pPr>
    </w:p>
    <w:p w14:paraId="019CA7C3">
      <w:pPr>
        <w:shd w:val="clear"/>
        <w:snapToGrid w:val="0"/>
        <w:spacing w:before="165"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 xml:space="preserve">             电子投标文件</w:t>
      </w:r>
    </w:p>
    <w:p w14:paraId="0A00784E">
      <w:pPr>
        <w:shd w:val="clear"/>
        <w:snapToGrid w:val="0"/>
        <w:spacing w:before="165" w:beforeLines="50" w:after="50"/>
        <w:rPr>
          <w:rFonts w:hint="eastAsia" w:ascii="宋体" w:hAnsi="宋体"/>
          <w:color w:val="auto"/>
          <w:sz w:val="24"/>
          <w:szCs w:val="20"/>
          <w:highlight w:val="none"/>
        </w:rPr>
      </w:pPr>
    </w:p>
    <w:p w14:paraId="4E6B9C75">
      <w:pPr>
        <w:shd w:val="clear"/>
        <w:snapToGrid w:val="0"/>
        <w:spacing w:before="165" w:beforeLines="50" w:after="50"/>
        <w:jc w:val="center"/>
        <w:rPr>
          <w:rFonts w:hint="eastAsia" w:ascii="宋体" w:hAnsi="宋体"/>
          <w:b/>
          <w:color w:val="auto"/>
          <w:sz w:val="24"/>
          <w:szCs w:val="20"/>
          <w:highlight w:val="none"/>
        </w:rPr>
      </w:pPr>
      <w:r>
        <w:rPr>
          <w:rFonts w:hint="eastAsia" w:ascii="宋体" w:hAnsi="宋体"/>
          <w:b/>
          <w:color w:val="auto"/>
          <w:sz w:val="32"/>
          <w:szCs w:val="32"/>
          <w:highlight w:val="none"/>
        </w:rPr>
        <w:t>商务文件（封面）</w:t>
      </w:r>
    </w:p>
    <w:p w14:paraId="0E6AC13E">
      <w:pPr>
        <w:shd w:val="clear"/>
        <w:snapToGrid w:val="0"/>
        <w:spacing w:before="165" w:beforeLines="50" w:after="50"/>
        <w:rPr>
          <w:rFonts w:hint="eastAsia" w:ascii="宋体" w:hAnsi="宋体"/>
          <w:bCs/>
          <w:color w:val="auto"/>
          <w:sz w:val="24"/>
          <w:szCs w:val="20"/>
          <w:highlight w:val="none"/>
        </w:rPr>
      </w:pPr>
    </w:p>
    <w:p w14:paraId="5EE07ABF">
      <w:pPr>
        <w:shd w:val="clear"/>
        <w:snapToGrid w:val="0"/>
        <w:spacing w:before="165" w:beforeLines="50" w:after="50"/>
        <w:ind w:firstLine="540" w:firstLineChars="225"/>
        <w:rPr>
          <w:rFonts w:hint="eastAsia" w:ascii="宋体" w:hAnsi="宋体"/>
          <w:bCs/>
          <w:color w:val="auto"/>
          <w:sz w:val="24"/>
          <w:highlight w:val="none"/>
        </w:rPr>
      </w:pPr>
      <w:r>
        <w:rPr>
          <w:rFonts w:hint="eastAsia" w:ascii="宋体" w:hAnsi="宋体"/>
          <w:bCs/>
          <w:color w:val="auto"/>
          <w:sz w:val="24"/>
          <w:highlight w:val="none"/>
        </w:rPr>
        <w:t>项目名称：</w:t>
      </w:r>
    </w:p>
    <w:p w14:paraId="118BD1A4">
      <w:pPr>
        <w:shd w:val="clear"/>
        <w:snapToGrid w:val="0"/>
        <w:spacing w:before="165" w:beforeLines="50" w:after="50"/>
        <w:ind w:firstLine="540" w:firstLineChars="225"/>
        <w:rPr>
          <w:rFonts w:hint="eastAsia" w:ascii="宋体" w:hAnsi="宋体"/>
          <w:bCs/>
          <w:color w:val="auto"/>
          <w:sz w:val="24"/>
          <w:szCs w:val="20"/>
          <w:highlight w:val="none"/>
        </w:rPr>
      </w:pPr>
    </w:p>
    <w:p w14:paraId="78C2A186">
      <w:pPr>
        <w:shd w:val="clear"/>
        <w:snapToGrid w:val="0"/>
        <w:spacing w:before="165" w:beforeLines="50" w:after="50"/>
        <w:ind w:firstLine="540" w:firstLineChars="225"/>
        <w:rPr>
          <w:rFonts w:hint="eastAsia" w:ascii="宋体" w:hAnsi="宋体"/>
          <w:bCs/>
          <w:color w:val="auto"/>
          <w:sz w:val="24"/>
          <w:highlight w:val="none"/>
        </w:rPr>
      </w:pPr>
      <w:r>
        <w:rPr>
          <w:rFonts w:hint="eastAsia" w:ascii="宋体" w:hAnsi="宋体"/>
          <w:bCs/>
          <w:color w:val="auto"/>
          <w:sz w:val="24"/>
          <w:highlight w:val="none"/>
        </w:rPr>
        <w:t>项目编号：</w:t>
      </w:r>
    </w:p>
    <w:p w14:paraId="4ECBC195">
      <w:pPr>
        <w:shd w:val="clear"/>
        <w:snapToGrid w:val="0"/>
        <w:spacing w:before="165" w:beforeLines="50" w:after="50"/>
        <w:ind w:firstLine="540" w:firstLineChars="225"/>
        <w:rPr>
          <w:rFonts w:hint="eastAsia" w:ascii="宋体" w:hAnsi="宋体"/>
          <w:bCs/>
          <w:color w:val="auto"/>
          <w:sz w:val="24"/>
          <w:szCs w:val="20"/>
          <w:highlight w:val="none"/>
        </w:rPr>
      </w:pPr>
      <w:r>
        <w:rPr>
          <w:rFonts w:hint="eastAsia" w:ascii="宋体" w:hAnsi="宋体"/>
          <w:bCs/>
          <w:color w:val="auto"/>
          <w:sz w:val="24"/>
          <w:highlight w:val="none"/>
        </w:rPr>
        <w:t xml:space="preserve"> </w:t>
      </w:r>
    </w:p>
    <w:p w14:paraId="30188EDB">
      <w:pPr>
        <w:shd w:val="clear"/>
        <w:snapToGrid w:val="0"/>
        <w:spacing w:before="165" w:beforeLines="50" w:after="50"/>
        <w:ind w:firstLine="540" w:firstLineChars="225"/>
        <w:rPr>
          <w:rFonts w:hint="eastAsia" w:ascii="宋体" w:hAnsi="宋体"/>
          <w:bCs/>
          <w:color w:val="auto"/>
          <w:sz w:val="24"/>
          <w:highlight w:val="none"/>
        </w:rPr>
      </w:pPr>
      <w:r>
        <w:rPr>
          <w:rFonts w:hint="eastAsia" w:ascii="宋体" w:hAnsi="宋体"/>
          <w:bCs/>
          <w:color w:val="auto"/>
          <w:sz w:val="24"/>
          <w:highlight w:val="none"/>
        </w:rPr>
        <w:t>所投分标：</w:t>
      </w:r>
    </w:p>
    <w:p w14:paraId="0FB5AC70">
      <w:pPr>
        <w:shd w:val="clear"/>
        <w:snapToGrid w:val="0"/>
        <w:spacing w:before="165" w:beforeLines="50" w:after="50"/>
        <w:ind w:firstLine="540" w:firstLineChars="225"/>
        <w:rPr>
          <w:rFonts w:hint="eastAsia" w:ascii="宋体" w:hAnsi="宋体"/>
          <w:bCs/>
          <w:color w:val="auto"/>
          <w:sz w:val="24"/>
          <w:szCs w:val="20"/>
          <w:highlight w:val="none"/>
        </w:rPr>
      </w:pPr>
    </w:p>
    <w:p w14:paraId="0E3BFFFF">
      <w:pPr>
        <w:shd w:val="clear"/>
        <w:snapToGrid w:val="0"/>
        <w:spacing w:before="50" w:after="50"/>
        <w:ind w:firstLine="540" w:firstLineChars="225"/>
        <w:rPr>
          <w:rFonts w:hint="eastAsia" w:ascii="宋体" w:hAnsi="宋体"/>
          <w:bCs/>
          <w:color w:val="auto"/>
          <w:sz w:val="24"/>
          <w:highlight w:val="none"/>
        </w:rPr>
      </w:pPr>
      <w:r>
        <w:rPr>
          <w:rFonts w:hint="eastAsia" w:ascii="宋体" w:hAnsi="宋体"/>
          <w:bCs/>
          <w:color w:val="auto"/>
          <w:sz w:val="24"/>
          <w:highlight w:val="none"/>
        </w:rPr>
        <w:t>投标人名称：</w:t>
      </w:r>
    </w:p>
    <w:p w14:paraId="5C774924">
      <w:pPr>
        <w:shd w:val="clear"/>
        <w:snapToGrid w:val="0"/>
        <w:spacing w:before="50" w:after="50"/>
        <w:ind w:firstLine="540" w:firstLineChars="225"/>
        <w:rPr>
          <w:rFonts w:hint="eastAsia" w:ascii="宋体" w:hAnsi="宋体"/>
          <w:bCs/>
          <w:color w:val="auto"/>
          <w:sz w:val="24"/>
          <w:highlight w:val="none"/>
        </w:rPr>
      </w:pPr>
    </w:p>
    <w:p w14:paraId="5F243A28">
      <w:pPr>
        <w:shd w:val="clear"/>
        <w:snapToGrid w:val="0"/>
        <w:spacing w:before="50" w:after="50"/>
        <w:ind w:firstLine="540" w:firstLineChars="225"/>
        <w:rPr>
          <w:rFonts w:hint="eastAsia" w:ascii="宋体" w:hAnsi="宋体"/>
          <w:bCs/>
          <w:color w:val="auto"/>
          <w:sz w:val="24"/>
          <w:highlight w:val="none"/>
        </w:rPr>
      </w:pPr>
      <w:r>
        <w:rPr>
          <w:rFonts w:hint="eastAsia" w:ascii="宋体" w:hAnsi="宋体"/>
          <w:bCs/>
          <w:color w:val="auto"/>
          <w:sz w:val="24"/>
          <w:highlight w:val="none"/>
        </w:rPr>
        <w:t>投标人地址：</w:t>
      </w:r>
    </w:p>
    <w:p w14:paraId="2535937E">
      <w:pPr>
        <w:shd w:val="clear"/>
        <w:snapToGrid w:val="0"/>
        <w:spacing w:before="50" w:after="50"/>
        <w:ind w:firstLine="960" w:firstLineChars="400"/>
        <w:rPr>
          <w:rFonts w:hint="eastAsia" w:ascii="宋体" w:hAnsi="宋体"/>
          <w:bCs/>
          <w:color w:val="auto"/>
          <w:sz w:val="24"/>
          <w:highlight w:val="none"/>
        </w:rPr>
      </w:pPr>
    </w:p>
    <w:p w14:paraId="0C0C3F92">
      <w:pPr>
        <w:shd w:val="clear"/>
        <w:snapToGrid w:val="0"/>
        <w:spacing w:before="165" w:beforeLines="50" w:after="50"/>
        <w:ind w:firstLine="645"/>
        <w:rPr>
          <w:rFonts w:ascii="宋体" w:hAnsi="宋体"/>
          <w:color w:val="auto"/>
          <w:sz w:val="24"/>
          <w:highlight w:val="none"/>
        </w:rPr>
      </w:pPr>
      <w:r>
        <w:rPr>
          <w:rFonts w:hint="eastAsia" w:ascii="宋体" w:hAnsi="宋体"/>
          <w:color w:val="auto"/>
          <w:sz w:val="24"/>
          <w:highlight w:val="none"/>
        </w:rPr>
        <w:t xml:space="preserve">                        年  月  日</w:t>
      </w:r>
    </w:p>
    <w:p w14:paraId="1D190EB7">
      <w:pPr>
        <w:shd w:val="clear"/>
        <w:snapToGrid w:val="0"/>
        <w:spacing w:before="165" w:beforeLines="50" w:after="50"/>
        <w:rPr>
          <w:rFonts w:ascii="宋体" w:hAnsi="宋体"/>
          <w:color w:val="auto"/>
          <w:sz w:val="24"/>
          <w:szCs w:val="20"/>
          <w:highlight w:val="none"/>
        </w:rPr>
      </w:pPr>
      <w:r>
        <w:rPr>
          <w:rFonts w:ascii="宋体" w:hAnsi="宋体"/>
          <w:color w:val="auto"/>
          <w:sz w:val="24"/>
          <w:szCs w:val="20"/>
          <w:highlight w:val="none"/>
        </w:rPr>
        <w:t xml:space="preserve"> </w:t>
      </w:r>
    </w:p>
    <w:p w14:paraId="60CAFC96">
      <w:pPr>
        <w:shd w:val="clear"/>
        <w:spacing w:line="360" w:lineRule="auto"/>
        <w:ind w:right="420"/>
        <w:rPr>
          <w:rFonts w:hint="eastAsia" w:ascii="宋体" w:hAnsi="宋体"/>
          <w:color w:val="auto"/>
          <w:sz w:val="24"/>
          <w:szCs w:val="20"/>
          <w:highlight w:val="none"/>
        </w:rPr>
      </w:pPr>
    </w:p>
    <w:p w14:paraId="0FB84ECF">
      <w:pPr>
        <w:shd w:val="clear"/>
        <w:spacing w:line="360" w:lineRule="auto"/>
        <w:ind w:right="420"/>
        <w:rPr>
          <w:rFonts w:hint="eastAsia" w:ascii="宋体" w:hAnsi="宋体"/>
          <w:color w:val="auto"/>
          <w:sz w:val="24"/>
          <w:szCs w:val="20"/>
          <w:highlight w:val="none"/>
        </w:rPr>
      </w:pPr>
    </w:p>
    <w:p w14:paraId="33243AF0">
      <w:pPr>
        <w:shd w:val="clear"/>
        <w:spacing w:line="360" w:lineRule="auto"/>
        <w:ind w:right="420"/>
        <w:rPr>
          <w:rFonts w:hint="eastAsia" w:ascii="宋体" w:hAnsi="宋体"/>
          <w:color w:val="auto"/>
          <w:sz w:val="24"/>
          <w:szCs w:val="20"/>
          <w:highlight w:val="none"/>
        </w:rPr>
      </w:pPr>
    </w:p>
    <w:p w14:paraId="1C8B6F07">
      <w:pPr>
        <w:shd w:val="clear"/>
        <w:spacing w:line="360" w:lineRule="auto"/>
        <w:ind w:right="420"/>
        <w:rPr>
          <w:rFonts w:hint="eastAsia" w:ascii="宋体" w:hAnsi="宋体"/>
          <w:color w:val="auto"/>
          <w:sz w:val="24"/>
          <w:szCs w:val="20"/>
          <w:highlight w:val="none"/>
        </w:rPr>
      </w:pPr>
    </w:p>
    <w:p w14:paraId="538394EF">
      <w:pPr>
        <w:shd w:val="clear"/>
        <w:spacing w:line="360" w:lineRule="auto"/>
        <w:ind w:right="420"/>
        <w:rPr>
          <w:rFonts w:hint="eastAsia" w:ascii="宋体" w:hAnsi="宋体"/>
          <w:color w:val="auto"/>
          <w:sz w:val="24"/>
          <w:szCs w:val="20"/>
          <w:highlight w:val="none"/>
        </w:rPr>
      </w:pPr>
    </w:p>
    <w:p w14:paraId="203C4A67">
      <w:pPr>
        <w:shd w:val="clear"/>
        <w:spacing w:line="360" w:lineRule="auto"/>
        <w:ind w:right="420"/>
        <w:rPr>
          <w:rFonts w:hint="eastAsia" w:ascii="宋体" w:hAnsi="宋体"/>
          <w:color w:val="auto"/>
          <w:sz w:val="24"/>
          <w:szCs w:val="20"/>
          <w:highlight w:val="none"/>
        </w:rPr>
      </w:pPr>
    </w:p>
    <w:p w14:paraId="7D8FF891">
      <w:pPr>
        <w:shd w:val="clear"/>
        <w:spacing w:line="360" w:lineRule="auto"/>
        <w:ind w:right="420"/>
        <w:rPr>
          <w:rFonts w:hint="eastAsia" w:ascii="宋体" w:hAnsi="宋体"/>
          <w:color w:val="auto"/>
          <w:sz w:val="24"/>
          <w:szCs w:val="20"/>
          <w:highlight w:val="none"/>
        </w:rPr>
      </w:pPr>
    </w:p>
    <w:p w14:paraId="48F8CE2E">
      <w:pPr>
        <w:shd w:val="clear"/>
        <w:spacing w:line="360" w:lineRule="auto"/>
        <w:ind w:right="420"/>
        <w:rPr>
          <w:rFonts w:hint="eastAsia" w:ascii="宋体" w:hAnsi="宋体"/>
          <w:color w:val="auto"/>
          <w:sz w:val="24"/>
          <w:szCs w:val="20"/>
          <w:highlight w:val="none"/>
        </w:rPr>
      </w:pPr>
    </w:p>
    <w:p w14:paraId="5409B2C9">
      <w:pPr>
        <w:shd w:val="clear"/>
        <w:spacing w:line="360" w:lineRule="auto"/>
        <w:ind w:right="420"/>
        <w:rPr>
          <w:rFonts w:hint="eastAsia" w:ascii="宋体" w:hAnsi="宋体"/>
          <w:color w:val="auto"/>
          <w:sz w:val="24"/>
          <w:szCs w:val="20"/>
          <w:highlight w:val="none"/>
        </w:rPr>
      </w:pPr>
    </w:p>
    <w:p w14:paraId="2C39153F">
      <w:pPr>
        <w:shd w:val="clear"/>
        <w:spacing w:line="360" w:lineRule="auto"/>
        <w:ind w:right="420"/>
        <w:rPr>
          <w:rFonts w:hint="eastAsia" w:ascii="仿宋_GB2312" w:hAnsi="仿宋" w:eastAsia="仿宋_GB2312" w:cs="仿宋_GB2312"/>
          <w:b/>
          <w:color w:val="auto"/>
          <w:kern w:val="0"/>
          <w:sz w:val="36"/>
          <w:szCs w:val="36"/>
          <w:highlight w:val="none"/>
        </w:rPr>
      </w:pPr>
      <w:r>
        <w:rPr>
          <w:rFonts w:hint="eastAsia" w:ascii="仿宋_GB2312" w:hAnsi="仿宋" w:eastAsia="仿宋_GB2312" w:cs="仿宋_GB2312"/>
          <w:b/>
          <w:color w:val="auto"/>
          <w:kern w:val="0"/>
          <w:sz w:val="36"/>
          <w:szCs w:val="36"/>
          <w:highlight w:val="none"/>
        </w:rPr>
        <w:t xml:space="preserve"> </w:t>
      </w:r>
    </w:p>
    <w:p w14:paraId="6693FDFF">
      <w:pPr>
        <w:shd w:val="clear"/>
        <w:rPr>
          <w:rFonts w:hint="eastAsia" w:ascii="仿宋_GB2312" w:hAnsi="仿宋" w:eastAsia="仿宋_GB2312" w:cs="仿宋_GB2312"/>
          <w:b/>
          <w:color w:val="auto"/>
          <w:kern w:val="0"/>
          <w:sz w:val="24"/>
          <w:highlight w:val="none"/>
        </w:rPr>
      </w:pPr>
    </w:p>
    <w:p w14:paraId="413FB72D">
      <w:pPr>
        <w:shd w:val="clear"/>
        <w:jc w:val="center"/>
        <w:rPr>
          <w:rFonts w:hint="eastAsia" w:ascii="仿宋_GB2312" w:hAnsi="仿宋" w:eastAsia="仿宋_GB2312" w:cs="仿宋_GB2312"/>
          <w:b/>
          <w:color w:val="auto"/>
          <w:kern w:val="0"/>
          <w:sz w:val="28"/>
          <w:szCs w:val="28"/>
          <w:highlight w:val="none"/>
        </w:rPr>
      </w:pPr>
    </w:p>
    <w:p w14:paraId="561FCC52">
      <w:pPr>
        <w:shd w:val="clear"/>
        <w:jc w:val="center"/>
        <w:rPr>
          <w:rFonts w:hint="eastAsia" w:ascii="仿宋_GB2312" w:hAnsi="仿宋" w:eastAsia="仿宋_GB2312" w:cs="仿宋_GB2312"/>
          <w:b/>
          <w:color w:val="auto"/>
          <w:kern w:val="0"/>
          <w:sz w:val="28"/>
          <w:szCs w:val="28"/>
          <w:highlight w:val="none"/>
        </w:rPr>
      </w:pPr>
    </w:p>
    <w:p w14:paraId="67C5EECC">
      <w:pPr>
        <w:shd w:val="clear"/>
        <w:jc w:val="center"/>
        <w:rPr>
          <w:rFonts w:hint="eastAsia" w:ascii="仿宋_GB2312" w:hAnsi="仿宋" w:eastAsia="仿宋_GB2312" w:cs="仿宋_GB2312"/>
          <w:b/>
          <w:color w:val="auto"/>
          <w:kern w:val="0"/>
          <w:sz w:val="28"/>
          <w:szCs w:val="28"/>
          <w:highlight w:val="none"/>
        </w:rPr>
      </w:pPr>
      <w:r>
        <w:rPr>
          <w:rFonts w:hint="eastAsia" w:ascii="仿宋_GB2312" w:hAnsi="仿宋" w:eastAsia="仿宋_GB2312" w:cs="仿宋_GB2312"/>
          <w:b/>
          <w:color w:val="auto"/>
          <w:kern w:val="0"/>
          <w:sz w:val="28"/>
          <w:szCs w:val="28"/>
          <w:highlight w:val="none"/>
        </w:rPr>
        <w:t>商务文件目录</w:t>
      </w:r>
    </w:p>
    <w:p w14:paraId="7EBCE985">
      <w:pPr>
        <w:shd w:val="clear"/>
        <w:adjustRightInd w:val="0"/>
        <w:spacing w:line="360" w:lineRule="auto"/>
        <w:ind w:left="2" w:firstLine="480" w:firstLineChars="200"/>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一、无串标行为承诺函………………………………………………………（页码）</w:t>
      </w:r>
    </w:p>
    <w:p w14:paraId="5B6567F6">
      <w:pPr>
        <w:shd w:val="clear"/>
        <w:adjustRightInd w:val="0"/>
        <w:spacing w:line="360" w:lineRule="auto"/>
        <w:ind w:left="2" w:firstLine="480" w:firstLineChars="200"/>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二、法定代表人身份证明及法定代表人有效身份证正反面复印件………（页码）</w:t>
      </w:r>
    </w:p>
    <w:p w14:paraId="44624A93">
      <w:pPr>
        <w:shd w:val="clear"/>
        <w:adjustRightInd w:val="0"/>
        <w:spacing w:line="360" w:lineRule="auto"/>
        <w:ind w:left="2" w:firstLine="480" w:firstLineChars="200"/>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三、法定代表人授权委托书（如有委托时）………………………………（页码）</w:t>
      </w:r>
    </w:p>
    <w:p w14:paraId="6B42E838">
      <w:pPr>
        <w:shd w:val="clear"/>
        <w:adjustRightInd w:val="0"/>
        <w:spacing w:line="360" w:lineRule="auto"/>
        <w:ind w:left="2" w:firstLine="480" w:firstLineChars="200"/>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四、</w:t>
      </w:r>
      <w:r>
        <w:rPr>
          <w:rFonts w:hint="eastAsia" w:ascii="仿宋_GB2312" w:hAnsi="仿宋" w:eastAsia="仿宋_GB2312" w:cs="仿宋_GB2312"/>
          <w:color w:val="auto"/>
          <w:sz w:val="24"/>
          <w:highlight w:val="none"/>
          <w:lang w:val="zh-CN"/>
        </w:rPr>
        <w:t>商务条款偏离表………………………………</w:t>
      </w:r>
      <w:r>
        <w:rPr>
          <w:rFonts w:hint="eastAsia" w:ascii="仿宋_GB2312" w:hAnsi="仿宋" w:eastAsia="仿宋_GB2312" w:cs="仿宋_GB2312"/>
          <w:color w:val="auto"/>
          <w:sz w:val="24"/>
          <w:highlight w:val="none"/>
        </w:rPr>
        <w:t>…………………………（页码）</w:t>
      </w:r>
    </w:p>
    <w:p w14:paraId="6EF5330A">
      <w:pPr>
        <w:shd w:val="clear"/>
        <w:adjustRightInd w:val="0"/>
        <w:spacing w:line="360" w:lineRule="auto"/>
        <w:ind w:left="2" w:firstLine="480" w:firstLineChars="200"/>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五、投标人情况介绍</w:t>
      </w:r>
      <w:r>
        <w:rPr>
          <w:rFonts w:hint="eastAsia" w:ascii="仿宋_GB2312" w:hAnsi="仿宋" w:eastAsia="仿宋_GB2312" w:cs="仿宋_GB2312"/>
          <w:color w:val="auto"/>
          <w:sz w:val="24"/>
          <w:highlight w:val="none"/>
          <w:lang w:val="zh-CN"/>
        </w:rPr>
        <w:t>………………………………</w:t>
      </w:r>
      <w:r>
        <w:rPr>
          <w:rFonts w:hint="eastAsia" w:ascii="仿宋_GB2312" w:hAnsi="仿宋" w:eastAsia="仿宋_GB2312" w:cs="仿宋_GB2312"/>
          <w:color w:val="auto"/>
          <w:sz w:val="24"/>
          <w:highlight w:val="none"/>
        </w:rPr>
        <w:t>…………………………（页码）</w:t>
      </w:r>
    </w:p>
    <w:p w14:paraId="1340B7E8">
      <w:pPr>
        <w:shd w:val="clear"/>
        <w:adjustRightInd w:val="0"/>
        <w:spacing w:line="360" w:lineRule="auto"/>
        <w:ind w:left="2" w:firstLine="480" w:firstLineChars="200"/>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六、投标人类似业绩的证明文件（如有要求）</w:t>
      </w:r>
      <w:r>
        <w:rPr>
          <w:rFonts w:hint="eastAsia" w:ascii="仿宋_GB2312" w:hAnsi="仿宋" w:eastAsia="仿宋_GB2312" w:cs="仿宋_GB2312"/>
          <w:color w:val="auto"/>
          <w:sz w:val="24"/>
          <w:highlight w:val="none"/>
          <w:lang w:val="zh-CN"/>
        </w:rPr>
        <w:t>……………………………</w:t>
      </w:r>
      <w:r>
        <w:rPr>
          <w:rFonts w:hint="eastAsia" w:ascii="仿宋_GB2312" w:hAnsi="仿宋" w:eastAsia="仿宋_GB2312" w:cs="仿宋_GB2312"/>
          <w:color w:val="auto"/>
          <w:sz w:val="24"/>
          <w:highlight w:val="none"/>
        </w:rPr>
        <w:t>（页码）</w:t>
      </w:r>
    </w:p>
    <w:p w14:paraId="445E71D9">
      <w:pPr>
        <w:shd w:val="clear"/>
        <w:adjustRightInd w:val="0"/>
        <w:spacing w:line="360" w:lineRule="auto"/>
        <w:ind w:left="2" w:firstLine="480" w:firstLineChars="200"/>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七、其他商务文件或说明</w:t>
      </w:r>
      <w:r>
        <w:rPr>
          <w:rFonts w:hint="eastAsia" w:ascii="仿宋_GB2312" w:hAnsi="仿宋" w:eastAsia="仿宋_GB2312" w:cs="仿宋_GB2312"/>
          <w:color w:val="auto"/>
          <w:sz w:val="24"/>
          <w:highlight w:val="none"/>
          <w:lang w:val="zh-CN"/>
        </w:rPr>
        <w:t>……………………………………………………</w:t>
      </w:r>
      <w:r>
        <w:rPr>
          <w:rFonts w:hint="eastAsia" w:ascii="仿宋_GB2312" w:hAnsi="仿宋" w:eastAsia="仿宋_GB2312" w:cs="仿宋_GB2312"/>
          <w:color w:val="auto"/>
          <w:sz w:val="24"/>
          <w:highlight w:val="none"/>
        </w:rPr>
        <w:t>（页码）</w:t>
      </w:r>
    </w:p>
    <w:p w14:paraId="20972AF0">
      <w:pPr>
        <w:shd w:val="clear"/>
        <w:spacing w:line="360" w:lineRule="auto"/>
        <w:rPr>
          <w:rFonts w:hint="eastAsia" w:ascii="仿宋_GB2312" w:hAnsi="仿宋" w:eastAsia="仿宋_GB2312" w:cs="仿宋_GB2312"/>
          <w:b/>
          <w:bCs/>
          <w:color w:val="auto"/>
          <w:sz w:val="24"/>
          <w:highlight w:val="none"/>
        </w:rPr>
      </w:pPr>
      <w:r>
        <w:rPr>
          <w:rFonts w:hint="eastAsia" w:ascii="仿宋_GB2312" w:hAnsi="仿宋" w:eastAsia="仿宋_GB2312" w:cs="仿宋_GB2312"/>
          <w:b/>
          <w:bCs/>
          <w:color w:val="auto"/>
          <w:sz w:val="24"/>
          <w:highlight w:val="none"/>
        </w:rPr>
        <w:t>注：以上目录是基本格式要求，各投标人可根据自身情况进一步向下增加内容或细化。</w:t>
      </w:r>
    </w:p>
    <w:p w14:paraId="2150ECD4">
      <w:pPr>
        <w:shd w:val="clear"/>
        <w:snapToGrid w:val="0"/>
        <w:spacing w:line="360" w:lineRule="auto"/>
        <w:ind w:firstLine="420" w:firstLineChars="200"/>
        <w:jc w:val="left"/>
        <w:rPr>
          <w:rFonts w:ascii="宋体" w:hAnsi="宋体"/>
          <w:color w:val="auto"/>
          <w:highlight w:val="none"/>
        </w:rPr>
        <w:sectPr>
          <w:pgSz w:w="11905" w:h="16838"/>
          <w:pgMar w:top="1134" w:right="1134" w:bottom="1134" w:left="1134" w:header="720" w:footer="720" w:gutter="0"/>
          <w:cols w:space="0" w:num="1"/>
          <w:rtlGutter w:val="0"/>
          <w:docGrid w:type="lines" w:linePitch="331" w:charSpace="0"/>
        </w:sectPr>
      </w:pPr>
    </w:p>
    <w:p w14:paraId="759D27C8">
      <w:pPr>
        <w:shd w:val="clear"/>
        <w:snapToGrid w:val="0"/>
        <w:spacing w:before="120" w:beforeLines="50" w:after="50"/>
        <w:ind w:left="420"/>
        <w:jc w:val="center"/>
        <w:rPr>
          <w:rFonts w:hint="eastAsia"/>
          <w:b/>
          <w:bCs/>
          <w:color w:val="auto"/>
          <w:sz w:val="30"/>
          <w:szCs w:val="30"/>
          <w:highlight w:val="none"/>
        </w:rPr>
      </w:pPr>
      <w:r>
        <w:rPr>
          <w:rFonts w:hint="eastAsia"/>
          <w:b/>
          <w:bCs/>
          <w:color w:val="auto"/>
          <w:sz w:val="30"/>
          <w:szCs w:val="30"/>
          <w:highlight w:val="none"/>
        </w:rPr>
        <w:t>一、无串标行为承诺函</w:t>
      </w:r>
    </w:p>
    <w:p w14:paraId="5D639200">
      <w:pPr>
        <w:shd w:val="clear"/>
        <w:snapToGrid w:val="0"/>
        <w:spacing w:before="120" w:beforeLines="50" w:after="50"/>
        <w:ind w:left="420"/>
        <w:jc w:val="center"/>
        <w:rPr>
          <w:rFonts w:hint="eastAsia" w:ascii="宋体" w:hAnsi="宋体"/>
          <w:b/>
          <w:color w:val="auto"/>
          <w:sz w:val="32"/>
          <w:szCs w:val="32"/>
          <w:highlight w:val="none"/>
        </w:rPr>
      </w:pPr>
      <w:r>
        <w:rPr>
          <w:rFonts w:hint="eastAsia" w:ascii="宋体" w:hAnsi="宋体"/>
          <w:b/>
          <w:color w:val="auto"/>
          <w:sz w:val="32"/>
          <w:szCs w:val="32"/>
          <w:highlight w:val="none"/>
        </w:rPr>
        <w:t>投标人参加本项目无围标串标行为的承诺函</w:t>
      </w:r>
    </w:p>
    <w:p w14:paraId="713B4B74">
      <w:pPr>
        <w:shd w:val="clear"/>
        <w:snapToGrid w:val="0"/>
        <w:spacing w:before="120" w:beforeLines="50" w:after="50"/>
        <w:rPr>
          <w:rFonts w:ascii="宋体" w:hAnsi="宋体"/>
          <w:b/>
          <w:color w:val="auto"/>
          <w:szCs w:val="21"/>
          <w:highlight w:val="none"/>
        </w:rPr>
      </w:pPr>
    </w:p>
    <w:p w14:paraId="786FDD99">
      <w:pPr>
        <w:shd w:val="clear"/>
        <w:snapToGrid w:val="0"/>
        <w:spacing w:before="120" w:beforeLines="50" w:after="50" w:line="360" w:lineRule="auto"/>
        <w:jc w:val="left"/>
        <w:rPr>
          <w:rFonts w:hint="eastAsia" w:ascii="宋体" w:hAnsi="宋体"/>
          <w:b/>
          <w:color w:val="auto"/>
          <w:szCs w:val="21"/>
          <w:highlight w:val="none"/>
        </w:rPr>
      </w:pPr>
      <w:r>
        <w:rPr>
          <w:rFonts w:hint="eastAsia" w:ascii="宋体" w:hAnsi="宋体"/>
          <w:b/>
          <w:color w:val="auto"/>
          <w:szCs w:val="21"/>
          <w:highlight w:val="none"/>
        </w:rPr>
        <w:t>一、我方承诺无下列相互串通投标的情形：</w:t>
      </w:r>
    </w:p>
    <w:p w14:paraId="1BBE0968">
      <w:pPr>
        <w:shd w:val="clea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1.不同投标人的投标文件由同一单位或者个人编制；或者不同投标人报名的IP地址一致的；或者编制标书硬件设备CPU编号、硬盘编号、网卡地址一致的情况。</w:t>
      </w:r>
    </w:p>
    <w:p w14:paraId="03D570BB">
      <w:pPr>
        <w:shd w:val="clea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2.不同投标人委托同一单位或者个人办理投标事宜；</w:t>
      </w:r>
    </w:p>
    <w:p w14:paraId="506D39DF">
      <w:pPr>
        <w:shd w:val="clea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3.不同的投标人的投标文件载明的项目管理员为同一个人；</w:t>
      </w:r>
    </w:p>
    <w:p w14:paraId="5BE6EC89">
      <w:pPr>
        <w:shd w:val="clea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4.不同投标人的投标文件异常一致或者投标报价呈规律性差异；</w:t>
      </w:r>
    </w:p>
    <w:p w14:paraId="586E3F8F">
      <w:pPr>
        <w:shd w:val="clea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5.不同投标人的投标文件相互混装；</w:t>
      </w:r>
    </w:p>
    <w:p w14:paraId="5379520F">
      <w:pPr>
        <w:shd w:val="clea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6.不同投标人的投标保证金从同一单位或者个人账户转出。</w:t>
      </w:r>
    </w:p>
    <w:p w14:paraId="4508D9E9">
      <w:pPr>
        <w:shd w:val="clear"/>
        <w:snapToGrid w:val="0"/>
        <w:spacing w:before="120" w:beforeLines="50" w:after="50" w:line="360" w:lineRule="auto"/>
        <w:jc w:val="left"/>
        <w:rPr>
          <w:rFonts w:hint="eastAsia" w:ascii="宋体" w:hAnsi="宋体"/>
          <w:color w:val="auto"/>
          <w:szCs w:val="21"/>
          <w:highlight w:val="none"/>
        </w:rPr>
      </w:pPr>
      <w:r>
        <w:rPr>
          <w:rFonts w:hint="eastAsia" w:ascii="宋体" w:hAnsi="宋体"/>
          <w:b/>
          <w:color w:val="auto"/>
          <w:szCs w:val="21"/>
          <w:highlight w:val="none"/>
        </w:rPr>
        <w:t>二、我方承诺无下列恶意串通的情形：</w:t>
      </w:r>
    </w:p>
    <w:p w14:paraId="74B82B3F">
      <w:pPr>
        <w:shd w:val="clea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1.投标人直接或者间接从采购人或者采购代理机构处获得其他投标人的相关信息并修改其投标文件或者投标文件；</w:t>
      </w:r>
    </w:p>
    <w:p w14:paraId="76C276F2">
      <w:pPr>
        <w:shd w:val="clea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2.投标人按照采购人或者采购代理机构的授意撤换、修改投标文件或者投标文件；</w:t>
      </w:r>
    </w:p>
    <w:p w14:paraId="71968C03">
      <w:pPr>
        <w:shd w:val="clea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3.投标人之间协商报价、技术方案等投标文件或者投标文件的实质性内容；</w:t>
      </w:r>
    </w:p>
    <w:p w14:paraId="6A022A67">
      <w:pPr>
        <w:shd w:val="clea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4.属于同一集团、协会、商会等组织成员的投标人按照该组织要求协同参加政府采购活动；</w:t>
      </w:r>
    </w:p>
    <w:p w14:paraId="7D044857">
      <w:pPr>
        <w:shd w:val="clea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5.投标人之间事先约定一致抬高或者压低投标报价，或者在招标项目中事先约定轮流以高价位或者低价位中标，或者事先约定由某一特定投标人中标，然后再参加投标；</w:t>
      </w:r>
    </w:p>
    <w:p w14:paraId="254211D4">
      <w:pPr>
        <w:shd w:val="clea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6.投标人之间商定部分投标人放弃参加政府采购活动或者放弃中标；</w:t>
      </w:r>
    </w:p>
    <w:p w14:paraId="4D1869C2">
      <w:pPr>
        <w:shd w:val="clea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7.投标人与采购人或者采购代理机构之间、投标人相互之间，为谋求特定投标人中标或者排斥其他投标人的其他串通行为。</w:t>
      </w:r>
    </w:p>
    <w:p w14:paraId="53B81977">
      <w:pPr>
        <w:shd w:val="clear"/>
        <w:snapToGrid w:val="0"/>
        <w:spacing w:before="120" w:beforeLines="50" w:after="50" w:line="360" w:lineRule="auto"/>
        <w:ind w:firstLine="413" w:firstLineChars="196"/>
        <w:jc w:val="left"/>
        <w:rPr>
          <w:rFonts w:hint="eastAsia" w:ascii="宋体" w:hAnsi="宋体"/>
          <w:b/>
          <w:color w:val="auto"/>
          <w:szCs w:val="21"/>
          <w:highlight w:val="none"/>
        </w:rPr>
      </w:pPr>
      <w:r>
        <w:rPr>
          <w:rFonts w:hint="eastAsia" w:ascii="宋体" w:hAnsi="宋体"/>
          <w:b/>
          <w:color w:val="auto"/>
          <w:szCs w:val="21"/>
          <w:highlight w:val="none"/>
        </w:rPr>
        <w:t>以上情形一经核查属实，接受政府采购监管部门对我方认定存在围标串标行为，我方愿意承担一切后果，并不再寻求任何旨在减轻或者免除法律责任的辩解。</w:t>
      </w:r>
    </w:p>
    <w:p w14:paraId="2D47B5DF">
      <w:pPr>
        <w:shd w:val="clear"/>
        <w:snapToGrid w:val="0"/>
        <w:spacing w:line="360" w:lineRule="auto"/>
        <w:ind w:firstLine="4935" w:firstLineChars="2350"/>
        <w:rPr>
          <w:rFonts w:hint="eastAsia" w:ascii="仿宋_GB2312" w:hAnsi="仿宋" w:eastAsia="仿宋_GB2312" w:cs="仿宋_GB2312"/>
          <w:color w:val="auto"/>
          <w:kern w:val="0"/>
          <w:sz w:val="24"/>
          <w:highlight w:val="none"/>
        </w:rPr>
      </w:pPr>
      <w:r>
        <w:rPr>
          <w:rFonts w:hAnsi="宋体"/>
          <w:color w:val="auto"/>
          <w:szCs w:val="21"/>
          <w:highlight w:val="none"/>
        </w:rPr>
        <w:t xml:space="preserve">  </w:t>
      </w:r>
      <w:r>
        <w:rPr>
          <w:rFonts w:hint="eastAsia" w:ascii="仿宋_GB2312" w:hAnsi="仿宋" w:eastAsia="仿宋_GB2312" w:cs="仿宋_GB2312"/>
          <w:color w:val="auto"/>
          <w:kern w:val="0"/>
          <w:sz w:val="24"/>
          <w:highlight w:val="none"/>
          <w:lang w:val="zh-CN"/>
        </w:rPr>
        <w:t>投标人名称(电子签章)：</w:t>
      </w:r>
    </w:p>
    <w:p w14:paraId="73F32918">
      <w:pPr>
        <w:shd w:val="clear"/>
        <w:snapToGrid w:val="0"/>
        <w:spacing w:line="360" w:lineRule="auto"/>
        <w:ind w:firstLine="5160" w:firstLineChars="21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0374AC1E">
      <w:pPr>
        <w:shd w:val="clear"/>
        <w:snapToGrid w:val="0"/>
        <w:spacing w:before="295" w:after="295" w:line="360" w:lineRule="auto"/>
        <w:jc w:val="center"/>
        <w:rPr>
          <w:rFonts w:hint="eastAsia" w:ascii="宋体" w:hAnsi="宋体"/>
          <w:b/>
          <w:color w:val="auto"/>
          <w:sz w:val="24"/>
          <w:szCs w:val="20"/>
          <w:highlight w:val="none"/>
        </w:rPr>
      </w:pPr>
      <w:r>
        <w:rPr>
          <w:rFonts w:ascii="宋体" w:hAnsi="宋体"/>
          <w:b/>
          <w:color w:val="auto"/>
          <w:sz w:val="24"/>
          <w:szCs w:val="20"/>
          <w:highlight w:val="none"/>
        </w:rPr>
        <w:br w:type="page"/>
      </w:r>
      <w:r>
        <w:rPr>
          <w:rFonts w:hint="eastAsia"/>
          <w:b/>
          <w:bCs/>
          <w:color w:val="auto"/>
          <w:sz w:val="30"/>
          <w:szCs w:val="30"/>
          <w:highlight w:val="none"/>
        </w:rPr>
        <w:t>二、法定代表人身份证明</w:t>
      </w:r>
    </w:p>
    <w:p w14:paraId="2FDB7225">
      <w:pPr>
        <w:shd w:val="clear"/>
        <w:spacing w:before="240" w:beforeLines="100" w:after="120" w:afterLines="50"/>
        <w:ind w:left="540"/>
        <w:jc w:val="center"/>
        <w:rPr>
          <w:rFonts w:hint="eastAsia" w:ascii="宋体" w:hAnsi="Courier New"/>
          <w:b/>
          <w:color w:val="auto"/>
          <w:sz w:val="32"/>
          <w:szCs w:val="32"/>
          <w:highlight w:val="none"/>
        </w:rPr>
      </w:pPr>
    </w:p>
    <w:p w14:paraId="65657965">
      <w:pPr>
        <w:shd w:val="clear"/>
        <w:spacing w:before="240" w:beforeLines="100" w:after="120" w:afterLines="50"/>
        <w:ind w:left="540"/>
        <w:jc w:val="center"/>
        <w:rPr>
          <w:rFonts w:hint="eastAsia" w:ascii="黑体" w:hAnsi="宋体" w:eastAsia="黑体"/>
          <w:color w:val="auto"/>
          <w:sz w:val="32"/>
          <w:szCs w:val="32"/>
          <w:highlight w:val="none"/>
        </w:rPr>
      </w:pPr>
      <w:r>
        <w:rPr>
          <w:rFonts w:hint="eastAsia" w:ascii="宋体" w:hAnsi="Courier New"/>
          <w:b/>
          <w:color w:val="auto"/>
          <w:sz w:val="32"/>
          <w:szCs w:val="32"/>
          <w:highlight w:val="none"/>
        </w:rPr>
        <w:t>法定代表人身份证明</w:t>
      </w:r>
    </w:p>
    <w:p w14:paraId="7DE2E68C">
      <w:pPr>
        <w:shd w:val="clear"/>
        <w:spacing w:line="500" w:lineRule="exact"/>
        <w:ind w:left="540"/>
        <w:rPr>
          <w:rFonts w:hint="eastAsia" w:ascii="宋体" w:hAnsi="宋体"/>
          <w:color w:val="auto"/>
          <w:sz w:val="24"/>
          <w:highlight w:val="none"/>
        </w:rPr>
      </w:pPr>
      <w:r>
        <w:rPr>
          <w:rFonts w:hint="eastAsia" w:ascii="宋体" w:hAnsi="宋体"/>
          <w:color w:val="auto"/>
          <w:sz w:val="24"/>
          <w:highlight w:val="none"/>
        </w:rPr>
        <w:t>投 标 人：</w:t>
      </w:r>
      <w:r>
        <w:rPr>
          <w:rFonts w:hint="eastAsia" w:ascii="宋体" w:hAnsi="宋体"/>
          <w:color w:val="auto"/>
          <w:sz w:val="24"/>
          <w:highlight w:val="none"/>
          <w:u w:val="single"/>
        </w:rPr>
        <w:t xml:space="preserve">                                                        </w:t>
      </w:r>
    </w:p>
    <w:p w14:paraId="4A1E8C79">
      <w:pPr>
        <w:shd w:val="clear"/>
        <w:spacing w:line="500" w:lineRule="exact"/>
        <w:ind w:left="540"/>
        <w:rPr>
          <w:rFonts w:hint="eastAsia" w:ascii="宋体" w:hAnsi="宋体"/>
          <w:color w:val="auto"/>
          <w:sz w:val="24"/>
          <w:highlight w:val="none"/>
        </w:rPr>
      </w:pPr>
      <w:r>
        <w:rPr>
          <w:rFonts w:hint="eastAsia" w:ascii="宋体" w:hAnsi="宋体"/>
          <w:color w:val="auto"/>
          <w:sz w:val="24"/>
          <w:highlight w:val="none"/>
        </w:rPr>
        <w:t>地    址：</w:t>
      </w:r>
      <w:r>
        <w:rPr>
          <w:rFonts w:hint="eastAsia" w:ascii="宋体" w:hAnsi="宋体"/>
          <w:color w:val="auto"/>
          <w:sz w:val="24"/>
          <w:highlight w:val="none"/>
          <w:u w:val="single"/>
        </w:rPr>
        <w:t xml:space="preserve">                                                        </w:t>
      </w:r>
    </w:p>
    <w:p w14:paraId="236251C7">
      <w:pPr>
        <w:shd w:val="clear"/>
        <w:spacing w:line="500" w:lineRule="exact"/>
        <w:ind w:left="540"/>
        <w:rPr>
          <w:rFonts w:hint="eastAsia" w:ascii="宋体" w:hAnsi="宋体"/>
          <w:color w:val="auto"/>
          <w:sz w:val="24"/>
          <w:highlight w:val="none"/>
        </w:rPr>
      </w:pPr>
      <w:r>
        <w:rPr>
          <w:rFonts w:hint="eastAsia" w:ascii="宋体" w:hAnsi="宋体"/>
          <w:color w:val="auto"/>
          <w:sz w:val="24"/>
          <w:highlight w:val="none"/>
        </w:rPr>
        <w:t>姓    名：</w:t>
      </w:r>
      <w:r>
        <w:rPr>
          <w:rFonts w:hint="eastAsia" w:ascii="宋体" w:hAnsi="宋体"/>
          <w:color w:val="auto"/>
          <w:sz w:val="24"/>
          <w:highlight w:val="none"/>
          <w:u w:val="single"/>
        </w:rPr>
        <w:t xml:space="preserve">                          </w:t>
      </w:r>
      <w:r>
        <w:rPr>
          <w:rFonts w:hint="eastAsia" w:ascii="宋体" w:hAnsi="宋体"/>
          <w:color w:val="auto"/>
          <w:sz w:val="24"/>
          <w:highlight w:val="none"/>
        </w:rPr>
        <w:t>性      别：</w:t>
      </w:r>
      <w:r>
        <w:rPr>
          <w:rFonts w:hint="eastAsia" w:ascii="宋体" w:hAnsi="宋体"/>
          <w:color w:val="auto"/>
          <w:sz w:val="24"/>
          <w:highlight w:val="none"/>
          <w:u w:val="single"/>
        </w:rPr>
        <w:t xml:space="preserve">                </w:t>
      </w:r>
    </w:p>
    <w:p w14:paraId="345425B3">
      <w:pPr>
        <w:shd w:val="clear"/>
        <w:spacing w:line="500" w:lineRule="exact"/>
        <w:ind w:left="540"/>
        <w:rPr>
          <w:rFonts w:hint="eastAsia" w:ascii="宋体" w:hAnsi="宋体"/>
          <w:color w:val="auto"/>
          <w:sz w:val="24"/>
          <w:highlight w:val="none"/>
          <w:u w:val="single"/>
        </w:rPr>
      </w:pPr>
      <w:r>
        <w:rPr>
          <w:rFonts w:hint="eastAsia" w:ascii="宋体" w:hAnsi="宋体"/>
          <w:color w:val="auto"/>
          <w:sz w:val="24"/>
          <w:highlight w:val="none"/>
        </w:rPr>
        <w:t>年    龄：</w:t>
      </w:r>
      <w:r>
        <w:rPr>
          <w:rFonts w:hint="eastAsia" w:ascii="宋体" w:hAnsi="宋体"/>
          <w:color w:val="auto"/>
          <w:sz w:val="24"/>
          <w:highlight w:val="none"/>
          <w:u w:val="single"/>
        </w:rPr>
        <w:t xml:space="preserve">                          </w:t>
      </w:r>
      <w:r>
        <w:rPr>
          <w:rFonts w:hint="eastAsia" w:ascii="宋体" w:hAnsi="宋体"/>
          <w:color w:val="auto"/>
          <w:sz w:val="24"/>
          <w:highlight w:val="none"/>
        </w:rPr>
        <w:t>职      务：</w:t>
      </w:r>
      <w:r>
        <w:rPr>
          <w:rFonts w:hint="eastAsia" w:ascii="宋体" w:hAnsi="宋体"/>
          <w:color w:val="auto"/>
          <w:sz w:val="24"/>
          <w:highlight w:val="none"/>
          <w:u w:val="single"/>
        </w:rPr>
        <w:t xml:space="preserve">                </w:t>
      </w:r>
    </w:p>
    <w:p w14:paraId="7594ACC8">
      <w:pPr>
        <w:shd w:val="clear"/>
        <w:spacing w:line="500" w:lineRule="exact"/>
        <w:ind w:left="540"/>
        <w:rPr>
          <w:rFonts w:hint="eastAsia" w:ascii="宋体" w:hAnsi="宋体"/>
          <w:color w:val="auto"/>
          <w:sz w:val="24"/>
          <w:highlight w:val="none"/>
        </w:rPr>
      </w:pPr>
      <w:r>
        <w:rPr>
          <w:rFonts w:hint="eastAsia" w:ascii="宋体" w:hAnsi="宋体"/>
          <w:color w:val="auto"/>
          <w:sz w:val="24"/>
          <w:highlight w:val="none"/>
        </w:rPr>
        <w:t>身份证</w:t>
      </w:r>
      <w:r>
        <w:rPr>
          <w:rFonts w:hint="eastAsia"/>
          <w:color w:val="auto"/>
          <w:sz w:val="24"/>
          <w:highlight w:val="none"/>
        </w:rPr>
        <w:t>号码：</w:t>
      </w:r>
      <w:r>
        <w:rPr>
          <w:rFonts w:hint="eastAsia"/>
          <w:color w:val="auto"/>
          <w:sz w:val="24"/>
          <w:highlight w:val="none"/>
          <w:u w:val="single"/>
        </w:rPr>
        <w:t xml:space="preserve">                                 </w:t>
      </w:r>
    </w:p>
    <w:p w14:paraId="4D0996D2">
      <w:pPr>
        <w:shd w:val="clear"/>
        <w:spacing w:line="500" w:lineRule="exact"/>
        <w:ind w:left="540"/>
        <w:rPr>
          <w:rFonts w:hint="eastAsia" w:ascii="宋体" w:hAnsi="宋体"/>
          <w:color w:val="auto"/>
          <w:sz w:val="24"/>
          <w:highlight w:val="none"/>
        </w:rPr>
      </w:pPr>
      <w:r>
        <w:rPr>
          <w:rFonts w:hint="eastAsia" w:ascii="宋体" w:hAnsi="宋体"/>
          <w:color w:val="auto"/>
          <w:sz w:val="24"/>
          <w:highlight w:val="none"/>
        </w:rPr>
        <w:t>系</w:t>
      </w:r>
      <w:r>
        <w:rPr>
          <w:rFonts w:hint="eastAsia" w:ascii="宋体" w:hAnsi="宋体"/>
          <w:color w:val="auto"/>
          <w:sz w:val="24"/>
          <w:highlight w:val="none"/>
          <w:u w:val="single"/>
        </w:rPr>
        <w:t xml:space="preserve">            （投标人名称）              </w:t>
      </w:r>
      <w:r>
        <w:rPr>
          <w:rFonts w:hint="eastAsia" w:ascii="宋体" w:hAnsi="宋体"/>
          <w:color w:val="auto"/>
          <w:sz w:val="24"/>
          <w:highlight w:val="none"/>
        </w:rPr>
        <w:t>的法定代表人。</w:t>
      </w:r>
    </w:p>
    <w:p w14:paraId="0095AAFD">
      <w:pPr>
        <w:shd w:val="clear"/>
        <w:spacing w:line="500" w:lineRule="exact"/>
        <w:ind w:left="540"/>
        <w:rPr>
          <w:rFonts w:hint="eastAsia" w:ascii="宋体" w:hAnsi="宋体"/>
          <w:color w:val="auto"/>
          <w:sz w:val="24"/>
          <w:highlight w:val="none"/>
        </w:rPr>
      </w:pPr>
      <w:r>
        <w:rPr>
          <w:rFonts w:hint="eastAsia" w:ascii="宋体" w:hAnsi="宋体"/>
          <w:color w:val="auto"/>
          <w:sz w:val="24"/>
          <w:highlight w:val="none"/>
        </w:rPr>
        <w:t>特此证明。</w:t>
      </w:r>
    </w:p>
    <w:p w14:paraId="2E53FC9D">
      <w:pPr>
        <w:shd w:val="clear"/>
        <w:spacing w:line="500" w:lineRule="exact"/>
        <w:ind w:left="540"/>
        <w:rPr>
          <w:rFonts w:hint="eastAsia" w:ascii="宋体" w:hAnsi="宋体"/>
          <w:color w:val="auto"/>
          <w:sz w:val="24"/>
          <w:highlight w:val="none"/>
        </w:rPr>
      </w:pPr>
    </w:p>
    <w:p w14:paraId="71517208">
      <w:pPr>
        <w:shd w:val="clear"/>
        <w:spacing w:line="500" w:lineRule="exact"/>
        <w:ind w:left="540"/>
        <w:rPr>
          <w:rFonts w:hint="eastAsia" w:ascii="宋体" w:hAnsi="宋体"/>
          <w:color w:val="auto"/>
          <w:sz w:val="24"/>
          <w:highlight w:val="none"/>
        </w:rPr>
      </w:pPr>
    </w:p>
    <w:p w14:paraId="698993B2">
      <w:pPr>
        <w:shd w:val="clear"/>
        <w:spacing w:line="500" w:lineRule="exact"/>
        <w:ind w:left="540"/>
        <w:rPr>
          <w:rFonts w:hint="eastAsia" w:ascii="宋体" w:hAnsi="宋体"/>
          <w:color w:val="auto"/>
          <w:sz w:val="24"/>
          <w:highlight w:val="none"/>
        </w:rPr>
      </w:pPr>
      <w:r>
        <w:rPr>
          <w:rFonts w:hint="eastAsia" w:ascii="宋体" w:hAnsi="宋体"/>
          <w:color w:val="auto"/>
          <w:sz w:val="24"/>
          <w:highlight w:val="none"/>
        </w:rPr>
        <w:t>附件：法定代表人有效身份证正反面复印件</w:t>
      </w:r>
    </w:p>
    <w:p w14:paraId="2E074F6B">
      <w:pPr>
        <w:shd w:val="clear"/>
        <w:spacing w:line="500" w:lineRule="exact"/>
        <w:ind w:left="540"/>
        <w:rPr>
          <w:rFonts w:hint="eastAsia" w:ascii="宋体" w:hAnsi="宋体"/>
          <w:color w:val="auto"/>
          <w:sz w:val="24"/>
          <w:highlight w:val="none"/>
        </w:rPr>
      </w:pPr>
    </w:p>
    <w:p w14:paraId="2B895348">
      <w:pPr>
        <w:shd w:val="clear"/>
        <w:snapToGrid w:val="0"/>
        <w:spacing w:line="360" w:lineRule="auto"/>
        <w:ind w:firstLine="4935" w:firstLineChars="2350"/>
        <w:rPr>
          <w:rFonts w:hint="eastAsia" w:ascii="仿宋_GB2312" w:hAnsi="仿宋" w:eastAsia="仿宋_GB2312" w:cs="仿宋_GB2312"/>
          <w:color w:val="auto"/>
          <w:kern w:val="0"/>
          <w:sz w:val="24"/>
          <w:highlight w:val="none"/>
        </w:rPr>
      </w:pPr>
      <w:r>
        <w:rPr>
          <w:rFonts w:hAnsi="宋体"/>
          <w:color w:val="auto"/>
          <w:szCs w:val="21"/>
          <w:highlight w:val="none"/>
        </w:rPr>
        <w:t xml:space="preserve">  </w:t>
      </w:r>
      <w:r>
        <w:rPr>
          <w:rFonts w:hint="eastAsia" w:ascii="仿宋_GB2312" w:hAnsi="仿宋" w:eastAsia="仿宋_GB2312" w:cs="仿宋_GB2312"/>
          <w:color w:val="auto"/>
          <w:kern w:val="0"/>
          <w:sz w:val="24"/>
          <w:highlight w:val="none"/>
          <w:lang w:val="zh-CN"/>
        </w:rPr>
        <w:t>投标人名称(电子签章)：</w:t>
      </w:r>
    </w:p>
    <w:p w14:paraId="3572C7B2">
      <w:pPr>
        <w:shd w:val="clear"/>
        <w:snapToGrid w:val="0"/>
        <w:spacing w:line="360" w:lineRule="auto"/>
        <w:ind w:firstLine="5160" w:firstLineChars="21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47F6295D">
      <w:pPr>
        <w:shd w:val="clear"/>
        <w:snapToGrid w:val="0"/>
        <w:spacing w:before="120" w:beforeLines="50" w:after="50"/>
        <w:jc w:val="center"/>
        <w:rPr>
          <w:rFonts w:hint="eastAsia" w:ascii="宋体" w:hAnsi="宋体"/>
          <w:b/>
          <w:color w:val="auto"/>
          <w:sz w:val="24"/>
          <w:highlight w:val="none"/>
        </w:rPr>
      </w:pPr>
    </w:p>
    <w:p w14:paraId="4D2188B8">
      <w:pPr>
        <w:shd w:val="clear"/>
        <w:snapToGrid w:val="0"/>
        <w:spacing w:before="120" w:beforeLines="50" w:after="50"/>
        <w:ind w:firstLine="600" w:firstLineChars="250"/>
        <w:jc w:val="left"/>
        <w:rPr>
          <w:rFonts w:hint="eastAsia" w:ascii="宋体" w:hAnsi="宋体"/>
          <w:color w:val="auto"/>
          <w:sz w:val="24"/>
          <w:highlight w:val="none"/>
        </w:rPr>
      </w:pPr>
      <w:r>
        <w:rPr>
          <w:rFonts w:hint="eastAsia" w:ascii="宋体" w:hAnsi="宋体"/>
          <w:color w:val="auto"/>
          <w:sz w:val="24"/>
          <w:highlight w:val="none"/>
        </w:rPr>
        <w:t>注：自然人投标的无需提供</w:t>
      </w:r>
    </w:p>
    <w:p w14:paraId="258EC002">
      <w:pPr>
        <w:shd w:val="clear"/>
        <w:snapToGrid w:val="0"/>
        <w:spacing w:before="120" w:beforeLines="50" w:after="50"/>
        <w:ind w:firstLine="600" w:firstLineChars="250"/>
        <w:jc w:val="left"/>
        <w:rPr>
          <w:rFonts w:hint="eastAsia" w:ascii="宋体" w:hAnsi="宋体"/>
          <w:color w:val="auto"/>
          <w:sz w:val="24"/>
          <w:highlight w:val="none"/>
        </w:rPr>
      </w:pPr>
    </w:p>
    <w:p w14:paraId="70D791C6">
      <w:pPr>
        <w:shd w:val="clear"/>
        <w:snapToGrid w:val="0"/>
        <w:spacing w:before="120" w:beforeLines="50" w:after="50"/>
        <w:ind w:firstLine="602" w:firstLineChars="250"/>
        <w:jc w:val="left"/>
        <w:rPr>
          <w:rFonts w:hint="eastAsia" w:ascii="宋体" w:hAnsi="宋体"/>
          <w:b/>
          <w:color w:val="auto"/>
          <w:sz w:val="24"/>
          <w:szCs w:val="20"/>
          <w:highlight w:val="none"/>
        </w:rPr>
      </w:pPr>
    </w:p>
    <w:tbl>
      <w:tblPr>
        <w:tblStyle w:val="33"/>
        <w:tblpPr w:leftFromText="180" w:rightFromText="180" w:vertAnchor="text" w:horzAnchor="margin" w:tblpY="1169"/>
        <w:tblW w:w="97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46"/>
      </w:tblGrid>
      <w:tr w14:paraId="54991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9746" w:type="dxa"/>
            <w:noWrap w:val="0"/>
            <w:vAlign w:val="top"/>
          </w:tcPr>
          <w:p w14:paraId="21453F89">
            <w:pPr>
              <w:shd w:val="clear"/>
              <w:spacing w:line="360" w:lineRule="auto"/>
              <w:rPr>
                <w:rFonts w:ascii="宋体"/>
                <w:b/>
                <w:color w:val="auto"/>
                <w:sz w:val="24"/>
                <w:highlight w:val="none"/>
              </w:rPr>
            </w:pPr>
          </w:p>
          <w:p w14:paraId="3EAC9B42">
            <w:pPr>
              <w:shd w:val="clear"/>
              <w:spacing w:line="360" w:lineRule="auto"/>
              <w:rPr>
                <w:rFonts w:ascii="宋体"/>
                <w:b/>
                <w:color w:val="auto"/>
                <w:sz w:val="24"/>
                <w:highlight w:val="none"/>
              </w:rPr>
            </w:pPr>
            <w:r>
              <w:rPr>
                <w:rFonts w:hint="eastAsia" w:ascii="宋体"/>
                <w:b/>
                <w:color w:val="auto"/>
                <w:sz w:val="24"/>
                <w:highlight w:val="none"/>
              </w:rPr>
              <w:t>法定代</w:t>
            </w:r>
            <w:r>
              <w:rPr>
                <w:rFonts w:hint="eastAsia" w:ascii="宋体"/>
                <w:b/>
                <w:color w:val="auto"/>
                <w:sz w:val="24"/>
                <w:highlight w:val="none"/>
                <w:lang w:eastAsia="zh-CN"/>
              </w:rPr>
              <w:t>表人</w:t>
            </w:r>
            <w:r>
              <w:rPr>
                <w:rFonts w:hint="eastAsia" w:ascii="宋体"/>
                <w:b/>
                <w:color w:val="auto"/>
                <w:sz w:val="24"/>
                <w:highlight w:val="none"/>
              </w:rPr>
              <w:t>身份证复印件粘帖处（正、反面）</w:t>
            </w:r>
          </w:p>
        </w:tc>
      </w:tr>
    </w:tbl>
    <w:p w14:paraId="27CFBA00">
      <w:pPr>
        <w:shd w:val="clear"/>
        <w:snapToGrid w:val="0"/>
        <w:spacing w:before="295" w:after="295" w:line="360" w:lineRule="auto"/>
        <w:jc w:val="both"/>
        <w:rPr>
          <w:rFonts w:hint="eastAsia" w:ascii="宋体" w:hAnsi="宋体"/>
          <w:b/>
          <w:color w:val="auto"/>
          <w:sz w:val="24"/>
          <w:szCs w:val="20"/>
          <w:highlight w:val="none"/>
        </w:rPr>
      </w:pPr>
      <w:r>
        <w:rPr>
          <w:rFonts w:hint="eastAsia" w:ascii="宋体" w:hAnsi="宋体"/>
          <w:b/>
          <w:color w:val="auto"/>
          <w:sz w:val="24"/>
          <w:szCs w:val="20"/>
          <w:highlight w:val="none"/>
        </w:rPr>
        <w:t>附件：</w:t>
      </w:r>
      <w:r>
        <w:rPr>
          <w:rFonts w:ascii="宋体" w:hAnsi="宋体"/>
          <w:b/>
          <w:color w:val="auto"/>
          <w:sz w:val="24"/>
          <w:szCs w:val="20"/>
          <w:highlight w:val="none"/>
        </w:rPr>
        <w:br w:type="page"/>
      </w:r>
      <w:r>
        <w:rPr>
          <w:rFonts w:hint="eastAsia"/>
          <w:b/>
          <w:bCs/>
          <w:color w:val="auto"/>
          <w:sz w:val="30"/>
          <w:szCs w:val="30"/>
          <w:highlight w:val="none"/>
        </w:rPr>
        <w:t>三、法定代表人授权委托书（如有委托时）</w:t>
      </w:r>
    </w:p>
    <w:p w14:paraId="6A2DB22C">
      <w:pPr>
        <w:shd w:val="clear"/>
        <w:snapToGrid w:val="0"/>
        <w:spacing w:before="120" w:beforeLines="50" w:after="50"/>
        <w:jc w:val="center"/>
        <w:rPr>
          <w:rFonts w:ascii="宋体" w:hAnsi="宋体"/>
          <w:b/>
          <w:color w:val="auto"/>
          <w:sz w:val="32"/>
          <w:szCs w:val="32"/>
          <w:highlight w:val="none"/>
        </w:rPr>
      </w:pPr>
      <w:r>
        <w:rPr>
          <w:rFonts w:hint="eastAsia" w:ascii="宋体" w:hAnsi="宋体"/>
          <w:b/>
          <w:color w:val="auto"/>
          <w:sz w:val="32"/>
          <w:szCs w:val="32"/>
          <w:highlight w:val="none"/>
        </w:rPr>
        <w:t>法定代表人授权委托书</w:t>
      </w:r>
    </w:p>
    <w:p w14:paraId="5EAAF2F4">
      <w:pPr>
        <w:shd w:val="clear"/>
        <w:snapToGrid w:val="0"/>
        <w:spacing w:before="120" w:beforeLines="50" w:after="50"/>
        <w:jc w:val="center"/>
        <w:rPr>
          <w:rFonts w:hint="eastAsia" w:ascii="宋体" w:hAnsi="宋体"/>
          <w:b/>
          <w:color w:val="auto"/>
          <w:sz w:val="24"/>
          <w:highlight w:val="none"/>
        </w:rPr>
      </w:pPr>
    </w:p>
    <w:p w14:paraId="683E76A7">
      <w:pPr>
        <w:shd w:val="clear"/>
        <w:spacing w:line="360" w:lineRule="auto"/>
        <w:ind w:firstLine="420" w:firstLineChars="200"/>
        <w:rPr>
          <w:color w:val="auto"/>
          <w:szCs w:val="20"/>
          <w:highlight w:val="none"/>
        </w:rPr>
      </w:pPr>
      <w:r>
        <w:rPr>
          <w:rFonts w:hint="eastAsia"/>
          <w:color w:val="auto"/>
          <w:szCs w:val="20"/>
          <w:highlight w:val="none"/>
        </w:rPr>
        <w:t>致：</w:t>
      </w:r>
      <w:r>
        <w:rPr>
          <w:color w:val="auto"/>
          <w:szCs w:val="20"/>
          <w:highlight w:val="none"/>
          <w:u w:val="single"/>
        </w:rPr>
        <w:t xml:space="preserve"> </w:t>
      </w:r>
      <w:r>
        <w:rPr>
          <w:rFonts w:hint="eastAsia"/>
          <w:color w:val="auto"/>
          <w:szCs w:val="20"/>
          <w:highlight w:val="none"/>
          <w:u w:val="single"/>
          <w:lang w:eastAsia="zh-CN"/>
        </w:rPr>
        <w:t>（</w:t>
      </w:r>
      <w:r>
        <w:rPr>
          <w:rFonts w:hint="eastAsia"/>
          <w:color w:val="auto"/>
          <w:szCs w:val="20"/>
          <w:highlight w:val="none"/>
          <w:u w:val="single"/>
          <w:lang w:val="en-US" w:eastAsia="zh-CN"/>
        </w:rPr>
        <w:t>采购人名称</w:t>
      </w:r>
      <w:r>
        <w:rPr>
          <w:rFonts w:hint="eastAsia"/>
          <w:color w:val="auto"/>
          <w:szCs w:val="20"/>
          <w:highlight w:val="none"/>
          <w:u w:val="single"/>
          <w:lang w:eastAsia="zh-CN"/>
        </w:rPr>
        <w:t>）</w:t>
      </w:r>
      <w:r>
        <w:rPr>
          <w:color w:val="auto"/>
          <w:szCs w:val="20"/>
          <w:highlight w:val="none"/>
          <w:u w:val="single"/>
        </w:rPr>
        <w:t xml:space="preserve"> </w:t>
      </w:r>
    </w:p>
    <w:p w14:paraId="2058B6BA">
      <w:pPr>
        <w:shd w:val="clear"/>
        <w:spacing w:line="360" w:lineRule="auto"/>
        <w:ind w:firstLine="420" w:firstLineChars="200"/>
        <w:rPr>
          <w:color w:val="auto"/>
          <w:szCs w:val="20"/>
          <w:highlight w:val="none"/>
        </w:rPr>
      </w:pPr>
      <w:r>
        <w:rPr>
          <w:rFonts w:hint="eastAsia"/>
          <w:color w:val="auto"/>
          <w:szCs w:val="20"/>
          <w:highlight w:val="none"/>
        </w:rPr>
        <w:t>本人</w:t>
      </w:r>
      <w:r>
        <w:rPr>
          <w:color w:val="auto"/>
          <w:szCs w:val="20"/>
          <w:highlight w:val="none"/>
          <w:u w:val="single"/>
        </w:rPr>
        <w:t xml:space="preserve">        </w:t>
      </w:r>
      <w:r>
        <w:rPr>
          <w:rFonts w:hint="eastAsia"/>
          <w:color w:val="auto"/>
          <w:szCs w:val="20"/>
          <w:highlight w:val="none"/>
        </w:rPr>
        <w:t>（姓名）系</w:t>
      </w:r>
      <w:r>
        <w:rPr>
          <w:color w:val="auto"/>
          <w:szCs w:val="20"/>
          <w:highlight w:val="none"/>
          <w:u w:val="single"/>
        </w:rPr>
        <w:t xml:space="preserve">                 </w:t>
      </w:r>
      <w:r>
        <w:rPr>
          <w:rFonts w:hint="eastAsia"/>
          <w:color w:val="auto"/>
          <w:szCs w:val="20"/>
          <w:highlight w:val="none"/>
        </w:rPr>
        <w:t>（投标人名称）的法定代表人，现授权我单位在职正式员工</w:t>
      </w:r>
      <w:r>
        <w:rPr>
          <w:color w:val="auto"/>
          <w:szCs w:val="20"/>
          <w:highlight w:val="none"/>
          <w:u w:val="single"/>
        </w:rPr>
        <w:t xml:space="preserve">        </w:t>
      </w:r>
      <w:r>
        <w:rPr>
          <w:rFonts w:hint="eastAsia"/>
          <w:color w:val="auto"/>
          <w:szCs w:val="20"/>
          <w:highlight w:val="none"/>
        </w:rPr>
        <w:t>（姓名和职务）为我方代理人。代理人根据授权，以我方名义签署、澄清、说明、补正、递交、撤回、修改贵方组织的</w:t>
      </w:r>
      <w:r>
        <w:rPr>
          <w:rFonts w:hint="eastAsia" w:ascii="宋体" w:hAnsi="Courier New"/>
          <w:color w:val="auto"/>
          <w:szCs w:val="20"/>
          <w:highlight w:val="none"/>
          <w:u w:val="single"/>
        </w:rPr>
        <w:t xml:space="preserve"> </w:t>
      </w:r>
      <w:r>
        <w:rPr>
          <w:rFonts w:hint="eastAsia" w:ascii="宋体" w:hAnsi="Courier New"/>
          <w:color w:val="auto"/>
          <w:szCs w:val="20"/>
          <w:highlight w:val="none"/>
          <w:u w:val="single"/>
          <w:lang w:eastAsia="zh-CN"/>
        </w:rPr>
        <w:t>（</w:t>
      </w:r>
      <w:r>
        <w:rPr>
          <w:rFonts w:hint="eastAsia" w:ascii="宋体" w:hAnsi="Courier New"/>
          <w:color w:val="auto"/>
          <w:szCs w:val="20"/>
          <w:highlight w:val="none"/>
          <w:u w:val="single"/>
          <w:lang w:val="en-US" w:eastAsia="zh-CN"/>
        </w:rPr>
        <w:t>项目名称</w:t>
      </w:r>
      <w:r>
        <w:rPr>
          <w:rFonts w:hint="eastAsia" w:ascii="宋体" w:hAnsi="Courier New"/>
          <w:color w:val="auto"/>
          <w:szCs w:val="20"/>
          <w:highlight w:val="none"/>
          <w:u w:val="single"/>
          <w:lang w:eastAsia="zh-CN"/>
        </w:rPr>
        <w:t>）</w:t>
      </w:r>
      <w:r>
        <w:rPr>
          <w:rFonts w:hint="eastAsia" w:ascii="宋体" w:hAnsi="Courier New"/>
          <w:color w:val="auto"/>
          <w:szCs w:val="20"/>
          <w:highlight w:val="none"/>
          <w:u w:val="single"/>
        </w:rPr>
        <w:t xml:space="preserve">   </w:t>
      </w:r>
      <w:r>
        <w:rPr>
          <w:rFonts w:hint="eastAsia" w:ascii="宋体" w:hAnsi="Courier New"/>
          <w:color w:val="auto"/>
          <w:szCs w:val="20"/>
          <w:highlight w:val="none"/>
        </w:rPr>
        <w:t>项目（项目编号：</w:t>
      </w:r>
      <w:r>
        <w:rPr>
          <w:rFonts w:hint="eastAsia" w:ascii="宋体" w:hAnsi="宋体"/>
          <w:color w:val="auto"/>
          <w:szCs w:val="20"/>
          <w:highlight w:val="none"/>
          <w:u w:val="single"/>
        </w:rPr>
        <w:t xml:space="preserve"> </w:t>
      </w:r>
      <w:r>
        <w:rPr>
          <w:rFonts w:hint="eastAsia" w:ascii="宋体" w:hAnsi="宋体"/>
          <w:color w:val="auto"/>
          <w:szCs w:val="20"/>
          <w:highlight w:val="none"/>
          <w:u w:val="single"/>
          <w:lang w:val="en-US" w:eastAsia="zh-CN"/>
        </w:rPr>
        <w:t xml:space="preserve">  </w:t>
      </w:r>
      <w:r>
        <w:rPr>
          <w:rFonts w:hint="eastAsia" w:ascii="宋体" w:hAnsi="宋体"/>
          <w:color w:val="auto"/>
          <w:szCs w:val="20"/>
          <w:highlight w:val="none"/>
          <w:u w:val="single"/>
        </w:rPr>
        <w:t xml:space="preserve"> </w:t>
      </w:r>
      <w:r>
        <w:rPr>
          <w:rFonts w:hint="eastAsia" w:ascii="宋体" w:hAnsi="Courier New"/>
          <w:color w:val="auto"/>
          <w:szCs w:val="20"/>
          <w:highlight w:val="none"/>
        </w:rPr>
        <w:t>）</w:t>
      </w:r>
      <w:r>
        <w:rPr>
          <w:rFonts w:hint="eastAsia"/>
          <w:color w:val="auto"/>
          <w:szCs w:val="20"/>
          <w:highlight w:val="none"/>
        </w:rPr>
        <w:t>的投标文件、签订合同和处理一切有关事宜，其法律后果由我方承担。</w:t>
      </w:r>
    </w:p>
    <w:p w14:paraId="018152E8">
      <w:pPr>
        <w:shd w:val="clear"/>
        <w:spacing w:line="360" w:lineRule="auto"/>
        <w:ind w:firstLine="420" w:firstLineChars="200"/>
        <w:rPr>
          <w:color w:val="auto"/>
          <w:szCs w:val="20"/>
          <w:highlight w:val="none"/>
        </w:rPr>
      </w:pPr>
      <w:r>
        <w:rPr>
          <w:rFonts w:hint="eastAsia"/>
          <w:color w:val="auto"/>
          <w:szCs w:val="20"/>
          <w:highlight w:val="none"/>
        </w:rPr>
        <w:t>本授权书于</w:t>
      </w:r>
      <w:r>
        <w:rPr>
          <w:rFonts w:hint="eastAsia" w:ascii="宋体" w:hAnsi="Courier New"/>
          <w:color w:val="auto"/>
          <w:spacing w:val="10"/>
          <w:sz w:val="24"/>
          <w:szCs w:val="20"/>
          <w:highlight w:val="none"/>
          <w:u w:val="single"/>
        </w:rPr>
        <w:t xml:space="preserve">    </w:t>
      </w:r>
      <w:r>
        <w:rPr>
          <w:rFonts w:hint="eastAsia"/>
          <w:color w:val="auto"/>
          <w:szCs w:val="20"/>
          <w:highlight w:val="none"/>
        </w:rPr>
        <w:t>年</w:t>
      </w:r>
      <w:r>
        <w:rPr>
          <w:rFonts w:hint="eastAsia" w:ascii="宋体" w:hAnsi="Courier New"/>
          <w:color w:val="auto"/>
          <w:spacing w:val="10"/>
          <w:sz w:val="24"/>
          <w:szCs w:val="20"/>
          <w:highlight w:val="none"/>
          <w:u w:val="single"/>
        </w:rPr>
        <w:t xml:space="preserve">    </w:t>
      </w:r>
      <w:r>
        <w:rPr>
          <w:rFonts w:hint="eastAsia"/>
          <w:color w:val="auto"/>
          <w:szCs w:val="20"/>
          <w:highlight w:val="none"/>
        </w:rPr>
        <w:t>月</w:t>
      </w:r>
      <w:r>
        <w:rPr>
          <w:rFonts w:hint="eastAsia" w:ascii="宋体" w:hAnsi="Courier New"/>
          <w:color w:val="auto"/>
          <w:spacing w:val="10"/>
          <w:sz w:val="24"/>
          <w:szCs w:val="20"/>
          <w:highlight w:val="none"/>
          <w:u w:val="single"/>
        </w:rPr>
        <w:t xml:space="preserve">    </w:t>
      </w:r>
      <w:r>
        <w:rPr>
          <w:rFonts w:hint="eastAsia"/>
          <w:color w:val="auto"/>
          <w:szCs w:val="20"/>
          <w:highlight w:val="none"/>
        </w:rPr>
        <w:t>日签字生效，委托期限：</w:t>
      </w:r>
      <w:r>
        <w:rPr>
          <w:rFonts w:hint="eastAsia" w:ascii="宋体" w:hAnsi="Courier New"/>
          <w:color w:val="auto"/>
          <w:spacing w:val="10"/>
          <w:sz w:val="24"/>
          <w:szCs w:val="20"/>
          <w:highlight w:val="none"/>
          <w:u w:val="single"/>
        </w:rPr>
        <w:t xml:space="preserve">    </w:t>
      </w:r>
      <w:r>
        <w:rPr>
          <w:rFonts w:hint="eastAsia"/>
          <w:color w:val="auto"/>
          <w:szCs w:val="20"/>
          <w:highlight w:val="none"/>
        </w:rPr>
        <w:t>。</w:t>
      </w:r>
    </w:p>
    <w:p w14:paraId="60B0AF5C">
      <w:pPr>
        <w:shd w:val="clear"/>
        <w:spacing w:line="360" w:lineRule="auto"/>
        <w:ind w:firstLine="420"/>
        <w:rPr>
          <w:color w:val="auto"/>
          <w:szCs w:val="20"/>
          <w:highlight w:val="none"/>
        </w:rPr>
      </w:pPr>
      <w:r>
        <w:rPr>
          <w:rFonts w:hint="eastAsia"/>
          <w:color w:val="auto"/>
          <w:szCs w:val="20"/>
          <w:highlight w:val="none"/>
        </w:rPr>
        <w:t>代理人无转委托权。</w:t>
      </w:r>
    </w:p>
    <w:p w14:paraId="5FC120E0">
      <w:pPr>
        <w:shd w:val="clear"/>
        <w:spacing w:line="360" w:lineRule="auto"/>
        <w:ind w:firstLine="420"/>
        <w:rPr>
          <w:color w:val="auto"/>
          <w:szCs w:val="20"/>
          <w:highlight w:val="none"/>
        </w:rPr>
      </w:pPr>
    </w:p>
    <w:p w14:paraId="592DBA8A">
      <w:pPr>
        <w:shd w:val="clear"/>
        <w:spacing w:line="360" w:lineRule="auto"/>
        <w:ind w:firstLine="420"/>
        <w:rPr>
          <w:color w:val="auto"/>
          <w:szCs w:val="20"/>
          <w:highlight w:val="none"/>
          <w:u w:val="single"/>
        </w:rPr>
      </w:pPr>
      <w:r>
        <w:rPr>
          <w:rFonts w:hint="eastAsia"/>
          <w:color w:val="auto"/>
          <w:szCs w:val="20"/>
          <w:highlight w:val="none"/>
        </w:rPr>
        <w:t>投标人（</w:t>
      </w:r>
      <w:r>
        <w:rPr>
          <w:rFonts w:hint="eastAsia"/>
          <w:color w:val="auto"/>
          <w:szCs w:val="20"/>
          <w:highlight w:val="none"/>
          <w:lang w:val="en-US" w:eastAsia="zh-CN"/>
        </w:rPr>
        <w:t>电子</w:t>
      </w:r>
      <w:r>
        <w:rPr>
          <w:rFonts w:hint="eastAsia"/>
          <w:color w:val="auto"/>
          <w:szCs w:val="20"/>
          <w:highlight w:val="none"/>
        </w:rPr>
        <w:t>公章）：</w:t>
      </w:r>
      <w:r>
        <w:rPr>
          <w:color w:val="auto"/>
          <w:szCs w:val="20"/>
          <w:highlight w:val="none"/>
          <w:u w:val="single"/>
        </w:rPr>
        <w:t xml:space="preserve">                                    </w:t>
      </w:r>
    </w:p>
    <w:p w14:paraId="03A77A10">
      <w:pPr>
        <w:shd w:val="clear"/>
        <w:spacing w:line="360" w:lineRule="auto"/>
        <w:ind w:firstLine="420"/>
        <w:rPr>
          <w:color w:val="auto"/>
          <w:szCs w:val="20"/>
          <w:highlight w:val="none"/>
          <w:u w:val="single"/>
        </w:rPr>
      </w:pPr>
      <w:r>
        <w:rPr>
          <w:rFonts w:hint="eastAsia"/>
          <w:color w:val="auto"/>
          <w:szCs w:val="20"/>
          <w:highlight w:val="none"/>
        </w:rPr>
        <w:t>法定代表人（签字</w:t>
      </w:r>
      <w:r>
        <w:rPr>
          <w:rFonts w:hint="eastAsia"/>
          <w:color w:val="auto"/>
          <w:szCs w:val="20"/>
          <w:highlight w:val="none"/>
          <w:lang w:val="en-US" w:eastAsia="zh-CN"/>
        </w:rPr>
        <w:t>或电子签名</w:t>
      </w:r>
      <w:r>
        <w:rPr>
          <w:rFonts w:hint="eastAsia"/>
          <w:color w:val="auto"/>
          <w:szCs w:val="20"/>
          <w:highlight w:val="none"/>
        </w:rPr>
        <w:t>）：</w:t>
      </w:r>
      <w:r>
        <w:rPr>
          <w:color w:val="auto"/>
          <w:szCs w:val="20"/>
          <w:highlight w:val="none"/>
          <w:u w:val="single"/>
        </w:rPr>
        <w:t xml:space="preserve">                                </w:t>
      </w:r>
    </w:p>
    <w:p w14:paraId="52C2E918">
      <w:pPr>
        <w:shd w:val="clear"/>
        <w:spacing w:line="360" w:lineRule="auto"/>
        <w:ind w:firstLine="420"/>
        <w:rPr>
          <w:color w:val="auto"/>
          <w:szCs w:val="20"/>
          <w:highlight w:val="none"/>
          <w:u w:val="single"/>
        </w:rPr>
      </w:pPr>
      <w:r>
        <w:rPr>
          <w:rFonts w:hint="eastAsia"/>
          <w:color w:val="auto"/>
          <w:szCs w:val="20"/>
          <w:highlight w:val="none"/>
        </w:rPr>
        <w:t>法定代表人身份证号码：</w:t>
      </w:r>
      <w:r>
        <w:rPr>
          <w:color w:val="auto"/>
          <w:szCs w:val="20"/>
          <w:highlight w:val="none"/>
          <w:u w:val="single"/>
        </w:rPr>
        <w:t xml:space="preserve">                                   </w:t>
      </w:r>
    </w:p>
    <w:p w14:paraId="0E8D1B81">
      <w:pPr>
        <w:shd w:val="clear"/>
        <w:spacing w:line="360" w:lineRule="auto"/>
        <w:ind w:firstLine="420" w:firstLineChars="200"/>
        <w:rPr>
          <w:color w:val="auto"/>
          <w:szCs w:val="20"/>
          <w:highlight w:val="none"/>
        </w:rPr>
      </w:pPr>
      <w:r>
        <w:rPr>
          <w:rFonts w:hint="eastAsia"/>
          <w:color w:val="auto"/>
          <w:szCs w:val="20"/>
          <w:highlight w:val="none"/>
        </w:rPr>
        <w:t>委托代理人（签字</w:t>
      </w:r>
      <w:r>
        <w:rPr>
          <w:rFonts w:hint="eastAsia"/>
          <w:color w:val="auto"/>
          <w:szCs w:val="20"/>
          <w:highlight w:val="none"/>
          <w:lang w:val="en-US" w:eastAsia="zh-CN"/>
        </w:rPr>
        <w:t>或电子签名</w:t>
      </w:r>
      <w:r>
        <w:rPr>
          <w:rFonts w:hint="eastAsia"/>
          <w:color w:val="auto"/>
          <w:szCs w:val="20"/>
          <w:highlight w:val="none"/>
        </w:rPr>
        <w:t>）：</w:t>
      </w:r>
      <w:r>
        <w:rPr>
          <w:color w:val="auto"/>
          <w:szCs w:val="20"/>
          <w:highlight w:val="none"/>
          <w:u w:val="single"/>
        </w:rPr>
        <w:t xml:space="preserve">                                </w:t>
      </w:r>
    </w:p>
    <w:p w14:paraId="48F6999F">
      <w:pPr>
        <w:shd w:val="clear"/>
        <w:spacing w:line="360" w:lineRule="auto"/>
        <w:ind w:firstLine="420"/>
        <w:rPr>
          <w:color w:val="auto"/>
          <w:szCs w:val="20"/>
          <w:highlight w:val="none"/>
          <w:u w:val="single"/>
        </w:rPr>
      </w:pPr>
      <w:r>
        <w:rPr>
          <w:rFonts w:hint="eastAsia"/>
          <w:color w:val="auto"/>
          <w:szCs w:val="20"/>
          <w:highlight w:val="none"/>
        </w:rPr>
        <w:t>委托代理人身份证号码：</w:t>
      </w:r>
      <w:r>
        <w:rPr>
          <w:color w:val="auto"/>
          <w:szCs w:val="20"/>
          <w:highlight w:val="none"/>
          <w:u w:val="single"/>
        </w:rPr>
        <w:t xml:space="preserve">                                   </w:t>
      </w:r>
    </w:p>
    <w:p w14:paraId="285422DB">
      <w:pPr>
        <w:shd w:val="clear"/>
        <w:spacing w:line="360" w:lineRule="auto"/>
        <w:ind w:firstLine="420"/>
        <w:rPr>
          <w:color w:val="auto"/>
          <w:szCs w:val="20"/>
          <w:highlight w:val="none"/>
          <w:u w:val="single"/>
        </w:rPr>
      </w:pPr>
    </w:p>
    <w:p w14:paraId="75A2637E">
      <w:pPr>
        <w:shd w:val="clear"/>
        <w:spacing w:line="360" w:lineRule="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w:t>
      </w:r>
    </w:p>
    <w:p w14:paraId="3D8B1E03">
      <w:pPr>
        <w:shd w:val="clear"/>
        <w:spacing w:line="360" w:lineRule="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1.法定代表人和委托代理人必须在授权委托书上</w:t>
      </w:r>
      <w:r>
        <w:rPr>
          <w:rFonts w:hint="eastAsia" w:ascii="仿宋_GB2312" w:hAnsi="仿宋_GB2312" w:eastAsia="仿宋_GB2312" w:cs="仿宋_GB2312"/>
          <w:color w:val="auto"/>
          <w:szCs w:val="21"/>
          <w:highlight w:val="none"/>
          <w:lang w:val="en-US" w:eastAsia="zh-CN"/>
        </w:rPr>
        <w:t>签字或电子签名</w:t>
      </w:r>
      <w:r>
        <w:rPr>
          <w:rFonts w:hint="eastAsia" w:ascii="仿宋_GB2312" w:hAnsi="仿宋_GB2312" w:eastAsia="仿宋_GB2312" w:cs="仿宋_GB2312"/>
          <w:color w:val="auto"/>
          <w:szCs w:val="21"/>
          <w:highlight w:val="none"/>
        </w:rPr>
        <w:t>，委托代理人必须在授权委托书上签字或者电子签名，</w:t>
      </w:r>
      <w:r>
        <w:rPr>
          <w:rFonts w:hint="eastAsia" w:ascii="仿宋_GB2312" w:hAnsi="仿宋_GB2312" w:eastAsia="仿宋_GB2312" w:cs="仿宋_GB2312"/>
          <w:b/>
          <w:bCs/>
          <w:color w:val="auto"/>
          <w:szCs w:val="21"/>
          <w:highlight w:val="none"/>
        </w:rPr>
        <w:t>否则作无效投标处理</w:t>
      </w:r>
      <w:r>
        <w:rPr>
          <w:rFonts w:hint="eastAsia" w:ascii="仿宋_GB2312" w:hAnsi="仿宋_GB2312" w:eastAsia="仿宋_GB2312" w:cs="仿宋_GB2312"/>
          <w:color w:val="auto"/>
          <w:szCs w:val="21"/>
          <w:highlight w:val="none"/>
        </w:rPr>
        <w:t>；</w:t>
      </w:r>
    </w:p>
    <w:p w14:paraId="3E65714E">
      <w:pPr>
        <w:shd w:val="clear"/>
        <w:snapToGrid w:val="0"/>
        <w:spacing w:before="50" w:after="120" w:afterLines="50" w:line="360" w:lineRule="auto"/>
        <w:jc w:val="left"/>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w:t>
      </w:r>
      <w:r>
        <w:rPr>
          <w:rFonts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rPr>
        <w:t>供应商为其他组织或者自然人时，本招标文件规定的法定代表人指负责人或者自然人。本招标文件所称负责人是指参加投标的其他组织营业执照上的负责人，本招标文件所称自然人指参与投标的自然人本人。</w:t>
      </w:r>
    </w:p>
    <w:p w14:paraId="1888D735">
      <w:pPr>
        <w:shd w:val="clear"/>
        <w:snapToGrid w:val="0"/>
        <w:spacing w:before="50" w:after="120" w:afterLines="50" w:line="360" w:lineRule="auto"/>
        <w:jc w:val="left"/>
        <w:rPr>
          <w:rFonts w:hint="eastAsia" w:ascii="仿宋_GB2312" w:hAnsi="仿宋_GB2312" w:eastAsia="仿宋_GB2312" w:cs="仿宋_GB2312"/>
          <w:b/>
          <w:color w:val="auto"/>
          <w:sz w:val="24"/>
          <w:highlight w:val="none"/>
        </w:rPr>
      </w:pPr>
    </w:p>
    <w:p w14:paraId="7E908B49">
      <w:pPr>
        <w:shd w:val="clear"/>
        <w:spacing w:line="360" w:lineRule="auto"/>
        <w:rPr>
          <w:rFonts w:hint="eastAsia" w:ascii="宋体"/>
          <w:b/>
          <w:color w:val="auto"/>
          <w:sz w:val="24"/>
          <w:highlight w:val="none"/>
        </w:rPr>
      </w:pPr>
    </w:p>
    <w:p w14:paraId="08F683D4">
      <w:pPr>
        <w:shd w:val="clear"/>
        <w:spacing w:line="360" w:lineRule="auto"/>
        <w:rPr>
          <w:b/>
          <w:color w:val="auto"/>
          <w:sz w:val="24"/>
          <w:highlight w:val="none"/>
        </w:rPr>
      </w:pPr>
      <w:r>
        <w:rPr>
          <w:rFonts w:hint="eastAsia" w:ascii="宋体"/>
          <w:b/>
          <w:color w:val="auto"/>
          <w:sz w:val="24"/>
          <w:highlight w:val="none"/>
        </w:rPr>
        <w:t>附件：</w:t>
      </w:r>
    </w:p>
    <w:tbl>
      <w:tblPr>
        <w:tblStyle w:val="33"/>
        <w:tblpPr w:leftFromText="180" w:rightFromText="180" w:vertAnchor="text" w:horzAnchor="margin" w:tblpY="263"/>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76"/>
      </w:tblGrid>
      <w:tr w14:paraId="777C3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0" w:hRule="atLeast"/>
        </w:trPr>
        <w:tc>
          <w:tcPr>
            <w:tcW w:w="9776" w:type="dxa"/>
            <w:noWrap w:val="0"/>
            <w:vAlign w:val="top"/>
          </w:tcPr>
          <w:p w14:paraId="4842A269">
            <w:pPr>
              <w:shd w:val="clear"/>
              <w:spacing w:line="360" w:lineRule="auto"/>
              <w:rPr>
                <w:rFonts w:ascii="宋体"/>
                <w:b/>
                <w:color w:val="auto"/>
                <w:sz w:val="24"/>
                <w:highlight w:val="none"/>
              </w:rPr>
            </w:pPr>
          </w:p>
          <w:p w14:paraId="2850A989">
            <w:pPr>
              <w:shd w:val="clear"/>
              <w:spacing w:line="360" w:lineRule="auto"/>
              <w:rPr>
                <w:rFonts w:ascii="宋体"/>
                <w:b/>
                <w:color w:val="auto"/>
                <w:sz w:val="24"/>
                <w:highlight w:val="none"/>
              </w:rPr>
            </w:pPr>
            <w:r>
              <w:rPr>
                <w:rFonts w:hint="eastAsia" w:ascii="宋体"/>
                <w:b/>
                <w:color w:val="auto"/>
                <w:sz w:val="24"/>
                <w:highlight w:val="none"/>
              </w:rPr>
              <w:t>全权代表身份证复印件粘帖处（正、反面）</w:t>
            </w:r>
          </w:p>
        </w:tc>
      </w:tr>
    </w:tbl>
    <w:p w14:paraId="71D4BD7F">
      <w:pPr>
        <w:shd w:val="clear"/>
        <w:snapToGrid w:val="0"/>
        <w:spacing w:before="50" w:after="120" w:afterLines="50" w:line="360" w:lineRule="auto"/>
        <w:jc w:val="left"/>
        <w:rPr>
          <w:rFonts w:ascii="仿宋_GB2312" w:hAnsi="仿宋_GB2312" w:eastAsia="仿宋_GB2312" w:cs="仿宋_GB2312"/>
          <w:color w:val="auto"/>
          <w:szCs w:val="21"/>
          <w:highlight w:val="none"/>
        </w:rPr>
      </w:pPr>
    </w:p>
    <w:p w14:paraId="5D037234">
      <w:pPr>
        <w:shd w:val="clear"/>
        <w:snapToGrid w:val="0"/>
        <w:spacing w:before="120" w:beforeLines="50" w:after="50"/>
        <w:ind w:firstLine="566" w:firstLineChars="236"/>
        <w:jc w:val="center"/>
        <w:rPr>
          <w:rFonts w:ascii="宋体" w:hAnsi="宋体"/>
          <w:color w:val="auto"/>
          <w:highlight w:val="none"/>
        </w:rPr>
      </w:pPr>
      <w:r>
        <w:rPr>
          <w:rFonts w:ascii="宋体" w:hAnsi="宋体"/>
          <w:color w:val="auto"/>
          <w:sz w:val="24"/>
          <w:highlight w:val="none"/>
        </w:rPr>
        <w:t xml:space="preserve"> </w:t>
      </w:r>
      <w:r>
        <w:rPr>
          <w:rFonts w:ascii="宋体" w:hAnsi="宋体"/>
          <w:color w:val="auto"/>
          <w:sz w:val="24"/>
          <w:highlight w:val="none"/>
        </w:rPr>
        <w:br w:type="page"/>
      </w:r>
    </w:p>
    <w:p w14:paraId="0A36F914">
      <w:pPr>
        <w:shd w:val="clear"/>
        <w:jc w:val="center"/>
        <w:rPr>
          <w:rFonts w:hint="eastAsia"/>
          <w:b/>
          <w:bCs/>
          <w:color w:val="auto"/>
          <w:sz w:val="30"/>
          <w:szCs w:val="30"/>
          <w:highlight w:val="none"/>
        </w:rPr>
      </w:pPr>
      <w:r>
        <w:rPr>
          <w:rFonts w:hint="eastAsia"/>
          <w:b/>
          <w:bCs/>
          <w:color w:val="auto"/>
          <w:sz w:val="30"/>
          <w:szCs w:val="30"/>
          <w:highlight w:val="none"/>
        </w:rPr>
        <w:t>四、商务条款偏离表</w:t>
      </w:r>
    </w:p>
    <w:p w14:paraId="6FFD42DD">
      <w:pPr>
        <w:shd w:val="clear"/>
        <w:jc w:val="center"/>
        <w:rPr>
          <w:rFonts w:hint="eastAsia" w:ascii="宋体" w:hAnsi="宋体"/>
          <w:b/>
          <w:color w:val="auto"/>
          <w:sz w:val="24"/>
          <w:szCs w:val="20"/>
          <w:highlight w:val="none"/>
        </w:rPr>
      </w:pPr>
    </w:p>
    <w:p w14:paraId="7770A7CA">
      <w:pPr>
        <w:shd w:val="clear"/>
        <w:snapToGrid w:val="0"/>
        <w:spacing w:before="50"/>
        <w:jc w:val="left"/>
        <w:rPr>
          <w:rFonts w:hint="eastAsia" w:ascii="宋体" w:hAnsi="宋体"/>
          <w:color w:val="auto"/>
          <w:sz w:val="24"/>
          <w:highlight w:val="none"/>
        </w:rPr>
      </w:pPr>
    </w:p>
    <w:p w14:paraId="06706E38">
      <w:pPr>
        <w:shd w:val="clear"/>
        <w:spacing w:line="360" w:lineRule="auto"/>
        <w:ind w:left="-424" w:leftChars="-202" w:firstLine="420" w:firstLineChars="200"/>
        <w:rPr>
          <w:rFonts w:ascii="宋体" w:hAnsi="宋体"/>
          <w:color w:val="auto"/>
          <w:sz w:val="24"/>
          <w:highlight w:val="none"/>
        </w:rPr>
      </w:pPr>
      <w:r>
        <w:rPr>
          <w:rFonts w:hint="eastAsia" w:ascii="宋体" w:hAnsi="宋体"/>
          <w:color w:val="auto"/>
          <w:szCs w:val="21"/>
          <w:highlight w:val="none"/>
          <w:u w:val="single"/>
        </w:rPr>
        <w:t>　　</w:t>
      </w:r>
      <w:r>
        <w:rPr>
          <w:rFonts w:hint="eastAsia" w:ascii="宋体" w:hAnsi="宋体"/>
          <w:color w:val="auto"/>
          <w:szCs w:val="21"/>
          <w:highlight w:val="none"/>
        </w:rPr>
        <w:t>分标（此处有分标时填写具体分标号，无分标时填写“无”）</w:t>
      </w:r>
    </w:p>
    <w:tbl>
      <w:tblPr>
        <w:tblStyle w:val="33"/>
        <w:tblpPr w:leftFromText="180" w:rightFromText="180" w:vertAnchor="text" w:horzAnchor="margin" w:tblpXSpec="center" w:tblpY="94"/>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528"/>
        <w:gridCol w:w="2745"/>
        <w:gridCol w:w="2516"/>
      </w:tblGrid>
      <w:tr w14:paraId="09C0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tcBorders>
              <w:top w:val="single" w:color="auto" w:sz="4" w:space="0"/>
              <w:left w:val="single" w:color="auto" w:sz="4" w:space="0"/>
              <w:right w:val="single" w:color="auto" w:sz="4" w:space="0"/>
            </w:tcBorders>
            <w:noWrap/>
            <w:vAlign w:val="top"/>
          </w:tcPr>
          <w:p w14:paraId="34287699">
            <w:pPr>
              <w:shd w:val="clear"/>
              <w:spacing w:line="340" w:lineRule="exact"/>
              <w:jc w:val="center"/>
              <w:rPr>
                <w:rFonts w:ascii="宋体" w:hAnsi="宋体"/>
                <w:color w:val="auto"/>
                <w:szCs w:val="21"/>
                <w:highlight w:val="none"/>
              </w:rPr>
            </w:pPr>
            <w:r>
              <w:rPr>
                <w:rFonts w:hint="eastAsia" w:ascii="宋体" w:hAnsi="宋体"/>
                <w:color w:val="auto"/>
                <w:szCs w:val="21"/>
                <w:highlight w:val="none"/>
              </w:rPr>
              <w:t>项号</w:t>
            </w:r>
          </w:p>
        </w:tc>
        <w:tc>
          <w:tcPr>
            <w:tcW w:w="3528" w:type="dxa"/>
            <w:tcBorders>
              <w:top w:val="single" w:color="auto" w:sz="4" w:space="0"/>
              <w:left w:val="single" w:color="auto" w:sz="4" w:space="0"/>
              <w:bottom w:val="single" w:color="auto" w:sz="4" w:space="0"/>
              <w:right w:val="single" w:color="auto" w:sz="4" w:space="0"/>
            </w:tcBorders>
            <w:noWrap/>
            <w:vAlign w:val="top"/>
          </w:tcPr>
          <w:p w14:paraId="54397072">
            <w:pPr>
              <w:shd w:val="clear"/>
              <w:spacing w:line="340" w:lineRule="exact"/>
              <w:jc w:val="center"/>
              <w:rPr>
                <w:rFonts w:ascii="宋体" w:hAnsi="宋体"/>
                <w:color w:val="auto"/>
                <w:szCs w:val="21"/>
                <w:highlight w:val="none"/>
              </w:rPr>
            </w:pPr>
            <w:r>
              <w:rPr>
                <w:rFonts w:hint="eastAsia" w:ascii="宋体" w:hAnsi="宋体"/>
                <w:color w:val="auto"/>
                <w:szCs w:val="21"/>
                <w:highlight w:val="none"/>
              </w:rPr>
              <w:t>招标文件的商务需求</w:t>
            </w:r>
          </w:p>
        </w:tc>
        <w:tc>
          <w:tcPr>
            <w:tcW w:w="2745" w:type="dxa"/>
            <w:tcBorders>
              <w:top w:val="single" w:color="auto" w:sz="4" w:space="0"/>
              <w:left w:val="single" w:color="auto" w:sz="4" w:space="0"/>
              <w:right w:val="single" w:color="auto" w:sz="4" w:space="0"/>
            </w:tcBorders>
            <w:noWrap w:val="0"/>
            <w:vAlign w:val="top"/>
          </w:tcPr>
          <w:p w14:paraId="72120FA3">
            <w:pPr>
              <w:shd w:val="clear"/>
              <w:spacing w:line="340" w:lineRule="exact"/>
              <w:jc w:val="center"/>
              <w:rPr>
                <w:rFonts w:ascii="宋体" w:hAnsi="宋体"/>
                <w:color w:val="auto"/>
                <w:szCs w:val="21"/>
                <w:highlight w:val="none"/>
              </w:rPr>
            </w:pPr>
            <w:r>
              <w:rPr>
                <w:rFonts w:hint="eastAsia" w:ascii="宋体" w:hAnsi="宋体"/>
                <w:color w:val="auto"/>
                <w:szCs w:val="21"/>
                <w:highlight w:val="none"/>
              </w:rPr>
              <w:t>投标文件承诺的商务条款</w:t>
            </w:r>
          </w:p>
        </w:tc>
        <w:tc>
          <w:tcPr>
            <w:tcW w:w="2516" w:type="dxa"/>
            <w:tcBorders>
              <w:top w:val="single" w:color="auto" w:sz="4" w:space="0"/>
              <w:left w:val="single" w:color="auto" w:sz="4" w:space="0"/>
              <w:right w:val="single" w:color="auto" w:sz="4" w:space="0"/>
            </w:tcBorders>
            <w:noWrap w:val="0"/>
            <w:vAlign w:val="top"/>
          </w:tcPr>
          <w:p w14:paraId="5422AAE7">
            <w:pPr>
              <w:shd w:val="clear"/>
              <w:spacing w:line="300" w:lineRule="exact"/>
              <w:jc w:val="center"/>
              <w:rPr>
                <w:rFonts w:ascii="宋体" w:hAnsi="宋体"/>
                <w:color w:val="auto"/>
                <w:szCs w:val="21"/>
                <w:highlight w:val="none"/>
              </w:rPr>
            </w:pPr>
            <w:r>
              <w:rPr>
                <w:rFonts w:hint="eastAsia" w:ascii="宋体" w:hAnsi="宋体"/>
                <w:color w:val="auto"/>
                <w:szCs w:val="21"/>
                <w:highlight w:val="none"/>
              </w:rPr>
              <w:t>偏离说明</w:t>
            </w:r>
          </w:p>
        </w:tc>
      </w:tr>
      <w:tr w14:paraId="284A5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Merge w:val="restart"/>
            <w:tcBorders>
              <w:top w:val="single" w:color="auto" w:sz="4" w:space="0"/>
              <w:left w:val="single" w:color="auto" w:sz="4" w:space="0"/>
              <w:right w:val="single" w:color="auto" w:sz="4" w:space="0"/>
            </w:tcBorders>
            <w:noWrap/>
            <w:vAlign w:val="top"/>
          </w:tcPr>
          <w:p w14:paraId="57542982">
            <w:pPr>
              <w:shd w:val="clear"/>
              <w:spacing w:line="340" w:lineRule="exact"/>
              <w:rPr>
                <w:rFonts w:ascii="宋体" w:hAnsi="宋体"/>
                <w:color w:val="auto"/>
                <w:szCs w:val="21"/>
                <w:highlight w:val="none"/>
              </w:rPr>
            </w:pPr>
            <w:r>
              <w:rPr>
                <w:rFonts w:hint="eastAsia" w:ascii="宋体" w:hAnsi="宋体"/>
                <w:color w:val="auto"/>
                <w:szCs w:val="21"/>
                <w:highlight w:val="none"/>
              </w:rPr>
              <w:t>一</w:t>
            </w:r>
          </w:p>
        </w:tc>
        <w:tc>
          <w:tcPr>
            <w:tcW w:w="3528" w:type="dxa"/>
            <w:tcBorders>
              <w:top w:val="single" w:color="auto" w:sz="4" w:space="0"/>
              <w:left w:val="single" w:color="auto" w:sz="4" w:space="0"/>
              <w:bottom w:val="single" w:color="auto" w:sz="4" w:space="0"/>
              <w:right w:val="single" w:color="auto" w:sz="4" w:space="0"/>
            </w:tcBorders>
            <w:noWrap/>
            <w:vAlign w:val="top"/>
          </w:tcPr>
          <w:p w14:paraId="46A11B07">
            <w:pPr>
              <w:shd w:val="clear"/>
              <w:rPr>
                <w:rFonts w:ascii="宋体" w:hAnsi="宋体"/>
                <w:color w:val="auto"/>
                <w:szCs w:val="21"/>
                <w:highlight w:val="none"/>
              </w:rPr>
            </w:pPr>
            <w:r>
              <w:rPr>
                <w:rFonts w:hint="eastAsia" w:ascii="宋体" w:hAnsi="宋体"/>
                <w:color w:val="auto"/>
                <w:szCs w:val="21"/>
                <w:highlight w:val="none"/>
              </w:rPr>
              <w:t>1  ……</w:t>
            </w:r>
          </w:p>
        </w:tc>
        <w:tc>
          <w:tcPr>
            <w:tcW w:w="2745" w:type="dxa"/>
            <w:tcBorders>
              <w:top w:val="single" w:color="auto" w:sz="4" w:space="0"/>
              <w:left w:val="single" w:color="auto" w:sz="4" w:space="0"/>
              <w:right w:val="single" w:color="auto" w:sz="4" w:space="0"/>
            </w:tcBorders>
            <w:noWrap w:val="0"/>
            <w:vAlign w:val="top"/>
          </w:tcPr>
          <w:p w14:paraId="3B0091FD">
            <w:pPr>
              <w:shd w:val="clear"/>
              <w:rPr>
                <w:rFonts w:ascii="宋体" w:hAnsi="宋体"/>
                <w:color w:val="auto"/>
                <w:szCs w:val="21"/>
                <w:highlight w:val="none"/>
              </w:rPr>
            </w:pPr>
            <w:r>
              <w:rPr>
                <w:rFonts w:hint="eastAsia" w:ascii="宋体" w:hAnsi="宋体"/>
                <w:color w:val="auto"/>
                <w:szCs w:val="21"/>
                <w:highlight w:val="none"/>
              </w:rPr>
              <w:t>1  ……</w:t>
            </w:r>
          </w:p>
        </w:tc>
        <w:tc>
          <w:tcPr>
            <w:tcW w:w="2516" w:type="dxa"/>
            <w:tcBorders>
              <w:top w:val="single" w:color="auto" w:sz="4" w:space="0"/>
              <w:left w:val="single" w:color="auto" w:sz="4" w:space="0"/>
              <w:right w:val="single" w:color="auto" w:sz="4" w:space="0"/>
            </w:tcBorders>
            <w:noWrap w:val="0"/>
            <w:vAlign w:val="top"/>
          </w:tcPr>
          <w:p w14:paraId="2738202B">
            <w:pPr>
              <w:shd w:val="clea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tc>
      </w:tr>
      <w:tr w14:paraId="606BF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Merge w:val="continue"/>
            <w:tcBorders>
              <w:left w:val="single" w:color="auto" w:sz="4" w:space="0"/>
              <w:right w:val="single" w:color="auto" w:sz="4" w:space="0"/>
            </w:tcBorders>
            <w:noWrap/>
            <w:vAlign w:val="top"/>
          </w:tcPr>
          <w:p w14:paraId="1DEAA580">
            <w:pPr>
              <w:shd w:val="clear"/>
              <w:spacing w:line="340" w:lineRule="exact"/>
              <w:rPr>
                <w:rFonts w:ascii="宋体" w:hAnsi="宋体"/>
                <w:color w:val="auto"/>
                <w:szCs w:val="21"/>
                <w:highlight w:val="none"/>
              </w:rPr>
            </w:pPr>
          </w:p>
        </w:tc>
        <w:tc>
          <w:tcPr>
            <w:tcW w:w="3528" w:type="dxa"/>
            <w:tcBorders>
              <w:top w:val="single" w:color="auto" w:sz="4" w:space="0"/>
              <w:left w:val="single" w:color="auto" w:sz="4" w:space="0"/>
              <w:bottom w:val="single" w:color="auto" w:sz="4" w:space="0"/>
              <w:right w:val="single" w:color="auto" w:sz="4" w:space="0"/>
            </w:tcBorders>
            <w:noWrap/>
            <w:vAlign w:val="top"/>
          </w:tcPr>
          <w:p w14:paraId="22AF0885">
            <w:pPr>
              <w:shd w:val="clear"/>
              <w:spacing w:line="340" w:lineRule="exact"/>
              <w:rPr>
                <w:rFonts w:ascii="宋体" w:hAnsi="宋体"/>
                <w:color w:val="auto"/>
                <w:szCs w:val="21"/>
                <w:highlight w:val="none"/>
              </w:rPr>
            </w:pPr>
            <w:r>
              <w:rPr>
                <w:rFonts w:hint="eastAsia" w:ascii="宋体" w:hAnsi="宋体"/>
                <w:color w:val="auto"/>
                <w:szCs w:val="21"/>
                <w:highlight w:val="none"/>
              </w:rPr>
              <w:t>2  ……</w:t>
            </w:r>
          </w:p>
          <w:p w14:paraId="5DC176CF">
            <w:pPr>
              <w:shd w:val="clear"/>
              <w:spacing w:line="340" w:lineRule="exact"/>
              <w:rPr>
                <w:rFonts w:ascii="宋体" w:hAnsi="宋体"/>
                <w:color w:val="auto"/>
                <w:szCs w:val="21"/>
                <w:highlight w:val="none"/>
              </w:rPr>
            </w:pPr>
          </w:p>
        </w:tc>
        <w:tc>
          <w:tcPr>
            <w:tcW w:w="2745" w:type="dxa"/>
            <w:tcBorders>
              <w:left w:val="single" w:color="auto" w:sz="4" w:space="0"/>
              <w:right w:val="single" w:color="auto" w:sz="4" w:space="0"/>
            </w:tcBorders>
            <w:noWrap w:val="0"/>
            <w:vAlign w:val="top"/>
          </w:tcPr>
          <w:p w14:paraId="0A5B2E81">
            <w:pPr>
              <w:shd w:val="clear"/>
              <w:spacing w:line="340" w:lineRule="exact"/>
              <w:rPr>
                <w:rFonts w:ascii="宋体" w:hAnsi="宋体"/>
                <w:color w:val="auto"/>
                <w:szCs w:val="21"/>
                <w:highlight w:val="none"/>
              </w:rPr>
            </w:pPr>
            <w:r>
              <w:rPr>
                <w:rFonts w:hint="eastAsia" w:ascii="宋体" w:hAnsi="宋体"/>
                <w:color w:val="auto"/>
                <w:szCs w:val="21"/>
                <w:highlight w:val="none"/>
              </w:rPr>
              <w:t>2  ……</w:t>
            </w:r>
          </w:p>
          <w:p w14:paraId="334EF967">
            <w:pPr>
              <w:shd w:val="clear"/>
              <w:spacing w:line="300" w:lineRule="exact"/>
              <w:rPr>
                <w:rFonts w:ascii="宋体" w:hAnsi="宋体"/>
                <w:color w:val="auto"/>
                <w:szCs w:val="21"/>
                <w:highlight w:val="none"/>
              </w:rPr>
            </w:pPr>
          </w:p>
        </w:tc>
        <w:tc>
          <w:tcPr>
            <w:tcW w:w="2516" w:type="dxa"/>
            <w:tcBorders>
              <w:left w:val="single" w:color="auto" w:sz="4" w:space="0"/>
              <w:right w:val="single" w:color="auto" w:sz="4" w:space="0"/>
            </w:tcBorders>
            <w:noWrap w:val="0"/>
            <w:vAlign w:val="top"/>
          </w:tcPr>
          <w:p w14:paraId="54D936FB">
            <w:pPr>
              <w:shd w:val="clea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tc>
      </w:tr>
      <w:tr w14:paraId="5A12F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Merge w:val="continue"/>
            <w:tcBorders>
              <w:left w:val="single" w:color="auto" w:sz="4" w:space="0"/>
              <w:bottom w:val="single" w:color="auto" w:sz="4" w:space="0"/>
              <w:right w:val="single" w:color="auto" w:sz="4" w:space="0"/>
            </w:tcBorders>
            <w:noWrap/>
            <w:vAlign w:val="top"/>
          </w:tcPr>
          <w:p w14:paraId="72AAE4C0">
            <w:pPr>
              <w:shd w:val="clear"/>
              <w:spacing w:line="340" w:lineRule="exact"/>
              <w:rPr>
                <w:rFonts w:ascii="宋体" w:hAnsi="宋体"/>
                <w:color w:val="auto"/>
                <w:szCs w:val="21"/>
                <w:highlight w:val="none"/>
              </w:rPr>
            </w:pPr>
          </w:p>
        </w:tc>
        <w:tc>
          <w:tcPr>
            <w:tcW w:w="3528" w:type="dxa"/>
            <w:tcBorders>
              <w:top w:val="single" w:color="auto" w:sz="4" w:space="0"/>
              <w:left w:val="single" w:color="auto" w:sz="4" w:space="0"/>
              <w:bottom w:val="single" w:color="auto" w:sz="4" w:space="0"/>
              <w:right w:val="single" w:color="auto" w:sz="4" w:space="0"/>
            </w:tcBorders>
            <w:noWrap/>
            <w:vAlign w:val="top"/>
          </w:tcPr>
          <w:p w14:paraId="63DD9314">
            <w:pPr>
              <w:shd w:val="clear"/>
              <w:spacing w:line="340" w:lineRule="exact"/>
              <w:rPr>
                <w:rFonts w:ascii="宋体" w:hAnsi="宋体"/>
                <w:color w:val="auto"/>
                <w:szCs w:val="21"/>
                <w:highlight w:val="none"/>
              </w:rPr>
            </w:pPr>
            <w:r>
              <w:rPr>
                <w:rFonts w:hint="eastAsia" w:ascii="宋体" w:hAnsi="宋体"/>
                <w:color w:val="auto"/>
                <w:szCs w:val="21"/>
                <w:highlight w:val="none"/>
              </w:rPr>
              <w:t>……</w:t>
            </w:r>
          </w:p>
        </w:tc>
        <w:tc>
          <w:tcPr>
            <w:tcW w:w="2745" w:type="dxa"/>
            <w:tcBorders>
              <w:left w:val="single" w:color="auto" w:sz="4" w:space="0"/>
              <w:bottom w:val="single" w:color="auto" w:sz="4" w:space="0"/>
              <w:right w:val="single" w:color="auto" w:sz="4" w:space="0"/>
            </w:tcBorders>
            <w:noWrap w:val="0"/>
            <w:vAlign w:val="top"/>
          </w:tcPr>
          <w:p w14:paraId="79AE3154">
            <w:pPr>
              <w:shd w:val="clear"/>
              <w:spacing w:line="300" w:lineRule="exact"/>
              <w:rPr>
                <w:rFonts w:ascii="宋体" w:hAnsi="宋体"/>
                <w:color w:val="auto"/>
                <w:szCs w:val="21"/>
                <w:highlight w:val="none"/>
              </w:rPr>
            </w:pPr>
            <w:r>
              <w:rPr>
                <w:rFonts w:hint="eastAsia" w:ascii="宋体" w:hAnsi="宋体"/>
                <w:color w:val="auto"/>
                <w:szCs w:val="21"/>
                <w:highlight w:val="none"/>
              </w:rPr>
              <w:t>……</w:t>
            </w:r>
          </w:p>
        </w:tc>
        <w:tc>
          <w:tcPr>
            <w:tcW w:w="2516" w:type="dxa"/>
            <w:tcBorders>
              <w:left w:val="single" w:color="auto" w:sz="4" w:space="0"/>
              <w:bottom w:val="single" w:color="auto" w:sz="4" w:space="0"/>
              <w:right w:val="single" w:color="auto" w:sz="4" w:space="0"/>
            </w:tcBorders>
            <w:noWrap w:val="0"/>
            <w:vAlign w:val="top"/>
          </w:tcPr>
          <w:p w14:paraId="76F65040">
            <w:pPr>
              <w:shd w:val="clea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tc>
      </w:tr>
      <w:tr w14:paraId="7E54F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Merge w:val="restart"/>
            <w:tcBorders>
              <w:top w:val="single" w:color="auto" w:sz="4" w:space="0"/>
              <w:left w:val="single" w:color="auto" w:sz="4" w:space="0"/>
              <w:right w:val="single" w:color="auto" w:sz="4" w:space="0"/>
            </w:tcBorders>
            <w:noWrap/>
            <w:vAlign w:val="top"/>
          </w:tcPr>
          <w:p w14:paraId="6509C3CA">
            <w:pPr>
              <w:shd w:val="clear"/>
              <w:spacing w:line="340" w:lineRule="exact"/>
              <w:rPr>
                <w:rFonts w:ascii="宋体" w:hAnsi="宋体"/>
                <w:color w:val="auto"/>
                <w:szCs w:val="21"/>
                <w:highlight w:val="none"/>
              </w:rPr>
            </w:pPr>
            <w:r>
              <w:rPr>
                <w:rFonts w:hint="eastAsia" w:ascii="宋体" w:hAnsi="宋体"/>
                <w:color w:val="auto"/>
                <w:szCs w:val="21"/>
                <w:highlight w:val="none"/>
              </w:rPr>
              <w:t>二</w:t>
            </w:r>
          </w:p>
        </w:tc>
        <w:tc>
          <w:tcPr>
            <w:tcW w:w="3528" w:type="dxa"/>
            <w:tcBorders>
              <w:top w:val="single" w:color="auto" w:sz="4" w:space="0"/>
              <w:left w:val="single" w:color="auto" w:sz="4" w:space="0"/>
              <w:bottom w:val="single" w:color="auto" w:sz="4" w:space="0"/>
              <w:right w:val="single" w:color="auto" w:sz="4" w:space="0"/>
            </w:tcBorders>
            <w:noWrap/>
            <w:vAlign w:val="top"/>
          </w:tcPr>
          <w:p w14:paraId="18B5E57E">
            <w:pPr>
              <w:shd w:val="clear"/>
              <w:rPr>
                <w:rFonts w:ascii="宋体" w:hAnsi="宋体"/>
                <w:color w:val="auto"/>
                <w:szCs w:val="21"/>
                <w:highlight w:val="none"/>
              </w:rPr>
            </w:pPr>
            <w:r>
              <w:rPr>
                <w:rFonts w:hint="eastAsia" w:ascii="宋体" w:hAnsi="宋体"/>
                <w:color w:val="auto"/>
                <w:szCs w:val="21"/>
                <w:highlight w:val="none"/>
              </w:rPr>
              <w:t>1  ……</w:t>
            </w:r>
          </w:p>
        </w:tc>
        <w:tc>
          <w:tcPr>
            <w:tcW w:w="2745" w:type="dxa"/>
            <w:tcBorders>
              <w:top w:val="single" w:color="auto" w:sz="4" w:space="0"/>
              <w:left w:val="single" w:color="auto" w:sz="4" w:space="0"/>
              <w:right w:val="single" w:color="auto" w:sz="4" w:space="0"/>
            </w:tcBorders>
            <w:noWrap w:val="0"/>
            <w:vAlign w:val="top"/>
          </w:tcPr>
          <w:p w14:paraId="0F96439C">
            <w:pPr>
              <w:shd w:val="clear"/>
              <w:rPr>
                <w:rFonts w:ascii="宋体" w:hAnsi="宋体"/>
                <w:color w:val="auto"/>
                <w:szCs w:val="21"/>
                <w:highlight w:val="none"/>
              </w:rPr>
            </w:pPr>
            <w:r>
              <w:rPr>
                <w:rFonts w:hint="eastAsia" w:ascii="宋体" w:hAnsi="宋体"/>
                <w:color w:val="auto"/>
                <w:szCs w:val="21"/>
                <w:highlight w:val="none"/>
              </w:rPr>
              <w:t>1  ……</w:t>
            </w:r>
          </w:p>
        </w:tc>
        <w:tc>
          <w:tcPr>
            <w:tcW w:w="2516" w:type="dxa"/>
            <w:tcBorders>
              <w:top w:val="single" w:color="auto" w:sz="4" w:space="0"/>
              <w:left w:val="single" w:color="auto" w:sz="4" w:space="0"/>
              <w:right w:val="single" w:color="auto" w:sz="4" w:space="0"/>
            </w:tcBorders>
            <w:noWrap w:val="0"/>
            <w:vAlign w:val="top"/>
          </w:tcPr>
          <w:p w14:paraId="212922E1">
            <w:pPr>
              <w:shd w:val="clea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tc>
      </w:tr>
      <w:tr w14:paraId="5945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Merge w:val="continue"/>
            <w:tcBorders>
              <w:left w:val="single" w:color="auto" w:sz="4" w:space="0"/>
              <w:right w:val="single" w:color="auto" w:sz="4" w:space="0"/>
            </w:tcBorders>
            <w:noWrap/>
            <w:vAlign w:val="top"/>
          </w:tcPr>
          <w:p w14:paraId="5020D46C">
            <w:pPr>
              <w:shd w:val="clear"/>
              <w:spacing w:line="340" w:lineRule="exact"/>
              <w:rPr>
                <w:rFonts w:ascii="宋体" w:hAnsi="宋体"/>
                <w:color w:val="auto"/>
                <w:szCs w:val="21"/>
                <w:highlight w:val="none"/>
              </w:rPr>
            </w:pPr>
          </w:p>
        </w:tc>
        <w:tc>
          <w:tcPr>
            <w:tcW w:w="3528" w:type="dxa"/>
            <w:tcBorders>
              <w:top w:val="single" w:color="auto" w:sz="4" w:space="0"/>
              <w:left w:val="single" w:color="auto" w:sz="4" w:space="0"/>
              <w:bottom w:val="single" w:color="auto" w:sz="4" w:space="0"/>
              <w:right w:val="single" w:color="auto" w:sz="4" w:space="0"/>
            </w:tcBorders>
            <w:noWrap/>
            <w:vAlign w:val="top"/>
          </w:tcPr>
          <w:p w14:paraId="5622442D">
            <w:pPr>
              <w:shd w:val="clear"/>
              <w:spacing w:line="340" w:lineRule="exact"/>
              <w:rPr>
                <w:rFonts w:ascii="宋体" w:hAnsi="宋体"/>
                <w:color w:val="auto"/>
                <w:szCs w:val="21"/>
                <w:highlight w:val="none"/>
              </w:rPr>
            </w:pPr>
            <w:r>
              <w:rPr>
                <w:rFonts w:hint="eastAsia" w:ascii="宋体" w:hAnsi="宋体"/>
                <w:color w:val="auto"/>
                <w:szCs w:val="21"/>
                <w:highlight w:val="none"/>
              </w:rPr>
              <w:t>2  ……</w:t>
            </w:r>
          </w:p>
          <w:p w14:paraId="3D157F49">
            <w:pPr>
              <w:shd w:val="clear"/>
              <w:spacing w:line="340" w:lineRule="exact"/>
              <w:rPr>
                <w:rFonts w:ascii="宋体" w:hAnsi="宋体"/>
                <w:color w:val="auto"/>
                <w:szCs w:val="21"/>
                <w:highlight w:val="none"/>
              </w:rPr>
            </w:pPr>
          </w:p>
        </w:tc>
        <w:tc>
          <w:tcPr>
            <w:tcW w:w="2745" w:type="dxa"/>
            <w:tcBorders>
              <w:left w:val="single" w:color="auto" w:sz="4" w:space="0"/>
              <w:right w:val="single" w:color="auto" w:sz="4" w:space="0"/>
            </w:tcBorders>
            <w:noWrap w:val="0"/>
            <w:vAlign w:val="top"/>
          </w:tcPr>
          <w:p w14:paraId="318C84A1">
            <w:pPr>
              <w:shd w:val="clear"/>
              <w:spacing w:line="340" w:lineRule="exact"/>
              <w:rPr>
                <w:rFonts w:ascii="宋体" w:hAnsi="宋体"/>
                <w:color w:val="auto"/>
                <w:szCs w:val="21"/>
                <w:highlight w:val="none"/>
              </w:rPr>
            </w:pPr>
            <w:r>
              <w:rPr>
                <w:rFonts w:hint="eastAsia" w:ascii="宋体" w:hAnsi="宋体"/>
                <w:color w:val="auto"/>
                <w:szCs w:val="21"/>
                <w:highlight w:val="none"/>
              </w:rPr>
              <w:t>2  ……</w:t>
            </w:r>
          </w:p>
          <w:p w14:paraId="36F15BEB">
            <w:pPr>
              <w:shd w:val="clear"/>
              <w:spacing w:line="300" w:lineRule="exact"/>
              <w:rPr>
                <w:rFonts w:ascii="宋体" w:hAnsi="宋体"/>
                <w:color w:val="auto"/>
                <w:szCs w:val="21"/>
                <w:highlight w:val="none"/>
              </w:rPr>
            </w:pPr>
          </w:p>
        </w:tc>
        <w:tc>
          <w:tcPr>
            <w:tcW w:w="2516" w:type="dxa"/>
            <w:tcBorders>
              <w:left w:val="single" w:color="auto" w:sz="4" w:space="0"/>
              <w:right w:val="single" w:color="auto" w:sz="4" w:space="0"/>
            </w:tcBorders>
            <w:noWrap w:val="0"/>
            <w:vAlign w:val="top"/>
          </w:tcPr>
          <w:p w14:paraId="20F3421A">
            <w:pPr>
              <w:shd w:val="clea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tc>
      </w:tr>
      <w:tr w14:paraId="2F93F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Merge w:val="continue"/>
            <w:tcBorders>
              <w:left w:val="single" w:color="auto" w:sz="4" w:space="0"/>
              <w:bottom w:val="single" w:color="auto" w:sz="4" w:space="0"/>
              <w:right w:val="single" w:color="auto" w:sz="4" w:space="0"/>
            </w:tcBorders>
            <w:noWrap/>
            <w:vAlign w:val="top"/>
          </w:tcPr>
          <w:p w14:paraId="799CEA36">
            <w:pPr>
              <w:shd w:val="clear"/>
              <w:spacing w:line="340" w:lineRule="exact"/>
              <w:rPr>
                <w:rFonts w:ascii="宋体" w:hAnsi="宋体"/>
                <w:color w:val="auto"/>
                <w:szCs w:val="21"/>
                <w:highlight w:val="none"/>
              </w:rPr>
            </w:pPr>
          </w:p>
        </w:tc>
        <w:tc>
          <w:tcPr>
            <w:tcW w:w="3528" w:type="dxa"/>
            <w:tcBorders>
              <w:top w:val="single" w:color="auto" w:sz="4" w:space="0"/>
              <w:left w:val="single" w:color="auto" w:sz="4" w:space="0"/>
              <w:bottom w:val="single" w:color="auto" w:sz="4" w:space="0"/>
              <w:right w:val="single" w:color="auto" w:sz="4" w:space="0"/>
            </w:tcBorders>
            <w:noWrap/>
            <w:vAlign w:val="top"/>
          </w:tcPr>
          <w:p w14:paraId="3A8F22C4">
            <w:pPr>
              <w:shd w:val="clear"/>
              <w:spacing w:line="340" w:lineRule="exact"/>
              <w:rPr>
                <w:rFonts w:ascii="宋体" w:hAnsi="宋体"/>
                <w:color w:val="auto"/>
                <w:szCs w:val="21"/>
                <w:highlight w:val="none"/>
              </w:rPr>
            </w:pPr>
            <w:r>
              <w:rPr>
                <w:rFonts w:hint="eastAsia" w:ascii="宋体" w:hAnsi="宋体"/>
                <w:color w:val="auto"/>
                <w:szCs w:val="21"/>
                <w:highlight w:val="none"/>
              </w:rPr>
              <w:t>……</w:t>
            </w:r>
          </w:p>
        </w:tc>
        <w:tc>
          <w:tcPr>
            <w:tcW w:w="2745" w:type="dxa"/>
            <w:tcBorders>
              <w:left w:val="single" w:color="auto" w:sz="4" w:space="0"/>
              <w:bottom w:val="single" w:color="auto" w:sz="4" w:space="0"/>
              <w:right w:val="single" w:color="auto" w:sz="4" w:space="0"/>
            </w:tcBorders>
            <w:noWrap w:val="0"/>
            <w:vAlign w:val="top"/>
          </w:tcPr>
          <w:p w14:paraId="662D6F2E">
            <w:pPr>
              <w:shd w:val="clear"/>
              <w:spacing w:line="300" w:lineRule="exact"/>
              <w:rPr>
                <w:rFonts w:ascii="宋体" w:hAnsi="宋体"/>
                <w:color w:val="auto"/>
                <w:szCs w:val="21"/>
                <w:highlight w:val="none"/>
              </w:rPr>
            </w:pPr>
            <w:r>
              <w:rPr>
                <w:rFonts w:hint="eastAsia" w:ascii="宋体" w:hAnsi="宋体"/>
                <w:color w:val="auto"/>
                <w:szCs w:val="21"/>
                <w:highlight w:val="none"/>
              </w:rPr>
              <w:t>……</w:t>
            </w:r>
          </w:p>
        </w:tc>
        <w:tc>
          <w:tcPr>
            <w:tcW w:w="2516" w:type="dxa"/>
            <w:tcBorders>
              <w:left w:val="single" w:color="auto" w:sz="4" w:space="0"/>
              <w:bottom w:val="single" w:color="auto" w:sz="4" w:space="0"/>
              <w:right w:val="single" w:color="auto" w:sz="4" w:space="0"/>
            </w:tcBorders>
            <w:noWrap w:val="0"/>
            <w:vAlign w:val="top"/>
          </w:tcPr>
          <w:p w14:paraId="1606A0A8">
            <w:pPr>
              <w:shd w:val="clea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tc>
      </w:tr>
      <w:tr w14:paraId="06695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Merge w:val="restart"/>
            <w:tcBorders>
              <w:top w:val="single" w:color="auto" w:sz="4" w:space="0"/>
              <w:left w:val="single" w:color="auto" w:sz="4" w:space="0"/>
              <w:right w:val="single" w:color="auto" w:sz="4" w:space="0"/>
            </w:tcBorders>
            <w:noWrap/>
            <w:vAlign w:val="top"/>
          </w:tcPr>
          <w:p w14:paraId="713C3CA2">
            <w:pPr>
              <w:shd w:val="clear"/>
              <w:spacing w:line="340" w:lineRule="exact"/>
              <w:rPr>
                <w:rFonts w:ascii="宋体" w:hAnsi="宋体"/>
                <w:color w:val="auto"/>
                <w:szCs w:val="21"/>
                <w:highlight w:val="none"/>
              </w:rPr>
            </w:pPr>
            <w:r>
              <w:rPr>
                <w:rFonts w:hint="eastAsia" w:ascii="宋体" w:hAnsi="宋体"/>
                <w:color w:val="auto"/>
                <w:szCs w:val="21"/>
                <w:highlight w:val="none"/>
              </w:rPr>
              <w:t>……</w:t>
            </w:r>
          </w:p>
        </w:tc>
        <w:tc>
          <w:tcPr>
            <w:tcW w:w="3528" w:type="dxa"/>
            <w:tcBorders>
              <w:top w:val="single" w:color="auto" w:sz="4" w:space="0"/>
              <w:left w:val="single" w:color="auto" w:sz="4" w:space="0"/>
              <w:bottom w:val="single" w:color="auto" w:sz="4" w:space="0"/>
              <w:right w:val="single" w:color="auto" w:sz="4" w:space="0"/>
            </w:tcBorders>
            <w:noWrap/>
            <w:vAlign w:val="top"/>
          </w:tcPr>
          <w:p w14:paraId="3EE29701">
            <w:pPr>
              <w:shd w:val="clear"/>
              <w:rPr>
                <w:rFonts w:ascii="宋体" w:hAnsi="宋体"/>
                <w:color w:val="auto"/>
                <w:szCs w:val="21"/>
                <w:highlight w:val="none"/>
              </w:rPr>
            </w:pPr>
            <w:r>
              <w:rPr>
                <w:rFonts w:hint="eastAsia" w:ascii="宋体" w:hAnsi="宋体"/>
                <w:color w:val="auto"/>
                <w:szCs w:val="21"/>
                <w:highlight w:val="none"/>
              </w:rPr>
              <w:t>1  ……</w:t>
            </w:r>
          </w:p>
        </w:tc>
        <w:tc>
          <w:tcPr>
            <w:tcW w:w="2745" w:type="dxa"/>
            <w:tcBorders>
              <w:top w:val="single" w:color="auto" w:sz="4" w:space="0"/>
              <w:left w:val="single" w:color="auto" w:sz="4" w:space="0"/>
              <w:right w:val="single" w:color="auto" w:sz="4" w:space="0"/>
            </w:tcBorders>
            <w:noWrap w:val="0"/>
            <w:vAlign w:val="top"/>
          </w:tcPr>
          <w:p w14:paraId="7C64D143">
            <w:pPr>
              <w:shd w:val="clear"/>
              <w:rPr>
                <w:rFonts w:ascii="宋体" w:hAnsi="宋体"/>
                <w:color w:val="auto"/>
                <w:szCs w:val="21"/>
                <w:highlight w:val="none"/>
              </w:rPr>
            </w:pPr>
            <w:r>
              <w:rPr>
                <w:rFonts w:hint="eastAsia" w:ascii="宋体" w:hAnsi="宋体"/>
                <w:color w:val="auto"/>
                <w:szCs w:val="21"/>
                <w:highlight w:val="none"/>
              </w:rPr>
              <w:t>1  ……</w:t>
            </w:r>
          </w:p>
        </w:tc>
        <w:tc>
          <w:tcPr>
            <w:tcW w:w="2516" w:type="dxa"/>
            <w:tcBorders>
              <w:top w:val="single" w:color="auto" w:sz="4" w:space="0"/>
              <w:left w:val="single" w:color="auto" w:sz="4" w:space="0"/>
              <w:right w:val="single" w:color="auto" w:sz="4" w:space="0"/>
            </w:tcBorders>
            <w:noWrap w:val="0"/>
            <w:vAlign w:val="top"/>
          </w:tcPr>
          <w:p w14:paraId="71581942">
            <w:pPr>
              <w:shd w:val="clea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tc>
      </w:tr>
      <w:tr w14:paraId="4CDB5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Merge w:val="continue"/>
            <w:tcBorders>
              <w:left w:val="single" w:color="auto" w:sz="4" w:space="0"/>
              <w:right w:val="single" w:color="auto" w:sz="4" w:space="0"/>
            </w:tcBorders>
            <w:noWrap/>
            <w:vAlign w:val="top"/>
          </w:tcPr>
          <w:p w14:paraId="6AA5596A">
            <w:pPr>
              <w:shd w:val="clear"/>
              <w:spacing w:line="340" w:lineRule="exact"/>
              <w:rPr>
                <w:rFonts w:ascii="宋体" w:hAnsi="宋体"/>
                <w:color w:val="auto"/>
                <w:szCs w:val="21"/>
                <w:highlight w:val="none"/>
              </w:rPr>
            </w:pPr>
          </w:p>
        </w:tc>
        <w:tc>
          <w:tcPr>
            <w:tcW w:w="3528" w:type="dxa"/>
            <w:tcBorders>
              <w:top w:val="single" w:color="auto" w:sz="4" w:space="0"/>
              <w:left w:val="single" w:color="auto" w:sz="4" w:space="0"/>
              <w:bottom w:val="single" w:color="auto" w:sz="4" w:space="0"/>
              <w:right w:val="single" w:color="auto" w:sz="4" w:space="0"/>
            </w:tcBorders>
            <w:noWrap/>
            <w:vAlign w:val="top"/>
          </w:tcPr>
          <w:p w14:paraId="1620B7D5">
            <w:pPr>
              <w:shd w:val="clear"/>
              <w:spacing w:line="340" w:lineRule="exact"/>
              <w:rPr>
                <w:rFonts w:ascii="宋体" w:hAnsi="宋体"/>
                <w:color w:val="auto"/>
                <w:szCs w:val="21"/>
                <w:highlight w:val="none"/>
              </w:rPr>
            </w:pPr>
            <w:r>
              <w:rPr>
                <w:rFonts w:hint="eastAsia" w:ascii="宋体" w:hAnsi="宋体"/>
                <w:color w:val="auto"/>
                <w:szCs w:val="21"/>
                <w:highlight w:val="none"/>
              </w:rPr>
              <w:t>2  ……</w:t>
            </w:r>
          </w:p>
          <w:p w14:paraId="2D176373">
            <w:pPr>
              <w:shd w:val="clear"/>
              <w:spacing w:line="340" w:lineRule="exact"/>
              <w:rPr>
                <w:rFonts w:ascii="宋体" w:hAnsi="宋体"/>
                <w:color w:val="auto"/>
                <w:szCs w:val="21"/>
                <w:highlight w:val="none"/>
              </w:rPr>
            </w:pPr>
          </w:p>
        </w:tc>
        <w:tc>
          <w:tcPr>
            <w:tcW w:w="2745" w:type="dxa"/>
            <w:tcBorders>
              <w:left w:val="single" w:color="auto" w:sz="4" w:space="0"/>
              <w:right w:val="single" w:color="auto" w:sz="4" w:space="0"/>
            </w:tcBorders>
            <w:noWrap w:val="0"/>
            <w:vAlign w:val="top"/>
          </w:tcPr>
          <w:p w14:paraId="319EF562">
            <w:pPr>
              <w:shd w:val="clear"/>
              <w:spacing w:line="340" w:lineRule="exact"/>
              <w:rPr>
                <w:rFonts w:ascii="宋体" w:hAnsi="宋体"/>
                <w:color w:val="auto"/>
                <w:szCs w:val="21"/>
                <w:highlight w:val="none"/>
              </w:rPr>
            </w:pPr>
            <w:r>
              <w:rPr>
                <w:rFonts w:hint="eastAsia" w:ascii="宋体" w:hAnsi="宋体"/>
                <w:color w:val="auto"/>
                <w:szCs w:val="21"/>
                <w:highlight w:val="none"/>
              </w:rPr>
              <w:t>2  ……</w:t>
            </w:r>
          </w:p>
          <w:p w14:paraId="778871F2">
            <w:pPr>
              <w:shd w:val="clear"/>
              <w:spacing w:line="300" w:lineRule="exact"/>
              <w:rPr>
                <w:rFonts w:ascii="宋体" w:hAnsi="宋体"/>
                <w:color w:val="auto"/>
                <w:szCs w:val="21"/>
                <w:highlight w:val="none"/>
              </w:rPr>
            </w:pPr>
          </w:p>
        </w:tc>
        <w:tc>
          <w:tcPr>
            <w:tcW w:w="2516" w:type="dxa"/>
            <w:tcBorders>
              <w:left w:val="single" w:color="auto" w:sz="4" w:space="0"/>
              <w:right w:val="single" w:color="auto" w:sz="4" w:space="0"/>
            </w:tcBorders>
            <w:noWrap w:val="0"/>
            <w:vAlign w:val="top"/>
          </w:tcPr>
          <w:p w14:paraId="31EDFBCB">
            <w:pPr>
              <w:shd w:val="clea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tc>
      </w:tr>
      <w:tr w14:paraId="0FA63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Merge w:val="continue"/>
            <w:tcBorders>
              <w:left w:val="single" w:color="auto" w:sz="4" w:space="0"/>
              <w:bottom w:val="single" w:color="auto" w:sz="4" w:space="0"/>
              <w:right w:val="single" w:color="auto" w:sz="4" w:space="0"/>
            </w:tcBorders>
            <w:noWrap/>
            <w:vAlign w:val="top"/>
          </w:tcPr>
          <w:p w14:paraId="755F1D93">
            <w:pPr>
              <w:shd w:val="clear"/>
              <w:spacing w:line="340" w:lineRule="exact"/>
              <w:rPr>
                <w:rFonts w:ascii="宋体" w:hAnsi="宋体"/>
                <w:color w:val="auto"/>
                <w:szCs w:val="21"/>
                <w:highlight w:val="none"/>
              </w:rPr>
            </w:pPr>
          </w:p>
        </w:tc>
        <w:tc>
          <w:tcPr>
            <w:tcW w:w="3528" w:type="dxa"/>
            <w:tcBorders>
              <w:top w:val="single" w:color="auto" w:sz="4" w:space="0"/>
              <w:left w:val="single" w:color="auto" w:sz="4" w:space="0"/>
              <w:bottom w:val="single" w:color="auto" w:sz="4" w:space="0"/>
              <w:right w:val="single" w:color="auto" w:sz="4" w:space="0"/>
            </w:tcBorders>
            <w:noWrap/>
            <w:vAlign w:val="top"/>
          </w:tcPr>
          <w:p w14:paraId="47319EEF">
            <w:pPr>
              <w:shd w:val="clear"/>
              <w:spacing w:line="340" w:lineRule="exact"/>
              <w:rPr>
                <w:rFonts w:ascii="宋体" w:hAnsi="宋体"/>
                <w:color w:val="auto"/>
                <w:szCs w:val="21"/>
                <w:highlight w:val="none"/>
              </w:rPr>
            </w:pPr>
            <w:r>
              <w:rPr>
                <w:rFonts w:hint="eastAsia" w:ascii="宋体" w:hAnsi="宋体"/>
                <w:color w:val="auto"/>
                <w:szCs w:val="21"/>
                <w:highlight w:val="none"/>
              </w:rPr>
              <w:t>……</w:t>
            </w:r>
          </w:p>
        </w:tc>
        <w:tc>
          <w:tcPr>
            <w:tcW w:w="2745" w:type="dxa"/>
            <w:tcBorders>
              <w:left w:val="single" w:color="auto" w:sz="4" w:space="0"/>
              <w:bottom w:val="single" w:color="auto" w:sz="4" w:space="0"/>
              <w:right w:val="single" w:color="auto" w:sz="4" w:space="0"/>
            </w:tcBorders>
            <w:noWrap w:val="0"/>
            <w:vAlign w:val="top"/>
          </w:tcPr>
          <w:p w14:paraId="6BE0C714">
            <w:pPr>
              <w:shd w:val="clear"/>
              <w:spacing w:line="300" w:lineRule="exact"/>
              <w:rPr>
                <w:rFonts w:ascii="宋体" w:hAnsi="宋体"/>
                <w:color w:val="auto"/>
                <w:szCs w:val="21"/>
                <w:highlight w:val="none"/>
              </w:rPr>
            </w:pPr>
            <w:r>
              <w:rPr>
                <w:rFonts w:hint="eastAsia" w:ascii="宋体" w:hAnsi="宋体"/>
                <w:color w:val="auto"/>
                <w:szCs w:val="21"/>
                <w:highlight w:val="none"/>
              </w:rPr>
              <w:t>……</w:t>
            </w:r>
          </w:p>
        </w:tc>
        <w:tc>
          <w:tcPr>
            <w:tcW w:w="2516" w:type="dxa"/>
            <w:tcBorders>
              <w:left w:val="single" w:color="auto" w:sz="4" w:space="0"/>
              <w:bottom w:val="single" w:color="auto" w:sz="4" w:space="0"/>
              <w:right w:val="single" w:color="auto" w:sz="4" w:space="0"/>
            </w:tcBorders>
            <w:noWrap w:val="0"/>
            <w:vAlign w:val="top"/>
          </w:tcPr>
          <w:p w14:paraId="3EC21A81">
            <w:pPr>
              <w:shd w:val="clea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tc>
      </w:tr>
    </w:tbl>
    <w:p w14:paraId="270045D8">
      <w:pPr>
        <w:shd w:val="clear"/>
        <w:spacing w:line="360" w:lineRule="auto"/>
        <w:ind w:left="-708" w:leftChars="-337"/>
        <w:rPr>
          <w:color w:val="auto"/>
          <w:szCs w:val="20"/>
          <w:highlight w:val="none"/>
        </w:rPr>
      </w:pPr>
    </w:p>
    <w:p w14:paraId="60D1E0D1">
      <w:pPr>
        <w:shd w:val="clea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p>
    <w:p w14:paraId="7020AB04">
      <w:pPr>
        <w:shd w:val="clea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请逐条对应本项目招标文件第二章“服务需求一览表”中“商务条款”的要求，详细填写相应的具体内容。</w:t>
      </w:r>
    </w:p>
    <w:p w14:paraId="4CA2805A">
      <w:pPr>
        <w:shd w:val="clea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.投标人应根据自身的承诺，对照招标文件要求在“偏离说明”中注明“正偏离”、“负偏离”或者“无偏离”。既不属于“正偏离”也不属于“负偏离”即为“无偏离”。</w:t>
      </w:r>
    </w:p>
    <w:p w14:paraId="7BC7B35E">
      <w:pPr>
        <w:shd w:val="clea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.采购需求中带“▲”及“★”的条款，也要分别在本表“</w:t>
      </w:r>
      <w:r>
        <w:rPr>
          <w:rFonts w:hint="eastAsia" w:ascii="宋体" w:hAnsi="宋体" w:eastAsia="宋体" w:cs="宋体"/>
          <w:color w:val="auto"/>
          <w:szCs w:val="21"/>
          <w:highlight w:val="none"/>
          <w:lang w:val="en-US" w:eastAsia="zh-CN"/>
        </w:rPr>
        <w:t>招标</w:t>
      </w:r>
      <w:r>
        <w:rPr>
          <w:rFonts w:hint="eastAsia" w:ascii="宋体" w:hAnsi="宋体" w:eastAsia="宋体" w:cs="宋体"/>
          <w:color w:val="auto"/>
          <w:szCs w:val="21"/>
          <w:highlight w:val="none"/>
        </w:rPr>
        <w:t>文件的商务需求”、“投标文件承诺的商务条款”中标记。</w:t>
      </w:r>
    </w:p>
    <w:p w14:paraId="17D04074">
      <w:pPr>
        <w:shd w:val="clear"/>
        <w:snapToGrid w:val="0"/>
        <w:spacing w:before="50" w:after="50"/>
        <w:rPr>
          <w:rFonts w:ascii="宋体" w:hAnsi="宋体"/>
          <w:color w:val="auto"/>
          <w:sz w:val="24"/>
          <w:highlight w:val="none"/>
        </w:rPr>
      </w:pPr>
    </w:p>
    <w:p w14:paraId="2867FB15">
      <w:pPr>
        <w:shd w:val="clear"/>
        <w:snapToGrid w:val="0"/>
        <w:spacing w:line="360" w:lineRule="auto"/>
        <w:ind w:firstLine="4935" w:firstLineChars="235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zh-CN"/>
        </w:rPr>
        <w:t>投标人名称(电子签章)：</w:t>
      </w:r>
    </w:p>
    <w:p w14:paraId="5D053AA9">
      <w:pPr>
        <w:shd w:val="clear"/>
        <w:snapToGrid w:val="0"/>
        <w:spacing w:line="360" w:lineRule="auto"/>
        <w:ind w:firstLine="4515" w:firstLineChars="215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日期</w:t>
      </w:r>
      <w:r>
        <w:rPr>
          <w:rFonts w:hint="eastAsia" w:ascii="宋体" w:hAnsi="宋体" w:eastAsia="宋体" w:cs="宋体"/>
          <w:color w:val="auto"/>
          <w:kern w:val="0"/>
          <w:sz w:val="21"/>
          <w:szCs w:val="21"/>
          <w:highlight w:val="none"/>
        </w:rPr>
        <w:t xml:space="preserve">：  年  </w:t>
      </w:r>
      <w:r>
        <w:rPr>
          <w:rFonts w:hint="eastAsia" w:ascii="宋体" w:hAnsi="宋体" w:eastAsia="宋体" w:cs="宋体"/>
          <w:color w:val="auto"/>
          <w:kern w:val="0"/>
          <w:sz w:val="21"/>
          <w:szCs w:val="21"/>
          <w:highlight w:val="none"/>
          <w:lang w:val="zh-CN"/>
        </w:rPr>
        <w:t>月</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lang w:val="zh-CN"/>
        </w:rPr>
        <w:t>日</w:t>
      </w:r>
    </w:p>
    <w:p w14:paraId="531B205E">
      <w:pPr>
        <w:shd w:val="clear"/>
        <w:snapToGrid w:val="0"/>
        <w:spacing w:before="120" w:beforeLines="50" w:after="50"/>
        <w:ind w:firstLine="3150" w:firstLineChars="1500"/>
        <w:jc w:val="left"/>
        <w:rPr>
          <w:rFonts w:hint="eastAsia" w:ascii="宋体" w:hAnsi="宋体" w:eastAsia="宋体" w:cs="宋体"/>
          <w:color w:val="auto"/>
          <w:sz w:val="21"/>
          <w:szCs w:val="21"/>
          <w:highlight w:val="none"/>
        </w:rPr>
        <w:sectPr>
          <w:footerReference r:id="rId15" w:type="first"/>
          <w:headerReference r:id="rId12" w:type="default"/>
          <w:footerReference r:id="rId13" w:type="default"/>
          <w:footerReference r:id="rId14" w:type="even"/>
          <w:pgSz w:w="11905" w:h="16838"/>
          <w:pgMar w:top="1134" w:right="1134" w:bottom="1134" w:left="1134" w:header="720" w:footer="720" w:gutter="0"/>
          <w:cols w:space="0" w:num="1"/>
          <w:rtlGutter w:val="0"/>
          <w:docGrid w:type="lines" w:linePitch="331" w:charSpace="0"/>
        </w:sectPr>
      </w:pPr>
    </w:p>
    <w:p w14:paraId="6151D71C">
      <w:pPr>
        <w:shd w:val="clear"/>
        <w:snapToGrid w:val="0"/>
        <w:spacing w:before="165" w:beforeLines="50" w:after="50"/>
        <w:ind w:firstLine="602" w:firstLineChars="200"/>
        <w:jc w:val="center"/>
        <w:rPr>
          <w:rFonts w:hint="eastAsia"/>
          <w:b/>
          <w:bCs/>
          <w:color w:val="auto"/>
          <w:sz w:val="30"/>
          <w:szCs w:val="30"/>
          <w:highlight w:val="none"/>
        </w:rPr>
      </w:pPr>
      <w:r>
        <w:rPr>
          <w:rFonts w:hint="eastAsia"/>
          <w:b/>
          <w:bCs/>
          <w:color w:val="auto"/>
          <w:sz w:val="30"/>
          <w:szCs w:val="30"/>
          <w:highlight w:val="none"/>
        </w:rPr>
        <w:t>五、投标人情况介绍</w:t>
      </w:r>
    </w:p>
    <w:p w14:paraId="2AD52A58">
      <w:pPr>
        <w:shd w:val="clear"/>
        <w:spacing w:line="360" w:lineRule="auto"/>
        <w:ind w:firstLine="4048" w:firstLineChars="1687"/>
        <w:rPr>
          <w:rFonts w:hint="eastAsia" w:ascii="仿宋_GB2312" w:hAnsi="仿宋" w:eastAsia="仿宋_GB2312" w:cs="仿宋_GB2312"/>
          <w:color w:val="auto"/>
          <w:kern w:val="0"/>
          <w:sz w:val="24"/>
          <w:highlight w:val="none"/>
        </w:rPr>
      </w:pPr>
      <w:r>
        <w:rPr>
          <w:rFonts w:hint="eastAsia" w:ascii="宋体" w:hAnsi="宋体"/>
          <w:color w:val="auto"/>
          <w:sz w:val="24"/>
          <w:highlight w:val="none"/>
        </w:rPr>
        <w:t>（格式自拟）</w:t>
      </w:r>
    </w:p>
    <w:p w14:paraId="69F9EF43">
      <w:pPr>
        <w:shd w:val="clear"/>
        <w:snapToGrid w:val="0"/>
        <w:spacing w:line="360" w:lineRule="auto"/>
        <w:ind w:firstLine="4935" w:firstLineChars="2350"/>
        <w:rPr>
          <w:rFonts w:hint="eastAsia" w:hAnsi="宋体"/>
          <w:color w:val="auto"/>
          <w:szCs w:val="21"/>
          <w:highlight w:val="none"/>
        </w:rPr>
      </w:pPr>
      <w:r>
        <w:rPr>
          <w:rFonts w:hAnsi="宋体"/>
          <w:color w:val="auto"/>
          <w:szCs w:val="21"/>
          <w:highlight w:val="none"/>
        </w:rPr>
        <w:t xml:space="preserve"> </w:t>
      </w:r>
    </w:p>
    <w:p w14:paraId="3DD0DCDB">
      <w:pPr>
        <w:shd w:val="clear"/>
        <w:snapToGrid w:val="0"/>
        <w:spacing w:line="360" w:lineRule="auto"/>
        <w:ind w:firstLine="4935" w:firstLineChars="2350"/>
        <w:rPr>
          <w:rFonts w:hint="eastAsia" w:hAnsi="宋体"/>
          <w:color w:val="auto"/>
          <w:szCs w:val="21"/>
          <w:highlight w:val="none"/>
        </w:rPr>
      </w:pPr>
    </w:p>
    <w:p w14:paraId="4C50D64B">
      <w:pPr>
        <w:shd w:val="clear"/>
        <w:snapToGrid w:val="0"/>
        <w:spacing w:line="360" w:lineRule="auto"/>
        <w:ind w:firstLine="4935" w:firstLineChars="2350"/>
        <w:rPr>
          <w:rFonts w:hint="eastAsia" w:hAnsi="宋体"/>
          <w:color w:val="auto"/>
          <w:szCs w:val="21"/>
          <w:highlight w:val="none"/>
        </w:rPr>
      </w:pPr>
    </w:p>
    <w:p w14:paraId="417725B9">
      <w:pPr>
        <w:shd w:val="clear"/>
        <w:snapToGrid w:val="0"/>
        <w:spacing w:line="360" w:lineRule="auto"/>
        <w:ind w:firstLine="4935" w:firstLineChars="2350"/>
        <w:rPr>
          <w:rFonts w:hint="eastAsia" w:hAnsi="宋体"/>
          <w:color w:val="auto"/>
          <w:szCs w:val="21"/>
          <w:highlight w:val="none"/>
        </w:rPr>
      </w:pPr>
    </w:p>
    <w:p w14:paraId="3B0BD053">
      <w:pPr>
        <w:shd w:val="clear"/>
        <w:snapToGrid w:val="0"/>
        <w:spacing w:line="360" w:lineRule="auto"/>
        <w:ind w:firstLine="4935" w:firstLineChars="2350"/>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kern w:val="0"/>
          <w:sz w:val="21"/>
          <w:szCs w:val="21"/>
          <w:highlight w:val="none"/>
          <w:lang w:val="zh-CN"/>
        </w:rPr>
        <w:t>投标人名称(电子签章)：</w:t>
      </w:r>
    </w:p>
    <w:p w14:paraId="1C3EEE88">
      <w:pPr>
        <w:shd w:val="clear"/>
        <w:snapToGrid w:val="0"/>
        <w:spacing w:before="165" w:beforeLines="50" w:after="50"/>
        <w:ind w:firstLine="420" w:firstLineChars="200"/>
        <w:jc w:val="center"/>
        <w:rPr>
          <w:rFonts w:hint="eastAsia" w:ascii="宋体" w:hAnsi="宋体" w:eastAsia="宋体" w:cs="宋体"/>
          <w:b/>
          <w:bCs/>
          <w:color w:val="auto"/>
          <w:sz w:val="21"/>
          <w:szCs w:val="21"/>
          <w:highlight w:val="none"/>
        </w:rPr>
        <w:sectPr>
          <w:footerReference r:id="rId19" w:type="first"/>
          <w:headerReference r:id="rId16" w:type="default"/>
          <w:footerReference r:id="rId17" w:type="default"/>
          <w:footerReference r:id="rId18" w:type="even"/>
          <w:pgSz w:w="11905" w:h="16838"/>
          <w:pgMar w:top="1134" w:right="1134" w:bottom="1134" w:left="1134" w:header="720" w:footer="720" w:gutter="0"/>
          <w:cols w:space="0" w:num="1"/>
          <w:rtlGutter w:val="0"/>
          <w:docGrid w:type="lines" w:linePitch="331" w:charSpace="0"/>
        </w:sectPr>
      </w:pPr>
      <w:r>
        <w:rPr>
          <w:rFonts w:hint="eastAsia" w:ascii="宋体" w:hAnsi="宋体" w:eastAsia="宋体" w:cs="宋体"/>
          <w:color w:val="auto"/>
          <w:kern w:val="0"/>
          <w:sz w:val="21"/>
          <w:szCs w:val="21"/>
          <w:highlight w:val="none"/>
          <w:lang w:val="zh-CN"/>
        </w:rPr>
        <w:t xml:space="preserve">                                                    日期</w:t>
      </w:r>
      <w:r>
        <w:rPr>
          <w:rFonts w:hint="eastAsia" w:ascii="宋体" w:hAnsi="宋体" w:eastAsia="宋体" w:cs="宋体"/>
          <w:color w:val="auto"/>
          <w:kern w:val="0"/>
          <w:sz w:val="21"/>
          <w:szCs w:val="21"/>
          <w:highlight w:val="none"/>
        </w:rPr>
        <w:t xml:space="preserve">：  年  </w:t>
      </w:r>
      <w:r>
        <w:rPr>
          <w:rFonts w:hint="eastAsia" w:ascii="宋体" w:hAnsi="宋体" w:eastAsia="宋体" w:cs="宋体"/>
          <w:color w:val="auto"/>
          <w:kern w:val="0"/>
          <w:sz w:val="21"/>
          <w:szCs w:val="21"/>
          <w:highlight w:val="none"/>
          <w:lang w:val="zh-CN"/>
        </w:rPr>
        <w:t>月</w:t>
      </w: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lang w:val="zh-CN"/>
        </w:rPr>
        <w:t>日</w:t>
      </w:r>
    </w:p>
    <w:p w14:paraId="06295001">
      <w:pPr>
        <w:shd w:val="clear"/>
        <w:snapToGrid w:val="0"/>
        <w:spacing w:before="165" w:beforeLines="50" w:after="50"/>
        <w:ind w:firstLine="602" w:firstLineChars="200"/>
        <w:jc w:val="center"/>
        <w:rPr>
          <w:rFonts w:hint="eastAsia"/>
          <w:b/>
          <w:bCs/>
          <w:color w:val="auto"/>
          <w:sz w:val="30"/>
          <w:szCs w:val="30"/>
          <w:highlight w:val="none"/>
        </w:rPr>
      </w:pPr>
      <w:r>
        <w:rPr>
          <w:rFonts w:hint="eastAsia"/>
          <w:b/>
          <w:bCs/>
          <w:color w:val="auto"/>
          <w:sz w:val="30"/>
          <w:szCs w:val="30"/>
          <w:highlight w:val="none"/>
        </w:rPr>
        <w:t>六、投标人类似的业绩证明文件（如有要求）</w:t>
      </w:r>
    </w:p>
    <w:p w14:paraId="30B97BD0">
      <w:pPr>
        <w:shd w:val="clear"/>
        <w:snapToGrid w:val="0"/>
        <w:ind w:left="480" w:hanging="480" w:hangingChars="200"/>
        <w:rPr>
          <w:rFonts w:hint="eastAsia" w:ascii="宋体" w:hAnsi="宋体"/>
          <w:color w:val="auto"/>
          <w:sz w:val="24"/>
          <w:highlight w:val="none"/>
        </w:rPr>
      </w:pPr>
    </w:p>
    <w:p w14:paraId="4A85A201">
      <w:pPr>
        <w:shd w:val="clear"/>
        <w:snapToGrid w:val="0"/>
        <w:ind w:left="480" w:hanging="480" w:hangingChars="200"/>
        <w:rPr>
          <w:rFonts w:hint="eastAsia" w:ascii="宋体" w:hAnsi="宋体"/>
          <w:color w:val="auto"/>
          <w:sz w:val="24"/>
          <w:highlight w:val="none"/>
        </w:rPr>
      </w:pPr>
    </w:p>
    <w:p w14:paraId="297758FF">
      <w:pPr>
        <w:shd w:val="clear"/>
        <w:snapToGrid w:val="0"/>
        <w:ind w:left="480" w:hanging="480" w:hangingChars="200"/>
        <w:rPr>
          <w:rFonts w:hint="eastAsia" w:ascii="宋体" w:hAnsi="宋体"/>
          <w:color w:val="auto"/>
          <w:sz w:val="24"/>
          <w:highlight w:val="none"/>
        </w:rPr>
      </w:pPr>
    </w:p>
    <w:p w14:paraId="43E02563">
      <w:pPr>
        <w:shd w:val="clear"/>
        <w:autoSpaceDE w:val="0"/>
        <w:autoSpaceDN w:val="0"/>
        <w:spacing w:line="360" w:lineRule="auto"/>
        <w:ind w:firstLine="120"/>
        <w:rPr>
          <w:rFonts w:hint="eastAsia" w:ascii="宋体" w:hAnsi="宋体" w:eastAsia="仿宋_GB2312"/>
          <w:color w:val="auto"/>
          <w:sz w:val="24"/>
          <w:highlight w:val="none"/>
          <w:lang w:eastAsia="zh-CN"/>
        </w:rPr>
      </w:pPr>
      <w:r>
        <w:rPr>
          <w:rFonts w:hint="eastAsia" w:ascii="仿宋_GB2312" w:hAnsi="仿宋" w:eastAsia="仿宋_GB2312" w:cs="仿宋_GB2312"/>
          <w:b/>
          <w:color w:val="auto"/>
          <w:sz w:val="24"/>
          <w:highlight w:val="none"/>
          <w:lang w:val="en-US" w:eastAsia="zh-CN"/>
        </w:rPr>
        <w:t>投标人</w:t>
      </w:r>
      <w:r>
        <w:rPr>
          <w:rFonts w:hint="eastAsia" w:ascii="仿宋_GB2312" w:hAnsi="仿宋" w:eastAsia="仿宋_GB2312" w:cs="仿宋_GB2312"/>
          <w:b/>
          <w:color w:val="auto"/>
          <w:sz w:val="24"/>
          <w:highlight w:val="none"/>
        </w:rPr>
        <w:t>业绩</w:t>
      </w:r>
      <w:r>
        <w:rPr>
          <w:rFonts w:hint="eastAsia" w:ascii="仿宋_GB2312" w:hAnsi="仿宋" w:eastAsia="仿宋_GB2312" w:cs="仿宋_GB2312"/>
          <w:b/>
          <w:color w:val="auto"/>
          <w:sz w:val="24"/>
          <w:highlight w:val="none"/>
          <w:lang w:val="en-US" w:eastAsia="zh-CN"/>
        </w:rPr>
        <w:t>情况</w:t>
      </w:r>
      <w:r>
        <w:rPr>
          <w:rFonts w:hint="eastAsia" w:ascii="仿宋_GB2312" w:hAnsi="仿宋" w:eastAsia="仿宋_GB2312" w:cs="仿宋_GB2312"/>
          <w:b/>
          <w:color w:val="auto"/>
          <w:sz w:val="24"/>
          <w:highlight w:val="none"/>
        </w:rPr>
        <w:t>一览表</w:t>
      </w:r>
      <w:r>
        <w:rPr>
          <w:rFonts w:hint="eastAsia" w:ascii="仿宋_GB2312" w:hAnsi="仿宋" w:eastAsia="仿宋_GB2312" w:cs="仿宋_GB2312"/>
          <w:b/>
          <w:color w:val="auto"/>
          <w:sz w:val="24"/>
          <w:highlight w:val="none"/>
          <w:lang w:val="en-US" w:eastAsia="zh-CN"/>
        </w:rPr>
        <w:t>格式</w:t>
      </w:r>
    </w:p>
    <w:tbl>
      <w:tblPr>
        <w:tblStyle w:val="33"/>
        <w:tblW w:w="937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628"/>
        <w:gridCol w:w="2754"/>
        <w:gridCol w:w="1740"/>
        <w:gridCol w:w="2250"/>
      </w:tblGrid>
      <w:tr w14:paraId="1DE260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487" w:hRule="atLeast"/>
        </w:trPr>
        <w:tc>
          <w:tcPr>
            <w:tcW w:w="2628" w:type="dxa"/>
            <w:vMerge w:val="restart"/>
            <w:tcBorders>
              <w:top w:val="single" w:color="auto" w:sz="4" w:space="0"/>
              <w:left w:val="single" w:color="auto" w:sz="4" w:space="0"/>
              <w:bottom w:val="single" w:color="auto" w:sz="4" w:space="0"/>
              <w:right w:val="single" w:color="auto" w:sz="4" w:space="0"/>
            </w:tcBorders>
            <w:noWrap w:val="0"/>
            <w:vAlign w:val="center"/>
          </w:tcPr>
          <w:p w14:paraId="17D509CA">
            <w:pPr>
              <w:shd w:val="clear"/>
              <w:snapToGrid w:val="0"/>
              <w:spacing w:line="240" w:lineRule="exact"/>
              <w:jc w:val="center"/>
              <w:rPr>
                <w:rFonts w:hint="eastAsia" w:ascii="宋体" w:hAnsi="宋体"/>
                <w:color w:val="auto"/>
                <w:sz w:val="24"/>
                <w:highlight w:val="none"/>
              </w:rPr>
            </w:pPr>
            <w:r>
              <w:rPr>
                <w:rFonts w:hint="eastAsia" w:ascii="宋体" w:hAnsi="宋体"/>
                <w:color w:val="auto"/>
                <w:sz w:val="24"/>
                <w:highlight w:val="none"/>
              </w:rPr>
              <w:t>采购人名称</w:t>
            </w:r>
          </w:p>
        </w:tc>
        <w:tc>
          <w:tcPr>
            <w:tcW w:w="2754" w:type="dxa"/>
            <w:vMerge w:val="restart"/>
            <w:tcBorders>
              <w:top w:val="single" w:color="auto" w:sz="4" w:space="0"/>
              <w:left w:val="single" w:color="auto" w:sz="4" w:space="0"/>
              <w:bottom w:val="single" w:color="auto" w:sz="4" w:space="0"/>
              <w:right w:val="single" w:color="auto" w:sz="4" w:space="0"/>
            </w:tcBorders>
            <w:noWrap w:val="0"/>
            <w:vAlign w:val="center"/>
          </w:tcPr>
          <w:p w14:paraId="77483DE7">
            <w:pPr>
              <w:shd w:val="clear"/>
              <w:snapToGrid w:val="0"/>
              <w:spacing w:line="240" w:lineRule="exact"/>
              <w:jc w:val="center"/>
              <w:rPr>
                <w:rFonts w:hint="eastAsia" w:ascii="宋体" w:hAnsi="宋体"/>
                <w:color w:val="auto"/>
                <w:sz w:val="24"/>
                <w:highlight w:val="none"/>
              </w:rPr>
            </w:pPr>
            <w:r>
              <w:rPr>
                <w:rFonts w:hint="eastAsia" w:ascii="宋体" w:hAnsi="宋体"/>
                <w:color w:val="auto"/>
                <w:sz w:val="24"/>
                <w:highlight w:val="none"/>
              </w:rPr>
              <w:t>项目名称</w:t>
            </w:r>
          </w:p>
        </w:tc>
        <w:tc>
          <w:tcPr>
            <w:tcW w:w="1740" w:type="dxa"/>
            <w:vMerge w:val="restart"/>
            <w:tcBorders>
              <w:top w:val="single" w:color="auto" w:sz="4" w:space="0"/>
              <w:left w:val="single" w:color="auto" w:sz="4" w:space="0"/>
              <w:bottom w:val="single" w:color="auto" w:sz="4" w:space="0"/>
              <w:right w:val="single" w:color="auto" w:sz="4" w:space="0"/>
            </w:tcBorders>
            <w:noWrap w:val="0"/>
            <w:vAlign w:val="center"/>
          </w:tcPr>
          <w:p w14:paraId="5188C1BF">
            <w:pPr>
              <w:shd w:val="clear"/>
              <w:snapToGrid w:val="0"/>
              <w:spacing w:line="240" w:lineRule="exact"/>
              <w:jc w:val="center"/>
              <w:rPr>
                <w:rFonts w:hint="eastAsia" w:ascii="宋体" w:hAnsi="宋体"/>
                <w:color w:val="auto"/>
                <w:sz w:val="24"/>
                <w:highlight w:val="none"/>
              </w:rPr>
            </w:pPr>
            <w:r>
              <w:rPr>
                <w:rFonts w:hint="eastAsia" w:ascii="宋体" w:hAnsi="宋体"/>
                <w:color w:val="auto"/>
                <w:sz w:val="24"/>
                <w:highlight w:val="none"/>
              </w:rPr>
              <w:t>合同</w:t>
            </w:r>
          </w:p>
          <w:p w14:paraId="275D5ECF">
            <w:pPr>
              <w:shd w:val="clear"/>
              <w:snapToGrid w:val="0"/>
              <w:spacing w:line="240" w:lineRule="exact"/>
              <w:jc w:val="center"/>
              <w:rPr>
                <w:rFonts w:hint="eastAsia" w:ascii="宋体" w:hAnsi="宋体"/>
                <w:color w:val="auto"/>
                <w:sz w:val="24"/>
                <w:highlight w:val="none"/>
              </w:rPr>
            </w:pPr>
            <w:r>
              <w:rPr>
                <w:rFonts w:hint="eastAsia" w:ascii="宋体" w:hAnsi="宋体"/>
                <w:color w:val="auto"/>
                <w:sz w:val="24"/>
                <w:highlight w:val="none"/>
              </w:rPr>
              <w:t>金额</w:t>
            </w:r>
          </w:p>
          <w:p w14:paraId="4B9D652D">
            <w:pPr>
              <w:shd w:val="clear"/>
              <w:snapToGrid w:val="0"/>
              <w:spacing w:line="240" w:lineRule="exact"/>
              <w:jc w:val="center"/>
              <w:rPr>
                <w:rFonts w:hint="eastAsia" w:ascii="宋体" w:hAnsi="宋体"/>
                <w:color w:val="auto"/>
                <w:sz w:val="24"/>
                <w:highlight w:val="none"/>
              </w:rPr>
            </w:pPr>
            <w:r>
              <w:rPr>
                <w:rFonts w:hint="eastAsia" w:ascii="宋体" w:hAnsi="宋体"/>
                <w:color w:val="auto"/>
                <w:sz w:val="24"/>
                <w:highlight w:val="none"/>
              </w:rPr>
              <w:t>（万元）</w:t>
            </w:r>
          </w:p>
        </w:tc>
        <w:tc>
          <w:tcPr>
            <w:tcW w:w="2250" w:type="dxa"/>
            <w:vMerge w:val="restart"/>
            <w:tcBorders>
              <w:top w:val="single" w:color="auto" w:sz="4" w:space="0"/>
              <w:left w:val="single" w:color="auto" w:sz="4" w:space="0"/>
              <w:bottom w:val="single" w:color="auto" w:sz="4" w:space="0"/>
              <w:right w:val="single" w:color="auto" w:sz="4" w:space="0"/>
            </w:tcBorders>
            <w:noWrap w:val="0"/>
            <w:vAlign w:val="center"/>
          </w:tcPr>
          <w:p w14:paraId="14AEF4C5">
            <w:pPr>
              <w:shd w:val="clear"/>
              <w:snapToGrid w:val="0"/>
              <w:spacing w:line="240" w:lineRule="exact"/>
              <w:jc w:val="center"/>
              <w:rPr>
                <w:rFonts w:hint="eastAsia" w:ascii="宋体" w:hAnsi="宋体"/>
                <w:color w:val="auto"/>
                <w:sz w:val="24"/>
                <w:highlight w:val="none"/>
              </w:rPr>
            </w:pPr>
            <w:r>
              <w:rPr>
                <w:rFonts w:hint="eastAsia" w:ascii="宋体" w:hAnsi="宋体"/>
                <w:color w:val="auto"/>
                <w:sz w:val="24"/>
                <w:highlight w:val="none"/>
              </w:rPr>
              <w:t>采购人联系人及</w:t>
            </w:r>
          </w:p>
          <w:p w14:paraId="40BBA0F3">
            <w:pPr>
              <w:shd w:val="clear"/>
              <w:snapToGrid w:val="0"/>
              <w:spacing w:line="240" w:lineRule="exact"/>
              <w:jc w:val="center"/>
              <w:rPr>
                <w:rFonts w:hint="eastAsia" w:ascii="宋体" w:hAnsi="宋体"/>
                <w:color w:val="auto"/>
                <w:sz w:val="24"/>
                <w:highlight w:val="none"/>
              </w:rPr>
            </w:pPr>
            <w:r>
              <w:rPr>
                <w:rFonts w:hint="eastAsia" w:ascii="宋体" w:hAnsi="宋体"/>
                <w:color w:val="auto"/>
                <w:sz w:val="24"/>
                <w:highlight w:val="none"/>
              </w:rPr>
              <w:t>联系电话</w:t>
            </w:r>
          </w:p>
        </w:tc>
      </w:tr>
      <w:tr w14:paraId="2481E1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2628" w:type="dxa"/>
            <w:vMerge w:val="continue"/>
            <w:tcBorders>
              <w:top w:val="single" w:color="auto" w:sz="4" w:space="0"/>
              <w:left w:val="single" w:color="auto" w:sz="4" w:space="0"/>
              <w:bottom w:val="single" w:color="auto" w:sz="4" w:space="0"/>
              <w:right w:val="single" w:color="auto" w:sz="4" w:space="0"/>
            </w:tcBorders>
            <w:noWrap w:val="0"/>
            <w:vAlign w:val="center"/>
          </w:tcPr>
          <w:p w14:paraId="24526B5D">
            <w:pPr>
              <w:shd w:val="clear"/>
              <w:jc w:val="left"/>
              <w:rPr>
                <w:rFonts w:hint="eastAsia" w:ascii="宋体" w:hAnsi="宋体"/>
                <w:color w:val="auto"/>
                <w:sz w:val="24"/>
                <w:highlight w:val="none"/>
              </w:rPr>
            </w:pPr>
          </w:p>
        </w:tc>
        <w:tc>
          <w:tcPr>
            <w:tcW w:w="2754" w:type="dxa"/>
            <w:vMerge w:val="continue"/>
            <w:tcBorders>
              <w:top w:val="single" w:color="auto" w:sz="4" w:space="0"/>
              <w:left w:val="single" w:color="auto" w:sz="4" w:space="0"/>
              <w:bottom w:val="single" w:color="auto" w:sz="4" w:space="0"/>
              <w:right w:val="single" w:color="auto" w:sz="4" w:space="0"/>
            </w:tcBorders>
            <w:noWrap w:val="0"/>
            <w:vAlign w:val="center"/>
          </w:tcPr>
          <w:p w14:paraId="6CB1D761">
            <w:pPr>
              <w:shd w:val="clear"/>
              <w:jc w:val="left"/>
              <w:rPr>
                <w:rFonts w:hint="eastAsia" w:ascii="宋体" w:hAnsi="宋体"/>
                <w:color w:val="auto"/>
                <w:sz w:val="24"/>
                <w:highlight w:val="none"/>
              </w:rPr>
            </w:pPr>
          </w:p>
        </w:tc>
        <w:tc>
          <w:tcPr>
            <w:tcW w:w="1740" w:type="dxa"/>
            <w:vMerge w:val="continue"/>
            <w:tcBorders>
              <w:top w:val="single" w:color="auto" w:sz="4" w:space="0"/>
              <w:left w:val="single" w:color="auto" w:sz="4" w:space="0"/>
              <w:bottom w:val="single" w:color="auto" w:sz="4" w:space="0"/>
              <w:right w:val="single" w:color="auto" w:sz="4" w:space="0"/>
            </w:tcBorders>
            <w:noWrap w:val="0"/>
            <w:vAlign w:val="center"/>
          </w:tcPr>
          <w:p w14:paraId="0458E985">
            <w:pPr>
              <w:shd w:val="clear"/>
              <w:jc w:val="left"/>
              <w:rPr>
                <w:rFonts w:hint="eastAsia" w:ascii="宋体" w:hAnsi="宋体"/>
                <w:color w:val="auto"/>
                <w:sz w:val="24"/>
                <w:highlight w:val="none"/>
              </w:rPr>
            </w:pPr>
          </w:p>
        </w:tc>
        <w:tc>
          <w:tcPr>
            <w:tcW w:w="2250" w:type="dxa"/>
            <w:vMerge w:val="continue"/>
            <w:tcBorders>
              <w:top w:val="single" w:color="auto" w:sz="4" w:space="0"/>
              <w:left w:val="single" w:color="auto" w:sz="4" w:space="0"/>
              <w:bottom w:val="single" w:color="auto" w:sz="4" w:space="0"/>
              <w:right w:val="single" w:color="auto" w:sz="4" w:space="0"/>
            </w:tcBorders>
            <w:noWrap w:val="0"/>
            <w:vAlign w:val="center"/>
          </w:tcPr>
          <w:p w14:paraId="3133F749">
            <w:pPr>
              <w:shd w:val="clear"/>
              <w:jc w:val="left"/>
              <w:rPr>
                <w:rFonts w:hint="eastAsia" w:ascii="宋体" w:hAnsi="宋体"/>
                <w:color w:val="auto"/>
                <w:sz w:val="24"/>
                <w:highlight w:val="none"/>
              </w:rPr>
            </w:pPr>
          </w:p>
        </w:tc>
      </w:tr>
      <w:tr w14:paraId="4A1D91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2628" w:type="dxa"/>
            <w:tcBorders>
              <w:top w:val="single" w:color="auto" w:sz="4" w:space="0"/>
              <w:left w:val="single" w:color="auto" w:sz="4" w:space="0"/>
              <w:bottom w:val="single" w:color="auto" w:sz="4" w:space="0"/>
              <w:right w:val="single" w:color="auto" w:sz="4" w:space="0"/>
            </w:tcBorders>
            <w:noWrap w:val="0"/>
            <w:vAlign w:val="top"/>
          </w:tcPr>
          <w:p w14:paraId="6E84EECC">
            <w:pPr>
              <w:shd w:val="clear"/>
              <w:snapToGrid w:val="0"/>
              <w:spacing w:line="240" w:lineRule="exact"/>
              <w:jc w:val="left"/>
              <w:rPr>
                <w:rFonts w:hint="eastAsia" w:ascii="宋体" w:hAnsi="宋体"/>
                <w:color w:val="auto"/>
                <w:sz w:val="24"/>
                <w:highlight w:val="none"/>
              </w:rPr>
            </w:pPr>
          </w:p>
        </w:tc>
        <w:tc>
          <w:tcPr>
            <w:tcW w:w="2754" w:type="dxa"/>
            <w:tcBorders>
              <w:top w:val="single" w:color="auto" w:sz="4" w:space="0"/>
              <w:left w:val="single" w:color="auto" w:sz="4" w:space="0"/>
              <w:bottom w:val="single" w:color="auto" w:sz="4" w:space="0"/>
              <w:right w:val="single" w:color="auto" w:sz="4" w:space="0"/>
            </w:tcBorders>
            <w:noWrap w:val="0"/>
            <w:vAlign w:val="top"/>
          </w:tcPr>
          <w:p w14:paraId="04A61FD8">
            <w:pPr>
              <w:shd w:val="clear"/>
              <w:snapToGrid w:val="0"/>
              <w:spacing w:line="240" w:lineRule="exact"/>
              <w:jc w:val="left"/>
              <w:rPr>
                <w:rFonts w:hint="eastAsia" w:ascii="宋体" w:hAnsi="宋体"/>
                <w:color w:val="auto"/>
                <w:sz w:val="24"/>
                <w:highlight w:val="none"/>
              </w:rPr>
            </w:pPr>
          </w:p>
        </w:tc>
        <w:tc>
          <w:tcPr>
            <w:tcW w:w="1740" w:type="dxa"/>
            <w:tcBorders>
              <w:top w:val="single" w:color="auto" w:sz="4" w:space="0"/>
              <w:left w:val="single" w:color="auto" w:sz="4" w:space="0"/>
              <w:bottom w:val="single" w:color="auto" w:sz="4" w:space="0"/>
              <w:right w:val="single" w:color="auto" w:sz="4" w:space="0"/>
            </w:tcBorders>
            <w:noWrap w:val="0"/>
            <w:vAlign w:val="top"/>
          </w:tcPr>
          <w:p w14:paraId="5235B3D4">
            <w:pPr>
              <w:shd w:val="clear"/>
              <w:snapToGrid w:val="0"/>
              <w:spacing w:line="240" w:lineRule="exact"/>
              <w:jc w:val="left"/>
              <w:rPr>
                <w:rFonts w:hint="eastAsia" w:ascii="宋体" w:hAnsi="宋体"/>
                <w:color w:val="auto"/>
                <w:sz w:val="24"/>
                <w:highlight w:val="none"/>
              </w:rPr>
            </w:pPr>
          </w:p>
        </w:tc>
        <w:tc>
          <w:tcPr>
            <w:tcW w:w="2250" w:type="dxa"/>
            <w:tcBorders>
              <w:top w:val="single" w:color="auto" w:sz="4" w:space="0"/>
              <w:left w:val="single" w:color="auto" w:sz="4" w:space="0"/>
              <w:bottom w:val="single" w:color="auto" w:sz="4" w:space="0"/>
              <w:right w:val="single" w:color="auto" w:sz="4" w:space="0"/>
            </w:tcBorders>
            <w:noWrap w:val="0"/>
            <w:vAlign w:val="top"/>
          </w:tcPr>
          <w:p w14:paraId="734006D5">
            <w:pPr>
              <w:shd w:val="clear"/>
              <w:snapToGrid w:val="0"/>
              <w:spacing w:line="240" w:lineRule="exact"/>
              <w:jc w:val="left"/>
              <w:rPr>
                <w:rFonts w:hint="eastAsia" w:ascii="宋体" w:hAnsi="宋体"/>
                <w:color w:val="auto"/>
                <w:sz w:val="24"/>
                <w:highlight w:val="none"/>
              </w:rPr>
            </w:pPr>
          </w:p>
        </w:tc>
      </w:tr>
      <w:tr w14:paraId="68A6DA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noWrap w:val="0"/>
            <w:vAlign w:val="top"/>
          </w:tcPr>
          <w:p w14:paraId="33C818F0">
            <w:pPr>
              <w:shd w:val="clear"/>
              <w:snapToGrid w:val="0"/>
              <w:spacing w:before="50" w:after="165" w:afterLines="50" w:line="400" w:lineRule="exact"/>
              <w:jc w:val="left"/>
              <w:rPr>
                <w:rFonts w:hint="eastAsia" w:ascii="宋体" w:hAnsi="宋体"/>
                <w:color w:val="auto"/>
                <w:sz w:val="24"/>
                <w:highlight w:val="none"/>
              </w:rPr>
            </w:pPr>
          </w:p>
        </w:tc>
        <w:tc>
          <w:tcPr>
            <w:tcW w:w="2754" w:type="dxa"/>
            <w:tcBorders>
              <w:top w:val="single" w:color="auto" w:sz="4" w:space="0"/>
              <w:left w:val="single" w:color="auto" w:sz="4" w:space="0"/>
              <w:bottom w:val="single" w:color="auto" w:sz="4" w:space="0"/>
              <w:right w:val="single" w:color="auto" w:sz="4" w:space="0"/>
            </w:tcBorders>
            <w:noWrap w:val="0"/>
            <w:vAlign w:val="top"/>
          </w:tcPr>
          <w:p w14:paraId="067DB529">
            <w:pPr>
              <w:shd w:val="clear"/>
              <w:snapToGrid w:val="0"/>
              <w:spacing w:before="50" w:after="165" w:afterLines="50" w:line="400" w:lineRule="exact"/>
              <w:jc w:val="left"/>
              <w:rPr>
                <w:rFonts w:hint="eastAsia" w:ascii="宋体" w:hAnsi="宋体"/>
                <w:color w:val="auto"/>
                <w:sz w:val="24"/>
                <w:highlight w:val="none"/>
              </w:rPr>
            </w:pPr>
          </w:p>
        </w:tc>
        <w:tc>
          <w:tcPr>
            <w:tcW w:w="1740" w:type="dxa"/>
            <w:tcBorders>
              <w:top w:val="single" w:color="auto" w:sz="4" w:space="0"/>
              <w:left w:val="single" w:color="auto" w:sz="4" w:space="0"/>
              <w:bottom w:val="single" w:color="auto" w:sz="4" w:space="0"/>
              <w:right w:val="single" w:color="auto" w:sz="4" w:space="0"/>
            </w:tcBorders>
            <w:noWrap w:val="0"/>
            <w:vAlign w:val="top"/>
          </w:tcPr>
          <w:p w14:paraId="254D1EE8">
            <w:pPr>
              <w:shd w:val="clear"/>
              <w:snapToGrid w:val="0"/>
              <w:spacing w:before="50" w:after="165" w:afterLines="50" w:line="400" w:lineRule="exact"/>
              <w:jc w:val="left"/>
              <w:rPr>
                <w:rFonts w:hint="eastAsia" w:ascii="宋体" w:hAnsi="宋体"/>
                <w:color w:val="auto"/>
                <w:sz w:val="24"/>
                <w:highlight w:val="none"/>
              </w:rPr>
            </w:pPr>
          </w:p>
        </w:tc>
        <w:tc>
          <w:tcPr>
            <w:tcW w:w="2250" w:type="dxa"/>
            <w:tcBorders>
              <w:top w:val="single" w:color="auto" w:sz="4" w:space="0"/>
              <w:left w:val="single" w:color="auto" w:sz="4" w:space="0"/>
              <w:bottom w:val="single" w:color="auto" w:sz="4" w:space="0"/>
              <w:right w:val="single" w:color="auto" w:sz="4" w:space="0"/>
            </w:tcBorders>
            <w:noWrap w:val="0"/>
            <w:vAlign w:val="top"/>
          </w:tcPr>
          <w:p w14:paraId="1120E863">
            <w:pPr>
              <w:shd w:val="clear"/>
              <w:snapToGrid w:val="0"/>
              <w:spacing w:before="50" w:after="165" w:afterLines="50" w:line="400" w:lineRule="exact"/>
              <w:jc w:val="left"/>
              <w:rPr>
                <w:rFonts w:hint="eastAsia" w:ascii="宋体" w:hAnsi="宋体"/>
                <w:color w:val="auto"/>
                <w:sz w:val="24"/>
                <w:highlight w:val="none"/>
              </w:rPr>
            </w:pPr>
          </w:p>
        </w:tc>
      </w:tr>
      <w:tr w14:paraId="51F080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2628" w:type="dxa"/>
            <w:tcBorders>
              <w:top w:val="single" w:color="auto" w:sz="4" w:space="0"/>
              <w:left w:val="single" w:color="auto" w:sz="4" w:space="0"/>
              <w:bottom w:val="single" w:color="auto" w:sz="4" w:space="0"/>
              <w:right w:val="single" w:color="auto" w:sz="4" w:space="0"/>
            </w:tcBorders>
            <w:noWrap w:val="0"/>
            <w:vAlign w:val="top"/>
          </w:tcPr>
          <w:p w14:paraId="1219E807">
            <w:pPr>
              <w:shd w:val="clear"/>
              <w:snapToGrid w:val="0"/>
              <w:spacing w:before="50" w:after="165" w:afterLines="50" w:line="400" w:lineRule="exact"/>
              <w:jc w:val="left"/>
              <w:rPr>
                <w:rFonts w:hint="eastAsia" w:ascii="宋体" w:hAnsi="宋体"/>
                <w:color w:val="auto"/>
                <w:sz w:val="24"/>
                <w:highlight w:val="none"/>
              </w:rPr>
            </w:pPr>
          </w:p>
        </w:tc>
        <w:tc>
          <w:tcPr>
            <w:tcW w:w="2754" w:type="dxa"/>
            <w:tcBorders>
              <w:top w:val="single" w:color="auto" w:sz="4" w:space="0"/>
              <w:left w:val="single" w:color="auto" w:sz="4" w:space="0"/>
              <w:bottom w:val="single" w:color="auto" w:sz="4" w:space="0"/>
              <w:right w:val="single" w:color="auto" w:sz="4" w:space="0"/>
            </w:tcBorders>
            <w:noWrap w:val="0"/>
            <w:vAlign w:val="top"/>
          </w:tcPr>
          <w:p w14:paraId="06D80126">
            <w:pPr>
              <w:shd w:val="clear"/>
              <w:snapToGrid w:val="0"/>
              <w:spacing w:before="50" w:after="165" w:afterLines="50" w:line="400" w:lineRule="exact"/>
              <w:jc w:val="left"/>
              <w:rPr>
                <w:rFonts w:hint="eastAsia" w:ascii="宋体" w:hAnsi="宋体"/>
                <w:color w:val="auto"/>
                <w:sz w:val="24"/>
                <w:highlight w:val="none"/>
              </w:rPr>
            </w:pPr>
          </w:p>
        </w:tc>
        <w:tc>
          <w:tcPr>
            <w:tcW w:w="1740" w:type="dxa"/>
            <w:tcBorders>
              <w:top w:val="single" w:color="auto" w:sz="4" w:space="0"/>
              <w:left w:val="single" w:color="auto" w:sz="4" w:space="0"/>
              <w:bottom w:val="single" w:color="auto" w:sz="4" w:space="0"/>
              <w:right w:val="single" w:color="auto" w:sz="4" w:space="0"/>
            </w:tcBorders>
            <w:noWrap w:val="0"/>
            <w:vAlign w:val="top"/>
          </w:tcPr>
          <w:p w14:paraId="4F857C22">
            <w:pPr>
              <w:shd w:val="clear"/>
              <w:snapToGrid w:val="0"/>
              <w:spacing w:before="50" w:after="165" w:afterLines="50" w:line="400" w:lineRule="exact"/>
              <w:jc w:val="left"/>
              <w:rPr>
                <w:rFonts w:hint="eastAsia" w:ascii="宋体" w:hAnsi="宋体"/>
                <w:color w:val="auto"/>
                <w:sz w:val="24"/>
                <w:highlight w:val="none"/>
              </w:rPr>
            </w:pPr>
          </w:p>
        </w:tc>
        <w:tc>
          <w:tcPr>
            <w:tcW w:w="2250" w:type="dxa"/>
            <w:tcBorders>
              <w:top w:val="single" w:color="auto" w:sz="4" w:space="0"/>
              <w:left w:val="single" w:color="auto" w:sz="4" w:space="0"/>
              <w:bottom w:val="single" w:color="auto" w:sz="4" w:space="0"/>
              <w:right w:val="single" w:color="auto" w:sz="4" w:space="0"/>
            </w:tcBorders>
            <w:noWrap w:val="0"/>
            <w:vAlign w:val="top"/>
          </w:tcPr>
          <w:p w14:paraId="4FF782C8">
            <w:pPr>
              <w:shd w:val="clear"/>
              <w:snapToGrid w:val="0"/>
              <w:spacing w:before="50" w:after="165" w:afterLines="50" w:line="400" w:lineRule="exact"/>
              <w:jc w:val="left"/>
              <w:rPr>
                <w:rFonts w:hint="eastAsia" w:ascii="宋体" w:hAnsi="宋体"/>
                <w:color w:val="auto"/>
                <w:sz w:val="24"/>
                <w:highlight w:val="none"/>
              </w:rPr>
            </w:pPr>
          </w:p>
        </w:tc>
      </w:tr>
      <w:tr w14:paraId="1E3141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noWrap w:val="0"/>
            <w:vAlign w:val="top"/>
          </w:tcPr>
          <w:p w14:paraId="79B43A5E">
            <w:pPr>
              <w:shd w:val="clear"/>
              <w:snapToGrid w:val="0"/>
              <w:spacing w:before="50" w:after="165" w:afterLines="50" w:line="400" w:lineRule="exact"/>
              <w:jc w:val="left"/>
              <w:rPr>
                <w:rFonts w:hint="eastAsia" w:ascii="宋体" w:hAnsi="宋体"/>
                <w:color w:val="auto"/>
                <w:sz w:val="24"/>
                <w:highlight w:val="none"/>
              </w:rPr>
            </w:pPr>
          </w:p>
        </w:tc>
        <w:tc>
          <w:tcPr>
            <w:tcW w:w="2754" w:type="dxa"/>
            <w:tcBorders>
              <w:top w:val="single" w:color="auto" w:sz="4" w:space="0"/>
              <w:left w:val="single" w:color="auto" w:sz="4" w:space="0"/>
              <w:bottom w:val="single" w:color="auto" w:sz="4" w:space="0"/>
              <w:right w:val="single" w:color="auto" w:sz="4" w:space="0"/>
            </w:tcBorders>
            <w:noWrap w:val="0"/>
            <w:vAlign w:val="top"/>
          </w:tcPr>
          <w:p w14:paraId="0740E64E">
            <w:pPr>
              <w:shd w:val="clear"/>
              <w:snapToGrid w:val="0"/>
              <w:spacing w:before="50" w:after="165" w:afterLines="50" w:line="400" w:lineRule="exact"/>
              <w:jc w:val="left"/>
              <w:rPr>
                <w:rFonts w:hint="eastAsia" w:ascii="宋体" w:hAnsi="宋体"/>
                <w:color w:val="auto"/>
                <w:sz w:val="24"/>
                <w:highlight w:val="none"/>
              </w:rPr>
            </w:pPr>
          </w:p>
        </w:tc>
        <w:tc>
          <w:tcPr>
            <w:tcW w:w="1740" w:type="dxa"/>
            <w:tcBorders>
              <w:top w:val="single" w:color="auto" w:sz="4" w:space="0"/>
              <w:left w:val="single" w:color="auto" w:sz="4" w:space="0"/>
              <w:bottom w:val="single" w:color="auto" w:sz="4" w:space="0"/>
              <w:right w:val="single" w:color="auto" w:sz="4" w:space="0"/>
            </w:tcBorders>
            <w:noWrap w:val="0"/>
            <w:vAlign w:val="top"/>
          </w:tcPr>
          <w:p w14:paraId="3C19CC02">
            <w:pPr>
              <w:shd w:val="clear"/>
              <w:snapToGrid w:val="0"/>
              <w:spacing w:before="50" w:after="165" w:afterLines="50" w:line="400" w:lineRule="exact"/>
              <w:jc w:val="left"/>
              <w:rPr>
                <w:rFonts w:hint="eastAsia" w:ascii="宋体" w:hAnsi="宋体"/>
                <w:color w:val="auto"/>
                <w:sz w:val="24"/>
                <w:highlight w:val="none"/>
              </w:rPr>
            </w:pPr>
          </w:p>
        </w:tc>
        <w:tc>
          <w:tcPr>
            <w:tcW w:w="2250" w:type="dxa"/>
            <w:tcBorders>
              <w:top w:val="single" w:color="auto" w:sz="4" w:space="0"/>
              <w:left w:val="single" w:color="auto" w:sz="4" w:space="0"/>
              <w:bottom w:val="single" w:color="auto" w:sz="4" w:space="0"/>
              <w:right w:val="single" w:color="auto" w:sz="4" w:space="0"/>
            </w:tcBorders>
            <w:noWrap w:val="0"/>
            <w:vAlign w:val="top"/>
          </w:tcPr>
          <w:p w14:paraId="1BFB6563">
            <w:pPr>
              <w:shd w:val="clear"/>
              <w:snapToGrid w:val="0"/>
              <w:spacing w:before="50" w:after="165" w:afterLines="50" w:line="400" w:lineRule="exact"/>
              <w:jc w:val="left"/>
              <w:rPr>
                <w:rFonts w:hint="eastAsia" w:ascii="宋体" w:hAnsi="宋体"/>
                <w:color w:val="auto"/>
                <w:sz w:val="24"/>
                <w:highlight w:val="none"/>
              </w:rPr>
            </w:pPr>
          </w:p>
        </w:tc>
      </w:tr>
      <w:tr w14:paraId="06E9F5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noWrap w:val="0"/>
            <w:vAlign w:val="top"/>
          </w:tcPr>
          <w:p w14:paraId="632F186C">
            <w:pPr>
              <w:shd w:val="clear"/>
              <w:snapToGrid w:val="0"/>
              <w:spacing w:before="50" w:after="165" w:afterLines="50" w:line="400" w:lineRule="exact"/>
              <w:jc w:val="left"/>
              <w:rPr>
                <w:rFonts w:hint="eastAsia" w:ascii="宋体" w:hAnsi="宋体"/>
                <w:color w:val="auto"/>
                <w:sz w:val="24"/>
                <w:highlight w:val="none"/>
              </w:rPr>
            </w:pPr>
          </w:p>
        </w:tc>
        <w:tc>
          <w:tcPr>
            <w:tcW w:w="2754" w:type="dxa"/>
            <w:tcBorders>
              <w:top w:val="single" w:color="auto" w:sz="4" w:space="0"/>
              <w:left w:val="single" w:color="auto" w:sz="4" w:space="0"/>
              <w:bottom w:val="single" w:color="auto" w:sz="4" w:space="0"/>
              <w:right w:val="single" w:color="auto" w:sz="4" w:space="0"/>
            </w:tcBorders>
            <w:noWrap w:val="0"/>
            <w:vAlign w:val="top"/>
          </w:tcPr>
          <w:p w14:paraId="3D7A508F">
            <w:pPr>
              <w:shd w:val="clear"/>
              <w:snapToGrid w:val="0"/>
              <w:spacing w:before="50" w:after="165" w:afterLines="50" w:line="400" w:lineRule="exact"/>
              <w:jc w:val="left"/>
              <w:rPr>
                <w:rFonts w:hint="eastAsia" w:ascii="宋体" w:hAnsi="宋体"/>
                <w:color w:val="auto"/>
                <w:sz w:val="24"/>
                <w:highlight w:val="none"/>
              </w:rPr>
            </w:pPr>
          </w:p>
        </w:tc>
        <w:tc>
          <w:tcPr>
            <w:tcW w:w="1740" w:type="dxa"/>
            <w:tcBorders>
              <w:top w:val="single" w:color="auto" w:sz="4" w:space="0"/>
              <w:left w:val="single" w:color="auto" w:sz="4" w:space="0"/>
              <w:bottom w:val="single" w:color="auto" w:sz="4" w:space="0"/>
              <w:right w:val="single" w:color="auto" w:sz="4" w:space="0"/>
            </w:tcBorders>
            <w:noWrap w:val="0"/>
            <w:vAlign w:val="top"/>
          </w:tcPr>
          <w:p w14:paraId="61AF82EF">
            <w:pPr>
              <w:shd w:val="clear"/>
              <w:snapToGrid w:val="0"/>
              <w:spacing w:before="50" w:after="165" w:afterLines="50" w:line="400" w:lineRule="exact"/>
              <w:jc w:val="left"/>
              <w:rPr>
                <w:rFonts w:hint="eastAsia" w:ascii="宋体" w:hAnsi="宋体"/>
                <w:color w:val="auto"/>
                <w:sz w:val="24"/>
                <w:highlight w:val="none"/>
              </w:rPr>
            </w:pPr>
          </w:p>
        </w:tc>
        <w:tc>
          <w:tcPr>
            <w:tcW w:w="2250" w:type="dxa"/>
            <w:tcBorders>
              <w:top w:val="single" w:color="auto" w:sz="4" w:space="0"/>
              <w:left w:val="single" w:color="auto" w:sz="4" w:space="0"/>
              <w:bottom w:val="single" w:color="auto" w:sz="4" w:space="0"/>
              <w:right w:val="single" w:color="auto" w:sz="4" w:space="0"/>
            </w:tcBorders>
            <w:noWrap w:val="0"/>
            <w:vAlign w:val="top"/>
          </w:tcPr>
          <w:p w14:paraId="0C39DF98">
            <w:pPr>
              <w:shd w:val="clear"/>
              <w:snapToGrid w:val="0"/>
              <w:spacing w:before="50" w:after="165" w:afterLines="50" w:line="400" w:lineRule="exact"/>
              <w:jc w:val="left"/>
              <w:rPr>
                <w:rFonts w:hint="eastAsia" w:ascii="宋体" w:hAnsi="宋体"/>
                <w:color w:val="auto"/>
                <w:sz w:val="24"/>
                <w:highlight w:val="none"/>
              </w:rPr>
            </w:pPr>
          </w:p>
        </w:tc>
      </w:tr>
    </w:tbl>
    <w:p w14:paraId="3F2778C9">
      <w:pPr>
        <w:shd w:val="clear"/>
        <w:spacing w:line="360" w:lineRule="auto"/>
        <w:ind w:left="72"/>
        <w:rPr>
          <w:rFonts w:hint="eastAsia"/>
          <w:color w:val="auto"/>
          <w:szCs w:val="20"/>
          <w:highlight w:val="none"/>
        </w:rPr>
      </w:pPr>
      <w:r>
        <w:rPr>
          <w:rFonts w:hint="eastAsia"/>
          <w:color w:val="auto"/>
          <w:szCs w:val="20"/>
          <w:highlight w:val="none"/>
        </w:rPr>
        <w:t>注：投标人</w:t>
      </w:r>
      <w:r>
        <w:rPr>
          <w:rFonts w:hint="eastAsia"/>
          <w:color w:val="auto"/>
          <w:szCs w:val="20"/>
          <w:highlight w:val="none"/>
          <w:lang w:val="en-US" w:eastAsia="zh-CN"/>
        </w:rPr>
        <w:t>根据评分标准要求附业绩证明材料</w:t>
      </w:r>
      <w:r>
        <w:rPr>
          <w:rFonts w:hint="eastAsia"/>
          <w:color w:val="auto"/>
          <w:szCs w:val="20"/>
          <w:highlight w:val="none"/>
        </w:rPr>
        <w:t>。</w:t>
      </w:r>
    </w:p>
    <w:p w14:paraId="7A7F1D06">
      <w:pPr>
        <w:shd w:val="clear"/>
        <w:snapToGrid w:val="0"/>
        <w:spacing w:line="360" w:lineRule="auto"/>
        <w:ind w:firstLine="4935" w:firstLineChars="2350"/>
        <w:rPr>
          <w:rFonts w:hint="eastAsia" w:hAnsi="宋体"/>
          <w:color w:val="auto"/>
          <w:szCs w:val="21"/>
          <w:highlight w:val="none"/>
        </w:rPr>
      </w:pPr>
      <w:r>
        <w:rPr>
          <w:rFonts w:hAnsi="宋体"/>
          <w:color w:val="auto"/>
          <w:szCs w:val="21"/>
          <w:highlight w:val="none"/>
        </w:rPr>
        <w:t xml:space="preserve"> </w:t>
      </w:r>
    </w:p>
    <w:p w14:paraId="4D68A664">
      <w:pPr>
        <w:shd w:val="clear"/>
        <w:snapToGrid w:val="0"/>
        <w:spacing w:line="360" w:lineRule="auto"/>
        <w:ind w:firstLine="4935" w:firstLineChars="2350"/>
        <w:rPr>
          <w:rFonts w:hint="eastAsia" w:hAnsi="宋体"/>
          <w:color w:val="auto"/>
          <w:szCs w:val="21"/>
          <w:highlight w:val="none"/>
        </w:rPr>
      </w:pPr>
    </w:p>
    <w:p w14:paraId="61AEE591">
      <w:pPr>
        <w:shd w:val="clear"/>
        <w:snapToGrid w:val="0"/>
        <w:spacing w:line="360" w:lineRule="auto"/>
        <w:ind w:firstLine="10080" w:firstLineChars="4800"/>
        <w:rPr>
          <w:rFonts w:hint="eastAsia" w:ascii="宋体" w:hAnsi="宋体" w:eastAsia="宋体" w:cs="宋体"/>
          <w:color w:val="auto"/>
          <w:kern w:val="0"/>
          <w:sz w:val="21"/>
          <w:szCs w:val="21"/>
          <w:highlight w:val="none"/>
        </w:rPr>
      </w:pPr>
      <w:r>
        <w:rPr>
          <w:rFonts w:hAnsi="宋体"/>
          <w:color w:val="auto"/>
          <w:szCs w:val="21"/>
          <w:highlight w:val="none"/>
        </w:rPr>
        <w:t xml:space="preserve"> </w:t>
      </w:r>
      <w:r>
        <w:rPr>
          <w:rFonts w:hint="eastAsia" w:ascii="宋体" w:hAnsi="宋体" w:eastAsia="宋体" w:cs="宋体"/>
          <w:color w:val="auto"/>
          <w:kern w:val="0"/>
          <w:sz w:val="21"/>
          <w:szCs w:val="21"/>
          <w:highlight w:val="none"/>
          <w:lang w:val="zh-CN"/>
        </w:rPr>
        <w:t>投标人名称(电子签章)：</w:t>
      </w:r>
    </w:p>
    <w:p w14:paraId="69EEBBA2">
      <w:pPr>
        <w:shd w:val="clear"/>
        <w:snapToGrid w:val="0"/>
        <w:spacing w:line="360" w:lineRule="auto"/>
        <w:rPr>
          <w:rFonts w:hint="eastAsia" w:ascii="宋体" w:hAnsi="宋体" w:eastAsia="宋体" w:cs="宋体"/>
          <w:color w:val="auto"/>
          <w:kern w:val="0"/>
          <w:sz w:val="21"/>
          <w:szCs w:val="21"/>
          <w:highlight w:val="none"/>
          <w:lang w:val="zh-CN"/>
        </w:rPr>
        <w:sectPr>
          <w:pgSz w:w="11905" w:h="16838"/>
          <w:pgMar w:top="1134" w:right="1134" w:bottom="1134" w:left="1134" w:header="720" w:footer="720" w:gutter="0"/>
          <w:cols w:space="0" w:num="1"/>
          <w:rtlGutter w:val="0"/>
          <w:docGrid w:type="lines" w:linePitch="331" w:charSpace="0"/>
        </w:sectPr>
      </w:pPr>
      <w:r>
        <w:rPr>
          <w:rFonts w:hint="eastAsia" w:ascii="宋体" w:hAnsi="宋体" w:eastAsia="宋体" w:cs="宋体"/>
          <w:color w:val="auto"/>
          <w:kern w:val="0"/>
          <w:sz w:val="21"/>
          <w:szCs w:val="21"/>
          <w:highlight w:val="none"/>
          <w:lang w:val="zh-CN"/>
        </w:rPr>
        <w:t>日期</w:t>
      </w:r>
      <w:r>
        <w:rPr>
          <w:rFonts w:hint="eastAsia" w:ascii="宋体" w:hAnsi="宋体" w:eastAsia="宋体" w:cs="宋体"/>
          <w:color w:val="auto"/>
          <w:kern w:val="0"/>
          <w:sz w:val="21"/>
          <w:szCs w:val="21"/>
          <w:highlight w:val="none"/>
        </w:rPr>
        <w:t xml:space="preserve">：  年  </w:t>
      </w:r>
      <w:r>
        <w:rPr>
          <w:rFonts w:hint="eastAsia" w:ascii="宋体" w:hAnsi="宋体" w:eastAsia="宋体" w:cs="宋体"/>
          <w:color w:val="auto"/>
          <w:kern w:val="0"/>
          <w:sz w:val="21"/>
          <w:szCs w:val="21"/>
          <w:highlight w:val="none"/>
          <w:lang w:val="zh-CN"/>
        </w:rPr>
        <w:t>月</w:t>
      </w: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lang w:val="zh-CN"/>
        </w:rPr>
        <w:t>日</w:t>
      </w:r>
    </w:p>
    <w:p w14:paraId="309E78B2">
      <w:pPr>
        <w:shd w:val="clear"/>
        <w:snapToGrid w:val="0"/>
        <w:spacing w:before="165" w:beforeLines="50" w:after="50"/>
        <w:ind w:firstLine="602" w:firstLineChars="200"/>
        <w:jc w:val="center"/>
        <w:rPr>
          <w:rFonts w:hint="eastAsia"/>
          <w:b/>
          <w:bCs/>
          <w:color w:val="auto"/>
          <w:sz w:val="30"/>
          <w:szCs w:val="30"/>
          <w:highlight w:val="none"/>
        </w:rPr>
      </w:pPr>
      <w:bookmarkStart w:id="27" w:name="_Toc171344367"/>
      <w:r>
        <w:rPr>
          <w:rFonts w:hint="eastAsia"/>
          <w:b/>
          <w:bCs/>
          <w:color w:val="auto"/>
          <w:sz w:val="30"/>
          <w:szCs w:val="30"/>
          <w:highlight w:val="none"/>
        </w:rPr>
        <w:t>七、其他商务文件或说明</w:t>
      </w:r>
    </w:p>
    <w:p w14:paraId="3C38B259">
      <w:pPr>
        <w:shd w:val="clear"/>
        <w:spacing w:line="360" w:lineRule="auto"/>
        <w:ind w:firstLine="4048" w:firstLineChars="1687"/>
        <w:rPr>
          <w:rFonts w:hint="eastAsia" w:ascii="仿宋_GB2312" w:hAnsi="仿宋" w:eastAsia="仿宋_GB2312" w:cs="仿宋_GB2312"/>
          <w:color w:val="auto"/>
          <w:kern w:val="0"/>
          <w:sz w:val="24"/>
          <w:highlight w:val="none"/>
        </w:rPr>
      </w:pPr>
      <w:r>
        <w:rPr>
          <w:rFonts w:hint="eastAsia" w:ascii="宋体" w:hAnsi="宋体"/>
          <w:color w:val="auto"/>
          <w:sz w:val="24"/>
          <w:highlight w:val="none"/>
        </w:rPr>
        <w:t>（格式自拟）</w:t>
      </w:r>
    </w:p>
    <w:p w14:paraId="3C091DCA">
      <w:pPr>
        <w:shd w:val="clear"/>
        <w:snapToGrid w:val="0"/>
        <w:spacing w:line="360" w:lineRule="auto"/>
        <w:ind w:firstLine="4935" w:firstLineChars="2350"/>
        <w:rPr>
          <w:rFonts w:hint="eastAsia" w:hAnsi="宋体"/>
          <w:color w:val="auto"/>
          <w:szCs w:val="21"/>
          <w:highlight w:val="none"/>
        </w:rPr>
      </w:pPr>
      <w:r>
        <w:rPr>
          <w:rFonts w:hAnsi="宋体"/>
          <w:color w:val="auto"/>
          <w:szCs w:val="21"/>
          <w:highlight w:val="none"/>
        </w:rPr>
        <w:t xml:space="preserve"> </w:t>
      </w:r>
    </w:p>
    <w:p w14:paraId="002B2FC7">
      <w:pPr>
        <w:shd w:val="clear"/>
        <w:snapToGrid w:val="0"/>
        <w:spacing w:line="360" w:lineRule="auto"/>
        <w:ind w:firstLine="4935" w:firstLineChars="2350"/>
        <w:rPr>
          <w:rFonts w:hint="eastAsia" w:hAnsi="宋体"/>
          <w:color w:val="auto"/>
          <w:szCs w:val="21"/>
          <w:highlight w:val="none"/>
        </w:rPr>
      </w:pPr>
    </w:p>
    <w:p w14:paraId="3FB73C3E">
      <w:pPr>
        <w:shd w:val="clear"/>
        <w:snapToGrid w:val="0"/>
        <w:spacing w:line="360" w:lineRule="auto"/>
        <w:ind w:firstLine="4935" w:firstLineChars="2350"/>
        <w:rPr>
          <w:rFonts w:hint="eastAsia" w:hAnsi="宋体"/>
          <w:color w:val="auto"/>
          <w:szCs w:val="21"/>
          <w:highlight w:val="none"/>
        </w:rPr>
      </w:pPr>
    </w:p>
    <w:p w14:paraId="761F6641">
      <w:pPr>
        <w:shd w:val="clear"/>
        <w:snapToGrid w:val="0"/>
        <w:spacing w:line="360" w:lineRule="auto"/>
        <w:ind w:firstLine="4935" w:firstLineChars="2350"/>
        <w:rPr>
          <w:rFonts w:hint="eastAsia" w:hAnsi="宋体"/>
          <w:color w:val="auto"/>
          <w:szCs w:val="21"/>
          <w:highlight w:val="none"/>
        </w:rPr>
      </w:pPr>
    </w:p>
    <w:p w14:paraId="4752D371">
      <w:pPr>
        <w:shd w:val="clear"/>
        <w:snapToGrid w:val="0"/>
        <w:spacing w:line="360" w:lineRule="auto"/>
        <w:ind w:firstLine="4935" w:firstLineChars="235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投标人名称(电子签章)：</w:t>
      </w:r>
    </w:p>
    <w:p w14:paraId="6F75BC17">
      <w:pPr>
        <w:shd w:val="clear"/>
        <w:snapToGrid w:val="0"/>
        <w:spacing w:line="360" w:lineRule="auto"/>
        <w:ind w:firstLine="5145" w:firstLineChars="24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  年  月   日</w:t>
      </w:r>
    </w:p>
    <w:p w14:paraId="71E0723D">
      <w:pPr>
        <w:pStyle w:val="3"/>
        <w:shd w:val="clear"/>
        <w:jc w:val="center"/>
        <w:rPr>
          <w:rFonts w:hint="eastAsia" w:ascii="宋体" w:hAnsi="宋体"/>
          <w:b w:val="0"/>
          <w:bCs w:val="0"/>
          <w:color w:val="auto"/>
          <w:sz w:val="28"/>
          <w:szCs w:val="28"/>
          <w:highlight w:val="none"/>
        </w:rPr>
      </w:pPr>
      <w:r>
        <w:rPr>
          <w:rFonts w:hint="eastAsia" w:hAnsi="宋体"/>
          <w:color w:val="auto"/>
          <w:szCs w:val="21"/>
          <w:highlight w:val="none"/>
        </w:rPr>
        <w:br w:type="page"/>
      </w:r>
      <w:r>
        <w:rPr>
          <w:rFonts w:hint="eastAsia" w:ascii="宋体" w:hAnsi="宋体" w:eastAsia="宋体" w:cs="宋体"/>
          <w:b/>
          <w:bCs/>
          <w:color w:val="auto"/>
          <w:sz w:val="30"/>
          <w:szCs w:val="30"/>
          <w:highlight w:val="none"/>
        </w:rPr>
        <w:t>第四节 技术文件格式</w:t>
      </w:r>
      <w:bookmarkEnd w:id="27"/>
    </w:p>
    <w:p w14:paraId="52CEEDC2">
      <w:pPr>
        <w:shd w:val="clear"/>
        <w:snapToGrid w:val="0"/>
        <w:spacing w:before="165"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电子投标文件</w:t>
      </w:r>
    </w:p>
    <w:p w14:paraId="5502F9E6">
      <w:pPr>
        <w:shd w:val="clear"/>
        <w:snapToGrid w:val="0"/>
        <w:spacing w:before="165" w:beforeLines="50" w:after="50"/>
        <w:rPr>
          <w:rFonts w:hint="eastAsia" w:ascii="宋体" w:hAnsi="宋体"/>
          <w:color w:val="auto"/>
          <w:sz w:val="24"/>
          <w:szCs w:val="20"/>
          <w:highlight w:val="none"/>
        </w:rPr>
      </w:pPr>
    </w:p>
    <w:p w14:paraId="2C09208E">
      <w:pPr>
        <w:shd w:val="clear"/>
        <w:snapToGrid w:val="0"/>
        <w:spacing w:before="165" w:beforeLines="50" w:after="50"/>
        <w:jc w:val="center"/>
        <w:rPr>
          <w:rFonts w:hint="eastAsia" w:ascii="宋体" w:hAnsi="宋体"/>
          <w:b/>
          <w:bCs/>
          <w:color w:val="auto"/>
          <w:sz w:val="32"/>
          <w:szCs w:val="32"/>
          <w:highlight w:val="none"/>
        </w:rPr>
      </w:pPr>
    </w:p>
    <w:p w14:paraId="608E2855">
      <w:pPr>
        <w:shd w:val="clear"/>
        <w:snapToGrid w:val="0"/>
        <w:spacing w:before="165" w:beforeLines="50" w:after="50"/>
        <w:jc w:val="center"/>
        <w:rPr>
          <w:rFonts w:hint="eastAsia" w:ascii="宋体" w:hAnsi="宋体"/>
          <w:b/>
          <w:bCs/>
          <w:color w:val="auto"/>
          <w:sz w:val="32"/>
          <w:szCs w:val="32"/>
          <w:highlight w:val="none"/>
        </w:rPr>
      </w:pPr>
    </w:p>
    <w:p w14:paraId="3635C617">
      <w:pPr>
        <w:shd w:val="clear"/>
        <w:snapToGrid w:val="0"/>
        <w:spacing w:before="165" w:beforeLines="50" w:after="50"/>
        <w:jc w:val="center"/>
        <w:rPr>
          <w:rFonts w:hint="eastAsia" w:ascii="宋体" w:hAnsi="宋体"/>
          <w:b/>
          <w:bCs/>
          <w:color w:val="auto"/>
          <w:sz w:val="32"/>
          <w:szCs w:val="32"/>
          <w:highlight w:val="none"/>
        </w:rPr>
      </w:pPr>
    </w:p>
    <w:p w14:paraId="3CE11B15">
      <w:pPr>
        <w:shd w:val="clear"/>
        <w:snapToGrid w:val="0"/>
        <w:spacing w:before="165" w:beforeLines="50" w:after="50"/>
        <w:jc w:val="center"/>
        <w:rPr>
          <w:rFonts w:hint="eastAsia" w:ascii="宋体" w:hAnsi="宋体"/>
          <w:b/>
          <w:bCs/>
          <w:color w:val="auto"/>
          <w:sz w:val="32"/>
          <w:szCs w:val="32"/>
          <w:highlight w:val="none"/>
        </w:rPr>
      </w:pPr>
      <w:r>
        <w:rPr>
          <w:rFonts w:hint="eastAsia" w:ascii="宋体" w:hAnsi="宋体"/>
          <w:b/>
          <w:bCs/>
          <w:color w:val="auto"/>
          <w:sz w:val="32"/>
          <w:szCs w:val="32"/>
          <w:highlight w:val="none"/>
        </w:rPr>
        <w:t>技术文件（封面）</w:t>
      </w:r>
    </w:p>
    <w:p w14:paraId="34A2149E">
      <w:pPr>
        <w:shd w:val="clear"/>
        <w:snapToGrid w:val="0"/>
        <w:spacing w:before="165" w:beforeLines="50" w:after="50"/>
        <w:rPr>
          <w:rFonts w:hint="eastAsia" w:ascii="宋体" w:hAnsi="宋体"/>
          <w:bCs/>
          <w:color w:val="auto"/>
          <w:sz w:val="24"/>
          <w:szCs w:val="20"/>
          <w:highlight w:val="none"/>
        </w:rPr>
      </w:pPr>
    </w:p>
    <w:p w14:paraId="595E16FC">
      <w:pPr>
        <w:shd w:val="clear"/>
        <w:snapToGrid w:val="0"/>
        <w:spacing w:before="165" w:beforeLines="50" w:after="50" w:line="400" w:lineRule="exact"/>
        <w:ind w:firstLine="360" w:firstLineChars="150"/>
        <w:rPr>
          <w:rFonts w:hint="eastAsia" w:ascii="宋体" w:hAnsi="宋体"/>
          <w:bCs/>
          <w:color w:val="auto"/>
          <w:sz w:val="24"/>
          <w:szCs w:val="20"/>
          <w:highlight w:val="none"/>
        </w:rPr>
      </w:pPr>
      <w:r>
        <w:rPr>
          <w:rFonts w:hint="eastAsia" w:ascii="宋体" w:hAnsi="宋体"/>
          <w:bCs/>
          <w:color w:val="auto"/>
          <w:sz w:val="24"/>
          <w:highlight w:val="none"/>
        </w:rPr>
        <w:t>项目名称：</w:t>
      </w:r>
    </w:p>
    <w:p w14:paraId="67BE2B51">
      <w:pPr>
        <w:shd w:val="clear"/>
        <w:snapToGrid w:val="0"/>
        <w:spacing w:before="165" w:beforeLines="50"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项目编号：</w:t>
      </w:r>
    </w:p>
    <w:p w14:paraId="2F1540C3">
      <w:pPr>
        <w:shd w:val="clear"/>
        <w:snapToGrid w:val="0"/>
        <w:spacing w:before="165" w:beforeLines="50"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所投分标：</w:t>
      </w:r>
    </w:p>
    <w:p w14:paraId="64444DF9">
      <w:pPr>
        <w:shd w:val="clear"/>
        <w:snapToGrid w:val="0"/>
        <w:spacing w:before="165" w:beforeLines="50"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投标人名称：</w:t>
      </w:r>
    </w:p>
    <w:p w14:paraId="7CB0C6BA">
      <w:pPr>
        <w:shd w:val="clear"/>
        <w:snapToGrid w:val="0"/>
        <w:spacing w:before="165" w:beforeLines="50"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投标人地址：</w:t>
      </w:r>
    </w:p>
    <w:p w14:paraId="63971547">
      <w:pPr>
        <w:shd w:val="clear"/>
        <w:snapToGrid w:val="0"/>
        <w:spacing w:before="165" w:beforeLines="50" w:after="50"/>
        <w:ind w:firstLine="645"/>
        <w:jc w:val="center"/>
        <w:rPr>
          <w:rFonts w:hint="eastAsia" w:ascii="宋体" w:hAnsi="宋体"/>
          <w:color w:val="auto"/>
          <w:sz w:val="24"/>
          <w:highlight w:val="none"/>
        </w:rPr>
      </w:pPr>
      <w:r>
        <w:rPr>
          <w:rFonts w:hint="eastAsia" w:ascii="宋体" w:hAnsi="宋体"/>
          <w:color w:val="auto"/>
          <w:sz w:val="24"/>
          <w:highlight w:val="none"/>
        </w:rPr>
        <w:t xml:space="preserve">                        年    月    日</w:t>
      </w:r>
    </w:p>
    <w:p w14:paraId="43C2E939">
      <w:pPr>
        <w:shd w:val="clear"/>
        <w:snapToGrid w:val="0"/>
        <w:spacing w:before="165" w:beforeLines="50" w:after="50"/>
        <w:ind w:firstLine="645"/>
        <w:jc w:val="center"/>
        <w:rPr>
          <w:rFonts w:hint="eastAsia" w:ascii="宋体" w:hAnsi="宋体"/>
          <w:color w:val="auto"/>
          <w:sz w:val="24"/>
          <w:szCs w:val="20"/>
          <w:highlight w:val="none"/>
        </w:rPr>
      </w:pPr>
    </w:p>
    <w:p w14:paraId="3B90C3F7">
      <w:pPr>
        <w:shd w:val="clear"/>
        <w:jc w:val="center"/>
        <w:rPr>
          <w:rFonts w:hint="eastAsia" w:ascii="仿宋_GB2312" w:hAnsi="仿宋" w:eastAsia="仿宋_GB2312" w:cs="仿宋_GB2312"/>
          <w:b/>
          <w:color w:val="auto"/>
          <w:kern w:val="0"/>
          <w:sz w:val="28"/>
          <w:szCs w:val="28"/>
          <w:highlight w:val="none"/>
        </w:rPr>
      </w:pPr>
      <w:r>
        <w:rPr>
          <w:rFonts w:ascii="宋体" w:hAnsi="宋体"/>
          <w:b/>
          <w:bCs/>
          <w:color w:val="auto"/>
          <w:sz w:val="24"/>
          <w:highlight w:val="none"/>
        </w:rPr>
        <w:br w:type="page"/>
      </w:r>
      <w:r>
        <w:rPr>
          <w:rFonts w:hint="eastAsia" w:ascii="仿宋_GB2312" w:hAnsi="仿宋" w:eastAsia="仿宋_GB2312" w:cs="仿宋_GB2312"/>
          <w:b/>
          <w:color w:val="auto"/>
          <w:kern w:val="0"/>
          <w:sz w:val="28"/>
          <w:szCs w:val="28"/>
          <w:highlight w:val="none"/>
        </w:rPr>
        <w:t>技术文件目录</w:t>
      </w:r>
    </w:p>
    <w:p w14:paraId="47D4EBBC">
      <w:pPr>
        <w:shd w:val="clear"/>
        <w:adjustRightInd w:val="0"/>
        <w:spacing w:line="360" w:lineRule="auto"/>
        <w:ind w:left="2" w:firstLine="480" w:firstLineChars="200"/>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一、</w:t>
      </w:r>
      <w:r>
        <w:rPr>
          <w:rFonts w:hint="eastAsia" w:ascii="仿宋_GB2312" w:hAnsi="仿宋" w:eastAsia="仿宋_GB2312" w:cs="仿宋_GB2312"/>
          <w:color w:val="auto"/>
          <w:sz w:val="24"/>
          <w:highlight w:val="none"/>
          <w:lang w:val="en-US" w:eastAsia="zh-CN"/>
        </w:rPr>
        <w:t>技术服务</w:t>
      </w:r>
      <w:r>
        <w:rPr>
          <w:rFonts w:hint="eastAsia" w:ascii="仿宋_GB2312" w:hAnsi="仿宋" w:eastAsia="仿宋_GB2312" w:cs="仿宋_GB2312"/>
          <w:color w:val="auto"/>
          <w:sz w:val="24"/>
          <w:highlight w:val="none"/>
        </w:rPr>
        <w:t>需求偏离表……………………………</w:t>
      </w:r>
      <w:r>
        <w:rPr>
          <w:rFonts w:hint="eastAsia" w:ascii="仿宋_GB2312" w:hAnsi="仿宋" w:eastAsia="仿宋_GB2312" w:cs="仿宋_GB2312"/>
          <w:color w:val="auto"/>
          <w:sz w:val="24"/>
          <w:highlight w:val="none"/>
          <w:lang w:val="en-US" w:eastAsia="zh-CN"/>
        </w:rPr>
        <w:t xml:space="preserve">  </w:t>
      </w:r>
      <w:r>
        <w:rPr>
          <w:rFonts w:hint="eastAsia" w:ascii="仿宋_GB2312" w:hAnsi="仿宋" w:eastAsia="仿宋_GB2312" w:cs="仿宋_GB2312"/>
          <w:color w:val="auto"/>
          <w:sz w:val="24"/>
          <w:highlight w:val="none"/>
        </w:rPr>
        <w:t>…………………（页码）</w:t>
      </w:r>
    </w:p>
    <w:p w14:paraId="5A7546D4">
      <w:pPr>
        <w:shd w:val="clear"/>
        <w:adjustRightInd w:val="0"/>
        <w:spacing w:line="360" w:lineRule="auto"/>
        <w:ind w:left="2" w:firstLine="480" w:firstLineChars="200"/>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二、</w:t>
      </w:r>
      <w:r>
        <w:rPr>
          <w:rFonts w:hint="eastAsia" w:ascii="仿宋_GB2312" w:hAnsi="仿宋" w:eastAsia="仿宋_GB2312" w:cs="仿宋_GB2312"/>
          <w:color w:val="auto"/>
          <w:sz w:val="24"/>
          <w:highlight w:val="none"/>
          <w:lang w:eastAsia="zh-CN"/>
        </w:rPr>
        <w:t>技术服务方案</w:t>
      </w:r>
      <w:r>
        <w:rPr>
          <w:rFonts w:hint="eastAsia" w:ascii="仿宋_GB2312" w:hAnsi="仿宋" w:eastAsia="仿宋_GB2312" w:cs="仿宋_GB2312"/>
          <w:color w:val="auto"/>
          <w:sz w:val="24"/>
          <w:highlight w:val="none"/>
        </w:rPr>
        <w:t>………………………………………………………………（页码）</w:t>
      </w:r>
    </w:p>
    <w:p w14:paraId="5CF6ADFF">
      <w:pPr>
        <w:shd w:val="clear"/>
        <w:adjustRightInd w:val="0"/>
        <w:spacing w:line="360" w:lineRule="auto"/>
        <w:ind w:left="2" w:firstLine="480" w:firstLineChars="200"/>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lang w:val="en-US" w:eastAsia="zh-CN"/>
        </w:rPr>
        <w:t>三</w:t>
      </w:r>
      <w:r>
        <w:rPr>
          <w:rFonts w:hint="eastAsia" w:ascii="仿宋_GB2312" w:hAnsi="仿宋" w:eastAsia="仿宋_GB2312" w:cs="仿宋_GB2312"/>
          <w:color w:val="auto"/>
          <w:sz w:val="24"/>
          <w:highlight w:val="none"/>
        </w:rPr>
        <w:t>、</w:t>
      </w:r>
      <w:r>
        <w:rPr>
          <w:rFonts w:hint="eastAsia" w:ascii="仿宋_GB2312" w:hAnsi="仿宋" w:eastAsia="仿宋_GB2312" w:cs="仿宋_GB2312"/>
          <w:color w:val="auto"/>
          <w:sz w:val="24"/>
          <w:highlight w:val="none"/>
          <w:lang w:val="en-US" w:eastAsia="zh-CN"/>
        </w:rPr>
        <w:t>拟投入人员一览表</w:t>
      </w:r>
      <w:r>
        <w:rPr>
          <w:rFonts w:hint="eastAsia" w:ascii="仿宋_GB2312" w:hAnsi="仿宋" w:eastAsia="仿宋_GB2312" w:cs="仿宋_GB2312"/>
          <w:color w:val="auto"/>
          <w:sz w:val="24"/>
          <w:highlight w:val="none"/>
        </w:rPr>
        <w:t>…………………………………………………………（页码）</w:t>
      </w:r>
    </w:p>
    <w:p w14:paraId="75E615EA">
      <w:pPr>
        <w:shd w:val="clear"/>
        <w:adjustRightInd w:val="0"/>
        <w:spacing w:line="360" w:lineRule="auto"/>
        <w:ind w:left="2" w:firstLine="480" w:firstLineChars="200"/>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lang w:val="en-US" w:eastAsia="zh-CN"/>
        </w:rPr>
        <w:t>四</w:t>
      </w:r>
      <w:r>
        <w:rPr>
          <w:rFonts w:hint="eastAsia" w:ascii="仿宋_GB2312" w:hAnsi="仿宋" w:eastAsia="仿宋_GB2312" w:cs="仿宋_GB2312"/>
          <w:color w:val="auto"/>
          <w:sz w:val="24"/>
          <w:highlight w:val="none"/>
        </w:rPr>
        <w:t>、</w:t>
      </w:r>
      <w:r>
        <w:rPr>
          <w:rFonts w:hint="eastAsia" w:ascii="仿宋_GB2312" w:hAnsi="仿宋" w:eastAsia="仿宋_GB2312" w:cs="仿宋_GB2312"/>
          <w:color w:val="auto"/>
          <w:sz w:val="24"/>
          <w:highlight w:val="none"/>
          <w:lang w:val="en-US" w:eastAsia="zh-CN"/>
        </w:rPr>
        <w:t>售后服务方案</w:t>
      </w:r>
      <w:r>
        <w:rPr>
          <w:rFonts w:hint="eastAsia" w:ascii="仿宋_GB2312" w:hAnsi="仿宋" w:eastAsia="仿宋_GB2312" w:cs="仿宋_GB2312"/>
          <w:color w:val="auto"/>
          <w:sz w:val="24"/>
          <w:highlight w:val="none"/>
        </w:rPr>
        <w:t>………………………………………………………………（页码）</w:t>
      </w:r>
    </w:p>
    <w:p w14:paraId="40065B4D">
      <w:pPr>
        <w:shd w:val="clear"/>
        <w:adjustRightInd w:val="0"/>
        <w:spacing w:line="360" w:lineRule="auto"/>
        <w:ind w:left="2" w:firstLine="480" w:firstLineChars="200"/>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lang w:val="en-US" w:eastAsia="zh-CN"/>
        </w:rPr>
        <w:t>五</w:t>
      </w:r>
      <w:r>
        <w:rPr>
          <w:rFonts w:hint="eastAsia" w:ascii="仿宋_GB2312" w:hAnsi="仿宋" w:eastAsia="仿宋_GB2312" w:cs="仿宋_GB2312"/>
          <w:color w:val="auto"/>
          <w:sz w:val="24"/>
          <w:highlight w:val="none"/>
        </w:rPr>
        <w:t>、投标人对项目的合理化建议和改进措施（如有）………………………（页码）</w:t>
      </w:r>
    </w:p>
    <w:p w14:paraId="7DC7FC13">
      <w:pPr>
        <w:shd w:val="clear"/>
        <w:adjustRightInd w:val="0"/>
        <w:spacing w:line="360" w:lineRule="auto"/>
        <w:ind w:left="2" w:firstLine="480" w:firstLineChars="200"/>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lang w:val="en-US" w:eastAsia="zh-CN"/>
        </w:rPr>
        <w:t>六</w:t>
      </w:r>
      <w:r>
        <w:rPr>
          <w:rFonts w:hint="eastAsia" w:ascii="仿宋_GB2312" w:hAnsi="仿宋" w:eastAsia="仿宋_GB2312" w:cs="仿宋_GB2312"/>
          <w:color w:val="auto"/>
          <w:sz w:val="24"/>
          <w:highlight w:val="none"/>
        </w:rPr>
        <w:t>、认为需要提供的其他技术文件或说明</w:t>
      </w:r>
      <w:r>
        <w:rPr>
          <w:rFonts w:hint="eastAsia" w:ascii="仿宋_GB2312" w:hAnsi="仿宋" w:eastAsia="仿宋_GB2312" w:cs="仿宋_GB2312"/>
          <w:color w:val="auto"/>
          <w:sz w:val="24"/>
          <w:highlight w:val="none"/>
          <w:lang w:val="zh-CN"/>
        </w:rPr>
        <w:t>……………………………………</w:t>
      </w:r>
      <w:r>
        <w:rPr>
          <w:rFonts w:hint="eastAsia" w:ascii="仿宋_GB2312" w:hAnsi="仿宋" w:eastAsia="仿宋_GB2312" w:cs="仿宋_GB2312"/>
          <w:color w:val="auto"/>
          <w:sz w:val="24"/>
          <w:highlight w:val="none"/>
        </w:rPr>
        <w:t>（页码）</w:t>
      </w:r>
    </w:p>
    <w:p w14:paraId="14FD29B7">
      <w:pPr>
        <w:shd w:val="clear"/>
        <w:spacing w:line="360" w:lineRule="auto"/>
        <w:rPr>
          <w:rFonts w:hint="eastAsia" w:ascii="仿宋_GB2312" w:hAnsi="仿宋" w:eastAsia="仿宋_GB2312" w:cs="仿宋_GB2312"/>
          <w:b/>
          <w:bCs/>
          <w:color w:val="auto"/>
          <w:sz w:val="24"/>
          <w:highlight w:val="none"/>
        </w:rPr>
      </w:pPr>
      <w:r>
        <w:rPr>
          <w:rFonts w:hint="eastAsia" w:ascii="仿宋_GB2312" w:hAnsi="仿宋" w:eastAsia="仿宋_GB2312" w:cs="仿宋_GB2312"/>
          <w:b/>
          <w:bCs/>
          <w:color w:val="auto"/>
          <w:sz w:val="24"/>
          <w:highlight w:val="none"/>
        </w:rPr>
        <w:t>注：以上目录是基本格式要求，各投标人可根据自身情况进一步向下增加内容或细化。</w:t>
      </w:r>
    </w:p>
    <w:p w14:paraId="377E3573">
      <w:pPr>
        <w:shd w:val="clear"/>
        <w:snapToGrid w:val="0"/>
        <w:spacing w:before="165" w:beforeLines="50" w:after="50"/>
        <w:ind w:left="143" w:leftChars="68" w:firstLine="472" w:firstLineChars="196"/>
        <w:jc w:val="left"/>
        <w:rPr>
          <w:rFonts w:ascii="宋体" w:hAnsi="宋体"/>
          <w:b/>
          <w:color w:val="auto"/>
          <w:sz w:val="24"/>
          <w:highlight w:val="none"/>
        </w:rPr>
      </w:pPr>
    </w:p>
    <w:p w14:paraId="1D63E6A3">
      <w:pPr>
        <w:shd w:val="clear"/>
        <w:snapToGrid w:val="0"/>
        <w:spacing w:before="165" w:beforeLines="50" w:after="50"/>
        <w:ind w:left="143" w:leftChars="68" w:firstLine="472" w:firstLineChars="196"/>
        <w:jc w:val="left"/>
        <w:rPr>
          <w:rFonts w:hint="eastAsia" w:ascii="宋体" w:hAnsi="宋体"/>
          <w:b/>
          <w:color w:val="auto"/>
          <w:sz w:val="24"/>
          <w:highlight w:val="none"/>
        </w:rPr>
      </w:pPr>
      <w:r>
        <w:rPr>
          <w:rFonts w:ascii="宋体" w:hAnsi="宋体"/>
          <w:b/>
          <w:color w:val="auto"/>
          <w:sz w:val="24"/>
          <w:highlight w:val="none"/>
        </w:rPr>
        <w:br w:type="page"/>
      </w:r>
      <w:r>
        <w:rPr>
          <w:rFonts w:hint="eastAsia" w:ascii="宋体" w:hAnsi="宋体"/>
          <w:b/>
          <w:color w:val="auto"/>
          <w:sz w:val="24"/>
          <w:highlight w:val="none"/>
        </w:rPr>
        <w:t xml:space="preserve"> </w:t>
      </w:r>
    </w:p>
    <w:p w14:paraId="04887AA1">
      <w:pPr>
        <w:shd w:val="clear"/>
        <w:spacing w:line="500" w:lineRule="exact"/>
        <w:jc w:val="center"/>
        <w:rPr>
          <w:rFonts w:hint="eastAsia" w:eastAsia="宋体"/>
          <w:b/>
          <w:bCs/>
          <w:color w:val="auto"/>
          <w:sz w:val="30"/>
          <w:szCs w:val="30"/>
          <w:highlight w:val="none"/>
          <w:lang w:eastAsia="zh-CN"/>
        </w:rPr>
      </w:pPr>
      <w:r>
        <w:rPr>
          <w:rFonts w:hint="eastAsia"/>
          <w:b/>
          <w:bCs/>
          <w:color w:val="auto"/>
          <w:sz w:val="30"/>
          <w:szCs w:val="30"/>
          <w:highlight w:val="none"/>
        </w:rPr>
        <w:t>一、</w:t>
      </w:r>
      <w:r>
        <w:rPr>
          <w:rFonts w:hint="eastAsia"/>
          <w:b/>
          <w:bCs/>
          <w:color w:val="auto"/>
          <w:sz w:val="30"/>
          <w:szCs w:val="30"/>
          <w:highlight w:val="none"/>
          <w:lang w:val="en-US" w:eastAsia="zh-CN"/>
        </w:rPr>
        <w:t>技术服务</w:t>
      </w:r>
      <w:r>
        <w:rPr>
          <w:rFonts w:hint="eastAsia"/>
          <w:b/>
          <w:bCs/>
          <w:color w:val="auto"/>
          <w:sz w:val="30"/>
          <w:szCs w:val="30"/>
          <w:highlight w:val="none"/>
        </w:rPr>
        <w:t>需求偏离表</w:t>
      </w:r>
    </w:p>
    <w:p w14:paraId="38D68300">
      <w:pPr>
        <w:pStyle w:val="30"/>
        <w:shd w:val="clear"/>
        <w:spacing w:line="240" w:lineRule="auto"/>
        <w:ind w:firstLine="420" w:firstLineChars="200"/>
        <w:rPr>
          <w:color w:val="auto"/>
          <w:sz w:val="21"/>
          <w:szCs w:val="21"/>
          <w:highlight w:val="none"/>
        </w:rPr>
      </w:pPr>
      <w:r>
        <w:rPr>
          <w:rFonts w:hint="eastAsia" w:ascii="宋体"/>
          <w:color w:val="auto"/>
          <w:sz w:val="21"/>
          <w:szCs w:val="21"/>
          <w:highlight w:val="none"/>
          <w:lang w:bidi="ar"/>
        </w:rPr>
        <w:t>请根据所投服务的实际技术参数，</w:t>
      </w:r>
      <w:r>
        <w:rPr>
          <w:rFonts w:hint="eastAsia" w:ascii="宋体"/>
          <w:b/>
          <w:color w:val="auto"/>
          <w:sz w:val="21"/>
          <w:szCs w:val="21"/>
          <w:highlight w:val="none"/>
          <w:lang w:bidi="ar"/>
        </w:rPr>
        <w:t>逐条对应</w:t>
      </w:r>
      <w:r>
        <w:rPr>
          <w:rFonts w:hint="eastAsia" w:ascii="宋体"/>
          <w:color w:val="auto"/>
          <w:sz w:val="21"/>
          <w:szCs w:val="21"/>
          <w:highlight w:val="none"/>
          <w:lang w:bidi="ar"/>
        </w:rPr>
        <w:t>本项目招标文件第二章</w:t>
      </w:r>
      <w:r>
        <w:rPr>
          <w:rFonts w:ascii="宋体"/>
          <w:color w:val="auto"/>
          <w:sz w:val="21"/>
          <w:szCs w:val="21"/>
          <w:highlight w:val="none"/>
          <w:lang w:bidi="ar"/>
        </w:rPr>
        <w:t>“</w:t>
      </w:r>
      <w:r>
        <w:rPr>
          <w:rFonts w:hint="eastAsia" w:ascii="宋体"/>
          <w:color w:val="auto"/>
          <w:sz w:val="21"/>
          <w:szCs w:val="21"/>
          <w:highlight w:val="none"/>
          <w:lang w:bidi="ar"/>
        </w:rPr>
        <w:t>服务需求一览表</w:t>
      </w:r>
      <w:r>
        <w:rPr>
          <w:rFonts w:ascii="宋体"/>
          <w:color w:val="auto"/>
          <w:sz w:val="21"/>
          <w:szCs w:val="21"/>
          <w:highlight w:val="none"/>
          <w:lang w:bidi="ar"/>
        </w:rPr>
        <w:t>”</w:t>
      </w:r>
      <w:r>
        <w:rPr>
          <w:rFonts w:hint="eastAsia" w:ascii="宋体"/>
          <w:color w:val="auto"/>
          <w:sz w:val="21"/>
          <w:szCs w:val="21"/>
          <w:highlight w:val="none"/>
          <w:lang w:bidi="ar"/>
        </w:rPr>
        <w:t>中的</w:t>
      </w:r>
      <w:r>
        <w:rPr>
          <w:rFonts w:hint="eastAsia" w:ascii="宋体"/>
          <w:b/>
          <w:bCs/>
          <w:color w:val="auto"/>
          <w:sz w:val="21"/>
          <w:szCs w:val="21"/>
          <w:highlight w:val="none"/>
          <w:lang w:val="en-US" w:eastAsia="zh-CN" w:bidi="ar"/>
        </w:rPr>
        <w:t>技术服务</w:t>
      </w:r>
      <w:r>
        <w:rPr>
          <w:rFonts w:hint="eastAsia" w:ascii="宋体"/>
          <w:b/>
          <w:color w:val="auto"/>
          <w:sz w:val="21"/>
          <w:szCs w:val="21"/>
          <w:highlight w:val="none"/>
          <w:lang w:val="en-US" w:eastAsia="zh-CN" w:bidi="ar"/>
        </w:rPr>
        <w:t>要求</w:t>
      </w:r>
      <w:r>
        <w:rPr>
          <w:rFonts w:hint="eastAsia" w:ascii="宋体"/>
          <w:color w:val="auto"/>
          <w:sz w:val="21"/>
          <w:szCs w:val="21"/>
          <w:highlight w:val="none"/>
          <w:lang w:bidi="ar"/>
        </w:rPr>
        <w:t>详细填写相应的具体内容。</w:t>
      </w:r>
      <w:r>
        <w:rPr>
          <w:rFonts w:ascii="宋体"/>
          <w:color w:val="auto"/>
          <w:sz w:val="21"/>
          <w:szCs w:val="21"/>
          <w:highlight w:val="none"/>
          <w:lang w:bidi="ar"/>
        </w:rPr>
        <w:t>“</w:t>
      </w:r>
      <w:r>
        <w:rPr>
          <w:rFonts w:hint="eastAsia" w:ascii="宋体"/>
          <w:color w:val="auto"/>
          <w:sz w:val="21"/>
          <w:szCs w:val="21"/>
          <w:highlight w:val="none"/>
          <w:lang w:bidi="ar"/>
        </w:rPr>
        <w:t>偏离说明</w:t>
      </w:r>
      <w:r>
        <w:rPr>
          <w:rFonts w:ascii="宋体"/>
          <w:color w:val="auto"/>
          <w:sz w:val="21"/>
          <w:szCs w:val="21"/>
          <w:highlight w:val="none"/>
          <w:lang w:bidi="ar"/>
        </w:rPr>
        <w:t>”</w:t>
      </w:r>
      <w:r>
        <w:rPr>
          <w:rFonts w:hint="eastAsia" w:ascii="宋体"/>
          <w:color w:val="auto"/>
          <w:sz w:val="21"/>
          <w:szCs w:val="21"/>
          <w:highlight w:val="none"/>
          <w:lang w:bidi="ar"/>
        </w:rPr>
        <w:t>一栏应当选择</w:t>
      </w:r>
      <w:r>
        <w:rPr>
          <w:rFonts w:ascii="宋体"/>
          <w:color w:val="auto"/>
          <w:sz w:val="21"/>
          <w:szCs w:val="21"/>
          <w:highlight w:val="none"/>
          <w:lang w:bidi="ar"/>
        </w:rPr>
        <w:t>“</w:t>
      </w:r>
      <w:r>
        <w:rPr>
          <w:rFonts w:hint="eastAsia" w:ascii="宋体"/>
          <w:color w:val="auto"/>
          <w:sz w:val="21"/>
          <w:szCs w:val="21"/>
          <w:highlight w:val="none"/>
          <w:lang w:bidi="ar"/>
        </w:rPr>
        <w:t>正偏离</w:t>
      </w:r>
      <w:r>
        <w:rPr>
          <w:rFonts w:ascii="宋体"/>
          <w:color w:val="auto"/>
          <w:sz w:val="21"/>
          <w:szCs w:val="21"/>
          <w:highlight w:val="none"/>
          <w:lang w:bidi="ar"/>
        </w:rPr>
        <w:t>”</w:t>
      </w:r>
      <w:r>
        <w:rPr>
          <w:rFonts w:hint="eastAsia" w:ascii="宋体"/>
          <w:color w:val="auto"/>
          <w:sz w:val="21"/>
          <w:szCs w:val="21"/>
          <w:highlight w:val="none"/>
          <w:lang w:bidi="ar"/>
        </w:rPr>
        <w:t>、</w:t>
      </w:r>
      <w:r>
        <w:rPr>
          <w:rFonts w:ascii="宋体"/>
          <w:color w:val="auto"/>
          <w:sz w:val="21"/>
          <w:szCs w:val="21"/>
          <w:highlight w:val="none"/>
          <w:lang w:bidi="ar"/>
        </w:rPr>
        <w:t>“</w:t>
      </w:r>
      <w:r>
        <w:rPr>
          <w:rFonts w:hint="eastAsia" w:ascii="宋体"/>
          <w:color w:val="auto"/>
          <w:sz w:val="21"/>
          <w:szCs w:val="21"/>
          <w:highlight w:val="none"/>
          <w:lang w:bidi="ar"/>
        </w:rPr>
        <w:t>负偏离</w:t>
      </w:r>
      <w:r>
        <w:rPr>
          <w:rFonts w:ascii="宋体"/>
          <w:color w:val="auto"/>
          <w:sz w:val="21"/>
          <w:szCs w:val="21"/>
          <w:highlight w:val="none"/>
          <w:lang w:bidi="ar"/>
        </w:rPr>
        <w:t>”</w:t>
      </w:r>
      <w:r>
        <w:rPr>
          <w:rFonts w:hint="eastAsia" w:ascii="宋体"/>
          <w:color w:val="auto"/>
          <w:sz w:val="21"/>
          <w:szCs w:val="21"/>
          <w:highlight w:val="none"/>
          <w:lang w:bidi="ar"/>
        </w:rPr>
        <w:t>或</w:t>
      </w:r>
      <w:r>
        <w:rPr>
          <w:rFonts w:ascii="宋体"/>
          <w:color w:val="auto"/>
          <w:sz w:val="21"/>
          <w:szCs w:val="21"/>
          <w:highlight w:val="none"/>
          <w:lang w:bidi="ar"/>
        </w:rPr>
        <w:t>“</w:t>
      </w:r>
      <w:r>
        <w:rPr>
          <w:rFonts w:hint="eastAsia" w:ascii="宋体"/>
          <w:color w:val="auto"/>
          <w:sz w:val="21"/>
          <w:szCs w:val="21"/>
          <w:highlight w:val="none"/>
          <w:lang w:bidi="ar"/>
        </w:rPr>
        <w:t>无偏离</w:t>
      </w:r>
      <w:r>
        <w:rPr>
          <w:rFonts w:ascii="宋体"/>
          <w:color w:val="auto"/>
          <w:sz w:val="21"/>
          <w:szCs w:val="21"/>
          <w:highlight w:val="none"/>
          <w:lang w:bidi="ar"/>
        </w:rPr>
        <w:t>”</w:t>
      </w:r>
      <w:r>
        <w:rPr>
          <w:rFonts w:hint="eastAsia" w:ascii="宋体"/>
          <w:color w:val="auto"/>
          <w:sz w:val="21"/>
          <w:szCs w:val="21"/>
          <w:highlight w:val="none"/>
          <w:lang w:bidi="ar"/>
        </w:rPr>
        <w:t>进行填写。</w:t>
      </w:r>
    </w:p>
    <w:p w14:paraId="76DD9334">
      <w:pPr>
        <w:shd w:val="clear"/>
        <w:spacing w:line="440" w:lineRule="exact"/>
        <w:ind w:firstLine="420" w:firstLineChars="200"/>
        <w:rPr>
          <w:rFonts w:hint="eastAsia" w:ascii="宋体" w:hAnsi="Courier New"/>
          <w:color w:val="auto"/>
          <w:szCs w:val="20"/>
          <w:highlight w:val="none"/>
        </w:rPr>
      </w:pPr>
      <w:r>
        <w:rPr>
          <w:rFonts w:hint="eastAsia" w:ascii="宋体" w:hAnsi="宋体"/>
          <w:color w:val="auto"/>
          <w:szCs w:val="21"/>
          <w:highlight w:val="none"/>
          <w:u w:val="single"/>
        </w:rPr>
        <w:t>　　</w:t>
      </w:r>
      <w:r>
        <w:rPr>
          <w:rFonts w:hint="eastAsia" w:ascii="宋体" w:hAnsi="宋体"/>
          <w:color w:val="auto"/>
          <w:szCs w:val="21"/>
          <w:highlight w:val="none"/>
        </w:rPr>
        <w:t>分标（此处有分标时填写具体分标号，无分标时填写“无”）</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1260"/>
        <w:gridCol w:w="2310"/>
        <w:gridCol w:w="1516"/>
        <w:gridCol w:w="3297"/>
        <w:gridCol w:w="1168"/>
      </w:tblGrid>
      <w:tr w14:paraId="1C33C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634" w:type="dxa"/>
            <w:vMerge w:val="restart"/>
            <w:tcBorders>
              <w:top w:val="single" w:color="auto" w:sz="4" w:space="0"/>
              <w:left w:val="single" w:color="auto" w:sz="4" w:space="0"/>
              <w:bottom w:val="single" w:color="auto" w:sz="4" w:space="0"/>
              <w:right w:val="single" w:color="auto" w:sz="4" w:space="0"/>
            </w:tcBorders>
            <w:noWrap w:val="0"/>
            <w:vAlign w:val="center"/>
          </w:tcPr>
          <w:p w14:paraId="71D1E044">
            <w:pPr>
              <w:shd w:val="clear"/>
              <w:rPr>
                <w:rFonts w:ascii="宋体" w:hAnsi="宋体"/>
                <w:color w:val="auto"/>
                <w:szCs w:val="21"/>
                <w:highlight w:val="none"/>
              </w:rPr>
            </w:pPr>
            <w:r>
              <w:rPr>
                <w:rFonts w:hint="eastAsia" w:ascii="宋体" w:hAnsi="宋体"/>
                <w:color w:val="auto"/>
                <w:szCs w:val="21"/>
                <w:highlight w:val="none"/>
              </w:rPr>
              <w:t>项号</w:t>
            </w:r>
          </w:p>
        </w:tc>
        <w:tc>
          <w:tcPr>
            <w:tcW w:w="3570" w:type="dxa"/>
            <w:gridSpan w:val="2"/>
            <w:tcBorders>
              <w:top w:val="single" w:color="auto" w:sz="4" w:space="0"/>
              <w:left w:val="single" w:color="auto" w:sz="4" w:space="0"/>
              <w:bottom w:val="single" w:color="auto" w:sz="4" w:space="0"/>
              <w:right w:val="single" w:color="auto" w:sz="4" w:space="0"/>
            </w:tcBorders>
            <w:noWrap w:val="0"/>
            <w:vAlign w:val="center"/>
          </w:tcPr>
          <w:p w14:paraId="747DE4F0">
            <w:pPr>
              <w:shd w:val="clear"/>
              <w:jc w:val="center"/>
              <w:rPr>
                <w:rFonts w:ascii="宋体" w:hAnsi="宋体"/>
                <w:color w:val="auto"/>
                <w:szCs w:val="21"/>
                <w:highlight w:val="none"/>
              </w:rPr>
            </w:pPr>
            <w:r>
              <w:rPr>
                <w:rFonts w:hint="eastAsia" w:ascii="宋体" w:hAnsi="宋体"/>
                <w:color w:val="auto"/>
                <w:szCs w:val="21"/>
                <w:highlight w:val="none"/>
              </w:rPr>
              <w:t>招标文件需求</w:t>
            </w:r>
          </w:p>
        </w:tc>
        <w:tc>
          <w:tcPr>
            <w:tcW w:w="4813" w:type="dxa"/>
            <w:gridSpan w:val="2"/>
            <w:tcBorders>
              <w:top w:val="single" w:color="auto" w:sz="4" w:space="0"/>
              <w:left w:val="single" w:color="auto" w:sz="4" w:space="0"/>
              <w:bottom w:val="single" w:color="auto" w:sz="4" w:space="0"/>
              <w:right w:val="single" w:color="auto" w:sz="4" w:space="0"/>
            </w:tcBorders>
            <w:noWrap w:val="0"/>
            <w:vAlign w:val="center"/>
          </w:tcPr>
          <w:p w14:paraId="070C83A4">
            <w:pPr>
              <w:shd w:val="clear"/>
              <w:jc w:val="center"/>
              <w:rPr>
                <w:rFonts w:ascii="宋体" w:hAnsi="宋体"/>
                <w:color w:val="auto"/>
                <w:szCs w:val="21"/>
                <w:highlight w:val="none"/>
              </w:rPr>
            </w:pPr>
            <w:r>
              <w:rPr>
                <w:rFonts w:hint="eastAsia" w:ascii="宋体" w:hAnsi="宋体"/>
                <w:color w:val="auto"/>
                <w:szCs w:val="21"/>
                <w:highlight w:val="none"/>
              </w:rPr>
              <w:t>投标文件承诺</w:t>
            </w:r>
          </w:p>
        </w:tc>
        <w:tc>
          <w:tcPr>
            <w:tcW w:w="1168" w:type="dxa"/>
            <w:vMerge w:val="restart"/>
            <w:tcBorders>
              <w:top w:val="single" w:color="auto" w:sz="4" w:space="0"/>
              <w:left w:val="single" w:color="auto" w:sz="4" w:space="0"/>
              <w:bottom w:val="single" w:color="auto" w:sz="4" w:space="0"/>
              <w:right w:val="single" w:color="auto" w:sz="4" w:space="0"/>
            </w:tcBorders>
            <w:noWrap w:val="0"/>
            <w:vAlign w:val="center"/>
          </w:tcPr>
          <w:p w14:paraId="0C395C90">
            <w:pPr>
              <w:shd w:val="clear"/>
              <w:rPr>
                <w:rFonts w:ascii="宋体" w:hAnsi="宋体"/>
                <w:color w:val="auto"/>
                <w:szCs w:val="21"/>
                <w:highlight w:val="none"/>
              </w:rPr>
            </w:pPr>
            <w:r>
              <w:rPr>
                <w:rFonts w:hint="eastAsia" w:ascii="宋体" w:hAnsi="宋体"/>
                <w:color w:val="auto"/>
                <w:szCs w:val="21"/>
                <w:highlight w:val="none"/>
              </w:rPr>
              <w:t>偏离说明</w:t>
            </w:r>
          </w:p>
        </w:tc>
      </w:tr>
      <w:tr w14:paraId="3D6A8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634" w:type="dxa"/>
            <w:vMerge w:val="continue"/>
            <w:tcBorders>
              <w:top w:val="single" w:color="auto" w:sz="4" w:space="0"/>
              <w:left w:val="single" w:color="auto" w:sz="4" w:space="0"/>
              <w:bottom w:val="single" w:color="auto" w:sz="4" w:space="0"/>
              <w:right w:val="single" w:color="auto" w:sz="4" w:space="0"/>
            </w:tcBorders>
            <w:noWrap w:val="0"/>
            <w:vAlign w:val="center"/>
          </w:tcPr>
          <w:p w14:paraId="1AA05F14">
            <w:pPr>
              <w:widowControl/>
              <w:shd w:val="clear"/>
              <w:jc w:val="left"/>
              <w:rPr>
                <w:rFonts w:ascii="宋体" w:hAnsi="宋体"/>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3D8DAF3">
            <w:pPr>
              <w:shd w:val="clear"/>
              <w:jc w:val="center"/>
              <w:rPr>
                <w:rFonts w:ascii="宋体" w:hAnsi="宋体"/>
                <w:color w:val="auto"/>
                <w:szCs w:val="21"/>
                <w:highlight w:val="none"/>
              </w:rPr>
            </w:pPr>
            <w:r>
              <w:rPr>
                <w:rFonts w:hint="eastAsia" w:ascii="宋体" w:hAnsi="宋体"/>
                <w:color w:val="auto"/>
                <w:szCs w:val="21"/>
                <w:highlight w:val="none"/>
              </w:rPr>
              <w:t>服务名称</w:t>
            </w:r>
          </w:p>
        </w:tc>
        <w:tc>
          <w:tcPr>
            <w:tcW w:w="2310" w:type="dxa"/>
            <w:tcBorders>
              <w:top w:val="single" w:color="auto" w:sz="4" w:space="0"/>
              <w:left w:val="single" w:color="auto" w:sz="4" w:space="0"/>
              <w:bottom w:val="single" w:color="auto" w:sz="4" w:space="0"/>
              <w:right w:val="single" w:color="auto" w:sz="4" w:space="0"/>
            </w:tcBorders>
            <w:noWrap w:val="0"/>
            <w:vAlign w:val="center"/>
          </w:tcPr>
          <w:p w14:paraId="75EA1704">
            <w:pPr>
              <w:shd w:val="clear"/>
              <w:jc w:val="center"/>
              <w:rPr>
                <w:rFonts w:ascii="宋体" w:hAnsi="宋体"/>
                <w:color w:val="auto"/>
                <w:szCs w:val="21"/>
                <w:highlight w:val="none"/>
              </w:rPr>
            </w:pPr>
            <w:r>
              <w:rPr>
                <w:rFonts w:hint="eastAsia" w:ascii="宋体" w:hAnsi="宋体"/>
                <w:color w:val="auto"/>
                <w:szCs w:val="21"/>
                <w:highlight w:val="none"/>
              </w:rPr>
              <w:t>技术服务要求</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7E6F5A8B">
            <w:pPr>
              <w:shd w:val="clear"/>
              <w:jc w:val="center"/>
              <w:rPr>
                <w:rFonts w:ascii="宋体" w:hAnsi="宋体"/>
                <w:color w:val="auto"/>
                <w:szCs w:val="21"/>
                <w:highlight w:val="none"/>
              </w:rPr>
            </w:pPr>
            <w:r>
              <w:rPr>
                <w:rFonts w:hint="eastAsia" w:ascii="宋体" w:hAnsi="宋体"/>
                <w:color w:val="auto"/>
                <w:szCs w:val="21"/>
                <w:highlight w:val="none"/>
              </w:rPr>
              <w:t>服务名称</w:t>
            </w:r>
          </w:p>
        </w:tc>
        <w:tc>
          <w:tcPr>
            <w:tcW w:w="3297" w:type="dxa"/>
            <w:tcBorders>
              <w:top w:val="single" w:color="auto" w:sz="4" w:space="0"/>
              <w:left w:val="single" w:color="auto" w:sz="4" w:space="0"/>
              <w:bottom w:val="single" w:color="auto" w:sz="4" w:space="0"/>
              <w:right w:val="single" w:color="auto" w:sz="4" w:space="0"/>
            </w:tcBorders>
            <w:noWrap w:val="0"/>
            <w:vAlign w:val="center"/>
          </w:tcPr>
          <w:p w14:paraId="2E6B1991">
            <w:pPr>
              <w:shd w:val="clear"/>
              <w:jc w:val="center"/>
              <w:rPr>
                <w:rFonts w:ascii="宋体" w:hAnsi="宋体"/>
                <w:color w:val="auto"/>
                <w:szCs w:val="21"/>
                <w:highlight w:val="none"/>
              </w:rPr>
            </w:pPr>
            <w:r>
              <w:rPr>
                <w:rFonts w:hint="eastAsia" w:ascii="宋体" w:hAnsi="宋体"/>
                <w:color w:val="auto"/>
                <w:szCs w:val="21"/>
                <w:highlight w:val="none"/>
              </w:rPr>
              <w:t>所提供服务的内容</w:t>
            </w:r>
          </w:p>
        </w:tc>
        <w:tc>
          <w:tcPr>
            <w:tcW w:w="1168" w:type="dxa"/>
            <w:vMerge w:val="continue"/>
            <w:tcBorders>
              <w:top w:val="single" w:color="auto" w:sz="4" w:space="0"/>
              <w:left w:val="single" w:color="auto" w:sz="4" w:space="0"/>
              <w:bottom w:val="single" w:color="auto" w:sz="4" w:space="0"/>
              <w:right w:val="single" w:color="auto" w:sz="4" w:space="0"/>
            </w:tcBorders>
            <w:noWrap w:val="0"/>
            <w:vAlign w:val="center"/>
          </w:tcPr>
          <w:p w14:paraId="6E54E104">
            <w:pPr>
              <w:widowControl/>
              <w:shd w:val="clear"/>
              <w:jc w:val="left"/>
              <w:rPr>
                <w:rFonts w:ascii="宋体" w:hAnsi="宋体"/>
                <w:color w:val="auto"/>
                <w:szCs w:val="21"/>
                <w:highlight w:val="none"/>
              </w:rPr>
            </w:pPr>
          </w:p>
        </w:tc>
      </w:tr>
      <w:tr w14:paraId="42E47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14:paraId="6C3A948E">
            <w:pPr>
              <w:shd w:val="clear"/>
              <w:rPr>
                <w:rFonts w:ascii="宋体" w:hAnsi="宋体"/>
                <w:color w:val="auto"/>
                <w:szCs w:val="21"/>
                <w:highlight w:val="none"/>
              </w:rPr>
            </w:pPr>
            <w:r>
              <w:rPr>
                <w:rFonts w:ascii="宋体" w:hAnsi="宋体"/>
                <w:color w:val="auto"/>
                <w:szCs w:val="21"/>
                <w:highlight w:val="none"/>
              </w:rPr>
              <w:t>1</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4AA7CF4">
            <w:pPr>
              <w:shd w:val="clear"/>
              <w:rPr>
                <w:rFonts w:ascii="宋体" w:hAnsi="宋体"/>
                <w:color w:val="auto"/>
                <w:szCs w:val="21"/>
                <w:highlight w:val="none"/>
              </w:rPr>
            </w:pPr>
            <w:r>
              <w:rPr>
                <w:rFonts w:ascii="宋体" w:hAnsi="宋体"/>
                <w:color w:val="auto"/>
                <w:szCs w:val="21"/>
                <w:highlight w:val="none"/>
              </w:rPr>
              <w:t>……</w:t>
            </w:r>
          </w:p>
        </w:tc>
        <w:tc>
          <w:tcPr>
            <w:tcW w:w="2310" w:type="dxa"/>
            <w:tcBorders>
              <w:top w:val="single" w:color="auto" w:sz="4" w:space="0"/>
              <w:left w:val="single" w:color="auto" w:sz="4" w:space="0"/>
              <w:bottom w:val="single" w:color="auto" w:sz="4" w:space="0"/>
              <w:right w:val="single" w:color="auto" w:sz="4" w:space="0"/>
            </w:tcBorders>
            <w:noWrap w:val="0"/>
            <w:vAlign w:val="center"/>
          </w:tcPr>
          <w:p w14:paraId="3FF95064">
            <w:pPr>
              <w:shd w:val="clear"/>
              <w:rPr>
                <w:rFonts w:ascii="宋体" w:hAnsi="宋体"/>
                <w:color w:val="auto"/>
                <w:szCs w:val="21"/>
                <w:highlight w:val="none"/>
              </w:rPr>
            </w:pPr>
            <w:r>
              <w:rPr>
                <w:rFonts w:ascii="宋体" w:hAnsi="宋体"/>
                <w:color w:val="auto"/>
                <w:szCs w:val="21"/>
                <w:highlight w:val="none"/>
              </w:rPr>
              <w:t>1  ……</w:t>
            </w:r>
          </w:p>
          <w:p w14:paraId="45520E96">
            <w:pPr>
              <w:shd w:val="clear"/>
              <w:rPr>
                <w:rFonts w:ascii="宋体" w:hAnsi="宋体"/>
                <w:color w:val="auto"/>
                <w:szCs w:val="21"/>
                <w:highlight w:val="none"/>
              </w:rPr>
            </w:pPr>
            <w:r>
              <w:rPr>
                <w:rFonts w:ascii="宋体" w:hAnsi="宋体"/>
                <w:color w:val="auto"/>
                <w:szCs w:val="21"/>
                <w:highlight w:val="none"/>
              </w:rPr>
              <w:t>2  ……</w:t>
            </w:r>
          </w:p>
          <w:p w14:paraId="5D95DDFC">
            <w:pPr>
              <w:shd w:val="clear"/>
              <w:rPr>
                <w:rFonts w:ascii="宋体" w:hAnsi="宋体"/>
                <w:color w:val="auto"/>
                <w:szCs w:val="21"/>
                <w:highlight w:val="none"/>
              </w:rPr>
            </w:pPr>
            <w:r>
              <w:rPr>
                <w:rFonts w:ascii="宋体" w:hAnsi="宋体"/>
                <w:color w:val="auto"/>
                <w:szCs w:val="21"/>
                <w:highlight w:val="none"/>
              </w:rPr>
              <w:t>3  ……</w:t>
            </w:r>
          </w:p>
          <w:p w14:paraId="7348B081">
            <w:pPr>
              <w:shd w:val="clear"/>
              <w:rPr>
                <w:rFonts w:ascii="宋体" w:hAnsi="宋体"/>
                <w:color w:val="auto"/>
                <w:szCs w:val="21"/>
                <w:highlight w:val="none"/>
              </w:rPr>
            </w:pPr>
            <w:r>
              <w:rPr>
                <w:rFonts w:ascii="宋体" w:hAnsi="宋体"/>
                <w:color w:val="auto"/>
                <w:szCs w:val="21"/>
                <w:highlight w:val="none"/>
              </w:rPr>
              <w:t>……</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7F9E4695">
            <w:pPr>
              <w:shd w:val="clear"/>
              <w:rPr>
                <w:rFonts w:ascii="宋体" w:hAnsi="宋体"/>
                <w:color w:val="auto"/>
                <w:szCs w:val="21"/>
                <w:highlight w:val="none"/>
              </w:rPr>
            </w:pPr>
            <w:r>
              <w:rPr>
                <w:rFonts w:ascii="宋体" w:hAnsi="宋体"/>
                <w:color w:val="auto"/>
                <w:szCs w:val="21"/>
                <w:highlight w:val="none"/>
              </w:rPr>
              <w:t>……</w:t>
            </w:r>
          </w:p>
        </w:tc>
        <w:tc>
          <w:tcPr>
            <w:tcW w:w="3297" w:type="dxa"/>
            <w:tcBorders>
              <w:top w:val="single" w:color="auto" w:sz="4" w:space="0"/>
              <w:left w:val="single" w:color="auto" w:sz="4" w:space="0"/>
              <w:bottom w:val="single" w:color="auto" w:sz="4" w:space="0"/>
              <w:right w:val="single" w:color="auto" w:sz="4" w:space="0"/>
            </w:tcBorders>
            <w:noWrap w:val="0"/>
            <w:vAlign w:val="center"/>
          </w:tcPr>
          <w:p w14:paraId="703E2EFE">
            <w:pPr>
              <w:shd w:val="clear"/>
              <w:rPr>
                <w:rFonts w:ascii="宋体" w:hAnsi="宋体"/>
                <w:color w:val="auto"/>
                <w:szCs w:val="21"/>
                <w:highlight w:val="none"/>
              </w:rPr>
            </w:pPr>
            <w:r>
              <w:rPr>
                <w:rFonts w:ascii="宋体" w:hAnsi="宋体"/>
                <w:color w:val="auto"/>
                <w:szCs w:val="21"/>
                <w:highlight w:val="none"/>
              </w:rPr>
              <w:t>1  ……</w:t>
            </w:r>
          </w:p>
          <w:p w14:paraId="3AEABBD0">
            <w:pPr>
              <w:shd w:val="clear"/>
              <w:rPr>
                <w:rFonts w:ascii="宋体" w:hAnsi="宋体"/>
                <w:color w:val="auto"/>
                <w:szCs w:val="21"/>
                <w:highlight w:val="none"/>
              </w:rPr>
            </w:pPr>
            <w:r>
              <w:rPr>
                <w:rFonts w:ascii="宋体" w:hAnsi="宋体"/>
                <w:color w:val="auto"/>
                <w:szCs w:val="21"/>
                <w:highlight w:val="none"/>
              </w:rPr>
              <w:t>2  ……</w:t>
            </w:r>
          </w:p>
          <w:p w14:paraId="678C87C2">
            <w:pPr>
              <w:shd w:val="clear"/>
              <w:rPr>
                <w:rFonts w:ascii="宋体" w:hAnsi="宋体"/>
                <w:color w:val="auto"/>
                <w:szCs w:val="21"/>
                <w:highlight w:val="none"/>
              </w:rPr>
            </w:pPr>
            <w:r>
              <w:rPr>
                <w:rFonts w:ascii="宋体" w:hAnsi="宋体"/>
                <w:color w:val="auto"/>
                <w:szCs w:val="21"/>
                <w:highlight w:val="none"/>
              </w:rPr>
              <w:t>3  ……</w:t>
            </w:r>
          </w:p>
          <w:p w14:paraId="0D8EC7FC">
            <w:pPr>
              <w:shd w:val="clear"/>
              <w:rPr>
                <w:rFonts w:ascii="宋体" w:hAnsi="宋体"/>
                <w:color w:val="auto"/>
                <w:szCs w:val="21"/>
                <w:highlight w:val="none"/>
              </w:rPr>
            </w:pPr>
            <w:r>
              <w:rPr>
                <w:rFonts w:ascii="宋体" w:hAnsi="宋体"/>
                <w:color w:val="auto"/>
                <w:szCs w:val="21"/>
                <w:highlight w:val="none"/>
              </w:rPr>
              <w:t>……</w:t>
            </w:r>
          </w:p>
        </w:tc>
        <w:tc>
          <w:tcPr>
            <w:tcW w:w="1168" w:type="dxa"/>
            <w:tcBorders>
              <w:top w:val="single" w:color="auto" w:sz="4" w:space="0"/>
              <w:left w:val="single" w:color="auto" w:sz="4" w:space="0"/>
              <w:bottom w:val="single" w:color="auto" w:sz="4" w:space="0"/>
              <w:right w:val="single" w:color="auto" w:sz="4" w:space="0"/>
            </w:tcBorders>
            <w:noWrap w:val="0"/>
            <w:vAlign w:val="center"/>
          </w:tcPr>
          <w:p w14:paraId="4078F178">
            <w:pPr>
              <w:shd w:val="clear"/>
              <w:rPr>
                <w:rFonts w:ascii="宋体" w:hAnsi="宋体"/>
                <w:color w:val="auto"/>
                <w:szCs w:val="21"/>
                <w:highlight w:val="none"/>
              </w:rPr>
            </w:pPr>
            <w:r>
              <w:rPr>
                <w:rFonts w:hint="eastAsia" w:ascii="宋体" w:hAnsi="宋体"/>
                <w:color w:val="auto"/>
                <w:szCs w:val="21"/>
                <w:highlight w:val="none"/>
              </w:rPr>
              <w:t>正偏离（负偏离或无偏离）</w:t>
            </w:r>
          </w:p>
        </w:tc>
      </w:tr>
      <w:tr w14:paraId="156B6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14:paraId="0FA14FBE">
            <w:pPr>
              <w:shd w:val="clear"/>
              <w:rPr>
                <w:rFonts w:ascii="宋体" w:hAnsi="宋体"/>
                <w:color w:val="auto"/>
                <w:szCs w:val="21"/>
                <w:highlight w:val="none"/>
              </w:rPr>
            </w:pPr>
            <w:r>
              <w:rPr>
                <w:rFonts w:ascii="宋体" w:hAnsi="宋体"/>
                <w:color w:val="auto"/>
                <w:szCs w:val="21"/>
                <w:highlight w:val="none"/>
              </w:rPr>
              <w:t>2</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88D65DB">
            <w:pPr>
              <w:shd w:val="clear"/>
              <w:rPr>
                <w:rFonts w:ascii="宋体" w:hAnsi="宋体"/>
                <w:color w:val="auto"/>
                <w:szCs w:val="21"/>
                <w:highlight w:val="none"/>
              </w:rPr>
            </w:pPr>
            <w:r>
              <w:rPr>
                <w:rFonts w:ascii="宋体" w:hAnsi="宋体"/>
                <w:color w:val="auto"/>
                <w:szCs w:val="21"/>
                <w:highlight w:val="none"/>
              </w:rPr>
              <w:t>……</w:t>
            </w:r>
          </w:p>
        </w:tc>
        <w:tc>
          <w:tcPr>
            <w:tcW w:w="2310" w:type="dxa"/>
            <w:tcBorders>
              <w:top w:val="single" w:color="auto" w:sz="4" w:space="0"/>
              <w:left w:val="single" w:color="auto" w:sz="4" w:space="0"/>
              <w:bottom w:val="single" w:color="auto" w:sz="4" w:space="0"/>
              <w:right w:val="single" w:color="auto" w:sz="4" w:space="0"/>
            </w:tcBorders>
            <w:noWrap w:val="0"/>
            <w:vAlign w:val="center"/>
          </w:tcPr>
          <w:p w14:paraId="1F68D723">
            <w:pPr>
              <w:shd w:val="clear"/>
              <w:rPr>
                <w:rFonts w:ascii="宋体" w:hAnsi="宋体"/>
                <w:color w:val="auto"/>
                <w:szCs w:val="21"/>
                <w:highlight w:val="none"/>
              </w:rPr>
            </w:pPr>
            <w:r>
              <w:rPr>
                <w:rFonts w:ascii="宋体" w:hAnsi="宋体"/>
                <w:color w:val="auto"/>
                <w:szCs w:val="21"/>
                <w:highlight w:val="none"/>
              </w:rPr>
              <w:t>1  ……</w:t>
            </w:r>
          </w:p>
          <w:p w14:paraId="58A46CE7">
            <w:pPr>
              <w:shd w:val="clear"/>
              <w:rPr>
                <w:rFonts w:ascii="宋体" w:hAnsi="宋体"/>
                <w:color w:val="auto"/>
                <w:szCs w:val="21"/>
                <w:highlight w:val="none"/>
              </w:rPr>
            </w:pPr>
            <w:r>
              <w:rPr>
                <w:rFonts w:ascii="宋体" w:hAnsi="宋体"/>
                <w:color w:val="auto"/>
                <w:szCs w:val="21"/>
                <w:highlight w:val="none"/>
              </w:rPr>
              <w:t>2  ……</w:t>
            </w:r>
          </w:p>
          <w:p w14:paraId="7552AF64">
            <w:pPr>
              <w:shd w:val="clear"/>
              <w:rPr>
                <w:rFonts w:ascii="宋体" w:hAnsi="宋体"/>
                <w:color w:val="auto"/>
                <w:szCs w:val="21"/>
                <w:highlight w:val="none"/>
              </w:rPr>
            </w:pPr>
            <w:r>
              <w:rPr>
                <w:rFonts w:ascii="宋体" w:hAnsi="宋体"/>
                <w:color w:val="auto"/>
                <w:szCs w:val="21"/>
                <w:highlight w:val="none"/>
              </w:rPr>
              <w:t>3  ……</w:t>
            </w:r>
          </w:p>
          <w:p w14:paraId="418B322A">
            <w:pPr>
              <w:shd w:val="clear"/>
              <w:rPr>
                <w:rFonts w:ascii="宋体" w:hAnsi="宋体"/>
                <w:color w:val="auto"/>
                <w:szCs w:val="21"/>
                <w:highlight w:val="none"/>
              </w:rPr>
            </w:pPr>
            <w:r>
              <w:rPr>
                <w:rFonts w:ascii="宋体" w:hAnsi="宋体"/>
                <w:color w:val="auto"/>
                <w:szCs w:val="21"/>
                <w:highlight w:val="none"/>
              </w:rPr>
              <w:t>……</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00CA7CB0">
            <w:pPr>
              <w:shd w:val="clear"/>
              <w:rPr>
                <w:rFonts w:ascii="宋体" w:hAnsi="宋体"/>
                <w:color w:val="auto"/>
                <w:szCs w:val="21"/>
                <w:highlight w:val="none"/>
              </w:rPr>
            </w:pPr>
            <w:r>
              <w:rPr>
                <w:rFonts w:ascii="宋体" w:hAnsi="宋体"/>
                <w:color w:val="auto"/>
                <w:szCs w:val="21"/>
                <w:highlight w:val="none"/>
              </w:rPr>
              <w:t>……</w:t>
            </w:r>
          </w:p>
        </w:tc>
        <w:tc>
          <w:tcPr>
            <w:tcW w:w="3297" w:type="dxa"/>
            <w:tcBorders>
              <w:top w:val="single" w:color="auto" w:sz="4" w:space="0"/>
              <w:left w:val="single" w:color="auto" w:sz="4" w:space="0"/>
              <w:bottom w:val="single" w:color="auto" w:sz="4" w:space="0"/>
              <w:right w:val="single" w:color="auto" w:sz="4" w:space="0"/>
            </w:tcBorders>
            <w:noWrap w:val="0"/>
            <w:vAlign w:val="center"/>
          </w:tcPr>
          <w:p w14:paraId="6591B640">
            <w:pPr>
              <w:shd w:val="clear"/>
              <w:rPr>
                <w:rFonts w:ascii="宋体" w:hAnsi="宋体"/>
                <w:color w:val="auto"/>
                <w:szCs w:val="21"/>
                <w:highlight w:val="none"/>
              </w:rPr>
            </w:pPr>
            <w:r>
              <w:rPr>
                <w:rFonts w:ascii="宋体" w:hAnsi="宋体"/>
                <w:color w:val="auto"/>
                <w:szCs w:val="21"/>
                <w:highlight w:val="none"/>
              </w:rPr>
              <w:t>1  ……</w:t>
            </w:r>
          </w:p>
          <w:p w14:paraId="124362BA">
            <w:pPr>
              <w:shd w:val="clear"/>
              <w:rPr>
                <w:rFonts w:ascii="宋体" w:hAnsi="宋体"/>
                <w:color w:val="auto"/>
                <w:szCs w:val="21"/>
                <w:highlight w:val="none"/>
              </w:rPr>
            </w:pPr>
            <w:r>
              <w:rPr>
                <w:rFonts w:ascii="宋体" w:hAnsi="宋体"/>
                <w:color w:val="auto"/>
                <w:szCs w:val="21"/>
                <w:highlight w:val="none"/>
              </w:rPr>
              <w:t>2  ……</w:t>
            </w:r>
          </w:p>
          <w:p w14:paraId="3D3DB91B">
            <w:pPr>
              <w:shd w:val="clear"/>
              <w:rPr>
                <w:rFonts w:ascii="宋体" w:hAnsi="宋体"/>
                <w:color w:val="auto"/>
                <w:szCs w:val="21"/>
                <w:highlight w:val="none"/>
              </w:rPr>
            </w:pPr>
            <w:r>
              <w:rPr>
                <w:rFonts w:ascii="宋体" w:hAnsi="宋体"/>
                <w:color w:val="auto"/>
                <w:szCs w:val="21"/>
                <w:highlight w:val="none"/>
              </w:rPr>
              <w:t>3  ……</w:t>
            </w:r>
          </w:p>
          <w:p w14:paraId="39D0CFE7">
            <w:pPr>
              <w:shd w:val="clear"/>
              <w:rPr>
                <w:rFonts w:ascii="宋体" w:hAnsi="宋体"/>
                <w:color w:val="auto"/>
                <w:szCs w:val="21"/>
                <w:highlight w:val="none"/>
              </w:rPr>
            </w:pPr>
            <w:r>
              <w:rPr>
                <w:rFonts w:ascii="宋体" w:hAnsi="宋体"/>
                <w:color w:val="auto"/>
                <w:szCs w:val="21"/>
                <w:highlight w:val="none"/>
              </w:rPr>
              <w:t>……</w:t>
            </w:r>
          </w:p>
        </w:tc>
        <w:tc>
          <w:tcPr>
            <w:tcW w:w="1168" w:type="dxa"/>
            <w:tcBorders>
              <w:top w:val="single" w:color="auto" w:sz="4" w:space="0"/>
              <w:left w:val="single" w:color="auto" w:sz="4" w:space="0"/>
              <w:bottom w:val="single" w:color="auto" w:sz="4" w:space="0"/>
              <w:right w:val="single" w:color="auto" w:sz="4" w:space="0"/>
            </w:tcBorders>
            <w:noWrap w:val="0"/>
            <w:vAlign w:val="center"/>
          </w:tcPr>
          <w:p w14:paraId="705223A1">
            <w:pPr>
              <w:shd w:val="clear"/>
              <w:rPr>
                <w:rFonts w:ascii="宋体" w:hAnsi="宋体"/>
                <w:color w:val="auto"/>
                <w:szCs w:val="21"/>
                <w:highlight w:val="none"/>
              </w:rPr>
            </w:pPr>
            <w:r>
              <w:rPr>
                <w:rFonts w:hint="eastAsia" w:ascii="宋体" w:hAnsi="宋体"/>
                <w:color w:val="auto"/>
                <w:szCs w:val="21"/>
                <w:highlight w:val="none"/>
              </w:rPr>
              <w:t>正偏离（负偏离或无偏离）</w:t>
            </w:r>
          </w:p>
        </w:tc>
      </w:tr>
      <w:tr w14:paraId="18208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14:paraId="71D397DC">
            <w:pPr>
              <w:shd w:val="clear"/>
              <w:rPr>
                <w:rFonts w:ascii="宋体" w:hAnsi="宋体"/>
                <w:color w:val="auto"/>
                <w:szCs w:val="21"/>
                <w:highlight w:val="none"/>
              </w:rPr>
            </w:pPr>
            <w:r>
              <w:rPr>
                <w:rFonts w:ascii="宋体" w:hAnsi="宋体"/>
                <w:color w:val="auto"/>
                <w:szCs w:val="21"/>
                <w:highlight w:val="none"/>
              </w:rPr>
              <w:t>...</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36FF68D">
            <w:pPr>
              <w:shd w:val="clear"/>
              <w:rPr>
                <w:rFonts w:ascii="宋体" w:hAnsi="宋体"/>
                <w:color w:val="auto"/>
                <w:szCs w:val="21"/>
                <w:highlight w:val="none"/>
              </w:rPr>
            </w:pPr>
          </w:p>
        </w:tc>
        <w:tc>
          <w:tcPr>
            <w:tcW w:w="2310" w:type="dxa"/>
            <w:tcBorders>
              <w:top w:val="single" w:color="auto" w:sz="4" w:space="0"/>
              <w:left w:val="single" w:color="auto" w:sz="4" w:space="0"/>
              <w:bottom w:val="single" w:color="auto" w:sz="4" w:space="0"/>
              <w:right w:val="single" w:color="auto" w:sz="4" w:space="0"/>
            </w:tcBorders>
            <w:noWrap w:val="0"/>
            <w:vAlign w:val="center"/>
          </w:tcPr>
          <w:p w14:paraId="7CA17E0A">
            <w:pPr>
              <w:shd w:val="clear"/>
              <w:rPr>
                <w:rFonts w:ascii="宋体" w:hAnsi="宋体"/>
                <w:color w:val="auto"/>
                <w:szCs w:val="21"/>
                <w:highlight w:val="none"/>
              </w:rPr>
            </w:pPr>
          </w:p>
        </w:tc>
        <w:tc>
          <w:tcPr>
            <w:tcW w:w="1516" w:type="dxa"/>
            <w:tcBorders>
              <w:top w:val="single" w:color="auto" w:sz="4" w:space="0"/>
              <w:left w:val="single" w:color="auto" w:sz="4" w:space="0"/>
              <w:bottom w:val="single" w:color="auto" w:sz="4" w:space="0"/>
              <w:right w:val="single" w:color="auto" w:sz="4" w:space="0"/>
            </w:tcBorders>
            <w:noWrap w:val="0"/>
            <w:vAlign w:val="center"/>
          </w:tcPr>
          <w:p w14:paraId="611E9C55">
            <w:pPr>
              <w:shd w:val="clear"/>
              <w:rPr>
                <w:rFonts w:ascii="宋体" w:hAnsi="宋体"/>
                <w:color w:val="auto"/>
                <w:szCs w:val="21"/>
                <w:highlight w:val="none"/>
              </w:rPr>
            </w:pPr>
          </w:p>
        </w:tc>
        <w:tc>
          <w:tcPr>
            <w:tcW w:w="3297" w:type="dxa"/>
            <w:tcBorders>
              <w:top w:val="single" w:color="auto" w:sz="4" w:space="0"/>
              <w:left w:val="single" w:color="auto" w:sz="4" w:space="0"/>
              <w:bottom w:val="single" w:color="auto" w:sz="4" w:space="0"/>
              <w:right w:val="single" w:color="auto" w:sz="4" w:space="0"/>
            </w:tcBorders>
            <w:noWrap w:val="0"/>
            <w:vAlign w:val="center"/>
          </w:tcPr>
          <w:p w14:paraId="00D1B409">
            <w:pPr>
              <w:shd w:val="clear"/>
              <w:rPr>
                <w:rFonts w:ascii="宋体" w:hAnsi="宋体"/>
                <w:color w:val="auto"/>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4DF046E6">
            <w:pPr>
              <w:shd w:val="clear"/>
              <w:rPr>
                <w:rFonts w:ascii="宋体" w:hAnsi="宋体"/>
                <w:color w:val="auto"/>
                <w:szCs w:val="21"/>
                <w:highlight w:val="none"/>
              </w:rPr>
            </w:pPr>
          </w:p>
        </w:tc>
      </w:tr>
      <w:tr w14:paraId="08B8B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0185" w:type="dxa"/>
            <w:gridSpan w:val="6"/>
            <w:tcBorders>
              <w:top w:val="single" w:color="auto" w:sz="4" w:space="0"/>
              <w:left w:val="single" w:color="auto" w:sz="4" w:space="0"/>
              <w:bottom w:val="single" w:color="auto" w:sz="4" w:space="0"/>
              <w:right w:val="single" w:color="auto" w:sz="4" w:space="0"/>
            </w:tcBorders>
            <w:noWrap w:val="0"/>
            <w:vAlign w:val="center"/>
          </w:tcPr>
          <w:p w14:paraId="79A5247E">
            <w:pPr>
              <w:shd w:val="clear"/>
              <w:rPr>
                <w:rFonts w:ascii="宋体" w:hAnsi="宋体"/>
                <w:color w:val="auto"/>
                <w:szCs w:val="21"/>
                <w:highlight w:val="none"/>
              </w:rPr>
            </w:pPr>
            <w:r>
              <w:rPr>
                <w:rFonts w:hint="eastAsia" w:ascii="宋体" w:hAnsi="宋体"/>
                <w:color w:val="auto"/>
                <w:szCs w:val="21"/>
                <w:highlight w:val="none"/>
                <w:u w:val="single"/>
              </w:rPr>
              <w:t>　　</w:t>
            </w:r>
            <w:r>
              <w:rPr>
                <w:rFonts w:hint="eastAsia" w:ascii="宋体" w:hAnsi="宋体"/>
                <w:color w:val="auto"/>
                <w:szCs w:val="21"/>
                <w:highlight w:val="none"/>
              </w:rPr>
              <w:t>分标（此处有分标时填写具体分标号，无分标时填写</w:t>
            </w:r>
            <w:r>
              <w:rPr>
                <w:rFonts w:ascii="宋体" w:hAnsi="宋体"/>
                <w:color w:val="auto"/>
                <w:szCs w:val="21"/>
                <w:highlight w:val="none"/>
              </w:rPr>
              <w:t>“</w:t>
            </w:r>
            <w:r>
              <w:rPr>
                <w:rFonts w:hint="eastAsia" w:ascii="宋体" w:hAnsi="宋体"/>
                <w:color w:val="auto"/>
                <w:szCs w:val="21"/>
                <w:highlight w:val="none"/>
              </w:rPr>
              <w:t>无</w:t>
            </w:r>
            <w:r>
              <w:rPr>
                <w:rFonts w:ascii="宋体" w:hAnsi="宋体"/>
                <w:color w:val="auto"/>
                <w:szCs w:val="21"/>
                <w:highlight w:val="none"/>
              </w:rPr>
              <w:t>”</w:t>
            </w:r>
            <w:r>
              <w:rPr>
                <w:rFonts w:hint="eastAsia" w:ascii="宋体" w:hAnsi="宋体"/>
                <w:color w:val="auto"/>
                <w:szCs w:val="21"/>
                <w:highlight w:val="none"/>
              </w:rPr>
              <w:t>）</w:t>
            </w:r>
          </w:p>
        </w:tc>
      </w:tr>
    </w:tbl>
    <w:p w14:paraId="61BD60B6">
      <w:pPr>
        <w:shd w:val="clear"/>
        <w:spacing w:line="360" w:lineRule="auto"/>
        <w:rPr>
          <w:rFonts w:hint="eastAsia" w:ascii="宋体" w:hAnsi="宋体"/>
          <w:color w:val="auto"/>
          <w:szCs w:val="21"/>
          <w:highlight w:val="none"/>
        </w:rPr>
      </w:pPr>
      <w:r>
        <w:rPr>
          <w:rFonts w:hint="eastAsia" w:ascii="宋体" w:hAnsi="宋体"/>
          <w:color w:val="auto"/>
          <w:szCs w:val="21"/>
          <w:highlight w:val="none"/>
        </w:rPr>
        <w:t>注：</w:t>
      </w:r>
    </w:p>
    <w:p w14:paraId="08A655C2">
      <w:pPr>
        <w:shd w:val="clea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请逐条对应本项目招标文件第二章“服务需求一览表”中“</w:t>
      </w:r>
      <w:r>
        <w:rPr>
          <w:rFonts w:hint="eastAsia" w:ascii="宋体" w:hAnsi="宋体" w:cs="宋体"/>
          <w:color w:val="auto"/>
          <w:szCs w:val="21"/>
          <w:highlight w:val="none"/>
        </w:rPr>
        <w:t>技术服务要求</w:t>
      </w:r>
      <w:r>
        <w:rPr>
          <w:rFonts w:hint="eastAsia" w:ascii="宋体" w:hAnsi="宋体" w:eastAsia="宋体" w:cs="宋体"/>
          <w:color w:val="auto"/>
          <w:szCs w:val="21"/>
          <w:highlight w:val="none"/>
        </w:rPr>
        <w:t>”的要求，详细填写相应的具体内容。</w:t>
      </w:r>
    </w:p>
    <w:p w14:paraId="154D035E">
      <w:pPr>
        <w:shd w:val="clea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.投标人应根据自身的承诺，对照招标文件要求在“偏离说明”中注明“正偏离”、“负偏离”或者“无偏离”。既不属于“正偏离”也不属于“负偏离”即为“无偏离”。</w:t>
      </w:r>
    </w:p>
    <w:p w14:paraId="63E5F435">
      <w:pPr>
        <w:shd w:val="clear"/>
        <w:spacing w:line="360" w:lineRule="auto"/>
        <w:rPr>
          <w:rFonts w:hint="eastAsia" w:ascii="宋体" w:hAnsi="Courier New"/>
          <w:color w:val="auto"/>
          <w:szCs w:val="20"/>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.采购需求中带“▲”及“★”的条款，也要分别在本表“</w:t>
      </w:r>
      <w:r>
        <w:rPr>
          <w:rFonts w:hint="eastAsia" w:ascii="宋体" w:hAnsi="宋体" w:eastAsia="宋体" w:cs="宋体"/>
          <w:color w:val="auto"/>
          <w:szCs w:val="21"/>
          <w:highlight w:val="none"/>
          <w:lang w:val="en-US" w:eastAsia="zh-CN"/>
        </w:rPr>
        <w:t>技术服务要求</w:t>
      </w:r>
      <w:r>
        <w:rPr>
          <w:rFonts w:hint="eastAsia" w:ascii="宋体" w:hAnsi="宋体" w:eastAsia="宋体" w:cs="宋体"/>
          <w:color w:val="auto"/>
          <w:szCs w:val="21"/>
          <w:highlight w:val="none"/>
        </w:rPr>
        <w:t>”、“所提供服务的内容”中标记。</w:t>
      </w:r>
    </w:p>
    <w:p w14:paraId="6B2053D6">
      <w:pPr>
        <w:shd w:val="clear"/>
        <w:snapToGrid w:val="0"/>
        <w:spacing w:line="360" w:lineRule="auto"/>
        <w:ind w:firstLine="5640" w:firstLineChars="2350"/>
        <w:rPr>
          <w:rFonts w:hint="eastAsia" w:ascii="仿宋_GB2312" w:hAnsi="仿宋" w:eastAsia="仿宋_GB2312" w:cs="仿宋_GB2312"/>
          <w:color w:val="auto"/>
          <w:kern w:val="0"/>
          <w:sz w:val="24"/>
          <w:highlight w:val="none"/>
          <w:lang w:val="zh-CN"/>
        </w:rPr>
      </w:pPr>
    </w:p>
    <w:p w14:paraId="5675E9FF">
      <w:pPr>
        <w:shd w:val="clear"/>
        <w:snapToGrid w:val="0"/>
        <w:spacing w:line="360" w:lineRule="auto"/>
        <w:ind w:firstLine="4935" w:firstLineChars="235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zh-CN"/>
        </w:rPr>
        <w:t>投标人名称(电子签章)：</w:t>
      </w:r>
    </w:p>
    <w:p w14:paraId="330EA672">
      <w:pPr>
        <w:shd w:val="clear"/>
        <w:snapToGrid w:val="0"/>
        <w:spacing w:line="360" w:lineRule="auto"/>
        <w:ind w:firstLine="4515" w:firstLineChars="215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日期</w:t>
      </w:r>
      <w:r>
        <w:rPr>
          <w:rFonts w:hint="eastAsia" w:ascii="宋体" w:hAnsi="宋体" w:eastAsia="宋体" w:cs="宋体"/>
          <w:color w:val="auto"/>
          <w:kern w:val="0"/>
          <w:sz w:val="21"/>
          <w:szCs w:val="21"/>
          <w:highlight w:val="none"/>
        </w:rPr>
        <w:t xml:space="preserve">：  年  </w:t>
      </w:r>
      <w:r>
        <w:rPr>
          <w:rFonts w:hint="eastAsia" w:ascii="宋体" w:hAnsi="宋体" w:eastAsia="宋体" w:cs="宋体"/>
          <w:color w:val="auto"/>
          <w:kern w:val="0"/>
          <w:sz w:val="21"/>
          <w:szCs w:val="21"/>
          <w:highlight w:val="none"/>
          <w:lang w:val="zh-CN"/>
        </w:rPr>
        <w:t>月</w:t>
      </w: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lang w:val="zh-CN"/>
        </w:rPr>
        <w:t>日</w:t>
      </w:r>
    </w:p>
    <w:p w14:paraId="545613EF">
      <w:pPr>
        <w:shd w:val="clear"/>
        <w:snapToGrid w:val="0"/>
        <w:spacing w:before="165" w:beforeLines="50" w:after="50"/>
        <w:ind w:left="143" w:leftChars="68" w:firstLine="600" w:firstLineChars="200"/>
        <w:jc w:val="left"/>
        <w:rPr>
          <w:rFonts w:ascii="宋体" w:hAnsi="宋体"/>
          <w:color w:val="auto"/>
          <w:sz w:val="30"/>
          <w:szCs w:val="20"/>
          <w:highlight w:val="none"/>
        </w:rPr>
        <w:sectPr>
          <w:footerReference r:id="rId23" w:type="first"/>
          <w:headerReference r:id="rId20" w:type="default"/>
          <w:footerReference r:id="rId21" w:type="default"/>
          <w:footerReference r:id="rId22" w:type="even"/>
          <w:pgSz w:w="11905" w:h="16838"/>
          <w:pgMar w:top="1134" w:right="1134" w:bottom="1134" w:left="1134" w:header="720" w:footer="720" w:gutter="0"/>
          <w:cols w:space="0" w:num="1"/>
          <w:rtlGutter w:val="0"/>
          <w:docGrid w:type="lines" w:linePitch="331" w:charSpace="0"/>
        </w:sectPr>
      </w:pPr>
    </w:p>
    <w:p w14:paraId="1FF072D9">
      <w:pPr>
        <w:shd w:val="clear"/>
        <w:snapToGrid w:val="0"/>
        <w:spacing w:before="165" w:beforeLines="50" w:after="50"/>
        <w:jc w:val="center"/>
        <w:rPr>
          <w:rFonts w:hint="eastAsia" w:eastAsia="宋体"/>
          <w:b/>
          <w:bCs/>
          <w:color w:val="auto"/>
          <w:sz w:val="30"/>
          <w:szCs w:val="30"/>
          <w:highlight w:val="none"/>
          <w:lang w:eastAsia="zh-CN"/>
        </w:rPr>
      </w:pPr>
      <w:r>
        <w:rPr>
          <w:rFonts w:hint="eastAsia"/>
          <w:b/>
          <w:bCs/>
          <w:color w:val="auto"/>
          <w:sz w:val="30"/>
          <w:szCs w:val="30"/>
          <w:highlight w:val="none"/>
        </w:rPr>
        <w:t>二、</w:t>
      </w:r>
      <w:r>
        <w:rPr>
          <w:rFonts w:hint="eastAsia"/>
          <w:b/>
          <w:bCs/>
          <w:color w:val="auto"/>
          <w:sz w:val="30"/>
          <w:szCs w:val="30"/>
          <w:highlight w:val="none"/>
          <w:lang w:eastAsia="zh-CN"/>
        </w:rPr>
        <w:t>技术服务方案</w:t>
      </w:r>
    </w:p>
    <w:p w14:paraId="14B0DE0D">
      <w:pPr>
        <w:shd w:val="clear"/>
        <w:autoSpaceDE w:val="0"/>
        <w:autoSpaceDN w:val="0"/>
        <w:spacing w:line="360" w:lineRule="auto"/>
        <w:jc w:val="center"/>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（由投标人自行结合“</w:t>
      </w:r>
      <w:r>
        <w:rPr>
          <w:rFonts w:hint="eastAsia" w:ascii="仿宋_GB2312" w:hAnsi="仿宋" w:eastAsia="仿宋_GB2312" w:cs="仿宋_GB2312"/>
          <w:color w:val="auto"/>
          <w:sz w:val="24"/>
          <w:highlight w:val="none"/>
          <w:lang w:val="en-US" w:eastAsia="zh-CN"/>
        </w:rPr>
        <w:t>采购需求</w:t>
      </w:r>
      <w:r>
        <w:rPr>
          <w:rFonts w:hint="eastAsia" w:ascii="仿宋_GB2312" w:hAnsi="仿宋" w:eastAsia="仿宋_GB2312" w:cs="仿宋_GB2312"/>
          <w:color w:val="auto"/>
          <w:sz w:val="24"/>
          <w:highlight w:val="none"/>
        </w:rPr>
        <w:t>”及“评标</w:t>
      </w:r>
      <w:r>
        <w:rPr>
          <w:rFonts w:hint="eastAsia" w:ascii="仿宋_GB2312" w:hAnsi="仿宋" w:eastAsia="仿宋_GB2312" w:cs="仿宋_GB2312"/>
          <w:color w:val="auto"/>
          <w:sz w:val="24"/>
          <w:highlight w:val="none"/>
          <w:lang w:val="en-US" w:eastAsia="zh-CN"/>
        </w:rPr>
        <w:t>方法及评分标准</w:t>
      </w:r>
      <w:r>
        <w:rPr>
          <w:rFonts w:hint="eastAsia" w:ascii="仿宋_GB2312" w:hAnsi="仿宋" w:eastAsia="仿宋_GB2312" w:cs="仿宋_GB2312"/>
          <w:color w:val="auto"/>
          <w:sz w:val="24"/>
          <w:highlight w:val="none"/>
        </w:rPr>
        <w:t>”编制，格式自拟）</w:t>
      </w:r>
    </w:p>
    <w:p w14:paraId="6E40D3E2">
      <w:pPr>
        <w:shd w:val="clear"/>
        <w:rPr>
          <w:rFonts w:hint="eastAsia" w:ascii="仿宋_GB2312" w:hAnsi="仿宋" w:eastAsia="仿宋_GB2312" w:cs="仿宋_GB2312"/>
          <w:b/>
          <w:bCs/>
          <w:color w:val="auto"/>
          <w:kern w:val="0"/>
          <w:sz w:val="24"/>
          <w:highlight w:val="none"/>
          <w:lang w:val="zh-CN"/>
        </w:rPr>
      </w:pPr>
    </w:p>
    <w:p w14:paraId="0E1B3BF6">
      <w:pPr>
        <w:shd w:val="clear"/>
        <w:snapToGrid w:val="0"/>
        <w:spacing w:line="360" w:lineRule="auto"/>
        <w:rPr>
          <w:rFonts w:hAnsi="宋体"/>
          <w:color w:val="auto"/>
          <w:szCs w:val="21"/>
          <w:highlight w:val="none"/>
        </w:rPr>
      </w:pPr>
      <w:r>
        <w:rPr>
          <w:rFonts w:hAnsi="宋体"/>
          <w:color w:val="auto"/>
          <w:szCs w:val="21"/>
          <w:highlight w:val="none"/>
        </w:rPr>
        <w:t xml:space="preserve"> </w:t>
      </w:r>
    </w:p>
    <w:p w14:paraId="10894D6B">
      <w:pPr>
        <w:shd w:val="clear"/>
        <w:snapToGrid w:val="0"/>
        <w:spacing w:line="360" w:lineRule="auto"/>
        <w:rPr>
          <w:rFonts w:hAnsi="宋体"/>
          <w:color w:val="auto"/>
          <w:szCs w:val="21"/>
          <w:highlight w:val="none"/>
        </w:rPr>
      </w:pPr>
    </w:p>
    <w:p w14:paraId="700EF798">
      <w:pPr>
        <w:shd w:val="clear"/>
        <w:snapToGrid w:val="0"/>
        <w:spacing w:line="360" w:lineRule="auto"/>
        <w:ind w:firstLine="4515" w:firstLineChars="215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zh-CN"/>
        </w:rPr>
        <w:t>投标人名称(电子签章)：</w:t>
      </w:r>
    </w:p>
    <w:p w14:paraId="76B36FE3">
      <w:pPr>
        <w:shd w:val="clear"/>
        <w:snapToGrid w:val="0"/>
        <w:spacing w:line="360" w:lineRule="auto"/>
        <w:ind w:firstLine="4515" w:firstLineChars="215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日期</w:t>
      </w:r>
      <w:r>
        <w:rPr>
          <w:rFonts w:hint="eastAsia" w:ascii="宋体" w:hAnsi="宋体" w:eastAsia="宋体" w:cs="宋体"/>
          <w:color w:val="auto"/>
          <w:kern w:val="0"/>
          <w:sz w:val="21"/>
          <w:szCs w:val="21"/>
          <w:highlight w:val="none"/>
        </w:rPr>
        <w:t xml:space="preserve">：  年  </w:t>
      </w:r>
      <w:r>
        <w:rPr>
          <w:rFonts w:hint="eastAsia" w:ascii="宋体" w:hAnsi="宋体" w:eastAsia="宋体" w:cs="宋体"/>
          <w:color w:val="auto"/>
          <w:kern w:val="0"/>
          <w:sz w:val="21"/>
          <w:szCs w:val="21"/>
          <w:highlight w:val="none"/>
          <w:lang w:val="zh-CN"/>
        </w:rPr>
        <w:t>月</w:t>
      </w: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lang w:val="zh-CN"/>
        </w:rPr>
        <w:t>日</w:t>
      </w:r>
    </w:p>
    <w:p w14:paraId="4500A02C">
      <w:pPr>
        <w:shd w:val="clear"/>
        <w:snapToGrid w:val="0"/>
        <w:spacing w:line="360" w:lineRule="auto"/>
        <w:rPr>
          <w:rFonts w:hint="eastAsia" w:hAnsi="宋体"/>
          <w:color w:val="auto"/>
          <w:szCs w:val="21"/>
          <w:highlight w:val="none"/>
        </w:rPr>
      </w:pPr>
    </w:p>
    <w:p w14:paraId="17FDCF60">
      <w:pPr>
        <w:shd w:val="clear"/>
        <w:snapToGrid w:val="0"/>
        <w:spacing w:line="360" w:lineRule="auto"/>
        <w:rPr>
          <w:rFonts w:hint="eastAsia" w:hAnsi="宋体"/>
          <w:color w:val="auto"/>
          <w:szCs w:val="21"/>
          <w:highlight w:val="none"/>
        </w:rPr>
      </w:pPr>
    </w:p>
    <w:p w14:paraId="382A8549">
      <w:pPr>
        <w:shd w:val="clear"/>
        <w:snapToGrid w:val="0"/>
        <w:spacing w:before="165" w:beforeLines="50" w:after="50" w:line="240" w:lineRule="auto"/>
        <w:ind w:firstLine="0" w:firstLineChars="0"/>
        <w:jc w:val="center"/>
        <w:rPr>
          <w:rFonts w:hint="eastAsia" w:ascii="Times New Roman" w:hAnsi="Times New Roman" w:eastAsia="宋体" w:cs="Times New Roman"/>
          <w:b/>
          <w:bCs/>
          <w:color w:val="auto"/>
          <w:kern w:val="2"/>
          <w:sz w:val="30"/>
          <w:szCs w:val="30"/>
          <w:highlight w:val="none"/>
          <w:lang w:val="zh-CN"/>
        </w:rPr>
      </w:pPr>
      <w:r>
        <w:rPr>
          <w:rFonts w:hint="eastAsia" w:ascii="Times New Roman" w:hAnsi="Times New Roman" w:eastAsia="宋体" w:cs="Times New Roman"/>
          <w:b/>
          <w:bCs/>
          <w:color w:val="auto"/>
          <w:kern w:val="2"/>
          <w:sz w:val="30"/>
          <w:szCs w:val="30"/>
          <w:highlight w:val="none"/>
          <w:lang w:val="en-US" w:eastAsia="zh-CN"/>
        </w:rPr>
        <w:t>三、</w:t>
      </w:r>
      <w:r>
        <w:rPr>
          <w:rFonts w:hint="eastAsia" w:ascii="Times New Roman" w:hAnsi="Times New Roman" w:eastAsia="宋体" w:cs="Times New Roman"/>
          <w:b/>
          <w:bCs/>
          <w:color w:val="auto"/>
          <w:kern w:val="2"/>
          <w:sz w:val="30"/>
          <w:szCs w:val="30"/>
          <w:highlight w:val="none"/>
          <w:lang w:val="zh-CN"/>
        </w:rPr>
        <w:t>拟投入人员一览表</w:t>
      </w:r>
    </w:p>
    <w:p w14:paraId="18EAFE2B">
      <w:pPr>
        <w:shd w:val="clear"/>
        <w:spacing w:line="360" w:lineRule="auto"/>
        <w:jc w:val="center"/>
        <w:rPr>
          <w:rFonts w:hint="eastAsia" w:ascii="仿宋_GB2312" w:hAnsi="仿宋" w:eastAsia="仿宋_GB2312" w:cs="仿宋_GB2312"/>
          <w:b/>
          <w:bCs/>
          <w:color w:val="auto"/>
          <w:sz w:val="24"/>
          <w:highlight w:val="none"/>
        </w:rPr>
      </w:pPr>
    </w:p>
    <w:p w14:paraId="041E7159">
      <w:pPr>
        <w:shd w:val="clear"/>
        <w:rPr>
          <w:rFonts w:hint="eastAsia" w:ascii="宋体" w:hAnsi="Courier New"/>
          <w:color w:val="auto"/>
          <w:sz w:val="24"/>
          <w:highlight w:val="none"/>
        </w:rPr>
      </w:pPr>
    </w:p>
    <w:p w14:paraId="4E2A9B3C">
      <w:pPr>
        <w:shd w:val="clear"/>
        <w:rPr>
          <w:rFonts w:hint="eastAsia" w:ascii="宋体" w:hAnsi="Courier New"/>
          <w:color w:val="auto"/>
          <w:sz w:val="24"/>
          <w:highlight w:val="none"/>
        </w:rPr>
      </w:pPr>
      <w:r>
        <w:rPr>
          <w:rFonts w:hint="eastAsia" w:ascii="宋体" w:hAnsi="Courier New"/>
          <w:color w:val="auto"/>
          <w:sz w:val="24"/>
          <w:highlight w:val="none"/>
        </w:rPr>
        <w:t>所投分标：</w:t>
      </w:r>
      <w:r>
        <w:rPr>
          <w:rFonts w:hint="eastAsia" w:ascii="宋体" w:hAnsi="Courier New"/>
          <w:color w:val="auto"/>
          <w:sz w:val="24"/>
          <w:highlight w:val="none"/>
          <w:u w:val="single"/>
        </w:rPr>
        <w:t xml:space="preserve">     </w:t>
      </w:r>
      <w:r>
        <w:rPr>
          <w:rFonts w:hint="eastAsia" w:ascii="宋体" w:hAnsi="Courier New"/>
          <w:color w:val="auto"/>
          <w:sz w:val="24"/>
          <w:highlight w:val="none"/>
        </w:rPr>
        <w:t>分标</w:t>
      </w:r>
    </w:p>
    <w:tbl>
      <w:tblPr>
        <w:tblStyle w:val="33"/>
        <w:tblW w:w="0" w:type="auto"/>
        <w:tblInd w:w="108" w:type="dxa"/>
        <w:tblLayout w:type="fixed"/>
        <w:tblCellMar>
          <w:top w:w="0" w:type="dxa"/>
          <w:left w:w="108" w:type="dxa"/>
          <w:bottom w:w="0" w:type="dxa"/>
          <w:right w:w="108" w:type="dxa"/>
        </w:tblCellMar>
      </w:tblPr>
      <w:tblGrid>
        <w:gridCol w:w="420"/>
        <w:gridCol w:w="787"/>
        <w:gridCol w:w="412"/>
        <w:gridCol w:w="586"/>
        <w:gridCol w:w="1035"/>
        <w:gridCol w:w="1080"/>
        <w:gridCol w:w="1854"/>
        <w:gridCol w:w="1065"/>
        <w:gridCol w:w="855"/>
        <w:gridCol w:w="936"/>
      </w:tblGrid>
      <w:tr w14:paraId="1F752F9F">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noWrap w:val="0"/>
            <w:vAlign w:val="center"/>
          </w:tcPr>
          <w:p w14:paraId="18685353">
            <w:pPr>
              <w:shd w:val="clea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787" w:type="dxa"/>
            <w:tcBorders>
              <w:top w:val="single" w:color="auto" w:sz="6" w:space="0"/>
              <w:left w:val="single" w:color="auto" w:sz="6" w:space="0"/>
              <w:bottom w:val="single" w:color="auto" w:sz="6" w:space="0"/>
              <w:right w:val="single" w:color="auto" w:sz="6" w:space="0"/>
            </w:tcBorders>
            <w:noWrap w:val="0"/>
            <w:vAlign w:val="center"/>
          </w:tcPr>
          <w:p w14:paraId="6C58695F">
            <w:pPr>
              <w:shd w:val="clea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w:t>
            </w:r>
          </w:p>
        </w:tc>
        <w:tc>
          <w:tcPr>
            <w:tcW w:w="412" w:type="dxa"/>
            <w:tcBorders>
              <w:top w:val="single" w:color="auto" w:sz="6" w:space="0"/>
              <w:left w:val="single" w:color="auto" w:sz="6" w:space="0"/>
              <w:bottom w:val="single" w:color="auto" w:sz="6" w:space="0"/>
              <w:right w:val="single" w:color="auto" w:sz="6" w:space="0"/>
            </w:tcBorders>
            <w:noWrap w:val="0"/>
            <w:vAlign w:val="center"/>
          </w:tcPr>
          <w:p w14:paraId="0518F9D5">
            <w:pPr>
              <w:shd w:val="clea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性别</w:t>
            </w:r>
          </w:p>
        </w:tc>
        <w:tc>
          <w:tcPr>
            <w:tcW w:w="586" w:type="dxa"/>
            <w:tcBorders>
              <w:top w:val="single" w:color="auto" w:sz="6" w:space="0"/>
              <w:left w:val="single" w:color="auto" w:sz="6" w:space="0"/>
              <w:bottom w:val="single" w:color="auto" w:sz="6" w:space="0"/>
              <w:right w:val="single" w:color="auto" w:sz="6" w:space="0"/>
            </w:tcBorders>
            <w:noWrap w:val="0"/>
            <w:vAlign w:val="center"/>
          </w:tcPr>
          <w:p w14:paraId="053BFC3A">
            <w:pPr>
              <w:shd w:val="clea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年龄</w:t>
            </w:r>
          </w:p>
        </w:tc>
        <w:tc>
          <w:tcPr>
            <w:tcW w:w="1035" w:type="dxa"/>
            <w:tcBorders>
              <w:top w:val="single" w:color="auto" w:sz="6" w:space="0"/>
              <w:left w:val="single" w:color="auto" w:sz="6" w:space="0"/>
              <w:bottom w:val="single" w:color="auto" w:sz="6" w:space="0"/>
              <w:right w:val="single" w:color="auto" w:sz="6" w:space="0"/>
            </w:tcBorders>
            <w:noWrap w:val="0"/>
            <w:vAlign w:val="center"/>
          </w:tcPr>
          <w:p w14:paraId="692009C3">
            <w:pPr>
              <w:shd w:val="clea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学历</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3CDB219F">
            <w:pPr>
              <w:shd w:val="clea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专业</w:t>
            </w:r>
          </w:p>
        </w:tc>
        <w:tc>
          <w:tcPr>
            <w:tcW w:w="1854" w:type="dxa"/>
            <w:tcBorders>
              <w:top w:val="single" w:color="auto" w:sz="6" w:space="0"/>
              <w:left w:val="single" w:color="auto" w:sz="6" w:space="0"/>
              <w:bottom w:val="single" w:color="auto" w:sz="6" w:space="0"/>
              <w:right w:val="single" w:color="auto" w:sz="6" w:space="0"/>
            </w:tcBorders>
            <w:noWrap w:val="0"/>
            <w:vAlign w:val="center"/>
          </w:tcPr>
          <w:p w14:paraId="54CF7F51">
            <w:pPr>
              <w:shd w:val="clea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专业技术资格（职称）或者职业资格或者执业资格证或者其他证书</w:t>
            </w:r>
          </w:p>
        </w:tc>
        <w:tc>
          <w:tcPr>
            <w:tcW w:w="1065" w:type="dxa"/>
            <w:tcBorders>
              <w:top w:val="single" w:color="auto" w:sz="6" w:space="0"/>
              <w:left w:val="single" w:color="auto" w:sz="6" w:space="0"/>
              <w:bottom w:val="single" w:color="auto" w:sz="6" w:space="0"/>
              <w:right w:val="single" w:color="auto" w:sz="6" w:space="0"/>
            </w:tcBorders>
            <w:noWrap w:val="0"/>
            <w:vAlign w:val="center"/>
          </w:tcPr>
          <w:p w14:paraId="51FEF096">
            <w:pPr>
              <w:shd w:val="clea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本项目中的职责</w:t>
            </w:r>
          </w:p>
        </w:tc>
        <w:tc>
          <w:tcPr>
            <w:tcW w:w="855" w:type="dxa"/>
            <w:tcBorders>
              <w:top w:val="single" w:color="auto" w:sz="6" w:space="0"/>
              <w:left w:val="single" w:color="auto" w:sz="6" w:space="0"/>
              <w:bottom w:val="single" w:color="auto" w:sz="6" w:space="0"/>
              <w:right w:val="single" w:color="auto" w:sz="6" w:space="0"/>
            </w:tcBorders>
            <w:noWrap w:val="0"/>
            <w:vAlign w:val="center"/>
          </w:tcPr>
          <w:p w14:paraId="12EA962F">
            <w:pPr>
              <w:shd w:val="clea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项目经历</w:t>
            </w:r>
          </w:p>
        </w:tc>
        <w:tc>
          <w:tcPr>
            <w:tcW w:w="936" w:type="dxa"/>
            <w:tcBorders>
              <w:top w:val="single" w:color="auto" w:sz="6" w:space="0"/>
              <w:left w:val="single" w:color="auto" w:sz="6" w:space="0"/>
              <w:bottom w:val="single" w:color="auto" w:sz="6" w:space="0"/>
              <w:right w:val="single" w:color="auto" w:sz="6" w:space="0"/>
            </w:tcBorders>
            <w:noWrap w:val="0"/>
            <w:vAlign w:val="center"/>
          </w:tcPr>
          <w:p w14:paraId="404BCFF8">
            <w:pPr>
              <w:shd w:val="clea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证明材料（页码）</w:t>
            </w:r>
          </w:p>
        </w:tc>
      </w:tr>
      <w:tr w14:paraId="56F62487">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noWrap w:val="0"/>
            <w:vAlign w:val="top"/>
          </w:tcPr>
          <w:p w14:paraId="08A4EA3E">
            <w:pPr>
              <w:shd w:val="clear"/>
              <w:autoSpaceDE w:val="0"/>
              <w:autoSpaceDN w:val="0"/>
              <w:spacing w:line="360" w:lineRule="auto"/>
              <w:jc w:val="center"/>
              <w:rPr>
                <w:rFonts w:hint="eastAsia" w:ascii="宋体" w:hAnsi="宋体" w:eastAsia="宋体" w:cs="宋体"/>
                <w:color w:val="auto"/>
                <w:sz w:val="21"/>
                <w:szCs w:val="21"/>
                <w:highlight w:val="none"/>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1479CAB4">
            <w:pPr>
              <w:shd w:val="clear"/>
              <w:autoSpaceDE w:val="0"/>
              <w:autoSpaceDN w:val="0"/>
              <w:spacing w:line="360" w:lineRule="auto"/>
              <w:rPr>
                <w:rFonts w:hint="eastAsia" w:ascii="宋体" w:hAnsi="宋体" w:eastAsia="宋体" w:cs="宋体"/>
                <w:color w:val="auto"/>
                <w:sz w:val="21"/>
                <w:szCs w:val="21"/>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2292A08D">
            <w:pPr>
              <w:shd w:val="clear"/>
              <w:autoSpaceDE w:val="0"/>
              <w:autoSpaceDN w:val="0"/>
              <w:spacing w:line="360" w:lineRule="auto"/>
              <w:rPr>
                <w:rFonts w:hint="eastAsia" w:ascii="宋体" w:hAnsi="宋体" w:eastAsia="宋体" w:cs="宋体"/>
                <w:color w:val="auto"/>
                <w:sz w:val="21"/>
                <w:szCs w:val="21"/>
                <w:highlight w:val="none"/>
              </w:rPr>
            </w:pPr>
          </w:p>
        </w:tc>
        <w:tc>
          <w:tcPr>
            <w:tcW w:w="586" w:type="dxa"/>
            <w:tcBorders>
              <w:top w:val="single" w:color="auto" w:sz="6" w:space="0"/>
              <w:left w:val="single" w:color="auto" w:sz="6" w:space="0"/>
              <w:bottom w:val="single" w:color="auto" w:sz="6" w:space="0"/>
              <w:right w:val="single" w:color="auto" w:sz="6" w:space="0"/>
            </w:tcBorders>
            <w:noWrap w:val="0"/>
            <w:vAlign w:val="top"/>
          </w:tcPr>
          <w:p w14:paraId="18BB1A85">
            <w:pPr>
              <w:shd w:val="clear"/>
              <w:autoSpaceDE w:val="0"/>
              <w:autoSpaceDN w:val="0"/>
              <w:spacing w:line="360" w:lineRule="auto"/>
              <w:rPr>
                <w:rFonts w:hint="eastAsia" w:ascii="宋体" w:hAnsi="宋体" w:eastAsia="宋体" w:cs="宋体"/>
                <w:color w:val="auto"/>
                <w:sz w:val="21"/>
                <w:szCs w:val="21"/>
                <w:highlight w:val="none"/>
              </w:rPr>
            </w:pPr>
          </w:p>
        </w:tc>
        <w:tc>
          <w:tcPr>
            <w:tcW w:w="1035" w:type="dxa"/>
            <w:tcBorders>
              <w:top w:val="single" w:color="auto" w:sz="6" w:space="0"/>
              <w:left w:val="single" w:color="auto" w:sz="6" w:space="0"/>
              <w:bottom w:val="single" w:color="auto" w:sz="6" w:space="0"/>
              <w:right w:val="single" w:color="auto" w:sz="6" w:space="0"/>
            </w:tcBorders>
            <w:noWrap w:val="0"/>
            <w:vAlign w:val="top"/>
          </w:tcPr>
          <w:p w14:paraId="5B1390DB">
            <w:pPr>
              <w:shd w:val="clear"/>
              <w:autoSpaceDE w:val="0"/>
              <w:autoSpaceDN w:val="0"/>
              <w:spacing w:line="360" w:lineRule="auto"/>
              <w:rPr>
                <w:rFonts w:hint="eastAsia" w:ascii="宋体" w:hAnsi="宋体" w:eastAsia="宋体" w:cs="宋体"/>
                <w:color w:val="auto"/>
                <w:sz w:val="21"/>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3D9A8E0E">
            <w:pPr>
              <w:shd w:val="clear"/>
              <w:autoSpaceDE w:val="0"/>
              <w:autoSpaceDN w:val="0"/>
              <w:spacing w:line="360" w:lineRule="auto"/>
              <w:rPr>
                <w:rFonts w:hint="eastAsia" w:ascii="宋体" w:hAnsi="宋体" w:eastAsia="宋体" w:cs="宋体"/>
                <w:color w:val="auto"/>
                <w:sz w:val="21"/>
                <w:szCs w:val="21"/>
                <w:highlight w:val="none"/>
              </w:rPr>
            </w:pPr>
          </w:p>
        </w:tc>
        <w:tc>
          <w:tcPr>
            <w:tcW w:w="1854" w:type="dxa"/>
            <w:tcBorders>
              <w:top w:val="single" w:color="auto" w:sz="6" w:space="0"/>
              <w:left w:val="single" w:color="auto" w:sz="6" w:space="0"/>
              <w:bottom w:val="single" w:color="auto" w:sz="6" w:space="0"/>
              <w:right w:val="single" w:color="auto" w:sz="6" w:space="0"/>
            </w:tcBorders>
            <w:noWrap w:val="0"/>
            <w:vAlign w:val="top"/>
          </w:tcPr>
          <w:p w14:paraId="4DB7D878">
            <w:pPr>
              <w:shd w:val="clear"/>
              <w:autoSpaceDE w:val="0"/>
              <w:autoSpaceDN w:val="0"/>
              <w:spacing w:line="360" w:lineRule="auto"/>
              <w:rPr>
                <w:rFonts w:hint="eastAsia" w:ascii="宋体" w:hAnsi="宋体" w:eastAsia="宋体" w:cs="宋体"/>
                <w:color w:val="auto"/>
                <w:sz w:val="21"/>
                <w:szCs w:val="21"/>
                <w:highlight w:val="none"/>
              </w:rPr>
            </w:pPr>
          </w:p>
        </w:tc>
        <w:tc>
          <w:tcPr>
            <w:tcW w:w="1065" w:type="dxa"/>
            <w:tcBorders>
              <w:top w:val="single" w:color="auto" w:sz="6" w:space="0"/>
              <w:left w:val="single" w:color="auto" w:sz="6" w:space="0"/>
              <w:bottom w:val="single" w:color="auto" w:sz="6" w:space="0"/>
              <w:right w:val="single" w:color="auto" w:sz="6" w:space="0"/>
            </w:tcBorders>
            <w:noWrap w:val="0"/>
            <w:vAlign w:val="top"/>
          </w:tcPr>
          <w:p w14:paraId="2B568FD6">
            <w:pPr>
              <w:shd w:val="clear"/>
              <w:autoSpaceDE w:val="0"/>
              <w:autoSpaceDN w:val="0"/>
              <w:spacing w:line="360" w:lineRule="auto"/>
              <w:rPr>
                <w:rFonts w:hint="eastAsia" w:ascii="宋体" w:hAnsi="宋体" w:eastAsia="宋体" w:cs="宋体"/>
                <w:color w:val="auto"/>
                <w:sz w:val="21"/>
                <w:szCs w:val="21"/>
                <w:highlight w:val="none"/>
              </w:rPr>
            </w:pPr>
          </w:p>
        </w:tc>
        <w:tc>
          <w:tcPr>
            <w:tcW w:w="855" w:type="dxa"/>
            <w:tcBorders>
              <w:top w:val="single" w:color="auto" w:sz="6" w:space="0"/>
              <w:left w:val="single" w:color="auto" w:sz="6" w:space="0"/>
              <w:bottom w:val="single" w:color="auto" w:sz="6" w:space="0"/>
              <w:right w:val="single" w:color="auto" w:sz="6" w:space="0"/>
            </w:tcBorders>
            <w:noWrap w:val="0"/>
            <w:vAlign w:val="top"/>
          </w:tcPr>
          <w:p w14:paraId="3EE7B2C4">
            <w:pPr>
              <w:shd w:val="clear"/>
              <w:autoSpaceDE w:val="0"/>
              <w:autoSpaceDN w:val="0"/>
              <w:spacing w:line="360" w:lineRule="auto"/>
              <w:rPr>
                <w:rFonts w:hint="eastAsia" w:ascii="宋体" w:hAnsi="宋体" w:eastAsia="宋体" w:cs="宋体"/>
                <w:color w:val="auto"/>
                <w:sz w:val="21"/>
                <w:szCs w:val="21"/>
                <w:highlight w:val="none"/>
              </w:rPr>
            </w:pPr>
          </w:p>
        </w:tc>
        <w:tc>
          <w:tcPr>
            <w:tcW w:w="936" w:type="dxa"/>
            <w:tcBorders>
              <w:top w:val="single" w:color="auto" w:sz="6" w:space="0"/>
              <w:left w:val="single" w:color="auto" w:sz="6" w:space="0"/>
              <w:bottom w:val="single" w:color="auto" w:sz="6" w:space="0"/>
              <w:right w:val="single" w:color="auto" w:sz="6" w:space="0"/>
            </w:tcBorders>
            <w:noWrap w:val="0"/>
            <w:vAlign w:val="top"/>
          </w:tcPr>
          <w:p w14:paraId="6F76289E">
            <w:pPr>
              <w:shd w:val="clear"/>
              <w:autoSpaceDE w:val="0"/>
              <w:autoSpaceDN w:val="0"/>
              <w:spacing w:line="360" w:lineRule="auto"/>
              <w:rPr>
                <w:rFonts w:hint="eastAsia" w:ascii="宋体" w:hAnsi="宋体" w:eastAsia="宋体" w:cs="宋体"/>
                <w:color w:val="auto"/>
                <w:sz w:val="21"/>
                <w:szCs w:val="21"/>
                <w:highlight w:val="none"/>
              </w:rPr>
            </w:pPr>
          </w:p>
        </w:tc>
      </w:tr>
      <w:tr w14:paraId="25A8179E">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noWrap w:val="0"/>
            <w:vAlign w:val="top"/>
          </w:tcPr>
          <w:p w14:paraId="42FCCB7C">
            <w:pPr>
              <w:shd w:val="clear"/>
              <w:autoSpaceDE w:val="0"/>
              <w:autoSpaceDN w:val="0"/>
              <w:spacing w:line="360" w:lineRule="auto"/>
              <w:jc w:val="center"/>
              <w:rPr>
                <w:rFonts w:hint="eastAsia" w:ascii="宋体" w:hAnsi="宋体" w:eastAsia="宋体" w:cs="宋体"/>
                <w:color w:val="auto"/>
                <w:sz w:val="21"/>
                <w:szCs w:val="21"/>
                <w:highlight w:val="none"/>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4DED60D7">
            <w:pPr>
              <w:shd w:val="clear"/>
              <w:autoSpaceDE w:val="0"/>
              <w:autoSpaceDN w:val="0"/>
              <w:spacing w:line="360" w:lineRule="auto"/>
              <w:rPr>
                <w:rFonts w:hint="eastAsia" w:ascii="宋体" w:hAnsi="宋体" w:eastAsia="宋体" w:cs="宋体"/>
                <w:color w:val="auto"/>
                <w:sz w:val="21"/>
                <w:szCs w:val="21"/>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6377E0CE">
            <w:pPr>
              <w:shd w:val="clear"/>
              <w:autoSpaceDE w:val="0"/>
              <w:autoSpaceDN w:val="0"/>
              <w:spacing w:line="360" w:lineRule="auto"/>
              <w:rPr>
                <w:rFonts w:hint="eastAsia" w:ascii="宋体" w:hAnsi="宋体" w:eastAsia="宋体" w:cs="宋体"/>
                <w:color w:val="auto"/>
                <w:sz w:val="21"/>
                <w:szCs w:val="21"/>
                <w:highlight w:val="none"/>
              </w:rPr>
            </w:pPr>
          </w:p>
        </w:tc>
        <w:tc>
          <w:tcPr>
            <w:tcW w:w="586" w:type="dxa"/>
            <w:tcBorders>
              <w:top w:val="single" w:color="auto" w:sz="6" w:space="0"/>
              <w:left w:val="single" w:color="auto" w:sz="6" w:space="0"/>
              <w:bottom w:val="single" w:color="auto" w:sz="6" w:space="0"/>
              <w:right w:val="single" w:color="auto" w:sz="6" w:space="0"/>
            </w:tcBorders>
            <w:noWrap w:val="0"/>
            <w:vAlign w:val="top"/>
          </w:tcPr>
          <w:p w14:paraId="7A3D1D67">
            <w:pPr>
              <w:shd w:val="clear"/>
              <w:autoSpaceDE w:val="0"/>
              <w:autoSpaceDN w:val="0"/>
              <w:spacing w:line="360" w:lineRule="auto"/>
              <w:rPr>
                <w:rFonts w:hint="eastAsia" w:ascii="宋体" w:hAnsi="宋体" w:eastAsia="宋体" w:cs="宋体"/>
                <w:color w:val="auto"/>
                <w:sz w:val="21"/>
                <w:szCs w:val="21"/>
                <w:highlight w:val="none"/>
              </w:rPr>
            </w:pPr>
          </w:p>
        </w:tc>
        <w:tc>
          <w:tcPr>
            <w:tcW w:w="1035" w:type="dxa"/>
            <w:tcBorders>
              <w:top w:val="single" w:color="auto" w:sz="6" w:space="0"/>
              <w:left w:val="single" w:color="auto" w:sz="6" w:space="0"/>
              <w:bottom w:val="single" w:color="auto" w:sz="6" w:space="0"/>
              <w:right w:val="single" w:color="auto" w:sz="6" w:space="0"/>
            </w:tcBorders>
            <w:noWrap w:val="0"/>
            <w:vAlign w:val="top"/>
          </w:tcPr>
          <w:p w14:paraId="4A86D2D3">
            <w:pPr>
              <w:shd w:val="clear"/>
              <w:autoSpaceDE w:val="0"/>
              <w:autoSpaceDN w:val="0"/>
              <w:spacing w:line="360" w:lineRule="auto"/>
              <w:rPr>
                <w:rFonts w:hint="eastAsia" w:ascii="宋体" w:hAnsi="宋体" w:eastAsia="宋体" w:cs="宋体"/>
                <w:color w:val="auto"/>
                <w:sz w:val="21"/>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5E584B11">
            <w:pPr>
              <w:shd w:val="clear"/>
              <w:autoSpaceDE w:val="0"/>
              <w:autoSpaceDN w:val="0"/>
              <w:spacing w:line="360" w:lineRule="auto"/>
              <w:rPr>
                <w:rFonts w:hint="eastAsia" w:ascii="宋体" w:hAnsi="宋体" w:eastAsia="宋体" w:cs="宋体"/>
                <w:color w:val="auto"/>
                <w:sz w:val="21"/>
                <w:szCs w:val="21"/>
                <w:highlight w:val="none"/>
              </w:rPr>
            </w:pPr>
          </w:p>
        </w:tc>
        <w:tc>
          <w:tcPr>
            <w:tcW w:w="1854" w:type="dxa"/>
            <w:tcBorders>
              <w:top w:val="single" w:color="auto" w:sz="6" w:space="0"/>
              <w:left w:val="single" w:color="auto" w:sz="6" w:space="0"/>
              <w:bottom w:val="single" w:color="auto" w:sz="6" w:space="0"/>
              <w:right w:val="single" w:color="auto" w:sz="6" w:space="0"/>
            </w:tcBorders>
            <w:noWrap w:val="0"/>
            <w:vAlign w:val="top"/>
          </w:tcPr>
          <w:p w14:paraId="6622A529">
            <w:pPr>
              <w:shd w:val="clear"/>
              <w:autoSpaceDE w:val="0"/>
              <w:autoSpaceDN w:val="0"/>
              <w:spacing w:line="360" w:lineRule="auto"/>
              <w:rPr>
                <w:rFonts w:hint="eastAsia" w:ascii="宋体" w:hAnsi="宋体" w:eastAsia="宋体" w:cs="宋体"/>
                <w:color w:val="auto"/>
                <w:sz w:val="21"/>
                <w:szCs w:val="21"/>
                <w:highlight w:val="none"/>
              </w:rPr>
            </w:pPr>
          </w:p>
        </w:tc>
        <w:tc>
          <w:tcPr>
            <w:tcW w:w="1065" w:type="dxa"/>
            <w:tcBorders>
              <w:top w:val="single" w:color="auto" w:sz="6" w:space="0"/>
              <w:left w:val="single" w:color="auto" w:sz="6" w:space="0"/>
              <w:bottom w:val="single" w:color="auto" w:sz="6" w:space="0"/>
              <w:right w:val="single" w:color="auto" w:sz="6" w:space="0"/>
            </w:tcBorders>
            <w:noWrap w:val="0"/>
            <w:vAlign w:val="top"/>
          </w:tcPr>
          <w:p w14:paraId="4C340275">
            <w:pPr>
              <w:shd w:val="clear"/>
              <w:autoSpaceDE w:val="0"/>
              <w:autoSpaceDN w:val="0"/>
              <w:spacing w:line="360" w:lineRule="auto"/>
              <w:rPr>
                <w:rFonts w:hint="eastAsia" w:ascii="宋体" w:hAnsi="宋体" w:eastAsia="宋体" w:cs="宋体"/>
                <w:color w:val="auto"/>
                <w:sz w:val="21"/>
                <w:szCs w:val="21"/>
                <w:highlight w:val="none"/>
              </w:rPr>
            </w:pPr>
          </w:p>
        </w:tc>
        <w:tc>
          <w:tcPr>
            <w:tcW w:w="855" w:type="dxa"/>
            <w:tcBorders>
              <w:top w:val="single" w:color="auto" w:sz="6" w:space="0"/>
              <w:left w:val="single" w:color="auto" w:sz="6" w:space="0"/>
              <w:bottom w:val="single" w:color="auto" w:sz="6" w:space="0"/>
              <w:right w:val="single" w:color="auto" w:sz="6" w:space="0"/>
            </w:tcBorders>
            <w:noWrap w:val="0"/>
            <w:vAlign w:val="top"/>
          </w:tcPr>
          <w:p w14:paraId="6078931D">
            <w:pPr>
              <w:shd w:val="clear"/>
              <w:autoSpaceDE w:val="0"/>
              <w:autoSpaceDN w:val="0"/>
              <w:spacing w:line="360" w:lineRule="auto"/>
              <w:rPr>
                <w:rFonts w:hint="eastAsia" w:ascii="宋体" w:hAnsi="宋体" w:eastAsia="宋体" w:cs="宋体"/>
                <w:color w:val="auto"/>
                <w:sz w:val="21"/>
                <w:szCs w:val="21"/>
                <w:highlight w:val="none"/>
              </w:rPr>
            </w:pPr>
          </w:p>
        </w:tc>
        <w:tc>
          <w:tcPr>
            <w:tcW w:w="936" w:type="dxa"/>
            <w:tcBorders>
              <w:top w:val="single" w:color="auto" w:sz="6" w:space="0"/>
              <w:left w:val="single" w:color="auto" w:sz="6" w:space="0"/>
              <w:bottom w:val="single" w:color="auto" w:sz="6" w:space="0"/>
              <w:right w:val="single" w:color="auto" w:sz="6" w:space="0"/>
            </w:tcBorders>
            <w:noWrap w:val="0"/>
            <w:vAlign w:val="top"/>
          </w:tcPr>
          <w:p w14:paraId="0559AA42">
            <w:pPr>
              <w:shd w:val="clear"/>
              <w:autoSpaceDE w:val="0"/>
              <w:autoSpaceDN w:val="0"/>
              <w:spacing w:line="360" w:lineRule="auto"/>
              <w:rPr>
                <w:rFonts w:hint="eastAsia" w:ascii="宋体" w:hAnsi="宋体" w:eastAsia="宋体" w:cs="宋体"/>
                <w:color w:val="auto"/>
                <w:sz w:val="21"/>
                <w:szCs w:val="21"/>
                <w:highlight w:val="none"/>
              </w:rPr>
            </w:pPr>
          </w:p>
        </w:tc>
      </w:tr>
      <w:tr w14:paraId="00B86050">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noWrap w:val="0"/>
            <w:vAlign w:val="top"/>
          </w:tcPr>
          <w:p w14:paraId="2FFC9D6C">
            <w:pPr>
              <w:shd w:val="clea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787" w:type="dxa"/>
            <w:tcBorders>
              <w:top w:val="single" w:color="auto" w:sz="6" w:space="0"/>
              <w:left w:val="single" w:color="auto" w:sz="6" w:space="0"/>
              <w:bottom w:val="single" w:color="auto" w:sz="6" w:space="0"/>
              <w:right w:val="single" w:color="auto" w:sz="6" w:space="0"/>
            </w:tcBorders>
            <w:noWrap w:val="0"/>
            <w:vAlign w:val="top"/>
          </w:tcPr>
          <w:p w14:paraId="10529434">
            <w:pPr>
              <w:shd w:val="clear"/>
              <w:autoSpaceDE w:val="0"/>
              <w:autoSpaceDN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412" w:type="dxa"/>
            <w:tcBorders>
              <w:top w:val="single" w:color="auto" w:sz="6" w:space="0"/>
              <w:left w:val="single" w:color="auto" w:sz="6" w:space="0"/>
              <w:bottom w:val="single" w:color="auto" w:sz="6" w:space="0"/>
              <w:right w:val="single" w:color="auto" w:sz="6" w:space="0"/>
            </w:tcBorders>
            <w:noWrap w:val="0"/>
            <w:vAlign w:val="top"/>
          </w:tcPr>
          <w:p w14:paraId="1F4C15CF">
            <w:pPr>
              <w:shd w:val="clear"/>
              <w:autoSpaceDE w:val="0"/>
              <w:autoSpaceDN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586" w:type="dxa"/>
            <w:tcBorders>
              <w:top w:val="single" w:color="auto" w:sz="6" w:space="0"/>
              <w:left w:val="single" w:color="auto" w:sz="6" w:space="0"/>
              <w:bottom w:val="single" w:color="auto" w:sz="6" w:space="0"/>
              <w:right w:val="single" w:color="auto" w:sz="6" w:space="0"/>
            </w:tcBorders>
            <w:noWrap w:val="0"/>
            <w:vAlign w:val="top"/>
          </w:tcPr>
          <w:p w14:paraId="78398582">
            <w:pPr>
              <w:shd w:val="clear"/>
              <w:autoSpaceDE w:val="0"/>
              <w:autoSpaceDN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35" w:type="dxa"/>
            <w:tcBorders>
              <w:top w:val="single" w:color="auto" w:sz="6" w:space="0"/>
              <w:left w:val="single" w:color="auto" w:sz="6" w:space="0"/>
              <w:bottom w:val="single" w:color="auto" w:sz="6" w:space="0"/>
              <w:right w:val="single" w:color="auto" w:sz="6" w:space="0"/>
            </w:tcBorders>
            <w:noWrap w:val="0"/>
            <w:vAlign w:val="top"/>
          </w:tcPr>
          <w:p w14:paraId="36F4CF69">
            <w:pPr>
              <w:shd w:val="clear"/>
              <w:autoSpaceDE w:val="0"/>
              <w:autoSpaceDN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80" w:type="dxa"/>
            <w:tcBorders>
              <w:top w:val="single" w:color="auto" w:sz="6" w:space="0"/>
              <w:left w:val="single" w:color="auto" w:sz="6" w:space="0"/>
              <w:bottom w:val="single" w:color="auto" w:sz="6" w:space="0"/>
              <w:right w:val="single" w:color="auto" w:sz="6" w:space="0"/>
            </w:tcBorders>
            <w:noWrap w:val="0"/>
            <w:vAlign w:val="top"/>
          </w:tcPr>
          <w:p w14:paraId="1D6F0316">
            <w:pPr>
              <w:shd w:val="clear"/>
              <w:autoSpaceDE w:val="0"/>
              <w:autoSpaceDN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854" w:type="dxa"/>
            <w:tcBorders>
              <w:top w:val="single" w:color="auto" w:sz="6" w:space="0"/>
              <w:left w:val="single" w:color="auto" w:sz="6" w:space="0"/>
              <w:bottom w:val="single" w:color="auto" w:sz="6" w:space="0"/>
              <w:right w:val="single" w:color="auto" w:sz="6" w:space="0"/>
            </w:tcBorders>
            <w:noWrap w:val="0"/>
            <w:vAlign w:val="top"/>
          </w:tcPr>
          <w:p w14:paraId="0DE9B224">
            <w:pPr>
              <w:shd w:val="clear"/>
              <w:autoSpaceDE w:val="0"/>
              <w:autoSpaceDN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65" w:type="dxa"/>
            <w:tcBorders>
              <w:top w:val="single" w:color="auto" w:sz="6" w:space="0"/>
              <w:left w:val="single" w:color="auto" w:sz="6" w:space="0"/>
              <w:bottom w:val="single" w:color="auto" w:sz="6" w:space="0"/>
              <w:right w:val="single" w:color="auto" w:sz="6" w:space="0"/>
            </w:tcBorders>
            <w:noWrap w:val="0"/>
            <w:vAlign w:val="top"/>
          </w:tcPr>
          <w:p w14:paraId="5DF21E6E">
            <w:pPr>
              <w:shd w:val="clear"/>
              <w:autoSpaceDE w:val="0"/>
              <w:autoSpaceDN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855" w:type="dxa"/>
            <w:tcBorders>
              <w:top w:val="single" w:color="auto" w:sz="6" w:space="0"/>
              <w:left w:val="single" w:color="auto" w:sz="6" w:space="0"/>
              <w:bottom w:val="single" w:color="auto" w:sz="6" w:space="0"/>
              <w:right w:val="single" w:color="auto" w:sz="6" w:space="0"/>
            </w:tcBorders>
            <w:noWrap w:val="0"/>
            <w:vAlign w:val="top"/>
          </w:tcPr>
          <w:p w14:paraId="4A8D6D53">
            <w:pPr>
              <w:shd w:val="clear"/>
              <w:autoSpaceDE w:val="0"/>
              <w:autoSpaceDN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36" w:type="dxa"/>
            <w:tcBorders>
              <w:top w:val="single" w:color="auto" w:sz="6" w:space="0"/>
              <w:left w:val="single" w:color="auto" w:sz="6" w:space="0"/>
              <w:bottom w:val="single" w:color="auto" w:sz="6" w:space="0"/>
              <w:right w:val="single" w:color="auto" w:sz="6" w:space="0"/>
            </w:tcBorders>
            <w:noWrap w:val="0"/>
            <w:vAlign w:val="top"/>
          </w:tcPr>
          <w:p w14:paraId="67822FBD">
            <w:pPr>
              <w:shd w:val="clear"/>
              <w:autoSpaceDE w:val="0"/>
              <w:autoSpaceDN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r>
    </w:tbl>
    <w:p w14:paraId="32269335">
      <w:pPr>
        <w:shd w:val="clea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注：</w:t>
      </w:r>
    </w:p>
    <w:p w14:paraId="4244C6AA">
      <w:pPr>
        <w:shd w:val="clea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1.在填写时，如本表格不适合投标单位的实际情况，可自行制表填写。</w:t>
      </w:r>
    </w:p>
    <w:p w14:paraId="509EC2C7">
      <w:pPr>
        <w:shd w:val="clear"/>
        <w:spacing w:line="360" w:lineRule="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2.采购需求及评分标准如有要求，投标人根据要求提供人员证明材料。</w:t>
      </w:r>
    </w:p>
    <w:p w14:paraId="390613F3">
      <w:pPr>
        <w:shd w:val="clear"/>
        <w:snapToGrid w:val="0"/>
        <w:spacing w:before="165" w:beforeLines="50" w:line="360" w:lineRule="auto"/>
        <w:ind w:right="480" w:firstLine="3967" w:firstLineChars="1653"/>
        <w:rPr>
          <w:rFonts w:hint="eastAsia" w:ascii="宋体" w:hAnsi="宋体"/>
          <w:color w:val="auto"/>
          <w:sz w:val="24"/>
          <w:highlight w:val="none"/>
        </w:rPr>
      </w:pPr>
    </w:p>
    <w:p w14:paraId="3FFBCBD0">
      <w:pPr>
        <w:shd w:val="clear"/>
        <w:snapToGrid w:val="0"/>
        <w:spacing w:line="360" w:lineRule="auto"/>
        <w:ind w:firstLine="4515" w:firstLineChars="215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zh-CN"/>
        </w:rPr>
        <w:t>投标人名称(电子签章)：</w:t>
      </w:r>
    </w:p>
    <w:p w14:paraId="7C7BBDC5">
      <w:pPr>
        <w:shd w:val="clear"/>
        <w:snapToGrid w:val="0"/>
        <w:spacing w:line="360" w:lineRule="auto"/>
        <w:ind w:firstLine="4515" w:firstLineChars="215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日期</w:t>
      </w:r>
      <w:r>
        <w:rPr>
          <w:rFonts w:hint="eastAsia" w:ascii="宋体" w:hAnsi="宋体" w:eastAsia="宋体" w:cs="宋体"/>
          <w:color w:val="auto"/>
          <w:kern w:val="0"/>
          <w:sz w:val="21"/>
          <w:szCs w:val="21"/>
          <w:highlight w:val="none"/>
        </w:rPr>
        <w:t xml:space="preserve">：  年  </w:t>
      </w:r>
      <w:r>
        <w:rPr>
          <w:rFonts w:hint="eastAsia" w:ascii="宋体" w:hAnsi="宋体" w:eastAsia="宋体" w:cs="宋体"/>
          <w:color w:val="auto"/>
          <w:kern w:val="0"/>
          <w:sz w:val="21"/>
          <w:szCs w:val="21"/>
          <w:highlight w:val="none"/>
          <w:lang w:val="zh-CN"/>
        </w:rPr>
        <w:t>月</w:t>
      </w: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lang w:val="zh-CN"/>
        </w:rPr>
        <w:t>日</w:t>
      </w:r>
    </w:p>
    <w:p w14:paraId="0E8361D3">
      <w:pPr>
        <w:shd w:val="clear"/>
        <w:snapToGrid w:val="0"/>
        <w:spacing w:before="165" w:beforeLines="50" w:after="50"/>
        <w:ind w:left="142"/>
        <w:jc w:val="center"/>
        <w:rPr>
          <w:rFonts w:hint="eastAsia" w:ascii="宋体" w:hAnsi="宋体"/>
          <w:b/>
          <w:color w:val="auto"/>
          <w:sz w:val="32"/>
          <w:szCs w:val="32"/>
          <w:highlight w:val="none"/>
        </w:rPr>
      </w:pPr>
      <w:r>
        <w:rPr>
          <w:rFonts w:ascii="宋体" w:hAnsi="宋体"/>
          <w:b/>
          <w:color w:val="auto"/>
          <w:sz w:val="24"/>
          <w:highlight w:val="none"/>
        </w:rPr>
        <w:br w:type="page"/>
      </w:r>
      <w:r>
        <w:rPr>
          <w:rFonts w:hint="eastAsia" w:ascii="宋体" w:hAnsi="宋体"/>
          <w:color w:val="auto"/>
          <w:sz w:val="24"/>
          <w:highlight w:val="none"/>
        </w:rPr>
        <w:t xml:space="preserve"> </w:t>
      </w:r>
      <w:r>
        <w:rPr>
          <w:rFonts w:hint="eastAsia" w:ascii="Times New Roman" w:hAnsi="Times New Roman" w:eastAsia="宋体" w:cs="Times New Roman"/>
          <w:b/>
          <w:bCs/>
          <w:color w:val="auto"/>
          <w:kern w:val="2"/>
          <w:sz w:val="30"/>
          <w:szCs w:val="30"/>
          <w:highlight w:val="none"/>
          <w:lang w:val="en-US" w:eastAsia="zh-CN"/>
        </w:rPr>
        <w:t>四、</w:t>
      </w:r>
      <w:r>
        <w:rPr>
          <w:rFonts w:hint="eastAsia" w:ascii="宋体" w:hAnsi="宋体"/>
          <w:b/>
          <w:color w:val="auto"/>
          <w:sz w:val="32"/>
          <w:szCs w:val="32"/>
          <w:highlight w:val="none"/>
        </w:rPr>
        <w:t>售后服务方案</w:t>
      </w:r>
    </w:p>
    <w:p w14:paraId="00BEE9FE">
      <w:pPr>
        <w:shd w:val="clear"/>
        <w:spacing w:line="360" w:lineRule="auto"/>
        <w:jc w:val="center"/>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（由投标人根据采购需求自行编制）</w:t>
      </w:r>
    </w:p>
    <w:p w14:paraId="415723FB">
      <w:pPr>
        <w:shd w:val="clear"/>
        <w:snapToGrid w:val="0"/>
        <w:spacing w:line="360" w:lineRule="auto"/>
        <w:ind w:firstLine="5160" w:firstLineChars="2150"/>
        <w:rPr>
          <w:rFonts w:hint="eastAsia" w:ascii="仿宋_GB2312" w:hAnsi="仿宋" w:eastAsia="仿宋_GB2312" w:cs="仿宋_GB2312"/>
          <w:color w:val="auto"/>
          <w:kern w:val="0"/>
          <w:sz w:val="24"/>
          <w:highlight w:val="none"/>
          <w:lang w:val="zh-CN"/>
        </w:rPr>
      </w:pPr>
    </w:p>
    <w:p w14:paraId="59EABBA1">
      <w:pPr>
        <w:shd w:val="clear"/>
        <w:snapToGrid w:val="0"/>
        <w:spacing w:line="360" w:lineRule="auto"/>
        <w:ind w:firstLine="5160" w:firstLineChars="2150"/>
        <w:rPr>
          <w:rFonts w:hint="eastAsia" w:ascii="仿宋_GB2312" w:hAnsi="仿宋" w:eastAsia="仿宋_GB2312" w:cs="仿宋_GB2312"/>
          <w:color w:val="auto"/>
          <w:kern w:val="0"/>
          <w:sz w:val="24"/>
          <w:highlight w:val="none"/>
          <w:lang w:val="zh-CN"/>
        </w:rPr>
      </w:pPr>
    </w:p>
    <w:p w14:paraId="1AF3C247">
      <w:pPr>
        <w:shd w:val="clear"/>
        <w:snapToGrid w:val="0"/>
        <w:spacing w:line="360" w:lineRule="auto"/>
        <w:ind w:firstLine="4515" w:firstLineChars="215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zh-CN"/>
        </w:rPr>
        <w:t>投标人名称(电子签章)：</w:t>
      </w:r>
    </w:p>
    <w:p w14:paraId="32724423">
      <w:pPr>
        <w:shd w:val="clear"/>
        <w:snapToGrid w:val="0"/>
        <w:spacing w:line="360" w:lineRule="auto"/>
        <w:ind w:firstLine="4515" w:firstLineChars="215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日期</w:t>
      </w:r>
      <w:r>
        <w:rPr>
          <w:rFonts w:hint="eastAsia" w:ascii="宋体" w:hAnsi="宋体" w:eastAsia="宋体" w:cs="宋体"/>
          <w:color w:val="auto"/>
          <w:kern w:val="0"/>
          <w:sz w:val="21"/>
          <w:szCs w:val="21"/>
          <w:highlight w:val="none"/>
        </w:rPr>
        <w:t xml:space="preserve">：  年  </w:t>
      </w:r>
      <w:r>
        <w:rPr>
          <w:rFonts w:hint="eastAsia" w:ascii="宋体" w:hAnsi="宋体" w:eastAsia="宋体" w:cs="宋体"/>
          <w:color w:val="auto"/>
          <w:kern w:val="0"/>
          <w:sz w:val="21"/>
          <w:szCs w:val="21"/>
          <w:highlight w:val="none"/>
          <w:lang w:val="zh-CN"/>
        </w:rPr>
        <w:t>月</w:t>
      </w: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lang w:val="zh-CN"/>
        </w:rPr>
        <w:t>日</w:t>
      </w:r>
    </w:p>
    <w:p w14:paraId="28D18406">
      <w:pPr>
        <w:shd w:val="clear"/>
        <w:snapToGrid w:val="0"/>
        <w:spacing w:before="165" w:beforeLines="50" w:after="50"/>
        <w:ind w:left="142"/>
        <w:jc w:val="center"/>
        <w:rPr>
          <w:rFonts w:hint="eastAsia" w:ascii="宋体" w:hAnsi="宋体"/>
          <w:b/>
          <w:color w:val="auto"/>
          <w:sz w:val="32"/>
          <w:szCs w:val="32"/>
          <w:highlight w:val="none"/>
        </w:rPr>
      </w:pPr>
    </w:p>
    <w:p w14:paraId="0C1DCBCC">
      <w:pPr>
        <w:shd w:val="clear"/>
        <w:snapToGrid w:val="0"/>
        <w:spacing w:before="165" w:beforeLines="50" w:after="50"/>
        <w:ind w:left="142"/>
        <w:jc w:val="center"/>
        <w:rPr>
          <w:rFonts w:hint="eastAsia" w:ascii="宋体" w:hAnsi="宋体"/>
          <w:b/>
          <w:color w:val="auto"/>
          <w:sz w:val="32"/>
          <w:szCs w:val="32"/>
          <w:highlight w:val="none"/>
        </w:rPr>
      </w:pPr>
    </w:p>
    <w:p w14:paraId="2E5048C7">
      <w:pPr>
        <w:shd w:val="clear"/>
        <w:snapToGrid w:val="0"/>
        <w:spacing w:before="165" w:beforeLines="50" w:after="50"/>
        <w:ind w:left="142"/>
        <w:jc w:val="center"/>
        <w:rPr>
          <w:rFonts w:hint="eastAsia" w:ascii="宋体" w:hAnsi="宋体"/>
          <w:b/>
          <w:color w:val="auto"/>
          <w:sz w:val="32"/>
          <w:szCs w:val="32"/>
          <w:highlight w:val="none"/>
        </w:rPr>
      </w:pPr>
      <w:r>
        <w:rPr>
          <w:rFonts w:hint="eastAsia" w:ascii="宋体" w:hAnsi="宋体"/>
          <w:b/>
          <w:color w:val="auto"/>
          <w:sz w:val="32"/>
          <w:szCs w:val="32"/>
          <w:highlight w:val="none"/>
          <w:lang w:val="en-US" w:eastAsia="zh-CN"/>
        </w:rPr>
        <w:t>五</w:t>
      </w:r>
      <w:r>
        <w:rPr>
          <w:rFonts w:hint="eastAsia" w:ascii="宋体" w:hAnsi="宋体"/>
          <w:b/>
          <w:color w:val="auto"/>
          <w:sz w:val="32"/>
          <w:szCs w:val="32"/>
          <w:highlight w:val="none"/>
        </w:rPr>
        <w:t>、投标人对项目的合理化建议和改进措施（如有）</w:t>
      </w:r>
    </w:p>
    <w:p w14:paraId="1EF7D363">
      <w:pPr>
        <w:shd w:val="clear"/>
        <w:spacing w:line="360" w:lineRule="auto"/>
        <w:ind w:firstLine="4048" w:firstLineChars="1687"/>
        <w:rPr>
          <w:rFonts w:hint="eastAsia" w:hAnsi="宋体"/>
          <w:color w:val="auto"/>
          <w:szCs w:val="21"/>
          <w:highlight w:val="none"/>
        </w:rPr>
      </w:pPr>
      <w:r>
        <w:rPr>
          <w:rFonts w:hint="eastAsia" w:ascii="仿宋_GB2312" w:hAnsi="仿宋" w:eastAsia="仿宋_GB2312" w:cs="仿宋_GB2312"/>
          <w:color w:val="auto"/>
          <w:sz w:val="24"/>
          <w:highlight w:val="none"/>
        </w:rPr>
        <w:t>（格式自拟）</w:t>
      </w:r>
    </w:p>
    <w:p w14:paraId="029EB0F0">
      <w:pPr>
        <w:shd w:val="clear"/>
        <w:snapToGrid w:val="0"/>
        <w:spacing w:line="360" w:lineRule="auto"/>
        <w:rPr>
          <w:rFonts w:hint="eastAsia" w:hAnsi="宋体"/>
          <w:color w:val="auto"/>
          <w:szCs w:val="21"/>
          <w:highlight w:val="none"/>
        </w:rPr>
      </w:pPr>
    </w:p>
    <w:p w14:paraId="7C4905DD">
      <w:pPr>
        <w:shd w:val="clear"/>
        <w:snapToGrid w:val="0"/>
        <w:spacing w:line="360" w:lineRule="auto"/>
        <w:ind w:firstLine="4935" w:firstLineChars="2350"/>
        <w:rPr>
          <w:rFonts w:hint="eastAsia" w:hAnsi="宋体"/>
          <w:color w:val="auto"/>
          <w:szCs w:val="21"/>
          <w:highlight w:val="none"/>
        </w:rPr>
      </w:pPr>
      <w:r>
        <w:rPr>
          <w:rFonts w:hAnsi="宋体"/>
          <w:color w:val="auto"/>
          <w:szCs w:val="21"/>
          <w:highlight w:val="none"/>
        </w:rPr>
        <w:t xml:space="preserve">  </w:t>
      </w:r>
    </w:p>
    <w:p w14:paraId="53F67A63">
      <w:pPr>
        <w:shd w:val="clear"/>
        <w:snapToGrid w:val="0"/>
        <w:spacing w:line="360" w:lineRule="auto"/>
        <w:ind w:firstLine="4935" w:firstLineChars="235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zh-CN"/>
        </w:rPr>
        <w:t>投标人名称(电子签章)：</w:t>
      </w:r>
    </w:p>
    <w:p w14:paraId="58925FC9">
      <w:pPr>
        <w:shd w:val="clear"/>
        <w:snapToGrid w:val="0"/>
        <w:spacing w:line="360" w:lineRule="auto"/>
        <w:ind w:firstLine="4515" w:firstLineChars="215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日期</w:t>
      </w:r>
      <w:r>
        <w:rPr>
          <w:rFonts w:hint="eastAsia" w:ascii="宋体" w:hAnsi="宋体" w:eastAsia="宋体" w:cs="宋体"/>
          <w:color w:val="auto"/>
          <w:kern w:val="0"/>
          <w:sz w:val="21"/>
          <w:szCs w:val="21"/>
          <w:highlight w:val="none"/>
        </w:rPr>
        <w:t xml:space="preserve">：  年  </w:t>
      </w:r>
      <w:r>
        <w:rPr>
          <w:rFonts w:hint="eastAsia" w:ascii="宋体" w:hAnsi="宋体" w:eastAsia="宋体" w:cs="宋体"/>
          <w:color w:val="auto"/>
          <w:kern w:val="0"/>
          <w:sz w:val="21"/>
          <w:szCs w:val="21"/>
          <w:highlight w:val="none"/>
          <w:lang w:val="zh-CN"/>
        </w:rPr>
        <w:t>月</w:t>
      </w: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lang w:val="zh-CN"/>
        </w:rPr>
        <w:t>日</w:t>
      </w:r>
    </w:p>
    <w:p w14:paraId="415F0247">
      <w:pPr>
        <w:shd w:val="clear"/>
        <w:autoSpaceDE w:val="0"/>
        <w:autoSpaceDN w:val="0"/>
        <w:spacing w:line="360" w:lineRule="auto"/>
        <w:ind w:firstLine="120"/>
        <w:rPr>
          <w:rFonts w:hint="eastAsia" w:ascii="仿宋_GB2312" w:hAnsi="仿宋" w:eastAsia="仿宋_GB2312" w:cs="仿宋_GB2312"/>
          <w:color w:val="auto"/>
          <w:sz w:val="24"/>
          <w:highlight w:val="none"/>
        </w:rPr>
      </w:pPr>
    </w:p>
    <w:p w14:paraId="5AA86BE7">
      <w:pPr>
        <w:shd w:val="clear"/>
        <w:spacing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lang w:val="en-US" w:eastAsia="zh-CN"/>
        </w:rPr>
        <w:t>六</w:t>
      </w:r>
      <w:r>
        <w:rPr>
          <w:rFonts w:hint="eastAsia" w:ascii="宋体" w:hAnsi="宋体"/>
          <w:b/>
          <w:color w:val="auto"/>
          <w:sz w:val="32"/>
          <w:szCs w:val="32"/>
          <w:highlight w:val="none"/>
        </w:rPr>
        <w:t>、认为需要提供的其他技术文件或说明</w:t>
      </w:r>
    </w:p>
    <w:p w14:paraId="23906395">
      <w:pPr>
        <w:shd w:val="clear"/>
        <w:spacing w:line="360" w:lineRule="auto"/>
        <w:jc w:val="center"/>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（由投标人根据采购需求自行编制）</w:t>
      </w:r>
    </w:p>
    <w:p w14:paraId="21FAEE56">
      <w:pPr>
        <w:shd w:val="clear"/>
        <w:autoSpaceDE w:val="0"/>
        <w:autoSpaceDN w:val="0"/>
        <w:spacing w:line="360" w:lineRule="auto"/>
        <w:ind w:firstLine="4800" w:firstLineChars="2000"/>
        <w:rPr>
          <w:rFonts w:hint="eastAsia" w:ascii="仿宋_GB2312" w:hAnsi="仿宋" w:eastAsia="仿宋_GB2312" w:cs="仿宋_GB2312"/>
          <w:color w:val="auto"/>
          <w:kern w:val="0"/>
          <w:sz w:val="24"/>
          <w:highlight w:val="none"/>
        </w:rPr>
      </w:pPr>
    </w:p>
    <w:p w14:paraId="79EFDD02">
      <w:pPr>
        <w:shd w:val="clear"/>
        <w:autoSpaceDE w:val="0"/>
        <w:autoSpaceDN w:val="0"/>
        <w:spacing w:line="360" w:lineRule="auto"/>
        <w:ind w:firstLine="4800" w:firstLineChars="2000"/>
        <w:rPr>
          <w:rFonts w:hint="eastAsia" w:ascii="仿宋_GB2312" w:hAnsi="仿宋" w:eastAsia="仿宋_GB2312" w:cs="仿宋_GB2312"/>
          <w:color w:val="auto"/>
          <w:kern w:val="0"/>
          <w:sz w:val="24"/>
          <w:highlight w:val="none"/>
        </w:rPr>
      </w:pPr>
    </w:p>
    <w:p w14:paraId="38BFBA4F">
      <w:pPr>
        <w:shd w:val="clear"/>
        <w:autoSpaceDE w:val="0"/>
        <w:autoSpaceDN w:val="0"/>
        <w:spacing w:line="360" w:lineRule="auto"/>
        <w:ind w:firstLine="4200" w:firstLineChars="200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投标人名称（电子</w:t>
      </w:r>
      <w:r>
        <w:rPr>
          <w:rFonts w:hint="eastAsia" w:ascii="宋体" w:hAnsi="宋体" w:eastAsia="宋体" w:cs="宋体"/>
          <w:color w:val="auto"/>
          <w:kern w:val="0"/>
          <w:sz w:val="21"/>
          <w:szCs w:val="21"/>
          <w:highlight w:val="none"/>
          <w:lang w:val="zh-CN"/>
        </w:rPr>
        <w:t>签章</w:t>
      </w:r>
      <w:r>
        <w:rPr>
          <w:rFonts w:hint="eastAsia" w:ascii="宋体" w:hAnsi="宋体" w:eastAsia="宋体" w:cs="宋体"/>
          <w:color w:val="auto"/>
          <w:kern w:val="0"/>
          <w:sz w:val="21"/>
          <w:szCs w:val="21"/>
          <w:highlight w:val="none"/>
        </w:rPr>
        <w:t xml:space="preserve">）：                       </w:t>
      </w:r>
    </w:p>
    <w:p w14:paraId="2F550D71">
      <w:pPr>
        <w:shd w:val="clear"/>
        <w:autoSpaceDE w:val="0"/>
        <w:autoSpaceDN w:val="0"/>
        <w:spacing w:line="360" w:lineRule="auto"/>
        <w:rPr>
          <w:rFonts w:hint="eastAsia" w:ascii="宋体" w:hAnsi="宋体" w:eastAsia="宋体" w:cs="宋体"/>
          <w:b/>
          <w:bCs/>
          <w:color w:val="auto"/>
          <w:sz w:val="21"/>
          <w:szCs w:val="21"/>
          <w:highlight w:val="none"/>
        </w:rPr>
      </w:pP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lang w:val="zh-CN"/>
        </w:rPr>
        <w:t>日期：  年  月   日</w:t>
      </w:r>
    </w:p>
    <w:p w14:paraId="27C3387D">
      <w:pPr>
        <w:shd w:val="clear"/>
        <w:snapToGrid w:val="0"/>
        <w:spacing w:before="165" w:beforeLines="50" w:after="50"/>
        <w:jc w:val="center"/>
        <w:outlineLvl w:val="1"/>
        <w:rPr>
          <w:rFonts w:hint="eastAsia" w:ascii="宋体" w:hAnsi="宋体" w:eastAsia="宋体" w:cs="宋体"/>
          <w:b/>
          <w:bCs/>
          <w:color w:val="auto"/>
          <w:sz w:val="21"/>
          <w:szCs w:val="21"/>
          <w:highlight w:val="none"/>
        </w:rPr>
        <w:sectPr>
          <w:pgSz w:w="11905" w:h="16838"/>
          <w:pgMar w:top="1134" w:right="1134" w:bottom="1134" w:left="1134" w:header="720" w:footer="720" w:gutter="0"/>
          <w:cols w:space="0" w:num="1"/>
          <w:rtlGutter w:val="0"/>
          <w:docGrid w:type="lines" w:linePitch="331" w:charSpace="0"/>
        </w:sectPr>
      </w:pPr>
    </w:p>
    <w:p w14:paraId="0C460A78">
      <w:pPr>
        <w:shd w:val="clear"/>
        <w:jc w:val="center"/>
        <w:outlineLvl w:val="1"/>
        <w:rPr>
          <w:rFonts w:hint="eastAsia" w:ascii="宋体" w:hAnsi="宋体"/>
          <w:b/>
          <w:bCs/>
          <w:color w:val="auto"/>
          <w:sz w:val="28"/>
          <w:szCs w:val="28"/>
          <w:highlight w:val="none"/>
        </w:rPr>
      </w:pPr>
      <w:bookmarkStart w:id="28" w:name="_Toc171344368"/>
      <w:r>
        <w:rPr>
          <w:rFonts w:hint="eastAsia" w:ascii="宋体" w:hAnsi="宋体"/>
          <w:b/>
          <w:bCs/>
          <w:color w:val="auto"/>
          <w:sz w:val="28"/>
          <w:szCs w:val="28"/>
          <w:highlight w:val="none"/>
        </w:rPr>
        <w:t>第五节 报价文件格式</w:t>
      </w:r>
      <w:bookmarkEnd w:id="28"/>
    </w:p>
    <w:p w14:paraId="4B12C262">
      <w:pPr>
        <w:shd w:val="clear"/>
        <w:snapToGrid w:val="0"/>
        <w:spacing w:before="165" w:beforeLines="50" w:after="50" w:line="400" w:lineRule="exact"/>
        <w:rPr>
          <w:rFonts w:hint="eastAsia"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电子投标文件</w:t>
      </w:r>
    </w:p>
    <w:p w14:paraId="2B1C6DD3">
      <w:pPr>
        <w:shd w:val="clear"/>
        <w:snapToGrid w:val="0"/>
        <w:spacing w:before="165" w:beforeLines="50" w:after="50" w:line="400" w:lineRule="exact"/>
        <w:jc w:val="center"/>
        <w:rPr>
          <w:rFonts w:hint="eastAsia" w:ascii="宋体" w:hAnsi="宋体"/>
          <w:bCs/>
          <w:color w:val="auto"/>
          <w:sz w:val="24"/>
          <w:szCs w:val="20"/>
          <w:highlight w:val="none"/>
        </w:rPr>
      </w:pPr>
    </w:p>
    <w:p w14:paraId="68E7281B">
      <w:pPr>
        <w:shd w:val="clear"/>
        <w:snapToGrid w:val="0"/>
        <w:spacing w:before="165" w:beforeLines="50" w:after="50" w:line="400" w:lineRule="exact"/>
        <w:jc w:val="center"/>
        <w:rPr>
          <w:rFonts w:hint="eastAsia" w:ascii="宋体" w:hAnsi="宋体"/>
          <w:b/>
          <w:bCs/>
          <w:color w:val="auto"/>
          <w:sz w:val="32"/>
          <w:szCs w:val="32"/>
          <w:highlight w:val="none"/>
        </w:rPr>
      </w:pPr>
      <w:r>
        <w:rPr>
          <w:rFonts w:hint="eastAsia" w:ascii="宋体" w:hAnsi="宋体"/>
          <w:b/>
          <w:bCs/>
          <w:color w:val="auto"/>
          <w:sz w:val="32"/>
          <w:szCs w:val="32"/>
          <w:highlight w:val="none"/>
        </w:rPr>
        <w:t>报价文件（封面）</w:t>
      </w:r>
    </w:p>
    <w:p w14:paraId="45A8DD15">
      <w:pPr>
        <w:shd w:val="clear"/>
        <w:snapToGrid w:val="0"/>
        <w:spacing w:before="165" w:beforeLines="50" w:after="50" w:line="400" w:lineRule="exact"/>
        <w:rPr>
          <w:rFonts w:hint="eastAsia" w:ascii="宋体" w:hAnsi="宋体"/>
          <w:bCs/>
          <w:color w:val="auto"/>
          <w:sz w:val="24"/>
          <w:szCs w:val="20"/>
          <w:highlight w:val="none"/>
        </w:rPr>
      </w:pPr>
    </w:p>
    <w:p w14:paraId="6C0C9EF0">
      <w:pPr>
        <w:shd w:val="clear"/>
        <w:snapToGrid w:val="0"/>
        <w:spacing w:before="165" w:beforeLines="50" w:after="50" w:line="400" w:lineRule="exact"/>
        <w:rPr>
          <w:rFonts w:hint="eastAsia" w:ascii="宋体" w:hAnsi="宋体"/>
          <w:bCs/>
          <w:color w:val="auto"/>
          <w:sz w:val="24"/>
          <w:szCs w:val="20"/>
          <w:highlight w:val="none"/>
        </w:rPr>
      </w:pPr>
    </w:p>
    <w:p w14:paraId="08DB4243">
      <w:pPr>
        <w:shd w:val="clear"/>
        <w:snapToGrid w:val="0"/>
        <w:spacing w:before="165" w:beforeLines="50" w:after="50" w:line="400" w:lineRule="exact"/>
        <w:rPr>
          <w:rFonts w:hint="eastAsia" w:ascii="宋体" w:hAnsi="宋体"/>
          <w:bCs/>
          <w:color w:val="auto"/>
          <w:sz w:val="24"/>
          <w:szCs w:val="20"/>
          <w:highlight w:val="none"/>
        </w:rPr>
      </w:pPr>
    </w:p>
    <w:p w14:paraId="1B586F1F">
      <w:pPr>
        <w:shd w:val="clear"/>
        <w:snapToGrid w:val="0"/>
        <w:spacing w:before="165" w:beforeLines="50" w:after="50" w:line="400" w:lineRule="exact"/>
        <w:rPr>
          <w:rFonts w:hint="eastAsia" w:ascii="宋体" w:hAnsi="宋体"/>
          <w:bCs/>
          <w:color w:val="auto"/>
          <w:sz w:val="24"/>
          <w:szCs w:val="20"/>
          <w:highlight w:val="none"/>
        </w:rPr>
      </w:pPr>
    </w:p>
    <w:p w14:paraId="0F5EB840">
      <w:pPr>
        <w:shd w:val="clear"/>
        <w:snapToGrid w:val="0"/>
        <w:spacing w:before="165" w:beforeLines="50" w:after="50" w:line="400" w:lineRule="exact"/>
        <w:ind w:firstLine="360" w:firstLineChars="150"/>
        <w:rPr>
          <w:rFonts w:ascii="宋体" w:hAnsi="宋体"/>
          <w:bCs/>
          <w:color w:val="auto"/>
          <w:sz w:val="24"/>
          <w:highlight w:val="none"/>
        </w:rPr>
      </w:pPr>
      <w:r>
        <w:rPr>
          <w:rFonts w:hint="eastAsia" w:ascii="宋体" w:hAnsi="宋体"/>
          <w:bCs/>
          <w:color w:val="auto"/>
          <w:sz w:val="24"/>
          <w:highlight w:val="none"/>
        </w:rPr>
        <w:t xml:space="preserve">项目名称： </w:t>
      </w:r>
    </w:p>
    <w:p w14:paraId="1F081B6D">
      <w:pPr>
        <w:shd w:val="clear"/>
        <w:snapToGrid w:val="0"/>
        <w:spacing w:before="165" w:beforeLines="50" w:after="50" w:line="400" w:lineRule="exact"/>
        <w:ind w:firstLine="360" w:firstLineChars="150"/>
        <w:rPr>
          <w:rFonts w:hint="eastAsia" w:ascii="宋体" w:hAnsi="宋体"/>
          <w:bCs/>
          <w:color w:val="auto"/>
          <w:sz w:val="24"/>
          <w:highlight w:val="none"/>
        </w:rPr>
      </w:pPr>
    </w:p>
    <w:p w14:paraId="78375147">
      <w:pPr>
        <w:shd w:val="clear"/>
        <w:snapToGrid w:val="0"/>
        <w:spacing w:before="165" w:beforeLines="50" w:after="50" w:line="400" w:lineRule="exact"/>
        <w:ind w:firstLine="360" w:firstLineChars="150"/>
        <w:rPr>
          <w:rFonts w:ascii="宋体" w:hAnsi="宋体"/>
          <w:bCs/>
          <w:color w:val="auto"/>
          <w:sz w:val="24"/>
          <w:highlight w:val="none"/>
        </w:rPr>
      </w:pPr>
      <w:r>
        <w:rPr>
          <w:rFonts w:hint="eastAsia" w:ascii="宋体" w:hAnsi="宋体"/>
          <w:bCs/>
          <w:color w:val="auto"/>
          <w:sz w:val="24"/>
          <w:highlight w:val="none"/>
        </w:rPr>
        <w:t>项目编号：</w:t>
      </w:r>
    </w:p>
    <w:p w14:paraId="509ABAA1">
      <w:pPr>
        <w:shd w:val="clear"/>
        <w:snapToGrid w:val="0"/>
        <w:spacing w:before="165" w:beforeLines="50" w:after="50" w:line="400" w:lineRule="exact"/>
        <w:ind w:firstLine="360" w:firstLineChars="150"/>
        <w:rPr>
          <w:rFonts w:hint="eastAsia" w:ascii="宋体" w:hAnsi="宋体"/>
          <w:bCs/>
          <w:color w:val="auto"/>
          <w:sz w:val="24"/>
          <w:highlight w:val="none"/>
        </w:rPr>
      </w:pPr>
    </w:p>
    <w:p w14:paraId="13414DAE">
      <w:pPr>
        <w:shd w:val="clear"/>
        <w:snapToGrid w:val="0"/>
        <w:spacing w:before="165" w:beforeLines="50" w:after="50" w:line="400" w:lineRule="exact"/>
        <w:ind w:firstLine="360" w:firstLineChars="150"/>
        <w:rPr>
          <w:rFonts w:ascii="宋体" w:hAnsi="宋体"/>
          <w:bCs/>
          <w:color w:val="auto"/>
          <w:sz w:val="24"/>
          <w:highlight w:val="none"/>
        </w:rPr>
      </w:pPr>
      <w:r>
        <w:rPr>
          <w:rFonts w:hint="eastAsia" w:ascii="宋体" w:hAnsi="宋体"/>
          <w:bCs/>
          <w:color w:val="auto"/>
          <w:sz w:val="24"/>
          <w:highlight w:val="none"/>
        </w:rPr>
        <w:t>所投分标：</w:t>
      </w:r>
    </w:p>
    <w:p w14:paraId="3C66D6A2">
      <w:pPr>
        <w:shd w:val="clear"/>
        <w:snapToGrid w:val="0"/>
        <w:spacing w:before="165" w:beforeLines="50" w:after="50" w:line="400" w:lineRule="exact"/>
        <w:ind w:firstLine="360" w:firstLineChars="150"/>
        <w:rPr>
          <w:rFonts w:hint="eastAsia" w:ascii="宋体" w:hAnsi="宋体"/>
          <w:bCs/>
          <w:color w:val="auto"/>
          <w:sz w:val="24"/>
          <w:highlight w:val="none"/>
        </w:rPr>
      </w:pPr>
    </w:p>
    <w:p w14:paraId="03BFDFDB">
      <w:pPr>
        <w:shd w:val="clear"/>
        <w:snapToGrid w:val="0"/>
        <w:spacing w:before="165" w:beforeLines="50" w:after="50" w:line="400" w:lineRule="exact"/>
        <w:ind w:firstLine="360" w:firstLineChars="150"/>
        <w:rPr>
          <w:rFonts w:ascii="宋体" w:hAnsi="宋体"/>
          <w:bCs/>
          <w:color w:val="auto"/>
          <w:sz w:val="24"/>
          <w:highlight w:val="none"/>
        </w:rPr>
      </w:pPr>
      <w:r>
        <w:rPr>
          <w:rFonts w:hint="eastAsia" w:ascii="宋体" w:hAnsi="宋体"/>
          <w:bCs/>
          <w:color w:val="auto"/>
          <w:sz w:val="24"/>
          <w:highlight w:val="none"/>
        </w:rPr>
        <w:t>投标人名称：</w:t>
      </w:r>
    </w:p>
    <w:p w14:paraId="4F3C6EAA">
      <w:pPr>
        <w:shd w:val="clear"/>
        <w:snapToGrid w:val="0"/>
        <w:spacing w:before="165" w:beforeLines="50" w:after="50" w:line="400" w:lineRule="exact"/>
        <w:ind w:firstLine="360" w:firstLineChars="150"/>
        <w:rPr>
          <w:rFonts w:hint="eastAsia" w:ascii="宋体" w:hAnsi="宋体"/>
          <w:bCs/>
          <w:color w:val="auto"/>
          <w:sz w:val="24"/>
          <w:highlight w:val="none"/>
        </w:rPr>
      </w:pPr>
    </w:p>
    <w:p w14:paraId="28EA505F">
      <w:pPr>
        <w:shd w:val="clear"/>
        <w:snapToGrid w:val="0"/>
        <w:spacing w:before="165" w:beforeLines="50"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投标人地址：</w:t>
      </w:r>
    </w:p>
    <w:p w14:paraId="2C86DE6B">
      <w:pPr>
        <w:shd w:val="clear"/>
        <w:snapToGrid w:val="0"/>
        <w:spacing w:before="50" w:after="50" w:line="400" w:lineRule="exact"/>
        <w:ind w:firstLine="960" w:firstLineChars="400"/>
        <w:rPr>
          <w:rFonts w:hint="eastAsia" w:ascii="宋体" w:hAnsi="宋体"/>
          <w:bCs/>
          <w:color w:val="auto"/>
          <w:sz w:val="24"/>
          <w:highlight w:val="none"/>
        </w:rPr>
      </w:pPr>
    </w:p>
    <w:p w14:paraId="1C3FA45A">
      <w:pPr>
        <w:shd w:val="clear"/>
        <w:snapToGrid w:val="0"/>
        <w:spacing w:before="165" w:beforeLines="50" w:after="50" w:line="400" w:lineRule="exact"/>
        <w:rPr>
          <w:rFonts w:ascii="宋体" w:hAnsi="宋体"/>
          <w:color w:val="auto"/>
          <w:sz w:val="24"/>
          <w:highlight w:val="none"/>
        </w:rPr>
        <w:sectPr>
          <w:pgSz w:w="11905" w:h="16838"/>
          <w:pgMar w:top="1134" w:right="1134" w:bottom="1134" w:left="1134" w:header="720" w:footer="720" w:gutter="0"/>
          <w:cols w:space="0" w:num="1"/>
          <w:rtlGutter w:val="0"/>
          <w:docGrid w:type="lines" w:linePitch="331" w:charSpace="0"/>
        </w:sectPr>
      </w:pPr>
      <w:r>
        <w:rPr>
          <w:rFonts w:hint="eastAsia" w:ascii="宋体" w:hAnsi="宋体"/>
          <w:color w:val="auto"/>
          <w:sz w:val="24"/>
          <w:highlight w:val="none"/>
        </w:rPr>
        <w:t xml:space="preserve">                                                       年  月  日</w:t>
      </w:r>
    </w:p>
    <w:p w14:paraId="2114D883">
      <w:pPr>
        <w:shd w:val="clear"/>
        <w:rPr>
          <w:rFonts w:hint="eastAsia" w:ascii="宋体" w:hAnsi="宋体" w:cs="宋体"/>
          <w:color w:val="auto"/>
          <w:highlight w:val="none"/>
        </w:rPr>
      </w:pPr>
    </w:p>
    <w:p w14:paraId="17AFD0FD">
      <w:pPr>
        <w:shd w:val="clear"/>
        <w:snapToGrid w:val="0"/>
        <w:spacing w:before="165" w:beforeLines="50" w:after="50" w:line="400" w:lineRule="exact"/>
        <w:jc w:val="center"/>
        <w:rPr>
          <w:rFonts w:hint="eastAsia" w:ascii="宋体" w:hAnsi="宋体"/>
          <w:b/>
          <w:bCs/>
          <w:color w:val="auto"/>
          <w:sz w:val="32"/>
          <w:szCs w:val="32"/>
          <w:highlight w:val="none"/>
        </w:rPr>
      </w:pPr>
      <w:r>
        <w:rPr>
          <w:rFonts w:hint="eastAsia" w:ascii="宋体" w:hAnsi="宋体"/>
          <w:b/>
          <w:bCs/>
          <w:color w:val="auto"/>
          <w:sz w:val="32"/>
          <w:szCs w:val="32"/>
          <w:highlight w:val="none"/>
        </w:rPr>
        <w:t>报价文件目录</w:t>
      </w:r>
    </w:p>
    <w:p w14:paraId="0EB55AC1">
      <w:pPr>
        <w:shd w:val="clear"/>
        <w:rPr>
          <w:rFonts w:hint="eastAsia" w:ascii="宋体" w:hAnsi="宋体" w:cs="宋体"/>
          <w:color w:val="auto"/>
          <w:highlight w:val="none"/>
        </w:rPr>
      </w:pPr>
    </w:p>
    <w:p w14:paraId="56BB3147">
      <w:pPr>
        <w:shd w:val="clear"/>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一、投标函………………………………………………………（页码）</w:t>
      </w:r>
    </w:p>
    <w:p w14:paraId="0993EB5B">
      <w:pPr>
        <w:shd w:val="clear"/>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二、开标一览表…………………………………………………（页码）</w:t>
      </w:r>
    </w:p>
    <w:p w14:paraId="737D5E3E">
      <w:pPr>
        <w:shd w:val="clear"/>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三、投标人针对报价需要说明的其他文件和说明（格式自拟）……………………………………………（页码）</w:t>
      </w:r>
    </w:p>
    <w:p w14:paraId="1AAC950A">
      <w:pPr>
        <w:shd w:val="clear"/>
        <w:snapToGrid w:val="0"/>
        <w:spacing w:before="165" w:beforeLines="50" w:after="50" w:line="400" w:lineRule="exact"/>
        <w:ind w:firstLine="300" w:firstLineChars="100"/>
        <w:rPr>
          <w:rFonts w:ascii="宋体" w:hAnsi="宋体"/>
          <w:color w:val="auto"/>
          <w:sz w:val="30"/>
          <w:szCs w:val="20"/>
          <w:highlight w:val="none"/>
        </w:rPr>
        <w:sectPr>
          <w:pgSz w:w="11905" w:h="16838"/>
          <w:pgMar w:top="1134" w:right="1134" w:bottom="1134" w:left="1134" w:header="720" w:footer="720" w:gutter="0"/>
          <w:cols w:space="0" w:num="1"/>
          <w:rtlGutter w:val="0"/>
          <w:docGrid w:type="lines" w:linePitch="331" w:charSpace="0"/>
        </w:sectPr>
      </w:pPr>
    </w:p>
    <w:p w14:paraId="469DC246">
      <w:pPr>
        <w:shd w:val="clear"/>
        <w:spacing w:line="500" w:lineRule="exact"/>
        <w:jc w:val="center"/>
        <w:rPr>
          <w:b/>
          <w:bCs/>
          <w:color w:val="auto"/>
          <w:sz w:val="30"/>
          <w:szCs w:val="30"/>
          <w:highlight w:val="none"/>
        </w:rPr>
      </w:pPr>
      <w:r>
        <w:rPr>
          <w:rFonts w:hint="eastAsia"/>
          <w:b/>
          <w:bCs/>
          <w:color w:val="auto"/>
          <w:sz w:val="30"/>
          <w:szCs w:val="30"/>
          <w:highlight w:val="none"/>
        </w:rPr>
        <w:t>一、投标函</w:t>
      </w:r>
    </w:p>
    <w:p w14:paraId="03D736BF">
      <w:pPr>
        <w:shd w:val="clear"/>
        <w:spacing w:line="440" w:lineRule="exact"/>
        <w:ind w:firstLine="420" w:firstLineChars="200"/>
        <w:rPr>
          <w:color w:val="auto"/>
          <w:szCs w:val="20"/>
          <w:highlight w:val="none"/>
        </w:rPr>
      </w:pPr>
      <w:r>
        <w:rPr>
          <w:rFonts w:hint="eastAsia"/>
          <w:color w:val="auto"/>
          <w:szCs w:val="20"/>
          <w:highlight w:val="none"/>
        </w:rPr>
        <w:t>致：</w:t>
      </w:r>
      <w:r>
        <w:rPr>
          <w:rFonts w:hint="eastAsia"/>
          <w:color w:val="auto"/>
          <w:szCs w:val="20"/>
          <w:highlight w:val="none"/>
          <w:u w:val="single"/>
          <w:lang w:eastAsia="zh-CN"/>
        </w:rPr>
        <w:t>（</w:t>
      </w:r>
      <w:r>
        <w:rPr>
          <w:rFonts w:hint="eastAsia"/>
          <w:color w:val="auto"/>
          <w:szCs w:val="20"/>
          <w:highlight w:val="none"/>
          <w:u w:val="single"/>
          <w:lang w:val="en-US" w:eastAsia="zh-CN"/>
        </w:rPr>
        <w:t>采购人名称</w:t>
      </w:r>
      <w:r>
        <w:rPr>
          <w:rFonts w:hint="eastAsia"/>
          <w:color w:val="auto"/>
          <w:szCs w:val="20"/>
          <w:highlight w:val="none"/>
          <w:u w:val="single"/>
          <w:lang w:eastAsia="zh-CN"/>
        </w:rPr>
        <w:t>）</w:t>
      </w:r>
      <w:r>
        <w:rPr>
          <w:color w:val="auto"/>
          <w:szCs w:val="20"/>
          <w:highlight w:val="none"/>
        </w:rPr>
        <w:t xml:space="preserve"> </w:t>
      </w:r>
    </w:p>
    <w:p w14:paraId="166849B2">
      <w:pPr>
        <w:shd w:val="clear"/>
        <w:spacing w:line="440" w:lineRule="exact"/>
        <w:ind w:firstLine="420" w:firstLineChars="200"/>
        <w:rPr>
          <w:rFonts w:ascii="宋体" w:hAnsi="Courier New"/>
          <w:color w:val="auto"/>
          <w:szCs w:val="20"/>
          <w:highlight w:val="none"/>
        </w:rPr>
      </w:pPr>
      <w:r>
        <w:rPr>
          <w:rFonts w:hint="eastAsia" w:ascii="宋体" w:hAnsi="Courier New"/>
          <w:color w:val="auto"/>
          <w:szCs w:val="20"/>
          <w:highlight w:val="none"/>
        </w:rPr>
        <w:t>我方已仔细阅读了贵方组织的</w:t>
      </w:r>
      <w:r>
        <w:rPr>
          <w:color w:val="auto"/>
          <w:szCs w:val="20"/>
          <w:highlight w:val="none"/>
          <w:u w:val="single"/>
        </w:rPr>
        <w:t xml:space="preserve"> </w:t>
      </w:r>
      <w:r>
        <w:rPr>
          <w:rFonts w:hint="eastAsia"/>
          <w:color w:val="auto"/>
          <w:szCs w:val="20"/>
          <w:highlight w:val="none"/>
          <w:u w:val="single"/>
          <w:lang w:eastAsia="zh-CN"/>
        </w:rPr>
        <w:t>（</w:t>
      </w:r>
      <w:r>
        <w:rPr>
          <w:rFonts w:hint="eastAsia"/>
          <w:color w:val="auto"/>
          <w:szCs w:val="20"/>
          <w:highlight w:val="none"/>
          <w:u w:val="single"/>
          <w:lang w:val="en-US" w:eastAsia="zh-CN"/>
        </w:rPr>
        <w:t>项目名称</w:t>
      </w:r>
      <w:r>
        <w:rPr>
          <w:rFonts w:hint="eastAsia"/>
          <w:color w:val="auto"/>
          <w:szCs w:val="20"/>
          <w:highlight w:val="none"/>
          <w:u w:val="single"/>
          <w:lang w:eastAsia="zh-CN"/>
        </w:rPr>
        <w:t>）</w:t>
      </w:r>
      <w:r>
        <w:rPr>
          <w:color w:val="auto"/>
          <w:szCs w:val="20"/>
          <w:highlight w:val="none"/>
          <w:u w:val="single"/>
        </w:rPr>
        <w:t xml:space="preserve">  </w:t>
      </w:r>
      <w:r>
        <w:rPr>
          <w:rFonts w:hint="eastAsia" w:ascii="宋体" w:hAnsi="Courier New"/>
          <w:color w:val="auto"/>
          <w:szCs w:val="20"/>
          <w:highlight w:val="none"/>
        </w:rPr>
        <w:t>项目（项目编号：</w:t>
      </w:r>
      <w:r>
        <w:rPr>
          <w:rFonts w:hint="eastAsia" w:ascii="宋体" w:hAnsi="Courier New"/>
          <w:color w:val="auto"/>
          <w:szCs w:val="20"/>
          <w:highlight w:val="none"/>
          <w:u w:val="single"/>
          <w:lang w:val="en-US" w:eastAsia="zh-CN"/>
        </w:rPr>
        <w:t xml:space="preserve">       </w:t>
      </w:r>
      <w:r>
        <w:rPr>
          <w:rFonts w:hint="eastAsia" w:ascii="宋体" w:hAnsi="Courier New"/>
          <w:color w:val="auto"/>
          <w:szCs w:val="20"/>
          <w:highlight w:val="none"/>
        </w:rPr>
        <w:t>）的招标文件的全部内容，授权</w:t>
      </w:r>
      <w:r>
        <w:rPr>
          <w:color w:val="auto"/>
          <w:szCs w:val="20"/>
          <w:highlight w:val="none"/>
          <w:u w:val="single"/>
        </w:rPr>
        <w:t xml:space="preserve">                      </w:t>
      </w:r>
      <w:r>
        <w:rPr>
          <w:rFonts w:hint="eastAsia" w:ascii="宋体" w:hAnsi="Courier New"/>
          <w:color w:val="auto"/>
          <w:szCs w:val="20"/>
          <w:highlight w:val="none"/>
        </w:rPr>
        <w:t>(全权代表姓名)</w:t>
      </w:r>
      <w:r>
        <w:rPr>
          <w:color w:val="auto"/>
          <w:szCs w:val="20"/>
          <w:highlight w:val="none"/>
          <w:u w:val="single"/>
        </w:rPr>
        <w:t xml:space="preserve">          </w:t>
      </w:r>
      <w:r>
        <w:rPr>
          <w:rFonts w:hint="eastAsia" w:ascii="宋体" w:hAnsi="Courier New"/>
          <w:color w:val="auto"/>
          <w:szCs w:val="20"/>
          <w:highlight w:val="none"/>
        </w:rPr>
        <w:t xml:space="preserve"> (职务、职称)为全权代表，现正式递交下述文件参加贵方组织的本次政府采购活动： </w:t>
      </w:r>
    </w:p>
    <w:p w14:paraId="4C578666">
      <w:pPr>
        <w:shd w:val="clear"/>
        <w:spacing w:line="440" w:lineRule="exact"/>
        <w:ind w:firstLine="420" w:firstLineChars="200"/>
        <w:rPr>
          <w:rFonts w:ascii="宋体" w:hAnsi="Courier New"/>
          <w:color w:val="auto"/>
          <w:szCs w:val="20"/>
          <w:highlight w:val="none"/>
        </w:rPr>
      </w:pPr>
      <w:r>
        <w:rPr>
          <w:rFonts w:hint="eastAsia" w:ascii="宋体" w:hAnsi="Courier New"/>
          <w:color w:val="auto"/>
          <w:szCs w:val="20"/>
          <w:highlight w:val="none"/>
        </w:rPr>
        <w:t>一、报价文件电子版一份（包含按投标人须知前附表要求提交的全部文件）；</w:t>
      </w:r>
    </w:p>
    <w:p w14:paraId="09E3A5C0">
      <w:pPr>
        <w:shd w:val="clear"/>
        <w:spacing w:line="440" w:lineRule="exact"/>
        <w:ind w:firstLine="482"/>
        <w:rPr>
          <w:rFonts w:hint="eastAsia" w:ascii="宋体" w:hAnsi="Courier New"/>
          <w:color w:val="auto"/>
          <w:szCs w:val="20"/>
          <w:highlight w:val="none"/>
        </w:rPr>
      </w:pPr>
      <w:r>
        <w:rPr>
          <w:rFonts w:hint="eastAsia" w:ascii="宋体" w:hAnsi="Courier New"/>
          <w:color w:val="auto"/>
          <w:szCs w:val="20"/>
          <w:highlight w:val="none"/>
        </w:rPr>
        <w:t>二、资格文件电子版一份（包含按投标人须知前附表要求提交的全部文件）；</w:t>
      </w:r>
    </w:p>
    <w:p w14:paraId="53B6D733">
      <w:pPr>
        <w:shd w:val="clear"/>
        <w:spacing w:line="440" w:lineRule="exact"/>
        <w:ind w:firstLine="482"/>
        <w:rPr>
          <w:rFonts w:hint="eastAsia" w:ascii="宋体" w:hAnsi="Courier New"/>
          <w:color w:val="auto"/>
          <w:szCs w:val="20"/>
          <w:highlight w:val="none"/>
        </w:rPr>
      </w:pPr>
      <w:r>
        <w:rPr>
          <w:rFonts w:hint="eastAsia" w:ascii="宋体" w:hAnsi="Courier New"/>
          <w:color w:val="auto"/>
          <w:szCs w:val="20"/>
          <w:highlight w:val="none"/>
        </w:rPr>
        <w:t>三、</w:t>
      </w:r>
      <w:r>
        <w:rPr>
          <w:rFonts w:hint="eastAsia" w:ascii="宋体" w:hAnsi="宋体"/>
          <w:color w:val="auto"/>
          <w:szCs w:val="20"/>
          <w:highlight w:val="none"/>
        </w:rPr>
        <w:t>技术</w:t>
      </w:r>
      <w:r>
        <w:rPr>
          <w:rFonts w:hint="eastAsia" w:ascii="宋体" w:hAnsi="Courier New"/>
          <w:color w:val="auto"/>
          <w:szCs w:val="20"/>
          <w:highlight w:val="none"/>
        </w:rPr>
        <w:t>文件电子版一份（包含按投标人须知前附表要求提交的全部文件）；</w:t>
      </w:r>
    </w:p>
    <w:p w14:paraId="263A5FB7">
      <w:pPr>
        <w:shd w:val="clear"/>
        <w:spacing w:line="440" w:lineRule="exact"/>
        <w:ind w:firstLine="482"/>
        <w:rPr>
          <w:rFonts w:hint="eastAsia" w:ascii="宋体" w:hAnsi="Courier New"/>
          <w:color w:val="auto"/>
          <w:szCs w:val="20"/>
          <w:highlight w:val="none"/>
        </w:rPr>
      </w:pPr>
      <w:r>
        <w:rPr>
          <w:rFonts w:hint="eastAsia" w:ascii="宋体" w:hAnsi="宋体"/>
          <w:color w:val="auto"/>
          <w:szCs w:val="20"/>
          <w:highlight w:val="none"/>
        </w:rPr>
        <w:t>四、</w:t>
      </w:r>
      <w:r>
        <w:rPr>
          <w:rFonts w:hint="eastAsia" w:ascii="宋体" w:hAnsi="Courier New"/>
          <w:color w:val="auto"/>
          <w:szCs w:val="20"/>
          <w:highlight w:val="none"/>
        </w:rPr>
        <w:t>商务</w:t>
      </w:r>
      <w:r>
        <w:rPr>
          <w:rFonts w:hint="eastAsia" w:ascii="宋体" w:hAnsi="宋体"/>
          <w:color w:val="auto"/>
          <w:szCs w:val="20"/>
          <w:highlight w:val="none"/>
        </w:rPr>
        <w:t>文件</w:t>
      </w:r>
      <w:r>
        <w:rPr>
          <w:rFonts w:hint="eastAsia" w:ascii="宋体" w:hAnsi="Courier New"/>
          <w:color w:val="auto"/>
          <w:szCs w:val="20"/>
          <w:highlight w:val="none"/>
        </w:rPr>
        <w:t>电子版一份（包含按投标人须知前附表要求提交的全部文件）；</w:t>
      </w:r>
    </w:p>
    <w:p w14:paraId="79BF4789">
      <w:pPr>
        <w:shd w:val="clear"/>
        <w:spacing w:line="440" w:lineRule="exact"/>
        <w:ind w:firstLine="482"/>
        <w:rPr>
          <w:color w:val="auto"/>
          <w:szCs w:val="20"/>
          <w:highlight w:val="none"/>
        </w:rPr>
      </w:pPr>
      <w:r>
        <w:rPr>
          <w:rFonts w:hint="eastAsia" w:ascii="宋体" w:hAnsi="Courier New"/>
          <w:color w:val="auto"/>
          <w:szCs w:val="20"/>
          <w:highlight w:val="none"/>
        </w:rPr>
        <w:t>据此函，签字人兹宣布：</w:t>
      </w:r>
    </w:p>
    <w:p w14:paraId="7BC08C3D">
      <w:pPr>
        <w:shd w:val="clear"/>
        <w:spacing w:line="440" w:lineRule="exact"/>
        <w:ind w:firstLine="420" w:firstLineChars="200"/>
        <w:rPr>
          <w:color w:val="auto"/>
          <w:szCs w:val="20"/>
          <w:highlight w:val="none"/>
        </w:rPr>
      </w:pPr>
      <w:r>
        <w:rPr>
          <w:rFonts w:hint="eastAsia" w:ascii="宋体" w:hAnsi="Courier New"/>
          <w:color w:val="auto"/>
          <w:szCs w:val="20"/>
          <w:highlight w:val="none"/>
        </w:rPr>
        <w:t>1、我方愿意以（大写）人民币</w:t>
      </w:r>
      <w:r>
        <w:rPr>
          <w:rFonts w:hint="eastAsia" w:ascii="宋体" w:hAnsi="Courier New"/>
          <w:color w:val="auto"/>
          <w:szCs w:val="20"/>
          <w:highlight w:val="none"/>
          <w:u w:val="single"/>
        </w:rPr>
        <w:t xml:space="preserve">              </w:t>
      </w:r>
      <w:r>
        <w:rPr>
          <w:rFonts w:hint="eastAsia" w:ascii="宋体" w:hAnsi="Courier New"/>
          <w:color w:val="auto"/>
          <w:szCs w:val="20"/>
          <w:highlight w:val="none"/>
        </w:rPr>
        <w:t>元 (</w:t>
      </w:r>
      <w:r>
        <w:rPr>
          <w:rFonts w:hint="eastAsia" w:ascii="宋体" w:hAnsi="Courier New"/>
          <w:color w:val="auto"/>
          <w:szCs w:val="20"/>
          <w:highlight w:val="none"/>
          <w:lang w:eastAsia="zh-CN"/>
        </w:rPr>
        <w:t>¥</w:t>
      </w:r>
      <w:r>
        <w:rPr>
          <w:rFonts w:hint="eastAsia" w:ascii="宋体" w:hAnsi="Courier New"/>
          <w:color w:val="auto"/>
          <w:szCs w:val="20"/>
          <w:highlight w:val="none"/>
          <w:u w:val="single"/>
        </w:rPr>
        <w:t xml:space="preserve">          </w:t>
      </w:r>
      <w:r>
        <w:rPr>
          <w:rFonts w:hint="eastAsia" w:ascii="宋体" w:hAnsi="Courier New"/>
          <w:color w:val="auto"/>
          <w:szCs w:val="20"/>
          <w:highlight w:val="none"/>
        </w:rPr>
        <w:t>元)的投标总报价，服务期限或者服务时间（无分标时填写）</w:t>
      </w:r>
      <w:r>
        <w:rPr>
          <w:rFonts w:hint="eastAsia" w:ascii="宋体" w:hAnsi="Courier New"/>
          <w:color w:val="auto"/>
          <w:szCs w:val="20"/>
          <w:highlight w:val="none"/>
          <w:u w:val="single"/>
        </w:rPr>
        <w:t xml:space="preserve">              </w:t>
      </w:r>
      <w:r>
        <w:rPr>
          <w:rFonts w:hint="eastAsia" w:ascii="宋体" w:hAnsi="Courier New"/>
          <w:color w:val="auto"/>
          <w:szCs w:val="20"/>
          <w:highlight w:val="none"/>
        </w:rPr>
        <w:t>，提供本项目</w:t>
      </w:r>
      <w:r>
        <w:rPr>
          <w:rFonts w:hint="eastAsia" w:ascii="宋体"/>
          <w:color w:val="auto"/>
          <w:szCs w:val="20"/>
          <w:highlight w:val="none"/>
        </w:rPr>
        <w:t>招标文件第二章</w:t>
      </w:r>
      <w:r>
        <w:rPr>
          <w:rFonts w:hint="eastAsia" w:ascii="宋体" w:hAnsi="Courier New"/>
          <w:color w:val="auto"/>
          <w:szCs w:val="20"/>
          <w:highlight w:val="none"/>
        </w:rPr>
        <w:t>“服务需求”中的相应的采购内容。</w:t>
      </w:r>
    </w:p>
    <w:p w14:paraId="51430578">
      <w:pPr>
        <w:shd w:val="clear"/>
        <w:spacing w:line="440" w:lineRule="exact"/>
        <w:ind w:firstLine="420" w:firstLineChars="200"/>
        <w:rPr>
          <w:color w:val="auto"/>
          <w:szCs w:val="20"/>
          <w:highlight w:val="none"/>
        </w:rPr>
      </w:pPr>
      <w:r>
        <w:rPr>
          <w:rFonts w:hint="eastAsia" w:ascii="宋体" w:hAnsi="Courier New"/>
          <w:color w:val="auto"/>
          <w:szCs w:val="20"/>
          <w:highlight w:val="none"/>
        </w:rPr>
        <w:t>其中（有分标时填写）：</w:t>
      </w:r>
    </w:p>
    <w:p w14:paraId="33AA8E10">
      <w:pPr>
        <w:shd w:val="clear"/>
        <w:spacing w:line="360" w:lineRule="exact"/>
        <w:ind w:firstLine="420" w:firstLineChars="200"/>
        <w:rPr>
          <w:rFonts w:ascii="宋体" w:hAnsi="Courier New"/>
          <w:color w:val="auto"/>
          <w:szCs w:val="20"/>
          <w:highlight w:val="none"/>
          <w:u w:val="single"/>
        </w:rPr>
      </w:pPr>
      <w:r>
        <w:rPr>
          <w:rFonts w:hint="eastAsia" w:ascii="宋体" w:hAnsi="Courier New"/>
          <w:color w:val="auto"/>
          <w:szCs w:val="20"/>
          <w:highlight w:val="none"/>
          <w:u w:val="single"/>
        </w:rPr>
        <w:t xml:space="preserve">  </w:t>
      </w:r>
      <w:r>
        <w:rPr>
          <w:rFonts w:hint="eastAsia" w:ascii="宋体" w:hAnsi="Courier New"/>
          <w:color w:val="auto"/>
          <w:szCs w:val="20"/>
          <w:highlight w:val="none"/>
        </w:rPr>
        <w:t>分标报价为（大写）人民币</w:t>
      </w:r>
      <w:r>
        <w:rPr>
          <w:rFonts w:hint="eastAsia" w:ascii="宋体" w:hAnsi="Courier New"/>
          <w:color w:val="auto"/>
          <w:szCs w:val="20"/>
          <w:highlight w:val="none"/>
          <w:u w:val="single"/>
        </w:rPr>
        <w:t xml:space="preserve">           </w:t>
      </w:r>
      <w:r>
        <w:rPr>
          <w:rFonts w:hint="eastAsia" w:ascii="宋体" w:hAnsi="Courier New"/>
          <w:color w:val="auto"/>
          <w:szCs w:val="20"/>
          <w:highlight w:val="none"/>
        </w:rPr>
        <w:t>元 (</w:t>
      </w:r>
      <w:r>
        <w:rPr>
          <w:rFonts w:hint="eastAsia" w:ascii="宋体" w:hAnsi="Courier New"/>
          <w:color w:val="auto"/>
          <w:szCs w:val="20"/>
          <w:highlight w:val="none"/>
          <w:lang w:eastAsia="zh-CN"/>
        </w:rPr>
        <w:t>¥</w:t>
      </w:r>
      <w:r>
        <w:rPr>
          <w:rFonts w:hint="eastAsia" w:ascii="宋体" w:hAnsi="Courier New"/>
          <w:color w:val="auto"/>
          <w:szCs w:val="20"/>
          <w:highlight w:val="none"/>
          <w:u w:val="single"/>
        </w:rPr>
        <w:t xml:space="preserve">       </w:t>
      </w:r>
      <w:r>
        <w:rPr>
          <w:rFonts w:hint="eastAsia" w:ascii="宋体" w:hAnsi="Courier New"/>
          <w:color w:val="auto"/>
          <w:szCs w:val="20"/>
          <w:highlight w:val="none"/>
        </w:rPr>
        <w:t>元)，服务期限或者服务时间：</w:t>
      </w:r>
      <w:r>
        <w:rPr>
          <w:rFonts w:hint="eastAsia" w:ascii="宋体" w:hAnsi="Courier New"/>
          <w:color w:val="auto"/>
          <w:szCs w:val="20"/>
          <w:highlight w:val="none"/>
          <w:u w:val="single"/>
        </w:rPr>
        <w:t xml:space="preserve">          </w:t>
      </w:r>
      <w:r>
        <w:rPr>
          <w:rFonts w:hint="eastAsia" w:ascii="宋体" w:hAnsi="Courier New"/>
          <w:color w:val="auto"/>
          <w:szCs w:val="20"/>
          <w:highlight w:val="none"/>
        </w:rPr>
        <w:t>；</w:t>
      </w:r>
    </w:p>
    <w:p w14:paraId="279E0DF5">
      <w:pPr>
        <w:shd w:val="clear"/>
        <w:spacing w:line="360" w:lineRule="exact"/>
        <w:ind w:firstLine="420" w:firstLineChars="200"/>
        <w:rPr>
          <w:rFonts w:hint="eastAsia" w:ascii="宋体" w:hAnsi="Courier New"/>
          <w:color w:val="auto"/>
          <w:szCs w:val="20"/>
          <w:highlight w:val="none"/>
          <w:u w:val="single"/>
        </w:rPr>
      </w:pPr>
      <w:r>
        <w:rPr>
          <w:rFonts w:hint="eastAsia" w:ascii="宋体" w:hAnsi="Courier New"/>
          <w:color w:val="auto"/>
          <w:szCs w:val="20"/>
          <w:highlight w:val="none"/>
          <w:u w:val="single"/>
        </w:rPr>
        <w:t xml:space="preserve">  </w:t>
      </w:r>
      <w:r>
        <w:rPr>
          <w:rFonts w:hint="eastAsia" w:ascii="宋体" w:hAnsi="Courier New"/>
          <w:color w:val="auto"/>
          <w:szCs w:val="20"/>
          <w:highlight w:val="none"/>
        </w:rPr>
        <w:t>分标报价为（大写）人民币</w:t>
      </w:r>
      <w:r>
        <w:rPr>
          <w:rFonts w:hint="eastAsia" w:ascii="宋体" w:hAnsi="Courier New"/>
          <w:color w:val="auto"/>
          <w:szCs w:val="20"/>
          <w:highlight w:val="none"/>
          <w:u w:val="single"/>
        </w:rPr>
        <w:t xml:space="preserve">           </w:t>
      </w:r>
      <w:r>
        <w:rPr>
          <w:rFonts w:hint="eastAsia" w:ascii="宋体" w:hAnsi="Courier New"/>
          <w:color w:val="auto"/>
          <w:szCs w:val="20"/>
          <w:highlight w:val="none"/>
        </w:rPr>
        <w:t>元 (</w:t>
      </w:r>
      <w:r>
        <w:rPr>
          <w:rFonts w:hint="eastAsia" w:ascii="宋体" w:hAnsi="Courier New"/>
          <w:color w:val="auto"/>
          <w:szCs w:val="20"/>
          <w:highlight w:val="none"/>
          <w:lang w:eastAsia="zh-CN"/>
        </w:rPr>
        <w:t>¥</w:t>
      </w:r>
      <w:r>
        <w:rPr>
          <w:rFonts w:hint="eastAsia" w:ascii="宋体" w:hAnsi="Courier New"/>
          <w:color w:val="auto"/>
          <w:szCs w:val="20"/>
          <w:highlight w:val="none"/>
          <w:u w:val="single"/>
        </w:rPr>
        <w:t xml:space="preserve">       </w:t>
      </w:r>
      <w:r>
        <w:rPr>
          <w:rFonts w:hint="eastAsia" w:ascii="宋体" w:hAnsi="Courier New"/>
          <w:color w:val="auto"/>
          <w:szCs w:val="20"/>
          <w:highlight w:val="none"/>
        </w:rPr>
        <w:t>元)，服务期限或者服务时间：</w:t>
      </w:r>
      <w:r>
        <w:rPr>
          <w:rFonts w:hint="eastAsia" w:ascii="宋体" w:hAnsi="Courier New"/>
          <w:color w:val="auto"/>
          <w:szCs w:val="20"/>
          <w:highlight w:val="none"/>
          <w:u w:val="single"/>
        </w:rPr>
        <w:t xml:space="preserve">          </w:t>
      </w:r>
      <w:r>
        <w:rPr>
          <w:rFonts w:hint="eastAsia" w:ascii="宋体" w:hAnsi="Courier New"/>
          <w:color w:val="auto"/>
          <w:szCs w:val="20"/>
          <w:highlight w:val="none"/>
        </w:rPr>
        <w:t>；</w:t>
      </w:r>
    </w:p>
    <w:p w14:paraId="68949BE6">
      <w:pPr>
        <w:shd w:val="clear"/>
        <w:spacing w:line="360" w:lineRule="exact"/>
        <w:ind w:firstLine="420" w:firstLineChars="200"/>
        <w:rPr>
          <w:rFonts w:hint="eastAsia" w:ascii="宋体" w:hAnsi="Courier New"/>
          <w:color w:val="auto"/>
          <w:szCs w:val="20"/>
          <w:highlight w:val="none"/>
          <w:u w:val="single"/>
        </w:rPr>
      </w:pPr>
      <w:r>
        <w:rPr>
          <w:rFonts w:hint="eastAsia" w:ascii="宋体" w:hAnsi="Courier New"/>
          <w:color w:val="auto"/>
          <w:szCs w:val="20"/>
          <w:highlight w:val="none"/>
        </w:rPr>
        <w:t>......</w:t>
      </w:r>
    </w:p>
    <w:p w14:paraId="573BB122">
      <w:pPr>
        <w:shd w:val="clear"/>
        <w:spacing w:line="360" w:lineRule="exact"/>
        <w:ind w:firstLine="420" w:firstLineChars="200"/>
        <w:rPr>
          <w:rFonts w:hint="eastAsia" w:ascii="宋体" w:hAnsi="Courier New"/>
          <w:color w:val="auto"/>
          <w:szCs w:val="20"/>
          <w:highlight w:val="none"/>
          <w:u w:val="single"/>
        </w:rPr>
      </w:pPr>
      <w:r>
        <w:rPr>
          <w:rFonts w:hint="eastAsia" w:ascii="宋体" w:hAnsi="Courier New"/>
          <w:color w:val="auto"/>
          <w:szCs w:val="20"/>
          <w:highlight w:val="none"/>
        </w:rPr>
        <w:t>2、我方同意自本项目招标文件“第三章 投标人须知”第一节 投标人须知前附表 第21.2项规定的投标截止时间（开标时间）起遵循</w:t>
      </w:r>
      <w:r>
        <w:rPr>
          <w:rFonts w:hint="eastAsia" w:ascii="宋体" w:hAnsi="宋体"/>
          <w:color w:val="auto"/>
          <w:szCs w:val="20"/>
          <w:highlight w:val="none"/>
        </w:rPr>
        <w:t>本投标函</w:t>
      </w:r>
      <w:r>
        <w:rPr>
          <w:rFonts w:hint="eastAsia" w:ascii="宋体" w:hAnsi="Courier New"/>
          <w:color w:val="auto"/>
          <w:szCs w:val="20"/>
          <w:highlight w:val="none"/>
        </w:rPr>
        <w:t>，并承诺在“投标人须知前附表”第17.2项规定的投标有效期内不修改、撤销投标文件。</w:t>
      </w:r>
    </w:p>
    <w:p w14:paraId="0DB5F055">
      <w:pPr>
        <w:shd w:val="clear"/>
        <w:spacing w:line="360" w:lineRule="exact"/>
        <w:ind w:firstLine="420" w:firstLineChars="200"/>
        <w:rPr>
          <w:rFonts w:hint="eastAsia" w:ascii="宋体" w:hAnsi="Courier New"/>
          <w:color w:val="auto"/>
          <w:szCs w:val="20"/>
          <w:highlight w:val="none"/>
          <w:u w:val="single"/>
        </w:rPr>
      </w:pPr>
      <w:r>
        <w:rPr>
          <w:rFonts w:hint="eastAsia" w:ascii="宋体" w:hAnsi="Courier New"/>
          <w:color w:val="auto"/>
          <w:szCs w:val="20"/>
          <w:highlight w:val="none"/>
        </w:rPr>
        <w:t>3、我方所递交的投标文件及有关资料都是内容完整、真实和准确的。</w:t>
      </w:r>
    </w:p>
    <w:p w14:paraId="750A39BB">
      <w:pPr>
        <w:shd w:val="clear"/>
        <w:spacing w:line="440" w:lineRule="exact"/>
        <w:ind w:firstLine="482"/>
        <w:rPr>
          <w:rFonts w:hint="eastAsia" w:ascii="宋体" w:hAnsi="Courier New"/>
          <w:color w:val="auto"/>
          <w:szCs w:val="20"/>
          <w:highlight w:val="none"/>
        </w:rPr>
      </w:pPr>
      <w:r>
        <w:rPr>
          <w:rFonts w:hint="eastAsia" w:ascii="宋体" w:hAnsi="Courier New"/>
          <w:color w:val="auto"/>
          <w:szCs w:val="20"/>
          <w:highlight w:val="none"/>
        </w:rPr>
        <w:t>4、</w:t>
      </w:r>
      <w:r>
        <w:rPr>
          <w:rFonts w:hint="eastAsia" w:ascii="宋体" w:hAnsi="Courier New"/>
          <w:color w:val="auto"/>
          <w:szCs w:val="21"/>
          <w:highlight w:val="none"/>
        </w:rPr>
        <w:t>如本项目采购内容涉及须符合国家强制规定的，我方承诺我方本次投标（包括资格条件和所投产品）均符合国家有关强制规定。</w:t>
      </w:r>
    </w:p>
    <w:p w14:paraId="072B9FF9">
      <w:pPr>
        <w:shd w:val="clear"/>
        <w:spacing w:line="440" w:lineRule="exact"/>
        <w:ind w:firstLine="420" w:firstLineChars="200"/>
        <w:rPr>
          <w:rFonts w:hint="eastAsia" w:ascii="宋体" w:hAnsi="Courier New"/>
          <w:color w:val="auto"/>
          <w:szCs w:val="20"/>
          <w:highlight w:val="none"/>
        </w:rPr>
      </w:pPr>
      <w:r>
        <w:rPr>
          <w:rFonts w:hint="eastAsia" w:ascii="宋体" w:hAnsi="Courier New"/>
          <w:color w:val="auto"/>
          <w:szCs w:val="20"/>
          <w:highlight w:val="none"/>
        </w:rPr>
        <w:t>5、如我方中标，我方承诺在收到中标通知书后，在中标通知书规定的期限内，</w:t>
      </w:r>
      <w:r>
        <w:rPr>
          <w:rFonts w:hint="eastAsia" w:ascii="宋体" w:hAnsi="宋体"/>
          <w:color w:val="auto"/>
          <w:szCs w:val="20"/>
          <w:highlight w:val="none"/>
        </w:rPr>
        <w:t>根据招标文件、我方的投标文件及有关澄清承诺书的要求按第五章“拟签订的合同文本”与采购人订立书面合同，并按照合同约定</w:t>
      </w:r>
      <w:r>
        <w:rPr>
          <w:rFonts w:hint="eastAsia" w:ascii="宋体" w:hAnsi="Courier New"/>
          <w:color w:val="auto"/>
          <w:szCs w:val="20"/>
          <w:highlight w:val="none"/>
        </w:rPr>
        <w:t>承担完成合同的责任和义务。</w:t>
      </w:r>
    </w:p>
    <w:p w14:paraId="73E632C4">
      <w:pPr>
        <w:shd w:val="clear"/>
        <w:spacing w:line="440" w:lineRule="exact"/>
        <w:ind w:firstLine="420" w:firstLineChars="200"/>
        <w:rPr>
          <w:rFonts w:hint="eastAsia" w:ascii="宋体" w:hAnsi="Courier New"/>
          <w:color w:val="auto"/>
          <w:szCs w:val="20"/>
          <w:highlight w:val="none"/>
        </w:rPr>
      </w:pPr>
      <w:r>
        <w:rPr>
          <w:rFonts w:hint="eastAsia" w:ascii="宋体" w:hAnsi="Courier New"/>
          <w:color w:val="auto"/>
          <w:szCs w:val="20"/>
          <w:highlight w:val="none"/>
        </w:rPr>
        <w:t>6、我方已详细审核招标文件，我方知道必须放弃提出含糊不清或误解问题的权利。</w:t>
      </w:r>
    </w:p>
    <w:p w14:paraId="0AAB352D">
      <w:pPr>
        <w:shd w:val="clear"/>
        <w:spacing w:line="440" w:lineRule="exact"/>
        <w:ind w:firstLine="420" w:firstLineChars="200"/>
        <w:rPr>
          <w:rFonts w:hint="eastAsia" w:ascii="宋体" w:hAnsi="Courier New"/>
          <w:color w:val="auto"/>
          <w:szCs w:val="20"/>
          <w:highlight w:val="none"/>
        </w:rPr>
      </w:pPr>
      <w:r>
        <w:rPr>
          <w:rFonts w:hint="eastAsia" w:ascii="宋体" w:hAnsi="Courier New"/>
          <w:color w:val="auto"/>
          <w:szCs w:val="20"/>
          <w:highlight w:val="none"/>
          <w:lang w:eastAsia="zh-CN"/>
        </w:rPr>
        <w:t>7.</w:t>
      </w:r>
      <w:r>
        <w:rPr>
          <w:rFonts w:hint="eastAsia" w:ascii="宋体" w:hAnsi="Courier New"/>
          <w:color w:val="auto"/>
          <w:szCs w:val="20"/>
          <w:highlight w:val="none"/>
        </w:rPr>
        <w:t>我方同意应贵方要求提供与本投标有关的任何数据或资料。若贵方需要，我方愿意提供我方作出的一切承诺的证明材料。</w:t>
      </w:r>
    </w:p>
    <w:p w14:paraId="02004731">
      <w:pPr>
        <w:shd w:val="clear"/>
        <w:spacing w:line="440" w:lineRule="exact"/>
        <w:ind w:firstLine="420" w:firstLineChars="200"/>
        <w:rPr>
          <w:rFonts w:hint="eastAsia" w:ascii="宋体" w:hAnsi="Courier New"/>
          <w:color w:val="auto"/>
          <w:szCs w:val="20"/>
          <w:highlight w:val="none"/>
        </w:rPr>
      </w:pPr>
      <w:r>
        <w:rPr>
          <w:rFonts w:hint="eastAsia" w:ascii="宋体" w:hAnsi="Courier New"/>
          <w:color w:val="auto"/>
          <w:szCs w:val="20"/>
          <w:highlight w:val="none"/>
        </w:rPr>
        <w:t>8、我方完全理解贵方不一定接受投标报价最低的投标人为中标供应商的行为。</w:t>
      </w:r>
    </w:p>
    <w:p w14:paraId="18B735C2">
      <w:pPr>
        <w:shd w:val="clear"/>
        <w:spacing w:line="440" w:lineRule="exact"/>
        <w:ind w:firstLine="420" w:firstLineChars="200"/>
        <w:rPr>
          <w:rFonts w:hint="eastAsia" w:ascii="宋体" w:hAnsi="Courier New"/>
          <w:color w:val="auto"/>
          <w:szCs w:val="20"/>
          <w:highlight w:val="none"/>
        </w:rPr>
      </w:pPr>
      <w:r>
        <w:rPr>
          <w:rFonts w:hint="eastAsia" w:ascii="宋体" w:hAnsi="Courier New"/>
          <w:color w:val="auto"/>
          <w:szCs w:val="20"/>
          <w:highlight w:val="none"/>
        </w:rPr>
        <w:t>9、我方将严格遵守《中华人民共和国政府采购法》第七十七条的规定，即供应商有下列情形之一的，处以采购金额千分之五以上千分之十</w:t>
      </w:r>
      <w:r>
        <w:rPr>
          <w:rFonts w:hint="eastAsia" w:ascii="宋体" w:hAnsi="宋体"/>
          <w:color w:val="auto"/>
          <w:szCs w:val="20"/>
          <w:highlight w:val="none"/>
        </w:rPr>
        <w:t>以下的罚款，列入不良行为记录名单，在一至三年内禁止参加政府采购活动，有违法所得的，并处没收违法所得，情节严重的，由工商行政管理机关吊销营业执照；构成犯罪的，依法追究刑事责任：</w:t>
      </w:r>
    </w:p>
    <w:p w14:paraId="5E11D085">
      <w:pPr>
        <w:numPr>
          <w:ilvl w:val="0"/>
          <w:numId w:val="1"/>
        </w:numPr>
        <w:shd w:val="clear"/>
        <w:spacing w:line="440" w:lineRule="exact"/>
        <w:rPr>
          <w:rFonts w:hint="eastAsia" w:ascii="宋体" w:hAnsi="宋体"/>
          <w:color w:val="auto"/>
          <w:szCs w:val="20"/>
          <w:highlight w:val="none"/>
        </w:rPr>
      </w:pPr>
      <w:r>
        <w:rPr>
          <w:rFonts w:hint="eastAsia" w:ascii="宋体" w:hAnsi="宋体"/>
          <w:color w:val="auto"/>
          <w:szCs w:val="20"/>
          <w:highlight w:val="none"/>
        </w:rPr>
        <w:t>提供虚假材料谋取中标、成交的；</w:t>
      </w:r>
    </w:p>
    <w:p w14:paraId="6748AE45">
      <w:pPr>
        <w:numPr>
          <w:ilvl w:val="0"/>
          <w:numId w:val="1"/>
        </w:numPr>
        <w:shd w:val="clear"/>
        <w:spacing w:line="440" w:lineRule="exact"/>
        <w:rPr>
          <w:rFonts w:hint="eastAsia" w:ascii="宋体" w:hAnsi="宋体"/>
          <w:color w:val="auto"/>
          <w:szCs w:val="20"/>
          <w:highlight w:val="none"/>
        </w:rPr>
      </w:pPr>
      <w:r>
        <w:rPr>
          <w:rFonts w:hint="eastAsia" w:ascii="宋体" w:hAnsi="宋体"/>
          <w:color w:val="auto"/>
          <w:szCs w:val="20"/>
          <w:highlight w:val="none"/>
        </w:rPr>
        <w:t>采取不正当手段诋毁、排挤其他供应商的；</w:t>
      </w:r>
    </w:p>
    <w:p w14:paraId="33D7E02D">
      <w:pPr>
        <w:numPr>
          <w:ilvl w:val="0"/>
          <w:numId w:val="1"/>
        </w:numPr>
        <w:shd w:val="clear"/>
        <w:spacing w:line="440" w:lineRule="exact"/>
        <w:rPr>
          <w:rFonts w:hint="eastAsia" w:ascii="宋体" w:hAnsi="Courier New"/>
          <w:color w:val="auto"/>
          <w:szCs w:val="20"/>
          <w:highlight w:val="none"/>
        </w:rPr>
      </w:pPr>
      <w:r>
        <w:rPr>
          <w:rFonts w:hint="eastAsia" w:ascii="宋体" w:hAnsi="宋体"/>
          <w:color w:val="auto"/>
          <w:szCs w:val="20"/>
          <w:highlight w:val="none"/>
        </w:rPr>
        <w:t>与采购人、其他供应商或者采购代理机构恶意串通的；</w:t>
      </w:r>
    </w:p>
    <w:p w14:paraId="76C0E38C">
      <w:pPr>
        <w:numPr>
          <w:ilvl w:val="0"/>
          <w:numId w:val="1"/>
        </w:numPr>
        <w:shd w:val="clear"/>
        <w:spacing w:line="440" w:lineRule="exact"/>
        <w:rPr>
          <w:rFonts w:hint="eastAsia" w:ascii="宋体" w:hAnsi="Courier New"/>
          <w:color w:val="auto"/>
          <w:szCs w:val="20"/>
          <w:highlight w:val="none"/>
        </w:rPr>
      </w:pPr>
      <w:r>
        <w:rPr>
          <w:rFonts w:hint="eastAsia" w:ascii="宋体" w:hAnsi="宋体"/>
          <w:color w:val="auto"/>
          <w:szCs w:val="20"/>
          <w:highlight w:val="none"/>
        </w:rPr>
        <w:t>向采购人、采购代理机构行贿或者提供其他不正当利益的；</w:t>
      </w:r>
    </w:p>
    <w:p w14:paraId="5E86132C">
      <w:pPr>
        <w:numPr>
          <w:ilvl w:val="0"/>
          <w:numId w:val="1"/>
        </w:numPr>
        <w:shd w:val="clear"/>
        <w:spacing w:line="440" w:lineRule="exact"/>
        <w:rPr>
          <w:rFonts w:hint="eastAsia" w:ascii="宋体" w:hAnsi="Courier New"/>
          <w:color w:val="auto"/>
          <w:szCs w:val="20"/>
          <w:highlight w:val="none"/>
        </w:rPr>
      </w:pPr>
      <w:r>
        <w:rPr>
          <w:rFonts w:hint="eastAsia" w:ascii="宋体" w:hAnsi="宋体"/>
          <w:color w:val="auto"/>
          <w:szCs w:val="20"/>
          <w:highlight w:val="none"/>
        </w:rPr>
        <w:t>在招标采购过程中与采购人进行协商谈判的；</w:t>
      </w:r>
    </w:p>
    <w:p w14:paraId="77C70B0A">
      <w:pPr>
        <w:numPr>
          <w:ilvl w:val="0"/>
          <w:numId w:val="1"/>
        </w:numPr>
        <w:shd w:val="clear"/>
        <w:spacing w:line="440" w:lineRule="exact"/>
        <w:rPr>
          <w:rFonts w:hint="eastAsia" w:ascii="宋体" w:hAnsi="Courier New"/>
          <w:color w:val="auto"/>
          <w:szCs w:val="20"/>
          <w:highlight w:val="none"/>
        </w:rPr>
      </w:pPr>
      <w:r>
        <w:rPr>
          <w:rFonts w:hint="eastAsia" w:ascii="宋体" w:hAnsi="宋体"/>
          <w:color w:val="auto"/>
          <w:szCs w:val="20"/>
          <w:highlight w:val="none"/>
        </w:rPr>
        <w:t>拒绝有关部门监督检查或提供虚假情况的。</w:t>
      </w:r>
    </w:p>
    <w:p w14:paraId="7A3773F0">
      <w:pPr>
        <w:shd w:val="clear"/>
        <w:spacing w:line="440" w:lineRule="exact"/>
        <w:ind w:left="420"/>
        <w:rPr>
          <w:rFonts w:hint="eastAsia" w:ascii="宋体" w:hAnsi="Courier New"/>
          <w:color w:val="auto"/>
          <w:szCs w:val="20"/>
          <w:highlight w:val="none"/>
        </w:rPr>
      </w:pPr>
      <w:r>
        <w:rPr>
          <w:rFonts w:hint="eastAsia" w:ascii="宋体" w:hAnsi="Courier New"/>
          <w:color w:val="auto"/>
          <w:szCs w:val="20"/>
          <w:highlight w:val="none"/>
        </w:rPr>
        <w:t>10、我方及由本人担任法定代表人的其他机构最近三年内被处罚的违法行为有：</w:t>
      </w:r>
      <w:r>
        <w:rPr>
          <w:rFonts w:hint="eastAsia" w:ascii="宋体" w:hAnsi="Courier New"/>
          <w:color w:val="auto"/>
          <w:szCs w:val="20"/>
          <w:highlight w:val="none"/>
          <w:u w:val="single"/>
        </w:rPr>
        <w:t xml:space="preserve">                                        </w:t>
      </w:r>
    </w:p>
    <w:p w14:paraId="24961CB8">
      <w:pPr>
        <w:shd w:val="clear"/>
        <w:spacing w:line="440" w:lineRule="exact"/>
        <w:ind w:left="420"/>
        <w:rPr>
          <w:rFonts w:hint="eastAsia" w:ascii="宋体" w:hAnsi="Courier New"/>
          <w:color w:val="auto"/>
          <w:szCs w:val="20"/>
          <w:highlight w:val="none"/>
        </w:rPr>
      </w:pPr>
      <w:r>
        <w:rPr>
          <w:rFonts w:hint="eastAsia" w:ascii="宋体" w:hAnsi="Courier New"/>
          <w:color w:val="auto"/>
          <w:szCs w:val="20"/>
          <w:highlight w:val="none"/>
          <w:u w:val="single"/>
        </w:rPr>
        <w:t xml:space="preserve">                                                                                                                        </w:t>
      </w:r>
    </w:p>
    <w:p w14:paraId="6F64187C">
      <w:pPr>
        <w:shd w:val="clear"/>
        <w:spacing w:line="360" w:lineRule="auto"/>
        <w:ind w:firstLine="420"/>
        <w:rPr>
          <w:rFonts w:hint="eastAsia" w:ascii="宋体" w:hAnsi="Courier New"/>
          <w:color w:val="auto"/>
          <w:szCs w:val="20"/>
          <w:highlight w:val="none"/>
        </w:rPr>
      </w:pPr>
      <w:r>
        <w:rPr>
          <w:rFonts w:hint="eastAsia" w:ascii="宋体" w:hAnsi="Courier New"/>
          <w:color w:val="auto"/>
          <w:szCs w:val="20"/>
          <w:highlight w:val="none"/>
        </w:rPr>
        <w:t>11、以上事项如有虚假或隐瞒，我方愿意承担一切后果，并不再寻求任何旨在减轻或免除法律责任的辩解。</w:t>
      </w:r>
    </w:p>
    <w:p w14:paraId="2E448A9B">
      <w:pPr>
        <w:shd w:val="clear"/>
        <w:spacing w:line="360" w:lineRule="auto"/>
        <w:ind w:firstLine="420"/>
        <w:rPr>
          <w:rFonts w:hint="eastAsia" w:ascii="宋体" w:hAnsi="Courier New"/>
          <w:color w:val="auto"/>
          <w:szCs w:val="20"/>
          <w:highlight w:val="none"/>
        </w:rPr>
      </w:pPr>
      <w:r>
        <w:rPr>
          <w:rFonts w:hint="eastAsia" w:ascii="宋体" w:hAnsi="Courier New"/>
          <w:color w:val="auto"/>
          <w:szCs w:val="20"/>
          <w:highlight w:val="none"/>
        </w:rPr>
        <w:t>12、与本投标有关的一切正式往来信函请寄：</w:t>
      </w:r>
    </w:p>
    <w:p w14:paraId="41A19804">
      <w:pPr>
        <w:shd w:val="clear"/>
        <w:spacing w:line="360" w:lineRule="auto"/>
        <w:ind w:firstLine="420"/>
        <w:rPr>
          <w:rFonts w:hint="eastAsia" w:ascii="宋体" w:hAnsi="Courier New"/>
          <w:color w:val="auto"/>
          <w:szCs w:val="20"/>
          <w:highlight w:val="none"/>
        </w:rPr>
      </w:pPr>
      <w:r>
        <w:rPr>
          <w:rFonts w:hint="eastAsia" w:ascii="宋体" w:hAnsi="Courier New"/>
          <w:color w:val="auto"/>
          <w:szCs w:val="20"/>
          <w:highlight w:val="none"/>
        </w:rPr>
        <w:t>地址：</w:t>
      </w:r>
      <w:r>
        <w:rPr>
          <w:rFonts w:hint="eastAsia" w:ascii="宋体" w:hAnsi="Courier New"/>
          <w:color w:val="auto"/>
          <w:szCs w:val="20"/>
          <w:highlight w:val="none"/>
          <w:u w:val="single"/>
        </w:rPr>
        <w:t xml:space="preserve">                                                        </w:t>
      </w:r>
      <w:r>
        <w:rPr>
          <w:rFonts w:hint="eastAsia" w:ascii="宋体" w:hAnsi="Courier New"/>
          <w:color w:val="auto"/>
          <w:szCs w:val="20"/>
          <w:highlight w:val="none"/>
        </w:rPr>
        <w:t xml:space="preserve"> </w:t>
      </w:r>
    </w:p>
    <w:p w14:paraId="632853EF">
      <w:pPr>
        <w:shd w:val="clear"/>
        <w:spacing w:line="360" w:lineRule="auto"/>
        <w:ind w:firstLine="420"/>
        <w:rPr>
          <w:rFonts w:hint="eastAsia" w:ascii="宋体" w:hAnsi="Courier New"/>
          <w:color w:val="auto"/>
          <w:szCs w:val="20"/>
          <w:highlight w:val="none"/>
          <w:u w:val="single"/>
        </w:rPr>
      </w:pPr>
      <w:r>
        <w:rPr>
          <w:rFonts w:hint="eastAsia" w:ascii="宋体" w:hAnsi="Courier New"/>
          <w:color w:val="auto"/>
          <w:szCs w:val="20"/>
          <w:highlight w:val="none"/>
        </w:rPr>
        <w:t>电话：</w:t>
      </w:r>
      <w:r>
        <w:rPr>
          <w:rFonts w:hint="eastAsia" w:ascii="宋体" w:hAnsi="Courier New"/>
          <w:color w:val="auto"/>
          <w:szCs w:val="20"/>
          <w:highlight w:val="none"/>
          <w:u w:val="single"/>
        </w:rPr>
        <w:t xml:space="preserve">                                      　　　　　　　　　</w:t>
      </w:r>
    </w:p>
    <w:p w14:paraId="24646DD4">
      <w:pPr>
        <w:shd w:val="clear"/>
        <w:spacing w:line="360" w:lineRule="auto"/>
        <w:ind w:firstLine="420"/>
        <w:rPr>
          <w:rFonts w:hint="eastAsia" w:ascii="宋体" w:hAnsi="Courier New"/>
          <w:color w:val="auto"/>
          <w:szCs w:val="20"/>
          <w:highlight w:val="none"/>
        </w:rPr>
      </w:pPr>
      <w:r>
        <w:rPr>
          <w:rFonts w:hint="eastAsia" w:ascii="宋体" w:hAnsi="Courier New"/>
          <w:color w:val="auto"/>
          <w:szCs w:val="20"/>
          <w:highlight w:val="none"/>
        </w:rPr>
        <w:t>传真：</w:t>
      </w:r>
      <w:r>
        <w:rPr>
          <w:rFonts w:hint="eastAsia" w:ascii="宋体" w:hAnsi="Courier New"/>
          <w:color w:val="auto"/>
          <w:szCs w:val="20"/>
          <w:highlight w:val="none"/>
          <w:u w:val="single"/>
        </w:rPr>
        <w:t>　　　　　　　　　　　　　　　　　　　　　　　　　　　　</w:t>
      </w:r>
    </w:p>
    <w:p w14:paraId="6F6A3875">
      <w:pPr>
        <w:shd w:val="clear"/>
        <w:spacing w:line="360" w:lineRule="auto"/>
        <w:ind w:firstLine="420"/>
        <w:rPr>
          <w:rFonts w:hint="eastAsia" w:ascii="宋体" w:hAnsi="Courier New"/>
          <w:color w:val="auto"/>
          <w:szCs w:val="20"/>
          <w:highlight w:val="none"/>
          <w:u w:val="single"/>
        </w:rPr>
      </w:pPr>
      <w:r>
        <w:rPr>
          <w:rFonts w:hint="eastAsia" w:ascii="宋体" w:hAnsi="Courier New"/>
          <w:color w:val="auto"/>
          <w:szCs w:val="20"/>
          <w:highlight w:val="none"/>
        </w:rPr>
        <w:t>邮政编码：</w:t>
      </w:r>
      <w:r>
        <w:rPr>
          <w:rFonts w:hint="eastAsia" w:ascii="宋体" w:hAnsi="Courier New"/>
          <w:color w:val="auto"/>
          <w:szCs w:val="20"/>
          <w:highlight w:val="none"/>
          <w:u w:val="single"/>
        </w:rPr>
        <w:t xml:space="preserve">                                                    </w:t>
      </w:r>
    </w:p>
    <w:p w14:paraId="15FDC2E5">
      <w:pPr>
        <w:shd w:val="clear"/>
        <w:spacing w:line="360" w:lineRule="auto"/>
        <w:ind w:firstLine="420"/>
        <w:rPr>
          <w:rFonts w:hint="eastAsia" w:ascii="宋体" w:hAnsi="Courier New"/>
          <w:color w:val="auto"/>
          <w:szCs w:val="20"/>
          <w:highlight w:val="none"/>
          <w:u w:val="single"/>
        </w:rPr>
      </w:pPr>
      <w:r>
        <w:rPr>
          <w:rFonts w:hint="eastAsia" w:ascii="宋体" w:hAnsi="Courier New"/>
          <w:color w:val="auto"/>
          <w:szCs w:val="20"/>
          <w:highlight w:val="none"/>
        </w:rPr>
        <w:t>开户名称：</w:t>
      </w:r>
      <w:r>
        <w:rPr>
          <w:rFonts w:hint="eastAsia" w:ascii="宋体" w:hAnsi="Courier New"/>
          <w:color w:val="auto"/>
          <w:szCs w:val="20"/>
          <w:highlight w:val="none"/>
          <w:u w:val="single"/>
        </w:rPr>
        <w:t xml:space="preserve">                                                    </w:t>
      </w:r>
    </w:p>
    <w:p w14:paraId="5553327A">
      <w:pPr>
        <w:shd w:val="clear"/>
        <w:spacing w:line="360" w:lineRule="auto"/>
        <w:ind w:firstLine="420"/>
        <w:rPr>
          <w:rFonts w:hint="eastAsia" w:ascii="宋体" w:hAnsi="Courier New"/>
          <w:color w:val="auto"/>
          <w:szCs w:val="20"/>
          <w:highlight w:val="none"/>
          <w:u w:val="single"/>
        </w:rPr>
      </w:pPr>
      <w:r>
        <w:rPr>
          <w:rFonts w:hint="eastAsia" w:ascii="宋体" w:hAnsi="Courier New"/>
          <w:color w:val="auto"/>
          <w:szCs w:val="20"/>
          <w:highlight w:val="none"/>
        </w:rPr>
        <w:t>开户银行：</w:t>
      </w:r>
      <w:r>
        <w:rPr>
          <w:rFonts w:hint="eastAsia" w:ascii="宋体" w:hAnsi="Courier New"/>
          <w:color w:val="auto"/>
          <w:szCs w:val="20"/>
          <w:highlight w:val="none"/>
          <w:u w:val="single"/>
        </w:rPr>
        <w:t xml:space="preserve">                                                    </w:t>
      </w:r>
    </w:p>
    <w:p w14:paraId="18943D0E">
      <w:pPr>
        <w:shd w:val="clear"/>
        <w:spacing w:line="360" w:lineRule="auto"/>
        <w:ind w:firstLine="420"/>
        <w:rPr>
          <w:rFonts w:hint="eastAsia" w:ascii="宋体" w:hAnsi="Courier New"/>
          <w:color w:val="auto"/>
          <w:szCs w:val="20"/>
          <w:highlight w:val="none"/>
          <w:u w:val="single"/>
        </w:rPr>
      </w:pPr>
      <w:r>
        <w:rPr>
          <w:rFonts w:hint="eastAsia" w:ascii="宋体" w:hAnsi="Courier New"/>
          <w:color w:val="auto"/>
          <w:szCs w:val="20"/>
          <w:highlight w:val="none"/>
        </w:rPr>
        <w:t>银行账号：</w:t>
      </w:r>
      <w:r>
        <w:rPr>
          <w:rFonts w:hint="eastAsia" w:ascii="宋体" w:hAnsi="Courier New"/>
          <w:color w:val="auto"/>
          <w:szCs w:val="20"/>
          <w:highlight w:val="none"/>
          <w:u w:val="single"/>
        </w:rPr>
        <w:t xml:space="preserve">                                                    </w:t>
      </w:r>
    </w:p>
    <w:p w14:paraId="51CAC6A1">
      <w:pPr>
        <w:shd w:val="clear"/>
        <w:snapToGrid w:val="0"/>
        <w:spacing w:line="360" w:lineRule="auto"/>
        <w:ind w:firstLine="5040" w:firstLineChars="2100"/>
        <w:rPr>
          <w:rFonts w:hint="eastAsia" w:ascii="仿宋_GB2312" w:hAnsi="仿宋" w:eastAsia="仿宋_GB2312" w:cs="仿宋_GB2312"/>
          <w:color w:val="auto"/>
          <w:kern w:val="0"/>
          <w:sz w:val="24"/>
          <w:highlight w:val="none"/>
          <w:lang w:val="zh-CN"/>
        </w:rPr>
      </w:pPr>
    </w:p>
    <w:p w14:paraId="4D69E469">
      <w:pPr>
        <w:shd w:val="clear"/>
        <w:snapToGrid w:val="0"/>
        <w:spacing w:line="360" w:lineRule="auto"/>
        <w:ind w:firstLine="4410" w:firstLineChars="2100"/>
        <w:rPr>
          <w:rFonts w:hint="eastAsia" w:ascii="宋体" w:hAnsi="宋体" w:eastAsia="宋体" w:cs="宋体"/>
          <w:color w:val="auto"/>
          <w:kern w:val="0"/>
          <w:sz w:val="21"/>
          <w:szCs w:val="21"/>
          <w:highlight w:val="none"/>
          <w:lang w:val="zh-CN"/>
        </w:rPr>
      </w:pPr>
    </w:p>
    <w:p w14:paraId="421E2E18">
      <w:pPr>
        <w:shd w:val="clear"/>
        <w:snapToGrid w:val="0"/>
        <w:spacing w:line="360" w:lineRule="auto"/>
        <w:ind w:firstLine="4410" w:firstLineChars="21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zh-CN"/>
        </w:rPr>
        <w:t>投标人名称(电子签章)：</w:t>
      </w:r>
    </w:p>
    <w:p w14:paraId="53EF3DDD">
      <w:pPr>
        <w:shd w:val="clear"/>
        <w:snapToGrid w:val="0"/>
        <w:spacing w:line="360" w:lineRule="auto"/>
        <w:ind w:firstLine="4515" w:firstLineChars="215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日期</w:t>
      </w:r>
      <w:r>
        <w:rPr>
          <w:rFonts w:hint="eastAsia" w:ascii="宋体" w:hAnsi="宋体" w:eastAsia="宋体" w:cs="宋体"/>
          <w:color w:val="auto"/>
          <w:kern w:val="0"/>
          <w:sz w:val="21"/>
          <w:szCs w:val="21"/>
          <w:highlight w:val="none"/>
        </w:rPr>
        <w:t xml:space="preserve">：  年  </w:t>
      </w:r>
      <w:r>
        <w:rPr>
          <w:rFonts w:hint="eastAsia" w:ascii="宋体" w:hAnsi="宋体" w:eastAsia="宋体" w:cs="宋体"/>
          <w:color w:val="auto"/>
          <w:kern w:val="0"/>
          <w:sz w:val="21"/>
          <w:szCs w:val="21"/>
          <w:highlight w:val="none"/>
          <w:lang w:val="zh-CN"/>
        </w:rPr>
        <w:t>月</w:t>
      </w: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lang w:val="zh-CN"/>
        </w:rPr>
        <w:t>日</w:t>
      </w:r>
    </w:p>
    <w:p w14:paraId="13007668">
      <w:pPr>
        <w:shd w:val="clear"/>
        <w:snapToGrid w:val="0"/>
        <w:spacing w:line="360" w:lineRule="auto"/>
        <w:ind w:firstLine="4515" w:firstLineChars="2150"/>
        <w:rPr>
          <w:rFonts w:hint="eastAsia" w:ascii="宋体" w:hAnsi="宋体" w:eastAsia="宋体" w:cs="宋体"/>
          <w:color w:val="auto"/>
          <w:kern w:val="0"/>
          <w:sz w:val="21"/>
          <w:szCs w:val="21"/>
          <w:highlight w:val="none"/>
          <w:lang w:val="zh-CN"/>
        </w:rPr>
        <w:sectPr>
          <w:pgSz w:w="11905" w:h="16838"/>
          <w:pgMar w:top="1134" w:right="1134" w:bottom="1134" w:left="1134" w:header="720" w:footer="720" w:gutter="0"/>
          <w:cols w:space="0" w:num="1"/>
          <w:rtlGutter w:val="0"/>
          <w:docGrid w:type="lines" w:linePitch="331" w:charSpace="0"/>
        </w:sectPr>
      </w:pPr>
    </w:p>
    <w:p w14:paraId="7EDAC523">
      <w:pPr>
        <w:shd w:val="clear"/>
        <w:spacing w:line="360" w:lineRule="auto"/>
        <w:jc w:val="center"/>
        <w:rPr>
          <w:rFonts w:hint="eastAsia" w:ascii="宋体" w:hAnsi="Courier New"/>
          <w:b/>
          <w:color w:val="auto"/>
          <w:sz w:val="30"/>
          <w:szCs w:val="30"/>
          <w:highlight w:val="none"/>
        </w:rPr>
      </w:pPr>
      <w:r>
        <w:rPr>
          <w:rFonts w:hint="eastAsia" w:ascii="宋体" w:hAnsi="宋体"/>
          <w:b w:val="0"/>
          <w:bCs w:val="0"/>
          <w:color w:val="auto"/>
          <w:sz w:val="30"/>
          <w:szCs w:val="20"/>
          <w:highlight w:val="none"/>
        </w:rPr>
        <w:t>二、</w:t>
      </w:r>
      <w:r>
        <w:rPr>
          <w:rFonts w:hint="eastAsia" w:ascii="宋体" w:hAnsi="Courier New"/>
          <w:b/>
          <w:color w:val="auto"/>
          <w:sz w:val="30"/>
          <w:szCs w:val="30"/>
          <w:highlight w:val="none"/>
        </w:rPr>
        <w:t>开标一览表</w:t>
      </w:r>
      <w:r>
        <w:rPr>
          <w:rFonts w:hint="eastAsia" w:ascii="仿宋_GB2312" w:hAnsi="仿宋" w:eastAsia="仿宋_GB2312" w:cs="仿宋_GB2312"/>
          <w:b/>
          <w:color w:val="auto"/>
          <w:kern w:val="0"/>
          <w:sz w:val="24"/>
          <w:szCs w:val="20"/>
          <w:highlight w:val="none"/>
          <w:lang w:val="zh-CN"/>
        </w:rPr>
        <w:t>(单位均为人民币元)</w:t>
      </w:r>
    </w:p>
    <w:p w14:paraId="6D998FF8">
      <w:pPr>
        <w:shd w:val="clear"/>
        <w:snapToGrid w:val="0"/>
        <w:spacing w:before="50" w:after="50" w:line="360" w:lineRule="auto"/>
        <w:rPr>
          <w:rFonts w:hint="eastAsia" w:ascii="宋体" w:hAnsi="宋体"/>
          <w:color w:val="auto"/>
          <w:sz w:val="21"/>
          <w:szCs w:val="21"/>
          <w:highlight w:val="none"/>
        </w:rPr>
      </w:pPr>
    </w:p>
    <w:p w14:paraId="0010BA40">
      <w:pPr>
        <w:shd w:val="clear"/>
        <w:snapToGrid w:val="0"/>
        <w:spacing w:before="50" w:after="50" w:line="360" w:lineRule="auto"/>
        <w:rPr>
          <w:rFonts w:hint="eastAsia" w:ascii="宋体" w:hAnsi="宋体"/>
          <w:color w:val="auto"/>
          <w:sz w:val="21"/>
          <w:szCs w:val="21"/>
          <w:highlight w:val="none"/>
          <w:u w:val="single"/>
        </w:rPr>
      </w:pPr>
      <w:r>
        <w:rPr>
          <w:rFonts w:hint="eastAsia" w:ascii="宋体" w:hAnsi="宋体"/>
          <w:color w:val="auto"/>
          <w:sz w:val="21"/>
          <w:szCs w:val="21"/>
          <w:highlight w:val="none"/>
        </w:rPr>
        <w:t>项目名称：</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r>
        <w:rPr>
          <w:rFonts w:ascii="宋体" w:hAnsi="宋体"/>
          <w:color w:val="auto"/>
          <w:sz w:val="21"/>
          <w:szCs w:val="21"/>
          <w:highlight w:val="none"/>
          <w:u w:val="single"/>
        </w:rPr>
        <w:t xml:space="preserve">  </w:t>
      </w:r>
      <w:r>
        <w:rPr>
          <w:rFonts w:ascii="宋体" w:hAnsi="宋体"/>
          <w:color w:val="auto"/>
          <w:sz w:val="21"/>
          <w:szCs w:val="21"/>
          <w:highlight w:val="none"/>
        </w:rPr>
        <w:t xml:space="preserve">  </w:t>
      </w:r>
      <w:r>
        <w:rPr>
          <w:rFonts w:hint="eastAsia" w:ascii="宋体" w:hAnsi="宋体"/>
          <w:color w:val="auto"/>
          <w:sz w:val="21"/>
          <w:szCs w:val="21"/>
          <w:highlight w:val="none"/>
        </w:rPr>
        <w:t>项目编号：</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 xml:space="preserve">  </w:t>
      </w:r>
    </w:p>
    <w:p w14:paraId="2E2F21E9">
      <w:pPr>
        <w:shd w:val="clear"/>
        <w:spacing w:line="360" w:lineRule="auto"/>
        <w:rPr>
          <w:rFonts w:ascii="宋体" w:hAnsi="宋体"/>
          <w:color w:val="auto"/>
          <w:sz w:val="21"/>
          <w:szCs w:val="16"/>
          <w:highlight w:val="none"/>
        </w:rPr>
      </w:pPr>
      <w:r>
        <w:rPr>
          <w:rFonts w:hint="eastAsia" w:ascii="宋体" w:hAnsi="宋体"/>
          <w:color w:val="auto"/>
          <w:sz w:val="21"/>
          <w:szCs w:val="16"/>
          <w:highlight w:val="none"/>
        </w:rPr>
        <w:t>投标人名称：</w:t>
      </w:r>
      <w:r>
        <w:rPr>
          <w:rFonts w:hint="eastAsia" w:ascii="宋体" w:hAnsi="宋体"/>
          <w:color w:val="auto"/>
          <w:sz w:val="21"/>
          <w:szCs w:val="16"/>
          <w:highlight w:val="none"/>
          <w:u w:val="single"/>
        </w:rPr>
        <w:t xml:space="preserve">                     </w:t>
      </w:r>
      <w:r>
        <w:rPr>
          <w:rFonts w:hint="eastAsia" w:ascii="宋体" w:hAnsi="宋体"/>
          <w:color w:val="auto"/>
          <w:sz w:val="21"/>
          <w:szCs w:val="16"/>
          <w:highlight w:val="none"/>
        </w:rPr>
        <w:t xml:space="preserve">   </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260"/>
        <w:gridCol w:w="2064"/>
        <w:gridCol w:w="1080"/>
        <w:gridCol w:w="1260"/>
        <w:gridCol w:w="1516"/>
        <w:gridCol w:w="957"/>
        <w:gridCol w:w="957"/>
      </w:tblGrid>
      <w:tr w14:paraId="71EB6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6164060C">
            <w:pPr>
              <w:shd w:val="clear"/>
              <w:rPr>
                <w:rFonts w:hint="eastAsia" w:ascii="宋体" w:cs="宋体"/>
                <w:color w:val="auto"/>
                <w:szCs w:val="22"/>
                <w:highlight w:val="none"/>
              </w:rPr>
            </w:pPr>
            <w:r>
              <w:rPr>
                <w:rFonts w:hint="eastAsia" w:ascii="宋体" w:cs="宋体"/>
                <w:color w:val="auto"/>
                <w:szCs w:val="22"/>
                <w:highlight w:val="none"/>
                <w:lang w:bidi="ar"/>
              </w:rPr>
              <w:t>序号</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62D740E">
            <w:pPr>
              <w:shd w:val="clear"/>
              <w:rPr>
                <w:rFonts w:hint="eastAsia" w:ascii="宋体" w:cs="宋体"/>
                <w:color w:val="auto"/>
                <w:szCs w:val="22"/>
                <w:highlight w:val="none"/>
              </w:rPr>
            </w:pPr>
            <w:r>
              <w:rPr>
                <w:rFonts w:hint="eastAsia" w:ascii="宋体" w:cs="宋体"/>
                <w:color w:val="auto"/>
                <w:szCs w:val="22"/>
                <w:highlight w:val="none"/>
                <w:lang w:bidi="ar"/>
              </w:rPr>
              <w:t>服务名称</w:t>
            </w:r>
          </w:p>
        </w:tc>
        <w:tc>
          <w:tcPr>
            <w:tcW w:w="2064" w:type="dxa"/>
            <w:tcBorders>
              <w:top w:val="single" w:color="auto" w:sz="4" w:space="0"/>
              <w:left w:val="single" w:color="auto" w:sz="4" w:space="0"/>
              <w:bottom w:val="single" w:color="auto" w:sz="4" w:space="0"/>
              <w:right w:val="single" w:color="auto" w:sz="4" w:space="0"/>
            </w:tcBorders>
            <w:noWrap w:val="0"/>
            <w:vAlign w:val="center"/>
          </w:tcPr>
          <w:p w14:paraId="0F3E41B7">
            <w:pPr>
              <w:shd w:val="clear"/>
              <w:jc w:val="center"/>
              <w:rPr>
                <w:rFonts w:hint="eastAsia" w:ascii="宋体" w:cs="宋体"/>
                <w:color w:val="auto"/>
                <w:szCs w:val="22"/>
                <w:highlight w:val="none"/>
              </w:rPr>
            </w:pPr>
            <w:r>
              <w:rPr>
                <w:rFonts w:hint="eastAsia" w:ascii="宋体" w:cs="宋体"/>
                <w:color w:val="auto"/>
                <w:szCs w:val="22"/>
                <w:highlight w:val="none"/>
                <w:lang w:bidi="ar"/>
              </w:rPr>
              <w:t>具体服务内容（含具体服务范围、服务时间、服务标准等内容）</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8A699C8">
            <w:pPr>
              <w:shd w:val="clear"/>
              <w:jc w:val="center"/>
              <w:rPr>
                <w:rFonts w:hint="eastAsia" w:ascii="宋体" w:cs="宋体"/>
                <w:color w:val="auto"/>
                <w:szCs w:val="22"/>
                <w:highlight w:val="none"/>
              </w:rPr>
            </w:pPr>
            <w:r>
              <w:rPr>
                <w:rFonts w:hint="eastAsia" w:ascii="宋体" w:cs="宋体"/>
                <w:color w:val="auto"/>
                <w:szCs w:val="22"/>
                <w:highlight w:val="none"/>
                <w:lang w:bidi="ar"/>
              </w:rPr>
              <w:t>数量①</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12EA291">
            <w:pPr>
              <w:shd w:val="clear"/>
              <w:rPr>
                <w:rFonts w:hint="eastAsia" w:ascii="宋体" w:cs="宋体"/>
                <w:color w:val="auto"/>
                <w:szCs w:val="22"/>
                <w:highlight w:val="none"/>
              </w:rPr>
            </w:pPr>
            <w:r>
              <w:rPr>
                <w:rFonts w:hint="eastAsia" w:ascii="宋体" w:cs="宋体"/>
                <w:color w:val="auto"/>
                <w:szCs w:val="22"/>
                <w:highlight w:val="none"/>
                <w:lang w:bidi="ar"/>
              </w:rPr>
              <w:t>单价(元)②</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7D1483C8">
            <w:pPr>
              <w:shd w:val="clear"/>
              <w:rPr>
                <w:rFonts w:hint="eastAsia" w:ascii="宋体" w:cs="宋体"/>
                <w:color w:val="auto"/>
                <w:szCs w:val="22"/>
                <w:highlight w:val="none"/>
              </w:rPr>
            </w:pPr>
            <w:r>
              <w:rPr>
                <w:rFonts w:hint="eastAsia" w:ascii="宋体" w:cs="宋体"/>
                <w:color w:val="auto"/>
                <w:szCs w:val="22"/>
                <w:highlight w:val="none"/>
                <w:lang w:bidi="ar"/>
              </w:rPr>
              <w:t>单项合价（元）</w:t>
            </w:r>
          </w:p>
          <w:p w14:paraId="55014369">
            <w:pPr>
              <w:shd w:val="clear"/>
              <w:rPr>
                <w:rFonts w:hint="eastAsia" w:ascii="宋体" w:cs="宋体"/>
                <w:color w:val="auto"/>
                <w:szCs w:val="22"/>
                <w:highlight w:val="none"/>
              </w:rPr>
            </w:pPr>
            <w:r>
              <w:rPr>
                <w:rFonts w:hint="eastAsia" w:ascii="宋体" w:cs="宋体"/>
                <w:color w:val="auto"/>
                <w:szCs w:val="22"/>
                <w:highlight w:val="none"/>
                <w:lang w:bidi="ar"/>
              </w:rPr>
              <w:t>③＝①×②</w:t>
            </w:r>
          </w:p>
        </w:tc>
        <w:tc>
          <w:tcPr>
            <w:tcW w:w="957" w:type="dxa"/>
            <w:tcBorders>
              <w:top w:val="single" w:color="auto" w:sz="4" w:space="0"/>
              <w:left w:val="single" w:color="auto" w:sz="4" w:space="0"/>
              <w:bottom w:val="single" w:color="auto" w:sz="4" w:space="0"/>
              <w:right w:val="single" w:color="auto" w:sz="4" w:space="0"/>
            </w:tcBorders>
            <w:noWrap w:val="0"/>
            <w:vAlign w:val="center"/>
          </w:tcPr>
          <w:p w14:paraId="1BD8D05F">
            <w:pPr>
              <w:shd w:val="clear"/>
              <w:autoSpaceDE w:val="0"/>
              <w:autoSpaceDN w:val="0"/>
              <w:adjustRightInd w:val="0"/>
              <w:jc w:val="center"/>
              <w:rPr>
                <w:rFonts w:hint="eastAsia" w:ascii="宋体" w:cs="宋体"/>
                <w:color w:val="auto"/>
                <w:szCs w:val="22"/>
                <w:highlight w:val="none"/>
              </w:rPr>
            </w:pPr>
            <w:r>
              <w:rPr>
                <w:rFonts w:hint="eastAsia" w:ascii="宋体" w:cs="宋体"/>
                <w:color w:val="auto"/>
                <w:szCs w:val="22"/>
                <w:highlight w:val="none"/>
                <w:lang w:bidi="ar"/>
              </w:rPr>
              <w:t>服务要求</w:t>
            </w:r>
          </w:p>
        </w:tc>
        <w:tc>
          <w:tcPr>
            <w:tcW w:w="957" w:type="dxa"/>
            <w:tcBorders>
              <w:top w:val="single" w:color="auto" w:sz="4" w:space="0"/>
              <w:left w:val="single" w:color="auto" w:sz="4" w:space="0"/>
              <w:bottom w:val="single" w:color="auto" w:sz="4" w:space="0"/>
              <w:right w:val="single" w:color="auto" w:sz="4" w:space="0"/>
            </w:tcBorders>
            <w:noWrap w:val="0"/>
            <w:vAlign w:val="center"/>
          </w:tcPr>
          <w:p w14:paraId="014BE496">
            <w:pPr>
              <w:shd w:val="clear"/>
              <w:rPr>
                <w:rFonts w:hint="eastAsia" w:ascii="宋体" w:eastAsia="宋体" w:cs="宋体"/>
                <w:color w:val="auto"/>
                <w:szCs w:val="22"/>
                <w:highlight w:val="none"/>
                <w:lang w:eastAsia="zh-CN"/>
              </w:rPr>
            </w:pPr>
            <w:r>
              <w:rPr>
                <w:rFonts w:hint="eastAsia" w:ascii="宋体" w:cs="宋体"/>
                <w:color w:val="auto"/>
                <w:szCs w:val="22"/>
                <w:highlight w:val="none"/>
                <w:lang w:bidi="ar"/>
              </w:rPr>
              <w:t>备注</w:t>
            </w:r>
            <w:r>
              <w:rPr>
                <w:rFonts w:hint="eastAsia" w:ascii="宋体" w:cs="宋体"/>
                <w:color w:val="auto"/>
                <w:szCs w:val="22"/>
                <w:highlight w:val="none"/>
                <w:lang w:eastAsia="zh-CN" w:bidi="ar"/>
              </w:rPr>
              <w:t>（</w:t>
            </w:r>
            <w:r>
              <w:rPr>
                <w:rFonts w:hint="eastAsia" w:ascii="宋体" w:cs="宋体"/>
                <w:color w:val="auto"/>
                <w:szCs w:val="22"/>
                <w:highlight w:val="none"/>
                <w:lang w:val="en-US" w:eastAsia="zh-CN" w:bidi="ar"/>
              </w:rPr>
              <w:t>如果有</w:t>
            </w:r>
            <w:r>
              <w:rPr>
                <w:rFonts w:hint="eastAsia" w:ascii="宋体" w:cs="宋体"/>
                <w:color w:val="auto"/>
                <w:szCs w:val="22"/>
                <w:highlight w:val="none"/>
                <w:lang w:eastAsia="zh-CN" w:bidi="ar"/>
              </w:rPr>
              <w:t>）</w:t>
            </w:r>
          </w:p>
        </w:tc>
      </w:tr>
      <w:tr w14:paraId="5D04F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625BE0B3">
            <w:pPr>
              <w:shd w:val="clear"/>
              <w:rPr>
                <w:rFonts w:hint="eastAsia" w:ascii="宋体" w:cs="宋体"/>
                <w:color w:val="auto"/>
                <w:szCs w:val="22"/>
                <w:highlight w:val="none"/>
              </w:rPr>
            </w:pPr>
            <w:r>
              <w:rPr>
                <w:rFonts w:hint="eastAsia" w:ascii="宋体" w:cs="宋体"/>
                <w:color w:val="auto"/>
                <w:szCs w:val="22"/>
                <w:highlight w:val="none"/>
                <w:lang w:bidi="ar"/>
              </w:rPr>
              <w:t>1</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044E90D">
            <w:pPr>
              <w:shd w:val="clear"/>
              <w:snapToGrid w:val="0"/>
              <w:spacing w:line="340" w:lineRule="atLeast"/>
              <w:jc w:val="center"/>
              <w:rPr>
                <w:rFonts w:hint="eastAsia" w:asci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4ACFB43F">
            <w:pPr>
              <w:shd w:val="clear"/>
              <w:snapToGrid w:val="0"/>
              <w:spacing w:line="340" w:lineRule="atLeast"/>
              <w:jc w:val="center"/>
              <w:rPr>
                <w:rFonts w:hint="eastAsia" w:ascii="宋体" w:cs="宋体"/>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EF6A91B">
            <w:pPr>
              <w:shd w:val="clear"/>
              <w:snapToGrid w:val="0"/>
              <w:spacing w:line="340" w:lineRule="atLeast"/>
              <w:jc w:val="center"/>
              <w:rPr>
                <w:rFonts w:hint="eastAsia" w:ascii="宋体" w:cs="宋体"/>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8225699">
            <w:pPr>
              <w:shd w:val="clear"/>
              <w:snapToGrid w:val="0"/>
              <w:spacing w:line="340" w:lineRule="atLeast"/>
              <w:jc w:val="center"/>
              <w:rPr>
                <w:rFonts w:hint="eastAsia" w:ascii="宋体" w:cs="宋体"/>
                <w:color w:val="auto"/>
                <w:szCs w:val="21"/>
                <w:highlight w:val="none"/>
              </w:rPr>
            </w:pPr>
          </w:p>
        </w:tc>
        <w:tc>
          <w:tcPr>
            <w:tcW w:w="1516" w:type="dxa"/>
            <w:tcBorders>
              <w:top w:val="single" w:color="auto" w:sz="4" w:space="0"/>
              <w:left w:val="single" w:color="auto" w:sz="4" w:space="0"/>
              <w:bottom w:val="single" w:color="auto" w:sz="4" w:space="0"/>
              <w:right w:val="single" w:color="auto" w:sz="4" w:space="0"/>
            </w:tcBorders>
            <w:noWrap w:val="0"/>
            <w:vAlign w:val="center"/>
          </w:tcPr>
          <w:p w14:paraId="7107DFCB">
            <w:pPr>
              <w:shd w:val="clear"/>
              <w:rPr>
                <w:rFonts w:hint="eastAsia" w:ascii="宋体" w:cs="宋体"/>
                <w:color w:val="auto"/>
                <w:szCs w:val="22"/>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top"/>
          </w:tcPr>
          <w:p w14:paraId="40D4A3A7">
            <w:pPr>
              <w:shd w:val="clear"/>
              <w:snapToGrid w:val="0"/>
              <w:spacing w:line="340" w:lineRule="atLeast"/>
              <w:jc w:val="center"/>
              <w:rPr>
                <w:rFonts w:hint="eastAsia" w:ascii="宋体" w:cs="宋体"/>
                <w:color w:val="auto"/>
                <w:szCs w:val="22"/>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center"/>
          </w:tcPr>
          <w:p w14:paraId="6E58A56D">
            <w:pPr>
              <w:shd w:val="clear"/>
              <w:rPr>
                <w:rFonts w:hint="eastAsia" w:ascii="宋体" w:cs="宋体"/>
                <w:color w:val="auto"/>
                <w:szCs w:val="22"/>
                <w:highlight w:val="none"/>
              </w:rPr>
            </w:pPr>
          </w:p>
        </w:tc>
      </w:tr>
      <w:tr w14:paraId="61FE5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71A6E64A">
            <w:pPr>
              <w:shd w:val="clear"/>
              <w:rPr>
                <w:rFonts w:hint="eastAsia" w:ascii="宋体" w:cs="宋体"/>
                <w:color w:val="auto"/>
                <w:szCs w:val="22"/>
                <w:highlight w:val="none"/>
              </w:rPr>
            </w:pPr>
            <w:r>
              <w:rPr>
                <w:rFonts w:hint="eastAsia" w:ascii="宋体" w:cs="宋体"/>
                <w:color w:val="auto"/>
                <w:szCs w:val="22"/>
                <w:highlight w:val="none"/>
                <w:lang w:bidi="ar"/>
              </w:rPr>
              <w:t>...</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9457D33">
            <w:pPr>
              <w:shd w:val="clear"/>
              <w:rPr>
                <w:rFonts w:hint="eastAsia" w:ascii="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24B7940F">
            <w:pPr>
              <w:shd w:val="clear"/>
              <w:rPr>
                <w:rFonts w:hint="eastAsia" w:ascii="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A6AB54B">
            <w:pPr>
              <w:shd w:val="clear"/>
              <w:rPr>
                <w:rFonts w:hint="eastAsia" w:ascii="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8C36C05">
            <w:pPr>
              <w:shd w:val="clear"/>
              <w:rPr>
                <w:rFonts w:hint="eastAsia" w:ascii="宋体" w:cs="宋体"/>
                <w:color w:val="auto"/>
                <w:szCs w:val="22"/>
                <w:highlight w:val="none"/>
              </w:rPr>
            </w:pPr>
          </w:p>
        </w:tc>
        <w:tc>
          <w:tcPr>
            <w:tcW w:w="1516" w:type="dxa"/>
            <w:tcBorders>
              <w:top w:val="single" w:color="auto" w:sz="4" w:space="0"/>
              <w:left w:val="single" w:color="auto" w:sz="4" w:space="0"/>
              <w:bottom w:val="single" w:color="auto" w:sz="4" w:space="0"/>
              <w:right w:val="single" w:color="auto" w:sz="4" w:space="0"/>
            </w:tcBorders>
            <w:noWrap w:val="0"/>
            <w:vAlign w:val="center"/>
          </w:tcPr>
          <w:p w14:paraId="0BD9935E">
            <w:pPr>
              <w:shd w:val="clear"/>
              <w:rPr>
                <w:rFonts w:hint="eastAsia" w:ascii="宋体" w:cs="宋体"/>
                <w:color w:val="auto"/>
                <w:szCs w:val="22"/>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top"/>
          </w:tcPr>
          <w:p w14:paraId="7FE2B2EA">
            <w:pPr>
              <w:shd w:val="clear"/>
              <w:rPr>
                <w:rFonts w:hint="eastAsia" w:ascii="宋体" w:cs="宋体"/>
                <w:color w:val="auto"/>
                <w:szCs w:val="22"/>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center"/>
          </w:tcPr>
          <w:p w14:paraId="3F982C01">
            <w:pPr>
              <w:shd w:val="clear"/>
              <w:rPr>
                <w:rFonts w:hint="eastAsia" w:ascii="宋体" w:cs="宋体"/>
                <w:color w:val="auto"/>
                <w:szCs w:val="22"/>
                <w:highlight w:val="none"/>
              </w:rPr>
            </w:pPr>
          </w:p>
        </w:tc>
      </w:tr>
      <w:tr w14:paraId="4685E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noWrap w:val="0"/>
            <w:vAlign w:val="top"/>
          </w:tcPr>
          <w:p w14:paraId="25E82D61">
            <w:pPr>
              <w:shd w:val="clear"/>
              <w:rPr>
                <w:rFonts w:hint="eastAsia" w:ascii="宋体" w:cs="宋体"/>
                <w:color w:val="auto"/>
                <w:szCs w:val="22"/>
                <w:highlight w:val="none"/>
              </w:rPr>
            </w:pPr>
            <w:r>
              <w:rPr>
                <w:rFonts w:hint="eastAsia" w:ascii="宋体" w:cs="宋体"/>
                <w:color w:val="auto"/>
                <w:szCs w:val="22"/>
                <w:highlight w:val="none"/>
                <w:lang w:bidi="ar"/>
              </w:rPr>
              <w:t>报价合计（包含税费等所有费用）：（大写）人民币                                       （￥                元）</w:t>
            </w:r>
          </w:p>
        </w:tc>
      </w:tr>
      <w:tr w14:paraId="6FE04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noWrap w:val="0"/>
            <w:vAlign w:val="top"/>
          </w:tcPr>
          <w:p w14:paraId="7B7AEC2A">
            <w:pPr>
              <w:shd w:val="clear"/>
              <w:rPr>
                <w:rFonts w:hint="eastAsia" w:ascii="宋体" w:cs="宋体"/>
                <w:color w:val="auto"/>
                <w:szCs w:val="22"/>
                <w:highlight w:val="none"/>
              </w:rPr>
            </w:pPr>
            <w:r>
              <w:rPr>
                <w:rFonts w:hint="eastAsia" w:ascii="宋体" w:cs="宋体"/>
                <w:color w:val="auto"/>
                <w:szCs w:val="21"/>
                <w:highlight w:val="none"/>
                <w:u w:val="single"/>
                <w:lang w:bidi="ar"/>
              </w:rPr>
              <w:t>　　</w:t>
            </w:r>
            <w:r>
              <w:rPr>
                <w:rFonts w:hint="eastAsia" w:ascii="宋体" w:cs="宋体"/>
                <w:color w:val="auto"/>
                <w:szCs w:val="21"/>
                <w:highlight w:val="none"/>
                <w:lang w:bidi="ar"/>
              </w:rPr>
              <w:t>分标（此处有分标时填写具体分标号，无分标时填写“无”）</w:t>
            </w:r>
          </w:p>
        </w:tc>
      </w:tr>
      <w:tr w14:paraId="27E72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noWrap w:val="0"/>
            <w:vAlign w:val="top"/>
          </w:tcPr>
          <w:p w14:paraId="68F08C2C">
            <w:pPr>
              <w:shd w:val="clear"/>
              <w:rPr>
                <w:rFonts w:hint="eastAsia" w:ascii="宋体" w:cs="宋体"/>
                <w:color w:val="auto"/>
                <w:szCs w:val="22"/>
                <w:highlight w:val="none"/>
              </w:rPr>
            </w:pPr>
            <w:r>
              <w:rPr>
                <w:rFonts w:hint="eastAsia" w:ascii="宋体" w:cs="宋体"/>
                <w:color w:val="auto"/>
                <w:szCs w:val="22"/>
                <w:highlight w:val="none"/>
                <w:lang w:bidi="ar"/>
              </w:rPr>
              <w:t>优惠及其它：</w:t>
            </w:r>
          </w:p>
        </w:tc>
      </w:tr>
    </w:tbl>
    <w:p w14:paraId="27DBD46E">
      <w:pPr>
        <w:shd w:val="clear"/>
        <w:snapToGrid w:val="0"/>
        <w:spacing w:before="50" w:after="50" w:line="440" w:lineRule="exact"/>
        <w:ind w:firstLine="420" w:firstLineChars="20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 xml:space="preserve">注： </w:t>
      </w:r>
    </w:p>
    <w:p w14:paraId="3FB70FC0">
      <w:pPr>
        <w:shd w:val="clear"/>
        <w:snapToGrid w:val="0"/>
        <w:spacing w:before="50" w:after="50" w:line="360" w:lineRule="auto"/>
        <w:ind w:firstLine="420" w:firstLineChars="20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bidi="ar"/>
        </w:rPr>
        <w:t>1、 投标人需按本表格式填写，不得自行更改，也不得留空， 如有多分标，按分标分别提供开标一览表，必须加盖投标人有效电子公章，</w:t>
      </w:r>
      <w:r>
        <w:rPr>
          <w:rFonts w:hint="eastAsia" w:ascii="宋体" w:hAnsi="宋体" w:eastAsia="宋体" w:cs="宋体"/>
          <w:b/>
          <w:color w:val="auto"/>
          <w:kern w:val="0"/>
          <w:sz w:val="21"/>
          <w:szCs w:val="21"/>
          <w:highlight w:val="none"/>
          <w:lang w:val="zh-CN" w:bidi="ar"/>
        </w:rPr>
        <w:t>否则其投标作无效标处理。</w:t>
      </w:r>
    </w:p>
    <w:p w14:paraId="1DCA5FF3">
      <w:pPr>
        <w:shd w:val="clear"/>
        <w:snapToGrid w:val="0"/>
        <w:spacing w:before="50" w:after="50" w:line="360" w:lineRule="auto"/>
        <w:ind w:firstLine="420" w:firstLineChars="20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bidi="ar"/>
        </w:rPr>
        <w:t>2、本表内容均不能涂改，</w:t>
      </w:r>
      <w:r>
        <w:rPr>
          <w:rFonts w:hint="eastAsia" w:ascii="宋体" w:hAnsi="宋体" w:eastAsia="宋体" w:cs="宋体"/>
          <w:b/>
          <w:color w:val="auto"/>
          <w:kern w:val="0"/>
          <w:sz w:val="21"/>
          <w:szCs w:val="21"/>
          <w:highlight w:val="none"/>
          <w:lang w:val="zh-CN" w:bidi="ar"/>
        </w:rPr>
        <w:t>否则其投标作无效标处理。</w:t>
      </w:r>
    </w:p>
    <w:p w14:paraId="5F3421FC">
      <w:pPr>
        <w:shd w:val="clear"/>
        <w:snapToGrid w:val="0"/>
        <w:spacing w:before="50" w:after="50" w:line="360" w:lineRule="auto"/>
        <w:ind w:firstLine="420" w:firstLineChars="200"/>
        <w:jc w:val="left"/>
        <w:rPr>
          <w:rFonts w:hint="eastAsia" w:ascii="宋体" w:hAnsi="宋体" w:eastAsia="宋体" w:cs="宋体"/>
          <w:b/>
          <w:color w:val="auto"/>
          <w:kern w:val="0"/>
          <w:sz w:val="21"/>
          <w:szCs w:val="21"/>
          <w:highlight w:val="none"/>
          <w:lang w:val="zh-CN"/>
        </w:rPr>
      </w:pPr>
      <w:r>
        <w:rPr>
          <w:rFonts w:hint="eastAsia" w:ascii="宋体" w:hAnsi="宋体" w:eastAsia="宋体" w:cs="宋体"/>
          <w:color w:val="auto"/>
          <w:kern w:val="0"/>
          <w:sz w:val="21"/>
          <w:szCs w:val="21"/>
          <w:highlight w:val="none"/>
          <w:lang w:val="zh-CN" w:bidi="ar"/>
        </w:rPr>
        <w:t>3、如为联合体投标，“投标人名称”处必须列明联合体各方名称，并标注联合体牵头人名称，且盖章处须加盖联合体各方公章，</w:t>
      </w:r>
      <w:r>
        <w:rPr>
          <w:rFonts w:hint="eastAsia" w:ascii="宋体" w:hAnsi="宋体" w:eastAsia="宋体" w:cs="宋体"/>
          <w:b/>
          <w:color w:val="auto"/>
          <w:kern w:val="0"/>
          <w:sz w:val="21"/>
          <w:szCs w:val="21"/>
          <w:highlight w:val="none"/>
          <w:lang w:val="zh-CN" w:bidi="ar"/>
        </w:rPr>
        <w:t>否则其投标作无效标处理。</w:t>
      </w:r>
    </w:p>
    <w:p w14:paraId="111E6412">
      <w:pPr>
        <w:shd w:val="clear"/>
        <w:snapToGrid w:val="0"/>
        <w:spacing w:line="360" w:lineRule="auto"/>
        <w:ind w:firstLine="420" w:firstLineChars="20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bidi="ar"/>
        </w:rPr>
        <w:t>4、以上表格要求细分项目及报价，在“具体服务内容”一栏中，填写具体服务，</w:t>
      </w:r>
      <w:r>
        <w:rPr>
          <w:rFonts w:hint="eastAsia" w:ascii="宋体" w:hAnsi="宋体" w:eastAsia="宋体" w:cs="宋体"/>
          <w:b/>
          <w:color w:val="auto"/>
          <w:kern w:val="0"/>
          <w:sz w:val="21"/>
          <w:szCs w:val="21"/>
          <w:highlight w:val="none"/>
          <w:lang w:val="zh-CN" w:bidi="ar"/>
        </w:rPr>
        <w:t>否则其投标作无效标处理。</w:t>
      </w:r>
    </w:p>
    <w:p w14:paraId="7E180B27">
      <w:pPr>
        <w:shd w:val="clear"/>
        <w:snapToGrid w:val="0"/>
        <w:spacing w:line="360" w:lineRule="auto"/>
        <w:ind w:firstLine="420" w:firstLineChars="20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bidi="ar"/>
        </w:rPr>
        <w:t>5、特别提示：采购机构将对项目名称和项目编号，中标供应商名称、地址和中标金额，主要中标标的的名称、规格型号、数量、单价、服务要求等予以公示。</w:t>
      </w:r>
    </w:p>
    <w:p w14:paraId="5F8689DF">
      <w:pPr>
        <w:shd w:val="clear"/>
        <w:snapToGrid w:val="0"/>
        <w:spacing w:line="360" w:lineRule="auto"/>
        <w:ind w:firstLine="420" w:firstLineChars="20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bidi="ar"/>
        </w:rPr>
        <w:t>6、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523D5748">
      <w:pPr>
        <w:shd w:val="clear"/>
        <w:snapToGrid w:val="0"/>
        <w:spacing w:line="440" w:lineRule="exact"/>
        <w:rPr>
          <w:rFonts w:hint="eastAsia" w:ascii="仿宋_GB2312" w:hAnsi="仿宋" w:eastAsia="仿宋_GB2312" w:cs="仿宋_GB2312"/>
          <w:color w:val="auto"/>
          <w:kern w:val="0"/>
          <w:sz w:val="24"/>
          <w:highlight w:val="none"/>
          <w:lang w:val="zh-CN"/>
        </w:rPr>
      </w:pPr>
    </w:p>
    <w:p w14:paraId="3FA76C4D">
      <w:pPr>
        <w:shd w:val="clear"/>
        <w:snapToGrid w:val="0"/>
        <w:spacing w:line="440" w:lineRule="exact"/>
        <w:ind w:firstLine="4410" w:firstLineChars="21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zh-CN"/>
        </w:rPr>
        <w:t>投标人名称(电子签章)：</w:t>
      </w:r>
    </w:p>
    <w:p w14:paraId="5A656D6F">
      <w:pPr>
        <w:shd w:val="clear"/>
        <w:snapToGrid w:val="0"/>
        <w:spacing w:line="440" w:lineRule="exact"/>
        <w:ind w:firstLine="4515" w:firstLineChars="215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日期</w:t>
      </w:r>
      <w:r>
        <w:rPr>
          <w:rFonts w:hint="eastAsia" w:ascii="宋体" w:hAnsi="宋体" w:eastAsia="宋体" w:cs="宋体"/>
          <w:color w:val="auto"/>
          <w:kern w:val="0"/>
          <w:sz w:val="21"/>
          <w:szCs w:val="21"/>
          <w:highlight w:val="none"/>
        </w:rPr>
        <w:t xml:space="preserve">：  年  </w:t>
      </w:r>
      <w:r>
        <w:rPr>
          <w:rFonts w:hint="eastAsia" w:ascii="宋体" w:hAnsi="宋体" w:eastAsia="宋体" w:cs="宋体"/>
          <w:color w:val="auto"/>
          <w:kern w:val="0"/>
          <w:sz w:val="21"/>
          <w:szCs w:val="21"/>
          <w:highlight w:val="none"/>
          <w:lang w:val="zh-CN"/>
        </w:rPr>
        <w:t>月</w:t>
      </w: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lang w:val="zh-CN"/>
        </w:rPr>
        <w:t>日</w:t>
      </w:r>
    </w:p>
    <w:p w14:paraId="01DB9EE0">
      <w:pPr>
        <w:shd w:val="clear"/>
        <w:spacing w:line="500" w:lineRule="exact"/>
        <w:ind w:firstLine="315" w:firstLineChars="150"/>
        <w:rPr>
          <w:rFonts w:hint="eastAsia" w:ascii="宋体" w:hAnsi="宋体" w:eastAsia="宋体" w:cs="宋体"/>
          <w:color w:val="auto"/>
          <w:sz w:val="21"/>
          <w:szCs w:val="21"/>
          <w:highlight w:val="none"/>
        </w:rPr>
        <w:sectPr>
          <w:pgSz w:w="11905" w:h="16838"/>
          <w:pgMar w:top="1134" w:right="1134" w:bottom="1134" w:left="1134" w:header="720" w:footer="720" w:gutter="0"/>
          <w:cols w:space="0" w:num="1"/>
          <w:rtlGutter w:val="0"/>
          <w:docGrid w:type="lines" w:linePitch="331" w:charSpace="0"/>
        </w:sectPr>
      </w:pPr>
    </w:p>
    <w:p w14:paraId="765B2706">
      <w:pPr>
        <w:shd w:val="clear"/>
        <w:snapToGrid w:val="0"/>
        <w:spacing w:before="165" w:beforeLines="50" w:after="50"/>
        <w:jc w:val="center"/>
        <w:outlineLvl w:val="1"/>
        <w:rPr>
          <w:rFonts w:hint="eastAsia" w:ascii="宋体" w:hAnsi="宋体"/>
          <w:b/>
          <w:bCs/>
          <w:color w:val="auto"/>
          <w:sz w:val="30"/>
          <w:szCs w:val="30"/>
          <w:highlight w:val="none"/>
        </w:rPr>
      </w:pPr>
      <w:bookmarkStart w:id="29" w:name="_Toc171344369"/>
      <w:r>
        <w:rPr>
          <w:rFonts w:hint="eastAsia" w:ascii="宋体" w:hAnsi="宋体"/>
          <w:b/>
          <w:bCs/>
          <w:color w:val="auto"/>
          <w:sz w:val="30"/>
          <w:szCs w:val="30"/>
          <w:highlight w:val="none"/>
        </w:rPr>
        <w:t>第六节 其他文书、文件格式</w:t>
      </w:r>
      <w:bookmarkEnd w:id="29"/>
    </w:p>
    <w:p w14:paraId="0353A1EE">
      <w:pPr>
        <w:shd w:val="clear"/>
        <w:spacing w:line="360" w:lineRule="auto"/>
        <w:jc w:val="center"/>
        <w:rPr>
          <w:rFonts w:hint="eastAsia" w:ascii="宋体" w:hAnsi="Courier New"/>
          <w:b/>
          <w:color w:val="auto"/>
          <w:sz w:val="30"/>
          <w:szCs w:val="30"/>
          <w:highlight w:val="none"/>
        </w:rPr>
      </w:pPr>
    </w:p>
    <w:p w14:paraId="324A8C4A">
      <w:pPr>
        <w:shd w:val="clear"/>
        <w:jc w:val="center"/>
        <w:rPr>
          <w:rFonts w:hint="eastAsia" w:ascii="宋体" w:hAnsi="宋体" w:cs="宋体"/>
          <w:b/>
          <w:bCs/>
          <w:color w:val="auto"/>
          <w:sz w:val="32"/>
          <w:szCs w:val="32"/>
          <w:highlight w:val="none"/>
          <w:lang w:val="en"/>
        </w:rPr>
      </w:pPr>
      <w:r>
        <w:rPr>
          <w:rFonts w:hint="eastAsia" w:ascii="宋体" w:hAnsi="宋体" w:cs="宋体"/>
          <w:b/>
          <w:bCs/>
          <w:color w:val="auto"/>
          <w:sz w:val="32"/>
          <w:szCs w:val="32"/>
          <w:highlight w:val="none"/>
          <w:lang w:val="en"/>
        </w:rPr>
        <w:t>知识产权合规性声明</w:t>
      </w:r>
    </w:p>
    <w:p w14:paraId="036E2676">
      <w:pPr>
        <w:shd w:val="clea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    </w:t>
      </w:r>
    </w:p>
    <w:p w14:paraId="7E6ECB9F">
      <w:pPr>
        <w:shd w:val="clear"/>
        <w:spacing w:line="360" w:lineRule="auto"/>
        <w:rPr>
          <w:rFonts w:hint="eastAsia" w:ascii="宋体" w:hAnsi="宋体" w:eastAsia="宋体" w:cs="宋体"/>
          <w:color w:val="auto"/>
          <w:sz w:val="21"/>
          <w:szCs w:val="21"/>
          <w:highlight w:val="none"/>
          <w:lang w:val="en"/>
        </w:rPr>
      </w:pPr>
      <w:r>
        <w:rPr>
          <w:rFonts w:hint="eastAsia" w:ascii="仿宋_GB2312" w:hAnsi="仿宋_GB2312" w:eastAsia="仿宋_GB2312" w:cs="仿宋_GB2312"/>
          <w:color w:val="auto"/>
          <w:sz w:val="24"/>
          <w:highlight w:val="none"/>
        </w:rPr>
        <w:t xml:space="preserve">   </w:t>
      </w:r>
      <w:r>
        <w:rPr>
          <w:rFonts w:hint="eastAsia" w:ascii="宋体" w:hAnsi="宋体" w:eastAsia="宋体" w:cs="宋体"/>
          <w:color w:val="auto"/>
          <w:sz w:val="21"/>
          <w:szCs w:val="21"/>
          <w:highlight w:val="none"/>
        </w:rPr>
        <w:t xml:space="preserve"> 本</w:t>
      </w:r>
      <w:r>
        <w:rPr>
          <w:rFonts w:hint="eastAsia" w:ascii="宋体" w:hAnsi="宋体" w:eastAsia="宋体" w:cs="宋体"/>
          <w:color w:val="auto"/>
          <w:sz w:val="21"/>
          <w:szCs w:val="21"/>
          <w:highlight w:val="none"/>
          <w:lang w:val="en"/>
        </w:rPr>
        <w:t>企业（单位）自愿参与政府投资政府采购的</w:t>
      </w:r>
      <w:r>
        <w:rPr>
          <w:rFonts w:hint="eastAsia" w:ascii="宋体" w:hAnsi="宋体" w:eastAsia="宋体" w:cs="宋体"/>
          <w:color w:val="auto"/>
          <w:sz w:val="21"/>
          <w:szCs w:val="21"/>
          <w:highlight w:val="none"/>
          <w:u w:val="single"/>
          <w:lang w:val="en" w:eastAsia="zh-CN"/>
        </w:rPr>
        <w:t>（</w:t>
      </w:r>
      <w:r>
        <w:rPr>
          <w:rFonts w:hint="eastAsia" w:ascii="宋体" w:hAnsi="宋体" w:eastAsia="宋体" w:cs="宋体"/>
          <w:color w:val="auto"/>
          <w:sz w:val="21"/>
          <w:szCs w:val="21"/>
          <w:highlight w:val="none"/>
          <w:u w:val="single"/>
          <w:lang w:val="en-US" w:eastAsia="zh-CN"/>
        </w:rPr>
        <w:t>项目名称</w:t>
      </w:r>
      <w:r>
        <w:rPr>
          <w:rFonts w:hint="eastAsia" w:ascii="宋体" w:hAnsi="宋体" w:eastAsia="宋体" w:cs="宋体"/>
          <w:color w:val="auto"/>
          <w:sz w:val="21"/>
          <w:szCs w:val="21"/>
          <w:highlight w:val="none"/>
          <w:u w:val="single"/>
          <w:lang w:val="en" w:eastAsia="zh-CN"/>
        </w:rPr>
        <w:t>）</w:t>
      </w:r>
      <w:r>
        <w:rPr>
          <w:rFonts w:hint="eastAsia" w:ascii="宋体" w:hAnsi="宋体" w:eastAsia="宋体" w:cs="宋体"/>
          <w:color w:val="auto"/>
          <w:sz w:val="21"/>
          <w:szCs w:val="21"/>
          <w:highlight w:val="none"/>
          <w:lang w:val="en"/>
        </w:rPr>
        <w:t>项目，</w:t>
      </w:r>
      <w:r>
        <w:rPr>
          <w:rFonts w:hint="eastAsia" w:ascii="宋体" w:hAnsi="宋体" w:eastAsia="宋体" w:cs="宋体"/>
          <w:b/>
          <w:bCs/>
          <w:color w:val="auto"/>
          <w:sz w:val="21"/>
          <w:szCs w:val="21"/>
          <w:highlight w:val="none"/>
          <w:lang w:val="en"/>
        </w:rPr>
        <w:t>在此郑重承诺：</w:t>
      </w:r>
      <w:r>
        <w:rPr>
          <w:rFonts w:hint="eastAsia" w:ascii="宋体" w:hAnsi="宋体" w:eastAsia="宋体" w:cs="宋体"/>
          <w:color w:val="auto"/>
          <w:sz w:val="21"/>
          <w:szCs w:val="21"/>
          <w:highlight w:val="none"/>
          <w:lang w:val="en"/>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单位）将承担由此产生的全部责任。</w:t>
      </w:r>
    </w:p>
    <w:p w14:paraId="11F0DAF2">
      <w:pPr>
        <w:shd w:val="clear"/>
        <w:snapToGrid w:val="0"/>
        <w:spacing w:line="360" w:lineRule="auto"/>
        <w:ind w:left="5385" w:leftChars="1736" w:hanging="1739" w:hangingChars="825"/>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           </w:t>
      </w:r>
    </w:p>
    <w:p w14:paraId="2D79B39D">
      <w:pPr>
        <w:shd w:val="clear"/>
        <w:snapToGrid w:val="0"/>
        <w:spacing w:line="360" w:lineRule="auto"/>
        <w:ind w:left="5385" w:leftChars="1736" w:hanging="1739" w:hangingChars="825"/>
        <w:rPr>
          <w:rFonts w:hint="eastAsia" w:ascii="宋体" w:hAnsi="宋体" w:eastAsia="宋体" w:cs="宋体"/>
          <w:b/>
          <w:color w:val="auto"/>
          <w:sz w:val="21"/>
          <w:szCs w:val="21"/>
          <w:highlight w:val="none"/>
        </w:rPr>
      </w:pPr>
    </w:p>
    <w:p w14:paraId="09383B44">
      <w:pPr>
        <w:shd w:val="clear"/>
        <w:snapToGrid w:val="0"/>
        <w:spacing w:line="360" w:lineRule="auto"/>
        <w:ind w:left="5385" w:leftChars="1736" w:hanging="1739" w:hangingChars="825"/>
        <w:rPr>
          <w:rFonts w:hint="eastAsia" w:ascii="宋体" w:hAnsi="宋体" w:eastAsia="宋体" w:cs="宋体"/>
          <w:b/>
          <w:color w:val="auto"/>
          <w:sz w:val="21"/>
          <w:szCs w:val="21"/>
          <w:highlight w:val="none"/>
        </w:rPr>
      </w:pPr>
    </w:p>
    <w:p w14:paraId="7AC19ED4">
      <w:pPr>
        <w:shd w:val="clear"/>
        <w:snapToGrid w:val="0"/>
        <w:spacing w:line="360" w:lineRule="auto"/>
        <w:ind w:left="5385" w:leftChars="1736" w:hanging="1739" w:hangingChars="825"/>
        <w:rPr>
          <w:rFonts w:hint="eastAsia" w:ascii="宋体" w:hAnsi="宋体" w:eastAsia="宋体" w:cs="宋体"/>
          <w:b/>
          <w:color w:val="auto"/>
          <w:sz w:val="21"/>
          <w:szCs w:val="21"/>
          <w:highlight w:val="none"/>
        </w:rPr>
      </w:pPr>
    </w:p>
    <w:p w14:paraId="4AA784E1">
      <w:pPr>
        <w:shd w:val="clear"/>
        <w:snapToGrid w:val="0"/>
        <w:spacing w:line="360" w:lineRule="auto"/>
        <w:ind w:left="5385" w:leftChars="1736" w:hanging="1739" w:hangingChars="825"/>
        <w:rPr>
          <w:rFonts w:hint="eastAsia" w:ascii="宋体" w:hAnsi="宋体" w:eastAsia="宋体" w:cs="宋体"/>
          <w:color w:val="auto"/>
          <w:kern w:val="0"/>
          <w:sz w:val="21"/>
          <w:szCs w:val="21"/>
          <w:highlight w:val="none"/>
        </w:rPr>
      </w:pPr>
      <w:r>
        <w:rPr>
          <w:rFonts w:hint="eastAsia" w:ascii="宋体" w:hAnsi="宋体" w:eastAsia="宋体" w:cs="宋体"/>
          <w:b/>
          <w:color w:val="auto"/>
          <w:sz w:val="21"/>
          <w:szCs w:val="21"/>
          <w:highlight w:val="none"/>
        </w:rPr>
        <w:t xml:space="preserve">      </w:t>
      </w:r>
      <w:r>
        <w:rPr>
          <w:rFonts w:hint="eastAsia" w:ascii="宋体" w:hAnsi="宋体" w:eastAsia="宋体" w:cs="宋体"/>
          <w:color w:val="auto"/>
          <w:kern w:val="0"/>
          <w:sz w:val="21"/>
          <w:szCs w:val="21"/>
          <w:highlight w:val="none"/>
          <w:lang w:val="zh-CN"/>
        </w:rPr>
        <w:t>投标人名称(电子签章)：</w:t>
      </w:r>
    </w:p>
    <w:p w14:paraId="1FAB9CE2">
      <w:pPr>
        <w:shd w:val="clear"/>
        <w:snapToGrid w:val="0"/>
        <w:spacing w:line="360" w:lineRule="auto"/>
        <w:ind w:firstLine="4515" w:firstLineChars="2150"/>
        <w:rPr>
          <w:rFonts w:hint="eastAsia" w:ascii="仿宋_GB2312" w:hAnsi="仿宋" w:eastAsia="仿宋_GB2312" w:cs="仿宋_GB2312"/>
          <w:color w:val="auto"/>
          <w:kern w:val="0"/>
          <w:sz w:val="24"/>
          <w:highlight w:val="none"/>
          <w:lang w:val="zh-CN"/>
        </w:rPr>
      </w:pPr>
      <w:r>
        <w:rPr>
          <w:rFonts w:hint="eastAsia" w:ascii="宋体" w:hAnsi="宋体" w:eastAsia="宋体" w:cs="宋体"/>
          <w:color w:val="auto"/>
          <w:kern w:val="0"/>
          <w:sz w:val="21"/>
          <w:szCs w:val="21"/>
          <w:highlight w:val="none"/>
          <w:lang w:val="zh-CN"/>
        </w:rPr>
        <w:t>日期</w:t>
      </w:r>
      <w:r>
        <w:rPr>
          <w:rFonts w:hint="eastAsia" w:ascii="宋体" w:hAnsi="宋体" w:eastAsia="宋体" w:cs="宋体"/>
          <w:color w:val="auto"/>
          <w:kern w:val="0"/>
          <w:sz w:val="21"/>
          <w:szCs w:val="21"/>
          <w:highlight w:val="none"/>
        </w:rPr>
        <w:t xml:space="preserve">：  年  </w:t>
      </w:r>
      <w:r>
        <w:rPr>
          <w:rFonts w:hint="eastAsia" w:ascii="宋体" w:hAnsi="宋体" w:eastAsia="宋体" w:cs="宋体"/>
          <w:color w:val="auto"/>
          <w:kern w:val="0"/>
          <w:sz w:val="21"/>
          <w:szCs w:val="21"/>
          <w:highlight w:val="none"/>
          <w:lang w:val="zh-CN"/>
        </w:rPr>
        <w:t>月</w:t>
      </w: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lang w:val="zh-CN"/>
        </w:rPr>
        <w:t>日</w:t>
      </w:r>
    </w:p>
    <w:p w14:paraId="5FEBF324">
      <w:pPr>
        <w:shd w:val="clear"/>
        <w:snapToGrid w:val="0"/>
        <w:spacing w:before="50" w:after="165" w:afterLines="50" w:line="360" w:lineRule="auto"/>
        <w:jc w:val="left"/>
        <w:rPr>
          <w:color w:val="auto"/>
          <w:sz w:val="20"/>
          <w:highlight w:val="none"/>
        </w:rPr>
      </w:pPr>
    </w:p>
    <w:p w14:paraId="149A848F">
      <w:pPr>
        <w:shd w:val="clear"/>
        <w:snapToGrid w:val="0"/>
        <w:spacing w:before="50" w:after="165" w:afterLines="50" w:line="360" w:lineRule="auto"/>
        <w:jc w:val="left"/>
        <w:rPr>
          <w:color w:val="auto"/>
          <w:sz w:val="20"/>
          <w:highlight w:val="none"/>
        </w:rPr>
      </w:pPr>
    </w:p>
    <w:p w14:paraId="78B639E0">
      <w:pPr>
        <w:shd w:val="clear"/>
        <w:snapToGrid w:val="0"/>
        <w:spacing w:before="50" w:after="165" w:afterLines="50" w:line="360" w:lineRule="auto"/>
        <w:jc w:val="left"/>
        <w:rPr>
          <w:color w:val="auto"/>
          <w:sz w:val="20"/>
          <w:highlight w:val="none"/>
        </w:rPr>
      </w:pPr>
    </w:p>
    <w:p w14:paraId="3A6DBF20">
      <w:pPr>
        <w:shd w:val="clear"/>
        <w:snapToGrid w:val="0"/>
        <w:spacing w:before="50" w:after="165" w:afterLines="50" w:line="360" w:lineRule="auto"/>
        <w:jc w:val="left"/>
        <w:rPr>
          <w:color w:val="auto"/>
          <w:sz w:val="20"/>
          <w:highlight w:val="none"/>
        </w:rPr>
      </w:pPr>
    </w:p>
    <w:p w14:paraId="54EA113B">
      <w:pPr>
        <w:shd w:val="clear"/>
        <w:snapToGrid w:val="0"/>
        <w:spacing w:before="50" w:after="165" w:afterLines="50" w:line="360" w:lineRule="auto"/>
        <w:jc w:val="left"/>
        <w:rPr>
          <w:color w:val="auto"/>
          <w:sz w:val="20"/>
          <w:highlight w:val="none"/>
        </w:rPr>
      </w:pPr>
      <w:r>
        <w:rPr>
          <w:color w:val="auto"/>
          <w:sz w:val="20"/>
          <w:highlight w:val="none"/>
        </w:rPr>
        <w:br w:type="page"/>
      </w:r>
    </w:p>
    <w:p w14:paraId="325CCE72">
      <w:pPr>
        <w:shd w:val="clear"/>
        <w:snapToGrid w:val="0"/>
        <w:spacing w:before="50" w:after="165" w:afterLines="50" w:line="360" w:lineRule="auto"/>
        <w:jc w:val="left"/>
        <w:rPr>
          <w:color w:val="auto"/>
          <w:sz w:val="20"/>
          <w:highlight w:val="none"/>
        </w:rPr>
      </w:pPr>
    </w:p>
    <w:p w14:paraId="752C1795">
      <w:pPr>
        <w:shd w:val="clear"/>
        <w:snapToGrid w:val="0"/>
        <w:spacing w:before="50" w:after="165" w:afterLines="50" w:line="360" w:lineRule="auto"/>
        <w:jc w:val="left"/>
        <w:rPr>
          <w:color w:val="auto"/>
          <w:sz w:val="20"/>
          <w:highlight w:val="none"/>
        </w:rPr>
      </w:pPr>
    </w:p>
    <w:p w14:paraId="58BEE3CF">
      <w:pPr>
        <w:shd w:val="clear"/>
        <w:tabs>
          <w:tab w:val="left" w:pos="2472"/>
        </w:tabs>
        <w:spacing w:line="460" w:lineRule="exact"/>
        <w:jc w:val="center"/>
        <w:rPr>
          <w:rFonts w:hint="eastAsia"/>
          <w:b/>
          <w:color w:val="auto"/>
          <w:sz w:val="36"/>
          <w:szCs w:val="20"/>
          <w:highlight w:val="none"/>
        </w:rPr>
      </w:pPr>
    </w:p>
    <w:p w14:paraId="5AF410DA">
      <w:pPr>
        <w:shd w:val="clear"/>
        <w:tabs>
          <w:tab w:val="left" w:pos="2472"/>
        </w:tabs>
        <w:spacing w:line="460" w:lineRule="exact"/>
        <w:jc w:val="center"/>
        <w:rPr>
          <w:rFonts w:hint="eastAsia"/>
          <w:b/>
          <w:color w:val="auto"/>
          <w:sz w:val="36"/>
          <w:szCs w:val="20"/>
          <w:highlight w:val="none"/>
        </w:rPr>
      </w:pPr>
    </w:p>
    <w:p w14:paraId="3B30027D">
      <w:pPr>
        <w:shd w:val="clear"/>
        <w:tabs>
          <w:tab w:val="left" w:pos="2472"/>
        </w:tabs>
        <w:spacing w:line="460" w:lineRule="exact"/>
        <w:jc w:val="center"/>
        <w:rPr>
          <w:rFonts w:hint="eastAsia"/>
          <w:b/>
          <w:color w:val="auto"/>
          <w:sz w:val="36"/>
          <w:szCs w:val="20"/>
          <w:highlight w:val="none"/>
        </w:rPr>
      </w:pPr>
    </w:p>
    <w:p w14:paraId="7D55C27E">
      <w:pPr>
        <w:shd w:val="clear"/>
        <w:tabs>
          <w:tab w:val="left" w:pos="2472"/>
        </w:tabs>
        <w:spacing w:line="460" w:lineRule="exact"/>
        <w:jc w:val="center"/>
        <w:rPr>
          <w:rFonts w:hint="eastAsia"/>
          <w:b/>
          <w:color w:val="auto"/>
          <w:sz w:val="36"/>
          <w:szCs w:val="20"/>
          <w:highlight w:val="none"/>
        </w:rPr>
      </w:pPr>
    </w:p>
    <w:p w14:paraId="1C341CB2">
      <w:pPr>
        <w:shd w:val="clear"/>
        <w:tabs>
          <w:tab w:val="left" w:pos="2472"/>
        </w:tabs>
        <w:spacing w:line="460" w:lineRule="exact"/>
        <w:jc w:val="center"/>
        <w:rPr>
          <w:rFonts w:hint="eastAsia"/>
          <w:b/>
          <w:color w:val="auto"/>
          <w:sz w:val="36"/>
          <w:szCs w:val="20"/>
          <w:highlight w:val="none"/>
        </w:rPr>
      </w:pPr>
    </w:p>
    <w:p w14:paraId="42A5DCE5">
      <w:pPr>
        <w:shd w:val="clear"/>
        <w:tabs>
          <w:tab w:val="left" w:pos="2472"/>
        </w:tabs>
        <w:spacing w:line="460" w:lineRule="exact"/>
        <w:jc w:val="center"/>
        <w:rPr>
          <w:rFonts w:hint="eastAsia"/>
          <w:b/>
          <w:color w:val="auto"/>
          <w:sz w:val="36"/>
          <w:szCs w:val="20"/>
          <w:highlight w:val="none"/>
        </w:rPr>
      </w:pPr>
    </w:p>
    <w:p w14:paraId="19634729">
      <w:pPr>
        <w:shd w:val="clear"/>
        <w:tabs>
          <w:tab w:val="left" w:pos="2472"/>
        </w:tabs>
        <w:spacing w:line="460" w:lineRule="exact"/>
        <w:jc w:val="center"/>
        <w:rPr>
          <w:rFonts w:hint="eastAsia"/>
          <w:b/>
          <w:color w:val="auto"/>
          <w:sz w:val="36"/>
          <w:szCs w:val="20"/>
          <w:highlight w:val="none"/>
        </w:rPr>
      </w:pPr>
    </w:p>
    <w:p w14:paraId="06A5B8F8">
      <w:pPr>
        <w:shd w:val="clear"/>
        <w:tabs>
          <w:tab w:val="left" w:pos="2472"/>
        </w:tabs>
        <w:spacing w:line="460" w:lineRule="exact"/>
        <w:jc w:val="center"/>
        <w:outlineLvl w:val="0"/>
        <w:rPr>
          <w:b/>
          <w:color w:val="auto"/>
          <w:sz w:val="36"/>
          <w:szCs w:val="20"/>
          <w:highlight w:val="none"/>
        </w:rPr>
      </w:pPr>
      <w:bookmarkStart w:id="30" w:name="_Toc171344370"/>
      <w:r>
        <w:rPr>
          <w:rFonts w:hint="eastAsia"/>
          <w:b/>
          <w:color w:val="auto"/>
          <w:sz w:val="36"/>
          <w:szCs w:val="20"/>
          <w:highlight w:val="none"/>
        </w:rPr>
        <w:t>第七章 质疑、投诉证明材料格式</w:t>
      </w:r>
      <w:bookmarkEnd w:id="30"/>
    </w:p>
    <w:p w14:paraId="6C5DDE45">
      <w:pPr>
        <w:shd w:val="clear"/>
        <w:snapToGrid w:val="0"/>
        <w:spacing w:before="50" w:after="165" w:afterLines="50" w:line="360" w:lineRule="auto"/>
        <w:ind w:firstLine="300" w:firstLineChars="150"/>
        <w:jc w:val="left"/>
        <w:rPr>
          <w:color w:val="auto"/>
          <w:sz w:val="20"/>
          <w:highlight w:val="none"/>
        </w:rPr>
        <w:sectPr>
          <w:headerReference r:id="rId24" w:type="default"/>
          <w:footerReference r:id="rId25" w:type="default"/>
          <w:pgSz w:w="11905" w:h="16838"/>
          <w:pgMar w:top="1134" w:right="1134" w:bottom="1134" w:left="1134" w:header="720" w:footer="720" w:gutter="0"/>
          <w:cols w:space="0" w:num="1"/>
          <w:rtlGutter w:val="0"/>
          <w:docGrid w:type="lines" w:linePitch="331" w:charSpace="0"/>
        </w:sectPr>
      </w:pPr>
    </w:p>
    <w:p w14:paraId="041C7CE3">
      <w:pPr>
        <w:widowControl/>
        <w:shd w:val="clear" w:color="auto"/>
        <w:spacing w:line="260" w:lineRule="exact"/>
        <w:jc w:val="left"/>
        <w:rPr>
          <w:rFonts w:hint="eastAsia" w:ascii="宋体" w:hAnsi="宋体"/>
          <w:b/>
          <w:bCs/>
          <w:color w:val="auto"/>
          <w:sz w:val="28"/>
          <w:szCs w:val="28"/>
          <w:highlight w:val="none"/>
        </w:rPr>
      </w:pPr>
    </w:p>
    <w:p w14:paraId="32278D88">
      <w:pPr>
        <w:keepNext/>
        <w:keepLines/>
        <w:shd w:val="clear"/>
        <w:spacing w:before="260" w:after="260" w:line="413" w:lineRule="auto"/>
        <w:jc w:val="center"/>
        <w:outlineLvl w:val="1"/>
        <w:rPr>
          <w:rFonts w:hint="eastAsia" w:ascii="宋体" w:hAnsi="宋体" w:eastAsia="宋体" w:cs="宋体"/>
          <w:b/>
          <w:bCs/>
          <w:color w:val="auto"/>
          <w:sz w:val="30"/>
          <w:szCs w:val="30"/>
          <w:highlight w:val="none"/>
        </w:rPr>
      </w:pPr>
      <w:bookmarkStart w:id="31" w:name="_Toc171344371"/>
      <w:r>
        <w:rPr>
          <w:rFonts w:hint="eastAsia" w:ascii="宋体" w:hAnsi="宋体" w:eastAsia="宋体" w:cs="宋体"/>
          <w:b/>
          <w:bCs/>
          <w:color w:val="auto"/>
          <w:sz w:val="30"/>
          <w:szCs w:val="30"/>
          <w:highlight w:val="none"/>
        </w:rPr>
        <w:t>第一节 质疑函（格式）</w:t>
      </w:r>
      <w:bookmarkEnd w:id="31"/>
    </w:p>
    <w:p w14:paraId="727C03DE">
      <w:pPr>
        <w:shd w:val="clear"/>
        <w:jc w:val="center"/>
        <w:rPr>
          <w:rFonts w:ascii="仿宋" w:hAnsi="仿宋" w:eastAsia="仿宋" w:cs="仿宋"/>
          <w:b/>
          <w:bCs/>
          <w:color w:val="auto"/>
          <w:sz w:val="44"/>
          <w:szCs w:val="44"/>
          <w:highlight w:val="none"/>
        </w:rPr>
      </w:pPr>
      <w:r>
        <w:rPr>
          <w:rFonts w:hint="eastAsia" w:ascii="仿宋" w:hAnsi="仿宋" w:eastAsia="仿宋" w:cs="仿宋"/>
          <w:b/>
          <w:bCs/>
          <w:color w:val="auto"/>
          <w:sz w:val="44"/>
          <w:szCs w:val="44"/>
          <w:highlight w:val="none"/>
        </w:rPr>
        <w:t>质疑函范本</w:t>
      </w:r>
    </w:p>
    <w:p w14:paraId="30F038BA">
      <w:pPr>
        <w:shd w:val="clear"/>
        <w:adjustRightInd w:val="0"/>
        <w:snapToGrid w:val="0"/>
        <w:spacing w:before="331" w:beforeLines="100" w:line="360" w:lineRule="auto"/>
        <w:rPr>
          <w:rFonts w:ascii="黑体" w:hAnsi="黑体" w:eastAsia="黑体" w:cs="仿宋"/>
          <w:bCs/>
          <w:color w:val="auto"/>
          <w:sz w:val="24"/>
          <w:highlight w:val="none"/>
        </w:rPr>
      </w:pPr>
      <w:r>
        <w:rPr>
          <w:rFonts w:hint="eastAsia" w:ascii="黑体" w:hAnsi="黑体" w:eastAsia="黑体" w:cs="仿宋"/>
          <w:bCs/>
          <w:color w:val="auto"/>
          <w:sz w:val="24"/>
          <w:highlight w:val="none"/>
        </w:rPr>
        <w:t>一、质疑供应商基本信息</w:t>
      </w:r>
    </w:p>
    <w:p w14:paraId="0C008911">
      <w:pPr>
        <w:shd w:val="clear"/>
        <w:adjustRightInd w:val="0"/>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质疑供应商：</w:t>
      </w:r>
      <w:r>
        <w:rPr>
          <w:rFonts w:hint="eastAsia" w:ascii="仿宋" w:hAnsi="仿宋" w:eastAsia="仿宋" w:cs="仿宋"/>
          <w:color w:val="auto"/>
          <w:sz w:val="24"/>
          <w:highlight w:val="none"/>
          <w:u w:val="dotted"/>
        </w:rPr>
        <w:t xml:space="preserve">                                        </w:t>
      </w:r>
    </w:p>
    <w:p w14:paraId="0E8F461E">
      <w:pPr>
        <w:shd w:val="clea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地址：</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邮编：</w:t>
      </w:r>
      <w:r>
        <w:rPr>
          <w:rFonts w:hint="eastAsia" w:ascii="仿宋" w:hAnsi="仿宋" w:eastAsia="仿宋" w:cs="仿宋"/>
          <w:color w:val="auto"/>
          <w:sz w:val="24"/>
          <w:highlight w:val="none"/>
          <w:u w:val="dotted"/>
        </w:rPr>
        <w:t xml:space="preserve">                                                   </w:t>
      </w:r>
    </w:p>
    <w:p w14:paraId="35D5EF51">
      <w:pPr>
        <w:shd w:val="clea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联系人：</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联系电话：</w:t>
      </w:r>
      <w:r>
        <w:rPr>
          <w:rFonts w:hint="eastAsia" w:ascii="仿宋" w:hAnsi="仿宋" w:eastAsia="仿宋" w:cs="仿宋"/>
          <w:color w:val="auto"/>
          <w:sz w:val="24"/>
          <w:highlight w:val="none"/>
          <w:u w:val="dotted"/>
        </w:rPr>
        <w:t xml:space="preserve">                              </w:t>
      </w:r>
    </w:p>
    <w:p w14:paraId="264E9C73">
      <w:pPr>
        <w:shd w:val="clear"/>
        <w:adjustRightInd w:val="0"/>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授权代表：</w:t>
      </w:r>
      <w:r>
        <w:rPr>
          <w:rFonts w:hint="eastAsia" w:ascii="仿宋" w:hAnsi="仿宋" w:eastAsia="仿宋" w:cs="仿宋"/>
          <w:color w:val="auto"/>
          <w:sz w:val="24"/>
          <w:highlight w:val="none"/>
          <w:u w:val="dotted"/>
        </w:rPr>
        <w:t xml:space="preserve">                                          </w:t>
      </w:r>
    </w:p>
    <w:p w14:paraId="73DB4D76">
      <w:pPr>
        <w:shd w:val="clea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联系电话：</w:t>
      </w:r>
      <w:r>
        <w:rPr>
          <w:rFonts w:hint="eastAsia" w:ascii="仿宋" w:hAnsi="仿宋" w:eastAsia="仿宋" w:cs="仿宋"/>
          <w:color w:val="auto"/>
          <w:sz w:val="24"/>
          <w:highlight w:val="none"/>
          <w:u w:val="dotted"/>
        </w:rPr>
        <w:t xml:space="preserve">                                           </w:t>
      </w:r>
      <w:r>
        <w:rPr>
          <w:rFonts w:ascii="仿宋" w:hAnsi="仿宋" w:eastAsia="仿宋" w:cs="仿宋"/>
          <w:color w:val="auto"/>
          <w:sz w:val="24"/>
          <w:highlight w:val="none"/>
        </w:rPr>
        <w:t xml:space="preserve"> </w:t>
      </w:r>
    </w:p>
    <w:p w14:paraId="41F1BD8C">
      <w:pPr>
        <w:shd w:val="clea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地址：</w:t>
      </w:r>
      <w:r>
        <w:rPr>
          <w:rFonts w:ascii="仿宋" w:hAnsi="仿宋" w:eastAsia="仿宋" w:cs="仿宋"/>
          <w:color w:val="auto"/>
          <w:sz w:val="24"/>
          <w:highlight w:val="none"/>
        </w:rPr>
        <w:t xml:space="preserve"> </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邮编：</w:t>
      </w:r>
      <w:r>
        <w:rPr>
          <w:rFonts w:hint="eastAsia" w:ascii="仿宋" w:hAnsi="仿宋" w:eastAsia="仿宋" w:cs="仿宋"/>
          <w:color w:val="auto"/>
          <w:sz w:val="24"/>
          <w:highlight w:val="none"/>
          <w:u w:val="dotted"/>
        </w:rPr>
        <w:t xml:space="preserve">                                                </w:t>
      </w:r>
    </w:p>
    <w:p w14:paraId="3625E0B5">
      <w:pPr>
        <w:shd w:val="clear"/>
        <w:adjustRightInd w:val="0"/>
        <w:snapToGrid w:val="0"/>
        <w:spacing w:line="360" w:lineRule="auto"/>
        <w:rPr>
          <w:rFonts w:ascii="黑体" w:hAnsi="黑体" w:eastAsia="黑体" w:cs="仿宋"/>
          <w:bCs/>
          <w:color w:val="auto"/>
          <w:sz w:val="24"/>
          <w:highlight w:val="none"/>
        </w:rPr>
      </w:pPr>
      <w:r>
        <w:rPr>
          <w:rFonts w:hint="eastAsia" w:ascii="黑体" w:hAnsi="黑体" w:eastAsia="黑体" w:cs="仿宋"/>
          <w:bCs/>
          <w:color w:val="auto"/>
          <w:sz w:val="24"/>
          <w:highlight w:val="none"/>
        </w:rPr>
        <w:t>二、质疑项目基本情况</w:t>
      </w:r>
    </w:p>
    <w:p w14:paraId="31C6E174">
      <w:pPr>
        <w:shd w:val="clea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质疑项目的名称：</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u w:val="dotted"/>
          <w:lang w:val="en-US" w:eastAsia="zh-CN"/>
        </w:rPr>
        <w:t xml:space="preserve">              </w:t>
      </w:r>
      <w:r>
        <w:rPr>
          <w:rFonts w:hint="eastAsia" w:ascii="仿宋" w:hAnsi="仿宋" w:eastAsia="仿宋" w:cs="仿宋"/>
          <w:color w:val="auto"/>
          <w:sz w:val="24"/>
          <w:highlight w:val="none"/>
          <w:u w:val="dotted"/>
        </w:rPr>
        <w:t xml:space="preserve">  </w:t>
      </w:r>
    </w:p>
    <w:p w14:paraId="5F952979">
      <w:pPr>
        <w:shd w:val="clea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质疑项目的编号：</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u w:val="dotted"/>
          <w:lang w:val="en-US" w:eastAsia="zh-CN"/>
        </w:rPr>
        <w:t xml:space="preserve">               </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包号：</w:t>
      </w:r>
      <w:r>
        <w:rPr>
          <w:rFonts w:hint="eastAsia" w:ascii="仿宋" w:hAnsi="仿宋" w:eastAsia="仿宋" w:cs="仿宋"/>
          <w:color w:val="auto"/>
          <w:sz w:val="24"/>
          <w:highlight w:val="none"/>
          <w:u w:val="dotted"/>
        </w:rPr>
        <w:t xml:space="preserve">                 </w:t>
      </w:r>
    </w:p>
    <w:p w14:paraId="4BEDCF93">
      <w:pPr>
        <w:shd w:val="clear"/>
        <w:adjustRightInd w:val="0"/>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采购人名称：</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u w:val="dotted"/>
          <w:lang w:val="en-US" w:eastAsia="zh-CN"/>
        </w:rPr>
        <w:t xml:space="preserve">                 </w:t>
      </w:r>
      <w:r>
        <w:rPr>
          <w:rFonts w:hint="eastAsia" w:ascii="仿宋" w:hAnsi="仿宋" w:eastAsia="仿宋" w:cs="仿宋"/>
          <w:color w:val="auto"/>
          <w:sz w:val="24"/>
          <w:highlight w:val="none"/>
          <w:u w:val="dotted"/>
        </w:rPr>
        <w:t xml:space="preserve">  </w:t>
      </w:r>
    </w:p>
    <w:p w14:paraId="7C696B58">
      <w:pPr>
        <w:shd w:val="clea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采购文件获取日期：</w:t>
      </w:r>
      <w:r>
        <w:rPr>
          <w:rFonts w:hint="eastAsia" w:ascii="仿宋" w:hAnsi="仿宋" w:eastAsia="仿宋" w:cs="仿宋"/>
          <w:color w:val="auto"/>
          <w:sz w:val="24"/>
          <w:highlight w:val="none"/>
          <w:u w:val="dotted"/>
        </w:rPr>
        <w:t xml:space="preserve">                                           </w:t>
      </w:r>
    </w:p>
    <w:p w14:paraId="0B872C25">
      <w:pPr>
        <w:shd w:val="clear"/>
        <w:adjustRightInd w:val="0"/>
        <w:snapToGrid w:val="0"/>
        <w:spacing w:line="360" w:lineRule="auto"/>
        <w:rPr>
          <w:rFonts w:ascii="黑体" w:hAnsi="黑体" w:eastAsia="黑体" w:cs="仿宋"/>
          <w:bCs/>
          <w:color w:val="auto"/>
          <w:sz w:val="24"/>
          <w:highlight w:val="none"/>
        </w:rPr>
      </w:pPr>
      <w:r>
        <w:rPr>
          <w:rFonts w:hint="eastAsia" w:ascii="黑体" w:hAnsi="黑体" w:eastAsia="黑体" w:cs="仿宋"/>
          <w:bCs/>
          <w:color w:val="auto"/>
          <w:sz w:val="24"/>
          <w:highlight w:val="none"/>
        </w:rPr>
        <w:t>三、质疑事项具体内容</w:t>
      </w:r>
    </w:p>
    <w:p w14:paraId="3435BCB5">
      <w:pPr>
        <w:shd w:val="clear"/>
        <w:adjustRightInd w:val="0"/>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质疑事项1：</w:t>
      </w:r>
      <w:r>
        <w:rPr>
          <w:rFonts w:hint="eastAsia" w:ascii="仿宋" w:hAnsi="仿宋" w:eastAsia="仿宋" w:cs="仿宋"/>
          <w:color w:val="auto"/>
          <w:sz w:val="24"/>
          <w:highlight w:val="none"/>
          <w:u w:val="dotted"/>
        </w:rPr>
        <w:t xml:space="preserve">                                         </w:t>
      </w:r>
    </w:p>
    <w:p w14:paraId="6CD86F6A">
      <w:pPr>
        <w:shd w:val="clear"/>
        <w:adjustRightInd w:val="0"/>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事实依据：</w:t>
      </w:r>
      <w:r>
        <w:rPr>
          <w:rFonts w:hint="eastAsia" w:ascii="仿宋" w:hAnsi="仿宋" w:eastAsia="仿宋" w:cs="仿宋"/>
          <w:color w:val="auto"/>
          <w:sz w:val="24"/>
          <w:highlight w:val="none"/>
          <w:u w:val="dotted"/>
        </w:rPr>
        <w:t xml:space="preserve">                                          </w:t>
      </w:r>
    </w:p>
    <w:p w14:paraId="2B042758">
      <w:pPr>
        <w:shd w:val="clea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u w:val="dotted"/>
        </w:rPr>
        <w:t xml:space="preserve">                                                       </w:t>
      </w:r>
    </w:p>
    <w:p w14:paraId="2C7B97CC">
      <w:pPr>
        <w:shd w:val="clear"/>
        <w:adjustRightInd w:val="0"/>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法律依据：</w:t>
      </w:r>
      <w:r>
        <w:rPr>
          <w:rFonts w:hint="eastAsia" w:ascii="仿宋" w:hAnsi="仿宋" w:eastAsia="仿宋" w:cs="仿宋"/>
          <w:color w:val="auto"/>
          <w:sz w:val="24"/>
          <w:highlight w:val="none"/>
          <w:u w:val="dotted"/>
        </w:rPr>
        <w:t xml:space="preserve">                                          </w:t>
      </w:r>
    </w:p>
    <w:p w14:paraId="02C59554">
      <w:pPr>
        <w:shd w:val="clear"/>
        <w:adjustRightInd w:val="0"/>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u w:val="dotted"/>
        </w:rPr>
        <w:t xml:space="preserve">                                                     </w:t>
      </w:r>
    </w:p>
    <w:p w14:paraId="0191D8AE">
      <w:pPr>
        <w:shd w:val="clear"/>
        <w:adjustRightInd w:val="0"/>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质疑事项2</w:t>
      </w:r>
    </w:p>
    <w:p w14:paraId="53DA07B0">
      <w:pPr>
        <w:shd w:val="clea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p>
    <w:p w14:paraId="63E6FE43">
      <w:pPr>
        <w:shd w:val="clear"/>
        <w:adjustRightInd w:val="0"/>
        <w:snapToGrid w:val="0"/>
        <w:spacing w:line="360" w:lineRule="auto"/>
        <w:rPr>
          <w:rFonts w:ascii="黑体" w:hAnsi="黑体" w:eastAsia="黑体" w:cs="仿宋"/>
          <w:bCs/>
          <w:color w:val="auto"/>
          <w:sz w:val="24"/>
          <w:highlight w:val="none"/>
        </w:rPr>
      </w:pPr>
      <w:r>
        <w:rPr>
          <w:rFonts w:hint="eastAsia" w:ascii="黑体" w:hAnsi="黑体" w:eastAsia="黑体" w:cs="仿宋"/>
          <w:bCs/>
          <w:color w:val="auto"/>
          <w:sz w:val="24"/>
          <w:highlight w:val="none"/>
        </w:rPr>
        <w:t>四、与质疑事项相关的质疑请求</w:t>
      </w:r>
    </w:p>
    <w:p w14:paraId="79E01AFD">
      <w:pPr>
        <w:shd w:val="clear"/>
        <w:adjustRightInd w:val="0"/>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请求：</w:t>
      </w:r>
      <w:r>
        <w:rPr>
          <w:rFonts w:hint="eastAsia" w:ascii="仿宋" w:hAnsi="仿宋" w:eastAsia="仿宋" w:cs="仿宋"/>
          <w:color w:val="auto"/>
          <w:sz w:val="24"/>
          <w:highlight w:val="none"/>
          <w:u w:val="dotted"/>
        </w:rPr>
        <w:t xml:space="preserve">                                               </w:t>
      </w:r>
    </w:p>
    <w:p w14:paraId="216C811F">
      <w:pPr>
        <w:shd w:val="clear"/>
        <w:rPr>
          <w:rFonts w:ascii="仿宋_GB2312" w:eastAsia="仿宋_GB2312"/>
          <w:color w:val="auto"/>
          <w:sz w:val="24"/>
          <w:highlight w:val="none"/>
        </w:rPr>
      </w:pPr>
      <w:r>
        <w:rPr>
          <w:rFonts w:hint="eastAsia" w:ascii="仿宋_GB2312" w:eastAsia="仿宋_GB2312"/>
          <w:color w:val="auto"/>
          <w:sz w:val="24"/>
          <w:highlight w:val="none"/>
        </w:rPr>
        <w:t xml:space="preserve">签字(签章)：                   公章：                      </w:t>
      </w:r>
    </w:p>
    <w:p w14:paraId="5A50E763">
      <w:pPr>
        <w:shd w:val="clear"/>
        <w:rPr>
          <w:rFonts w:ascii="仿宋_GB2312" w:eastAsia="仿宋_GB2312"/>
          <w:color w:val="auto"/>
          <w:sz w:val="24"/>
          <w:highlight w:val="none"/>
        </w:rPr>
      </w:pPr>
      <w:r>
        <w:rPr>
          <w:rFonts w:hint="eastAsia" w:ascii="仿宋_GB2312" w:eastAsia="仿宋_GB2312"/>
          <w:color w:val="auto"/>
          <w:sz w:val="24"/>
          <w:highlight w:val="none"/>
        </w:rPr>
        <w:t xml:space="preserve">日期：    </w:t>
      </w:r>
    </w:p>
    <w:p w14:paraId="50F43181">
      <w:pPr>
        <w:shd w:val="clear"/>
        <w:rPr>
          <w:rFonts w:ascii="黑体" w:hAnsi="黑体" w:eastAsia="黑体"/>
          <w:b/>
          <w:color w:val="auto"/>
          <w:sz w:val="24"/>
          <w:highlight w:val="none"/>
        </w:rPr>
      </w:pPr>
    </w:p>
    <w:p w14:paraId="267E94CB">
      <w:pPr>
        <w:shd w:val="clear"/>
        <w:rPr>
          <w:rFonts w:ascii="黑体" w:hAnsi="黑体" w:eastAsia="黑体"/>
          <w:b/>
          <w:color w:val="auto"/>
          <w:sz w:val="24"/>
          <w:highlight w:val="none"/>
        </w:rPr>
      </w:pPr>
    </w:p>
    <w:p w14:paraId="449EB6EA">
      <w:pPr>
        <w:shd w:val="clear"/>
        <w:rPr>
          <w:rFonts w:ascii="黑体" w:hAnsi="黑体" w:eastAsia="黑体"/>
          <w:b/>
          <w:color w:val="auto"/>
          <w:sz w:val="24"/>
          <w:highlight w:val="none"/>
        </w:rPr>
      </w:pPr>
    </w:p>
    <w:p w14:paraId="1C9D8E4B">
      <w:pPr>
        <w:shd w:val="clear"/>
        <w:rPr>
          <w:rFonts w:ascii="黑体" w:hAnsi="黑体" w:eastAsia="黑体"/>
          <w:b/>
          <w:color w:val="auto"/>
          <w:sz w:val="24"/>
          <w:highlight w:val="none"/>
        </w:rPr>
      </w:pPr>
      <w:r>
        <w:rPr>
          <w:rFonts w:hint="eastAsia" w:ascii="黑体" w:hAnsi="黑体" w:eastAsia="黑体"/>
          <w:b/>
          <w:color w:val="auto"/>
          <w:sz w:val="24"/>
          <w:highlight w:val="none"/>
        </w:rPr>
        <w:t>质疑函制作说明：</w:t>
      </w:r>
    </w:p>
    <w:p w14:paraId="360B9481">
      <w:pPr>
        <w:widowControl/>
        <w:shd w:val="clear"/>
        <w:ind w:firstLine="480" w:firstLineChars="200"/>
        <w:jc w:val="left"/>
        <w:rPr>
          <w:rFonts w:ascii="仿宋_GB2312" w:eastAsia="仿宋_GB2312"/>
          <w:color w:val="auto"/>
          <w:sz w:val="24"/>
          <w:highlight w:val="none"/>
        </w:rPr>
      </w:pPr>
      <w:r>
        <w:rPr>
          <w:rFonts w:hint="eastAsia" w:ascii="仿宋_GB2312" w:eastAsia="仿宋_GB2312"/>
          <w:color w:val="auto"/>
          <w:sz w:val="24"/>
          <w:highlight w:val="none"/>
        </w:rPr>
        <w:t>1.供应商提出质疑时，应提交质疑函和必要的证明材料。</w:t>
      </w:r>
    </w:p>
    <w:p w14:paraId="1F78FFF9">
      <w:pPr>
        <w:widowControl/>
        <w:shd w:val="clear"/>
        <w:ind w:firstLine="480" w:firstLineChars="200"/>
        <w:jc w:val="left"/>
        <w:rPr>
          <w:rFonts w:ascii="仿宋_GB2312" w:eastAsia="仿宋_GB2312"/>
          <w:color w:val="auto"/>
          <w:sz w:val="24"/>
          <w:highlight w:val="none"/>
        </w:rPr>
      </w:pPr>
      <w:r>
        <w:rPr>
          <w:rFonts w:hint="eastAsia" w:ascii="仿宋_GB2312" w:eastAsia="仿宋_GB2312"/>
          <w:color w:val="auto"/>
          <w:sz w:val="24"/>
          <w:highlight w:val="none"/>
        </w:rPr>
        <w:t>2.质疑供应商若委托代理人进行质疑的，质疑函应按要求列明“授权代表”的有关内容，并在附件中提交由质疑</w:t>
      </w:r>
      <w:r>
        <w:rPr>
          <w:rFonts w:hint="eastAsia" w:ascii="仿宋_GB2312" w:hAnsi="宋体" w:eastAsia="仿宋_GB2312" w:cs="宋体"/>
          <w:color w:val="auto"/>
          <w:kern w:val="0"/>
          <w:sz w:val="24"/>
          <w:highlight w:val="none"/>
        </w:rPr>
        <w:t>供应商签署的授权委托书。授权委托书应载明代理人的姓名或者名称、代理事项、具体权限、期限和相关事项。</w:t>
      </w:r>
    </w:p>
    <w:p w14:paraId="54160313">
      <w:pPr>
        <w:widowControl/>
        <w:shd w:val="clear"/>
        <w:ind w:firstLine="480" w:firstLineChars="200"/>
        <w:jc w:val="left"/>
        <w:rPr>
          <w:rFonts w:ascii="仿宋_GB2312" w:eastAsia="仿宋_GB2312"/>
          <w:color w:val="auto"/>
          <w:sz w:val="24"/>
          <w:highlight w:val="none"/>
        </w:rPr>
      </w:pPr>
      <w:r>
        <w:rPr>
          <w:rFonts w:hint="eastAsia" w:ascii="仿宋_GB2312" w:eastAsia="仿宋_GB2312"/>
          <w:color w:val="auto"/>
          <w:sz w:val="24"/>
          <w:highlight w:val="none"/>
        </w:rPr>
        <w:t>3.质疑供应商若对项目的某一分包进行质疑，质疑函中应列明具体分包号。</w:t>
      </w:r>
    </w:p>
    <w:p w14:paraId="743D9158">
      <w:pPr>
        <w:widowControl/>
        <w:shd w:val="clear"/>
        <w:ind w:firstLine="480" w:firstLineChars="200"/>
        <w:jc w:val="left"/>
        <w:rPr>
          <w:rFonts w:ascii="仿宋_GB2312" w:eastAsia="仿宋_GB2312"/>
          <w:color w:val="auto"/>
          <w:sz w:val="24"/>
          <w:highlight w:val="none"/>
        </w:rPr>
      </w:pPr>
      <w:r>
        <w:rPr>
          <w:rFonts w:hint="eastAsia" w:ascii="仿宋_GB2312" w:eastAsia="仿宋_GB2312"/>
          <w:color w:val="auto"/>
          <w:sz w:val="24"/>
          <w:highlight w:val="none"/>
        </w:rPr>
        <w:t>4.质疑函的质疑事项应具体、明确，并有必要的事实依据和法律依据。</w:t>
      </w:r>
    </w:p>
    <w:p w14:paraId="19C28B96">
      <w:pPr>
        <w:widowControl/>
        <w:shd w:val="clear"/>
        <w:ind w:firstLine="480" w:firstLineChars="200"/>
        <w:jc w:val="left"/>
        <w:rPr>
          <w:rFonts w:ascii="仿宋_GB2312" w:eastAsia="仿宋_GB2312"/>
          <w:color w:val="auto"/>
          <w:sz w:val="24"/>
          <w:highlight w:val="none"/>
        </w:rPr>
      </w:pPr>
      <w:r>
        <w:rPr>
          <w:rFonts w:hint="eastAsia" w:ascii="仿宋_GB2312" w:eastAsia="仿宋_GB2312"/>
          <w:color w:val="auto"/>
          <w:sz w:val="24"/>
          <w:highlight w:val="none"/>
        </w:rPr>
        <w:t>5.质疑函的质疑请求应与质疑事项相关。</w:t>
      </w:r>
    </w:p>
    <w:p w14:paraId="657D114E">
      <w:pPr>
        <w:widowControl/>
        <w:shd w:val="clear"/>
        <w:ind w:firstLine="480" w:firstLineChars="200"/>
        <w:jc w:val="left"/>
        <w:rPr>
          <w:rFonts w:ascii="仿宋_GB2312" w:eastAsia="仿宋_GB2312"/>
          <w:color w:val="auto"/>
          <w:sz w:val="24"/>
          <w:highlight w:val="none"/>
        </w:rPr>
      </w:pPr>
      <w:r>
        <w:rPr>
          <w:rFonts w:hint="eastAsia" w:ascii="仿宋_GB2312" w:eastAsia="仿宋_GB2312"/>
          <w:color w:val="auto"/>
          <w:sz w:val="24"/>
          <w:highlight w:val="none"/>
        </w:rPr>
        <w:t>6.质疑供应商为自然人的，质疑函应由本人签字；质疑供应商为法人或者其他组织的，质疑函应由法定代表人、主要负责人，或者其授权代表签字或者盖章，并加盖公章。</w:t>
      </w:r>
    </w:p>
    <w:p w14:paraId="2B1BEA67">
      <w:pPr>
        <w:widowControl/>
        <w:shd w:val="clear"/>
        <w:ind w:firstLine="600" w:firstLineChars="200"/>
        <w:jc w:val="left"/>
        <w:rPr>
          <w:rFonts w:ascii="仿宋_GB2312" w:eastAsia="仿宋_GB2312"/>
          <w:color w:val="auto"/>
          <w:sz w:val="30"/>
          <w:szCs w:val="30"/>
          <w:highlight w:val="none"/>
        </w:rPr>
      </w:pPr>
    </w:p>
    <w:p w14:paraId="29928116">
      <w:pPr>
        <w:shd w:val="clear"/>
        <w:snapToGrid w:val="0"/>
        <w:spacing w:before="50" w:after="165" w:afterLines="50" w:line="360" w:lineRule="auto"/>
        <w:ind w:firstLine="480" w:firstLineChars="200"/>
        <w:jc w:val="left"/>
        <w:rPr>
          <w:rFonts w:ascii="ˎ̥" w:hAnsi="ˎ̥" w:cs="宋体"/>
          <w:color w:val="auto"/>
          <w:kern w:val="0"/>
          <w:sz w:val="24"/>
          <w:highlight w:val="none"/>
        </w:rPr>
        <w:sectPr>
          <w:pgSz w:w="11905" w:h="16838"/>
          <w:pgMar w:top="1134" w:right="1134" w:bottom="1134" w:left="1134" w:header="720" w:footer="720" w:gutter="0"/>
          <w:cols w:space="0" w:num="1"/>
          <w:rtlGutter w:val="0"/>
          <w:docGrid w:type="lines" w:linePitch="331" w:charSpace="0"/>
        </w:sectPr>
      </w:pPr>
    </w:p>
    <w:p w14:paraId="04C63EA2">
      <w:pPr>
        <w:keepNext/>
        <w:keepLines/>
        <w:shd w:val="clear"/>
        <w:spacing w:before="260" w:after="260" w:line="413" w:lineRule="auto"/>
        <w:jc w:val="center"/>
        <w:outlineLvl w:val="1"/>
        <w:rPr>
          <w:rFonts w:hint="eastAsia" w:ascii="宋体" w:hAnsi="宋体" w:eastAsia="宋体" w:cs="宋体"/>
          <w:b/>
          <w:bCs/>
          <w:color w:val="auto"/>
          <w:sz w:val="30"/>
          <w:szCs w:val="30"/>
          <w:highlight w:val="none"/>
        </w:rPr>
      </w:pPr>
      <w:bookmarkStart w:id="32" w:name="_Toc171344372"/>
      <w:r>
        <w:rPr>
          <w:rFonts w:hint="eastAsia" w:ascii="宋体" w:hAnsi="宋体" w:eastAsia="宋体" w:cs="宋体"/>
          <w:b/>
          <w:bCs/>
          <w:color w:val="auto"/>
          <w:sz w:val="30"/>
          <w:szCs w:val="30"/>
          <w:highlight w:val="none"/>
        </w:rPr>
        <w:t>第二节 投诉书（格式）</w:t>
      </w:r>
      <w:bookmarkEnd w:id="32"/>
    </w:p>
    <w:p w14:paraId="200C1D03">
      <w:pPr>
        <w:shd w:val="clear"/>
        <w:jc w:val="center"/>
        <w:rPr>
          <w:rFonts w:hint="eastAsia" w:ascii="宋体" w:hAnsi="宋体"/>
          <w:b/>
          <w:color w:val="auto"/>
          <w:sz w:val="44"/>
          <w:szCs w:val="44"/>
          <w:highlight w:val="none"/>
        </w:rPr>
      </w:pPr>
      <w:r>
        <w:rPr>
          <w:rFonts w:hint="eastAsia" w:ascii="宋体" w:hAnsi="宋体"/>
          <w:b/>
          <w:color w:val="auto"/>
          <w:sz w:val="44"/>
          <w:szCs w:val="44"/>
          <w:highlight w:val="none"/>
        </w:rPr>
        <w:t>投诉书范本</w:t>
      </w:r>
    </w:p>
    <w:p w14:paraId="473D8D28">
      <w:pPr>
        <w:shd w:val="clear"/>
        <w:rPr>
          <w:rFonts w:hint="eastAsia" w:ascii="黑体" w:hAnsi="黑体" w:eastAsia="黑体"/>
          <w:color w:val="auto"/>
          <w:sz w:val="24"/>
          <w:highlight w:val="none"/>
        </w:rPr>
      </w:pPr>
      <w:r>
        <w:rPr>
          <w:rFonts w:hint="eastAsia" w:ascii="黑体" w:hAnsi="黑体" w:eastAsia="黑体"/>
          <w:color w:val="auto"/>
          <w:sz w:val="24"/>
          <w:highlight w:val="none"/>
        </w:rPr>
        <w:t>一、投诉相关主体基本情况</w:t>
      </w:r>
    </w:p>
    <w:p w14:paraId="6715BA4F">
      <w:pPr>
        <w:shd w:val="clear"/>
        <w:rPr>
          <w:rFonts w:hint="eastAsia" w:ascii="仿宋_GB2312" w:eastAsia="仿宋_GB2312"/>
          <w:color w:val="auto"/>
          <w:sz w:val="24"/>
          <w:highlight w:val="none"/>
          <w:u w:val="dotted"/>
        </w:rPr>
      </w:pPr>
      <w:r>
        <w:rPr>
          <w:rFonts w:hint="eastAsia" w:ascii="仿宋_GB2312" w:eastAsia="仿宋_GB2312"/>
          <w:color w:val="auto"/>
          <w:sz w:val="24"/>
          <w:highlight w:val="none"/>
        </w:rPr>
        <w:t>投诉人：</w:t>
      </w:r>
      <w:r>
        <w:rPr>
          <w:rFonts w:hint="eastAsia" w:ascii="仿宋_GB2312" w:eastAsia="仿宋_GB2312"/>
          <w:color w:val="auto"/>
          <w:sz w:val="24"/>
          <w:highlight w:val="none"/>
          <w:u w:val="dotted"/>
        </w:rPr>
        <w:t xml:space="preserve">                                               </w:t>
      </w:r>
    </w:p>
    <w:p w14:paraId="56940E38">
      <w:pPr>
        <w:shd w:val="clear"/>
        <w:rPr>
          <w:rFonts w:hint="eastAsia" w:ascii="仿宋_GB2312" w:eastAsia="仿宋_GB2312"/>
          <w:color w:val="auto"/>
          <w:sz w:val="24"/>
          <w:highlight w:val="none"/>
          <w:u w:val="single"/>
        </w:rPr>
      </w:pPr>
      <w:r>
        <w:rPr>
          <w:rFonts w:hint="eastAsia" w:ascii="仿宋_GB2312" w:eastAsia="仿宋_GB2312"/>
          <w:color w:val="auto"/>
          <w:sz w:val="24"/>
          <w:highlight w:val="none"/>
        </w:rPr>
        <w:t>地     址：</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rPr>
        <w:t>邮编：</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u w:val="single"/>
        </w:rPr>
        <w:t xml:space="preserve">   </w:t>
      </w:r>
    </w:p>
    <w:p w14:paraId="7D87C8DB">
      <w:pPr>
        <w:shd w:val="clear"/>
        <w:tabs>
          <w:tab w:val="left" w:pos="6510"/>
        </w:tabs>
        <w:jc w:val="left"/>
        <w:rPr>
          <w:rFonts w:hint="eastAsia" w:ascii="仿宋_GB2312" w:eastAsia="仿宋_GB2312"/>
          <w:color w:val="auto"/>
          <w:sz w:val="24"/>
          <w:highlight w:val="none"/>
        </w:rPr>
      </w:pPr>
      <w:r>
        <w:rPr>
          <w:rFonts w:hint="eastAsia" w:ascii="仿宋_GB2312" w:eastAsia="仿宋_GB2312"/>
          <w:color w:val="auto"/>
          <w:sz w:val="24"/>
          <w:highlight w:val="none"/>
        </w:rPr>
        <w:t>法定代表人/主要负责人：</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rPr>
        <w:t xml:space="preserve">  </w:t>
      </w:r>
    </w:p>
    <w:p w14:paraId="252A7BCB">
      <w:pPr>
        <w:shd w:val="clear"/>
        <w:tabs>
          <w:tab w:val="left" w:pos="6510"/>
        </w:tabs>
        <w:rPr>
          <w:rFonts w:hint="eastAsia" w:ascii="仿宋_GB2312" w:eastAsia="仿宋_GB2312"/>
          <w:color w:val="auto"/>
          <w:sz w:val="24"/>
          <w:highlight w:val="none"/>
          <w:u w:val="dotted"/>
        </w:rPr>
      </w:pPr>
      <w:r>
        <w:rPr>
          <w:rFonts w:hint="eastAsia" w:ascii="仿宋_GB2312" w:eastAsia="仿宋_GB2312"/>
          <w:color w:val="auto"/>
          <w:sz w:val="24"/>
          <w:highlight w:val="none"/>
        </w:rPr>
        <w:t>联系电话：</w:t>
      </w:r>
      <w:r>
        <w:rPr>
          <w:rFonts w:hint="eastAsia" w:ascii="仿宋_GB2312" w:eastAsia="仿宋_GB2312"/>
          <w:color w:val="auto"/>
          <w:sz w:val="24"/>
          <w:highlight w:val="none"/>
          <w:u w:val="dotted"/>
        </w:rPr>
        <w:t xml:space="preserve">                                             </w:t>
      </w:r>
    </w:p>
    <w:p w14:paraId="684CC576">
      <w:pPr>
        <w:shd w:val="clear"/>
        <w:rPr>
          <w:rFonts w:hint="eastAsia" w:ascii="仿宋_GB2312" w:eastAsia="仿宋_GB2312"/>
          <w:color w:val="auto"/>
          <w:sz w:val="24"/>
          <w:highlight w:val="none"/>
          <w:u w:val="dotted"/>
        </w:rPr>
      </w:pPr>
      <w:r>
        <w:rPr>
          <w:rFonts w:hint="eastAsia" w:ascii="仿宋_GB2312" w:eastAsia="仿宋_GB2312"/>
          <w:color w:val="auto"/>
          <w:sz w:val="24"/>
          <w:highlight w:val="none"/>
        </w:rPr>
        <w:t>授权代表：</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rPr>
        <w:t>联系电话</w:t>
      </w:r>
      <w:r>
        <w:rPr>
          <w:rFonts w:hint="eastAsia" w:ascii="仿宋_GB2312" w:eastAsia="仿宋_GB2312"/>
          <w:color w:val="auto"/>
          <w:sz w:val="24"/>
          <w:highlight w:val="none"/>
          <w:u w:val="dotted"/>
        </w:rPr>
        <w:t xml:space="preserve">：                  </w:t>
      </w:r>
    </w:p>
    <w:p w14:paraId="505F199F">
      <w:pPr>
        <w:shd w:val="clear"/>
        <w:rPr>
          <w:rFonts w:hint="eastAsia" w:ascii="仿宋_GB2312" w:eastAsia="仿宋_GB2312"/>
          <w:color w:val="auto"/>
          <w:sz w:val="24"/>
          <w:highlight w:val="none"/>
          <w:u w:val="dotted"/>
        </w:rPr>
      </w:pPr>
      <w:r>
        <w:rPr>
          <w:rFonts w:hint="eastAsia" w:ascii="仿宋_GB2312" w:eastAsia="仿宋_GB2312"/>
          <w:color w:val="auto"/>
          <w:sz w:val="24"/>
          <w:highlight w:val="none"/>
        </w:rPr>
        <w:t>地     址：</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rPr>
        <w:t>邮编：</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u w:val="single"/>
        </w:rPr>
        <w:t xml:space="preserve"> </w:t>
      </w:r>
      <w:r>
        <w:rPr>
          <w:rFonts w:hint="eastAsia" w:ascii="仿宋_GB2312" w:eastAsia="仿宋_GB2312"/>
          <w:color w:val="auto"/>
          <w:sz w:val="24"/>
          <w:highlight w:val="none"/>
          <w:u w:val="dotted"/>
        </w:rPr>
        <w:t xml:space="preserve">                   </w:t>
      </w:r>
    </w:p>
    <w:p w14:paraId="1A914B5E">
      <w:pPr>
        <w:shd w:val="clear"/>
        <w:rPr>
          <w:rFonts w:hint="eastAsia" w:ascii="仿宋_GB2312" w:eastAsia="仿宋_GB2312"/>
          <w:color w:val="auto"/>
          <w:sz w:val="24"/>
          <w:highlight w:val="none"/>
          <w:u w:val="single"/>
        </w:rPr>
      </w:pPr>
      <w:r>
        <w:rPr>
          <w:rFonts w:hint="eastAsia" w:ascii="仿宋_GB2312" w:eastAsia="仿宋_GB2312"/>
          <w:color w:val="auto"/>
          <w:sz w:val="24"/>
          <w:highlight w:val="none"/>
        </w:rPr>
        <w:t>被投诉人1：</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u w:val="single"/>
        </w:rPr>
        <w:t xml:space="preserve">  </w:t>
      </w:r>
    </w:p>
    <w:p w14:paraId="5A4A5C39">
      <w:pPr>
        <w:shd w:val="clear"/>
        <w:rPr>
          <w:rFonts w:hint="eastAsia" w:ascii="仿宋_GB2312" w:eastAsia="仿宋_GB2312"/>
          <w:color w:val="auto"/>
          <w:sz w:val="24"/>
          <w:highlight w:val="none"/>
          <w:u w:val="single"/>
        </w:rPr>
      </w:pPr>
      <w:r>
        <w:rPr>
          <w:rFonts w:hint="eastAsia" w:ascii="仿宋_GB2312" w:eastAsia="仿宋_GB2312"/>
          <w:color w:val="auto"/>
          <w:sz w:val="24"/>
          <w:highlight w:val="none"/>
        </w:rPr>
        <w:t>地     址：</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rPr>
        <w:t>邮编：</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u w:val="single"/>
        </w:rPr>
        <w:t xml:space="preserve"> </w:t>
      </w:r>
    </w:p>
    <w:p w14:paraId="257D4CDD">
      <w:pPr>
        <w:shd w:val="clear"/>
        <w:rPr>
          <w:rFonts w:hint="eastAsia" w:ascii="仿宋_GB2312" w:eastAsia="仿宋_GB2312"/>
          <w:color w:val="auto"/>
          <w:sz w:val="24"/>
          <w:highlight w:val="none"/>
          <w:u w:val="single"/>
        </w:rPr>
      </w:pPr>
      <w:r>
        <w:rPr>
          <w:rFonts w:hint="eastAsia" w:ascii="仿宋_GB2312" w:eastAsia="仿宋_GB2312"/>
          <w:color w:val="auto"/>
          <w:sz w:val="24"/>
          <w:highlight w:val="none"/>
        </w:rPr>
        <w:t>联系人：</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rPr>
        <w:t>联系电话：</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u w:val="single"/>
        </w:rPr>
        <w:t xml:space="preserve"> </w:t>
      </w:r>
    </w:p>
    <w:p w14:paraId="5597B72B">
      <w:pPr>
        <w:shd w:val="clear"/>
        <w:rPr>
          <w:rFonts w:hint="eastAsia" w:ascii="仿宋_GB2312" w:eastAsia="仿宋_GB2312"/>
          <w:color w:val="auto"/>
          <w:sz w:val="24"/>
          <w:highlight w:val="none"/>
        </w:rPr>
      </w:pPr>
      <w:r>
        <w:rPr>
          <w:rFonts w:hint="eastAsia" w:ascii="仿宋_GB2312" w:eastAsia="仿宋_GB2312"/>
          <w:color w:val="auto"/>
          <w:sz w:val="24"/>
          <w:highlight w:val="none"/>
        </w:rPr>
        <w:t>被投诉人2</w:t>
      </w:r>
    </w:p>
    <w:p w14:paraId="1B8A11B2">
      <w:pPr>
        <w:shd w:val="clear"/>
        <w:rPr>
          <w:rFonts w:ascii="仿宋_GB2312" w:eastAsia="仿宋_GB2312"/>
          <w:color w:val="auto"/>
          <w:sz w:val="24"/>
          <w:highlight w:val="none"/>
          <w:u w:val="dotted"/>
        </w:rPr>
      </w:pPr>
      <w:r>
        <w:rPr>
          <w:rFonts w:hint="eastAsia" w:ascii="仿宋_GB2312" w:eastAsia="仿宋_GB2312"/>
          <w:color w:val="auto"/>
          <w:sz w:val="24"/>
          <w:highlight w:val="none"/>
        </w:rPr>
        <w:t>……</w:t>
      </w:r>
    </w:p>
    <w:p w14:paraId="1BB646BC">
      <w:pPr>
        <w:shd w:val="clear"/>
        <w:rPr>
          <w:rFonts w:hint="eastAsia" w:ascii="仿宋_GB2312" w:eastAsia="仿宋_GB2312"/>
          <w:color w:val="auto"/>
          <w:sz w:val="24"/>
          <w:highlight w:val="none"/>
          <w:u w:val="single"/>
        </w:rPr>
      </w:pPr>
      <w:r>
        <w:rPr>
          <w:rFonts w:hint="eastAsia" w:ascii="仿宋_GB2312" w:eastAsia="仿宋_GB2312"/>
          <w:color w:val="auto"/>
          <w:sz w:val="24"/>
          <w:highlight w:val="none"/>
        </w:rPr>
        <w:t>相关供应商：</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u w:val="single"/>
        </w:rPr>
        <w:t xml:space="preserve">    </w:t>
      </w:r>
    </w:p>
    <w:p w14:paraId="14A9BF26">
      <w:pPr>
        <w:shd w:val="clear"/>
        <w:rPr>
          <w:rFonts w:hint="eastAsia" w:ascii="仿宋_GB2312" w:eastAsia="仿宋_GB2312"/>
          <w:color w:val="auto"/>
          <w:sz w:val="24"/>
          <w:highlight w:val="none"/>
          <w:u w:val="single"/>
        </w:rPr>
      </w:pPr>
      <w:r>
        <w:rPr>
          <w:rFonts w:hint="eastAsia" w:ascii="仿宋_GB2312" w:eastAsia="仿宋_GB2312"/>
          <w:color w:val="auto"/>
          <w:sz w:val="24"/>
          <w:highlight w:val="none"/>
        </w:rPr>
        <w:t>地     址：</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rPr>
        <w:t>邮编：</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u w:val="single"/>
        </w:rPr>
        <w:t xml:space="preserve"> </w:t>
      </w:r>
    </w:p>
    <w:p w14:paraId="37F80055">
      <w:pPr>
        <w:shd w:val="clear"/>
        <w:rPr>
          <w:rFonts w:hint="eastAsia" w:ascii="仿宋_GB2312" w:eastAsia="仿宋_GB2312"/>
          <w:color w:val="auto"/>
          <w:sz w:val="24"/>
          <w:highlight w:val="none"/>
          <w:u w:val="single"/>
        </w:rPr>
      </w:pPr>
      <w:r>
        <w:rPr>
          <w:rFonts w:hint="eastAsia" w:ascii="仿宋_GB2312" w:eastAsia="仿宋_GB2312"/>
          <w:color w:val="auto"/>
          <w:sz w:val="24"/>
          <w:highlight w:val="none"/>
        </w:rPr>
        <w:t>联系人：</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rPr>
        <w:t>联系电话：</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u w:val="single"/>
        </w:rPr>
        <w:t xml:space="preserve">      </w:t>
      </w:r>
    </w:p>
    <w:p w14:paraId="06BC59DF">
      <w:pPr>
        <w:shd w:val="clear"/>
        <w:rPr>
          <w:rFonts w:hint="eastAsia" w:ascii="黑体" w:hAnsi="黑体" w:eastAsia="黑体"/>
          <w:color w:val="auto"/>
          <w:sz w:val="24"/>
          <w:highlight w:val="none"/>
        </w:rPr>
      </w:pPr>
      <w:r>
        <w:rPr>
          <w:rFonts w:hint="eastAsia" w:ascii="黑体" w:hAnsi="黑体" w:eastAsia="黑体"/>
          <w:color w:val="auto"/>
          <w:sz w:val="24"/>
          <w:highlight w:val="none"/>
        </w:rPr>
        <w:t>二、投诉项目基本情况</w:t>
      </w:r>
    </w:p>
    <w:p w14:paraId="0147BB04">
      <w:pPr>
        <w:shd w:val="clear"/>
        <w:rPr>
          <w:rFonts w:hint="eastAsia" w:ascii="仿宋_GB2312" w:eastAsia="仿宋_GB2312"/>
          <w:color w:val="auto"/>
          <w:sz w:val="24"/>
          <w:highlight w:val="none"/>
          <w:u w:val="dotted"/>
        </w:rPr>
      </w:pPr>
      <w:r>
        <w:rPr>
          <w:rFonts w:hint="eastAsia" w:ascii="仿宋_GB2312" w:eastAsia="仿宋_GB2312"/>
          <w:color w:val="auto"/>
          <w:sz w:val="24"/>
          <w:highlight w:val="none"/>
        </w:rPr>
        <w:t>采购项目名称：</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u w:val="dotted"/>
          <w:lang w:val="en-US" w:eastAsia="zh-CN"/>
        </w:rPr>
        <w:t xml:space="preserve">                 </w:t>
      </w:r>
      <w:r>
        <w:rPr>
          <w:rFonts w:hint="eastAsia" w:ascii="仿宋_GB2312" w:eastAsia="仿宋_GB2312"/>
          <w:color w:val="auto"/>
          <w:sz w:val="24"/>
          <w:highlight w:val="none"/>
          <w:u w:val="dotted"/>
        </w:rPr>
        <w:t xml:space="preserve">  </w:t>
      </w:r>
    </w:p>
    <w:p w14:paraId="226654DA">
      <w:pPr>
        <w:shd w:val="clear"/>
        <w:rPr>
          <w:rFonts w:hint="eastAsia" w:ascii="仿宋_GB2312" w:eastAsia="仿宋_GB2312"/>
          <w:color w:val="auto"/>
          <w:sz w:val="24"/>
          <w:highlight w:val="none"/>
          <w:u w:val="single"/>
        </w:rPr>
      </w:pPr>
      <w:r>
        <w:rPr>
          <w:rFonts w:hint="eastAsia" w:ascii="仿宋_GB2312" w:eastAsia="仿宋_GB2312"/>
          <w:color w:val="auto"/>
          <w:sz w:val="24"/>
          <w:highlight w:val="none"/>
        </w:rPr>
        <w:t>采购项目编号：</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u w:val="dotted"/>
          <w:lang w:val="en-US" w:eastAsia="zh-CN"/>
        </w:rPr>
        <w:t xml:space="preserve">                      </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rPr>
        <w:t>包号：</w:t>
      </w:r>
      <w:r>
        <w:rPr>
          <w:rFonts w:hint="eastAsia" w:ascii="仿宋_GB2312" w:eastAsia="仿宋_GB2312"/>
          <w:color w:val="auto"/>
          <w:sz w:val="24"/>
          <w:highlight w:val="none"/>
          <w:u w:val="dotted"/>
        </w:rPr>
        <w:t xml:space="preserve">              </w:t>
      </w:r>
    </w:p>
    <w:p w14:paraId="593F6F32">
      <w:pPr>
        <w:shd w:val="clear"/>
        <w:rPr>
          <w:rFonts w:hint="eastAsia" w:ascii="仿宋_GB2312" w:eastAsia="仿宋_GB2312"/>
          <w:color w:val="auto"/>
          <w:sz w:val="24"/>
          <w:highlight w:val="none"/>
        </w:rPr>
      </w:pPr>
      <w:r>
        <w:rPr>
          <w:rFonts w:hint="eastAsia" w:ascii="仿宋_GB2312" w:eastAsia="仿宋_GB2312"/>
          <w:color w:val="auto"/>
          <w:sz w:val="24"/>
          <w:highlight w:val="none"/>
        </w:rPr>
        <w:t>采购人名称：</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u w:val="dotted"/>
          <w:lang w:val="en-US" w:eastAsia="zh-CN"/>
        </w:rPr>
        <w:t xml:space="preserve">                        </w:t>
      </w:r>
      <w:r>
        <w:rPr>
          <w:rFonts w:hint="eastAsia" w:ascii="仿宋_GB2312" w:eastAsia="仿宋_GB2312"/>
          <w:color w:val="auto"/>
          <w:sz w:val="24"/>
          <w:highlight w:val="none"/>
          <w:u w:val="single"/>
        </w:rPr>
        <w:t xml:space="preserve"> </w:t>
      </w:r>
    </w:p>
    <w:p w14:paraId="3B6B08A9">
      <w:pPr>
        <w:shd w:val="clear"/>
        <w:rPr>
          <w:rFonts w:hint="eastAsia" w:ascii="仿宋_GB2312" w:eastAsia="仿宋_GB2312"/>
          <w:color w:val="auto"/>
          <w:sz w:val="24"/>
          <w:highlight w:val="none"/>
          <w:u w:val="single"/>
        </w:rPr>
      </w:pPr>
      <w:r>
        <w:rPr>
          <w:rFonts w:hint="eastAsia" w:ascii="仿宋_GB2312" w:eastAsia="仿宋_GB2312"/>
          <w:color w:val="auto"/>
          <w:sz w:val="24"/>
          <w:highlight w:val="none"/>
        </w:rPr>
        <w:t>代理机构名称：</w:t>
      </w:r>
      <w:r>
        <w:rPr>
          <w:rFonts w:hint="eastAsia" w:ascii="仿宋_GB2312" w:eastAsia="仿宋_GB2312"/>
          <w:color w:val="auto"/>
          <w:sz w:val="24"/>
          <w:highlight w:val="none"/>
          <w:u w:val="dotted"/>
        </w:rPr>
        <w:t xml:space="preserve">                                         </w:t>
      </w:r>
    </w:p>
    <w:p w14:paraId="7895D3D3">
      <w:pPr>
        <w:shd w:val="clear"/>
        <w:rPr>
          <w:rFonts w:hint="eastAsia" w:ascii="仿宋_GB2312" w:eastAsia="仿宋_GB2312"/>
          <w:color w:val="auto"/>
          <w:sz w:val="24"/>
          <w:highlight w:val="none"/>
          <w:u w:val="dotted"/>
        </w:rPr>
      </w:pPr>
      <w:r>
        <w:rPr>
          <w:rFonts w:hint="eastAsia" w:ascii="仿宋_GB2312" w:eastAsia="仿宋_GB2312"/>
          <w:color w:val="auto"/>
          <w:sz w:val="24"/>
          <w:highlight w:val="none"/>
        </w:rPr>
        <w:t>采购文件公告：</w:t>
      </w:r>
      <w:r>
        <w:rPr>
          <w:rFonts w:hint="eastAsia" w:ascii="仿宋_GB2312" w:eastAsia="仿宋_GB2312"/>
          <w:color w:val="auto"/>
          <w:sz w:val="24"/>
          <w:highlight w:val="none"/>
          <w:u w:val="dotted"/>
        </w:rPr>
        <w:t xml:space="preserve">是/否 </w:t>
      </w:r>
      <w:r>
        <w:rPr>
          <w:rFonts w:hint="eastAsia" w:ascii="仿宋_GB2312" w:eastAsia="仿宋_GB2312"/>
          <w:color w:val="auto"/>
          <w:sz w:val="24"/>
          <w:highlight w:val="none"/>
        </w:rPr>
        <w:t>公告期限：</w:t>
      </w:r>
      <w:r>
        <w:rPr>
          <w:rFonts w:hint="eastAsia" w:ascii="仿宋_GB2312" w:eastAsia="仿宋_GB2312"/>
          <w:color w:val="auto"/>
          <w:sz w:val="24"/>
          <w:highlight w:val="none"/>
          <w:u w:val="dotted"/>
        </w:rPr>
        <w:t xml:space="preserve">                                 </w:t>
      </w:r>
    </w:p>
    <w:p w14:paraId="79E199AC">
      <w:pPr>
        <w:shd w:val="clear"/>
        <w:rPr>
          <w:rFonts w:hint="eastAsia" w:ascii="仿宋_GB2312" w:eastAsia="仿宋_GB2312"/>
          <w:color w:val="auto"/>
          <w:sz w:val="24"/>
          <w:highlight w:val="none"/>
          <w:u w:val="single"/>
        </w:rPr>
      </w:pPr>
      <w:r>
        <w:rPr>
          <w:rFonts w:hint="eastAsia" w:ascii="仿宋_GB2312" w:eastAsia="仿宋_GB2312"/>
          <w:color w:val="auto"/>
          <w:sz w:val="24"/>
          <w:highlight w:val="none"/>
        </w:rPr>
        <w:t>采购结果公告：</w:t>
      </w:r>
      <w:r>
        <w:rPr>
          <w:rFonts w:hint="eastAsia" w:ascii="仿宋_GB2312" w:eastAsia="仿宋_GB2312"/>
          <w:color w:val="auto"/>
          <w:sz w:val="24"/>
          <w:highlight w:val="none"/>
          <w:u w:val="dotted"/>
        </w:rPr>
        <w:t xml:space="preserve">是/否 </w:t>
      </w:r>
      <w:r>
        <w:rPr>
          <w:rFonts w:hint="eastAsia" w:ascii="仿宋_GB2312" w:eastAsia="仿宋_GB2312"/>
          <w:color w:val="auto"/>
          <w:sz w:val="24"/>
          <w:highlight w:val="none"/>
        </w:rPr>
        <w:t>公告期限：</w:t>
      </w:r>
      <w:r>
        <w:rPr>
          <w:rFonts w:hint="eastAsia" w:ascii="仿宋_GB2312" w:eastAsia="仿宋_GB2312"/>
          <w:color w:val="auto"/>
          <w:sz w:val="24"/>
          <w:highlight w:val="none"/>
          <w:u w:val="dotted"/>
        </w:rPr>
        <w:t xml:space="preserve">                        </w:t>
      </w:r>
    </w:p>
    <w:p w14:paraId="0387A094">
      <w:pPr>
        <w:shd w:val="clear"/>
        <w:rPr>
          <w:rFonts w:hint="eastAsia" w:ascii="黑体" w:hAnsi="黑体" w:eastAsia="黑体"/>
          <w:color w:val="auto"/>
          <w:sz w:val="24"/>
          <w:highlight w:val="none"/>
        </w:rPr>
      </w:pPr>
      <w:r>
        <w:rPr>
          <w:rFonts w:hint="eastAsia" w:ascii="黑体" w:hAnsi="黑体" w:eastAsia="黑体"/>
          <w:color w:val="auto"/>
          <w:sz w:val="24"/>
          <w:highlight w:val="none"/>
        </w:rPr>
        <w:t>三、质疑基本情况</w:t>
      </w:r>
    </w:p>
    <w:p w14:paraId="2551F0E7">
      <w:pPr>
        <w:shd w:val="clear"/>
        <w:ind w:firstLine="480" w:firstLineChars="200"/>
        <w:rPr>
          <w:rFonts w:hint="eastAsia" w:ascii="仿宋_GB2312" w:eastAsia="仿宋_GB2312"/>
          <w:color w:val="auto"/>
          <w:sz w:val="24"/>
          <w:highlight w:val="none"/>
          <w:u w:val="dotted"/>
        </w:rPr>
      </w:pPr>
      <w:r>
        <w:rPr>
          <w:rFonts w:hint="eastAsia" w:ascii="仿宋_GB2312" w:eastAsia="仿宋_GB2312"/>
          <w:color w:val="auto"/>
          <w:sz w:val="24"/>
          <w:highlight w:val="none"/>
        </w:rPr>
        <w:t>投诉人于</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rPr>
        <w:t>年</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rPr>
        <w:t>月</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rPr>
        <w:t>日</w:t>
      </w:r>
      <w:r>
        <w:rPr>
          <w:rFonts w:hint="eastAsia" w:ascii="仿宋_GB2312" w:eastAsia="仿宋_GB2312"/>
          <w:color w:val="auto"/>
          <w:sz w:val="24"/>
          <w:highlight w:val="none"/>
          <w:lang w:eastAsia="zh-CN"/>
        </w:rPr>
        <w:t>，</w:t>
      </w:r>
      <w:r>
        <w:rPr>
          <w:rFonts w:hint="eastAsia" w:ascii="仿宋_GB2312" w:eastAsia="仿宋_GB2312"/>
          <w:color w:val="auto"/>
          <w:sz w:val="24"/>
          <w:highlight w:val="none"/>
        </w:rPr>
        <w:t>向</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rPr>
        <w:t>提出质疑，质疑事项为：</w:t>
      </w:r>
      <w:r>
        <w:rPr>
          <w:rFonts w:hint="eastAsia" w:ascii="仿宋_GB2312" w:eastAsia="仿宋_GB2312"/>
          <w:color w:val="auto"/>
          <w:sz w:val="24"/>
          <w:highlight w:val="none"/>
          <w:u w:val="dotted"/>
        </w:rPr>
        <w:t xml:space="preserve">                                </w:t>
      </w:r>
    </w:p>
    <w:p w14:paraId="4EB4EC6B">
      <w:pPr>
        <w:shd w:val="clear"/>
        <w:rPr>
          <w:rFonts w:hint="eastAsia" w:ascii="仿宋_GB2312" w:eastAsia="仿宋_GB2312"/>
          <w:color w:val="auto"/>
          <w:sz w:val="24"/>
          <w:highlight w:val="none"/>
          <w:u w:val="dotted"/>
        </w:rPr>
      </w:pP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rPr>
        <w:t xml:space="preserve">  </w:t>
      </w:r>
    </w:p>
    <w:p w14:paraId="504D8033">
      <w:pPr>
        <w:shd w:val="clear"/>
        <w:ind w:firstLine="360" w:firstLineChars="150"/>
        <w:rPr>
          <w:rFonts w:hint="eastAsia" w:ascii="仿宋_GB2312" w:eastAsia="仿宋_GB2312"/>
          <w:color w:val="auto"/>
          <w:sz w:val="24"/>
          <w:highlight w:val="none"/>
        </w:rPr>
      </w:pPr>
      <w:r>
        <w:rPr>
          <w:rFonts w:hint="eastAsia" w:ascii="仿宋_GB2312" w:eastAsia="仿宋_GB2312"/>
          <w:color w:val="auto"/>
          <w:sz w:val="24"/>
          <w:highlight w:val="none"/>
          <w:u w:val="dotted"/>
        </w:rPr>
        <w:t>采购人/代理机构</w:t>
      </w:r>
      <w:r>
        <w:rPr>
          <w:rFonts w:hint="eastAsia" w:ascii="仿宋_GB2312" w:eastAsia="仿宋_GB2312"/>
          <w:color w:val="auto"/>
          <w:sz w:val="24"/>
          <w:highlight w:val="none"/>
        </w:rPr>
        <w:t>于</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rPr>
        <w:t>年</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rPr>
        <w:t>月</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rPr>
        <w:t>日</w:t>
      </w:r>
      <w:r>
        <w:rPr>
          <w:rFonts w:hint="eastAsia" w:ascii="仿宋_GB2312" w:eastAsia="仿宋_GB2312"/>
          <w:color w:val="auto"/>
          <w:sz w:val="24"/>
          <w:highlight w:val="none"/>
          <w:lang w:eastAsia="zh-CN"/>
        </w:rPr>
        <w:t>，</w:t>
      </w:r>
      <w:r>
        <w:rPr>
          <w:rFonts w:hint="eastAsia" w:ascii="仿宋_GB2312" w:eastAsia="仿宋_GB2312"/>
          <w:color w:val="auto"/>
          <w:sz w:val="24"/>
          <w:highlight w:val="none"/>
        </w:rPr>
        <w:t>就质疑事项作出了答复/没有在法定期限内作出答复。</w:t>
      </w:r>
    </w:p>
    <w:p w14:paraId="417BA59A">
      <w:pPr>
        <w:shd w:val="clear"/>
        <w:rPr>
          <w:rFonts w:hint="eastAsia" w:ascii="黑体" w:hAnsi="黑体" w:eastAsia="黑体"/>
          <w:color w:val="auto"/>
          <w:sz w:val="24"/>
          <w:highlight w:val="none"/>
        </w:rPr>
      </w:pPr>
      <w:r>
        <w:rPr>
          <w:rFonts w:hint="eastAsia" w:ascii="黑体" w:hAnsi="黑体" w:eastAsia="黑体"/>
          <w:color w:val="auto"/>
          <w:sz w:val="24"/>
          <w:highlight w:val="none"/>
        </w:rPr>
        <w:t>四、投诉事项具体内容</w:t>
      </w:r>
    </w:p>
    <w:p w14:paraId="460E11B4">
      <w:pPr>
        <w:shd w:val="clear"/>
        <w:rPr>
          <w:rFonts w:hint="eastAsia" w:ascii="仿宋_GB2312" w:eastAsia="仿宋_GB2312"/>
          <w:color w:val="auto"/>
          <w:sz w:val="24"/>
          <w:highlight w:val="none"/>
          <w:u w:val="single"/>
        </w:rPr>
      </w:pPr>
      <w:r>
        <w:rPr>
          <w:rFonts w:hint="eastAsia" w:ascii="仿宋_GB2312" w:eastAsia="仿宋_GB2312"/>
          <w:color w:val="auto"/>
          <w:sz w:val="24"/>
          <w:highlight w:val="none"/>
        </w:rPr>
        <w:t>投诉事项 1：</w:t>
      </w:r>
      <w:r>
        <w:rPr>
          <w:rFonts w:hint="eastAsia" w:ascii="仿宋_GB2312" w:eastAsia="仿宋_GB2312"/>
          <w:color w:val="auto"/>
          <w:sz w:val="24"/>
          <w:highlight w:val="none"/>
          <w:u w:val="dotted"/>
        </w:rPr>
        <w:t xml:space="preserve">                                       </w:t>
      </w:r>
    </w:p>
    <w:p w14:paraId="395727DE">
      <w:pPr>
        <w:shd w:val="clear"/>
        <w:rPr>
          <w:rFonts w:hint="eastAsia" w:ascii="仿宋_GB2312" w:eastAsia="仿宋_GB2312"/>
          <w:color w:val="auto"/>
          <w:sz w:val="24"/>
          <w:highlight w:val="none"/>
        </w:rPr>
      </w:pPr>
      <w:r>
        <w:rPr>
          <w:rFonts w:hint="eastAsia" w:ascii="仿宋_GB2312" w:eastAsia="仿宋_GB2312"/>
          <w:color w:val="auto"/>
          <w:sz w:val="24"/>
          <w:highlight w:val="none"/>
        </w:rPr>
        <w:t>事实依据：</w:t>
      </w:r>
      <w:r>
        <w:rPr>
          <w:rFonts w:hint="eastAsia" w:ascii="仿宋_GB2312" w:eastAsia="仿宋_GB2312"/>
          <w:color w:val="auto"/>
          <w:sz w:val="24"/>
          <w:highlight w:val="none"/>
          <w:u w:val="dotted"/>
        </w:rPr>
        <w:t xml:space="preserve">                                         </w:t>
      </w:r>
    </w:p>
    <w:p w14:paraId="5E0BCF33">
      <w:pPr>
        <w:shd w:val="clear"/>
        <w:rPr>
          <w:rFonts w:hint="eastAsia" w:ascii="仿宋_GB2312" w:eastAsia="仿宋_GB2312"/>
          <w:color w:val="auto"/>
          <w:sz w:val="24"/>
          <w:highlight w:val="none"/>
          <w:u w:val="single"/>
        </w:rPr>
      </w:pPr>
      <w:r>
        <w:rPr>
          <w:rFonts w:hint="eastAsia" w:ascii="仿宋_GB2312" w:eastAsia="仿宋_GB2312"/>
          <w:color w:val="auto"/>
          <w:sz w:val="24"/>
          <w:highlight w:val="none"/>
        </w:rPr>
        <w:t>法律依据：</w:t>
      </w:r>
      <w:r>
        <w:rPr>
          <w:rFonts w:hint="eastAsia" w:ascii="仿宋_GB2312" w:eastAsia="仿宋_GB2312"/>
          <w:color w:val="auto"/>
          <w:sz w:val="24"/>
          <w:highlight w:val="none"/>
          <w:u w:val="dotted"/>
        </w:rPr>
        <w:t xml:space="preserve">                                          </w:t>
      </w:r>
    </w:p>
    <w:p w14:paraId="4CBD4538">
      <w:pPr>
        <w:shd w:val="clear"/>
        <w:rPr>
          <w:rFonts w:hint="eastAsia" w:ascii="仿宋_GB2312" w:eastAsia="仿宋_GB2312"/>
          <w:color w:val="auto"/>
          <w:sz w:val="24"/>
          <w:highlight w:val="none"/>
        </w:rPr>
      </w:pPr>
      <w:r>
        <w:rPr>
          <w:rFonts w:hint="eastAsia" w:ascii="仿宋_GB2312" w:eastAsia="仿宋_GB2312"/>
          <w:color w:val="auto"/>
          <w:sz w:val="24"/>
          <w:highlight w:val="none"/>
        </w:rPr>
        <w:t>投诉事项2</w:t>
      </w:r>
    </w:p>
    <w:p w14:paraId="4FED106D">
      <w:pPr>
        <w:shd w:val="clear"/>
        <w:rPr>
          <w:rFonts w:hint="eastAsia" w:ascii="仿宋_GB2312" w:eastAsia="仿宋_GB2312"/>
          <w:color w:val="auto"/>
          <w:sz w:val="24"/>
          <w:highlight w:val="none"/>
          <w:u w:val="dotted"/>
        </w:rPr>
      </w:pPr>
      <w:r>
        <w:rPr>
          <w:rFonts w:hint="eastAsia" w:ascii="仿宋_GB2312" w:eastAsia="仿宋_GB2312"/>
          <w:color w:val="auto"/>
          <w:sz w:val="24"/>
          <w:highlight w:val="none"/>
        </w:rPr>
        <w:t>……</w:t>
      </w:r>
    </w:p>
    <w:p w14:paraId="0EAD44E8">
      <w:pPr>
        <w:shd w:val="clear"/>
        <w:rPr>
          <w:rFonts w:hint="eastAsia" w:ascii="黑体" w:hAnsi="黑体" w:eastAsia="黑体"/>
          <w:color w:val="auto"/>
          <w:sz w:val="24"/>
          <w:highlight w:val="none"/>
        </w:rPr>
      </w:pPr>
      <w:r>
        <w:rPr>
          <w:rFonts w:hint="eastAsia" w:ascii="黑体" w:hAnsi="黑体" w:eastAsia="黑体"/>
          <w:color w:val="auto"/>
          <w:sz w:val="24"/>
          <w:highlight w:val="none"/>
        </w:rPr>
        <w:t>五、与投诉事项相关的投诉请求</w:t>
      </w:r>
    </w:p>
    <w:p w14:paraId="72978A33">
      <w:pPr>
        <w:shd w:val="clear"/>
        <w:rPr>
          <w:rFonts w:hint="eastAsia" w:ascii="仿宋_GB2312" w:eastAsia="仿宋_GB2312"/>
          <w:color w:val="auto"/>
          <w:sz w:val="24"/>
          <w:highlight w:val="none"/>
        </w:rPr>
      </w:pPr>
      <w:r>
        <w:rPr>
          <w:rFonts w:hint="eastAsia" w:ascii="仿宋_GB2312" w:eastAsia="仿宋_GB2312"/>
          <w:color w:val="auto"/>
          <w:sz w:val="24"/>
          <w:highlight w:val="none"/>
        </w:rPr>
        <w:t>请求：</w:t>
      </w:r>
      <w:r>
        <w:rPr>
          <w:rFonts w:hint="eastAsia" w:ascii="仿宋_GB2312" w:eastAsia="仿宋_GB2312"/>
          <w:color w:val="auto"/>
          <w:sz w:val="24"/>
          <w:highlight w:val="none"/>
          <w:u w:val="dotted"/>
        </w:rPr>
        <w:t xml:space="preserve">                                              </w:t>
      </w:r>
      <w:r>
        <w:rPr>
          <w:rFonts w:hint="eastAsia" w:ascii="仿宋_GB2312" w:eastAsia="仿宋_GB2312"/>
          <w:color w:val="auto"/>
          <w:sz w:val="24"/>
          <w:highlight w:val="none"/>
        </w:rPr>
        <w:t xml:space="preserve"> </w:t>
      </w:r>
    </w:p>
    <w:p w14:paraId="21954EDF">
      <w:pPr>
        <w:shd w:val="clear"/>
        <w:rPr>
          <w:rFonts w:hint="eastAsia" w:ascii="仿宋_GB2312" w:eastAsia="仿宋_GB2312"/>
          <w:color w:val="auto"/>
          <w:sz w:val="24"/>
          <w:highlight w:val="none"/>
          <w:u w:val="single"/>
        </w:rPr>
      </w:pPr>
      <w:r>
        <w:rPr>
          <w:rFonts w:hint="eastAsia" w:ascii="仿宋_GB2312" w:eastAsia="仿宋_GB2312"/>
          <w:color w:val="auto"/>
          <w:sz w:val="24"/>
          <w:highlight w:val="none"/>
        </w:rPr>
        <w:t xml:space="preserve">                                                                                                    </w:t>
      </w:r>
    </w:p>
    <w:p w14:paraId="5527AB45">
      <w:pPr>
        <w:shd w:val="clear"/>
        <w:rPr>
          <w:rFonts w:hint="eastAsia" w:ascii="仿宋_GB2312" w:eastAsia="仿宋_GB2312"/>
          <w:color w:val="auto"/>
          <w:sz w:val="24"/>
          <w:highlight w:val="none"/>
        </w:rPr>
      </w:pPr>
      <w:r>
        <w:rPr>
          <w:rFonts w:hint="eastAsia" w:ascii="仿宋_GB2312" w:eastAsia="仿宋_GB2312"/>
          <w:color w:val="auto"/>
          <w:sz w:val="24"/>
          <w:highlight w:val="none"/>
        </w:rPr>
        <w:t xml:space="preserve">签字(签章)：                   公章：                      </w:t>
      </w:r>
    </w:p>
    <w:p w14:paraId="16C9C5F4">
      <w:pPr>
        <w:shd w:val="clear"/>
        <w:rPr>
          <w:rFonts w:hint="eastAsia" w:ascii="仿宋_GB2312" w:eastAsia="仿宋_GB2312"/>
          <w:color w:val="auto"/>
          <w:sz w:val="24"/>
          <w:highlight w:val="none"/>
        </w:rPr>
      </w:pPr>
      <w:r>
        <w:rPr>
          <w:rFonts w:hint="eastAsia" w:ascii="仿宋_GB2312" w:eastAsia="仿宋_GB2312"/>
          <w:color w:val="auto"/>
          <w:sz w:val="24"/>
          <w:highlight w:val="none"/>
        </w:rPr>
        <w:t xml:space="preserve">日期：    </w:t>
      </w:r>
    </w:p>
    <w:p w14:paraId="4D4CA503">
      <w:pPr>
        <w:shd w:val="clear"/>
        <w:rPr>
          <w:rFonts w:hint="eastAsia" w:ascii="黑体" w:hAnsi="黑体" w:eastAsia="黑体"/>
          <w:b/>
          <w:color w:val="auto"/>
          <w:sz w:val="24"/>
          <w:highlight w:val="none"/>
        </w:rPr>
      </w:pPr>
    </w:p>
    <w:p w14:paraId="4FF4E4CB">
      <w:pPr>
        <w:shd w:val="clear"/>
        <w:rPr>
          <w:rFonts w:hint="eastAsia" w:ascii="黑体" w:hAnsi="黑体" w:eastAsia="黑体"/>
          <w:b/>
          <w:color w:val="auto"/>
          <w:sz w:val="24"/>
          <w:highlight w:val="none"/>
        </w:rPr>
      </w:pPr>
      <w:r>
        <w:rPr>
          <w:rFonts w:hint="eastAsia" w:ascii="黑体" w:hAnsi="黑体" w:eastAsia="黑体"/>
          <w:b/>
          <w:color w:val="auto"/>
          <w:sz w:val="24"/>
          <w:highlight w:val="none"/>
        </w:rPr>
        <w:t>投诉书制作说明：</w:t>
      </w:r>
    </w:p>
    <w:p w14:paraId="7216ACFF">
      <w:pPr>
        <w:widowControl/>
        <w:shd w:val="clear"/>
        <w:ind w:firstLine="480" w:firstLineChars="200"/>
        <w:rPr>
          <w:rFonts w:hint="eastAsia" w:ascii="仿宋_GB2312" w:hAnsi="宋体" w:eastAsia="仿宋_GB2312" w:cs="宋体"/>
          <w:color w:val="auto"/>
          <w:kern w:val="0"/>
          <w:sz w:val="24"/>
          <w:highlight w:val="none"/>
        </w:rPr>
      </w:pPr>
      <w:r>
        <w:rPr>
          <w:rFonts w:hint="eastAsia" w:ascii="仿宋_GB2312" w:eastAsia="仿宋_GB2312"/>
          <w:color w:val="auto"/>
          <w:sz w:val="24"/>
          <w:highlight w:val="none"/>
        </w:rPr>
        <w:t>1.投诉人提起投诉时，应当提交投诉书和必要的证明材料，并按照被投诉人和与投诉事项有关的供应商数量提供投诉书副本。</w:t>
      </w:r>
    </w:p>
    <w:p w14:paraId="1486AC49">
      <w:pPr>
        <w:widowControl/>
        <w:shd w:val="clear"/>
        <w:ind w:firstLine="480" w:firstLineChars="200"/>
        <w:jc w:val="left"/>
        <w:rPr>
          <w:rFonts w:hint="eastAsia" w:ascii="仿宋_GB2312" w:hAnsi="宋体" w:eastAsia="仿宋_GB2312" w:cs="宋体"/>
          <w:color w:val="auto"/>
          <w:kern w:val="0"/>
          <w:sz w:val="24"/>
          <w:highlight w:val="none"/>
        </w:rPr>
      </w:pPr>
      <w:r>
        <w:rPr>
          <w:rFonts w:hint="eastAsia" w:ascii="仿宋_GB2312" w:eastAsia="仿宋_GB2312"/>
          <w:color w:val="auto"/>
          <w:sz w:val="24"/>
          <w:highlight w:val="none"/>
        </w:rPr>
        <w:t>2.投诉人若委托代理人进行投诉的，投诉书应按照要求列明“授权代表”的有关内容，并在附件中提交由</w:t>
      </w:r>
      <w:r>
        <w:rPr>
          <w:rFonts w:hint="eastAsia" w:ascii="仿宋_GB2312" w:hAnsi="宋体" w:eastAsia="仿宋_GB2312" w:cs="宋体"/>
          <w:color w:val="auto"/>
          <w:kern w:val="0"/>
          <w:sz w:val="24"/>
          <w:highlight w:val="none"/>
        </w:rPr>
        <w:t>投诉人签署的授权委托书。授权委托书应当载明代理人的姓名或者名称、代理事项、具体权限、期限和相关事项。</w:t>
      </w:r>
    </w:p>
    <w:p w14:paraId="32CBF73E">
      <w:pPr>
        <w:widowControl/>
        <w:shd w:val="clear"/>
        <w:ind w:firstLine="480" w:firstLineChars="200"/>
        <w:jc w:val="left"/>
        <w:rPr>
          <w:rFonts w:hint="eastAsia" w:ascii="仿宋_GB2312" w:eastAsia="仿宋_GB2312"/>
          <w:color w:val="auto"/>
          <w:sz w:val="24"/>
          <w:highlight w:val="none"/>
        </w:rPr>
      </w:pPr>
      <w:r>
        <w:rPr>
          <w:rFonts w:hint="eastAsia" w:ascii="仿宋_GB2312" w:eastAsia="仿宋_GB2312"/>
          <w:color w:val="auto"/>
          <w:sz w:val="24"/>
          <w:highlight w:val="none"/>
        </w:rPr>
        <w:t>3.投诉人若对项目的某一分包进行投诉，投诉书应列明具体分包号。</w:t>
      </w:r>
    </w:p>
    <w:p w14:paraId="0AD5827B">
      <w:pPr>
        <w:widowControl/>
        <w:shd w:val="clear"/>
        <w:ind w:firstLine="480" w:firstLineChars="200"/>
        <w:jc w:val="left"/>
        <w:rPr>
          <w:rFonts w:hint="eastAsia" w:ascii="仿宋_GB2312" w:eastAsia="仿宋_GB2312"/>
          <w:color w:val="auto"/>
          <w:sz w:val="24"/>
          <w:highlight w:val="none"/>
        </w:rPr>
      </w:pPr>
      <w:r>
        <w:rPr>
          <w:rFonts w:hint="eastAsia" w:ascii="仿宋_GB2312" w:eastAsia="仿宋_GB2312"/>
          <w:color w:val="auto"/>
          <w:sz w:val="24"/>
          <w:highlight w:val="none"/>
        </w:rPr>
        <w:t>4.投诉书应简要列明质疑事项，质疑函、质疑答复等作为附件材料提供。</w:t>
      </w:r>
    </w:p>
    <w:p w14:paraId="387D07ED">
      <w:pPr>
        <w:widowControl/>
        <w:shd w:val="clear"/>
        <w:ind w:firstLine="480" w:firstLineChars="200"/>
        <w:jc w:val="left"/>
        <w:rPr>
          <w:rFonts w:ascii="仿宋_GB2312" w:eastAsia="仿宋_GB2312"/>
          <w:color w:val="auto"/>
          <w:sz w:val="24"/>
          <w:highlight w:val="none"/>
        </w:rPr>
      </w:pPr>
      <w:r>
        <w:rPr>
          <w:rFonts w:hint="eastAsia" w:ascii="仿宋_GB2312" w:eastAsia="仿宋_GB2312"/>
          <w:color w:val="auto"/>
          <w:sz w:val="24"/>
          <w:highlight w:val="none"/>
        </w:rPr>
        <w:t>5.投诉书的投诉事项应具体、明确，并有必要的事实依据和法律依据。</w:t>
      </w:r>
    </w:p>
    <w:p w14:paraId="3D1E0575">
      <w:pPr>
        <w:widowControl/>
        <w:shd w:val="clear"/>
        <w:ind w:firstLine="480" w:firstLineChars="200"/>
        <w:jc w:val="left"/>
        <w:rPr>
          <w:rFonts w:ascii="仿宋_GB2312" w:eastAsia="仿宋_GB2312"/>
          <w:color w:val="auto"/>
          <w:sz w:val="24"/>
          <w:highlight w:val="none"/>
        </w:rPr>
      </w:pPr>
      <w:r>
        <w:rPr>
          <w:rFonts w:hint="eastAsia" w:ascii="仿宋_GB2312" w:eastAsia="仿宋_GB2312"/>
          <w:color w:val="auto"/>
          <w:sz w:val="24"/>
          <w:highlight w:val="none"/>
        </w:rPr>
        <w:t>6.投诉书的投诉请求应与投诉事项相关。</w:t>
      </w:r>
    </w:p>
    <w:p w14:paraId="0442D7E4">
      <w:pPr>
        <w:widowControl/>
        <w:shd w:val="clear"/>
        <w:ind w:firstLine="480" w:firstLineChars="200"/>
        <w:jc w:val="left"/>
        <w:rPr>
          <w:rFonts w:hint="eastAsia" w:ascii="仿宋_GB2312" w:hAnsi="宋体" w:eastAsia="仿宋_GB2312" w:cs="宋体"/>
          <w:color w:val="auto"/>
          <w:kern w:val="0"/>
          <w:sz w:val="24"/>
          <w:highlight w:val="none"/>
        </w:rPr>
      </w:pPr>
      <w:r>
        <w:rPr>
          <w:rFonts w:hint="eastAsia" w:ascii="仿宋_GB2312" w:eastAsia="仿宋_GB2312"/>
          <w:color w:val="auto"/>
          <w:sz w:val="24"/>
          <w:highlight w:val="none"/>
        </w:rPr>
        <w:t>7.投诉人为自然人的，投诉书应当由本人签字；投诉人为法人或者其他组织的，投诉书应当由法定代表人、主要负责人，或者其授权代表签字或者盖章，并加盖公章。</w:t>
      </w:r>
    </w:p>
    <w:p w14:paraId="6D049058">
      <w:pPr>
        <w:shd w:val="clear"/>
        <w:snapToGrid w:val="0"/>
        <w:spacing w:before="50" w:after="165" w:afterLines="50" w:line="360" w:lineRule="auto"/>
        <w:ind w:firstLine="480" w:firstLineChars="200"/>
        <w:jc w:val="left"/>
        <w:rPr>
          <w:rFonts w:hint="eastAsia"/>
          <w:color w:val="auto"/>
          <w:sz w:val="24"/>
          <w:highlight w:val="none"/>
        </w:rPr>
      </w:pPr>
    </w:p>
    <w:p w14:paraId="45E54298">
      <w:pPr>
        <w:shd w:val="clear"/>
        <w:rPr>
          <w:rFonts w:hint="eastAsia"/>
          <w:color w:val="auto"/>
          <w:highlight w:val="none"/>
        </w:rPr>
      </w:pPr>
    </w:p>
    <w:p w14:paraId="61B1225C">
      <w:pPr>
        <w:shd w:val="clear"/>
        <w:rPr>
          <w:rFonts w:hint="eastAsia"/>
          <w:color w:val="auto"/>
          <w:highlight w:val="none"/>
        </w:rPr>
      </w:pPr>
    </w:p>
    <w:sectPr>
      <w:footerReference r:id="rId28" w:type="first"/>
      <w:footerReference r:id="rId26" w:type="default"/>
      <w:footerReference r:id="rId27" w:type="even"/>
      <w:pgSz w:w="11905" w:h="16838"/>
      <w:pgMar w:top="1134" w:right="1134" w:bottom="1134" w:left="1134" w:header="720" w:footer="720" w:gutter="0"/>
      <w:cols w:space="0" w:num="1"/>
      <w:rtlGutter w:val="0"/>
      <w:docGrid w:type="lines"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ngLiU">
    <w:altName w:val="PMingLiU-ExtB"/>
    <w:panose1 w:val="02020509000000000000"/>
    <w:charset w:val="00"/>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2010609030101010101"/>
    <w:charset w:val="00"/>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 w:name="Helvetica Neue">
    <w:altName w:val="Times New Roman"/>
    <w:panose1 w:val="02000503000000020004"/>
    <w:charset w:val="00"/>
    <w:family w:val="auto"/>
    <w:pitch w:val="default"/>
    <w:sig w:usb0="00000000" w:usb1="00000000" w:usb2="00000010" w:usb3="00000000" w:csb0="00000000" w:csb1="00000000"/>
  </w:font>
  <w:font w:name="楷体">
    <w:panose1 w:val="02010609060101010101"/>
    <w:charset w:val="86"/>
    <w:family w:val="modern"/>
    <w:pitch w:val="default"/>
    <w:sig w:usb0="800002BF" w:usb1="38CF7CFA" w:usb2="00000016" w:usb3="00000000" w:csb0="00040001" w:csb1="00000000"/>
  </w:font>
  <w:font w:name="Wingdings 2">
    <w:altName w:val="Wingdings"/>
    <w:panose1 w:val="05020102010507070707"/>
    <w:charset w:val="00"/>
    <w:family w:val="roman"/>
    <w:pitch w:val="default"/>
    <w:sig w:usb0="00000000" w:usb1="00000000" w:usb2="00000000" w:usb3="00000000" w:csb0="80000000" w:csb1="00000000"/>
  </w:font>
  <w:font w:name="Helvetica">
    <w:panose1 w:val="020B0504020202030204"/>
    <w:charset w:val="00"/>
    <w:family w:val="swiss"/>
    <w:pitch w:val="default"/>
    <w:sig w:usb0="00000007" w:usb1="00000000" w:usb2="00000000" w:usb3="00000000" w:csb0="00000093"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B8535">
    <w:pPr>
      <w:pStyle w:val="22"/>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DC8FA">
    <w:pPr>
      <w:pStyle w:val="22"/>
      <w:framePr w:wrap="around" w:vAnchor="text" w:hAnchor="margin" w:xAlign="center" w:y="1"/>
      <w:rPr>
        <w:rStyle w:val="37"/>
        <w:sz w:val="21"/>
      </w:rPr>
    </w:pPr>
    <w:r>
      <w:rPr>
        <w:sz w:val="21"/>
      </w:rPr>
      <w:fldChar w:fldCharType="begin"/>
    </w:r>
    <w:r>
      <w:rPr>
        <w:rStyle w:val="37"/>
        <w:sz w:val="21"/>
      </w:rPr>
      <w:instrText xml:space="preserve">PAGE  </w:instrText>
    </w:r>
    <w:r>
      <w:rPr>
        <w:sz w:val="21"/>
      </w:rPr>
      <w:fldChar w:fldCharType="separate"/>
    </w:r>
    <w:r>
      <w:rPr>
        <w:rStyle w:val="37"/>
        <w:sz w:val="21"/>
      </w:rPr>
      <w:t>0</w:t>
    </w:r>
    <w:r>
      <w:rPr>
        <w:sz w:val="21"/>
      </w:rPr>
      <w:fldChar w:fldCharType="end"/>
    </w:r>
  </w:p>
  <w:p w14:paraId="4D766054">
    <w:pPr>
      <w:pStyle w:val="22"/>
      <w:rPr>
        <w:sz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8AFC9">
    <w:pPr>
      <w:pStyle w:val="22"/>
      <w:jc w:val="center"/>
    </w:pPr>
    <w:r>
      <w:fldChar w:fldCharType="begin"/>
    </w:r>
    <w:r>
      <w:instrText xml:space="preserve"> PAGE   \* MERGEFORMAT </w:instrText>
    </w:r>
    <w:r>
      <w:fldChar w:fldCharType="separate"/>
    </w:r>
    <w:r>
      <w:rPr>
        <w:lang w:val="zh-CN"/>
      </w:rPr>
      <w:t>4</w:t>
    </w:r>
    <w:r>
      <w:fldChar w:fldCharType="end"/>
    </w:r>
  </w:p>
  <w:p w14:paraId="6AC0CE6C">
    <w:pPr>
      <w:pStyle w:val="22"/>
      <w:jc w:val="center"/>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824A6">
    <w:pPr>
      <w:pStyle w:val="22"/>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8" name="文本框 1025"/>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3C88E1B1">
                          <w:pPr>
                            <w:pStyle w:val="22"/>
                          </w:pPr>
                          <w:r>
                            <w:fldChar w:fldCharType="begin"/>
                          </w:r>
                          <w:r>
                            <w:instrText xml:space="preserve"> PAGE  \* MERGEFORMAT </w:instrText>
                          </w:r>
                          <w:r>
                            <w:fldChar w:fldCharType="separate"/>
                          </w:r>
                          <w:r>
                            <w:t>44</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Q+V+SdAAAAADAQAADwAAAAAAAAABACAAAAAiAAAAZHJzL2Rv&#10;d25yZXYueG1sUEsBAhQAFAAAAAgAh07iQJzx1/7QAQAAmgMAAA4AAAAAAAAAAQAgAAAAHwEAAGRy&#10;cy9lMm9Eb2MueG1sUEsFBgAAAAAGAAYAWQEAAGEFAAAAAA==&#10;">
              <v:fill on="f" focussize="0,0"/>
              <v:stroke on="f"/>
              <v:imagedata o:title=""/>
              <o:lock v:ext="edit" aspectratio="f"/>
              <v:textbox inset="0mm,0mm,0mm,0mm" style="mso-fit-shape-to-text:t;">
                <w:txbxContent>
                  <w:p w14:paraId="3C88E1B1">
                    <w:pPr>
                      <w:pStyle w:val="22"/>
                    </w:pPr>
                    <w:r>
                      <w:fldChar w:fldCharType="begin"/>
                    </w:r>
                    <w:r>
                      <w:instrText xml:space="preserve"> PAGE  \* MERGEFORMAT </w:instrText>
                    </w:r>
                    <w:r>
                      <w:fldChar w:fldCharType="separate"/>
                    </w:r>
                    <w:r>
                      <w:t>44</w:t>
                    </w:r>
                    <w:r>
                      <w:fldChar w:fldCharType="end"/>
                    </w:r>
                  </w:p>
                </w:txbxContent>
              </v:textbox>
            </v:shape>
          </w:pict>
        </mc:Fallback>
      </mc:AlternateContent>
    </w:r>
  </w:p>
  <w:p w14:paraId="45A57F31">
    <w:pPr>
      <w:pStyle w:val="2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F2D5A">
    <w:pPr>
      <w:pStyle w:val="22"/>
      <w:jc w:val="center"/>
    </w:pPr>
    <w: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DCC8B">
    <w:pPr>
      <w:pStyle w:val="22"/>
      <w:jc w:val="center"/>
    </w:pPr>
    <w:r>
      <w:fldChar w:fldCharType="begin"/>
    </w:r>
    <w:r>
      <w:instrText xml:space="preserve"> PAGE   \* MERGEFORMAT </w:instrText>
    </w:r>
    <w:r>
      <w:fldChar w:fldCharType="separate"/>
    </w:r>
    <w:r>
      <w:rPr>
        <w:lang w:val="zh-CN"/>
      </w:rPr>
      <w:t>75</w:t>
    </w:r>
    <w:r>
      <w:fldChar w:fldCharType="end"/>
    </w:r>
  </w:p>
  <w:p w14:paraId="75A095F0">
    <w:pPr>
      <w:pStyle w:val="22"/>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F6C3A">
    <w:pPr>
      <w:pStyle w:val="22"/>
      <w:jc w:val="center"/>
    </w:pPr>
    <w:r>
      <w:fldChar w:fldCharType="begin"/>
    </w:r>
    <w:r>
      <w:instrText xml:space="preserve"> PAGE   \* MERGEFORMAT </w:instrText>
    </w:r>
    <w:r>
      <w:fldChar w:fldCharType="separate"/>
    </w:r>
    <w:r>
      <w:rPr>
        <w:lang w:val="zh-CN"/>
      </w:rPr>
      <w:t>83</w:t>
    </w:r>
    <w:r>
      <w:fldChar w:fldCharType="end"/>
    </w:r>
  </w:p>
  <w:p w14:paraId="085176AD">
    <w:pPr>
      <w:pStyle w:val="22"/>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2D581">
    <w:pPr>
      <w:pStyle w:val="22"/>
      <w:framePr w:wrap="around" w:vAnchor="text" w:hAnchor="margin" w:xAlign="center" w:y="1"/>
      <w:rPr>
        <w:rStyle w:val="37"/>
      </w:rPr>
    </w:pPr>
    <w:r>
      <w:fldChar w:fldCharType="begin"/>
    </w:r>
    <w:r>
      <w:rPr>
        <w:rStyle w:val="37"/>
      </w:rPr>
      <w:instrText xml:space="preserve">PAGE  </w:instrText>
    </w:r>
    <w:r>
      <w:fldChar w:fldCharType="end"/>
    </w:r>
  </w:p>
  <w:p w14:paraId="3D78ED0B">
    <w:pPr>
      <w:pStyle w:val="22"/>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E2251">
    <w:pPr>
      <w:pStyle w:val="22"/>
      <w:framePr w:wrap="around" w:vAnchor="text" w:hAnchor="margin" w:xAlign="right" w:y="1"/>
      <w:rPr>
        <w:rStyle w:val="37"/>
      </w:rPr>
    </w:pPr>
    <w:r>
      <w:fldChar w:fldCharType="begin"/>
    </w:r>
    <w:r>
      <w:rPr>
        <w:rStyle w:val="37"/>
      </w:rPr>
      <w:instrText xml:space="preserve">PAGE  </w:instrText>
    </w:r>
    <w:r>
      <w:fldChar w:fldCharType="separate"/>
    </w:r>
    <w:r>
      <w:rPr>
        <w:rStyle w:val="37"/>
      </w:rPr>
      <w:t>122</w:t>
    </w:r>
    <w:r>
      <w:fldChar w:fldCharType="end"/>
    </w:r>
  </w:p>
  <w:p w14:paraId="461E5ADC">
    <w:pPr>
      <w:pStyle w:val="22"/>
      <w:ind w:right="360"/>
      <w:jc w:val="both"/>
      <w:rPr>
        <w:rFonts w:hint="eastAsia"/>
      </w:rPr>
    </w:pPr>
    <w:r>
      <w:rPr>
        <w:rFonts w:hint="eastAsia"/>
      </w:rPr>
      <w:t>121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6A4C0">
    <w:pPr>
      <w:pStyle w:val="22"/>
      <w:jc w:val="center"/>
    </w:pPr>
    <w:r>
      <w:fldChar w:fldCharType="begin"/>
    </w:r>
    <w:r>
      <w:instrText xml:space="preserve"> PAGE   \* MERGEFORMAT </w:instrText>
    </w:r>
    <w:r>
      <w:fldChar w:fldCharType="separate"/>
    </w:r>
    <w:r>
      <w:rPr>
        <w:lang w:val="zh-CN"/>
      </w:rPr>
      <w:t>85</w:t>
    </w:r>
    <w:r>
      <w:fldChar w:fldCharType="end"/>
    </w:r>
  </w:p>
  <w:p w14:paraId="08E671E9">
    <w:pPr>
      <w:pStyle w:val="22"/>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0F0E4">
    <w:pPr>
      <w:pStyle w:val="22"/>
      <w:framePr w:wrap="around" w:vAnchor="text" w:hAnchor="margin" w:xAlign="center" w:y="1"/>
      <w:rPr>
        <w:rStyle w:val="37"/>
      </w:rPr>
    </w:pPr>
    <w:r>
      <w:fldChar w:fldCharType="begin"/>
    </w:r>
    <w:r>
      <w:rPr>
        <w:rStyle w:val="37"/>
      </w:rPr>
      <w:instrText xml:space="preserve">PAGE  </w:instrText>
    </w:r>
    <w:r>
      <w:fldChar w:fldCharType="end"/>
    </w:r>
  </w:p>
  <w:p w14:paraId="51E60856">
    <w:pPr>
      <w:pStyle w:val="22"/>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4C547">
    <w:pPr>
      <w:pStyle w:val="22"/>
      <w:framePr w:wrap="around" w:vAnchor="text" w:hAnchor="margin" w:xAlign="right" w:y="1"/>
      <w:rPr>
        <w:rStyle w:val="37"/>
      </w:rPr>
    </w:pPr>
    <w:r>
      <w:fldChar w:fldCharType="begin"/>
    </w:r>
    <w:r>
      <w:rPr>
        <w:rStyle w:val="37"/>
      </w:rPr>
      <w:instrText xml:space="preserve">PAGE  </w:instrText>
    </w:r>
    <w:r>
      <w:fldChar w:fldCharType="separate"/>
    </w:r>
    <w:r>
      <w:rPr>
        <w:rStyle w:val="37"/>
      </w:rPr>
      <w:t>122</w:t>
    </w:r>
    <w:r>
      <w:fldChar w:fldCharType="end"/>
    </w:r>
  </w:p>
  <w:p w14:paraId="0AE737AC">
    <w:pPr>
      <w:pStyle w:val="22"/>
      <w:ind w:right="360"/>
      <w:jc w:val="both"/>
      <w:rPr>
        <w:rFonts w:hint="eastAsia"/>
      </w:rPr>
    </w:pPr>
    <w:r>
      <w:rPr>
        <w:rFonts w:hint="eastAsia"/>
      </w:rPr>
      <w:t>121</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BFD76">
    <w:pPr>
      <w:pStyle w:val="22"/>
      <w:jc w:val="center"/>
    </w:pPr>
    <w:r>
      <w:fldChar w:fldCharType="begin"/>
    </w:r>
    <w:r>
      <w:instrText xml:space="preserve"> PAGE   \* MERGEFORMAT </w:instrText>
    </w:r>
    <w:r>
      <w:fldChar w:fldCharType="separate"/>
    </w:r>
    <w:r>
      <w:rPr>
        <w:lang w:val="zh-CN"/>
      </w:rPr>
      <w:t>102</w:t>
    </w:r>
    <w:r>
      <w:fldChar w:fldCharType="end"/>
    </w:r>
  </w:p>
  <w:p w14:paraId="5519990F">
    <w:pPr>
      <w:pStyle w:val="22"/>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DDCC9">
    <w:pPr>
      <w:pStyle w:val="22"/>
      <w:framePr w:wrap="around" w:vAnchor="text" w:hAnchor="margin" w:xAlign="center" w:y="1"/>
      <w:rPr>
        <w:rStyle w:val="37"/>
      </w:rPr>
    </w:pPr>
    <w:r>
      <w:fldChar w:fldCharType="begin"/>
    </w:r>
    <w:r>
      <w:rPr>
        <w:rStyle w:val="37"/>
      </w:rPr>
      <w:instrText xml:space="preserve">PAGE  </w:instrText>
    </w:r>
    <w:r>
      <w:fldChar w:fldCharType="end"/>
    </w:r>
  </w:p>
  <w:p w14:paraId="64CCE2DC">
    <w:pPr>
      <w:pStyle w:val="22"/>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F7E2B">
    <w:pPr>
      <w:pStyle w:val="22"/>
      <w:framePr w:wrap="around" w:vAnchor="text" w:hAnchor="margin" w:xAlign="right" w:y="1"/>
      <w:rPr>
        <w:rStyle w:val="37"/>
      </w:rPr>
    </w:pPr>
    <w:r>
      <w:fldChar w:fldCharType="begin"/>
    </w:r>
    <w:r>
      <w:rPr>
        <w:rStyle w:val="37"/>
      </w:rPr>
      <w:instrText xml:space="preserve">PAGE  </w:instrText>
    </w:r>
    <w:r>
      <w:fldChar w:fldCharType="separate"/>
    </w:r>
    <w:r>
      <w:rPr>
        <w:rStyle w:val="37"/>
      </w:rPr>
      <w:t>122</w:t>
    </w:r>
    <w:r>
      <w:fldChar w:fldCharType="end"/>
    </w:r>
  </w:p>
  <w:p w14:paraId="156E4914">
    <w:pPr>
      <w:pStyle w:val="22"/>
      <w:ind w:right="360"/>
      <w:jc w:val="both"/>
      <w:rPr>
        <w:rFonts w:hint="eastAsia"/>
      </w:rPr>
    </w:pPr>
    <w:r>
      <w:rPr>
        <w:rFonts w:hint="eastAsia"/>
      </w:rPr>
      <w:t>121</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8C2D1">
    <w:pPr>
      <w:pStyle w:val="22"/>
      <w:jc w:val="center"/>
    </w:pPr>
    <w:r>
      <w:fldChar w:fldCharType="begin"/>
    </w:r>
    <w:r>
      <w:instrText xml:space="preserve"> PAGE   \* MERGEFORMAT </w:instrText>
    </w:r>
    <w:r>
      <w:fldChar w:fldCharType="separate"/>
    </w:r>
    <w:r>
      <w:rPr>
        <w:lang w:val="zh-CN"/>
      </w:rPr>
      <w:t>106</w:t>
    </w:r>
    <w:r>
      <w:fldChar w:fldCharType="end"/>
    </w:r>
  </w:p>
  <w:p w14:paraId="1177910E">
    <w:pPr>
      <w:pStyle w:val="22"/>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5B171">
    <w:pPr>
      <w:pStyle w:val="22"/>
      <w:jc w:val="center"/>
    </w:pPr>
    <w:r>
      <w:fldChar w:fldCharType="begin"/>
    </w:r>
    <w:r>
      <w:instrText xml:space="preserve"> PAGE   \* MERGEFORMAT </w:instrText>
    </w:r>
    <w:r>
      <w:fldChar w:fldCharType="separate"/>
    </w:r>
    <w:r>
      <w:rPr>
        <w:lang w:val="zh-CN"/>
      </w:rPr>
      <w:t>108</w:t>
    </w:r>
    <w:r>
      <w:fldChar w:fldCharType="end"/>
    </w:r>
  </w:p>
  <w:p w14:paraId="56CCEC4C">
    <w:pPr>
      <w:pStyle w:val="22"/>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884E5">
    <w:pPr>
      <w:pStyle w:val="22"/>
      <w:framePr w:wrap="around" w:vAnchor="text" w:hAnchor="margin" w:xAlign="center" w:y="1"/>
      <w:rPr>
        <w:rStyle w:val="37"/>
      </w:rPr>
    </w:pPr>
    <w:r>
      <w:fldChar w:fldCharType="begin"/>
    </w:r>
    <w:r>
      <w:rPr>
        <w:rStyle w:val="37"/>
      </w:rPr>
      <w:instrText xml:space="preserve">PAGE  </w:instrText>
    </w:r>
    <w:r>
      <w:fldChar w:fldCharType="end"/>
    </w:r>
  </w:p>
  <w:p w14:paraId="464D0A38">
    <w:pPr>
      <w:pStyle w:val="22"/>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F9E2E">
    <w:pPr>
      <w:pStyle w:val="22"/>
      <w:framePr w:wrap="around" w:vAnchor="text" w:hAnchor="margin" w:xAlign="right" w:y="1"/>
      <w:rPr>
        <w:rStyle w:val="37"/>
      </w:rPr>
    </w:pPr>
    <w:r>
      <w:fldChar w:fldCharType="begin"/>
    </w:r>
    <w:r>
      <w:rPr>
        <w:rStyle w:val="37"/>
      </w:rPr>
      <w:instrText xml:space="preserve">PAGE  </w:instrText>
    </w:r>
    <w:r>
      <w:fldChar w:fldCharType="separate"/>
    </w:r>
    <w:r>
      <w:rPr>
        <w:rStyle w:val="37"/>
      </w:rPr>
      <w:t>122</w:t>
    </w:r>
    <w:r>
      <w:fldChar w:fldCharType="end"/>
    </w:r>
  </w:p>
  <w:p w14:paraId="461877AE">
    <w:pPr>
      <w:pStyle w:val="22"/>
      <w:ind w:right="360"/>
      <w:jc w:val="both"/>
      <w:rPr>
        <w:rFonts w:hint="eastAsia"/>
      </w:rPr>
    </w:pPr>
    <w:r>
      <w:rPr>
        <w:rFonts w:hint="eastAsia"/>
      </w:rPr>
      <w:t>121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99176">
    <w:pPr>
      <w:pStyle w:val="23"/>
      <w:tabs>
        <w:tab w:val="center" w:pos="0"/>
        <w:tab w:val="clear" w:pos="4153"/>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C06C7">
    <w:pPr>
      <w:pStyle w:val="23"/>
      <w:pBdr>
        <w:bottom w:val="none" w:color="auto" w:sz="0" w:space="1"/>
      </w:pBdr>
      <w:tabs>
        <w:tab w:val="center" w:pos="0"/>
        <w:tab w:val="left"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D77EB">
    <w:pPr>
      <w:pStyle w:val="23"/>
      <w:tabs>
        <w:tab w:val="center" w:pos="0"/>
        <w:tab w:val="clear" w:pos="4153"/>
      </w:tabs>
    </w:pPr>
    <w:r>
      <w:rPr>
        <w:rFonts w:hint="eastAsia"/>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27FD4">
    <w:pPr>
      <w:pStyle w:val="23"/>
      <w:tabs>
        <w:tab w:val="center" w:pos="0"/>
        <w:tab w:val="clear" w:pos="4153"/>
      </w:tabs>
      <w:jc w:val="both"/>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49672">
    <w:pPr>
      <w:pStyle w:val="23"/>
      <w:tabs>
        <w:tab w:val="center" w:pos="0"/>
        <w:tab w:val="clear" w:pos="4153"/>
      </w:tabs>
      <w:jc w:val="both"/>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101D0">
    <w:pPr>
      <w:pStyle w:val="23"/>
      <w:tabs>
        <w:tab w:val="center" w:pos="0"/>
        <w:tab w:val="clear" w:pos="4153"/>
      </w:tabs>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6B384">
    <w:pPr>
      <w:pStyle w:val="23"/>
      <w:tabs>
        <w:tab w:val="center" w:pos="0"/>
        <w:tab w:val="clear" w:pos="4153"/>
      </w:tabs>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166"/>
  <w:displayHorizontalDrawingGridEvery w:val="1"/>
  <w:displayVerticalDrawingGridEvery w:val="1"/>
  <w:noPunctuationKerning w:val="1"/>
  <w:characterSpacingControl w:val="compressPunctuation"/>
  <w:doNotValidateAgainstSchema/>
  <w:doNotDemarcateInvalidXml/>
  <w:hdrShapeDefaults>
    <o:shapelayout v:ext="edit">
      <o:idmap v:ext="edit" data="2,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wMGM5NzNkMGFmZjdmNjdmOTliN2YyNmZmOTBjMmUifQ=="/>
  </w:docVars>
  <w:rsids>
    <w:rsidRoot w:val="00172A27"/>
    <w:rsid w:val="0000096C"/>
    <w:rsid w:val="00000CDB"/>
    <w:rsid w:val="00001CDA"/>
    <w:rsid w:val="00004344"/>
    <w:rsid w:val="00005909"/>
    <w:rsid w:val="000207D5"/>
    <w:rsid w:val="00022127"/>
    <w:rsid w:val="00024E82"/>
    <w:rsid w:val="00027659"/>
    <w:rsid w:val="00030800"/>
    <w:rsid w:val="00031652"/>
    <w:rsid w:val="00034A7D"/>
    <w:rsid w:val="00035197"/>
    <w:rsid w:val="00035F9C"/>
    <w:rsid w:val="000401CD"/>
    <w:rsid w:val="00044EDB"/>
    <w:rsid w:val="00054304"/>
    <w:rsid w:val="000553BC"/>
    <w:rsid w:val="00056551"/>
    <w:rsid w:val="0006218D"/>
    <w:rsid w:val="00063F24"/>
    <w:rsid w:val="00065AF0"/>
    <w:rsid w:val="00066EA9"/>
    <w:rsid w:val="00066FE1"/>
    <w:rsid w:val="00074D5F"/>
    <w:rsid w:val="00076A60"/>
    <w:rsid w:val="00077BF5"/>
    <w:rsid w:val="00081789"/>
    <w:rsid w:val="00085A0D"/>
    <w:rsid w:val="00092A54"/>
    <w:rsid w:val="00092F65"/>
    <w:rsid w:val="0009317E"/>
    <w:rsid w:val="00093B18"/>
    <w:rsid w:val="00094E84"/>
    <w:rsid w:val="000A7A4B"/>
    <w:rsid w:val="000B5A03"/>
    <w:rsid w:val="000C302E"/>
    <w:rsid w:val="000C5D44"/>
    <w:rsid w:val="000D5F48"/>
    <w:rsid w:val="000D7284"/>
    <w:rsid w:val="000E6783"/>
    <w:rsid w:val="000F1BBE"/>
    <w:rsid w:val="001031E7"/>
    <w:rsid w:val="00104245"/>
    <w:rsid w:val="001108AC"/>
    <w:rsid w:val="00110DD2"/>
    <w:rsid w:val="0011187C"/>
    <w:rsid w:val="00116FC9"/>
    <w:rsid w:val="00120C46"/>
    <w:rsid w:val="00125837"/>
    <w:rsid w:val="001306A8"/>
    <w:rsid w:val="00140B14"/>
    <w:rsid w:val="00140CE8"/>
    <w:rsid w:val="00143DA6"/>
    <w:rsid w:val="00151CEE"/>
    <w:rsid w:val="0015209C"/>
    <w:rsid w:val="001551E7"/>
    <w:rsid w:val="001626AD"/>
    <w:rsid w:val="00170AA7"/>
    <w:rsid w:val="00173852"/>
    <w:rsid w:val="00174F9B"/>
    <w:rsid w:val="00177D95"/>
    <w:rsid w:val="0018028A"/>
    <w:rsid w:val="00181460"/>
    <w:rsid w:val="00182C28"/>
    <w:rsid w:val="00190F4C"/>
    <w:rsid w:val="00193D49"/>
    <w:rsid w:val="0019577E"/>
    <w:rsid w:val="001B1366"/>
    <w:rsid w:val="001B2BDE"/>
    <w:rsid w:val="001B2FAE"/>
    <w:rsid w:val="001C2E44"/>
    <w:rsid w:val="001D047F"/>
    <w:rsid w:val="001E0216"/>
    <w:rsid w:val="001E0590"/>
    <w:rsid w:val="001E3E3A"/>
    <w:rsid w:val="001E4E53"/>
    <w:rsid w:val="001E6153"/>
    <w:rsid w:val="001E6C5D"/>
    <w:rsid w:val="001E7AB6"/>
    <w:rsid w:val="001F330A"/>
    <w:rsid w:val="001F4D3C"/>
    <w:rsid w:val="00201770"/>
    <w:rsid w:val="00204164"/>
    <w:rsid w:val="00204F25"/>
    <w:rsid w:val="00205999"/>
    <w:rsid w:val="00207350"/>
    <w:rsid w:val="00207DB7"/>
    <w:rsid w:val="00221909"/>
    <w:rsid w:val="002230A4"/>
    <w:rsid w:val="00231EAB"/>
    <w:rsid w:val="00232E04"/>
    <w:rsid w:val="00236055"/>
    <w:rsid w:val="00236B7D"/>
    <w:rsid w:val="00241686"/>
    <w:rsid w:val="00242C6C"/>
    <w:rsid w:val="00244627"/>
    <w:rsid w:val="002563B4"/>
    <w:rsid w:val="0025753A"/>
    <w:rsid w:val="00262C01"/>
    <w:rsid w:val="002738BD"/>
    <w:rsid w:val="002867CF"/>
    <w:rsid w:val="00293976"/>
    <w:rsid w:val="00297271"/>
    <w:rsid w:val="002B3400"/>
    <w:rsid w:val="002B4610"/>
    <w:rsid w:val="002C0483"/>
    <w:rsid w:val="002C1328"/>
    <w:rsid w:val="002C27F2"/>
    <w:rsid w:val="002C38A0"/>
    <w:rsid w:val="002C7DD7"/>
    <w:rsid w:val="002D2EF2"/>
    <w:rsid w:val="002E0A18"/>
    <w:rsid w:val="002E6BA4"/>
    <w:rsid w:val="002F55FD"/>
    <w:rsid w:val="002F667D"/>
    <w:rsid w:val="003014B1"/>
    <w:rsid w:val="003051FD"/>
    <w:rsid w:val="00305816"/>
    <w:rsid w:val="00315EB2"/>
    <w:rsid w:val="003162D6"/>
    <w:rsid w:val="00316994"/>
    <w:rsid w:val="00320B19"/>
    <w:rsid w:val="00322C10"/>
    <w:rsid w:val="00327461"/>
    <w:rsid w:val="00330EE9"/>
    <w:rsid w:val="003331F5"/>
    <w:rsid w:val="00337A9F"/>
    <w:rsid w:val="00344631"/>
    <w:rsid w:val="00346976"/>
    <w:rsid w:val="00347950"/>
    <w:rsid w:val="00353905"/>
    <w:rsid w:val="00355191"/>
    <w:rsid w:val="00366E54"/>
    <w:rsid w:val="0037075A"/>
    <w:rsid w:val="00371C87"/>
    <w:rsid w:val="00380673"/>
    <w:rsid w:val="003809BA"/>
    <w:rsid w:val="00384EB6"/>
    <w:rsid w:val="003868E3"/>
    <w:rsid w:val="0039417D"/>
    <w:rsid w:val="003A3917"/>
    <w:rsid w:val="003A622A"/>
    <w:rsid w:val="003B031E"/>
    <w:rsid w:val="003B31F1"/>
    <w:rsid w:val="003B7C9A"/>
    <w:rsid w:val="003C027A"/>
    <w:rsid w:val="003C393F"/>
    <w:rsid w:val="003D3465"/>
    <w:rsid w:val="003D478D"/>
    <w:rsid w:val="003D7400"/>
    <w:rsid w:val="003E0AD4"/>
    <w:rsid w:val="003E1425"/>
    <w:rsid w:val="003E64C1"/>
    <w:rsid w:val="003F1067"/>
    <w:rsid w:val="003F1F9C"/>
    <w:rsid w:val="003F7B0D"/>
    <w:rsid w:val="004029ED"/>
    <w:rsid w:val="00403AA3"/>
    <w:rsid w:val="0040651A"/>
    <w:rsid w:val="00431C3B"/>
    <w:rsid w:val="00435268"/>
    <w:rsid w:val="0044023A"/>
    <w:rsid w:val="004437ED"/>
    <w:rsid w:val="0044600A"/>
    <w:rsid w:val="00447BDE"/>
    <w:rsid w:val="00450ADB"/>
    <w:rsid w:val="00452102"/>
    <w:rsid w:val="004531C4"/>
    <w:rsid w:val="0046694A"/>
    <w:rsid w:val="0046760D"/>
    <w:rsid w:val="00467833"/>
    <w:rsid w:val="00474447"/>
    <w:rsid w:val="004820E2"/>
    <w:rsid w:val="004853B6"/>
    <w:rsid w:val="004861BA"/>
    <w:rsid w:val="00486E44"/>
    <w:rsid w:val="0049027F"/>
    <w:rsid w:val="004925A4"/>
    <w:rsid w:val="004929AD"/>
    <w:rsid w:val="004A0443"/>
    <w:rsid w:val="004A5F2A"/>
    <w:rsid w:val="004A6736"/>
    <w:rsid w:val="004B49D2"/>
    <w:rsid w:val="004C5B3E"/>
    <w:rsid w:val="004E126C"/>
    <w:rsid w:val="004F5BCD"/>
    <w:rsid w:val="005033B8"/>
    <w:rsid w:val="00503A40"/>
    <w:rsid w:val="00506840"/>
    <w:rsid w:val="00511A25"/>
    <w:rsid w:val="00517D40"/>
    <w:rsid w:val="00520861"/>
    <w:rsid w:val="00521880"/>
    <w:rsid w:val="00525C35"/>
    <w:rsid w:val="005279FB"/>
    <w:rsid w:val="00532BF5"/>
    <w:rsid w:val="0053541C"/>
    <w:rsid w:val="005458AD"/>
    <w:rsid w:val="0054778A"/>
    <w:rsid w:val="0055409E"/>
    <w:rsid w:val="0055460A"/>
    <w:rsid w:val="00554A36"/>
    <w:rsid w:val="00562514"/>
    <w:rsid w:val="00564C6D"/>
    <w:rsid w:val="00576E04"/>
    <w:rsid w:val="0057733C"/>
    <w:rsid w:val="00581AC2"/>
    <w:rsid w:val="00583AC0"/>
    <w:rsid w:val="00584BFC"/>
    <w:rsid w:val="005873D0"/>
    <w:rsid w:val="005917A6"/>
    <w:rsid w:val="005932B6"/>
    <w:rsid w:val="00596F89"/>
    <w:rsid w:val="005B53A3"/>
    <w:rsid w:val="005C06FA"/>
    <w:rsid w:val="005C42A6"/>
    <w:rsid w:val="005D54D6"/>
    <w:rsid w:val="005D6CCE"/>
    <w:rsid w:val="005E671C"/>
    <w:rsid w:val="005F6F86"/>
    <w:rsid w:val="00600743"/>
    <w:rsid w:val="006048A4"/>
    <w:rsid w:val="00605362"/>
    <w:rsid w:val="006064F7"/>
    <w:rsid w:val="006068F0"/>
    <w:rsid w:val="00606C3B"/>
    <w:rsid w:val="00622C28"/>
    <w:rsid w:val="00626CA8"/>
    <w:rsid w:val="006271A0"/>
    <w:rsid w:val="006301C4"/>
    <w:rsid w:val="00631BAB"/>
    <w:rsid w:val="006406A8"/>
    <w:rsid w:val="00640B4E"/>
    <w:rsid w:val="00641D5B"/>
    <w:rsid w:val="00644AAD"/>
    <w:rsid w:val="00653CDE"/>
    <w:rsid w:val="00656442"/>
    <w:rsid w:val="00661DA0"/>
    <w:rsid w:val="006632E6"/>
    <w:rsid w:val="00670E85"/>
    <w:rsid w:val="0067703D"/>
    <w:rsid w:val="006831E3"/>
    <w:rsid w:val="00691B1A"/>
    <w:rsid w:val="00695425"/>
    <w:rsid w:val="006A101B"/>
    <w:rsid w:val="006A6DC8"/>
    <w:rsid w:val="006C015A"/>
    <w:rsid w:val="006C2360"/>
    <w:rsid w:val="006C55A9"/>
    <w:rsid w:val="006C5999"/>
    <w:rsid w:val="006D0A1B"/>
    <w:rsid w:val="006D6A62"/>
    <w:rsid w:val="006F0015"/>
    <w:rsid w:val="00707FF2"/>
    <w:rsid w:val="00715456"/>
    <w:rsid w:val="00717D53"/>
    <w:rsid w:val="0072351B"/>
    <w:rsid w:val="00730FBB"/>
    <w:rsid w:val="0073261C"/>
    <w:rsid w:val="00736625"/>
    <w:rsid w:val="00744B4B"/>
    <w:rsid w:val="00745BFF"/>
    <w:rsid w:val="0074683F"/>
    <w:rsid w:val="007549ED"/>
    <w:rsid w:val="0075643C"/>
    <w:rsid w:val="00756DD1"/>
    <w:rsid w:val="00757B36"/>
    <w:rsid w:val="00761289"/>
    <w:rsid w:val="00761EA6"/>
    <w:rsid w:val="00767154"/>
    <w:rsid w:val="00773B6C"/>
    <w:rsid w:val="00773FEE"/>
    <w:rsid w:val="00781DF2"/>
    <w:rsid w:val="00790B95"/>
    <w:rsid w:val="007937A3"/>
    <w:rsid w:val="007B4684"/>
    <w:rsid w:val="007C09EA"/>
    <w:rsid w:val="007C2309"/>
    <w:rsid w:val="007C3B9F"/>
    <w:rsid w:val="007D2FE3"/>
    <w:rsid w:val="007D5273"/>
    <w:rsid w:val="007D6581"/>
    <w:rsid w:val="007D6EBC"/>
    <w:rsid w:val="007E4EE5"/>
    <w:rsid w:val="007F0A33"/>
    <w:rsid w:val="007F1D2B"/>
    <w:rsid w:val="007F4D7D"/>
    <w:rsid w:val="007F717F"/>
    <w:rsid w:val="008176CE"/>
    <w:rsid w:val="008232D5"/>
    <w:rsid w:val="00823F88"/>
    <w:rsid w:val="0082700E"/>
    <w:rsid w:val="008300D6"/>
    <w:rsid w:val="00843D45"/>
    <w:rsid w:val="00852105"/>
    <w:rsid w:val="0085544C"/>
    <w:rsid w:val="008604A4"/>
    <w:rsid w:val="008606F1"/>
    <w:rsid w:val="00860D9E"/>
    <w:rsid w:val="00862516"/>
    <w:rsid w:val="0086784A"/>
    <w:rsid w:val="008811BB"/>
    <w:rsid w:val="00884C48"/>
    <w:rsid w:val="0089747C"/>
    <w:rsid w:val="008974F2"/>
    <w:rsid w:val="008A2903"/>
    <w:rsid w:val="008C4798"/>
    <w:rsid w:val="008D3FFB"/>
    <w:rsid w:val="008D43F8"/>
    <w:rsid w:val="008E268A"/>
    <w:rsid w:val="008E3451"/>
    <w:rsid w:val="008E53FF"/>
    <w:rsid w:val="00904A9B"/>
    <w:rsid w:val="00905884"/>
    <w:rsid w:val="00920D6C"/>
    <w:rsid w:val="009276D5"/>
    <w:rsid w:val="00940857"/>
    <w:rsid w:val="00942D58"/>
    <w:rsid w:val="00942FDE"/>
    <w:rsid w:val="00952863"/>
    <w:rsid w:val="009528FA"/>
    <w:rsid w:val="0096166D"/>
    <w:rsid w:val="00986C7E"/>
    <w:rsid w:val="009911B9"/>
    <w:rsid w:val="009924D4"/>
    <w:rsid w:val="009961B0"/>
    <w:rsid w:val="009963BC"/>
    <w:rsid w:val="009A6C00"/>
    <w:rsid w:val="009B644A"/>
    <w:rsid w:val="009B67C7"/>
    <w:rsid w:val="009C3D9F"/>
    <w:rsid w:val="009C60E6"/>
    <w:rsid w:val="009D5E30"/>
    <w:rsid w:val="009D64B0"/>
    <w:rsid w:val="009D78FE"/>
    <w:rsid w:val="009E0DF2"/>
    <w:rsid w:val="009E2765"/>
    <w:rsid w:val="009E2C4C"/>
    <w:rsid w:val="009E509B"/>
    <w:rsid w:val="009E5F55"/>
    <w:rsid w:val="009F48CE"/>
    <w:rsid w:val="009F5431"/>
    <w:rsid w:val="009F5C57"/>
    <w:rsid w:val="00A079C6"/>
    <w:rsid w:val="00A11791"/>
    <w:rsid w:val="00A12F34"/>
    <w:rsid w:val="00A15437"/>
    <w:rsid w:val="00A207B9"/>
    <w:rsid w:val="00A317A2"/>
    <w:rsid w:val="00A31C07"/>
    <w:rsid w:val="00A31E32"/>
    <w:rsid w:val="00A35D90"/>
    <w:rsid w:val="00A37ECC"/>
    <w:rsid w:val="00A41DC7"/>
    <w:rsid w:val="00A4364F"/>
    <w:rsid w:val="00A5424F"/>
    <w:rsid w:val="00A54EBE"/>
    <w:rsid w:val="00A56CB5"/>
    <w:rsid w:val="00A64717"/>
    <w:rsid w:val="00A748C9"/>
    <w:rsid w:val="00A77398"/>
    <w:rsid w:val="00A80C51"/>
    <w:rsid w:val="00A81EDF"/>
    <w:rsid w:val="00A83A62"/>
    <w:rsid w:val="00A90122"/>
    <w:rsid w:val="00A929CC"/>
    <w:rsid w:val="00A9536F"/>
    <w:rsid w:val="00A95495"/>
    <w:rsid w:val="00A955F2"/>
    <w:rsid w:val="00AA0FBE"/>
    <w:rsid w:val="00AA4479"/>
    <w:rsid w:val="00AA48D1"/>
    <w:rsid w:val="00AB7E31"/>
    <w:rsid w:val="00AD2F5B"/>
    <w:rsid w:val="00AD464B"/>
    <w:rsid w:val="00AD7E81"/>
    <w:rsid w:val="00AE0FF5"/>
    <w:rsid w:val="00AE127D"/>
    <w:rsid w:val="00AF12E5"/>
    <w:rsid w:val="00AF7D70"/>
    <w:rsid w:val="00B017FE"/>
    <w:rsid w:val="00B05D04"/>
    <w:rsid w:val="00B17E63"/>
    <w:rsid w:val="00B17F7F"/>
    <w:rsid w:val="00B20869"/>
    <w:rsid w:val="00B211ED"/>
    <w:rsid w:val="00B319D0"/>
    <w:rsid w:val="00B33B3B"/>
    <w:rsid w:val="00B52B37"/>
    <w:rsid w:val="00B548FD"/>
    <w:rsid w:val="00B556FB"/>
    <w:rsid w:val="00B56361"/>
    <w:rsid w:val="00B61746"/>
    <w:rsid w:val="00B62005"/>
    <w:rsid w:val="00B67934"/>
    <w:rsid w:val="00B76FFB"/>
    <w:rsid w:val="00B7795B"/>
    <w:rsid w:val="00B77961"/>
    <w:rsid w:val="00B803FE"/>
    <w:rsid w:val="00B84C74"/>
    <w:rsid w:val="00B85886"/>
    <w:rsid w:val="00B94CF1"/>
    <w:rsid w:val="00BA2379"/>
    <w:rsid w:val="00BA6F13"/>
    <w:rsid w:val="00BB3A8E"/>
    <w:rsid w:val="00BB5CD0"/>
    <w:rsid w:val="00BB7111"/>
    <w:rsid w:val="00BC0690"/>
    <w:rsid w:val="00BC4D83"/>
    <w:rsid w:val="00BC6D1F"/>
    <w:rsid w:val="00BD1CD3"/>
    <w:rsid w:val="00BE0F5B"/>
    <w:rsid w:val="00BE242C"/>
    <w:rsid w:val="00BF2DE4"/>
    <w:rsid w:val="00BF4E4B"/>
    <w:rsid w:val="00BF7045"/>
    <w:rsid w:val="00C03881"/>
    <w:rsid w:val="00C03EC3"/>
    <w:rsid w:val="00C051BA"/>
    <w:rsid w:val="00C052AB"/>
    <w:rsid w:val="00C114D9"/>
    <w:rsid w:val="00C115C2"/>
    <w:rsid w:val="00C12A33"/>
    <w:rsid w:val="00C20A8B"/>
    <w:rsid w:val="00C234FA"/>
    <w:rsid w:val="00C31DD3"/>
    <w:rsid w:val="00C3405B"/>
    <w:rsid w:val="00C510B7"/>
    <w:rsid w:val="00C54574"/>
    <w:rsid w:val="00C67F26"/>
    <w:rsid w:val="00C72985"/>
    <w:rsid w:val="00C73607"/>
    <w:rsid w:val="00C7749B"/>
    <w:rsid w:val="00C82DE7"/>
    <w:rsid w:val="00C90F87"/>
    <w:rsid w:val="00C91EA9"/>
    <w:rsid w:val="00CB10A1"/>
    <w:rsid w:val="00CB1671"/>
    <w:rsid w:val="00CB3128"/>
    <w:rsid w:val="00CB582D"/>
    <w:rsid w:val="00CB63FC"/>
    <w:rsid w:val="00CB78F3"/>
    <w:rsid w:val="00CC1E96"/>
    <w:rsid w:val="00CC7527"/>
    <w:rsid w:val="00CD60E2"/>
    <w:rsid w:val="00CF37DE"/>
    <w:rsid w:val="00CF45D0"/>
    <w:rsid w:val="00CF4883"/>
    <w:rsid w:val="00CF6FCC"/>
    <w:rsid w:val="00D06972"/>
    <w:rsid w:val="00D21461"/>
    <w:rsid w:val="00D22BE5"/>
    <w:rsid w:val="00D30B85"/>
    <w:rsid w:val="00D37A63"/>
    <w:rsid w:val="00D44310"/>
    <w:rsid w:val="00D44B33"/>
    <w:rsid w:val="00D556A1"/>
    <w:rsid w:val="00D563C2"/>
    <w:rsid w:val="00D57164"/>
    <w:rsid w:val="00D57281"/>
    <w:rsid w:val="00D65967"/>
    <w:rsid w:val="00D732AF"/>
    <w:rsid w:val="00D777F1"/>
    <w:rsid w:val="00D8185B"/>
    <w:rsid w:val="00D8194A"/>
    <w:rsid w:val="00D82F3E"/>
    <w:rsid w:val="00D969A3"/>
    <w:rsid w:val="00DA584A"/>
    <w:rsid w:val="00DB6895"/>
    <w:rsid w:val="00DC7AB8"/>
    <w:rsid w:val="00DD525D"/>
    <w:rsid w:val="00DD5508"/>
    <w:rsid w:val="00DE0E0D"/>
    <w:rsid w:val="00DE5E63"/>
    <w:rsid w:val="00DE675A"/>
    <w:rsid w:val="00DE79A5"/>
    <w:rsid w:val="00DF2B2A"/>
    <w:rsid w:val="00E00556"/>
    <w:rsid w:val="00E1452E"/>
    <w:rsid w:val="00E375E1"/>
    <w:rsid w:val="00E40A3B"/>
    <w:rsid w:val="00E431DF"/>
    <w:rsid w:val="00E47237"/>
    <w:rsid w:val="00E54657"/>
    <w:rsid w:val="00E6697F"/>
    <w:rsid w:val="00E74681"/>
    <w:rsid w:val="00E77CF4"/>
    <w:rsid w:val="00E8042B"/>
    <w:rsid w:val="00E820A0"/>
    <w:rsid w:val="00E9217F"/>
    <w:rsid w:val="00E9496E"/>
    <w:rsid w:val="00E95E2C"/>
    <w:rsid w:val="00E96765"/>
    <w:rsid w:val="00E97D09"/>
    <w:rsid w:val="00EA009B"/>
    <w:rsid w:val="00EA04B7"/>
    <w:rsid w:val="00EA0937"/>
    <w:rsid w:val="00EA7723"/>
    <w:rsid w:val="00EB17F3"/>
    <w:rsid w:val="00EB28CA"/>
    <w:rsid w:val="00EB57D6"/>
    <w:rsid w:val="00EC5445"/>
    <w:rsid w:val="00EE1688"/>
    <w:rsid w:val="00EE23CC"/>
    <w:rsid w:val="00EF36D5"/>
    <w:rsid w:val="00EF3F63"/>
    <w:rsid w:val="00EF4C13"/>
    <w:rsid w:val="00EF6EEB"/>
    <w:rsid w:val="00F072C2"/>
    <w:rsid w:val="00F1066F"/>
    <w:rsid w:val="00F21207"/>
    <w:rsid w:val="00F5110A"/>
    <w:rsid w:val="00F52FF2"/>
    <w:rsid w:val="00F53FD4"/>
    <w:rsid w:val="00F55263"/>
    <w:rsid w:val="00F56BEA"/>
    <w:rsid w:val="00F72D89"/>
    <w:rsid w:val="00F74F31"/>
    <w:rsid w:val="00F95FE2"/>
    <w:rsid w:val="00FA0D4F"/>
    <w:rsid w:val="00FA3C12"/>
    <w:rsid w:val="00FB02D1"/>
    <w:rsid w:val="00FB3A1E"/>
    <w:rsid w:val="00FB3C91"/>
    <w:rsid w:val="00FB4DCC"/>
    <w:rsid w:val="00FB6647"/>
    <w:rsid w:val="00FD3F1A"/>
    <w:rsid w:val="00FD4427"/>
    <w:rsid w:val="00FD442A"/>
    <w:rsid w:val="00FD6406"/>
    <w:rsid w:val="00FE5FE9"/>
    <w:rsid w:val="00FF0F02"/>
    <w:rsid w:val="04FC07BA"/>
    <w:rsid w:val="07D712B5"/>
    <w:rsid w:val="088034E8"/>
    <w:rsid w:val="09CD219B"/>
    <w:rsid w:val="09ED576F"/>
    <w:rsid w:val="0D7F7DC9"/>
    <w:rsid w:val="0E57399E"/>
    <w:rsid w:val="13BB6320"/>
    <w:rsid w:val="1454545A"/>
    <w:rsid w:val="166F1034"/>
    <w:rsid w:val="167963D2"/>
    <w:rsid w:val="168503A9"/>
    <w:rsid w:val="181E6DC2"/>
    <w:rsid w:val="1C1F5136"/>
    <w:rsid w:val="1D9B01E8"/>
    <w:rsid w:val="1FD746B4"/>
    <w:rsid w:val="216750D4"/>
    <w:rsid w:val="21B00432"/>
    <w:rsid w:val="21E741A5"/>
    <w:rsid w:val="245B3C6C"/>
    <w:rsid w:val="25100723"/>
    <w:rsid w:val="253F153E"/>
    <w:rsid w:val="279745BA"/>
    <w:rsid w:val="27F05FAA"/>
    <w:rsid w:val="29F63DD9"/>
    <w:rsid w:val="2A007C29"/>
    <w:rsid w:val="2B9709E5"/>
    <w:rsid w:val="2C3E5C25"/>
    <w:rsid w:val="2D143CF2"/>
    <w:rsid w:val="2FD63297"/>
    <w:rsid w:val="313F372D"/>
    <w:rsid w:val="373917D7"/>
    <w:rsid w:val="38337ED5"/>
    <w:rsid w:val="393252AB"/>
    <w:rsid w:val="3EC5459D"/>
    <w:rsid w:val="411A53DD"/>
    <w:rsid w:val="41AA14AC"/>
    <w:rsid w:val="41CD47B2"/>
    <w:rsid w:val="44CA4BFA"/>
    <w:rsid w:val="494C43B1"/>
    <w:rsid w:val="4B8D6ED7"/>
    <w:rsid w:val="4CE552E8"/>
    <w:rsid w:val="4D083EE4"/>
    <w:rsid w:val="4DF46DFD"/>
    <w:rsid w:val="4E4461DA"/>
    <w:rsid w:val="4E8547F9"/>
    <w:rsid w:val="4FF765EC"/>
    <w:rsid w:val="504970E8"/>
    <w:rsid w:val="53483F14"/>
    <w:rsid w:val="53A62BB6"/>
    <w:rsid w:val="553D7E00"/>
    <w:rsid w:val="5D182ACE"/>
    <w:rsid w:val="5D373670"/>
    <w:rsid w:val="625E4BB5"/>
    <w:rsid w:val="62A02B74"/>
    <w:rsid w:val="67CB5505"/>
    <w:rsid w:val="682E6FFC"/>
    <w:rsid w:val="68D21EB3"/>
    <w:rsid w:val="6AAC0DE4"/>
    <w:rsid w:val="6B60619E"/>
    <w:rsid w:val="6F753F8B"/>
    <w:rsid w:val="6FA86B63"/>
    <w:rsid w:val="74953A02"/>
    <w:rsid w:val="75457F23"/>
    <w:rsid w:val="75682EB2"/>
    <w:rsid w:val="760477CC"/>
    <w:rsid w:val="76CB473C"/>
    <w:rsid w:val="76DF5418"/>
    <w:rsid w:val="77B75D35"/>
    <w:rsid w:val="F7DB5D9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0"/>
    <w:pPr>
      <w:keepNext/>
      <w:keepLines/>
      <w:spacing w:before="340" w:beforeLines="0" w:after="330" w:afterLines="0" w:line="576" w:lineRule="auto"/>
      <w:outlineLvl w:val="0"/>
    </w:pPr>
    <w:rPr>
      <w:b/>
      <w:bCs/>
      <w:kern w:val="44"/>
      <w:sz w:val="44"/>
      <w:szCs w:val="44"/>
    </w:rPr>
  </w:style>
  <w:style w:type="paragraph" w:styleId="3">
    <w:name w:val="heading 2"/>
    <w:basedOn w:val="1"/>
    <w:next w:val="1"/>
    <w:link w:val="43"/>
    <w:unhideWhenUsed/>
    <w:qFormat/>
    <w:uiPriority w:val="0"/>
    <w:pPr>
      <w:keepNext/>
      <w:keepLines/>
      <w:spacing w:before="260" w:beforeLines="0" w:after="260" w:afterLines="0" w:line="413" w:lineRule="auto"/>
      <w:outlineLvl w:val="1"/>
    </w:pPr>
    <w:rPr>
      <w:rFonts w:ascii="Arial" w:hAnsi="Arial" w:eastAsia="黑体"/>
      <w:b/>
      <w:bCs/>
      <w:sz w:val="32"/>
      <w:szCs w:val="32"/>
    </w:rPr>
  </w:style>
  <w:style w:type="paragraph" w:styleId="4">
    <w:name w:val="heading 3"/>
    <w:basedOn w:val="1"/>
    <w:next w:val="1"/>
    <w:link w:val="44"/>
    <w:unhideWhenUsed/>
    <w:qFormat/>
    <w:uiPriority w:val="0"/>
    <w:pPr>
      <w:keepNext/>
      <w:keepLines/>
      <w:spacing w:line="600" w:lineRule="exact"/>
      <w:ind w:firstLine="643" w:firstLineChars="200"/>
      <w:outlineLvl w:val="2"/>
    </w:pPr>
    <w:rPr>
      <w:b/>
      <w:bCs/>
      <w:sz w:val="32"/>
      <w:szCs w:val="32"/>
    </w:rPr>
  </w:style>
  <w:style w:type="paragraph" w:styleId="5">
    <w:name w:val="heading 4"/>
    <w:basedOn w:val="1"/>
    <w:next w:val="1"/>
    <w:link w:val="41"/>
    <w:unhideWhenUsed/>
    <w:qFormat/>
    <w:uiPriority w:val="0"/>
    <w:pPr>
      <w:tabs>
        <w:tab w:val="left" w:pos="2155"/>
      </w:tabs>
      <w:adjustRightInd w:val="0"/>
      <w:spacing w:before="120" w:beforeLines="0" w:line="360" w:lineRule="auto"/>
      <w:ind w:left="2155" w:hanging="1078"/>
      <w:textAlignment w:val="baseline"/>
      <w:outlineLvl w:val="3"/>
    </w:pPr>
    <w:rPr>
      <w:rFonts w:ascii="Arial" w:eastAsia="黑体"/>
      <w:kern w:val="0"/>
      <w:sz w:val="28"/>
      <w:szCs w:val="20"/>
    </w:rPr>
  </w:style>
  <w:style w:type="paragraph" w:styleId="6">
    <w:name w:val="heading 5"/>
    <w:basedOn w:val="1"/>
    <w:next w:val="1"/>
    <w:link w:val="45"/>
    <w:unhideWhenUsed/>
    <w:qFormat/>
    <w:uiPriority w:val="0"/>
    <w:pPr>
      <w:keepNext/>
      <w:keepLines/>
      <w:spacing w:before="280" w:after="290" w:line="376" w:lineRule="auto"/>
      <w:outlineLvl w:val="4"/>
    </w:pPr>
    <w:rPr>
      <w:b/>
      <w:bCs/>
      <w:sz w:val="28"/>
      <w:szCs w:val="28"/>
    </w:rPr>
  </w:style>
  <w:style w:type="character" w:default="1" w:styleId="35">
    <w:name w:val="Default Paragraph Font"/>
    <w:semiHidden/>
    <w:qFormat/>
    <w:uiPriority w:val="0"/>
  </w:style>
  <w:style w:type="table" w:default="1" w:styleId="33">
    <w:name w:val="Normal Table"/>
    <w:semiHidden/>
    <w:qFormat/>
    <w:uiPriority w:val="0"/>
    <w:tblPr>
      <w:tblCellMar>
        <w:top w:w="0" w:type="dxa"/>
        <w:left w:w="108" w:type="dxa"/>
        <w:bottom w:w="0" w:type="dxa"/>
        <w:right w:w="108" w:type="dxa"/>
      </w:tblCellMar>
    </w:tblPr>
  </w:style>
  <w:style w:type="paragraph" w:styleId="7">
    <w:name w:val="toc 7"/>
    <w:basedOn w:val="1"/>
    <w:next w:val="1"/>
    <w:qFormat/>
    <w:uiPriority w:val="0"/>
    <w:pPr>
      <w:jc w:val="left"/>
    </w:pPr>
    <w:rPr>
      <w:rFonts w:ascii="Calibri" w:hAnsi="Calibri"/>
      <w:sz w:val="22"/>
      <w:szCs w:val="22"/>
    </w:rPr>
  </w:style>
  <w:style w:type="paragraph" w:styleId="8">
    <w:name w:val="Normal Indent"/>
    <w:basedOn w:val="1"/>
    <w:qFormat/>
    <w:uiPriority w:val="0"/>
    <w:pPr>
      <w:ind w:firstLine="420"/>
    </w:pPr>
    <w:rPr>
      <w:szCs w:val="20"/>
    </w:rPr>
  </w:style>
  <w:style w:type="paragraph" w:styleId="9">
    <w:name w:val="caption"/>
    <w:basedOn w:val="1"/>
    <w:next w:val="1"/>
    <w:unhideWhenUsed/>
    <w:qFormat/>
    <w:uiPriority w:val="0"/>
    <w:pPr>
      <w:spacing w:before="152" w:after="160"/>
    </w:pPr>
    <w:rPr>
      <w:rFonts w:ascii="Arial" w:hAnsi="Arial" w:eastAsia="黑体" w:cs="Arial"/>
      <w:sz w:val="20"/>
      <w:szCs w:val="20"/>
    </w:rPr>
  </w:style>
  <w:style w:type="paragraph" w:styleId="10">
    <w:name w:val="Document Map"/>
    <w:basedOn w:val="1"/>
    <w:link w:val="46"/>
    <w:qFormat/>
    <w:uiPriority w:val="0"/>
    <w:rPr>
      <w:rFonts w:ascii="宋体"/>
      <w:sz w:val="18"/>
      <w:szCs w:val="18"/>
    </w:rPr>
  </w:style>
  <w:style w:type="paragraph" w:styleId="11">
    <w:name w:val="annotation text"/>
    <w:basedOn w:val="1"/>
    <w:link w:val="47"/>
    <w:qFormat/>
    <w:uiPriority w:val="0"/>
    <w:pPr>
      <w:jc w:val="left"/>
    </w:pPr>
  </w:style>
  <w:style w:type="paragraph" w:styleId="12">
    <w:name w:val="Body Text 3"/>
    <w:basedOn w:val="1"/>
    <w:link w:val="48"/>
    <w:qFormat/>
    <w:uiPriority w:val="0"/>
    <w:pPr>
      <w:spacing w:after="120"/>
    </w:pPr>
    <w:rPr>
      <w:sz w:val="16"/>
      <w:szCs w:val="16"/>
    </w:rPr>
  </w:style>
  <w:style w:type="paragraph" w:styleId="13">
    <w:name w:val="Body Text"/>
    <w:basedOn w:val="1"/>
    <w:link w:val="49"/>
    <w:qFormat/>
    <w:uiPriority w:val="0"/>
    <w:pPr>
      <w:spacing w:after="120"/>
    </w:pPr>
  </w:style>
  <w:style w:type="paragraph" w:styleId="14">
    <w:name w:val="Body Text Indent"/>
    <w:basedOn w:val="1"/>
    <w:link w:val="50"/>
    <w:qFormat/>
    <w:uiPriority w:val="0"/>
    <w:pPr>
      <w:spacing w:line="200" w:lineRule="exact"/>
      <w:ind w:firstLine="301"/>
    </w:pPr>
    <w:rPr>
      <w:rFonts w:ascii="宋体" w:hAnsi="Courier New"/>
      <w:spacing w:val="-4"/>
      <w:sz w:val="18"/>
      <w:szCs w:val="20"/>
    </w:rPr>
  </w:style>
  <w:style w:type="paragraph" w:styleId="15">
    <w:name w:val="toc 5"/>
    <w:basedOn w:val="1"/>
    <w:next w:val="1"/>
    <w:qFormat/>
    <w:uiPriority w:val="0"/>
    <w:pPr>
      <w:jc w:val="left"/>
    </w:pPr>
    <w:rPr>
      <w:rFonts w:ascii="Calibri" w:hAnsi="Calibri"/>
      <w:sz w:val="22"/>
      <w:szCs w:val="22"/>
    </w:rPr>
  </w:style>
  <w:style w:type="paragraph" w:styleId="16">
    <w:name w:val="toc 3"/>
    <w:basedOn w:val="1"/>
    <w:next w:val="1"/>
    <w:qFormat/>
    <w:uiPriority w:val="0"/>
    <w:pPr>
      <w:jc w:val="left"/>
    </w:pPr>
    <w:rPr>
      <w:rFonts w:ascii="Calibri" w:hAnsi="Calibri"/>
      <w:smallCaps/>
      <w:sz w:val="22"/>
      <w:szCs w:val="22"/>
    </w:rPr>
  </w:style>
  <w:style w:type="paragraph" w:styleId="17">
    <w:name w:val="Plain Text"/>
    <w:basedOn w:val="1"/>
    <w:next w:val="5"/>
    <w:link w:val="51"/>
    <w:qFormat/>
    <w:uiPriority w:val="0"/>
    <w:rPr>
      <w:rFonts w:ascii="宋体" w:hAnsi="Courier New"/>
      <w:szCs w:val="20"/>
    </w:rPr>
  </w:style>
  <w:style w:type="paragraph" w:styleId="18">
    <w:name w:val="toc 8"/>
    <w:basedOn w:val="1"/>
    <w:next w:val="1"/>
    <w:qFormat/>
    <w:uiPriority w:val="0"/>
    <w:pPr>
      <w:jc w:val="left"/>
    </w:pPr>
    <w:rPr>
      <w:rFonts w:ascii="Calibri" w:hAnsi="Calibri"/>
      <w:sz w:val="22"/>
      <w:szCs w:val="22"/>
    </w:rPr>
  </w:style>
  <w:style w:type="paragraph" w:styleId="19">
    <w:name w:val="Date"/>
    <w:basedOn w:val="1"/>
    <w:next w:val="1"/>
    <w:link w:val="52"/>
    <w:qFormat/>
    <w:uiPriority w:val="0"/>
    <w:pPr>
      <w:ind w:left="100" w:leftChars="2500"/>
    </w:pPr>
  </w:style>
  <w:style w:type="paragraph" w:styleId="20">
    <w:name w:val="Body Text Indent 2"/>
    <w:basedOn w:val="1"/>
    <w:link w:val="53"/>
    <w:qFormat/>
    <w:uiPriority w:val="0"/>
    <w:pPr>
      <w:spacing w:after="120" w:afterLines="0" w:line="480" w:lineRule="auto"/>
      <w:ind w:left="420" w:leftChars="200"/>
    </w:pPr>
  </w:style>
  <w:style w:type="paragraph" w:styleId="21">
    <w:name w:val="Balloon Text"/>
    <w:basedOn w:val="1"/>
    <w:link w:val="54"/>
    <w:qFormat/>
    <w:uiPriority w:val="0"/>
    <w:rPr>
      <w:sz w:val="18"/>
      <w:szCs w:val="18"/>
    </w:rPr>
  </w:style>
  <w:style w:type="paragraph" w:styleId="22">
    <w:name w:val="footer"/>
    <w:basedOn w:val="1"/>
    <w:link w:val="55"/>
    <w:qFormat/>
    <w:uiPriority w:val="0"/>
    <w:pPr>
      <w:tabs>
        <w:tab w:val="center" w:pos="4153"/>
        <w:tab w:val="right" w:pos="8306"/>
      </w:tabs>
      <w:snapToGrid w:val="0"/>
      <w:jc w:val="left"/>
    </w:pPr>
    <w:rPr>
      <w:sz w:val="18"/>
      <w:szCs w:val="18"/>
    </w:rPr>
  </w:style>
  <w:style w:type="paragraph" w:styleId="23">
    <w:name w:val="header"/>
    <w:basedOn w:val="1"/>
    <w:link w:val="56"/>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qFormat/>
    <w:uiPriority w:val="0"/>
    <w:pPr>
      <w:spacing w:before="360" w:after="360"/>
      <w:jc w:val="left"/>
    </w:pPr>
    <w:rPr>
      <w:rFonts w:ascii="Calibri" w:hAnsi="Calibri"/>
      <w:b/>
      <w:bCs/>
      <w:caps/>
      <w:sz w:val="22"/>
      <w:szCs w:val="22"/>
      <w:u w:val="single"/>
    </w:rPr>
  </w:style>
  <w:style w:type="paragraph" w:styleId="25">
    <w:name w:val="toc 4"/>
    <w:basedOn w:val="1"/>
    <w:next w:val="1"/>
    <w:qFormat/>
    <w:uiPriority w:val="0"/>
    <w:pPr>
      <w:jc w:val="left"/>
    </w:pPr>
    <w:rPr>
      <w:rFonts w:ascii="Calibri" w:hAnsi="Calibri"/>
      <w:sz w:val="22"/>
      <w:szCs w:val="22"/>
    </w:rPr>
  </w:style>
  <w:style w:type="paragraph" w:styleId="26">
    <w:name w:val="List"/>
    <w:basedOn w:val="1"/>
    <w:qFormat/>
    <w:uiPriority w:val="0"/>
    <w:pPr>
      <w:ind w:left="200" w:hanging="200" w:hangingChars="200"/>
    </w:pPr>
    <w:rPr>
      <w:sz w:val="28"/>
    </w:rPr>
  </w:style>
  <w:style w:type="paragraph" w:styleId="27">
    <w:name w:val="toc 6"/>
    <w:basedOn w:val="1"/>
    <w:next w:val="1"/>
    <w:qFormat/>
    <w:uiPriority w:val="0"/>
    <w:pPr>
      <w:jc w:val="left"/>
    </w:pPr>
    <w:rPr>
      <w:rFonts w:ascii="Calibri" w:hAnsi="Calibri"/>
      <w:sz w:val="22"/>
      <w:szCs w:val="22"/>
    </w:rPr>
  </w:style>
  <w:style w:type="paragraph" w:styleId="28">
    <w:name w:val="toc 2"/>
    <w:basedOn w:val="1"/>
    <w:next w:val="1"/>
    <w:qFormat/>
    <w:uiPriority w:val="0"/>
    <w:pPr>
      <w:jc w:val="left"/>
    </w:pPr>
    <w:rPr>
      <w:rFonts w:ascii="Calibri" w:hAnsi="Calibri"/>
      <w:b/>
      <w:bCs/>
      <w:smallCaps/>
      <w:sz w:val="22"/>
      <w:szCs w:val="22"/>
    </w:rPr>
  </w:style>
  <w:style w:type="paragraph" w:styleId="29">
    <w:name w:val="toc 9"/>
    <w:basedOn w:val="1"/>
    <w:next w:val="1"/>
    <w:qFormat/>
    <w:uiPriority w:val="0"/>
    <w:pPr>
      <w:jc w:val="left"/>
    </w:pPr>
    <w:rPr>
      <w:rFonts w:ascii="Calibri" w:hAnsi="Calibri"/>
      <w:sz w:val="22"/>
      <w:szCs w:val="22"/>
    </w:rPr>
  </w:style>
  <w:style w:type="paragraph" w:styleId="3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31">
    <w:name w:val="Title"/>
    <w:basedOn w:val="1"/>
    <w:next w:val="1"/>
    <w:qFormat/>
    <w:uiPriority w:val="0"/>
    <w:pPr>
      <w:spacing w:before="240" w:after="60"/>
      <w:jc w:val="center"/>
      <w:outlineLvl w:val="0"/>
    </w:pPr>
    <w:rPr>
      <w:rFonts w:ascii="Cambria" w:hAnsi="Cambria" w:eastAsia="宋体" w:cs="Times New Roman"/>
      <w:b/>
      <w:bCs/>
      <w:sz w:val="32"/>
      <w:szCs w:val="32"/>
    </w:rPr>
  </w:style>
  <w:style w:type="paragraph" w:styleId="32">
    <w:name w:val="annotation subject"/>
    <w:basedOn w:val="11"/>
    <w:next w:val="11"/>
    <w:link w:val="57"/>
    <w:qFormat/>
    <w:uiPriority w:val="0"/>
    <w:rPr>
      <w:b/>
      <w:bCs/>
    </w:rPr>
  </w:style>
  <w:style w:type="table" w:styleId="34">
    <w:name w:val="Table Grid"/>
    <w:basedOn w:val="3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qFormat/>
    <w:uiPriority w:val="0"/>
    <w:rPr>
      <w:b/>
    </w:rPr>
  </w:style>
  <w:style w:type="character" w:styleId="37">
    <w:name w:val="page number"/>
    <w:qFormat/>
    <w:uiPriority w:val="0"/>
  </w:style>
  <w:style w:type="character" w:styleId="38">
    <w:name w:val="FollowedHyperlink"/>
    <w:qFormat/>
    <w:uiPriority w:val="0"/>
    <w:rPr>
      <w:color w:val="800080"/>
      <w:u w:val="single"/>
    </w:rPr>
  </w:style>
  <w:style w:type="character" w:styleId="39">
    <w:name w:val="Hyperlink"/>
    <w:qFormat/>
    <w:uiPriority w:val="0"/>
    <w:rPr>
      <w:color w:val="0000FF"/>
      <w:u w:val="single"/>
    </w:rPr>
  </w:style>
  <w:style w:type="character" w:styleId="40">
    <w:name w:val="annotation reference"/>
    <w:qFormat/>
    <w:uiPriority w:val="0"/>
    <w:rPr>
      <w:sz w:val="21"/>
      <w:szCs w:val="21"/>
    </w:rPr>
  </w:style>
  <w:style w:type="character" w:customStyle="1" w:styleId="41">
    <w:name w:val="标题 4 Char"/>
    <w:link w:val="5"/>
    <w:qFormat/>
    <w:uiPriority w:val="0"/>
    <w:rPr>
      <w:rFonts w:ascii="Arial" w:eastAsia="黑体"/>
      <w:sz w:val="28"/>
    </w:rPr>
  </w:style>
  <w:style w:type="character" w:customStyle="1" w:styleId="42">
    <w:name w:val="标题 1 Char"/>
    <w:link w:val="2"/>
    <w:qFormat/>
    <w:uiPriority w:val="0"/>
    <w:rPr>
      <w:b/>
      <w:bCs/>
      <w:kern w:val="44"/>
      <w:sz w:val="44"/>
      <w:szCs w:val="44"/>
    </w:rPr>
  </w:style>
  <w:style w:type="character" w:customStyle="1" w:styleId="43">
    <w:name w:val="标题 2 Char"/>
    <w:link w:val="3"/>
    <w:qFormat/>
    <w:uiPriority w:val="0"/>
    <w:rPr>
      <w:rFonts w:ascii="Arial" w:hAnsi="Arial" w:eastAsia="黑体"/>
      <w:b/>
      <w:bCs/>
      <w:kern w:val="2"/>
      <w:sz w:val="32"/>
      <w:szCs w:val="32"/>
    </w:rPr>
  </w:style>
  <w:style w:type="character" w:customStyle="1" w:styleId="44">
    <w:name w:val="标题 3 Char"/>
    <w:link w:val="4"/>
    <w:qFormat/>
    <w:uiPriority w:val="0"/>
    <w:rPr>
      <w:b/>
      <w:bCs/>
      <w:kern w:val="2"/>
      <w:sz w:val="32"/>
      <w:szCs w:val="32"/>
    </w:rPr>
  </w:style>
  <w:style w:type="character" w:customStyle="1" w:styleId="45">
    <w:name w:val="标题 5 Char"/>
    <w:link w:val="6"/>
    <w:qFormat/>
    <w:uiPriority w:val="9"/>
    <w:rPr>
      <w:b/>
      <w:bCs/>
      <w:kern w:val="2"/>
      <w:sz w:val="28"/>
      <w:szCs w:val="28"/>
    </w:rPr>
  </w:style>
  <w:style w:type="character" w:customStyle="1" w:styleId="46">
    <w:name w:val="文档结构图 Char"/>
    <w:link w:val="10"/>
    <w:qFormat/>
    <w:uiPriority w:val="0"/>
    <w:rPr>
      <w:rFonts w:ascii="宋体"/>
      <w:kern w:val="2"/>
      <w:sz w:val="18"/>
      <w:szCs w:val="18"/>
    </w:rPr>
  </w:style>
  <w:style w:type="character" w:customStyle="1" w:styleId="47">
    <w:name w:val="批注文字 Char"/>
    <w:link w:val="11"/>
    <w:qFormat/>
    <w:uiPriority w:val="0"/>
    <w:rPr>
      <w:kern w:val="2"/>
      <w:sz w:val="21"/>
      <w:szCs w:val="24"/>
    </w:rPr>
  </w:style>
  <w:style w:type="character" w:customStyle="1" w:styleId="48">
    <w:name w:val="正文文本 3 Char"/>
    <w:link w:val="12"/>
    <w:qFormat/>
    <w:uiPriority w:val="99"/>
    <w:rPr>
      <w:kern w:val="2"/>
      <w:sz w:val="16"/>
      <w:szCs w:val="16"/>
    </w:rPr>
  </w:style>
  <w:style w:type="character" w:customStyle="1" w:styleId="49">
    <w:name w:val="正文文本 Char"/>
    <w:link w:val="13"/>
    <w:qFormat/>
    <w:uiPriority w:val="99"/>
    <w:rPr>
      <w:kern w:val="2"/>
      <w:sz w:val="21"/>
      <w:szCs w:val="24"/>
    </w:rPr>
  </w:style>
  <w:style w:type="character" w:customStyle="1" w:styleId="50">
    <w:name w:val="正文文本缩进 Char"/>
    <w:link w:val="14"/>
    <w:qFormat/>
    <w:uiPriority w:val="0"/>
    <w:rPr>
      <w:rFonts w:ascii="宋体" w:hAnsi="Courier New" w:eastAsia="宋体"/>
      <w:spacing w:val="-4"/>
      <w:kern w:val="2"/>
      <w:sz w:val="18"/>
      <w:lang w:val="en-US" w:eastAsia="zh-CN" w:bidi="ar-SA"/>
    </w:rPr>
  </w:style>
  <w:style w:type="character" w:customStyle="1" w:styleId="51">
    <w:name w:val="纯文本 Char"/>
    <w:link w:val="17"/>
    <w:qFormat/>
    <w:uiPriority w:val="0"/>
    <w:rPr>
      <w:rFonts w:ascii="宋体" w:hAnsi="Courier New" w:eastAsia="宋体"/>
      <w:kern w:val="2"/>
      <w:sz w:val="21"/>
      <w:lang w:val="en-US" w:eastAsia="zh-CN" w:bidi="ar-SA"/>
    </w:rPr>
  </w:style>
  <w:style w:type="character" w:customStyle="1" w:styleId="52">
    <w:name w:val="日期 Char"/>
    <w:link w:val="19"/>
    <w:qFormat/>
    <w:uiPriority w:val="0"/>
    <w:rPr>
      <w:kern w:val="2"/>
      <w:sz w:val="21"/>
      <w:szCs w:val="24"/>
    </w:rPr>
  </w:style>
  <w:style w:type="character" w:customStyle="1" w:styleId="53">
    <w:name w:val="正文文本缩进 2 Char"/>
    <w:link w:val="20"/>
    <w:qFormat/>
    <w:uiPriority w:val="0"/>
    <w:rPr>
      <w:kern w:val="2"/>
      <w:sz w:val="21"/>
      <w:szCs w:val="24"/>
    </w:rPr>
  </w:style>
  <w:style w:type="character" w:customStyle="1" w:styleId="54">
    <w:name w:val="批注框文本 Char"/>
    <w:link w:val="21"/>
    <w:qFormat/>
    <w:uiPriority w:val="0"/>
    <w:rPr>
      <w:kern w:val="2"/>
      <w:sz w:val="18"/>
      <w:szCs w:val="18"/>
    </w:rPr>
  </w:style>
  <w:style w:type="character" w:customStyle="1" w:styleId="55">
    <w:name w:val="页脚 Char"/>
    <w:link w:val="22"/>
    <w:qFormat/>
    <w:uiPriority w:val="99"/>
    <w:rPr>
      <w:kern w:val="2"/>
      <w:sz w:val="18"/>
      <w:szCs w:val="18"/>
    </w:rPr>
  </w:style>
  <w:style w:type="character" w:customStyle="1" w:styleId="56">
    <w:name w:val="页眉 Char"/>
    <w:link w:val="23"/>
    <w:qFormat/>
    <w:uiPriority w:val="99"/>
    <w:rPr>
      <w:kern w:val="2"/>
      <w:sz w:val="18"/>
      <w:szCs w:val="18"/>
    </w:rPr>
  </w:style>
  <w:style w:type="character" w:customStyle="1" w:styleId="57">
    <w:name w:val="批注主题 Char"/>
    <w:link w:val="32"/>
    <w:qFormat/>
    <w:uiPriority w:val="99"/>
    <w:rPr>
      <w:b/>
      <w:bCs/>
      <w:kern w:val="2"/>
      <w:sz w:val="21"/>
      <w:szCs w:val="24"/>
    </w:rPr>
  </w:style>
  <w:style w:type="paragraph" w:customStyle="1" w:styleId="58">
    <w:name w:val="列出段落1"/>
    <w:basedOn w:val="1"/>
    <w:qFormat/>
    <w:uiPriority w:val="34"/>
    <w:pPr>
      <w:spacing w:before="100" w:beforeAutospacing="1" w:after="100" w:afterAutospacing="1" w:line="360" w:lineRule="auto"/>
      <w:ind w:firstLine="420" w:firstLineChars="200"/>
    </w:pPr>
  </w:style>
  <w:style w:type="character" w:customStyle="1" w:styleId="59">
    <w:name w:val="页眉 字符"/>
    <w:qFormat/>
    <w:uiPriority w:val="99"/>
    <w:rPr>
      <w:rFonts w:ascii="Times New Roman" w:hAnsi="Times New Roman"/>
      <w:kern w:val="2"/>
      <w:sz w:val="18"/>
      <w:szCs w:val="18"/>
    </w:rPr>
  </w:style>
  <w:style w:type="character" w:customStyle="1" w:styleId="60">
    <w:name w:val="Char Char1"/>
    <w:qFormat/>
    <w:uiPriority w:val="0"/>
    <w:rPr>
      <w:rFonts w:ascii="宋体" w:hAnsi="Courier New" w:eastAsia="宋体"/>
      <w:kern w:val="2"/>
      <w:sz w:val="21"/>
      <w:lang w:val="en-US" w:eastAsia="zh-CN" w:bidi="ar-SA"/>
    </w:rPr>
  </w:style>
  <w:style w:type="character" w:customStyle="1" w:styleId="61">
    <w:name w:val="纯文本 字符2"/>
    <w:qFormat/>
    <w:uiPriority w:val="0"/>
    <w:rPr>
      <w:rFonts w:ascii="宋体" w:hAnsi="Courier New" w:eastAsia="宋体" w:cs="Courier New"/>
      <w:szCs w:val="21"/>
    </w:rPr>
  </w:style>
  <w:style w:type="character" w:customStyle="1" w:styleId="62">
    <w:name w:val="正文文本_"/>
    <w:link w:val="63"/>
    <w:qFormat/>
    <w:uiPriority w:val="0"/>
    <w:rPr>
      <w:rFonts w:ascii="MingLiU" w:hAnsi="MingLiU" w:eastAsia="MingLiU" w:cs="MingLiU"/>
      <w:spacing w:val="9"/>
      <w:sz w:val="19"/>
      <w:szCs w:val="19"/>
      <w:shd w:val="clear" w:color="auto" w:fill="FFFFFF"/>
    </w:rPr>
  </w:style>
  <w:style w:type="paragraph" w:customStyle="1" w:styleId="63">
    <w:name w:val="正文文本1"/>
    <w:basedOn w:val="1"/>
    <w:link w:val="62"/>
    <w:qFormat/>
    <w:uiPriority w:val="0"/>
    <w:pPr>
      <w:shd w:val="clear" w:color="auto" w:fill="FFFFFF"/>
      <w:spacing w:line="302" w:lineRule="exact"/>
      <w:ind w:firstLine="460"/>
      <w:jc w:val="left"/>
    </w:pPr>
    <w:rPr>
      <w:rFonts w:ascii="MingLiU" w:hAnsi="MingLiU" w:eastAsia="MingLiU"/>
      <w:spacing w:val="9"/>
      <w:kern w:val="0"/>
      <w:sz w:val="19"/>
      <w:szCs w:val="19"/>
    </w:rPr>
  </w:style>
  <w:style w:type="character" w:customStyle="1" w:styleId="64">
    <w:name w:val="纯文本 Char1"/>
    <w:link w:val="65"/>
    <w:qFormat/>
    <w:uiPriority w:val="0"/>
    <w:rPr>
      <w:rFonts w:ascii="宋体" w:hAnsi="Courier New" w:eastAsia="宋体"/>
      <w:kern w:val="2"/>
      <w:sz w:val="21"/>
      <w:lang w:val="en-US" w:eastAsia="zh-CN" w:bidi="ar-SA"/>
    </w:rPr>
  </w:style>
  <w:style w:type="paragraph" w:customStyle="1" w:styleId="65">
    <w:name w:val="纯文本1"/>
    <w:basedOn w:val="1"/>
    <w:link w:val="64"/>
    <w:qFormat/>
    <w:uiPriority w:val="0"/>
    <w:rPr>
      <w:rFonts w:ascii="宋体" w:hAnsi="Courier New"/>
      <w:szCs w:val="20"/>
    </w:rPr>
  </w:style>
  <w:style w:type="character" w:customStyle="1" w:styleId="66">
    <w:name w:val="正文文本 + 10 pt"/>
    <w:qFormat/>
    <w:uiPriority w:val="0"/>
    <w:rPr>
      <w:rFonts w:ascii="MingLiU" w:hAnsi="MingLiU" w:eastAsia="MingLiU" w:cs="MingLiU"/>
      <w:color w:val="000000"/>
      <w:spacing w:val="8"/>
      <w:w w:val="100"/>
      <w:position w:val="0"/>
      <w:sz w:val="20"/>
      <w:szCs w:val="20"/>
      <w:shd w:val="clear" w:color="auto" w:fill="FFFFFF"/>
      <w:lang w:val="zh-TW"/>
    </w:rPr>
  </w:style>
  <w:style w:type="character" w:customStyle="1" w:styleId="67">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68">
    <w:name w:val="页脚 字符"/>
    <w:qFormat/>
    <w:uiPriority w:val="99"/>
    <w:rPr>
      <w:sz w:val="18"/>
      <w:szCs w:val="18"/>
    </w:rPr>
  </w:style>
  <w:style w:type="character" w:customStyle="1" w:styleId="69">
    <w:name w:val="批注文字 字符1"/>
    <w:qFormat/>
    <w:uiPriority w:val="0"/>
    <w:rPr>
      <w:rFonts w:ascii="Times New Roman" w:hAnsi="Times New Roman"/>
      <w:kern w:val="2"/>
      <w:sz w:val="21"/>
      <w:szCs w:val="24"/>
    </w:rPr>
  </w:style>
  <w:style w:type="character" w:customStyle="1" w:styleId="70">
    <w:name w:val="正文2 Char Char"/>
    <w:link w:val="71"/>
    <w:qFormat/>
    <w:uiPriority w:val="0"/>
    <w:rPr>
      <w:kern w:val="2"/>
      <w:sz w:val="24"/>
    </w:rPr>
  </w:style>
  <w:style w:type="paragraph" w:customStyle="1" w:styleId="71">
    <w:name w:val="正文2"/>
    <w:basedOn w:val="1"/>
    <w:link w:val="70"/>
    <w:qFormat/>
    <w:uiPriority w:val="0"/>
    <w:pPr>
      <w:adjustRightInd w:val="0"/>
      <w:spacing w:before="156" w:line="360" w:lineRule="auto"/>
      <w:ind w:firstLine="510" w:firstLineChars="200"/>
    </w:pPr>
    <w:rPr>
      <w:sz w:val="24"/>
      <w:szCs w:val="20"/>
    </w:rPr>
  </w:style>
  <w:style w:type="character" w:customStyle="1" w:styleId="72">
    <w:name w:val="纯文本 Char_0"/>
    <w:link w:val="73"/>
    <w:qFormat/>
    <w:uiPriority w:val="0"/>
    <w:rPr>
      <w:rFonts w:ascii="宋体" w:hAnsi="Courier New"/>
      <w:kern w:val="2"/>
      <w:sz w:val="21"/>
      <w:szCs w:val="21"/>
    </w:rPr>
  </w:style>
  <w:style w:type="paragraph" w:customStyle="1" w:styleId="73">
    <w:name w:val="纯文本_0_0"/>
    <w:basedOn w:val="1"/>
    <w:link w:val="72"/>
    <w:qFormat/>
    <w:uiPriority w:val="0"/>
    <w:rPr>
      <w:rFonts w:ascii="宋体" w:hAnsi="Courier New"/>
      <w:szCs w:val="21"/>
    </w:rPr>
  </w:style>
  <w:style w:type="character" w:customStyle="1" w:styleId="74">
    <w:name w:val="批注文字 Char1"/>
    <w:qFormat/>
    <w:uiPriority w:val="0"/>
    <w:rPr>
      <w:rFonts w:ascii="Times New Roman" w:hAnsi="Times New Roman"/>
      <w:kern w:val="2"/>
      <w:sz w:val="21"/>
      <w:szCs w:val="24"/>
    </w:rPr>
  </w:style>
  <w:style w:type="paragraph" w:styleId="75">
    <w:name w:val="List Paragraph"/>
    <w:basedOn w:val="1"/>
    <w:qFormat/>
    <w:uiPriority w:val="34"/>
    <w:pPr>
      <w:ind w:firstLine="420" w:firstLineChars="200"/>
    </w:pPr>
  </w:style>
  <w:style w:type="paragraph" w:customStyle="1" w:styleId="76">
    <w:name w:val="Char Char Char1 Char Char Char Char Char Char Char"/>
    <w:basedOn w:val="1"/>
    <w:qFormat/>
    <w:uiPriority w:val="0"/>
  </w:style>
  <w:style w:type="paragraph" w:customStyle="1" w:styleId="77">
    <w:name w:val="Char Char Char"/>
    <w:basedOn w:val="1"/>
    <w:qFormat/>
    <w:uiPriority w:val="0"/>
    <w:rPr>
      <w:szCs w:val="20"/>
    </w:rPr>
  </w:style>
  <w:style w:type="paragraph" w:customStyle="1" w:styleId="78">
    <w:name w:val=" Char Char Char Char Char Char Char Char Char Char Char Char"/>
    <w:basedOn w:val="1"/>
    <w:qFormat/>
    <w:uiPriority w:val="0"/>
    <w:pPr>
      <w:widowControl/>
      <w:spacing w:after="160" w:afterLines="0" w:line="240" w:lineRule="exact"/>
      <w:jc w:val="left"/>
    </w:pPr>
  </w:style>
  <w:style w:type="paragraph" w:customStyle="1" w:styleId="79">
    <w:name w:val="_Style 77"/>
    <w:basedOn w:val="2"/>
    <w:next w:val="1"/>
    <w:qFormat/>
    <w:uiPriority w:val="39"/>
    <w:pPr>
      <w:widowControl/>
      <w:spacing w:before="480" w:after="0" w:line="276" w:lineRule="auto"/>
      <w:jc w:val="left"/>
      <w:outlineLvl w:val="9"/>
    </w:pPr>
    <w:rPr>
      <w:rFonts w:ascii="Cambria" w:hAnsi="Cambria" w:eastAsia="宋体" w:cs="Times New Roman"/>
      <w:color w:val="365F91"/>
      <w:kern w:val="0"/>
      <w:sz w:val="28"/>
      <w:szCs w:val="28"/>
      <w:lang w:val="en-US" w:eastAsia="zh-CN"/>
    </w:rPr>
  </w:style>
  <w:style w:type="paragraph" w:customStyle="1" w:styleId="80">
    <w:name w:val="样式 标题 2 + 非加粗 首行缩进:  2 字符"/>
    <w:basedOn w:val="3"/>
    <w:qFormat/>
    <w:uiPriority w:val="0"/>
    <w:pPr>
      <w:spacing w:before="0" w:beforeLines="0" w:after="0" w:afterLines="0" w:line="600" w:lineRule="exact"/>
      <w:ind w:firstLine="640" w:firstLineChars="200"/>
      <w:jc w:val="left"/>
    </w:pPr>
    <w:rPr>
      <w:rFonts w:cs="宋体"/>
      <w:b w:val="0"/>
      <w:bCs w:val="0"/>
      <w:szCs w:val="20"/>
    </w:rPr>
  </w:style>
  <w:style w:type="paragraph" w:customStyle="1" w:styleId="81">
    <w:name w:val="Table Paragraph"/>
    <w:basedOn w:val="1"/>
    <w:qFormat/>
    <w:uiPriority w:val="1"/>
    <w:pPr>
      <w:jc w:val="left"/>
    </w:pPr>
    <w:rPr>
      <w:rFonts w:ascii="Calibri" w:hAnsi="Calibri"/>
      <w:kern w:val="0"/>
      <w:sz w:val="22"/>
      <w:szCs w:val="22"/>
      <w:lang w:eastAsia="en-US"/>
    </w:rPr>
  </w:style>
  <w:style w:type="paragraph" w:customStyle="1" w:styleId="82">
    <w:name w:val=" Char"/>
    <w:basedOn w:val="1"/>
    <w:qFormat/>
    <w:uiPriority w:val="0"/>
    <w:rPr>
      <w:szCs w:val="21"/>
    </w:rPr>
  </w:style>
  <w:style w:type="paragraph" w:customStyle="1" w:styleId="83">
    <w:name w:val="Char Char Char Char Char Char Char"/>
    <w:basedOn w:val="1"/>
    <w:qFormat/>
    <w:uiPriority w:val="0"/>
  </w:style>
  <w:style w:type="paragraph" w:customStyle="1" w:styleId="84">
    <w:name w:val=" Char Char Char Char Char Char Char"/>
    <w:basedOn w:val="1"/>
    <w:qFormat/>
    <w:uiPriority w:val="0"/>
  </w:style>
  <w:style w:type="paragraph" w:customStyle="1" w:styleId="85">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86">
    <w:name w:val="Char Char Char Char Char Char Char Char Char Char Char Char"/>
    <w:basedOn w:val="1"/>
    <w:qFormat/>
    <w:uiPriority w:val="0"/>
    <w:pPr>
      <w:widowControl/>
      <w:spacing w:after="160" w:afterLines="0" w:line="240" w:lineRule="exact"/>
      <w:jc w:val="left"/>
    </w:pPr>
  </w:style>
  <w:style w:type="paragraph" w:customStyle="1" w:styleId="87">
    <w:name w:val="表格文字"/>
    <w:basedOn w:val="1"/>
    <w:next w:val="13"/>
    <w:qFormat/>
    <w:uiPriority w:val="0"/>
    <w:pPr>
      <w:adjustRightInd w:val="0"/>
      <w:spacing w:line="420" w:lineRule="atLeast"/>
      <w:jc w:val="left"/>
      <w:textAlignment w:val="baseline"/>
    </w:pPr>
    <w:rPr>
      <w:kern w:val="0"/>
    </w:rPr>
  </w:style>
  <w:style w:type="paragraph" w:customStyle="1" w:styleId="88">
    <w:name w:val="_Style 86"/>
    <w:qFormat/>
    <w:uiPriority w:val="0"/>
    <w:rPr>
      <w:rFonts w:ascii="Times New Roman" w:hAnsi="Times New Roman" w:eastAsia="宋体" w:cs="Times New Roman"/>
      <w:kern w:val="2"/>
      <w:sz w:val="21"/>
      <w:szCs w:val="24"/>
      <w:lang w:val="en-US" w:eastAsia="zh-CN" w:bidi="ar-SA"/>
    </w:rPr>
  </w:style>
  <w:style w:type="paragraph" w:customStyle="1" w:styleId="89">
    <w:name w:val="正文段"/>
    <w:basedOn w:val="1"/>
    <w:qFormat/>
    <w:uiPriority w:val="0"/>
    <w:pPr>
      <w:widowControl/>
      <w:snapToGrid w:val="0"/>
      <w:spacing w:after="156" w:afterLines="50"/>
      <w:ind w:firstLine="200" w:firstLineChars="200"/>
    </w:pPr>
    <w:rPr>
      <w:kern w:val="0"/>
      <w:sz w:val="24"/>
      <w:szCs w:val="20"/>
    </w:rPr>
  </w:style>
  <w:style w:type="paragraph" w:customStyle="1" w:styleId="90">
    <w:name w:val="Char Char Char Char"/>
    <w:basedOn w:val="1"/>
    <w:qFormat/>
    <w:uiPriority w:val="0"/>
    <w:pPr>
      <w:widowControl/>
      <w:spacing w:after="160" w:afterLines="0" w:line="240" w:lineRule="exact"/>
      <w:jc w:val="left"/>
    </w:pPr>
  </w:style>
  <w:style w:type="paragraph" w:customStyle="1" w:styleId="91">
    <w:name w:val="Char"/>
    <w:basedOn w:val="1"/>
    <w:qFormat/>
    <w:uiPriority w:val="0"/>
  </w:style>
  <w:style w:type="paragraph" w:customStyle="1" w:styleId="92">
    <w:name w:val=" Char Char Char Char"/>
    <w:basedOn w:val="1"/>
    <w:qFormat/>
    <w:uiPriority w:val="0"/>
    <w:pPr>
      <w:widowControl/>
      <w:spacing w:after="160" w:afterLines="0" w:line="240" w:lineRule="exact"/>
      <w:jc w:val="left"/>
    </w:pPr>
  </w:style>
  <w:style w:type="paragraph" w:customStyle="1" w:styleId="93">
    <w:name w:val="样式 标题 1 + 居中 段前: 0 磅 段后: 0 磅 行距: 固定值 30 磅"/>
    <w:basedOn w:val="2"/>
    <w:qFormat/>
    <w:uiPriority w:val="0"/>
    <w:pPr>
      <w:spacing w:before="0" w:beforeLines="0" w:after="0" w:afterLines="0" w:line="600" w:lineRule="exact"/>
      <w:jc w:val="center"/>
    </w:pPr>
    <w:rPr>
      <w:rFonts w:cs="宋体"/>
      <w:szCs w:val="20"/>
    </w:rPr>
  </w:style>
  <w:style w:type="paragraph" w:customStyle="1" w:styleId="94">
    <w:name w:val="正文缩进1"/>
    <w:basedOn w:val="1"/>
    <w:next w:val="14"/>
    <w:qFormat/>
    <w:uiPriority w:val="0"/>
    <w:pPr>
      <w:autoSpaceDE w:val="0"/>
      <w:autoSpaceDN w:val="0"/>
      <w:adjustRightInd w:val="0"/>
      <w:snapToGrid w:val="0"/>
      <w:spacing w:after="120" w:line="360" w:lineRule="auto"/>
      <w:ind w:left="420" w:leftChars="200" w:firstLine="480" w:firstLineChars="200"/>
    </w:pPr>
    <w:rPr>
      <w:sz w:val="24"/>
      <w:szCs w:val="21"/>
    </w:rPr>
  </w:style>
  <w:style w:type="paragraph" w:customStyle="1" w:styleId="95">
    <w:name w:val="p0"/>
    <w:basedOn w:val="1"/>
    <w:qFormat/>
    <w:uiPriority w:val="0"/>
    <w:pPr>
      <w:widowControl/>
    </w:pPr>
    <w:rPr>
      <w:kern w:val="0"/>
      <w:szCs w:val="21"/>
    </w:rPr>
  </w:style>
  <w:style w:type="paragraph" w:customStyle="1" w:styleId="96">
    <w:name w:val="默认段落字体 Para Char Char Char Char Char Char Char Char Char1 Char Char Char Char"/>
    <w:basedOn w:val="1"/>
    <w:qFormat/>
    <w:uiPriority w:val="0"/>
    <w:rPr>
      <w:rFonts w:ascii="Tahoma" w:hAnsi="Tahoma"/>
      <w:sz w:val="24"/>
      <w:szCs w:val="20"/>
    </w:rPr>
  </w:style>
  <w:style w:type="character" w:customStyle="1" w:styleId="97">
    <w:name w:val="正文文本 字符"/>
    <w:qFormat/>
    <w:uiPriority w:val="99"/>
    <w:rPr>
      <w:kern w:val="2"/>
      <w:sz w:val="21"/>
      <w:szCs w:val="24"/>
    </w:rPr>
  </w:style>
  <w:style w:type="character" w:customStyle="1" w:styleId="98">
    <w:name w:val="纯文本 字符"/>
    <w:qFormat/>
    <w:uiPriority w:val="0"/>
    <w:rPr>
      <w:rFonts w:ascii="宋体" w:hAnsi="Courier New"/>
      <w:kern w:val="2"/>
      <w:sz w:val="21"/>
    </w:rPr>
  </w:style>
  <w:style w:type="character" w:customStyle="1" w:styleId="99">
    <w:name w:val="标题 1 字符"/>
    <w:qFormat/>
    <w:uiPriority w:val="0"/>
    <w:rPr>
      <w:b/>
      <w:bCs/>
      <w:kern w:val="44"/>
      <w:sz w:val="44"/>
      <w:szCs w:val="44"/>
    </w:rPr>
  </w:style>
  <w:style w:type="character" w:customStyle="1" w:styleId="100">
    <w:name w:val="标题 2 字符"/>
    <w:qFormat/>
    <w:uiPriority w:val="0"/>
    <w:rPr>
      <w:rFonts w:ascii="Arial" w:hAnsi="Arial" w:eastAsia="黑体"/>
      <w:b/>
      <w:bCs/>
      <w:kern w:val="2"/>
      <w:sz w:val="32"/>
      <w:szCs w:val="32"/>
    </w:rPr>
  </w:style>
  <w:style w:type="character" w:customStyle="1" w:styleId="101">
    <w:name w:val="标题 3 字符"/>
    <w:qFormat/>
    <w:uiPriority w:val="0"/>
    <w:rPr>
      <w:b/>
      <w:bCs/>
      <w:kern w:val="2"/>
      <w:sz w:val="32"/>
      <w:szCs w:val="32"/>
    </w:rPr>
  </w:style>
  <w:style w:type="character" w:customStyle="1" w:styleId="102">
    <w:name w:val="标题 4 字符"/>
    <w:qFormat/>
    <w:uiPriority w:val="0"/>
    <w:rPr>
      <w:rFonts w:ascii="Arial" w:eastAsia="黑体"/>
      <w:sz w:val="28"/>
    </w:rPr>
  </w:style>
  <w:style w:type="character" w:customStyle="1" w:styleId="103">
    <w:name w:val="标题 5 字符"/>
    <w:qFormat/>
    <w:uiPriority w:val="9"/>
    <w:rPr>
      <w:b/>
      <w:bCs/>
      <w:kern w:val="2"/>
      <w:sz w:val="28"/>
      <w:szCs w:val="28"/>
    </w:rPr>
  </w:style>
  <w:style w:type="character" w:customStyle="1" w:styleId="104">
    <w:name w:val="文档结构图 字符"/>
    <w:qFormat/>
    <w:uiPriority w:val="0"/>
    <w:rPr>
      <w:rFonts w:ascii="宋体"/>
      <w:kern w:val="2"/>
      <w:sz w:val="18"/>
      <w:szCs w:val="18"/>
    </w:rPr>
  </w:style>
  <w:style w:type="character" w:customStyle="1" w:styleId="105">
    <w:name w:val="批注文字 字符"/>
    <w:qFormat/>
    <w:uiPriority w:val="0"/>
    <w:rPr>
      <w:kern w:val="2"/>
      <w:sz w:val="21"/>
      <w:szCs w:val="24"/>
    </w:rPr>
  </w:style>
  <w:style w:type="character" w:customStyle="1" w:styleId="106">
    <w:name w:val="正文文本 3 字符"/>
    <w:qFormat/>
    <w:uiPriority w:val="99"/>
    <w:rPr>
      <w:kern w:val="2"/>
      <w:sz w:val="16"/>
      <w:szCs w:val="16"/>
    </w:rPr>
  </w:style>
  <w:style w:type="character" w:customStyle="1" w:styleId="107">
    <w:name w:val="正文文本缩进 字符"/>
    <w:qFormat/>
    <w:uiPriority w:val="0"/>
    <w:rPr>
      <w:rFonts w:ascii="宋体" w:hAnsi="Courier New"/>
      <w:spacing w:val="-4"/>
      <w:kern w:val="2"/>
      <w:sz w:val="18"/>
    </w:rPr>
  </w:style>
  <w:style w:type="character" w:customStyle="1" w:styleId="108">
    <w:name w:val="日期 字符"/>
    <w:qFormat/>
    <w:uiPriority w:val="0"/>
    <w:rPr>
      <w:kern w:val="2"/>
      <w:sz w:val="21"/>
      <w:szCs w:val="24"/>
    </w:rPr>
  </w:style>
  <w:style w:type="character" w:customStyle="1" w:styleId="109">
    <w:name w:val="正文文本缩进 2 字符"/>
    <w:qFormat/>
    <w:uiPriority w:val="0"/>
    <w:rPr>
      <w:kern w:val="2"/>
      <w:sz w:val="21"/>
      <w:szCs w:val="24"/>
    </w:rPr>
  </w:style>
  <w:style w:type="character" w:customStyle="1" w:styleId="110">
    <w:name w:val="批注框文本 字符"/>
    <w:qFormat/>
    <w:uiPriority w:val="0"/>
    <w:rPr>
      <w:kern w:val="2"/>
      <w:sz w:val="18"/>
      <w:szCs w:val="18"/>
    </w:rPr>
  </w:style>
  <w:style w:type="character" w:customStyle="1" w:styleId="111">
    <w:name w:val="页脚 字符1"/>
    <w:qFormat/>
    <w:uiPriority w:val="99"/>
    <w:rPr>
      <w:kern w:val="2"/>
      <w:sz w:val="18"/>
      <w:szCs w:val="18"/>
    </w:rPr>
  </w:style>
  <w:style w:type="character" w:customStyle="1" w:styleId="112">
    <w:name w:val="页眉 字符1"/>
    <w:qFormat/>
    <w:uiPriority w:val="99"/>
    <w:rPr>
      <w:kern w:val="2"/>
      <w:sz w:val="18"/>
      <w:szCs w:val="18"/>
    </w:rPr>
  </w:style>
  <w:style w:type="character" w:customStyle="1" w:styleId="113">
    <w:name w:val="批注主题 字符"/>
    <w:qFormat/>
    <w:uiPriority w:val="99"/>
    <w:rPr>
      <w:b/>
      <w:bCs/>
      <w:kern w:val="2"/>
      <w:sz w:val="21"/>
      <w:szCs w:val="24"/>
    </w:rPr>
  </w:style>
  <w:style w:type="paragraph" w:customStyle="1" w:styleId="114">
    <w:name w:val="_Style 117"/>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15">
    <w:name w:val="纯文本 字符1"/>
    <w:semiHidden/>
    <w:qFormat/>
    <w:locked/>
    <w:uiPriority w:val="0"/>
    <w:rPr>
      <w:rFonts w:ascii="宋体" w:hAnsi="Courier New"/>
      <w:kern w:val="2"/>
      <w:sz w:val="21"/>
    </w:rPr>
  </w:style>
  <w:style w:type="paragraph" w:customStyle="1" w:styleId="116">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117">
    <w:name w:val="font41"/>
    <w:basedOn w:val="35"/>
    <w:qFormat/>
    <w:uiPriority w:val="0"/>
    <w:rPr>
      <w:rFonts w:hint="eastAsia" w:ascii="宋体" w:hAnsi="宋体" w:eastAsia="宋体" w:cs="宋体"/>
      <w:color w:val="000000"/>
      <w:sz w:val="20"/>
      <w:szCs w:val="20"/>
      <w:u w:val="none"/>
    </w:rPr>
  </w:style>
  <w:style w:type="character" w:customStyle="1" w:styleId="118">
    <w:name w:val="font61"/>
    <w:basedOn w:val="35"/>
    <w:qFormat/>
    <w:uiPriority w:val="0"/>
    <w:rPr>
      <w:rFonts w:hint="eastAsia" w:ascii="宋体" w:hAnsi="宋体" w:eastAsia="宋体" w:cs="宋体"/>
      <w:color w:val="000000"/>
      <w:sz w:val="20"/>
      <w:szCs w:val="20"/>
      <w:u w:val="none"/>
    </w:rPr>
  </w:style>
  <w:style w:type="paragraph" w:customStyle="1" w:styleId="119">
    <w:name w:val="acbfdd8b-e11b-4d36-88ff-6049b138f862"/>
    <w:basedOn w:val="13"/>
    <w:qFormat/>
    <w:uiPriority w:val="0"/>
    <w:pPr>
      <w:autoSpaceDE w:val="0"/>
      <w:autoSpaceDN w:val="0"/>
      <w:adjustRightInd w:val="0"/>
      <w:spacing w:after="0" w:line="288" w:lineRule="auto"/>
      <w:jc w:val="left"/>
    </w:pPr>
    <w:rPr>
      <w:rFonts w:ascii="微软雅黑" w:hAnsi="微软雅黑" w:eastAsia="微软雅黑" w:cs="宋体"/>
      <w:color w:val="000000"/>
      <w:sz w:val="22"/>
    </w:rPr>
  </w:style>
  <w:style w:type="paragraph" w:customStyle="1" w:styleId="120">
    <w:name w:val="xl32"/>
    <w:basedOn w:val="1"/>
    <w:qFormat/>
    <w:uiPriority w:val="0"/>
    <w:pPr>
      <w:widowControl/>
      <w:pBdr>
        <w:left w:val="single" w:color="auto" w:sz="4" w:space="0"/>
        <w:right w:val="single" w:color="auto" w:sz="4" w:space="0"/>
      </w:pBdr>
      <w:spacing w:before="100" w:beforeAutospacing="1" w:after="100" w:afterAutospacing="1"/>
      <w:textAlignment w:val="center"/>
    </w:pPr>
    <w:rPr>
      <w:rFonts w:eastAsia="宋体"/>
      <w:kern w:val="0"/>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1.jpeg"/><Relationship Id="rId3" Type="http://schemas.openxmlformats.org/officeDocument/2006/relationships/header" Target="header1.xml"/><Relationship Id="rId29" Type="http://schemas.openxmlformats.org/officeDocument/2006/relationships/theme" Target="theme/theme1.xml"/><Relationship Id="rId28" Type="http://schemas.openxmlformats.org/officeDocument/2006/relationships/footer" Target="footer19.xml"/><Relationship Id="rId27" Type="http://schemas.openxmlformats.org/officeDocument/2006/relationships/footer" Target="footer18.xml"/><Relationship Id="rId26" Type="http://schemas.openxmlformats.org/officeDocument/2006/relationships/footer" Target="footer17.xml"/><Relationship Id="rId25" Type="http://schemas.openxmlformats.org/officeDocument/2006/relationships/footer" Target="footer16.xml"/><Relationship Id="rId24" Type="http://schemas.openxmlformats.org/officeDocument/2006/relationships/header" Target="header7.xml"/><Relationship Id="rId23" Type="http://schemas.openxmlformats.org/officeDocument/2006/relationships/footer" Target="footer15.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header" Target="header6.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header" Target="header5.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admin</Company>
  <Pages>104</Pages>
  <Words>9795</Words>
  <Characters>10550</Characters>
  <Lines>1</Lines>
  <Paragraphs>1</Paragraphs>
  <TotalTime>1</TotalTime>
  <ScaleCrop>false</ScaleCrop>
  <LinksUpToDate>false</LinksUpToDate>
  <CharactersWithSpaces>10771</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2021-08-24T09:16:00Z</dcterms:created>
  <dc:creator>LSK</dc:creator>
  <dc:description>Shankar's Birthday falls on 25th July.  Don't Forget to wish him</dc:description>
  <cp:keywords>Birthday</cp:keywords>
  <cp:lastModifiedBy>解忧</cp:lastModifiedBy>
  <cp:lastPrinted>2021-08-17T11:26:00Z</cp:lastPrinted>
  <dcterms:modified xsi:type="dcterms:W3CDTF">2026-09-24T08:15:25Z</dcterms:modified>
  <dc:subject>Birthday </dc:subject>
  <dc:title>Are You suprised ?</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730D8F46DDB84AE3889ACE2A9F6DF19A_13</vt:lpwstr>
  </property>
  <property fmtid="{D5CDD505-2E9C-101B-9397-08002B2CF9AE}" pid="4" name="KSOTemplateDocerSaveRecord">
    <vt:lpwstr>eyJoZGlkIjoiNjRjZGViY2Q5ZDY0M2IzNjljMDEwZWJkNWQ2Mjk1MTgiLCJ1c2VySWQiOiIxNDEwMjUwMTg3In0=</vt:lpwstr>
  </property>
</Properties>
</file>