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8026A">
      <w:pPr>
        <w:pStyle w:val="2"/>
        <w:keepNext w:val="0"/>
        <w:keepLines w:val="0"/>
        <w:tabs>
          <w:tab w:val="left" w:pos="0"/>
          <w:tab w:val="left" w:pos="3165"/>
          <w:tab w:val="center" w:pos="4153"/>
        </w:tabs>
        <w:autoSpaceDE w:val="0"/>
        <w:autoSpaceDN w:val="0"/>
        <w:adjustRightInd w:val="0"/>
        <w:spacing w:before="0" w:after="0" w:line="360" w:lineRule="auto"/>
        <w:jc w:val="center"/>
      </w:pPr>
      <w:bookmarkStart w:id="0" w:name="_Toc27979"/>
      <w:bookmarkStart w:id="12" w:name="_GoBack"/>
      <w:bookmarkEnd w:id="12"/>
      <w:r>
        <w:rPr>
          <w:rFonts w:hint="eastAsia"/>
        </w:rPr>
        <w:t>采购需求</w:t>
      </w:r>
      <w:bookmarkEnd w:id="0"/>
    </w:p>
    <w:p w14:paraId="2DD03449">
      <w:pPr>
        <w:spacing w:line="360" w:lineRule="auto"/>
        <w:jc w:val="left"/>
        <w:rPr>
          <w:rFonts w:hint="eastAsia" w:ascii="宋体" w:hAnsi="宋体" w:cs="宋体"/>
          <w:szCs w:val="21"/>
        </w:rPr>
      </w:pPr>
      <w:bookmarkStart w:id="1" w:name="_Toc254970490"/>
      <w:bookmarkStart w:id="2" w:name="_Toc254970631"/>
    </w:p>
    <w:p w14:paraId="2B5B89D6">
      <w:pPr>
        <w:spacing w:line="360" w:lineRule="auto"/>
        <w:jc w:val="left"/>
        <w:rPr>
          <w:rFonts w:hint="eastAsia" w:ascii="宋体" w:hAnsi="宋体" w:cs="宋体"/>
          <w:szCs w:val="21"/>
        </w:rPr>
      </w:pPr>
      <w:r>
        <w:rPr>
          <w:rFonts w:hint="eastAsia" w:ascii="宋体" w:hAnsi="宋体" w:cs="宋体"/>
          <w:szCs w:val="21"/>
        </w:rPr>
        <w:t>说明：</w:t>
      </w:r>
    </w:p>
    <w:p w14:paraId="1AAAA24A">
      <w:pPr>
        <w:spacing w:line="360" w:lineRule="auto"/>
        <w:ind w:firstLine="420" w:firstLineChars="200"/>
        <w:jc w:val="left"/>
        <w:rPr>
          <w:rFonts w:hint="eastAsia" w:ascii="宋体" w:hAnsi="宋体"/>
        </w:rPr>
      </w:pPr>
      <w:r>
        <w:rPr>
          <w:rFonts w:hint="eastAsia" w:ascii="宋体" w:hAnsi="宋体"/>
        </w:rPr>
        <w:t>1.为落实政府采购政策需满足的要求</w:t>
      </w:r>
    </w:p>
    <w:p w14:paraId="5946AA96">
      <w:pPr>
        <w:spacing w:line="360" w:lineRule="auto"/>
        <w:ind w:firstLine="420" w:firstLineChars="200"/>
        <w:jc w:val="left"/>
        <w:rPr>
          <w:rFonts w:hint="eastAsia" w:ascii="宋体" w:hAnsi="宋体" w:cs="宋体"/>
          <w:szCs w:val="21"/>
        </w:rPr>
      </w:pPr>
      <w:r>
        <w:rPr>
          <w:rFonts w:hint="eastAsia" w:ascii="宋体" w:hAnsi="宋体" w:cs="宋体"/>
          <w:szCs w:val="21"/>
        </w:rPr>
        <w:t>本招标文件（以下或简称为“采购文件”）所称中小企业必须符合《政府采购促进中小企业发展管理办法》（财库〔2020〕46号）的规定。</w:t>
      </w:r>
    </w:p>
    <w:p w14:paraId="476212B1">
      <w:pPr>
        <w:spacing w:line="360" w:lineRule="auto"/>
        <w:ind w:firstLine="424" w:firstLineChars="202"/>
        <w:jc w:val="left"/>
        <w:rPr>
          <w:rFonts w:hint="eastAsia" w:ascii="宋体" w:hAnsi="宋体" w:cs="宋体"/>
          <w:szCs w:val="21"/>
        </w:rPr>
      </w:pPr>
      <w:r>
        <w:rPr>
          <w:rFonts w:hint="eastAsia" w:ascii="宋体" w:hAnsi="宋体" w:cs="宋体"/>
          <w:szCs w:val="21"/>
        </w:rPr>
        <w:t>2.“实质性要求”是指招标文件中已经指明不满足则投标无效的条款，或者不能负偏离的条款，或者采购需求中带“▲”的条款。</w:t>
      </w:r>
    </w:p>
    <w:p w14:paraId="7AFD863F">
      <w:pPr>
        <w:spacing w:line="360" w:lineRule="auto"/>
        <w:ind w:firstLine="426" w:firstLineChars="202"/>
        <w:jc w:val="left"/>
        <w:rPr>
          <w:rFonts w:hint="eastAsia" w:ascii="宋体" w:hAnsi="宋体"/>
        </w:rPr>
      </w:pPr>
      <w:r>
        <w:rPr>
          <w:rFonts w:hint="eastAsia" w:ascii="宋体" w:hAnsi="宋体" w:cs="宋体"/>
          <w:b/>
          <w:szCs w:val="21"/>
          <w:u w:val="single"/>
        </w:rPr>
        <w:t>本项目“技术要求及需求”及“商务要求”凡标注“▲”的条款或要求，投标人不响应或不满足的，投标文件即作无效处理；其他标注“▲”的事项或说明，投标人投标文件不符合要求的即作无效处理。</w:t>
      </w:r>
    </w:p>
    <w:p w14:paraId="3B470BAA">
      <w:pPr>
        <w:spacing w:line="360" w:lineRule="auto"/>
        <w:ind w:firstLine="424" w:firstLineChars="202"/>
        <w:jc w:val="left"/>
        <w:rPr>
          <w:rFonts w:hint="eastAsia" w:ascii="宋体" w:hAnsi="宋体"/>
        </w:rPr>
      </w:pPr>
      <w:r>
        <w:rPr>
          <w:rFonts w:hint="eastAsia" w:ascii="宋体" w:hAnsi="宋体" w:cs="宋体"/>
          <w:szCs w:val="21"/>
        </w:rPr>
        <w:t>3.</w:t>
      </w:r>
      <w:r>
        <w:rPr>
          <w:rFonts w:hint="eastAsia" w:ascii="宋体" w:hAnsi="宋体"/>
        </w:rPr>
        <w:t>投标人必须自行为其投标产品或技术服务侵犯他人的知识产权或者专利成果的行为承担相应法律责任。</w:t>
      </w:r>
    </w:p>
    <w:p w14:paraId="7B846E0A">
      <w:pPr>
        <w:spacing w:line="380" w:lineRule="exact"/>
        <w:ind w:firstLine="420" w:firstLineChars="200"/>
        <w:rPr>
          <w:rFonts w:hint="eastAsia" w:ascii="宋体" w:hAnsi="宋体"/>
          <w:kern w:val="0"/>
          <w:szCs w:val="21"/>
        </w:rPr>
      </w:pPr>
      <w:r>
        <w:rPr>
          <w:rFonts w:hint="eastAsia" w:ascii="宋体" w:hAnsi="宋体"/>
          <w:kern w:val="0"/>
          <w:szCs w:val="21"/>
        </w:rPr>
        <w:t>4.所属行业依照《中小企业划型标准规定》（工信部联企业〔2011〕300号）及《国民经济行业分类》（GB/T4754-2017）的有关规定执行。</w:t>
      </w:r>
    </w:p>
    <w:p w14:paraId="242470C7">
      <w:pPr>
        <w:spacing w:line="380" w:lineRule="exact"/>
        <w:ind w:firstLine="420" w:firstLineChars="200"/>
        <w:rPr>
          <w:rFonts w:hint="eastAsia" w:ascii="宋体" w:hAnsi="宋体"/>
          <w:b/>
          <w:szCs w:val="21"/>
          <w:u w:val="single"/>
        </w:rPr>
      </w:pPr>
      <w:r>
        <w:rPr>
          <w:rFonts w:hint="eastAsia" w:ascii="宋体" w:hAnsi="宋体"/>
          <w:szCs w:val="21"/>
        </w:rPr>
        <w:t>5.</w:t>
      </w:r>
      <w:r>
        <w:rPr>
          <w:rFonts w:hint="eastAsia" w:ascii="宋体" w:hAnsi="宋体"/>
          <w:b/>
          <w:szCs w:val="21"/>
          <w:u w:val="single"/>
        </w:rPr>
        <w:t>本项目采购需求表中，若有要求提供的证明文件材料或承诺书的，请在《技术要求偏离表》或《商务要求偏离表》中应答时，同时注明相关文件材料或承诺书放置的页码。</w:t>
      </w:r>
    </w:p>
    <w:p w14:paraId="3DD9DCE0">
      <w:pPr>
        <w:spacing w:line="360" w:lineRule="auto"/>
        <w:ind w:firstLine="308" w:firstLineChars="147"/>
        <w:jc w:val="left"/>
        <w:rPr>
          <w:rFonts w:hint="eastAsia" w:ascii="宋体" w:hAnsi="宋体"/>
        </w:rPr>
      </w:pPr>
    </w:p>
    <w:p w14:paraId="02299837">
      <w:pPr>
        <w:spacing w:line="360" w:lineRule="auto"/>
        <w:ind w:firstLine="310" w:firstLineChars="147"/>
        <w:jc w:val="left"/>
        <w:rPr>
          <w:rFonts w:hint="eastAsia" w:ascii="宋体" w:hAnsi="宋体" w:cs="Arial"/>
          <w:bCs/>
          <w:szCs w:val="21"/>
          <w:u w:val="single"/>
        </w:rPr>
      </w:pPr>
      <w:bookmarkStart w:id="3" w:name="OLE_LINK9"/>
      <w:r>
        <w:rPr>
          <w:rFonts w:hint="eastAsia" w:ascii="宋体" w:hAnsi="宋体"/>
          <w:b/>
          <w:szCs w:val="21"/>
        </w:rPr>
        <w:t>单分标   采购预算：</w:t>
      </w:r>
      <w:r>
        <w:rPr>
          <w:rFonts w:hint="eastAsia" w:ascii="宋体" w:hAnsi="宋体"/>
          <w:szCs w:val="21"/>
          <w:u w:val="single"/>
        </w:rPr>
        <w:t xml:space="preserve"> 330万元 </w:t>
      </w:r>
    </w:p>
    <w:tbl>
      <w:tblPr>
        <w:tblStyle w:val="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3"/>
        <w:gridCol w:w="1249"/>
        <w:gridCol w:w="938"/>
        <w:gridCol w:w="780"/>
        <w:gridCol w:w="6144"/>
      </w:tblGrid>
      <w:tr w14:paraId="20F21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01356C41">
            <w:pPr>
              <w:spacing w:line="360" w:lineRule="exact"/>
              <w:rPr>
                <w:rFonts w:hint="eastAsia" w:ascii="宋体" w:hAnsi="宋体"/>
                <w:b/>
                <w:bCs/>
                <w:szCs w:val="21"/>
              </w:rPr>
            </w:pPr>
            <w:bookmarkStart w:id="4" w:name="_Hlk217404305"/>
            <w:r>
              <w:rPr>
                <w:rFonts w:hint="eastAsia" w:ascii="宋体" w:hAnsi="宋体"/>
                <w:b/>
                <w:bCs/>
                <w:szCs w:val="21"/>
              </w:rPr>
              <w:t>一、项目服务需求及要求</w:t>
            </w:r>
          </w:p>
        </w:tc>
      </w:tr>
      <w:tr w14:paraId="60C33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77" w:type="pct"/>
            <w:tcBorders>
              <w:top w:val="single" w:color="000000" w:sz="4" w:space="0"/>
              <w:left w:val="single" w:color="000000" w:sz="4" w:space="0"/>
              <w:bottom w:val="single" w:color="000000" w:sz="4" w:space="0"/>
              <w:right w:val="single" w:color="000000" w:sz="4" w:space="0"/>
            </w:tcBorders>
            <w:vAlign w:val="center"/>
          </w:tcPr>
          <w:p w14:paraId="320D643D">
            <w:pPr>
              <w:spacing w:line="360" w:lineRule="exact"/>
              <w:jc w:val="center"/>
              <w:rPr>
                <w:rFonts w:hint="eastAsia" w:ascii="宋体" w:hAnsi="宋体"/>
                <w:szCs w:val="21"/>
              </w:rPr>
            </w:pPr>
            <w:r>
              <w:rPr>
                <w:rFonts w:hint="eastAsia" w:ascii="宋体" w:hAnsi="宋体"/>
                <w:szCs w:val="21"/>
              </w:rPr>
              <w:t>序号</w:t>
            </w:r>
          </w:p>
        </w:tc>
        <w:tc>
          <w:tcPr>
            <w:tcW w:w="634" w:type="pct"/>
            <w:tcBorders>
              <w:top w:val="single" w:color="000000" w:sz="4" w:space="0"/>
              <w:left w:val="single" w:color="000000" w:sz="4" w:space="0"/>
              <w:bottom w:val="single" w:color="000000" w:sz="4" w:space="0"/>
              <w:right w:val="single" w:color="000000" w:sz="4" w:space="0"/>
            </w:tcBorders>
            <w:vAlign w:val="center"/>
          </w:tcPr>
          <w:p w14:paraId="45AEE53A">
            <w:pPr>
              <w:spacing w:line="360" w:lineRule="exact"/>
              <w:jc w:val="center"/>
              <w:rPr>
                <w:rFonts w:hint="eastAsia" w:ascii="宋体" w:hAnsi="宋体"/>
                <w:szCs w:val="21"/>
              </w:rPr>
            </w:pPr>
            <w:r>
              <w:rPr>
                <w:rFonts w:hint="eastAsia" w:ascii="宋体" w:hAnsi="宋体"/>
                <w:szCs w:val="21"/>
              </w:rPr>
              <w:t>标的名称</w:t>
            </w:r>
          </w:p>
        </w:tc>
        <w:tc>
          <w:tcPr>
            <w:tcW w:w="476" w:type="pct"/>
            <w:tcBorders>
              <w:top w:val="single" w:color="000000" w:sz="4" w:space="0"/>
              <w:left w:val="single" w:color="000000" w:sz="4" w:space="0"/>
              <w:bottom w:val="single" w:color="000000" w:sz="4" w:space="0"/>
              <w:right w:val="single" w:color="000000" w:sz="4" w:space="0"/>
            </w:tcBorders>
            <w:vAlign w:val="center"/>
          </w:tcPr>
          <w:p w14:paraId="2B1E2953">
            <w:pPr>
              <w:spacing w:line="360" w:lineRule="exact"/>
              <w:jc w:val="center"/>
              <w:rPr>
                <w:rFonts w:hint="eastAsia" w:ascii="宋体" w:hAnsi="宋体"/>
                <w:szCs w:val="21"/>
              </w:rPr>
            </w:pPr>
            <w:r>
              <w:rPr>
                <w:rFonts w:hint="eastAsia" w:ascii="宋体" w:hAnsi="宋体"/>
                <w:szCs w:val="21"/>
              </w:rPr>
              <w:t>数量及单位</w:t>
            </w:r>
          </w:p>
        </w:tc>
        <w:tc>
          <w:tcPr>
            <w:tcW w:w="396" w:type="pct"/>
            <w:tcBorders>
              <w:top w:val="single" w:color="000000" w:sz="4" w:space="0"/>
              <w:left w:val="single" w:color="000000" w:sz="4" w:space="0"/>
              <w:bottom w:val="single" w:color="000000" w:sz="4" w:space="0"/>
              <w:right w:val="single" w:color="000000" w:sz="4" w:space="0"/>
            </w:tcBorders>
            <w:vAlign w:val="center"/>
          </w:tcPr>
          <w:p w14:paraId="7F12E0DA">
            <w:pPr>
              <w:spacing w:line="360" w:lineRule="exact"/>
              <w:jc w:val="center"/>
              <w:rPr>
                <w:rFonts w:hint="eastAsia" w:ascii="宋体" w:hAnsi="宋体"/>
                <w:szCs w:val="21"/>
              </w:rPr>
            </w:pPr>
            <w:r>
              <w:rPr>
                <w:rFonts w:hint="eastAsia" w:ascii="宋体" w:hAnsi="宋体"/>
                <w:szCs w:val="21"/>
              </w:rPr>
              <w:t>所属行业</w:t>
            </w:r>
          </w:p>
        </w:tc>
        <w:tc>
          <w:tcPr>
            <w:tcW w:w="3117" w:type="pct"/>
            <w:tcBorders>
              <w:top w:val="single" w:color="000000" w:sz="4" w:space="0"/>
              <w:left w:val="single" w:color="000000" w:sz="4" w:space="0"/>
              <w:bottom w:val="single" w:color="000000" w:sz="4" w:space="0"/>
              <w:right w:val="single" w:color="000000" w:sz="4" w:space="0"/>
            </w:tcBorders>
            <w:vAlign w:val="center"/>
          </w:tcPr>
          <w:p w14:paraId="6CD98195">
            <w:pPr>
              <w:spacing w:line="360" w:lineRule="exact"/>
              <w:jc w:val="center"/>
              <w:rPr>
                <w:rFonts w:hint="eastAsia" w:ascii="宋体" w:hAnsi="宋体"/>
                <w:szCs w:val="21"/>
              </w:rPr>
            </w:pPr>
            <w:r>
              <w:rPr>
                <w:rFonts w:hint="eastAsia" w:ascii="宋体" w:hAnsi="宋体"/>
                <w:szCs w:val="21"/>
              </w:rPr>
              <w:t>技术要求及需求</w:t>
            </w:r>
          </w:p>
        </w:tc>
      </w:tr>
      <w:tr w14:paraId="50653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77" w:type="pct"/>
            <w:tcBorders>
              <w:top w:val="single" w:color="000000" w:sz="4" w:space="0"/>
              <w:left w:val="single" w:color="000000" w:sz="4" w:space="0"/>
              <w:bottom w:val="single" w:color="000000" w:sz="4" w:space="0"/>
              <w:right w:val="single" w:color="000000" w:sz="4" w:space="0"/>
            </w:tcBorders>
            <w:vAlign w:val="center"/>
          </w:tcPr>
          <w:p w14:paraId="65EBF8AA">
            <w:pPr>
              <w:spacing w:line="360" w:lineRule="exact"/>
              <w:jc w:val="center"/>
              <w:rPr>
                <w:rFonts w:hint="eastAsia" w:ascii="宋体" w:hAnsi="宋体"/>
                <w:szCs w:val="21"/>
              </w:rPr>
            </w:pPr>
            <w:bookmarkStart w:id="5" w:name="_Hlk212988479"/>
            <w:r>
              <w:rPr>
                <w:rFonts w:hint="eastAsia" w:ascii="宋体" w:hAnsi="宋体"/>
                <w:szCs w:val="21"/>
              </w:rPr>
              <w:t>1</w:t>
            </w:r>
          </w:p>
        </w:tc>
        <w:tc>
          <w:tcPr>
            <w:tcW w:w="634" w:type="pct"/>
            <w:tcBorders>
              <w:top w:val="single" w:color="000000" w:sz="4" w:space="0"/>
              <w:left w:val="single" w:color="000000" w:sz="4" w:space="0"/>
              <w:bottom w:val="single" w:color="000000" w:sz="4" w:space="0"/>
              <w:right w:val="single" w:color="000000" w:sz="4" w:space="0"/>
            </w:tcBorders>
            <w:vAlign w:val="center"/>
          </w:tcPr>
          <w:p w14:paraId="58CF7500">
            <w:pPr>
              <w:widowControl/>
              <w:spacing w:line="360" w:lineRule="exact"/>
              <w:jc w:val="center"/>
              <w:rPr>
                <w:rFonts w:hint="eastAsia" w:ascii="宋体" w:hAnsi="宋体" w:cs="宋体"/>
                <w:kern w:val="0"/>
                <w:szCs w:val="21"/>
              </w:rPr>
            </w:pPr>
            <w:r>
              <w:rPr>
                <w:rFonts w:hint="eastAsia" w:ascii="宋体" w:hAnsi="宋体" w:cs="宋体"/>
                <w:kern w:val="0"/>
                <w:szCs w:val="21"/>
              </w:rPr>
              <w:t>广西教育数据中心信息系统（网站）基础软件运维服务</w:t>
            </w:r>
          </w:p>
        </w:tc>
        <w:tc>
          <w:tcPr>
            <w:tcW w:w="476" w:type="pct"/>
            <w:tcBorders>
              <w:top w:val="single" w:color="000000" w:sz="4" w:space="0"/>
              <w:left w:val="single" w:color="000000" w:sz="4" w:space="0"/>
              <w:bottom w:val="single" w:color="000000" w:sz="4" w:space="0"/>
              <w:right w:val="single" w:color="000000" w:sz="4" w:space="0"/>
            </w:tcBorders>
            <w:vAlign w:val="center"/>
          </w:tcPr>
          <w:p w14:paraId="536CDDC9">
            <w:pPr>
              <w:spacing w:line="360" w:lineRule="exact"/>
              <w:jc w:val="center"/>
              <w:rPr>
                <w:rFonts w:hint="eastAsia" w:ascii="宋体" w:hAnsi="宋体"/>
                <w:szCs w:val="21"/>
              </w:rPr>
            </w:pPr>
            <w:r>
              <w:rPr>
                <w:rFonts w:hint="eastAsia" w:ascii="宋体" w:hAnsi="宋体"/>
                <w:szCs w:val="21"/>
              </w:rPr>
              <w:t>1项</w:t>
            </w:r>
          </w:p>
        </w:tc>
        <w:tc>
          <w:tcPr>
            <w:tcW w:w="396" w:type="pct"/>
            <w:tcBorders>
              <w:top w:val="single" w:color="000000" w:sz="4" w:space="0"/>
              <w:left w:val="single" w:color="000000" w:sz="4" w:space="0"/>
              <w:bottom w:val="single" w:color="000000" w:sz="4" w:space="0"/>
              <w:right w:val="single" w:color="000000" w:sz="4" w:space="0"/>
            </w:tcBorders>
            <w:vAlign w:val="center"/>
          </w:tcPr>
          <w:p w14:paraId="335C7DCB">
            <w:pPr>
              <w:spacing w:line="360" w:lineRule="exact"/>
              <w:jc w:val="center"/>
              <w:rPr>
                <w:rFonts w:hint="eastAsia" w:ascii="宋体" w:hAnsi="宋体"/>
                <w:szCs w:val="21"/>
              </w:rPr>
            </w:pPr>
            <w:r>
              <w:rPr>
                <w:rFonts w:hint="eastAsia" w:ascii="宋体" w:hAnsi="宋体"/>
                <w:szCs w:val="21"/>
              </w:rPr>
              <w:t>软件和信息技术服务业</w:t>
            </w:r>
          </w:p>
        </w:tc>
        <w:tc>
          <w:tcPr>
            <w:tcW w:w="3117" w:type="pct"/>
            <w:tcBorders>
              <w:top w:val="single" w:color="000000" w:sz="4" w:space="0"/>
              <w:left w:val="single" w:color="000000" w:sz="4" w:space="0"/>
              <w:bottom w:val="single" w:color="000000" w:sz="4" w:space="0"/>
              <w:right w:val="single" w:color="000000" w:sz="4" w:space="0"/>
            </w:tcBorders>
            <w:vAlign w:val="center"/>
          </w:tcPr>
          <w:p w14:paraId="35866024">
            <w:pPr>
              <w:spacing w:line="360" w:lineRule="exact"/>
              <w:ind w:firstLine="430"/>
              <w:rPr>
                <w:rFonts w:hint="eastAsia" w:ascii="宋体" w:hAnsi="宋体" w:cs="宋体"/>
                <w:szCs w:val="21"/>
              </w:rPr>
            </w:pPr>
            <w:r>
              <w:rPr>
                <w:rFonts w:hint="eastAsia" w:ascii="宋体" w:hAnsi="宋体" w:cs="宋体"/>
                <w:szCs w:val="21"/>
              </w:rPr>
              <w:t>根据广西教育技术和信息化中心的实际要求，运维服务涵盖信息系统运维服务、教育数据治理运行维护服务等，服务期3年。</w:t>
            </w:r>
          </w:p>
          <w:p w14:paraId="50A6ACC9">
            <w:pPr>
              <w:spacing w:line="360" w:lineRule="exact"/>
              <w:ind w:firstLine="430"/>
              <w:rPr>
                <w:rFonts w:hint="eastAsia" w:ascii="宋体" w:hAnsi="宋体" w:cs="宋体"/>
                <w:b/>
                <w:bCs/>
                <w:szCs w:val="21"/>
              </w:rPr>
            </w:pPr>
            <w:r>
              <w:rPr>
                <w:rFonts w:hint="eastAsia" w:ascii="宋体" w:hAnsi="宋体" w:cs="宋体"/>
                <w:b/>
                <w:bCs/>
                <w:szCs w:val="21"/>
              </w:rPr>
              <w:t>（一）信息系统运维服务</w:t>
            </w:r>
          </w:p>
          <w:p w14:paraId="55E64BD0">
            <w:pPr>
              <w:spacing w:line="360" w:lineRule="exact"/>
              <w:ind w:firstLine="430"/>
              <w:rPr>
                <w:rFonts w:hint="eastAsia" w:ascii="宋体" w:hAnsi="宋体" w:cs="宋体"/>
                <w:szCs w:val="21"/>
              </w:rPr>
            </w:pPr>
            <w:r>
              <w:rPr>
                <w:rFonts w:hint="eastAsia" w:ascii="宋体" w:hAnsi="宋体" w:cs="宋体"/>
                <w:szCs w:val="21"/>
              </w:rPr>
              <w:t>运维范围包括数据中心现在承载的约42个</w:t>
            </w:r>
            <w:bookmarkStart w:id="6" w:name="OLE_LINK3"/>
            <w:r>
              <w:rPr>
                <w:rFonts w:hint="eastAsia" w:ascii="宋体" w:hAnsi="宋体" w:cs="宋体"/>
                <w:szCs w:val="21"/>
              </w:rPr>
              <w:t>信息系统（网站）</w:t>
            </w:r>
            <w:bookmarkEnd w:id="6"/>
            <w:r>
              <w:rPr>
                <w:rFonts w:hint="eastAsia" w:ascii="宋体" w:hAnsi="宋体" w:cs="宋体"/>
                <w:szCs w:val="21"/>
              </w:rPr>
              <w:t>和后续新上线的信息系统（网站）的全部运维工作，还包括协助和配合相关系统第三方厂商对这42个信息系统（网站）以及后续新上线的重要业务系统进行运维。信息系统（网站）清单详见本章附件1《广西教育数据中心信息系统（网站）清单》。</w:t>
            </w:r>
          </w:p>
          <w:p w14:paraId="1033E14E">
            <w:pPr>
              <w:spacing w:line="360" w:lineRule="exact"/>
              <w:ind w:firstLine="430"/>
              <w:rPr>
                <w:rFonts w:hint="eastAsia" w:ascii="宋体" w:hAnsi="宋体" w:cs="宋体"/>
                <w:szCs w:val="21"/>
              </w:rPr>
            </w:pPr>
            <w:r>
              <w:rPr>
                <w:rFonts w:hint="eastAsia" w:ascii="宋体" w:hAnsi="宋体" w:cs="宋体"/>
                <w:szCs w:val="21"/>
              </w:rPr>
              <w:t>▲1.负责信息系统巡检和实时监控，包括：</w:t>
            </w:r>
          </w:p>
          <w:p w14:paraId="26AAE43F">
            <w:pPr>
              <w:spacing w:line="360" w:lineRule="exact"/>
              <w:ind w:firstLine="430"/>
              <w:rPr>
                <w:rFonts w:hint="eastAsia" w:ascii="宋体" w:hAnsi="宋体" w:cs="宋体"/>
                <w:szCs w:val="21"/>
              </w:rPr>
            </w:pPr>
            <w:r>
              <w:rPr>
                <w:rFonts w:hint="eastAsia" w:ascii="宋体" w:hAnsi="宋体" w:cs="宋体"/>
                <w:szCs w:val="21"/>
              </w:rPr>
              <w:t>1.1工作日期间，每日开展日常巡检，主要包括系统运行状态巡查、虚拟服务器运行状态巡检、数据库运行状态巡查、系统日志检查等，于当日18</w:t>
            </w:r>
            <w:r>
              <w:rPr>
                <w:rFonts w:ascii="宋体" w:hAnsi="宋体" w:cs="宋体"/>
                <w:szCs w:val="21"/>
              </w:rPr>
              <w:t>:00</w:t>
            </w:r>
            <w:r>
              <w:rPr>
                <w:rFonts w:hint="eastAsia" w:ascii="宋体" w:hAnsi="宋体" w:cs="宋体"/>
                <w:szCs w:val="21"/>
              </w:rPr>
              <w:t>前提交巡检日报。</w:t>
            </w:r>
          </w:p>
          <w:p w14:paraId="4EE09EA3">
            <w:pPr>
              <w:spacing w:line="360" w:lineRule="exact"/>
              <w:ind w:firstLine="430"/>
              <w:rPr>
                <w:rFonts w:hint="eastAsia" w:ascii="宋体" w:hAnsi="宋体" w:cs="宋体"/>
                <w:szCs w:val="21"/>
              </w:rPr>
            </w:pPr>
            <w:r>
              <w:rPr>
                <w:rFonts w:hint="eastAsia" w:ascii="宋体" w:hAnsi="宋体" w:cs="宋体"/>
                <w:szCs w:val="21"/>
              </w:rPr>
              <w:t>1.1.1定期开展巡检，包括：系统性能趋势、系统配置、系统备份情况等，于每周最后一个工作日18:00前提交周巡检报告。</w:t>
            </w:r>
          </w:p>
          <w:p w14:paraId="67D0F4A7">
            <w:pPr>
              <w:spacing w:line="360" w:lineRule="exact"/>
              <w:ind w:firstLine="430"/>
              <w:rPr>
                <w:rFonts w:hint="eastAsia" w:ascii="宋体" w:hAnsi="宋体" w:cs="宋体"/>
                <w:szCs w:val="21"/>
              </w:rPr>
            </w:pPr>
            <w:r>
              <w:rPr>
                <w:rFonts w:hint="eastAsia" w:ascii="宋体" w:hAnsi="宋体" w:cs="宋体"/>
                <w:szCs w:val="21"/>
              </w:rPr>
              <w:t>1.1.2按采购人要求的规范流程进行处理和反馈，保障系统安全稳定运行。</w:t>
            </w:r>
          </w:p>
          <w:p w14:paraId="65A56D95">
            <w:pPr>
              <w:spacing w:line="360" w:lineRule="exact"/>
              <w:ind w:firstLine="430"/>
              <w:rPr>
                <w:rFonts w:hint="eastAsia" w:ascii="宋体" w:hAnsi="宋体" w:cs="宋体"/>
                <w:szCs w:val="21"/>
              </w:rPr>
            </w:pPr>
            <w:r>
              <w:rPr>
                <w:rFonts w:hint="eastAsia" w:ascii="宋体" w:hAnsi="宋体" w:cs="宋体"/>
                <w:szCs w:val="21"/>
              </w:rPr>
              <w:t>1.2通过运维监控系统对系统进行实时监控，包括但不限于对系统运行状态、虚拟服务器的CPU使用率、内存使用率、网络连通性、用户连接数等进行监控。</w:t>
            </w:r>
          </w:p>
          <w:p w14:paraId="6D8AF904">
            <w:pPr>
              <w:spacing w:line="360" w:lineRule="exact"/>
              <w:ind w:firstLine="430"/>
              <w:rPr>
                <w:rFonts w:hint="eastAsia" w:ascii="宋体" w:hAnsi="宋体" w:cs="宋体"/>
                <w:szCs w:val="21"/>
              </w:rPr>
            </w:pPr>
            <w:r>
              <w:rPr>
                <w:rFonts w:hint="eastAsia" w:ascii="宋体" w:hAnsi="宋体" w:cs="宋体"/>
                <w:szCs w:val="21"/>
              </w:rPr>
              <w:t>基于在采购人现有的技术架构下，每月定期对系统监控指标进行调整和优化。发现异常情况后，中标供应商须在15分钟内向采购人反馈，第一时间开展应急处置工作，并同步告知采购人异常概况，处置完毕后及时向采购人反馈处置结果。</w:t>
            </w:r>
          </w:p>
          <w:p w14:paraId="386C083B">
            <w:pPr>
              <w:spacing w:line="360" w:lineRule="exact"/>
              <w:ind w:firstLine="430"/>
              <w:rPr>
                <w:rFonts w:hint="eastAsia" w:ascii="宋体" w:hAnsi="宋体" w:cs="宋体"/>
                <w:szCs w:val="21"/>
              </w:rPr>
            </w:pPr>
            <w:r>
              <w:rPr>
                <w:rFonts w:hint="eastAsia" w:ascii="宋体" w:hAnsi="宋体" w:cs="宋体"/>
                <w:szCs w:val="21"/>
              </w:rPr>
              <w:t>▲2.负责信息系统日常维护，包括：</w:t>
            </w:r>
          </w:p>
          <w:p w14:paraId="32111676">
            <w:pPr>
              <w:spacing w:line="360" w:lineRule="exact"/>
              <w:ind w:firstLine="430"/>
              <w:rPr>
                <w:rFonts w:hint="eastAsia" w:ascii="宋体" w:hAnsi="宋体" w:cs="宋体"/>
                <w:szCs w:val="21"/>
              </w:rPr>
            </w:pPr>
            <w:r>
              <w:rPr>
                <w:rFonts w:hint="eastAsia" w:ascii="宋体" w:hAnsi="宋体" w:cs="宋体"/>
                <w:szCs w:val="21"/>
              </w:rPr>
              <w:t>（1）负责系统用户在使用过程的问题解答和使用故障处理，并收集记录新需求。</w:t>
            </w:r>
          </w:p>
          <w:p w14:paraId="7202BDFB">
            <w:pPr>
              <w:spacing w:line="360" w:lineRule="exact"/>
              <w:ind w:firstLine="430"/>
              <w:rPr>
                <w:rFonts w:hint="eastAsia" w:ascii="宋体" w:hAnsi="宋体" w:cs="宋体"/>
                <w:szCs w:val="21"/>
              </w:rPr>
            </w:pPr>
            <w:r>
              <w:rPr>
                <w:rFonts w:hint="eastAsia" w:ascii="宋体" w:hAnsi="宋体" w:cs="宋体"/>
                <w:szCs w:val="21"/>
              </w:rPr>
              <w:t>（2）负责系统的维护，及时做好系统基础数据更新和维护工作。</w:t>
            </w:r>
          </w:p>
          <w:p w14:paraId="255E2D0E">
            <w:pPr>
              <w:spacing w:line="360" w:lineRule="exact"/>
              <w:ind w:firstLine="430"/>
              <w:rPr>
                <w:rFonts w:hint="eastAsia" w:ascii="宋体" w:hAnsi="宋体" w:cs="宋体"/>
                <w:szCs w:val="21"/>
              </w:rPr>
            </w:pPr>
            <w:r>
              <w:rPr>
                <w:rFonts w:hint="eastAsia" w:ascii="宋体" w:hAnsi="宋体" w:cs="宋体"/>
                <w:szCs w:val="21"/>
              </w:rPr>
              <w:t>（3）按照采购人要求，对现有系统及时更新系统相关配置，按要求进行处理和反馈。</w:t>
            </w:r>
          </w:p>
          <w:p w14:paraId="3CD11A9A">
            <w:pPr>
              <w:spacing w:line="360" w:lineRule="exact"/>
              <w:ind w:firstLine="430"/>
              <w:rPr>
                <w:rFonts w:hint="eastAsia" w:ascii="宋体" w:hAnsi="宋体" w:cs="宋体"/>
                <w:szCs w:val="21"/>
              </w:rPr>
            </w:pPr>
            <w:r>
              <w:rPr>
                <w:rFonts w:hint="eastAsia" w:ascii="宋体" w:hAnsi="宋体" w:cs="宋体"/>
                <w:szCs w:val="21"/>
              </w:rPr>
              <w:t>（4）做好其它涉及系统的相关问题处理。对用户反映的问题及时解决并做好登记，及时向采购人提交相关处置报告。</w:t>
            </w:r>
          </w:p>
          <w:p w14:paraId="0BD5C8FE">
            <w:pPr>
              <w:spacing w:line="360" w:lineRule="exact"/>
              <w:ind w:firstLine="430"/>
              <w:rPr>
                <w:rFonts w:hint="eastAsia" w:ascii="宋体" w:hAnsi="宋体" w:cs="宋体"/>
                <w:szCs w:val="21"/>
              </w:rPr>
            </w:pPr>
            <w:r>
              <w:rPr>
                <w:rFonts w:hint="eastAsia" w:ascii="宋体" w:hAnsi="宋体" w:cs="宋体"/>
                <w:szCs w:val="21"/>
              </w:rPr>
              <w:t>（5）按照采购人要求与既定时限，完成新增系统配置更新工作，完成后同步向采购人反馈处置变更结果。</w:t>
            </w:r>
          </w:p>
          <w:p w14:paraId="2EA2F136">
            <w:pPr>
              <w:spacing w:line="360" w:lineRule="exact"/>
              <w:ind w:firstLine="430"/>
              <w:rPr>
                <w:rFonts w:hint="eastAsia" w:ascii="宋体" w:hAnsi="宋体" w:cs="宋体"/>
                <w:szCs w:val="21"/>
              </w:rPr>
            </w:pPr>
            <w:r>
              <w:rPr>
                <w:rFonts w:hint="eastAsia" w:ascii="宋体" w:hAnsi="宋体" w:cs="宋体"/>
                <w:szCs w:val="21"/>
              </w:rPr>
              <w:t>▲3.故障处理</w:t>
            </w:r>
          </w:p>
          <w:p w14:paraId="299DC8E5">
            <w:pPr>
              <w:spacing w:line="360" w:lineRule="exact"/>
              <w:ind w:firstLine="430"/>
              <w:rPr>
                <w:rFonts w:hint="eastAsia" w:ascii="宋体" w:hAnsi="宋体" w:cs="宋体"/>
                <w:szCs w:val="21"/>
              </w:rPr>
            </w:pPr>
            <w:r>
              <w:rPr>
                <w:rFonts w:hint="eastAsia" w:ascii="宋体" w:hAnsi="宋体" w:cs="宋体"/>
                <w:szCs w:val="21"/>
              </w:rPr>
              <w:t>对采购人申报的故障或服务请求、系统告警或巡检发现的系统故障进行排查、分析、处理，确认故障处理和恢复的结果，并在故障恢复后2个工作日内提交故障处理报告。</w:t>
            </w:r>
          </w:p>
          <w:p w14:paraId="45AE8089">
            <w:pPr>
              <w:spacing w:line="360" w:lineRule="exact"/>
              <w:ind w:firstLine="430"/>
              <w:rPr>
                <w:rFonts w:hint="eastAsia" w:ascii="宋体" w:hAnsi="宋体" w:cs="宋体"/>
                <w:szCs w:val="21"/>
              </w:rPr>
            </w:pPr>
            <w:r>
              <w:rPr>
                <w:rFonts w:hint="eastAsia" w:ascii="宋体" w:hAnsi="宋体" w:cs="宋体"/>
                <w:szCs w:val="21"/>
              </w:rPr>
              <w:t>（1）紧急事件：信息系统瘫痪、重大安全事件，响应时限≤15分钟，处理时限≤4小时。</w:t>
            </w:r>
          </w:p>
          <w:p w14:paraId="3CF2A4CA">
            <w:pPr>
              <w:spacing w:line="360" w:lineRule="exact"/>
              <w:ind w:firstLine="430"/>
              <w:rPr>
                <w:rFonts w:hint="eastAsia" w:ascii="宋体" w:hAnsi="宋体" w:cs="宋体"/>
                <w:szCs w:val="21"/>
              </w:rPr>
            </w:pPr>
            <w:r>
              <w:rPr>
                <w:rFonts w:hint="eastAsia" w:ascii="宋体" w:hAnsi="宋体" w:cs="宋体"/>
                <w:szCs w:val="21"/>
              </w:rPr>
              <w:t>（2）重要事件：重要系统故障、安全告警，响应时限≤15分钟，处理时限≤8小时。</w:t>
            </w:r>
          </w:p>
          <w:p w14:paraId="65DB8436">
            <w:pPr>
              <w:spacing w:line="360" w:lineRule="exact"/>
              <w:ind w:firstLine="430"/>
              <w:rPr>
                <w:rFonts w:hint="eastAsia" w:ascii="宋体" w:hAnsi="宋体" w:cs="宋体"/>
                <w:szCs w:val="21"/>
              </w:rPr>
            </w:pPr>
            <w:r>
              <w:rPr>
                <w:rFonts w:hint="eastAsia" w:ascii="宋体" w:hAnsi="宋体" w:cs="宋体"/>
                <w:szCs w:val="21"/>
              </w:rPr>
              <w:t>（3）一般事件：系统单点故障、性能下降。响应≤15分钟，处理时限≤12小时。</w:t>
            </w:r>
          </w:p>
          <w:p w14:paraId="1B5EF6A2">
            <w:pPr>
              <w:spacing w:line="360" w:lineRule="exact"/>
              <w:ind w:firstLine="430"/>
              <w:rPr>
                <w:rFonts w:hint="eastAsia" w:ascii="宋体" w:hAnsi="宋体" w:cs="宋体"/>
                <w:szCs w:val="21"/>
              </w:rPr>
            </w:pPr>
            <w:r>
              <w:rPr>
                <w:rFonts w:hint="eastAsia" w:ascii="宋体" w:hAnsi="宋体" w:cs="宋体"/>
                <w:szCs w:val="21"/>
              </w:rPr>
              <w:t>处置时限自采购人通过指定渠道提交服务请求、中标供应商确认受理需求之时起计算。若因第三方、厂商或不可抗力导致超时，须提前向采购人书面或通过双方认可的沟通工具进行说明。</w:t>
            </w:r>
          </w:p>
          <w:p w14:paraId="7F16D9EA">
            <w:pPr>
              <w:spacing w:line="360" w:lineRule="exact"/>
              <w:ind w:firstLine="430"/>
              <w:rPr>
                <w:rFonts w:hint="eastAsia" w:ascii="宋体" w:hAnsi="宋体" w:cs="宋体"/>
                <w:szCs w:val="21"/>
              </w:rPr>
            </w:pPr>
            <w:r>
              <w:rPr>
                <w:rFonts w:hint="eastAsia" w:ascii="宋体" w:hAnsi="宋体" w:cs="宋体"/>
                <w:szCs w:val="21"/>
              </w:rPr>
              <w:t>▲4.系统优化</w:t>
            </w:r>
          </w:p>
          <w:p w14:paraId="090588FD">
            <w:pPr>
              <w:spacing w:line="360" w:lineRule="exact"/>
              <w:ind w:firstLine="430"/>
              <w:rPr>
                <w:rFonts w:hint="eastAsia" w:ascii="宋体" w:hAnsi="宋体" w:cs="宋体"/>
                <w:szCs w:val="21"/>
              </w:rPr>
            </w:pPr>
            <w:r>
              <w:rPr>
                <w:rFonts w:hint="eastAsia" w:ascii="宋体" w:hAnsi="宋体" w:cs="宋体"/>
                <w:szCs w:val="21"/>
              </w:rPr>
              <w:t>（1）基于在采购人现有的技术架构下，每月分析系统容量和系统性能，编制容量分析及性能优化建议，形成月度运维报告，经采购人同意后实施优化改造。</w:t>
            </w:r>
          </w:p>
          <w:p w14:paraId="1FE98FF5">
            <w:pPr>
              <w:spacing w:line="360" w:lineRule="exact"/>
              <w:ind w:firstLine="430"/>
              <w:rPr>
                <w:rFonts w:hint="eastAsia" w:ascii="宋体" w:hAnsi="宋体" w:cs="宋体"/>
                <w:szCs w:val="21"/>
              </w:rPr>
            </w:pPr>
            <w:r>
              <w:rPr>
                <w:rFonts w:hint="eastAsia" w:ascii="宋体" w:hAnsi="宋体" w:cs="宋体"/>
                <w:szCs w:val="21"/>
              </w:rPr>
              <w:t>（2）按照采购人要求，每月对信息系统进行升级和漏洞修复。每月分析信息系统运行状况及存在的安全隐患，编制隐患分析及优化建议，形成月度运维报告，经采购人同意后实施优化改造。</w:t>
            </w:r>
          </w:p>
          <w:p w14:paraId="7B5B0866">
            <w:pPr>
              <w:spacing w:line="360" w:lineRule="exact"/>
              <w:ind w:firstLine="430"/>
              <w:rPr>
                <w:rFonts w:hint="eastAsia" w:ascii="宋体" w:hAnsi="宋体" w:cs="宋体"/>
                <w:szCs w:val="21"/>
              </w:rPr>
            </w:pPr>
            <w:r>
              <w:rPr>
                <w:rFonts w:hint="eastAsia" w:ascii="宋体" w:hAnsi="宋体" w:cs="宋体"/>
                <w:szCs w:val="21"/>
              </w:rPr>
              <w:t>▲5.服务期内，要求系统整体可用性不低于99.9%（可用性计算不包含以下时间：经采购人同意的计划性维护时间、因采购人原因或第三方原因导致的系统中断以及不可抗力因素）。</w:t>
            </w:r>
          </w:p>
          <w:p w14:paraId="12E718CE">
            <w:pPr>
              <w:spacing w:line="360" w:lineRule="exact"/>
              <w:ind w:firstLine="430"/>
              <w:rPr>
                <w:rFonts w:hint="eastAsia" w:ascii="宋体" w:hAnsi="宋体" w:cs="宋体"/>
                <w:szCs w:val="21"/>
              </w:rPr>
            </w:pPr>
            <w:r>
              <w:rPr>
                <w:rFonts w:hint="eastAsia" w:ascii="宋体" w:hAnsi="宋体" w:cs="宋体"/>
                <w:szCs w:val="21"/>
              </w:rPr>
              <w:t>▲6.服务期内，不得因中标供应商责任而导致重大及以上级别的网络安全事件发生（网络安全事件分级参照《信息安全技术 信息安全事件分类分级指南》GB/Z 20986-2023执行）。</w:t>
            </w:r>
          </w:p>
          <w:p w14:paraId="1465ABBC">
            <w:pPr>
              <w:spacing w:line="360" w:lineRule="exact"/>
              <w:ind w:firstLine="430"/>
              <w:rPr>
                <w:rFonts w:hint="eastAsia" w:ascii="宋体" w:hAnsi="宋体" w:cs="宋体"/>
                <w:b/>
                <w:bCs/>
                <w:szCs w:val="21"/>
              </w:rPr>
            </w:pPr>
            <w:r>
              <w:rPr>
                <w:rFonts w:hint="eastAsia" w:ascii="仿宋" w:hAnsi="仿宋" w:eastAsia="仿宋" w:cs="仿宋"/>
                <w:szCs w:val="21"/>
              </w:rPr>
              <w:t>▲</w:t>
            </w:r>
            <w:r>
              <w:rPr>
                <w:rFonts w:hint="eastAsia" w:ascii="宋体" w:hAnsi="宋体" w:cs="宋体"/>
                <w:szCs w:val="21"/>
              </w:rPr>
              <w:t>7.</w:t>
            </w:r>
            <w:r>
              <w:rPr>
                <w:rFonts w:hint="eastAsia" w:ascii="宋体" w:hAnsi="宋体"/>
                <w:szCs w:val="21"/>
              </w:rPr>
              <w:t>中标供应商须每年为采购人相关人员提供不少于1次现场技术培训，培训主题及内容由双方协商确定。</w:t>
            </w:r>
          </w:p>
          <w:p w14:paraId="641ACF90">
            <w:pPr>
              <w:spacing w:line="360" w:lineRule="exact"/>
              <w:ind w:firstLine="430"/>
              <w:rPr>
                <w:rFonts w:hint="eastAsia" w:ascii="宋体" w:hAnsi="宋体" w:cs="宋体"/>
                <w:b/>
                <w:bCs/>
                <w:szCs w:val="21"/>
              </w:rPr>
            </w:pPr>
            <w:r>
              <w:rPr>
                <w:rFonts w:hint="eastAsia" w:ascii="宋体" w:hAnsi="宋体" w:cs="宋体"/>
                <w:b/>
                <w:bCs/>
                <w:szCs w:val="21"/>
              </w:rPr>
              <w:t>（二）数据处理服务</w:t>
            </w:r>
          </w:p>
          <w:p w14:paraId="70BD5DCD">
            <w:pPr>
              <w:spacing w:line="360" w:lineRule="exact"/>
              <w:ind w:firstLine="430"/>
              <w:rPr>
                <w:rFonts w:hint="eastAsia" w:ascii="宋体" w:hAnsi="宋体" w:cs="宋体"/>
                <w:szCs w:val="21"/>
              </w:rPr>
            </w:pPr>
            <w:r>
              <w:rPr>
                <w:rFonts w:hint="eastAsia" w:ascii="宋体" w:hAnsi="宋体" w:cs="宋体"/>
                <w:szCs w:val="21"/>
              </w:rPr>
              <w:t>根据采购人实际要求，完成以下教育数据处理工作，包括但不限于保障以下平台（广西一体化公共数据管理平台实施服务、教育数据生命周期系统维护服务、教育数据处理与培训服务、基础数据运维服务）的稳定运行、数据高效流转、跨系统数据互联互通及业务协同推进。具体：</w:t>
            </w:r>
          </w:p>
          <w:p w14:paraId="0F747E7C">
            <w:pPr>
              <w:spacing w:line="360" w:lineRule="exact"/>
              <w:ind w:firstLine="430"/>
              <w:rPr>
                <w:rFonts w:hint="eastAsia" w:ascii="宋体" w:hAnsi="宋体" w:cs="宋体"/>
                <w:szCs w:val="21"/>
              </w:rPr>
            </w:pPr>
            <w:r>
              <w:rPr>
                <w:rFonts w:hint="eastAsia" w:ascii="宋体" w:hAnsi="宋体" w:cs="宋体"/>
                <w:szCs w:val="21"/>
              </w:rPr>
              <w:t>▲1.广西一体化公共数据管理平台（DRS）数据处理实施服务</w:t>
            </w:r>
          </w:p>
          <w:p w14:paraId="6F14E8C0">
            <w:pPr>
              <w:spacing w:line="360" w:lineRule="exact"/>
              <w:ind w:firstLine="430"/>
              <w:rPr>
                <w:rFonts w:hint="eastAsia" w:ascii="宋体" w:hAnsi="宋体" w:cs="宋体"/>
                <w:szCs w:val="21"/>
              </w:rPr>
            </w:pPr>
            <w:r>
              <w:rPr>
                <w:rFonts w:hint="eastAsia" w:ascii="宋体" w:hAnsi="宋体" w:cs="宋体"/>
                <w:szCs w:val="21"/>
              </w:rPr>
              <w:t>1.1根据采购人的数据需求对应用数据源进行数据探查与数据接入，以保障数据目录的应用数据源及时更新。至少包括数据探查接入管理、动态数据管理、应用数源管理。</w:t>
            </w:r>
          </w:p>
          <w:p w14:paraId="353F0CE8">
            <w:pPr>
              <w:spacing w:line="360" w:lineRule="exact"/>
              <w:ind w:firstLine="430"/>
              <w:rPr>
                <w:rFonts w:hint="eastAsia" w:ascii="宋体" w:hAnsi="宋体" w:cs="宋体"/>
                <w:szCs w:val="21"/>
              </w:rPr>
            </w:pPr>
            <w:r>
              <w:rPr>
                <w:rFonts w:hint="eastAsia" w:ascii="宋体" w:hAnsi="宋体" w:cs="宋体"/>
                <w:szCs w:val="21"/>
              </w:rPr>
              <w:t>1.1.1服务实施成果交付物：根据采购人需求计划，完成数据源探查与数据接入。验收时提供佐证材料。</w:t>
            </w:r>
          </w:p>
          <w:p w14:paraId="28D6C3E3">
            <w:pPr>
              <w:spacing w:line="360" w:lineRule="exact"/>
              <w:ind w:firstLine="430"/>
              <w:rPr>
                <w:rFonts w:hint="eastAsia" w:ascii="宋体" w:hAnsi="宋体" w:cs="宋体"/>
                <w:szCs w:val="21"/>
              </w:rPr>
            </w:pPr>
            <w:r>
              <w:rPr>
                <w:rFonts w:hint="eastAsia" w:ascii="宋体" w:hAnsi="宋体" w:cs="宋体"/>
                <w:szCs w:val="21"/>
              </w:rPr>
              <w:t>1.2面向数据目录资源进行服务接口与数据接口开发、调试与注册，满足数据目录的共享使用。包括服务接口管理、数据接口管理、接口运行管理面向数据目录资源进行服务接口与数据接口开发、调试与注册，满足数据目录的共享使用。至少包括服务接口管理、数据接口管理、接口运行管理。</w:t>
            </w:r>
          </w:p>
          <w:p w14:paraId="7F7AB0C4">
            <w:pPr>
              <w:spacing w:line="360" w:lineRule="exact"/>
              <w:ind w:firstLine="430"/>
              <w:rPr>
                <w:rFonts w:hint="eastAsia" w:ascii="宋体" w:hAnsi="宋体" w:cs="宋体"/>
                <w:szCs w:val="21"/>
              </w:rPr>
            </w:pPr>
            <w:r>
              <w:rPr>
                <w:rFonts w:hint="eastAsia" w:ascii="宋体" w:hAnsi="宋体" w:cs="宋体"/>
                <w:szCs w:val="21"/>
              </w:rPr>
              <w:t>1.2.1服务接口管理：包括服务接口注册、服务接口申请、服务接口审批等，满足服务接口注册、服务接口变更与服务接口注销等服务。</w:t>
            </w:r>
          </w:p>
          <w:p w14:paraId="6ECB5775">
            <w:pPr>
              <w:spacing w:line="360" w:lineRule="exact"/>
              <w:ind w:firstLine="430"/>
              <w:rPr>
                <w:rFonts w:hint="eastAsia" w:ascii="宋体" w:hAnsi="宋体" w:cs="宋体"/>
                <w:szCs w:val="21"/>
              </w:rPr>
            </w:pPr>
            <w:r>
              <w:rPr>
                <w:rFonts w:hint="eastAsia" w:ascii="宋体" w:hAnsi="宋体" w:cs="宋体"/>
                <w:szCs w:val="21"/>
              </w:rPr>
              <w:t>1.2.2数据接口管理：包括数据接口注册、数据接口申请、数据接口审批等，满足数据接口注册、数据接口变更与数据接口注销等服务。</w:t>
            </w:r>
          </w:p>
          <w:p w14:paraId="4728C4A5">
            <w:pPr>
              <w:spacing w:line="360" w:lineRule="exact"/>
              <w:ind w:firstLine="430"/>
              <w:rPr>
                <w:rFonts w:hint="eastAsia" w:ascii="宋体" w:hAnsi="宋体" w:cs="宋体"/>
                <w:szCs w:val="21"/>
              </w:rPr>
            </w:pPr>
            <w:r>
              <w:rPr>
                <w:rFonts w:hint="eastAsia" w:ascii="宋体" w:hAnsi="宋体" w:cs="宋体"/>
                <w:szCs w:val="21"/>
              </w:rPr>
              <w:t>1.2.3接口运行管理：包括接口运行统计、接口监控预警、接口调用日志等，从时间维度、地区维度、应用维度、接口维度、调用详情维度，查询接口注册数、接口申请数、接口调用数、平均响应时间、失败率等指标统计，定期对接口进行巡检并形成报告。</w:t>
            </w:r>
          </w:p>
          <w:p w14:paraId="480205F6">
            <w:pPr>
              <w:spacing w:line="360" w:lineRule="exact"/>
              <w:ind w:firstLine="430"/>
              <w:rPr>
                <w:rFonts w:hint="eastAsia" w:ascii="宋体" w:hAnsi="宋体" w:cs="宋体"/>
                <w:szCs w:val="21"/>
              </w:rPr>
            </w:pPr>
            <w:r>
              <w:rPr>
                <w:rFonts w:hint="eastAsia" w:ascii="宋体" w:hAnsi="宋体" w:cs="宋体"/>
                <w:szCs w:val="21"/>
              </w:rPr>
              <w:t>1.2.4服务实施成果交付物：根据采购人数据申请和共享的需求，服务期内完成不少于5个数据接口的开发与发布。验收时提供佐证材料。</w:t>
            </w:r>
          </w:p>
          <w:p w14:paraId="0E7C4182">
            <w:pPr>
              <w:spacing w:line="360" w:lineRule="exact"/>
              <w:ind w:firstLine="430"/>
              <w:rPr>
                <w:rFonts w:hint="eastAsia" w:ascii="宋体" w:hAnsi="宋体" w:cs="宋体"/>
                <w:szCs w:val="21"/>
              </w:rPr>
            </w:pPr>
            <w:r>
              <w:rPr>
                <w:rFonts w:hint="eastAsia" w:ascii="宋体" w:hAnsi="宋体" w:cs="宋体"/>
                <w:szCs w:val="21"/>
              </w:rPr>
              <w:t>1.3教育数据治理管理与服务。进行数据治理规则配置，对应用数源进行治理，监控治理结果，以保障数据资源的质量。包括数据治理规则配置、数据治理任务管理、数据治理结果明细。具体内容如下：</w:t>
            </w:r>
          </w:p>
          <w:p w14:paraId="1FBF08CF">
            <w:pPr>
              <w:spacing w:line="360" w:lineRule="exact"/>
              <w:ind w:firstLine="430"/>
              <w:rPr>
                <w:rFonts w:hint="eastAsia" w:ascii="宋体" w:hAnsi="宋体" w:cs="宋体"/>
                <w:szCs w:val="21"/>
              </w:rPr>
            </w:pPr>
            <w:r>
              <w:rPr>
                <w:rFonts w:hint="eastAsia" w:ascii="宋体" w:hAnsi="宋体" w:cs="宋体"/>
                <w:szCs w:val="21"/>
              </w:rPr>
              <w:t>1.3.1数据治理规则配置：数源单位对本单位的数据目录进行治理规则配置。可以对数据治理规则进行启用、变更、停用等。</w:t>
            </w:r>
          </w:p>
          <w:p w14:paraId="5BC290EF">
            <w:pPr>
              <w:spacing w:line="360" w:lineRule="exact"/>
              <w:ind w:firstLine="430"/>
              <w:rPr>
                <w:rFonts w:hint="eastAsia" w:ascii="宋体" w:hAnsi="宋体" w:cs="宋体"/>
                <w:szCs w:val="21"/>
              </w:rPr>
            </w:pPr>
            <w:r>
              <w:rPr>
                <w:rFonts w:hint="eastAsia" w:ascii="宋体" w:hAnsi="宋体" w:cs="宋体"/>
                <w:szCs w:val="21"/>
              </w:rPr>
              <w:t>1.3.2数据治理任务管理：数源单位对所有数源单位提交的数据治理任务进行配置、上下线等管理操作。</w:t>
            </w:r>
          </w:p>
          <w:p w14:paraId="3BE1FFF5">
            <w:pPr>
              <w:spacing w:line="360" w:lineRule="exact"/>
              <w:ind w:firstLine="430"/>
              <w:rPr>
                <w:rFonts w:hint="eastAsia" w:ascii="宋体" w:hAnsi="宋体" w:cs="宋体"/>
                <w:szCs w:val="21"/>
              </w:rPr>
            </w:pPr>
            <w:r>
              <w:rPr>
                <w:rFonts w:hint="eastAsia" w:ascii="宋体" w:hAnsi="宋体" w:cs="宋体"/>
                <w:szCs w:val="21"/>
              </w:rPr>
              <w:t>1.3.3数据治理结果明细：查看目录治理结果数据，即命中配置的治理规则的异常数据。检查异常数据情况，结合实际情况是否需要调整数据质量规则配置。</w:t>
            </w:r>
          </w:p>
          <w:p w14:paraId="743BD059">
            <w:pPr>
              <w:spacing w:line="360" w:lineRule="exact"/>
              <w:ind w:firstLine="430"/>
              <w:rPr>
                <w:rFonts w:hint="eastAsia" w:ascii="宋体" w:hAnsi="宋体" w:cs="宋体"/>
                <w:szCs w:val="21"/>
              </w:rPr>
            </w:pPr>
            <w:r>
              <w:rPr>
                <w:rFonts w:hint="eastAsia" w:ascii="宋体" w:hAnsi="宋体" w:cs="宋体"/>
                <w:szCs w:val="21"/>
              </w:rPr>
              <w:t>1.3.4服务实施成果交付物：根据采购人数据申请和共享的需求，服务期内完成不少于15个数据治理规则配置与治理，验收时提供佐证材料。</w:t>
            </w:r>
          </w:p>
          <w:p w14:paraId="388FEC29">
            <w:pPr>
              <w:spacing w:line="360" w:lineRule="exact"/>
              <w:ind w:firstLine="430"/>
              <w:rPr>
                <w:rFonts w:hint="eastAsia" w:ascii="宋体" w:hAnsi="宋体" w:cs="宋体"/>
                <w:szCs w:val="21"/>
              </w:rPr>
            </w:pPr>
            <w:r>
              <w:rPr>
                <w:rFonts w:hint="eastAsia" w:ascii="宋体" w:hAnsi="宋体" w:cs="宋体"/>
                <w:szCs w:val="21"/>
              </w:rPr>
              <w:t>1.4根据采购人数据申请和共享的需求，对数据资源目录进行维护与更新，保障数据目录更新及时、准确与完整。至少包括单位目录管理、基础库目录管理、主题库目录管理数据资源目录和编制、数据资源目录的挂载、数据资源目录的发布、对已发布的数据资源进行维护更新。</w:t>
            </w:r>
          </w:p>
          <w:p w14:paraId="1ED1E411">
            <w:pPr>
              <w:spacing w:line="360" w:lineRule="exact"/>
              <w:ind w:firstLine="430"/>
              <w:rPr>
                <w:rFonts w:hint="eastAsia" w:ascii="宋体" w:hAnsi="宋体" w:cs="宋体"/>
                <w:szCs w:val="21"/>
              </w:rPr>
            </w:pPr>
            <w:r>
              <w:rPr>
                <w:rFonts w:hint="eastAsia" w:ascii="宋体" w:hAnsi="宋体" w:cs="宋体"/>
                <w:szCs w:val="21"/>
              </w:rPr>
              <w:t>1.4.1数据资源目录的编制：编制的数据资源目录符合《全国一体化政务大数据体系政务数据目录编制和治理规范（试行）》《全国一体化政务大数据体系政务数据目录治理流程工作规范（试行）》《广西共享政务数据目录及资源元数据编制规范》《广西政务数据资源目录编制指南》《广西公共数据资源开放目录编制指南》等规范要求。明确编目原则、组织培训指导、确定编目范围和完成编目所需的资源，通过模板工具或人工录入生成目录，目录内容包括类目、信息资源名称、信息资源英文名称、信息资源代码、信息资源提供方、信息资源内部提供方、资源提供方代码、信息资源摘要、信息资源格式分类、发布日期、关联及类目名称、共享类型、共享条件、共享方式分类、共享方式类型、是否向社会开放、开放条件、更新周期等，用以明确数据目录名称、数据所属分类、数据来源事项、数据项名称、数据类型、共享类型和数据范围等要素信息。</w:t>
            </w:r>
          </w:p>
          <w:p w14:paraId="79EADFE0">
            <w:pPr>
              <w:spacing w:line="360" w:lineRule="exact"/>
              <w:ind w:firstLine="430"/>
              <w:rPr>
                <w:rFonts w:hint="eastAsia" w:ascii="宋体" w:hAnsi="宋体" w:cs="宋体"/>
                <w:szCs w:val="21"/>
              </w:rPr>
            </w:pPr>
            <w:r>
              <w:rPr>
                <w:rFonts w:hint="eastAsia" w:ascii="宋体" w:hAnsi="宋体" w:cs="宋体"/>
                <w:szCs w:val="21"/>
              </w:rPr>
              <w:t>1.4.2数据资源目录的发布：将经过审核的数据资源目录信息在自治区数据局指定的平台正式对外公布，使其可供用户查询和使用，并确保用户能够快速找到并理解可用的数据资源。发布过程还包括设置对应的访问控制和权限管理，以确保数据资源的合法使用。</w:t>
            </w:r>
          </w:p>
          <w:p w14:paraId="0828FF5C">
            <w:pPr>
              <w:spacing w:line="360" w:lineRule="exact"/>
              <w:ind w:firstLine="430"/>
              <w:rPr>
                <w:rFonts w:hint="eastAsia" w:ascii="宋体" w:hAnsi="宋体" w:cs="宋体"/>
                <w:szCs w:val="21"/>
              </w:rPr>
            </w:pPr>
            <w:r>
              <w:rPr>
                <w:rFonts w:hint="eastAsia" w:ascii="宋体" w:hAnsi="宋体" w:cs="宋体"/>
                <w:szCs w:val="21"/>
              </w:rPr>
              <w:t>1.4.3对已发布的数据资源进行维护更新：根据业务处室需求，对已发布的数据资源进行新增、修改信息、下线等维护操作，需记录完成变更依据、内容、时间及责任人。</w:t>
            </w:r>
          </w:p>
          <w:p w14:paraId="1AC48911">
            <w:pPr>
              <w:spacing w:line="360" w:lineRule="exact"/>
              <w:ind w:firstLine="430"/>
              <w:rPr>
                <w:rFonts w:hint="eastAsia" w:ascii="宋体" w:hAnsi="宋体" w:cs="宋体"/>
                <w:szCs w:val="21"/>
              </w:rPr>
            </w:pPr>
            <w:r>
              <w:rPr>
                <w:rFonts w:hint="eastAsia" w:ascii="宋体" w:hAnsi="宋体" w:cs="宋体"/>
                <w:szCs w:val="21"/>
              </w:rPr>
              <w:t>1.4.4服务实施成果交付物：根据数据申请和共享的需求，对不少于40个数据资源目录进行维护，验收时提供佐证材料。</w:t>
            </w:r>
          </w:p>
          <w:p w14:paraId="2A2DE1EC">
            <w:pPr>
              <w:spacing w:line="360" w:lineRule="exact"/>
              <w:ind w:firstLine="430"/>
              <w:rPr>
                <w:rFonts w:hint="eastAsia" w:ascii="宋体" w:hAnsi="宋体" w:cs="宋体"/>
                <w:szCs w:val="21"/>
              </w:rPr>
            </w:pPr>
            <w:r>
              <w:rPr>
                <w:rFonts w:hint="eastAsia" w:ascii="宋体" w:hAnsi="宋体" w:cs="宋体"/>
                <w:szCs w:val="21"/>
              </w:rPr>
              <w:t>▲2.广西教育数据生命周期系统数据处理服务</w:t>
            </w:r>
          </w:p>
          <w:p w14:paraId="6000FD46">
            <w:pPr>
              <w:spacing w:line="360" w:lineRule="exact"/>
              <w:ind w:firstLine="430"/>
              <w:rPr>
                <w:rFonts w:hint="eastAsia" w:ascii="宋体" w:hAnsi="宋体" w:cs="宋体"/>
                <w:szCs w:val="21"/>
              </w:rPr>
            </w:pPr>
            <w:r>
              <w:rPr>
                <w:rFonts w:hint="eastAsia" w:ascii="宋体" w:hAnsi="宋体" w:cs="宋体"/>
                <w:szCs w:val="21"/>
              </w:rPr>
              <w:t>2.1数据集成与维护更新</w:t>
            </w:r>
          </w:p>
          <w:p w14:paraId="1841683E">
            <w:pPr>
              <w:spacing w:line="360" w:lineRule="exact"/>
              <w:ind w:firstLine="430"/>
              <w:rPr>
                <w:rFonts w:hint="eastAsia" w:ascii="宋体" w:hAnsi="宋体" w:cs="宋体"/>
                <w:szCs w:val="21"/>
              </w:rPr>
            </w:pPr>
            <w:r>
              <w:rPr>
                <w:rFonts w:hint="eastAsia" w:ascii="宋体" w:hAnsi="宋体" w:cs="宋体"/>
                <w:szCs w:val="21"/>
              </w:rPr>
              <w:t>根据数据汇聚的情况维护并调整集成方案，实现对运维期内数据的进一步集成。</w:t>
            </w:r>
          </w:p>
          <w:p w14:paraId="13459B45">
            <w:pPr>
              <w:spacing w:line="360" w:lineRule="exact"/>
              <w:ind w:firstLine="430"/>
              <w:rPr>
                <w:rFonts w:hint="eastAsia" w:ascii="宋体" w:hAnsi="宋体" w:cs="宋体"/>
                <w:szCs w:val="21"/>
              </w:rPr>
            </w:pPr>
            <w:r>
              <w:rPr>
                <w:rFonts w:hint="eastAsia" w:ascii="宋体" w:hAnsi="宋体" w:cs="宋体"/>
                <w:szCs w:val="21"/>
              </w:rPr>
              <w:t>2.1.1数据源管理：根据数据的重要性定期评估现有数据源的可靠性和质量，确保数据源的稳定性和数据的准确性。根据业务需求，及时添加新的数据源，扩展数据采集的范围。定期清理不再使用的或质量不佳的数据源，减少不必要的数据采集和处理。</w:t>
            </w:r>
          </w:p>
          <w:p w14:paraId="756C8E3B">
            <w:pPr>
              <w:spacing w:line="360" w:lineRule="exact"/>
              <w:ind w:firstLine="430"/>
              <w:rPr>
                <w:rFonts w:hint="eastAsia" w:ascii="宋体" w:hAnsi="宋体" w:cs="宋体"/>
                <w:szCs w:val="21"/>
              </w:rPr>
            </w:pPr>
            <w:r>
              <w:rPr>
                <w:rFonts w:hint="eastAsia" w:ascii="宋体" w:hAnsi="宋体" w:cs="宋体"/>
                <w:szCs w:val="21"/>
              </w:rPr>
              <w:t>2.1.2用户需求更新：根据数据的重要性定期收集用户对数据采集的反馈，了解用户的需求和建议。根据用户反馈和业务需求的变化，及时调整数据采集的策略和配置，确保数据采集能够满足用户的实际需求。</w:t>
            </w:r>
          </w:p>
          <w:p w14:paraId="39E3F824">
            <w:pPr>
              <w:spacing w:line="360" w:lineRule="exact"/>
              <w:ind w:firstLine="430"/>
              <w:rPr>
                <w:rFonts w:hint="eastAsia" w:ascii="宋体" w:hAnsi="宋体" w:cs="宋体"/>
                <w:szCs w:val="21"/>
              </w:rPr>
            </w:pPr>
            <w:r>
              <w:rPr>
                <w:rFonts w:hint="eastAsia" w:ascii="宋体" w:hAnsi="宋体" w:cs="宋体"/>
                <w:szCs w:val="21"/>
              </w:rPr>
              <w:t>2.1.3数据采集配置：根据数据的重要性和变化频率，调整数据采集的频率，确保数据的时效性；根据业务需求的变化，及时更新采集的字段，确保采集的数据能够满足当前的业务需求。优化数据采集策略，提高数据采集的效率和准确性，减少数据冗余和重复采集。</w:t>
            </w:r>
          </w:p>
          <w:p w14:paraId="5D363CCC">
            <w:pPr>
              <w:spacing w:line="360" w:lineRule="exact"/>
              <w:ind w:firstLine="430"/>
              <w:rPr>
                <w:rFonts w:hint="eastAsia" w:ascii="宋体" w:hAnsi="宋体" w:cs="宋体"/>
                <w:szCs w:val="21"/>
              </w:rPr>
            </w:pPr>
            <w:r>
              <w:rPr>
                <w:rFonts w:hint="eastAsia" w:ascii="宋体" w:hAnsi="宋体" w:cs="宋体"/>
                <w:szCs w:val="21"/>
              </w:rPr>
              <w:t>2.1.4数据采集工具和系统维护：定期监控数据采集工具和系统的性能，优化资源配置，提高数据采集的效率。及时处理数据采集过程中出现的故障，确保数据采集的连续性和稳定性。</w:t>
            </w:r>
          </w:p>
          <w:p w14:paraId="05354340">
            <w:pPr>
              <w:spacing w:line="360" w:lineRule="exact"/>
              <w:ind w:firstLine="430"/>
              <w:rPr>
                <w:rFonts w:hint="eastAsia" w:ascii="宋体" w:hAnsi="宋体" w:cs="宋体"/>
                <w:szCs w:val="21"/>
              </w:rPr>
            </w:pPr>
            <w:r>
              <w:rPr>
                <w:rFonts w:hint="eastAsia" w:ascii="宋体" w:hAnsi="宋体" w:cs="宋体"/>
                <w:szCs w:val="21"/>
              </w:rPr>
              <w:t>2.1.5数据采集日志和报告：记录数据采集的详细日志，包括采集时间、数据源、采集结果等，便于问题追踪和审计。生成数据采集的定期报告，总结数据采集的运行情况，包括成功采集的数据量、失败的采集任务等。</w:t>
            </w:r>
          </w:p>
          <w:p w14:paraId="51D17D60">
            <w:pPr>
              <w:spacing w:line="360" w:lineRule="exact"/>
              <w:ind w:firstLine="430"/>
              <w:rPr>
                <w:rFonts w:hint="eastAsia" w:ascii="宋体" w:hAnsi="宋体" w:cs="宋体"/>
                <w:szCs w:val="21"/>
              </w:rPr>
            </w:pPr>
            <w:r>
              <w:rPr>
                <w:rFonts w:hint="eastAsia" w:ascii="宋体" w:hAnsi="宋体" w:cs="宋体"/>
                <w:szCs w:val="21"/>
              </w:rPr>
              <w:t>2.1.6服务实施成果交付物：根据采购人审核后的数据汇聚的情况维护并调整集成方案，服务期内更新与维护数据采集接口不少于50个。验收时提供佐证材料。</w:t>
            </w:r>
          </w:p>
          <w:p w14:paraId="13E5605B">
            <w:pPr>
              <w:spacing w:line="360" w:lineRule="exact"/>
              <w:ind w:firstLine="430"/>
              <w:rPr>
                <w:rFonts w:hint="eastAsia" w:ascii="宋体" w:hAnsi="宋体" w:cs="宋体"/>
                <w:szCs w:val="21"/>
              </w:rPr>
            </w:pPr>
            <w:r>
              <w:rPr>
                <w:rFonts w:hint="eastAsia" w:ascii="宋体" w:hAnsi="宋体" w:cs="宋体"/>
                <w:szCs w:val="21"/>
              </w:rPr>
              <w:t>2.2数据模型维护和更新</w:t>
            </w:r>
          </w:p>
          <w:p w14:paraId="1962BFA2">
            <w:pPr>
              <w:spacing w:line="360" w:lineRule="exact"/>
              <w:ind w:firstLine="430"/>
              <w:rPr>
                <w:rFonts w:hint="eastAsia" w:ascii="宋体" w:hAnsi="宋体" w:cs="宋体"/>
                <w:szCs w:val="21"/>
              </w:rPr>
            </w:pPr>
            <w:r>
              <w:rPr>
                <w:rFonts w:hint="eastAsia" w:ascii="宋体" w:hAnsi="宋体" w:cs="宋体"/>
                <w:szCs w:val="21"/>
              </w:rPr>
              <w:t>根据采购人业务要求，对已有数据模型进行维护和更新。结合数据标准推广和应用效果，根据采购人要求，对已有数据标准进行维护和更新。结合系统运行的情况，每月不少于1次评估数据资源利用情况，优化资源分配，提高数据资源的使用频次与效率。具体内容如下：</w:t>
            </w:r>
          </w:p>
          <w:p w14:paraId="065AC4E5">
            <w:pPr>
              <w:spacing w:line="360" w:lineRule="exact"/>
              <w:ind w:firstLine="430"/>
              <w:rPr>
                <w:rFonts w:hint="eastAsia" w:ascii="宋体" w:hAnsi="宋体" w:cs="宋体"/>
                <w:szCs w:val="21"/>
              </w:rPr>
            </w:pPr>
            <w:r>
              <w:rPr>
                <w:rFonts w:hint="eastAsia" w:ascii="宋体" w:hAnsi="宋体" w:cs="宋体"/>
                <w:szCs w:val="21"/>
              </w:rPr>
              <w:t>2.2.1模型需求分析：与业务部门和采购人进行沟通，了解业务需求和数据需求，包括了解业务流程、数据使用场景、数据质量要求等。通过问卷调查、访谈等方式收集用户对数据模型的具体需求和改进建议。</w:t>
            </w:r>
          </w:p>
          <w:p w14:paraId="39BFF92D">
            <w:pPr>
              <w:spacing w:line="360" w:lineRule="exact"/>
              <w:ind w:firstLine="430"/>
              <w:rPr>
                <w:rFonts w:hint="eastAsia" w:ascii="宋体" w:hAnsi="宋体" w:cs="宋体"/>
                <w:szCs w:val="21"/>
              </w:rPr>
            </w:pPr>
            <w:r>
              <w:rPr>
                <w:rFonts w:hint="eastAsia" w:ascii="宋体" w:hAnsi="宋体" w:cs="宋体"/>
                <w:szCs w:val="21"/>
              </w:rPr>
              <w:t>2.2.2数据模型更新：更新数据模型策略，结合新旧数据，创建新的或更新已有的模型集合，满足多样的数据需求与业务需求。</w:t>
            </w:r>
          </w:p>
          <w:p w14:paraId="5830D789">
            <w:pPr>
              <w:spacing w:line="360" w:lineRule="exact"/>
              <w:ind w:firstLine="430"/>
              <w:rPr>
                <w:rFonts w:hint="eastAsia" w:ascii="宋体" w:hAnsi="宋体" w:cs="宋体"/>
                <w:szCs w:val="21"/>
              </w:rPr>
            </w:pPr>
            <w:r>
              <w:rPr>
                <w:rFonts w:hint="eastAsia" w:ascii="宋体" w:hAnsi="宋体" w:cs="宋体"/>
                <w:szCs w:val="21"/>
              </w:rPr>
              <w:t>2.2.3服务实施成果交付物：根据采购人业务要求，服务期内对不少于25个数据模型进行维护更新，验收时提供佐证材料。</w:t>
            </w:r>
          </w:p>
          <w:p w14:paraId="22BA7841">
            <w:pPr>
              <w:spacing w:line="360" w:lineRule="exact"/>
              <w:ind w:firstLine="430"/>
              <w:rPr>
                <w:rFonts w:hint="eastAsia" w:ascii="宋体" w:hAnsi="宋体" w:cs="宋体"/>
                <w:szCs w:val="21"/>
              </w:rPr>
            </w:pPr>
            <w:r>
              <w:rPr>
                <w:rFonts w:hint="eastAsia" w:ascii="宋体" w:hAnsi="宋体" w:cs="宋体"/>
                <w:szCs w:val="21"/>
              </w:rPr>
              <w:t>2.3数据标准维护和更新</w:t>
            </w:r>
          </w:p>
          <w:p w14:paraId="0E302092">
            <w:pPr>
              <w:spacing w:line="360" w:lineRule="exact"/>
              <w:ind w:firstLine="430"/>
              <w:rPr>
                <w:rFonts w:hint="eastAsia" w:ascii="宋体" w:hAnsi="宋体" w:cs="宋体"/>
                <w:szCs w:val="21"/>
              </w:rPr>
            </w:pPr>
            <w:r>
              <w:rPr>
                <w:rFonts w:hint="eastAsia" w:ascii="宋体" w:hAnsi="宋体" w:cs="宋体"/>
                <w:szCs w:val="21"/>
              </w:rPr>
              <w:t>结合数据标准推广和应用效果，对已有数据标准进行维护和更新。具体内容如下：</w:t>
            </w:r>
          </w:p>
          <w:p w14:paraId="0D69E063">
            <w:pPr>
              <w:spacing w:line="360" w:lineRule="exact"/>
              <w:ind w:firstLine="430"/>
              <w:rPr>
                <w:rFonts w:hint="eastAsia" w:ascii="宋体" w:hAnsi="宋体" w:cs="宋体"/>
                <w:szCs w:val="21"/>
              </w:rPr>
            </w:pPr>
            <w:r>
              <w:rPr>
                <w:rFonts w:hint="eastAsia" w:ascii="宋体" w:hAnsi="宋体" w:cs="宋体"/>
                <w:szCs w:val="21"/>
              </w:rPr>
              <w:t>2.3.1数据元维护与更新：对数据元进行维护与更新，包括数据源新增管理、数据元变更管理、数据元版本管理、数据元导入导出、数据项关联维护、数据元类目维护等。</w:t>
            </w:r>
          </w:p>
          <w:p w14:paraId="297B508B">
            <w:pPr>
              <w:spacing w:line="360" w:lineRule="exact"/>
              <w:ind w:firstLine="430"/>
              <w:rPr>
                <w:rFonts w:hint="eastAsia" w:ascii="宋体" w:hAnsi="宋体" w:cs="宋体"/>
                <w:szCs w:val="21"/>
              </w:rPr>
            </w:pPr>
            <w:r>
              <w:rPr>
                <w:rFonts w:hint="eastAsia" w:ascii="宋体" w:hAnsi="宋体" w:cs="宋体"/>
                <w:szCs w:val="21"/>
              </w:rPr>
              <w:t>2.3.2数据字典维护与更新：关注国家与行业的数据标准变化情况，定期对数据字典进行标准审计，及时更新数据字典内容，确保数据标准的实施符合法律法规和行业标准。</w:t>
            </w:r>
          </w:p>
          <w:p w14:paraId="0896FC54">
            <w:pPr>
              <w:spacing w:line="360" w:lineRule="exact"/>
              <w:ind w:firstLine="430"/>
              <w:rPr>
                <w:rFonts w:hint="eastAsia" w:ascii="宋体" w:hAnsi="宋体" w:cs="宋体"/>
                <w:szCs w:val="21"/>
              </w:rPr>
            </w:pPr>
            <w:r>
              <w:rPr>
                <w:rFonts w:hint="eastAsia" w:ascii="宋体" w:hAnsi="宋体" w:cs="宋体"/>
                <w:szCs w:val="21"/>
              </w:rPr>
              <w:t>2.3.3数据标准的反馈与持续改进：建立反馈机制，收集部门用户对数据标准的意见和建议，根据反馈信息，持续改进数据标准，确保其适应业务发展的需要，确保数据的一致性和准确性。</w:t>
            </w:r>
          </w:p>
          <w:p w14:paraId="04B5889B">
            <w:pPr>
              <w:spacing w:line="360" w:lineRule="exact"/>
              <w:ind w:firstLine="430"/>
              <w:rPr>
                <w:rFonts w:hint="eastAsia" w:ascii="宋体" w:hAnsi="宋体" w:cs="宋体"/>
                <w:szCs w:val="21"/>
              </w:rPr>
            </w:pPr>
            <w:r>
              <w:rPr>
                <w:rFonts w:hint="eastAsia" w:ascii="宋体" w:hAnsi="宋体" w:cs="宋体"/>
                <w:szCs w:val="21"/>
              </w:rPr>
              <w:t>2.3.4验收时提供服务实施成果交付文档。</w:t>
            </w:r>
          </w:p>
          <w:p w14:paraId="092B8E83">
            <w:pPr>
              <w:spacing w:line="360" w:lineRule="exact"/>
              <w:ind w:firstLine="430"/>
              <w:rPr>
                <w:rFonts w:hint="eastAsia" w:ascii="宋体" w:hAnsi="宋体" w:cs="宋体"/>
                <w:szCs w:val="21"/>
              </w:rPr>
            </w:pPr>
            <w:r>
              <w:rPr>
                <w:rFonts w:hint="eastAsia" w:ascii="宋体" w:hAnsi="宋体" w:cs="宋体"/>
                <w:szCs w:val="21"/>
              </w:rPr>
              <w:t>2.4数据调度服务</w:t>
            </w:r>
          </w:p>
          <w:p w14:paraId="17CA34CC">
            <w:pPr>
              <w:spacing w:line="360" w:lineRule="exact"/>
              <w:ind w:firstLine="430"/>
              <w:rPr>
                <w:rFonts w:hint="eastAsia" w:ascii="宋体" w:hAnsi="宋体" w:cs="宋体"/>
                <w:szCs w:val="21"/>
              </w:rPr>
            </w:pPr>
            <w:r>
              <w:rPr>
                <w:rFonts w:hint="eastAsia" w:ascii="宋体" w:hAnsi="宋体" w:cs="宋体"/>
                <w:szCs w:val="21"/>
              </w:rPr>
              <w:t>2.4.1根据数据集成、清洗、转换等加工流程，设计并配置合理的调度任务（包括定时触发、依赖触发等模式）。为不同数据模型更新任务、接口同步任务建立独立的调度作业，明确任务执行顺序、失败重试机制、超时处理策略等。实时监控调度任务的工作流名称、工作空间、调度周期、调度配置、理论开始时间、实际开始时间、实际结束时间、运行时长、运行状态、DAG图等关键指标。</w:t>
            </w:r>
          </w:p>
          <w:p w14:paraId="2D061AD6">
            <w:pPr>
              <w:spacing w:line="360" w:lineRule="exact"/>
              <w:ind w:firstLine="430"/>
              <w:rPr>
                <w:rFonts w:hint="eastAsia" w:ascii="宋体" w:hAnsi="宋体" w:cs="宋体"/>
                <w:szCs w:val="21"/>
              </w:rPr>
            </w:pPr>
            <w:r>
              <w:rPr>
                <w:rFonts w:hint="eastAsia" w:ascii="宋体" w:hAnsi="宋体" w:cs="宋体"/>
                <w:szCs w:val="21"/>
              </w:rPr>
              <w:t>2.4.2服务实施成果交付物：根据采购人业务要求，服务期内对不少于20个数据调度任务进行维护更新。验收时提供佐证材料。</w:t>
            </w:r>
          </w:p>
          <w:p w14:paraId="395D9E95">
            <w:pPr>
              <w:spacing w:line="360" w:lineRule="exact"/>
              <w:ind w:firstLine="430"/>
              <w:rPr>
                <w:rFonts w:hint="eastAsia" w:ascii="宋体" w:hAnsi="宋体" w:cs="宋体"/>
                <w:szCs w:val="21"/>
              </w:rPr>
            </w:pPr>
            <w:r>
              <w:rPr>
                <w:rFonts w:hint="eastAsia" w:ascii="宋体" w:hAnsi="宋体" w:cs="宋体"/>
                <w:szCs w:val="21"/>
              </w:rPr>
              <w:t>2.5数据性能优化</w:t>
            </w:r>
          </w:p>
          <w:p w14:paraId="01A970EB">
            <w:pPr>
              <w:spacing w:line="360" w:lineRule="exact"/>
              <w:ind w:firstLine="430"/>
              <w:rPr>
                <w:rFonts w:hint="eastAsia" w:ascii="宋体" w:hAnsi="宋体" w:cs="宋体"/>
                <w:szCs w:val="21"/>
              </w:rPr>
            </w:pPr>
            <w:r>
              <w:rPr>
                <w:rFonts w:hint="eastAsia" w:ascii="宋体" w:hAnsi="宋体" w:cs="宋体"/>
                <w:szCs w:val="21"/>
              </w:rPr>
              <w:t>2.5.1数据采集与存储优化：根据数据的重要性、容量和使用频率，将数据进行标识，划分为不同的等级。重要的低容量的数据加强数据采集频率与全量存储方式，而重要的大容量的数据加强数据采集频率与增量存储方式，存放于大数据存储与计算平台中。而较少使用的数据则降低采集频率等。通过这种方法降低访问延迟，高效地利用资源。</w:t>
            </w:r>
          </w:p>
          <w:p w14:paraId="2DFFC749">
            <w:pPr>
              <w:spacing w:line="360" w:lineRule="exact"/>
              <w:ind w:firstLine="430"/>
              <w:rPr>
                <w:rFonts w:hint="eastAsia" w:ascii="宋体" w:hAnsi="宋体" w:cs="宋体"/>
                <w:szCs w:val="21"/>
              </w:rPr>
            </w:pPr>
            <w:r>
              <w:rPr>
                <w:rFonts w:hint="eastAsia" w:ascii="宋体" w:hAnsi="宋体" w:cs="宋体"/>
                <w:szCs w:val="21"/>
              </w:rPr>
              <w:t>2.5.2服务实施成果交付物：验收时提供佐证材料。</w:t>
            </w:r>
          </w:p>
          <w:p w14:paraId="6CE7457F">
            <w:pPr>
              <w:spacing w:line="360" w:lineRule="exact"/>
              <w:ind w:firstLine="430"/>
              <w:rPr>
                <w:rFonts w:hint="eastAsia" w:ascii="宋体" w:hAnsi="宋体" w:cs="宋体"/>
                <w:szCs w:val="21"/>
              </w:rPr>
            </w:pPr>
            <w:r>
              <w:rPr>
                <w:rFonts w:hint="eastAsia" w:ascii="宋体" w:hAnsi="宋体" w:cs="宋体"/>
                <w:szCs w:val="21"/>
              </w:rPr>
              <w:t>▲3.教育数据处理与培训服务</w:t>
            </w:r>
          </w:p>
          <w:p w14:paraId="5D79074C">
            <w:pPr>
              <w:spacing w:line="360" w:lineRule="exact"/>
              <w:ind w:firstLine="430"/>
              <w:rPr>
                <w:rFonts w:hint="eastAsia" w:ascii="宋体" w:hAnsi="宋体" w:cs="宋体"/>
                <w:szCs w:val="21"/>
              </w:rPr>
            </w:pPr>
            <w:r>
              <w:rPr>
                <w:rFonts w:hint="eastAsia" w:ascii="宋体" w:hAnsi="宋体" w:cs="宋体"/>
                <w:szCs w:val="21"/>
              </w:rPr>
              <w:t>3.1受理自治区教育厅业务处室的数据抽取、比对、分析的场景需求，进行数据整合与开发、数据推送、数据导出等，保障业务处室数据比对需求。</w:t>
            </w:r>
          </w:p>
          <w:p w14:paraId="3151D1BC">
            <w:pPr>
              <w:spacing w:line="360" w:lineRule="exact"/>
              <w:ind w:firstLine="430"/>
              <w:rPr>
                <w:rFonts w:hint="eastAsia" w:ascii="宋体" w:hAnsi="宋体" w:cs="宋体"/>
                <w:szCs w:val="21"/>
              </w:rPr>
            </w:pPr>
            <w:r>
              <w:rPr>
                <w:rFonts w:hint="eastAsia" w:ascii="宋体" w:hAnsi="宋体" w:cs="宋体"/>
                <w:szCs w:val="21"/>
              </w:rPr>
              <w:t>3.1.1需求分析：了解自治区教育厅相关业务处室的需求内容，详细沟通需求细节与统计口径，明确数据来源，选择相应的数据收集方式。</w:t>
            </w:r>
          </w:p>
          <w:p w14:paraId="45508FE1">
            <w:pPr>
              <w:spacing w:line="360" w:lineRule="exact"/>
              <w:ind w:firstLine="430"/>
              <w:rPr>
                <w:rFonts w:hint="eastAsia" w:ascii="宋体" w:hAnsi="宋体" w:cs="宋体"/>
                <w:szCs w:val="21"/>
              </w:rPr>
            </w:pPr>
            <w:r>
              <w:rPr>
                <w:rFonts w:hint="eastAsia" w:ascii="宋体" w:hAnsi="宋体" w:cs="宋体"/>
                <w:szCs w:val="21"/>
              </w:rPr>
              <w:t>3.1.2数据收集：根据厅内相关业务处室数据需求，选择数据导入或从不同数据源中收集需要比对的数据，确保数据的完整性和准确性。</w:t>
            </w:r>
          </w:p>
          <w:p w14:paraId="6985A4B2">
            <w:pPr>
              <w:spacing w:line="360" w:lineRule="exact"/>
              <w:ind w:firstLine="430"/>
              <w:rPr>
                <w:rFonts w:hint="eastAsia" w:ascii="宋体" w:hAnsi="宋体" w:cs="宋体"/>
                <w:szCs w:val="21"/>
              </w:rPr>
            </w:pPr>
            <w:r>
              <w:rPr>
                <w:rFonts w:hint="eastAsia" w:ascii="宋体" w:hAnsi="宋体" w:cs="宋体"/>
                <w:szCs w:val="21"/>
              </w:rPr>
              <w:t>3.1.3数据比对：完成相关数据收集后，编写相关比对脚本或相关数据开发，完成数据融合，形成所需的数据比对结果。</w:t>
            </w:r>
          </w:p>
          <w:p w14:paraId="13E188BE">
            <w:pPr>
              <w:spacing w:line="360" w:lineRule="exact"/>
              <w:ind w:firstLine="430"/>
              <w:rPr>
                <w:rFonts w:hint="eastAsia" w:ascii="宋体" w:hAnsi="宋体" w:cs="宋体"/>
                <w:szCs w:val="21"/>
              </w:rPr>
            </w:pPr>
            <w:r>
              <w:rPr>
                <w:rFonts w:hint="eastAsia" w:ascii="宋体" w:hAnsi="宋体" w:cs="宋体"/>
                <w:szCs w:val="21"/>
              </w:rPr>
              <w:t>3.1.4比对结果：根据相关业务处室要求，将已完成的数据比对结果以电子文件、数据库表、API接口等形式，选择相应的传输渠道，提交数据比对结果。</w:t>
            </w:r>
          </w:p>
          <w:p w14:paraId="6BB4927C">
            <w:pPr>
              <w:spacing w:line="360" w:lineRule="exact"/>
              <w:ind w:firstLine="430"/>
              <w:rPr>
                <w:rFonts w:hint="eastAsia" w:ascii="宋体" w:hAnsi="宋体" w:cs="宋体"/>
                <w:szCs w:val="21"/>
              </w:rPr>
            </w:pPr>
            <w:r>
              <w:rPr>
                <w:rFonts w:hint="eastAsia" w:ascii="宋体" w:hAnsi="宋体" w:cs="宋体"/>
                <w:szCs w:val="21"/>
              </w:rPr>
              <w:t>3.1.5按照自治区教育厅内处室要求，抽取相关数据，对结果以电子文件、数据库表、API接口等形式，选择相应的传输渠道，提交数据抽取结果。</w:t>
            </w:r>
          </w:p>
          <w:p w14:paraId="157E81DD">
            <w:pPr>
              <w:spacing w:line="360" w:lineRule="exact"/>
              <w:ind w:firstLine="430"/>
              <w:rPr>
                <w:rFonts w:hint="eastAsia" w:ascii="宋体" w:hAnsi="宋体" w:cs="宋体"/>
                <w:szCs w:val="21"/>
              </w:rPr>
            </w:pPr>
            <w:r>
              <w:rPr>
                <w:rFonts w:hint="eastAsia" w:ascii="宋体" w:hAnsi="宋体" w:cs="宋体"/>
                <w:szCs w:val="21"/>
              </w:rPr>
              <w:t>3.1.6服务实施成果交付物：验收时提供业务审批、数据比对结果截图等佐证材料。</w:t>
            </w:r>
          </w:p>
          <w:p w14:paraId="0B4FCB44">
            <w:pPr>
              <w:spacing w:line="360" w:lineRule="exact"/>
              <w:ind w:firstLine="430"/>
              <w:rPr>
                <w:rFonts w:hint="eastAsia" w:ascii="宋体" w:hAnsi="宋体" w:cs="宋体"/>
                <w:szCs w:val="21"/>
              </w:rPr>
            </w:pPr>
            <w:r>
              <w:rPr>
                <w:rFonts w:hint="eastAsia" w:ascii="宋体" w:hAnsi="宋体" w:cs="宋体"/>
                <w:szCs w:val="21"/>
              </w:rPr>
              <w:t>3.2编制数据共享技术方案，搭建与调试数据传输通道，进行数据采集、数据开发、数据推送、数据调度任务配置等，保障业务系统数据同步共享与更新。</w:t>
            </w:r>
          </w:p>
          <w:p w14:paraId="7C7F8F08">
            <w:pPr>
              <w:spacing w:line="360" w:lineRule="exact"/>
              <w:ind w:firstLine="430"/>
              <w:rPr>
                <w:rFonts w:hint="eastAsia" w:ascii="宋体" w:hAnsi="宋体" w:cs="宋体"/>
                <w:szCs w:val="21"/>
              </w:rPr>
            </w:pPr>
            <w:r>
              <w:rPr>
                <w:rFonts w:hint="eastAsia" w:ascii="宋体" w:hAnsi="宋体" w:cs="宋体"/>
                <w:szCs w:val="21"/>
              </w:rPr>
              <w:t>3.2.1服务实施成功交付物：验收时提供佐证材料</w:t>
            </w:r>
          </w:p>
          <w:p w14:paraId="1F14BC66">
            <w:pPr>
              <w:spacing w:line="360" w:lineRule="exact"/>
              <w:ind w:firstLine="430"/>
              <w:rPr>
                <w:rFonts w:hint="eastAsia" w:ascii="宋体" w:hAnsi="宋体" w:cs="宋体"/>
                <w:szCs w:val="21"/>
              </w:rPr>
            </w:pPr>
            <w:r>
              <w:rPr>
                <w:rFonts w:hint="eastAsia" w:ascii="宋体" w:hAnsi="宋体" w:cs="宋体"/>
                <w:szCs w:val="21"/>
              </w:rPr>
              <w:t>3.3受理自治区共享交换平台上各厅局关于教育数据需求的技术支持。明确数据交接流程，包括数据分析，数据开发与数据交接，满足对于教育数据的需求。</w:t>
            </w:r>
          </w:p>
          <w:p w14:paraId="0F76B2E7">
            <w:pPr>
              <w:spacing w:line="360" w:lineRule="exact"/>
              <w:ind w:firstLine="430"/>
              <w:rPr>
                <w:rFonts w:hint="eastAsia" w:ascii="宋体" w:hAnsi="宋体" w:cs="宋体"/>
                <w:szCs w:val="21"/>
              </w:rPr>
            </w:pPr>
            <w:r>
              <w:rPr>
                <w:rFonts w:hint="eastAsia" w:ascii="宋体" w:hAnsi="宋体" w:cs="宋体"/>
                <w:szCs w:val="21"/>
              </w:rPr>
              <w:t>3.3.1服务实施成功交付物：验收时提供佐证材料</w:t>
            </w:r>
          </w:p>
          <w:p w14:paraId="60A90BD0">
            <w:pPr>
              <w:spacing w:line="360" w:lineRule="exact"/>
              <w:ind w:firstLine="430"/>
              <w:rPr>
                <w:rFonts w:hint="eastAsia" w:ascii="宋体" w:hAnsi="宋体" w:cs="宋体"/>
                <w:szCs w:val="21"/>
              </w:rPr>
            </w:pPr>
            <w:r>
              <w:rPr>
                <w:rFonts w:hint="eastAsia" w:ascii="宋体" w:hAnsi="宋体" w:cs="宋体"/>
                <w:szCs w:val="21"/>
              </w:rPr>
              <w:t>3.4.面向相关人员开展一体化公共数据管理平台和教育数据生命周期系统的使用培训活动</w:t>
            </w:r>
          </w:p>
          <w:p w14:paraId="26666224">
            <w:pPr>
              <w:spacing w:line="360" w:lineRule="exact"/>
              <w:ind w:firstLine="430"/>
              <w:rPr>
                <w:rFonts w:hint="eastAsia" w:ascii="宋体" w:hAnsi="宋体" w:cs="宋体"/>
                <w:szCs w:val="21"/>
              </w:rPr>
            </w:pPr>
            <w:r>
              <w:rPr>
                <w:rFonts w:hint="eastAsia" w:ascii="宋体" w:hAnsi="宋体" w:cs="宋体"/>
                <w:szCs w:val="21"/>
              </w:rPr>
              <w:t>3.4.1培训目标：提供现场技术培训，培训不少于12人次，通过</w:t>
            </w:r>
            <w:bookmarkStart w:id="7" w:name="OLE_LINK5"/>
            <w:r>
              <w:rPr>
                <w:rFonts w:hint="eastAsia" w:ascii="宋体" w:hAnsi="宋体" w:cs="宋体"/>
                <w:szCs w:val="21"/>
              </w:rPr>
              <w:t>讲授一体化</w:t>
            </w:r>
            <w:bookmarkEnd w:id="7"/>
            <w:r>
              <w:rPr>
                <w:rFonts w:hint="eastAsia" w:ascii="宋体" w:hAnsi="宋体" w:cs="宋体"/>
                <w:szCs w:val="21"/>
              </w:rPr>
              <w:t>公共数据管理平台的功能模块，进行目录的维护、数据归集、服务接口开发及调试等操作演示与相关知识输入，使用户的技术人员能够掌握一体化公共数据管理平台，确保支持自治区教育厅内数据共享；通过讲授教育数据生命周期系统的功能架构、数据治理流程、数据质量核查等，使用户的技术人员能够了解教育数据生命周期系统的底层治理逻辑。</w:t>
            </w:r>
          </w:p>
          <w:p w14:paraId="75E66EB3">
            <w:pPr>
              <w:spacing w:line="360" w:lineRule="exact"/>
              <w:ind w:firstLine="430"/>
              <w:rPr>
                <w:rFonts w:hint="eastAsia" w:ascii="宋体" w:hAnsi="宋体" w:cs="宋体"/>
                <w:szCs w:val="21"/>
              </w:rPr>
            </w:pPr>
            <w:r>
              <w:rPr>
                <w:rFonts w:hint="eastAsia" w:ascii="宋体" w:hAnsi="宋体" w:cs="宋体"/>
                <w:szCs w:val="21"/>
              </w:rPr>
              <w:t>3.4.2培训计划：提供培训计划表，学员集中到指定的培训地点进行集中技术培训，教学采用现场授课方式，并根据实际情况建立一定的实践环境。培训课程按级别不同，包含不同程度的演示和实际动手实验课，主要开展一体化公共数据管理平台目录编制、数据归集、数据治理、服务接口开发方面的培训；开展教育数据生命周期系统数据查询、数据质量分析、</w:t>
            </w:r>
            <w:bookmarkStart w:id="8" w:name="OLE_LINK7"/>
            <w:r>
              <w:rPr>
                <w:rFonts w:hint="eastAsia" w:ascii="宋体" w:hAnsi="宋体" w:cs="宋体"/>
                <w:szCs w:val="21"/>
              </w:rPr>
              <w:t>数据血缘</w:t>
            </w:r>
            <w:bookmarkEnd w:id="8"/>
            <w:r>
              <w:rPr>
                <w:rFonts w:hint="eastAsia" w:ascii="宋体" w:hAnsi="宋体" w:cs="宋体"/>
                <w:szCs w:val="21"/>
              </w:rPr>
              <w:t>分析、接口运行状态监控等方面的培训。</w:t>
            </w:r>
          </w:p>
          <w:p w14:paraId="14EEAB1B">
            <w:pPr>
              <w:spacing w:line="360" w:lineRule="exact"/>
              <w:ind w:firstLine="430"/>
              <w:rPr>
                <w:rFonts w:hint="eastAsia" w:ascii="宋体" w:hAnsi="宋体" w:cs="宋体"/>
                <w:szCs w:val="21"/>
              </w:rPr>
            </w:pPr>
            <w:r>
              <w:rPr>
                <w:rFonts w:hint="eastAsia" w:ascii="宋体" w:hAnsi="宋体" w:cs="宋体"/>
                <w:szCs w:val="21"/>
              </w:rPr>
              <w:t>3.4.3培训教材：培训教材采用PPT或WORD的形式编写，语言采用中文或英文。培训教材在培训前统一发给培训学员（包括纸质版或电子版）。</w:t>
            </w:r>
          </w:p>
          <w:p w14:paraId="1DD48160">
            <w:pPr>
              <w:spacing w:line="360" w:lineRule="exact"/>
              <w:ind w:firstLine="430"/>
              <w:rPr>
                <w:rFonts w:hint="eastAsia" w:ascii="宋体" w:hAnsi="宋体" w:cs="宋体"/>
                <w:szCs w:val="21"/>
              </w:rPr>
            </w:pPr>
            <w:r>
              <w:rPr>
                <w:rFonts w:hint="eastAsia" w:ascii="宋体" w:hAnsi="宋体" w:cs="宋体"/>
                <w:szCs w:val="21"/>
              </w:rPr>
              <w:t>3.4.4培训质量：坚持理论联系实际、学用一致、按需施教、讲求实效的原则；坚持把知识培训与学员实际工作需要紧密结合起来；在每次培训开始及结束后，收集参与培训用户的意见和建议，以期做到对用户有针对性的培训，并对已参加过培训的用户进行查漏补缺，在随后的相关培训中对遗漏的知识点进行补充。</w:t>
            </w:r>
          </w:p>
          <w:p w14:paraId="06DB308B">
            <w:pPr>
              <w:spacing w:line="360" w:lineRule="exact"/>
              <w:ind w:firstLine="430"/>
              <w:rPr>
                <w:rFonts w:hint="eastAsia" w:ascii="宋体" w:hAnsi="宋体" w:cs="宋体"/>
                <w:szCs w:val="21"/>
              </w:rPr>
            </w:pPr>
            <w:r>
              <w:rPr>
                <w:rFonts w:hint="eastAsia" w:ascii="宋体" w:hAnsi="宋体" w:cs="宋体"/>
                <w:szCs w:val="21"/>
              </w:rPr>
              <w:t>3.4.5服务实施成果交付物：验收时提供培训签到表、培训计划、培训教材、培训图片等佐证材料。</w:t>
            </w:r>
          </w:p>
          <w:p w14:paraId="47594CFC">
            <w:pPr>
              <w:spacing w:line="360" w:lineRule="exact"/>
              <w:ind w:firstLine="430"/>
              <w:rPr>
                <w:rFonts w:hint="eastAsia" w:ascii="宋体" w:hAnsi="宋体" w:cs="宋体"/>
                <w:szCs w:val="21"/>
              </w:rPr>
            </w:pPr>
            <w:r>
              <w:rPr>
                <w:rFonts w:hint="eastAsia" w:ascii="宋体" w:hAnsi="宋体" w:cs="宋体"/>
                <w:szCs w:val="21"/>
              </w:rPr>
              <w:t>▲4.基础数据运维服务</w:t>
            </w:r>
          </w:p>
          <w:p w14:paraId="5A353B52">
            <w:pPr>
              <w:spacing w:line="360" w:lineRule="exact"/>
              <w:ind w:firstLine="430"/>
              <w:rPr>
                <w:rFonts w:hint="eastAsia" w:ascii="宋体" w:hAnsi="宋体" w:cs="宋体"/>
                <w:szCs w:val="21"/>
              </w:rPr>
            </w:pPr>
            <w:r>
              <w:rPr>
                <w:rFonts w:hint="eastAsia" w:ascii="宋体" w:hAnsi="宋体" w:cs="宋体"/>
                <w:szCs w:val="21"/>
              </w:rPr>
              <w:t>配合基础教育数据回流，全面更新学前教育，义务教育、高中、教师等相关信息的采集与更新，保障学前学生，中小学学生、教师相关信息的及时性与准确性。具体内容如下：</w:t>
            </w:r>
          </w:p>
          <w:p w14:paraId="77409E5F">
            <w:pPr>
              <w:spacing w:line="360" w:lineRule="exact"/>
              <w:ind w:firstLine="430"/>
              <w:rPr>
                <w:rFonts w:hint="eastAsia" w:ascii="宋体" w:hAnsi="宋体" w:cs="宋体"/>
                <w:szCs w:val="21"/>
              </w:rPr>
            </w:pPr>
            <w:r>
              <w:rPr>
                <w:rFonts w:hint="eastAsia" w:ascii="宋体" w:hAnsi="宋体" w:cs="宋体"/>
                <w:szCs w:val="21"/>
              </w:rPr>
              <w:t>4.1学前学生信息更新</w:t>
            </w:r>
          </w:p>
          <w:p w14:paraId="62B77CB0">
            <w:pPr>
              <w:spacing w:line="360" w:lineRule="exact"/>
              <w:ind w:firstLine="430"/>
              <w:rPr>
                <w:rFonts w:hint="eastAsia" w:ascii="宋体" w:hAnsi="宋体" w:cs="宋体"/>
                <w:szCs w:val="21"/>
              </w:rPr>
            </w:pPr>
            <w:r>
              <w:rPr>
                <w:rFonts w:hint="eastAsia" w:ascii="宋体" w:hAnsi="宋体" w:cs="宋体"/>
                <w:szCs w:val="21"/>
              </w:rPr>
              <w:t>包括与不限于对于学前机构信息，学前学生信息、学前学生家庭成员信息等进行数据采集与数据开发，及时更新相关数据资源，保障学前学生资源相关的数据共享及时与准确。</w:t>
            </w:r>
          </w:p>
          <w:p w14:paraId="055CCC4E">
            <w:pPr>
              <w:spacing w:line="360" w:lineRule="exact"/>
              <w:ind w:firstLine="430"/>
              <w:rPr>
                <w:rFonts w:hint="eastAsia" w:ascii="宋体" w:hAnsi="宋体" w:cs="宋体"/>
                <w:szCs w:val="21"/>
              </w:rPr>
            </w:pPr>
            <w:r>
              <w:rPr>
                <w:rFonts w:hint="eastAsia" w:ascii="宋体" w:hAnsi="宋体" w:cs="宋体"/>
                <w:szCs w:val="21"/>
              </w:rPr>
              <w:t>4.2中小学学生信息更新</w:t>
            </w:r>
          </w:p>
          <w:p w14:paraId="6EAB9A5A">
            <w:pPr>
              <w:spacing w:line="360" w:lineRule="exact"/>
              <w:ind w:firstLine="430"/>
              <w:rPr>
                <w:rFonts w:hint="eastAsia" w:ascii="宋体" w:hAnsi="宋体" w:cs="宋体"/>
                <w:szCs w:val="21"/>
              </w:rPr>
            </w:pPr>
            <w:r>
              <w:rPr>
                <w:rFonts w:hint="eastAsia" w:ascii="宋体" w:hAnsi="宋体" w:cs="宋体"/>
                <w:szCs w:val="21"/>
              </w:rPr>
              <w:t>包括与不限于对于中小学学校信息，中小学学校校区信息，中小学学生信息等进行数据采集与数据开发，及时更新相关数据资源，保障中小学学生资源相关的数据共享及时与准确。</w:t>
            </w:r>
          </w:p>
          <w:p w14:paraId="333EB435">
            <w:pPr>
              <w:spacing w:line="360" w:lineRule="exact"/>
              <w:ind w:firstLine="430"/>
              <w:rPr>
                <w:rFonts w:hint="eastAsia" w:ascii="宋体" w:hAnsi="宋体" w:cs="宋体"/>
                <w:szCs w:val="21"/>
              </w:rPr>
            </w:pPr>
            <w:r>
              <w:rPr>
                <w:rFonts w:hint="eastAsia" w:ascii="宋体" w:hAnsi="宋体" w:cs="宋体"/>
                <w:szCs w:val="21"/>
              </w:rPr>
              <w:t>4.3教师信息更新</w:t>
            </w:r>
          </w:p>
          <w:p w14:paraId="2EDC45E1">
            <w:pPr>
              <w:spacing w:line="360" w:lineRule="exact"/>
              <w:ind w:firstLine="430"/>
              <w:rPr>
                <w:rFonts w:hint="eastAsia" w:ascii="宋体" w:hAnsi="宋体" w:cs="宋体"/>
                <w:szCs w:val="21"/>
              </w:rPr>
            </w:pPr>
            <w:r>
              <w:rPr>
                <w:rFonts w:hint="eastAsia" w:ascii="宋体" w:hAnsi="宋体" w:cs="宋体"/>
                <w:szCs w:val="21"/>
              </w:rPr>
              <w:t>包括与不限于对于教育部回流的教师信息进行数据采集与数据开发，及时更新相关数据资源，保障教师相关的数据共享及时与准确。</w:t>
            </w:r>
          </w:p>
          <w:p w14:paraId="2B4ADEEA">
            <w:pPr>
              <w:spacing w:line="360" w:lineRule="exact"/>
              <w:ind w:firstLine="430"/>
              <w:rPr>
                <w:rFonts w:hint="eastAsia" w:ascii="宋体" w:hAnsi="宋体" w:cs="宋体"/>
                <w:szCs w:val="21"/>
              </w:rPr>
            </w:pPr>
            <w:r>
              <w:rPr>
                <w:rFonts w:hint="eastAsia" w:ascii="宋体" w:hAnsi="宋体" w:cs="宋体"/>
                <w:szCs w:val="21"/>
              </w:rPr>
              <w:t>4.4服务实施成果交付物：验收时提供数据采集与数据更新相关的佐证材料。</w:t>
            </w:r>
          </w:p>
          <w:p w14:paraId="686732A4">
            <w:pPr>
              <w:spacing w:line="360" w:lineRule="exact"/>
              <w:ind w:firstLine="430"/>
              <w:rPr>
                <w:rFonts w:hint="eastAsia" w:ascii="宋体" w:hAnsi="宋体" w:cs="宋体"/>
                <w:szCs w:val="21"/>
              </w:rPr>
            </w:pPr>
            <w:r>
              <w:rPr>
                <w:rFonts w:hint="eastAsia" w:ascii="宋体" w:hAnsi="宋体" w:cs="宋体"/>
                <w:szCs w:val="21"/>
              </w:rPr>
              <w:t>▲</w:t>
            </w:r>
            <w:r>
              <w:rPr>
                <w:rFonts w:hint="eastAsia" w:ascii="宋体" w:hAnsi="宋体" w:cs="宋体"/>
                <w:b/>
                <w:bCs/>
                <w:szCs w:val="21"/>
              </w:rPr>
              <w:t>（三）运维方式及人员要求</w:t>
            </w:r>
          </w:p>
          <w:p w14:paraId="579EF17A">
            <w:pPr>
              <w:spacing w:line="360" w:lineRule="exact"/>
              <w:ind w:firstLine="430"/>
              <w:rPr>
                <w:rFonts w:hint="eastAsia" w:ascii="宋体" w:hAnsi="宋体" w:cs="宋体"/>
                <w:szCs w:val="21"/>
              </w:rPr>
            </w:pPr>
            <w:r>
              <w:rPr>
                <w:rFonts w:hint="eastAsia" w:ascii="宋体" w:hAnsi="宋体" w:cs="宋体"/>
                <w:szCs w:val="21"/>
              </w:rPr>
              <w:t>1.采用驻场+远程支持的混合服务模式，要求运维团队具有满足运维需要的技术支持服务队伍，完善的技术支持服务体系。</w:t>
            </w:r>
          </w:p>
          <w:p w14:paraId="0FB8DF4B">
            <w:pPr>
              <w:spacing w:line="360" w:lineRule="exact"/>
              <w:ind w:firstLine="430"/>
              <w:rPr>
                <w:rFonts w:hint="eastAsia" w:ascii="宋体" w:hAnsi="宋体" w:cs="宋体"/>
                <w:szCs w:val="21"/>
              </w:rPr>
            </w:pPr>
            <w:r>
              <w:rPr>
                <w:rFonts w:hint="eastAsia" w:ascii="宋体" w:hAnsi="宋体" w:cs="宋体"/>
                <w:szCs w:val="21"/>
              </w:rPr>
              <w:t>2.项目驻场运维人员不少于10人，包括项目经理1人（可兼任），须全部具有本科或以上学历；驻场运维人员要求持有国家、行业认证的信息技术相关专业资质</w:t>
            </w:r>
            <w:r>
              <w:rPr>
                <w:rStyle w:val="6"/>
                <w:rFonts w:hint="eastAsia" w:ascii="宋体" w:hAnsi="宋体" w:cs="宋体"/>
              </w:rPr>
              <w:t>（如项目管理、网络、安全、软件、主机、存储、云计算）</w:t>
            </w:r>
            <w:r>
              <w:rPr>
                <w:rFonts w:hint="eastAsia" w:ascii="宋体" w:hAnsi="宋体" w:cs="宋体"/>
                <w:szCs w:val="21"/>
              </w:rPr>
              <w:t>，中级或以上的人员不少于7人，且从事信息技术运维相关工作经验2年或以上。</w:t>
            </w:r>
          </w:p>
          <w:p w14:paraId="7BA9C381">
            <w:pPr>
              <w:spacing w:line="360" w:lineRule="exact"/>
              <w:ind w:firstLine="430"/>
              <w:rPr>
                <w:rFonts w:hint="eastAsia" w:ascii="宋体" w:hAnsi="宋体" w:cs="宋体"/>
                <w:szCs w:val="21"/>
              </w:rPr>
            </w:pPr>
            <w:r>
              <w:rPr>
                <w:rFonts w:hint="eastAsia" w:ascii="宋体" w:hAnsi="宋体" w:cs="宋体"/>
                <w:szCs w:val="21"/>
              </w:rPr>
              <w:t>3.远程专家团队人员不少于6人，应全部具有本科或以上学历；同时应全部具备信息技术相关的中级或以上专业技术资格</w:t>
            </w:r>
            <w:r>
              <w:rPr>
                <w:rStyle w:val="6"/>
                <w:rFonts w:hint="eastAsia" w:ascii="宋体" w:hAnsi="宋体" w:cs="宋体"/>
              </w:rPr>
              <w:t>（如项目管理、网络、安全、软件、主机、存储、云计算）</w:t>
            </w:r>
            <w:r>
              <w:rPr>
                <w:rFonts w:hint="eastAsia" w:ascii="宋体" w:hAnsi="宋体" w:cs="宋体"/>
                <w:szCs w:val="21"/>
              </w:rPr>
              <w:t>。</w:t>
            </w:r>
          </w:p>
          <w:p w14:paraId="0562B44F">
            <w:pPr>
              <w:spacing w:line="360" w:lineRule="exact"/>
              <w:ind w:firstLine="430"/>
              <w:rPr>
                <w:rFonts w:hint="eastAsia" w:ascii="宋体" w:hAnsi="宋体" w:cs="宋体"/>
                <w:szCs w:val="21"/>
              </w:rPr>
            </w:pPr>
            <w:r>
              <w:rPr>
                <w:rFonts w:hint="eastAsia" w:ascii="宋体" w:hAnsi="宋体" w:cs="宋体"/>
                <w:szCs w:val="21"/>
              </w:rPr>
              <w:t>4.运维时间：提供5×8小时驻场运维服务。法定节假日及休息日，安排1人提供8小时现场值班；国家和自治区重大活动及重大节假日（如两会、东盟博览会、三月三、国庆节、春节等）重要保障时期，根据采购人实际需求，安排不少于1人提供24小时现场值班。</w:t>
            </w:r>
          </w:p>
          <w:p w14:paraId="088C0D88">
            <w:pPr>
              <w:spacing w:line="360" w:lineRule="exact"/>
              <w:ind w:firstLine="430"/>
              <w:rPr>
                <w:rFonts w:hint="eastAsia" w:ascii="宋体" w:hAnsi="宋体" w:cs="宋体"/>
                <w:szCs w:val="21"/>
              </w:rPr>
            </w:pPr>
            <w:r>
              <w:rPr>
                <w:rFonts w:hint="eastAsia" w:ascii="宋体" w:hAnsi="宋体" w:cs="宋体"/>
                <w:szCs w:val="21"/>
              </w:rPr>
              <w:t>5.所有驻场运维人员均需开展日常考勤签到，人员驻场期间产生的食宿、差旅等费用由中标供应商承担。</w:t>
            </w:r>
          </w:p>
          <w:p w14:paraId="68E63EA7">
            <w:pPr>
              <w:spacing w:line="360" w:lineRule="exact"/>
              <w:ind w:firstLine="430"/>
              <w:rPr>
                <w:rFonts w:hint="eastAsia" w:ascii="宋体" w:hAnsi="宋体" w:cs="宋体"/>
                <w:szCs w:val="21"/>
              </w:rPr>
            </w:pPr>
            <w:r>
              <w:rPr>
                <w:rFonts w:hint="eastAsia" w:ascii="宋体" w:hAnsi="宋体" w:cs="宋体"/>
                <w:szCs w:val="21"/>
              </w:rPr>
              <w:t>6.合同签订后，采购人对照中标供应商投标文件承诺所提供的人员数量、人员持有的证书进行查验符合后正式提供服务。</w:t>
            </w:r>
          </w:p>
          <w:p w14:paraId="3F60CF42">
            <w:pPr>
              <w:spacing w:line="360" w:lineRule="exact"/>
              <w:ind w:firstLine="430"/>
              <w:rPr>
                <w:rFonts w:hint="eastAsia" w:ascii="宋体" w:hAnsi="宋体" w:cs="宋体"/>
                <w:b/>
                <w:bCs/>
                <w:szCs w:val="21"/>
              </w:rPr>
            </w:pPr>
            <w:r>
              <w:rPr>
                <w:rFonts w:hint="eastAsia" w:ascii="宋体" w:hAnsi="宋体" w:cs="宋体"/>
                <w:b/>
                <w:bCs/>
                <w:szCs w:val="21"/>
              </w:rPr>
              <w:t>（四）信息安全要求</w:t>
            </w:r>
          </w:p>
          <w:p w14:paraId="64E21452">
            <w:pPr>
              <w:spacing w:line="360" w:lineRule="exact"/>
              <w:ind w:firstLine="430"/>
              <w:rPr>
                <w:rFonts w:hint="eastAsia" w:ascii="宋体" w:hAnsi="宋体" w:cs="宋体"/>
                <w:szCs w:val="21"/>
              </w:rPr>
            </w:pPr>
            <w:r>
              <w:rPr>
                <w:rFonts w:hint="eastAsia" w:ascii="宋体" w:hAnsi="宋体" w:cs="宋体"/>
                <w:szCs w:val="21"/>
              </w:rPr>
              <w:t>▲1.严格落实数据安全法、网络安全等级保护等相关要求，运维过程中所有操作符合保密管理规定，严禁对外泄露任何业务数据和内部敏感信息。</w:t>
            </w:r>
          </w:p>
          <w:p w14:paraId="278F8F50">
            <w:pPr>
              <w:spacing w:line="360" w:lineRule="exact"/>
              <w:ind w:firstLine="430"/>
              <w:rPr>
                <w:rFonts w:hint="eastAsia" w:ascii="宋体" w:hAnsi="宋体" w:cs="宋体"/>
                <w:szCs w:val="21"/>
              </w:rPr>
            </w:pPr>
            <w:r>
              <w:rPr>
                <w:rFonts w:hint="eastAsia" w:ascii="宋体" w:hAnsi="宋体" w:cs="宋体"/>
                <w:szCs w:val="21"/>
              </w:rPr>
              <w:t>▲2.配合采购人完成等保测评、密评、网络安全和数据安全专项检查等工作。</w:t>
            </w:r>
          </w:p>
          <w:bookmarkEnd w:id="5"/>
        </w:tc>
      </w:tr>
      <w:tr w14:paraId="3DC18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tcPr>
          <w:p w14:paraId="57A42533">
            <w:pPr>
              <w:spacing w:line="360" w:lineRule="exact"/>
              <w:rPr>
                <w:rFonts w:hint="eastAsia" w:ascii="宋体" w:hAnsi="宋体"/>
                <w:b/>
                <w:szCs w:val="21"/>
              </w:rPr>
            </w:pPr>
            <w:r>
              <w:rPr>
                <w:rFonts w:hint="eastAsia" w:ascii="宋体" w:hAnsi="宋体"/>
                <w:b/>
                <w:szCs w:val="21"/>
              </w:rPr>
              <w:t>▲二、商务要求</w:t>
            </w:r>
          </w:p>
        </w:tc>
      </w:tr>
      <w:tr w14:paraId="0EC2C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07F70908">
            <w:pPr>
              <w:spacing w:line="380" w:lineRule="exact"/>
              <w:rPr>
                <w:rFonts w:hint="eastAsia" w:ascii="宋体" w:hAnsi="宋体"/>
                <w:szCs w:val="21"/>
              </w:rPr>
            </w:pPr>
            <w:r>
              <w:rPr>
                <w:rFonts w:hint="eastAsia" w:ascii="宋体" w:hAnsi="宋体"/>
                <w:szCs w:val="21"/>
              </w:rPr>
              <w:t>合同签订期</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1AD9D7C4">
            <w:pPr>
              <w:spacing w:line="360" w:lineRule="exact"/>
              <w:ind w:firstLine="420" w:firstLineChars="200"/>
              <w:rPr>
                <w:rFonts w:hint="eastAsia" w:ascii="宋体" w:hAnsi="宋体"/>
                <w:szCs w:val="21"/>
              </w:rPr>
            </w:pPr>
            <w:r>
              <w:rPr>
                <w:rFonts w:hint="eastAsia" w:ascii="宋体" w:hAnsi="宋体"/>
                <w:szCs w:val="21"/>
              </w:rPr>
              <w:t>自中标通知书发出之日起25日内与采购人完成合同签订。</w:t>
            </w:r>
          </w:p>
        </w:tc>
      </w:tr>
      <w:tr w14:paraId="7E4DC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17021E23">
            <w:pPr>
              <w:spacing w:line="380" w:lineRule="exact"/>
              <w:rPr>
                <w:rFonts w:hint="eastAsia" w:ascii="宋体" w:hAnsi="宋体"/>
                <w:szCs w:val="21"/>
              </w:rPr>
            </w:pPr>
            <w:r>
              <w:rPr>
                <w:rFonts w:hint="eastAsia" w:ascii="宋体" w:hAnsi="宋体"/>
                <w:szCs w:val="21"/>
              </w:rPr>
              <w:t>服务时间及地点</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05AB3904">
            <w:pPr>
              <w:spacing w:line="360" w:lineRule="exact"/>
              <w:ind w:firstLine="420" w:firstLineChars="200"/>
              <w:rPr>
                <w:rFonts w:hint="eastAsia" w:ascii="宋体" w:hAnsi="宋体"/>
                <w:szCs w:val="21"/>
              </w:rPr>
            </w:pPr>
            <w:r>
              <w:rPr>
                <w:rFonts w:hint="eastAsia" w:ascii="宋体" w:hAnsi="宋体"/>
                <w:szCs w:val="21"/>
              </w:rPr>
              <w:t>1.</w:t>
            </w:r>
            <w:r>
              <w:rPr>
                <w:rFonts w:hint="eastAsia" w:ascii="宋体" w:hAnsi="宋体" w:cs="宋体"/>
                <w:szCs w:val="21"/>
              </w:rPr>
              <w:t>服务期：合同签订生效之日起3年；合同签订后5个工作日内须完成人员进场检验（检验人员数量、人员身份信息和人员资质是否与投标文件一致）</w:t>
            </w:r>
            <w:r>
              <w:rPr>
                <w:rFonts w:hint="eastAsia" w:ascii="宋体" w:hAnsi="宋体"/>
                <w:szCs w:val="21"/>
              </w:rPr>
              <w:t>。</w:t>
            </w:r>
          </w:p>
          <w:p w14:paraId="7AE8F3B6">
            <w:pPr>
              <w:spacing w:line="360" w:lineRule="exact"/>
              <w:ind w:firstLine="420" w:firstLineChars="200"/>
              <w:rPr>
                <w:rFonts w:hint="eastAsia" w:ascii="宋体" w:hAnsi="宋体"/>
                <w:szCs w:val="21"/>
              </w:rPr>
            </w:pPr>
            <w:r>
              <w:rPr>
                <w:rFonts w:hint="eastAsia" w:ascii="宋体" w:hAnsi="宋体"/>
                <w:szCs w:val="21"/>
              </w:rPr>
              <w:t>2.服务地点：</w:t>
            </w:r>
            <w:r>
              <w:rPr>
                <w:rFonts w:hint="eastAsia" w:ascii="宋体" w:hAnsi="宋体" w:cs="宋体"/>
                <w:szCs w:val="21"/>
              </w:rPr>
              <w:t>广西南宁青秀区植物路50-1号广西教育数据中心</w:t>
            </w:r>
            <w:r>
              <w:rPr>
                <w:rFonts w:hint="eastAsia" w:ascii="宋体" w:hAnsi="宋体"/>
                <w:szCs w:val="21"/>
              </w:rPr>
              <w:t>。</w:t>
            </w:r>
          </w:p>
        </w:tc>
      </w:tr>
      <w:tr w14:paraId="41A8D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5351182D">
            <w:pPr>
              <w:spacing w:line="380" w:lineRule="exact"/>
              <w:rPr>
                <w:rFonts w:hint="eastAsia" w:ascii="宋体" w:hAnsi="宋体"/>
                <w:szCs w:val="21"/>
              </w:rPr>
            </w:pPr>
            <w:r>
              <w:rPr>
                <w:rFonts w:hint="eastAsia" w:ascii="宋体" w:hAnsi="宋体" w:cs="宋体"/>
                <w:szCs w:val="21"/>
              </w:rPr>
              <w:t>付款方式</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30606A60">
            <w:pPr>
              <w:spacing w:line="360" w:lineRule="exact"/>
              <w:ind w:firstLine="420" w:firstLineChars="200"/>
              <w:rPr>
                <w:rFonts w:hint="eastAsia" w:ascii="宋体" w:hAnsi="宋体" w:cs="宋体"/>
                <w:szCs w:val="21"/>
              </w:rPr>
            </w:pPr>
            <w:r>
              <w:rPr>
                <w:rFonts w:hint="eastAsia" w:ascii="宋体" w:hAnsi="宋体" w:cs="宋体"/>
                <w:szCs w:val="21"/>
              </w:rPr>
              <w:t>1.首期款项支付：人员进场检验通过后，中标供应商可提交请款申请；采购人收到合规请款资料及等额有效增值税发票后10个工作日内，支付60万元合同金额作为首付款，剩余款项按阶段分期支付（合同结算时，无法整除的，按四舍五入精确到小数点后两位数计算）：</w:t>
            </w:r>
          </w:p>
          <w:p w14:paraId="7DDDA16A">
            <w:pPr>
              <w:spacing w:line="360" w:lineRule="exact"/>
              <w:ind w:firstLine="420" w:firstLineChars="200"/>
              <w:rPr>
                <w:rFonts w:hint="eastAsia" w:ascii="宋体" w:hAnsi="宋体" w:cs="宋体"/>
                <w:szCs w:val="21"/>
              </w:rPr>
            </w:pPr>
            <w:r>
              <w:rPr>
                <w:rFonts w:hint="eastAsia" w:ascii="宋体" w:hAnsi="宋体" w:cs="宋体"/>
                <w:szCs w:val="21"/>
              </w:rPr>
              <w:t>（1）第一阶段（合同签订生效之日至2027年5月底），2027年6月初进行阶段性验收，验收合格后10个工作日内支付该阶段服务合同款至合同总金额的25%；</w:t>
            </w:r>
          </w:p>
          <w:p w14:paraId="3A8656B8">
            <w:pPr>
              <w:spacing w:line="360" w:lineRule="exact"/>
              <w:ind w:firstLine="420" w:firstLineChars="200"/>
              <w:rPr>
                <w:rFonts w:hint="eastAsia" w:ascii="宋体" w:hAnsi="宋体" w:cs="宋体"/>
                <w:szCs w:val="21"/>
              </w:rPr>
            </w:pPr>
            <w:r>
              <w:rPr>
                <w:rFonts w:hint="eastAsia" w:ascii="宋体" w:hAnsi="宋体" w:cs="宋体"/>
                <w:szCs w:val="21"/>
              </w:rPr>
              <w:t>（2）第二阶段（2027年6月初至2027年11月底），2027年12月初进行阶段性验收，验收合格后10个工作日内支付该阶段服务合同款至合同总金额的45%；</w:t>
            </w:r>
          </w:p>
          <w:p w14:paraId="4EB9AA62">
            <w:pPr>
              <w:spacing w:line="360" w:lineRule="exact"/>
              <w:ind w:firstLine="420" w:firstLineChars="200"/>
              <w:rPr>
                <w:rFonts w:hint="eastAsia" w:ascii="宋体" w:hAnsi="宋体" w:cs="宋体"/>
                <w:szCs w:val="21"/>
              </w:rPr>
            </w:pPr>
            <w:r>
              <w:rPr>
                <w:rFonts w:hint="eastAsia" w:ascii="宋体" w:hAnsi="宋体" w:cs="宋体"/>
                <w:szCs w:val="21"/>
              </w:rPr>
              <w:t>（3）第三阶段（2027年12月初至2028年5月底），2028年6月初进行阶段性验收，验收合格后10个工作日内支付该阶段服务合同款至合同总金额的60%；</w:t>
            </w:r>
          </w:p>
          <w:p w14:paraId="43CA4DC3">
            <w:pPr>
              <w:spacing w:line="360" w:lineRule="exact"/>
              <w:ind w:firstLine="420" w:firstLineChars="200"/>
              <w:rPr>
                <w:rFonts w:hint="eastAsia" w:ascii="宋体" w:hAnsi="宋体" w:cs="宋体"/>
                <w:szCs w:val="21"/>
              </w:rPr>
            </w:pPr>
            <w:r>
              <w:rPr>
                <w:rFonts w:hint="eastAsia" w:ascii="宋体" w:hAnsi="宋体" w:cs="宋体"/>
                <w:szCs w:val="21"/>
              </w:rPr>
              <w:t>（4）第四阶段（2028年6月初至2028年11月底），2028年12月初进行阶段性验收，验收合格后10个工作日内支付该阶段服务合同款至合同总金额的75%；</w:t>
            </w:r>
          </w:p>
          <w:p w14:paraId="43161BB7">
            <w:pPr>
              <w:spacing w:line="360" w:lineRule="exact"/>
              <w:ind w:firstLine="420" w:firstLineChars="200"/>
              <w:rPr>
                <w:rFonts w:hint="eastAsia" w:ascii="宋体" w:hAnsi="宋体" w:cs="宋体"/>
                <w:szCs w:val="21"/>
              </w:rPr>
            </w:pPr>
            <w:r>
              <w:rPr>
                <w:rFonts w:hint="eastAsia" w:ascii="宋体" w:hAnsi="宋体" w:cs="宋体"/>
                <w:szCs w:val="21"/>
              </w:rPr>
              <w:t>（5）第五阶段（2028年12月初至服务期结束之日），服务期结束之后20个工作日内进行验收，验收合格后10个工作日内支付至合同总金额的100%。</w:t>
            </w:r>
          </w:p>
          <w:p w14:paraId="42320835">
            <w:pPr>
              <w:spacing w:line="360" w:lineRule="exact"/>
              <w:ind w:firstLine="420" w:firstLineChars="200"/>
              <w:rPr>
                <w:rFonts w:hint="eastAsia" w:ascii="宋体" w:hAnsi="宋体" w:cs="宋体"/>
                <w:szCs w:val="21"/>
              </w:rPr>
            </w:pPr>
            <w:r>
              <w:rPr>
                <w:rFonts w:hint="eastAsia" w:ascii="宋体" w:hAnsi="宋体" w:cs="宋体"/>
                <w:szCs w:val="21"/>
              </w:rPr>
              <w:t>2.每次付款前，中标供应商需提供请款材料：①正式请款函；②对应付款金额有效增值税发票；</w:t>
            </w:r>
            <w:r>
              <w:rPr>
                <w:rFonts w:ascii="宋体" w:hAnsi="宋体" w:cs="宋体"/>
                <w:szCs w:val="21"/>
              </w:rPr>
              <w:t>③</w:t>
            </w:r>
            <w:r>
              <w:rPr>
                <w:rFonts w:hint="eastAsia" w:ascii="宋体" w:hAnsi="宋体" w:cs="宋体"/>
                <w:szCs w:val="21"/>
              </w:rPr>
              <w:t xml:space="preserve">阶段验收报告/最终验收报告。 </w:t>
            </w:r>
          </w:p>
          <w:p w14:paraId="1471B319">
            <w:pPr>
              <w:spacing w:line="360" w:lineRule="exact"/>
              <w:ind w:firstLine="420" w:firstLineChars="200"/>
              <w:rPr>
                <w:rFonts w:hint="eastAsia" w:ascii="宋体" w:hAnsi="宋体" w:cs="宋体"/>
                <w:szCs w:val="21"/>
              </w:rPr>
            </w:pPr>
            <w:r>
              <w:rPr>
                <w:rFonts w:hint="eastAsia" w:ascii="宋体" w:hAnsi="宋体" w:cs="宋体"/>
                <w:szCs w:val="21"/>
              </w:rPr>
              <w:t>3.中标供应商必须提供真实、有效的正式发票。一旦发现中标供应商提供虚假发票，采购人有权要求中标供应商补开合法发票或终止合同，中标供应商不得提出异议，因终止合同而产生的一切损失均由中标供应商承担。</w:t>
            </w:r>
          </w:p>
          <w:p w14:paraId="605B4B86">
            <w:pPr>
              <w:spacing w:line="360" w:lineRule="exact"/>
              <w:ind w:firstLine="420" w:firstLineChars="200"/>
              <w:rPr>
                <w:rFonts w:hint="eastAsia" w:ascii="宋体" w:hAnsi="宋体"/>
                <w:szCs w:val="21"/>
              </w:rPr>
            </w:pPr>
            <w:r>
              <w:rPr>
                <w:rFonts w:hint="eastAsia" w:ascii="宋体" w:hAnsi="宋体" w:cs="宋体"/>
                <w:szCs w:val="21"/>
              </w:rPr>
              <w:t>4.若因采购人财政拨款问题导致付款迟延的，采购人不承担延迟付款责任。</w:t>
            </w:r>
          </w:p>
        </w:tc>
      </w:tr>
      <w:tr w14:paraId="22F1F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30501CC6">
            <w:pPr>
              <w:spacing w:line="360" w:lineRule="exact"/>
              <w:rPr>
                <w:rFonts w:hint="eastAsia" w:ascii="宋体" w:hAnsi="宋体"/>
                <w:szCs w:val="21"/>
              </w:rPr>
            </w:pPr>
            <w:r>
              <w:rPr>
                <w:rFonts w:hint="eastAsia" w:ascii="宋体" w:hAnsi="宋体"/>
                <w:szCs w:val="21"/>
              </w:rPr>
              <w:t>报价要求</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77AAB031">
            <w:pPr>
              <w:spacing w:line="360" w:lineRule="exact"/>
              <w:ind w:firstLine="420" w:firstLineChars="200"/>
              <w:rPr>
                <w:rFonts w:hint="eastAsia" w:ascii="宋体" w:hAnsi="宋体"/>
                <w:szCs w:val="21"/>
              </w:rPr>
            </w:pPr>
            <w:r>
              <w:rPr>
                <w:rFonts w:hint="eastAsia" w:ascii="宋体" w:hAnsi="宋体"/>
                <w:szCs w:val="21"/>
              </w:rPr>
              <w:t>1.投标报价为人民币含税价，包含本项目服务实施过程中所有工作的一切费用，合同履行过程中采购人不再另行支付额外费用。包括但不限于：</w:t>
            </w:r>
          </w:p>
          <w:p w14:paraId="3B7A1C0C">
            <w:pPr>
              <w:spacing w:line="360" w:lineRule="exact"/>
              <w:ind w:firstLine="420" w:firstLineChars="200"/>
              <w:rPr>
                <w:rFonts w:hint="eastAsia" w:ascii="宋体" w:hAnsi="宋体"/>
                <w:szCs w:val="21"/>
              </w:rPr>
            </w:pPr>
            <w:r>
              <w:rPr>
                <w:rFonts w:hint="eastAsia" w:ascii="宋体" w:hAnsi="宋体"/>
                <w:szCs w:val="21"/>
              </w:rPr>
              <w:t>（1）服务的费用，包括服务人员的薪资（工资、五险一金、奖金、加班费等）、技术支持、培训、运维服务、驻场服务等；</w:t>
            </w:r>
          </w:p>
          <w:p w14:paraId="15B1F187">
            <w:pPr>
              <w:spacing w:line="360" w:lineRule="exact"/>
              <w:ind w:firstLine="420" w:firstLineChars="200"/>
              <w:rPr>
                <w:rFonts w:hint="eastAsia" w:ascii="宋体" w:hAnsi="宋体"/>
                <w:szCs w:val="21"/>
              </w:rPr>
            </w:pPr>
            <w:r>
              <w:rPr>
                <w:rFonts w:hint="eastAsia" w:ascii="宋体" w:hAnsi="宋体"/>
                <w:szCs w:val="21"/>
              </w:rPr>
              <w:t>（2）必要的代理服务费、保险费用和各项税金；</w:t>
            </w:r>
          </w:p>
          <w:p w14:paraId="24050C0E">
            <w:pPr>
              <w:spacing w:line="360" w:lineRule="exact"/>
              <w:ind w:firstLine="420" w:firstLineChars="200"/>
              <w:rPr>
                <w:rFonts w:hint="eastAsia" w:ascii="宋体" w:hAnsi="宋体"/>
                <w:szCs w:val="21"/>
              </w:rPr>
            </w:pPr>
            <w:r>
              <w:rPr>
                <w:rFonts w:hint="eastAsia" w:ascii="宋体" w:hAnsi="宋体"/>
                <w:szCs w:val="21"/>
              </w:rPr>
              <w:t>（3）服务时所需的备品和备件的费用；</w:t>
            </w:r>
          </w:p>
          <w:p w14:paraId="71A06E5D">
            <w:pPr>
              <w:spacing w:line="360" w:lineRule="exact"/>
              <w:ind w:firstLine="420" w:firstLineChars="200"/>
              <w:rPr>
                <w:rFonts w:hint="eastAsia" w:ascii="宋体" w:hAnsi="宋体"/>
                <w:szCs w:val="21"/>
              </w:rPr>
            </w:pPr>
            <w:r>
              <w:rPr>
                <w:rFonts w:hint="eastAsia" w:ascii="宋体" w:hAnsi="宋体"/>
                <w:szCs w:val="21"/>
              </w:rPr>
              <w:t>（4）根据合同规定，履行合同可能产生的其他费用。</w:t>
            </w:r>
          </w:p>
          <w:p w14:paraId="59581A48">
            <w:pPr>
              <w:spacing w:line="360" w:lineRule="exact"/>
              <w:ind w:firstLine="420" w:firstLineChars="200"/>
              <w:rPr>
                <w:rFonts w:hint="eastAsia" w:ascii="宋体" w:hAnsi="宋体"/>
                <w:szCs w:val="21"/>
              </w:rPr>
            </w:pPr>
            <w:r>
              <w:rPr>
                <w:rFonts w:hint="eastAsia" w:ascii="宋体" w:hAnsi="宋体"/>
                <w:szCs w:val="21"/>
              </w:rPr>
              <w:t>2.投标人应确保提供的服务或与服务配套的货物免受第三方提出的侵犯其专利权、商标权或工业设计权等的起诉，采购人不承担由此发生的一切责任、费用和经济赔偿。</w:t>
            </w:r>
          </w:p>
        </w:tc>
      </w:tr>
      <w:tr w14:paraId="42819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1E29EDFC">
            <w:pPr>
              <w:spacing w:line="360" w:lineRule="exact"/>
              <w:rPr>
                <w:rFonts w:hint="eastAsia" w:ascii="宋体" w:hAnsi="宋体"/>
                <w:szCs w:val="21"/>
              </w:rPr>
            </w:pPr>
            <w:r>
              <w:rPr>
                <w:rFonts w:hint="eastAsia" w:ascii="宋体" w:hAnsi="宋体"/>
                <w:szCs w:val="21"/>
              </w:rPr>
              <w:t>其他要求</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57A3A69B">
            <w:pPr>
              <w:spacing w:line="360" w:lineRule="exact"/>
              <w:ind w:firstLine="420" w:firstLineChars="200"/>
              <w:rPr>
                <w:rFonts w:hint="eastAsia" w:ascii="宋体" w:hAnsi="宋体"/>
                <w:szCs w:val="21"/>
              </w:rPr>
            </w:pPr>
            <w:r>
              <w:rPr>
                <w:rFonts w:hint="eastAsia" w:ascii="宋体" w:hAnsi="宋体"/>
                <w:szCs w:val="21"/>
              </w:rPr>
              <w:t>1.中标供应商及其相关人员必须严格遵守保密规定，所有涉及敏感信息的人员必须签订保密协议和安全责任书，未经采购人同意，不得向外泄露任何相关资料、文档和数据。如发生泄露事件，采购人有权终止合同，中标供应商必须承担全部责任，并协助消除因该事件所带来的一切影响。</w:t>
            </w:r>
          </w:p>
          <w:p w14:paraId="38B67B7A">
            <w:pPr>
              <w:spacing w:line="360" w:lineRule="exact"/>
              <w:ind w:firstLine="420" w:firstLineChars="200"/>
              <w:rPr>
                <w:rFonts w:hint="eastAsia" w:ascii="宋体" w:hAnsi="宋体"/>
                <w:szCs w:val="21"/>
              </w:rPr>
            </w:pPr>
            <w:r>
              <w:rPr>
                <w:rFonts w:hint="eastAsia" w:ascii="宋体" w:hAnsi="宋体"/>
                <w:szCs w:val="21"/>
              </w:rPr>
              <w:t>2.中标供应商必须严格遵守运维管理规范、安全规范以及其他相关管理规定，以保障系统的规范管理和安全运行。</w:t>
            </w:r>
          </w:p>
          <w:p w14:paraId="4D20A8AB">
            <w:pPr>
              <w:spacing w:line="360" w:lineRule="exact"/>
              <w:ind w:firstLine="420" w:firstLineChars="200"/>
              <w:rPr>
                <w:rFonts w:hint="eastAsia" w:ascii="宋体" w:hAnsi="宋体"/>
                <w:szCs w:val="21"/>
              </w:rPr>
            </w:pPr>
            <w:r>
              <w:rPr>
                <w:rFonts w:hint="eastAsia" w:ascii="宋体" w:hAnsi="宋体"/>
                <w:szCs w:val="21"/>
              </w:rPr>
              <w:t>3.在进行重要操作前，中标供应商须向采购人提交详细的技术方案进行报批，获批后方可执行。</w:t>
            </w:r>
          </w:p>
          <w:p w14:paraId="18AAE6EA">
            <w:pPr>
              <w:spacing w:line="360" w:lineRule="exact"/>
              <w:ind w:firstLine="420" w:firstLineChars="200"/>
              <w:rPr>
                <w:rFonts w:hint="eastAsia" w:ascii="宋体" w:hAnsi="宋体"/>
                <w:szCs w:val="21"/>
              </w:rPr>
            </w:pPr>
            <w:r>
              <w:rPr>
                <w:rFonts w:hint="eastAsia" w:ascii="宋体" w:hAnsi="宋体"/>
                <w:szCs w:val="21"/>
              </w:rPr>
              <w:t>4.服务变更</w:t>
            </w:r>
          </w:p>
          <w:p w14:paraId="33EF76D7">
            <w:pPr>
              <w:spacing w:line="360" w:lineRule="exact"/>
              <w:ind w:firstLine="420" w:firstLineChars="200"/>
              <w:rPr>
                <w:rFonts w:hint="eastAsia" w:ascii="宋体" w:hAnsi="宋体"/>
                <w:szCs w:val="21"/>
              </w:rPr>
            </w:pPr>
            <w:r>
              <w:rPr>
                <w:rFonts w:hint="eastAsia" w:ascii="宋体" w:hAnsi="宋体"/>
                <w:szCs w:val="21"/>
              </w:rPr>
              <w:t>4.1由于法律法规等因素发生变化而导致的需求变更，中标供应商理应无条件接受，确实无法实现的应向采购人提供书面说明。</w:t>
            </w:r>
          </w:p>
          <w:p w14:paraId="7D61A7BE">
            <w:pPr>
              <w:spacing w:line="360" w:lineRule="exact"/>
              <w:ind w:firstLine="420" w:firstLineChars="200"/>
              <w:rPr>
                <w:rFonts w:hint="eastAsia" w:ascii="宋体" w:hAnsi="宋体"/>
                <w:szCs w:val="21"/>
              </w:rPr>
            </w:pPr>
            <w:r>
              <w:rPr>
                <w:rFonts w:hint="eastAsia" w:ascii="宋体" w:hAnsi="宋体"/>
                <w:szCs w:val="21"/>
              </w:rPr>
              <w:t>4.2如有信息系统（网站）新增的，相关维保服务可在双方协商一致的前提下调整。</w:t>
            </w:r>
          </w:p>
        </w:tc>
      </w:tr>
      <w:tr w14:paraId="78A58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1D80B27B">
            <w:pPr>
              <w:spacing w:line="360" w:lineRule="exact"/>
              <w:rPr>
                <w:rFonts w:hint="eastAsia" w:ascii="宋体" w:hAnsi="宋体"/>
                <w:szCs w:val="21"/>
              </w:rPr>
            </w:pPr>
            <w:r>
              <w:rPr>
                <w:rFonts w:hint="eastAsia" w:ascii="宋体" w:hAnsi="宋体"/>
                <w:szCs w:val="21"/>
              </w:rPr>
              <w:t>保密责任及要求</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441A9175">
            <w:pPr>
              <w:spacing w:line="360" w:lineRule="atLeast"/>
              <w:ind w:right="-57" w:rightChars="-27" w:firstLine="420" w:firstLineChars="200"/>
              <w:jc w:val="left"/>
              <w:rPr>
                <w:rFonts w:hint="eastAsia" w:ascii="宋体" w:hAnsi="宋体"/>
                <w:szCs w:val="21"/>
              </w:rPr>
            </w:pPr>
            <w:r>
              <w:rPr>
                <w:rFonts w:hint="eastAsia" w:ascii="宋体" w:hAnsi="宋体"/>
                <w:szCs w:val="21"/>
              </w:rPr>
              <w:t>1.中标供应商应对服务人员进行相关安全保密要求培训，以确保服务人员了解并遵守安全、保密相关规定。</w:t>
            </w:r>
          </w:p>
          <w:p w14:paraId="1537DA54">
            <w:pPr>
              <w:spacing w:line="360" w:lineRule="atLeast"/>
              <w:ind w:right="-57" w:rightChars="-27" w:firstLine="420" w:firstLineChars="200"/>
              <w:jc w:val="left"/>
              <w:rPr>
                <w:rFonts w:hint="eastAsia" w:ascii="宋体" w:hAnsi="宋体"/>
                <w:szCs w:val="21"/>
              </w:rPr>
            </w:pPr>
            <w:r>
              <w:rPr>
                <w:rFonts w:hint="eastAsia" w:ascii="宋体" w:hAnsi="宋体"/>
                <w:szCs w:val="21"/>
              </w:rPr>
              <w:t>2.中标供应商在项目运维服务过程中，必须对本项目所有项目信息以及接触到的材料予以保密，未经采购人书面许可，中标供应商不得以任何形式向第三方透露本项目的任何内容；对本项目涉及的软硬件资料、网络拓扑、账号、密码等负有安全保密责任，并需承担因为未尽安全保密责任而引起的损失。在运维过程中，所用软件、数据库、数据与程序接口等统一由采购人负责管理并授权中标供应商使用，中标供应商不得在任何环节擅自修改或额外设置用户和密码。需做好相关信息的安全保密工作。</w:t>
            </w:r>
          </w:p>
          <w:p w14:paraId="51CC9688">
            <w:pPr>
              <w:spacing w:line="360" w:lineRule="atLeast"/>
              <w:ind w:right="-57" w:rightChars="-27" w:firstLine="420" w:firstLineChars="200"/>
              <w:jc w:val="left"/>
              <w:rPr>
                <w:rFonts w:hint="eastAsia" w:ascii="宋体" w:hAnsi="宋体"/>
                <w:szCs w:val="21"/>
              </w:rPr>
            </w:pPr>
            <w:r>
              <w:rPr>
                <w:rFonts w:hint="eastAsia" w:ascii="宋体" w:hAnsi="宋体"/>
                <w:szCs w:val="21"/>
              </w:rPr>
              <w:t>3.中标供应商应遵守采购人信息安全管理规定，对非权限范围内设备不允许操作。非权限范围内信息不允许访问。未经允许，不可随意在工作环境内拍照、录音、录像等。</w:t>
            </w:r>
          </w:p>
          <w:p w14:paraId="5745B206">
            <w:pPr>
              <w:spacing w:line="360" w:lineRule="atLeast"/>
              <w:ind w:right="-57" w:rightChars="-27" w:firstLine="420" w:firstLineChars="200"/>
              <w:jc w:val="left"/>
              <w:rPr>
                <w:rFonts w:hint="eastAsia" w:ascii="宋体" w:hAnsi="宋体"/>
                <w:szCs w:val="21"/>
              </w:rPr>
            </w:pPr>
            <w:r>
              <w:rPr>
                <w:rFonts w:hint="eastAsia" w:ascii="宋体" w:hAnsi="宋体"/>
                <w:szCs w:val="21"/>
              </w:rPr>
              <w:t xml:space="preserve">4.在本合同期内及合同终止后，未征得采购人同意，中标供应商不得泄露与本项目有关的资料。因保密不慎或有意泄露所造成的损失和后果，按《中华人民共和国保守国家秘密法》或相关规定予以处罚。 </w:t>
            </w:r>
          </w:p>
          <w:p w14:paraId="158A38D6">
            <w:pPr>
              <w:spacing w:line="360" w:lineRule="atLeast"/>
              <w:ind w:right="-57" w:rightChars="-27" w:firstLine="420" w:firstLineChars="200"/>
              <w:jc w:val="left"/>
              <w:rPr>
                <w:rFonts w:hint="eastAsia" w:ascii="宋体" w:hAnsi="宋体"/>
                <w:szCs w:val="21"/>
              </w:rPr>
            </w:pPr>
            <w:r>
              <w:rPr>
                <w:rFonts w:hint="eastAsia" w:ascii="宋体" w:hAnsi="宋体"/>
                <w:szCs w:val="21"/>
              </w:rPr>
              <w:t>5.本项目所生成、取得或交换而来的数据归采购人所有，未经采购人书面同意，中标供应商不得擅自对数据进行存储、提取、分析、截留、阻断、加密等行为，中标供应商亦无权对第三方泄露本项目产生的任何数据信息内容。</w:t>
            </w:r>
          </w:p>
          <w:p w14:paraId="12BB289D">
            <w:pPr>
              <w:spacing w:line="360" w:lineRule="atLeast"/>
              <w:ind w:right="-57" w:rightChars="-27" w:firstLine="420" w:firstLineChars="200"/>
              <w:jc w:val="left"/>
              <w:rPr>
                <w:rFonts w:hint="eastAsia" w:ascii="宋体" w:hAnsi="宋体"/>
                <w:szCs w:val="21"/>
              </w:rPr>
            </w:pPr>
            <w:r>
              <w:rPr>
                <w:rFonts w:hint="eastAsia" w:ascii="宋体" w:hAnsi="宋体"/>
                <w:szCs w:val="21"/>
              </w:rPr>
              <w:t>6.供应商必须承诺自行实施、维护本项目，不得转让或转包。</w:t>
            </w:r>
          </w:p>
          <w:p w14:paraId="4986EDD6">
            <w:pPr>
              <w:spacing w:line="360" w:lineRule="atLeast"/>
              <w:ind w:right="-57" w:rightChars="-27" w:firstLine="420" w:firstLineChars="200"/>
              <w:jc w:val="left"/>
              <w:rPr>
                <w:rFonts w:hint="eastAsia" w:ascii="宋体" w:hAnsi="宋体"/>
                <w:szCs w:val="21"/>
              </w:rPr>
            </w:pPr>
            <w:r>
              <w:rPr>
                <w:rFonts w:hint="eastAsia" w:ascii="宋体" w:hAnsi="宋体"/>
                <w:szCs w:val="21"/>
              </w:rPr>
              <w:t>7.在维护过程中，若由于中标供应商自身技术不足或违规操作等原因造成的数据丢失、设备损坏等，须承担相应的责任。</w:t>
            </w:r>
          </w:p>
          <w:p w14:paraId="78EF66E0">
            <w:pPr>
              <w:spacing w:line="360" w:lineRule="exact"/>
              <w:ind w:firstLine="420" w:firstLineChars="200"/>
              <w:rPr>
                <w:rFonts w:hint="eastAsia" w:ascii="宋体" w:hAnsi="宋体"/>
                <w:szCs w:val="21"/>
              </w:rPr>
            </w:pPr>
            <w:r>
              <w:rPr>
                <w:rFonts w:hint="eastAsia" w:ascii="宋体" w:hAnsi="宋体"/>
                <w:szCs w:val="21"/>
              </w:rPr>
              <w:t>8.拟投入人员必须为本公司职员，项目实施过程中未经采购人同意不能随意更换。如因离职等特殊原因确需更换项目人员的，经采购人同意可以更换同等或优于原专业资质的人员，否则按违约处理，即每更换一人按合同金额的5‰作为向采购人支付违约金。</w:t>
            </w:r>
          </w:p>
        </w:tc>
      </w:tr>
      <w:tr w14:paraId="5B03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2B397249">
            <w:pPr>
              <w:spacing w:line="360" w:lineRule="exact"/>
              <w:rPr>
                <w:rFonts w:hint="eastAsia" w:ascii="宋体" w:hAnsi="宋体"/>
                <w:szCs w:val="21"/>
              </w:rPr>
            </w:pPr>
            <w:r>
              <w:rPr>
                <w:rFonts w:hint="eastAsia" w:ascii="宋体" w:hAnsi="宋体"/>
                <w:szCs w:val="21"/>
              </w:rPr>
              <w:t>验收标准及事项</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4C07622C">
            <w:pPr>
              <w:spacing w:line="360" w:lineRule="exact"/>
              <w:ind w:firstLine="420" w:firstLineChars="200"/>
              <w:rPr>
                <w:rFonts w:hint="eastAsia" w:ascii="宋体" w:hAnsi="宋体"/>
                <w:szCs w:val="21"/>
              </w:rPr>
            </w:pPr>
            <w:r>
              <w:rPr>
                <w:rFonts w:hint="eastAsia" w:ascii="宋体" w:hAnsi="宋体"/>
                <w:szCs w:val="21"/>
              </w:rPr>
              <w:t>1.采购人可以根据采购项目具体情况自行组织验收，或者委托第三方机构或部门开展采购项目履约验收工作，验收过程中所产生的费用均由中标供应商承担（验收专家费除外），供应商在投标报价时应考虑相关费用。</w:t>
            </w:r>
          </w:p>
          <w:p w14:paraId="5281B8AC">
            <w:pPr>
              <w:spacing w:line="360" w:lineRule="exact"/>
              <w:ind w:firstLine="420" w:firstLineChars="200"/>
              <w:rPr>
                <w:rFonts w:hint="eastAsia" w:ascii="宋体" w:hAnsi="宋体"/>
                <w:szCs w:val="21"/>
              </w:rPr>
            </w:pPr>
            <w:r>
              <w:rPr>
                <w:rFonts w:hint="eastAsia" w:ascii="宋体" w:hAnsi="宋体"/>
                <w:szCs w:val="21"/>
              </w:rPr>
              <w:t>2.在验收过程中发现中标供应商有违约问题，可暂缓资金结算，待违约问题解决后，方可办理资金结算事宜。</w:t>
            </w:r>
          </w:p>
          <w:p w14:paraId="42E56882">
            <w:pPr>
              <w:spacing w:line="360" w:lineRule="exact"/>
              <w:ind w:firstLine="420" w:firstLineChars="200"/>
              <w:rPr>
                <w:rFonts w:hint="eastAsia" w:ascii="宋体" w:hAnsi="宋体"/>
                <w:szCs w:val="21"/>
              </w:rPr>
            </w:pPr>
            <w:r>
              <w:rPr>
                <w:rFonts w:hint="eastAsia" w:ascii="宋体" w:hAnsi="宋体"/>
                <w:szCs w:val="21"/>
              </w:rPr>
              <w:t>3.验收依据：按合同【含本采购文件采购需求、中标供应商投标文件承诺、技术协议以及运维过程中经双方同意增加的文件（如补充协议、变更协议）等】要求及国家标准（如有）。</w:t>
            </w:r>
          </w:p>
          <w:p w14:paraId="628356BF">
            <w:pPr>
              <w:spacing w:line="360" w:lineRule="exact"/>
              <w:ind w:firstLine="420" w:firstLineChars="200"/>
              <w:rPr>
                <w:rFonts w:hint="eastAsia" w:ascii="宋体" w:hAnsi="宋体"/>
                <w:szCs w:val="21"/>
              </w:rPr>
            </w:pPr>
            <w:r>
              <w:rPr>
                <w:rFonts w:hint="eastAsia" w:ascii="宋体" w:hAnsi="宋体"/>
                <w:szCs w:val="21"/>
              </w:rPr>
              <w:t>4.如中标供应商未按采购文件或投标文件承诺提供服务工作的按违约处理，如提供虚假材料的，除按相关规定做违约处理外，采购人依据相关法律规定追究中标供应商的责任，由此带来的一切责任及损失由中标供应商自行承担。</w:t>
            </w:r>
          </w:p>
          <w:p w14:paraId="39DFD44F">
            <w:pPr>
              <w:spacing w:line="360" w:lineRule="exact"/>
              <w:ind w:firstLine="420" w:firstLineChars="200"/>
              <w:rPr>
                <w:rFonts w:hint="eastAsia" w:ascii="宋体" w:hAnsi="宋体"/>
                <w:szCs w:val="21"/>
              </w:rPr>
            </w:pPr>
            <w:r>
              <w:rPr>
                <w:rFonts w:hint="eastAsia" w:ascii="宋体" w:hAnsi="宋体"/>
                <w:szCs w:val="21"/>
              </w:rPr>
              <w:t>5.验收结论的判定：</w:t>
            </w:r>
          </w:p>
          <w:p w14:paraId="0DD14DF9">
            <w:pPr>
              <w:spacing w:line="360" w:lineRule="exact"/>
              <w:ind w:firstLine="420" w:firstLineChars="200"/>
              <w:rPr>
                <w:rFonts w:hint="eastAsia" w:ascii="宋体" w:hAnsi="宋体"/>
                <w:szCs w:val="21"/>
              </w:rPr>
            </w:pPr>
            <w:r>
              <w:rPr>
                <w:rFonts w:hint="eastAsia" w:ascii="宋体" w:hAnsi="宋体"/>
                <w:szCs w:val="21"/>
              </w:rPr>
              <w:t>（1）验收结果分为：验收合格、需要复议和验收不合格三种。符合合同要求，视为验收合格；由于提供材料不详难以判断，或目标任务完成不足80%而又难以确定其原因等导致验收结论争议较大的，视为需要复议；项目凡具有下列情况之一的，按验收不合格处理：</w:t>
            </w:r>
          </w:p>
          <w:p w14:paraId="55C66C0E">
            <w:pPr>
              <w:spacing w:line="360" w:lineRule="exact"/>
              <w:ind w:firstLine="420" w:firstLineChars="200"/>
              <w:rPr>
                <w:rFonts w:hint="eastAsia" w:ascii="宋体" w:hAnsi="宋体"/>
                <w:szCs w:val="21"/>
              </w:rPr>
            </w:pPr>
            <w:r>
              <w:rPr>
                <w:rFonts w:hint="eastAsia" w:ascii="宋体" w:hAnsi="宋体"/>
                <w:szCs w:val="21"/>
              </w:rPr>
              <w:t>①未按项目合同要求达到所预定的技术指标的；</w:t>
            </w:r>
          </w:p>
          <w:p w14:paraId="2B37A2B0">
            <w:pPr>
              <w:spacing w:line="360" w:lineRule="exact"/>
              <w:ind w:firstLine="420" w:firstLineChars="200"/>
              <w:rPr>
                <w:rFonts w:hint="eastAsia" w:ascii="宋体" w:hAnsi="宋体"/>
                <w:szCs w:val="21"/>
              </w:rPr>
            </w:pPr>
            <w:r>
              <w:rPr>
                <w:rFonts w:hint="eastAsia" w:ascii="宋体" w:hAnsi="宋体"/>
                <w:szCs w:val="21"/>
              </w:rPr>
              <w:t>②所提供材料不齐全或不真实的；</w:t>
            </w:r>
          </w:p>
          <w:p w14:paraId="6A129A3D">
            <w:pPr>
              <w:spacing w:line="360" w:lineRule="exact"/>
              <w:ind w:firstLine="420" w:firstLineChars="200"/>
              <w:rPr>
                <w:rFonts w:hint="eastAsia" w:ascii="宋体" w:hAnsi="宋体"/>
                <w:szCs w:val="21"/>
              </w:rPr>
            </w:pPr>
            <w:r>
              <w:rPr>
                <w:rFonts w:hint="eastAsia" w:ascii="宋体" w:hAnsi="宋体"/>
                <w:szCs w:val="21"/>
              </w:rPr>
              <w:t>③项目的内容、执行等已进行了较大调整，但未曾得到相关单位认可的；</w:t>
            </w:r>
          </w:p>
          <w:p w14:paraId="1138C2C0">
            <w:pPr>
              <w:spacing w:line="360" w:lineRule="exact"/>
              <w:ind w:firstLine="420" w:firstLineChars="200"/>
              <w:rPr>
                <w:rFonts w:hint="eastAsia" w:ascii="宋体" w:hAnsi="宋体"/>
                <w:szCs w:val="21"/>
              </w:rPr>
            </w:pPr>
            <w:r>
              <w:rPr>
                <w:rFonts w:hint="eastAsia" w:ascii="宋体" w:hAnsi="宋体"/>
                <w:szCs w:val="21"/>
              </w:rPr>
              <w:t>④实施过程中出现重大问题，尚未解决和作出说明，或项目实施过程及结果等存在纠纷尚未解决的；</w:t>
            </w:r>
          </w:p>
          <w:p w14:paraId="3AE8CC29">
            <w:pPr>
              <w:spacing w:line="360" w:lineRule="exact"/>
              <w:ind w:firstLine="420" w:firstLineChars="200"/>
              <w:rPr>
                <w:rFonts w:hint="eastAsia" w:ascii="宋体" w:hAnsi="宋体"/>
                <w:szCs w:val="21"/>
              </w:rPr>
            </w:pPr>
            <w:r>
              <w:rPr>
                <w:rFonts w:hint="eastAsia" w:ascii="宋体" w:hAnsi="宋体"/>
                <w:szCs w:val="21"/>
              </w:rPr>
              <w:t>⑤违反法律、法规的其他行为。</w:t>
            </w:r>
          </w:p>
          <w:p w14:paraId="0660B2F0">
            <w:pPr>
              <w:spacing w:line="360" w:lineRule="exact"/>
              <w:ind w:firstLine="420" w:firstLineChars="200"/>
              <w:rPr>
                <w:rFonts w:hint="eastAsia" w:ascii="宋体" w:hAnsi="宋体"/>
                <w:szCs w:val="21"/>
              </w:rPr>
            </w:pPr>
            <w:r>
              <w:rPr>
                <w:rFonts w:hint="eastAsia" w:ascii="宋体" w:hAnsi="宋体"/>
                <w:szCs w:val="21"/>
              </w:rPr>
              <w:t>（2）验收结论确认和处理</w:t>
            </w:r>
          </w:p>
          <w:p w14:paraId="4759108D">
            <w:pPr>
              <w:spacing w:line="360" w:lineRule="exact"/>
              <w:ind w:firstLine="420" w:firstLineChars="200"/>
              <w:rPr>
                <w:rFonts w:hint="eastAsia" w:ascii="宋体" w:hAnsi="宋体"/>
                <w:szCs w:val="21"/>
              </w:rPr>
            </w:pPr>
            <w:r>
              <w:rPr>
                <w:rFonts w:hint="eastAsia" w:ascii="宋体" w:hAnsi="宋体"/>
                <w:szCs w:val="21"/>
              </w:rPr>
              <w:t>由采购单位根据验收报告（验收书）和相关资料得出结论，并进行确认。</w:t>
            </w:r>
          </w:p>
          <w:p w14:paraId="188D05C7">
            <w:pPr>
              <w:spacing w:line="360" w:lineRule="exact"/>
              <w:ind w:firstLine="420" w:firstLineChars="200"/>
              <w:rPr>
                <w:rFonts w:hint="eastAsia" w:ascii="宋体" w:hAnsi="宋体"/>
                <w:szCs w:val="21"/>
              </w:rPr>
            </w:pPr>
            <w:r>
              <w:rPr>
                <w:rFonts w:hint="eastAsia" w:ascii="宋体" w:hAnsi="宋体"/>
                <w:szCs w:val="21"/>
              </w:rPr>
              <w:t>（3）项目验收结论的处理</w:t>
            </w:r>
          </w:p>
          <w:p w14:paraId="56DCD750">
            <w:pPr>
              <w:spacing w:line="360" w:lineRule="exact"/>
              <w:ind w:firstLine="420" w:firstLineChars="200"/>
              <w:rPr>
                <w:rFonts w:hint="eastAsia" w:ascii="宋体" w:hAnsi="宋体"/>
                <w:szCs w:val="21"/>
              </w:rPr>
            </w:pPr>
            <w:r>
              <w:rPr>
                <w:rFonts w:hint="eastAsia" w:ascii="宋体" w:hAnsi="宋体"/>
                <w:szCs w:val="21"/>
              </w:rPr>
              <w:t>①验收结论为验收合格的，全部验收材料统一装订成册并连同相应的电子文档按政府采购履约验收及采购单位规章制度的相关规定进行备案。</w:t>
            </w:r>
          </w:p>
          <w:p w14:paraId="013B416E">
            <w:pPr>
              <w:spacing w:line="360" w:lineRule="exact"/>
              <w:ind w:firstLine="420" w:firstLineChars="200"/>
              <w:rPr>
                <w:rFonts w:hint="eastAsia" w:ascii="宋体" w:hAnsi="宋体"/>
                <w:szCs w:val="21"/>
              </w:rPr>
            </w:pPr>
            <w:r>
              <w:rPr>
                <w:rFonts w:hint="eastAsia" w:ascii="宋体" w:hAnsi="宋体"/>
                <w:szCs w:val="21"/>
              </w:rPr>
              <w:t>②验收结论需要复议的，按政府采购履约验收相关规定执行。</w:t>
            </w:r>
          </w:p>
          <w:p w14:paraId="125B8517">
            <w:pPr>
              <w:spacing w:line="360" w:lineRule="exact"/>
              <w:ind w:firstLine="420" w:firstLineChars="200"/>
              <w:rPr>
                <w:rFonts w:hint="eastAsia" w:ascii="宋体" w:hAnsi="宋体"/>
                <w:szCs w:val="21"/>
              </w:rPr>
            </w:pPr>
            <w:r>
              <w:rPr>
                <w:rFonts w:hint="eastAsia" w:ascii="宋体" w:hAnsi="宋体"/>
                <w:szCs w:val="21"/>
              </w:rPr>
              <w:t>③验收结论为验收不合格的，采购单位以书面形式通知项目中标供应商限期整改，中标供应商整改后可重新申请验收。</w:t>
            </w:r>
          </w:p>
          <w:p w14:paraId="7510C0E8">
            <w:pPr>
              <w:spacing w:line="360" w:lineRule="exact"/>
              <w:ind w:firstLine="420" w:firstLineChars="200"/>
              <w:rPr>
                <w:rFonts w:hint="eastAsia" w:ascii="宋体" w:hAnsi="宋体"/>
                <w:szCs w:val="21"/>
              </w:rPr>
            </w:pPr>
            <w:r>
              <w:rPr>
                <w:rFonts w:hint="eastAsia" w:ascii="宋体" w:hAnsi="宋体"/>
                <w:szCs w:val="21"/>
              </w:rPr>
              <w:t>6.验收不通过的，根据采购人意见限期进行整改。</w:t>
            </w:r>
          </w:p>
          <w:p w14:paraId="4A70C78C">
            <w:pPr>
              <w:spacing w:line="360" w:lineRule="exact"/>
              <w:ind w:firstLine="420" w:firstLineChars="200"/>
              <w:rPr>
                <w:rFonts w:hint="eastAsia" w:ascii="宋体" w:hAnsi="宋体"/>
                <w:szCs w:val="21"/>
              </w:rPr>
            </w:pPr>
            <w:r>
              <w:rPr>
                <w:rFonts w:hint="eastAsia" w:ascii="宋体" w:hAnsi="宋体"/>
                <w:szCs w:val="21"/>
              </w:rPr>
              <w:t>7.本项目合同条款有其他要求，同时遵照执行。</w:t>
            </w:r>
          </w:p>
        </w:tc>
      </w:tr>
      <w:tr w14:paraId="2343D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0FB5DC27">
            <w:pPr>
              <w:spacing w:line="360" w:lineRule="exact"/>
              <w:rPr>
                <w:rFonts w:hint="eastAsia" w:ascii="宋体" w:hAnsi="宋体"/>
                <w:szCs w:val="21"/>
              </w:rPr>
            </w:pPr>
            <w:r>
              <w:rPr>
                <w:rFonts w:hint="eastAsia" w:ascii="宋体" w:hAnsi="宋体"/>
                <w:szCs w:val="21"/>
              </w:rPr>
              <w:t>履约保证金</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1300B3FC">
            <w:pPr>
              <w:spacing w:line="360" w:lineRule="exact"/>
              <w:ind w:firstLine="420" w:firstLineChars="200"/>
              <w:rPr>
                <w:rFonts w:hint="eastAsia" w:ascii="宋体" w:hAnsi="宋体"/>
                <w:szCs w:val="21"/>
              </w:rPr>
            </w:pPr>
            <w:r>
              <w:rPr>
                <w:rFonts w:hint="eastAsia" w:ascii="宋体" w:hAnsi="宋体"/>
                <w:szCs w:val="21"/>
              </w:rPr>
              <w:t>1.履约保证金金额：按中标总金额的5%收取（中标供应商为中小企业的则按中标金额的2%收取），于中标通知书发出之日起30日内（最迟不得晚于合同签订生效后5个工作日内）提交至采购人指定账户。</w:t>
            </w:r>
          </w:p>
          <w:p w14:paraId="1D0594A7">
            <w:pPr>
              <w:spacing w:line="360" w:lineRule="exact"/>
              <w:ind w:firstLine="420" w:firstLineChars="200"/>
              <w:rPr>
                <w:rFonts w:hint="eastAsia" w:ascii="宋体" w:hAnsi="宋体"/>
                <w:szCs w:val="21"/>
              </w:rPr>
            </w:pPr>
            <w:r>
              <w:rPr>
                <w:rFonts w:hint="eastAsia" w:ascii="宋体" w:hAnsi="宋体"/>
                <w:szCs w:val="21"/>
              </w:rPr>
              <w:t>2.合同履行过程中，因中标供应商原因导致履约保证金被扣除的，履约保证金被扣后，中标供应商应于10个工作日内补齐被扣金额，否则采购人有权从未支付的合同款中扣除相应金额。</w:t>
            </w:r>
          </w:p>
          <w:p w14:paraId="7A2496CB">
            <w:pPr>
              <w:spacing w:line="360" w:lineRule="exact"/>
              <w:ind w:firstLine="420" w:firstLineChars="200"/>
              <w:rPr>
                <w:rFonts w:hint="eastAsia" w:ascii="宋体" w:hAnsi="宋体"/>
                <w:szCs w:val="21"/>
              </w:rPr>
            </w:pPr>
            <w:r>
              <w:rPr>
                <w:rFonts w:hint="eastAsia" w:ascii="宋体" w:hAnsi="宋体"/>
                <w:szCs w:val="21"/>
              </w:rPr>
              <w:t>3.履约保证金提交方式：银行转账、支票、汇票、本票或者银行、保险机构出具的保函等非现金方式。</w:t>
            </w:r>
          </w:p>
          <w:p w14:paraId="68B9D890">
            <w:pPr>
              <w:spacing w:line="360" w:lineRule="exact"/>
              <w:ind w:firstLine="420" w:firstLineChars="200"/>
              <w:rPr>
                <w:rFonts w:hint="eastAsia" w:ascii="宋体" w:hAnsi="宋体"/>
                <w:szCs w:val="21"/>
              </w:rPr>
            </w:pPr>
            <w:r>
              <w:rPr>
                <w:rFonts w:hint="eastAsia" w:ascii="宋体" w:hAnsi="宋体"/>
                <w:szCs w:val="21"/>
              </w:rPr>
              <w:t>4.履约保证金退付方式、时间及条件：合同期满后，由中标供应商向采购人提出申请，采购人在收到申请材料后对相关违约情况进行核对，如有违约或赔偿的，涉及违约的违约金和损失赔偿从履约保证金中扣减后，剩余部分，采购人5个工作日内转账退还（无息）。如有不足部分，采购人有权从未支付的服务款中扣除。</w:t>
            </w:r>
          </w:p>
          <w:p w14:paraId="3CB5FF07">
            <w:pPr>
              <w:spacing w:line="360" w:lineRule="exact"/>
              <w:ind w:firstLine="420" w:firstLineChars="200"/>
              <w:rPr>
                <w:rFonts w:hint="eastAsia" w:ascii="宋体" w:hAnsi="宋体"/>
                <w:szCs w:val="21"/>
              </w:rPr>
            </w:pPr>
            <w:r>
              <w:rPr>
                <w:rFonts w:hint="eastAsia" w:ascii="宋体" w:hAnsi="宋体"/>
                <w:szCs w:val="21"/>
              </w:rPr>
              <w:t>5.履约保证金指定账户：</w:t>
            </w:r>
          </w:p>
          <w:p w14:paraId="2D058CE8">
            <w:pPr>
              <w:spacing w:line="360" w:lineRule="exact"/>
              <w:ind w:firstLine="420" w:firstLineChars="200"/>
              <w:rPr>
                <w:rFonts w:hint="eastAsia" w:ascii="宋体" w:hAnsi="宋体"/>
                <w:szCs w:val="21"/>
              </w:rPr>
            </w:pPr>
            <w:r>
              <w:rPr>
                <w:rFonts w:hint="eastAsia" w:ascii="宋体" w:hAnsi="宋体"/>
                <w:szCs w:val="21"/>
              </w:rPr>
              <w:t>开户名称：</w:t>
            </w:r>
            <w:r>
              <w:rPr>
                <w:rFonts w:hint="eastAsia" w:ascii="宋体" w:hAnsi="宋体"/>
                <w:szCs w:val="21"/>
                <w:u w:val="single"/>
              </w:rPr>
              <w:t>广西壮族自治区教育技术和信息化中心</w:t>
            </w:r>
          </w:p>
          <w:p w14:paraId="48FB6032">
            <w:pPr>
              <w:spacing w:line="360" w:lineRule="exact"/>
              <w:ind w:firstLine="420" w:firstLineChars="200"/>
              <w:rPr>
                <w:rFonts w:hint="eastAsia" w:ascii="宋体" w:hAnsi="宋体"/>
                <w:szCs w:val="21"/>
              </w:rPr>
            </w:pPr>
            <w:r>
              <w:rPr>
                <w:rFonts w:hint="eastAsia" w:ascii="宋体" w:hAnsi="宋体"/>
                <w:szCs w:val="21"/>
              </w:rPr>
              <w:t>开户银行：</w:t>
            </w:r>
            <w:r>
              <w:rPr>
                <w:rFonts w:hint="eastAsia" w:ascii="宋体" w:hAnsi="宋体"/>
                <w:szCs w:val="21"/>
                <w:u w:val="single"/>
              </w:rPr>
              <w:t>工行南宁市南湖支行</w:t>
            </w:r>
          </w:p>
          <w:p w14:paraId="17F6BF96">
            <w:pPr>
              <w:spacing w:line="360" w:lineRule="exact"/>
              <w:ind w:firstLine="420" w:firstLineChars="200"/>
              <w:rPr>
                <w:rFonts w:hint="eastAsia" w:ascii="宋体" w:hAnsi="宋体"/>
                <w:szCs w:val="21"/>
              </w:rPr>
            </w:pPr>
            <w:r>
              <w:rPr>
                <w:rFonts w:hint="eastAsia" w:ascii="宋体" w:hAnsi="宋体"/>
                <w:szCs w:val="21"/>
              </w:rPr>
              <w:t>银行账号：</w:t>
            </w:r>
            <w:r>
              <w:rPr>
                <w:rFonts w:ascii="宋体" w:hAnsi="宋体"/>
                <w:szCs w:val="21"/>
                <w:u w:val="single"/>
              </w:rPr>
              <w:t>2102110009300335214</w:t>
            </w:r>
          </w:p>
        </w:tc>
      </w:tr>
      <w:tr w14:paraId="5306C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36C93DE">
            <w:pPr>
              <w:spacing w:line="360" w:lineRule="exact"/>
              <w:rPr>
                <w:rFonts w:hint="eastAsia" w:ascii="宋体" w:hAnsi="宋体"/>
                <w:b/>
                <w:szCs w:val="21"/>
              </w:rPr>
            </w:pPr>
            <w:r>
              <w:rPr>
                <w:rFonts w:hint="eastAsia" w:ascii="宋体" w:hAnsi="宋体"/>
                <w:b/>
                <w:szCs w:val="21"/>
              </w:rPr>
              <w:t>三、与实现项目目标相关的其他要求</w:t>
            </w:r>
          </w:p>
        </w:tc>
      </w:tr>
      <w:tr w14:paraId="16F2C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E2679C2">
            <w:pPr>
              <w:spacing w:line="360" w:lineRule="exact"/>
              <w:rPr>
                <w:rFonts w:hint="eastAsia" w:ascii="宋体" w:hAnsi="宋体"/>
                <w:b/>
                <w:szCs w:val="21"/>
              </w:rPr>
            </w:pPr>
            <w:r>
              <w:rPr>
                <w:rFonts w:hint="eastAsia" w:ascii="宋体" w:hAnsi="宋体"/>
                <w:b/>
                <w:szCs w:val="21"/>
              </w:rPr>
              <w:t>（一）投标人的履约能力要求</w:t>
            </w:r>
          </w:p>
        </w:tc>
      </w:tr>
      <w:tr w14:paraId="0D870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62009404">
            <w:pPr>
              <w:spacing w:line="360" w:lineRule="exact"/>
              <w:rPr>
                <w:rFonts w:hint="eastAsia" w:ascii="宋体" w:hAnsi="宋体"/>
                <w:szCs w:val="21"/>
              </w:rPr>
            </w:pPr>
            <w:r>
              <w:rPr>
                <w:rFonts w:hint="eastAsia" w:ascii="宋体" w:hAnsi="宋体"/>
                <w:szCs w:val="21"/>
              </w:rPr>
              <w:t>政策性加分条件</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466CDD2A">
            <w:pPr>
              <w:spacing w:line="360" w:lineRule="exact"/>
              <w:rPr>
                <w:rFonts w:hint="eastAsia" w:ascii="宋体" w:hAnsi="宋体"/>
                <w:szCs w:val="21"/>
              </w:rPr>
            </w:pPr>
            <w:r>
              <w:rPr>
                <w:rFonts w:hint="eastAsia" w:ascii="宋体" w:hAnsi="宋体"/>
                <w:szCs w:val="21"/>
              </w:rPr>
              <w:t>见本采购文件第四章“评标方法及评标标准”。</w:t>
            </w:r>
          </w:p>
        </w:tc>
      </w:tr>
      <w:tr w14:paraId="65ECA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65066B57">
            <w:pPr>
              <w:spacing w:line="360" w:lineRule="exact"/>
              <w:rPr>
                <w:rFonts w:hint="eastAsia" w:ascii="宋体" w:hAnsi="宋体"/>
                <w:szCs w:val="21"/>
              </w:rPr>
            </w:pPr>
            <w:r>
              <w:rPr>
                <w:rFonts w:hint="eastAsia" w:ascii="宋体" w:hAnsi="宋体"/>
                <w:szCs w:val="21"/>
              </w:rPr>
              <w:t>质量管理体系要求</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289C54AB">
            <w:pPr>
              <w:spacing w:line="360" w:lineRule="exact"/>
              <w:rPr>
                <w:rFonts w:hint="eastAsia" w:ascii="宋体" w:hAnsi="宋体"/>
                <w:szCs w:val="21"/>
              </w:rPr>
            </w:pPr>
            <w:r>
              <w:rPr>
                <w:rFonts w:hint="eastAsia" w:ascii="宋体" w:hAnsi="宋体"/>
                <w:szCs w:val="21"/>
              </w:rPr>
              <w:t>如有，请于投标文件中自行提供。</w:t>
            </w:r>
          </w:p>
        </w:tc>
      </w:tr>
      <w:tr w14:paraId="1B6CA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11" w:type="pct"/>
            <w:gridSpan w:val="2"/>
            <w:tcBorders>
              <w:top w:val="single" w:color="auto" w:sz="4" w:space="0"/>
              <w:left w:val="single" w:color="auto" w:sz="4" w:space="0"/>
              <w:bottom w:val="single" w:color="auto" w:sz="4" w:space="0"/>
              <w:right w:val="single" w:color="auto" w:sz="4" w:space="0"/>
            </w:tcBorders>
            <w:vAlign w:val="center"/>
          </w:tcPr>
          <w:p w14:paraId="66AC2EE5">
            <w:pPr>
              <w:spacing w:line="360" w:lineRule="exact"/>
              <w:rPr>
                <w:rFonts w:hint="eastAsia" w:ascii="宋体" w:hAnsi="宋体"/>
                <w:szCs w:val="21"/>
              </w:rPr>
            </w:pPr>
            <w:r>
              <w:rPr>
                <w:rFonts w:hint="eastAsia" w:ascii="宋体" w:hAnsi="宋体"/>
                <w:szCs w:val="21"/>
              </w:rPr>
              <w:t>业绩要求</w:t>
            </w:r>
          </w:p>
        </w:tc>
        <w:tc>
          <w:tcPr>
            <w:tcW w:w="3989" w:type="pct"/>
            <w:gridSpan w:val="3"/>
            <w:tcBorders>
              <w:top w:val="single" w:color="auto" w:sz="4" w:space="0"/>
              <w:left w:val="single" w:color="auto" w:sz="4" w:space="0"/>
              <w:bottom w:val="single" w:color="auto" w:sz="4" w:space="0"/>
              <w:right w:val="single" w:color="auto" w:sz="4" w:space="0"/>
            </w:tcBorders>
            <w:vAlign w:val="center"/>
          </w:tcPr>
          <w:p w14:paraId="59DA6864">
            <w:pPr>
              <w:spacing w:line="360" w:lineRule="exact"/>
              <w:rPr>
                <w:rFonts w:hint="eastAsia" w:ascii="宋体" w:hAnsi="宋体"/>
                <w:szCs w:val="21"/>
              </w:rPr>
            </w:pPr>
            <w:r>
              <w:rPr>
                <w:rFonts w:hint="eastAsia" w:ascii="宋体" w:hAnsi="宋体"/>
                <w:szCs w:val="21"/>
              </w:rPr>
              <w:t>如有，请于投标文件中自行提供。</w:t>
            </w:r>
          </w:p>
        </w:tc>
      </w:tr>
      <w:tr w14:paraId="6CE0A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1162820">
            <w:pPr>
              <w:spacing w:line="360" w:lineRule="exact"/>
              <w:rPr>
                <w:rFonts w:hint="eastAsia" w:ascii="宋体" w:hAnsi="宋体"/>
                <w:b/>
                <w:szCs w:val="21"/>
              </w:rPr>
            </w:pPr>
            <w:r>
              <w:rPr>
                <w:rFonts w:hint="eastAsia" w:ascii="宋体" w:hAnsi="宋体"/>
                <w:b/>
                <w:szCs w:val="21"/>
              </w:rPr>
              <w:t>（二）验收事项说明</w:t>
            </w:r>
          </w:p>
        </w:tc>
      </w:tr>
      <w:tr w14:paraId="6812A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9AF615A">
            <w:pPr>
              <w:spacing w:line="360" w:lineRule="exact"/>
              <w:ind w:firstLine="420" w:firstLineChars="200"/>
              <w:rPr>
                <w:rFonts w:hint="eastAsia" w:ascii="宋体" w:hAnsi="宋体"/>
                <w:szCs w:val="21"/>
              </w:rPr>
            </w:pPr>
            <w:r>
              <w:rPr>
                <w:rFonts w:hint="eastAsia" w:ascii="宋体" w:hAnsi="宋体"/>
                <w:szCs w:val="21"/>
              </w:rPr>
              <w:t>1.本章《采购需求》有其他要求的按其要求。</w:t>
            </w:r>
          </w:p>
          <w:p w14:paraId="17ECB075">
            <w:pPr>
              <w:spacing w:line="360" w:lineRule="exact"/>
              <w:ind w:firstLine="420" w:firstLineChars="200"/>
              <w:rPr>
                <w:rFonts w:hint="eastAsia" w:ascii="宋体" w:hAnsi="宋体"/>
                <w:szCs w:val="21"/>
              </w:rPr>
            </w:pPr>
            <w:r>
              <w:rPr>
                <w:rFonts w:hint="eastAsia" w:ascii="宋体" w:hAnsi="宋体"/>
                <w:szCs w:val="21"/>
              </w:rPr>
              <w:t>2.其他未尽事宜应严格按照《关于印发广西壮族自治区政府采购项目履约验收管理办法的通知》（桂财采〔2015〕22号）以及《财政部关于进一步加强政府采购需求和履约验收管理的指导意见》（财库〔2016〕205号）规定执行。</w:t>
            </w:r>
          </w:p>
          <w:p w14:paraId="565CE827">
            <w:pPr>
              <w:spacing w:line="360" w:lineRule="exact"/>
              <w:ind w:firstLine="420" w:firstLineChars="200"/>
              <w:rPr>
                <w:rFonts w:hint="eastAsia" w:ascii="宋体" w:hAnsi="宋体"/>
                <w:szCs w:val="21"/>
              </w:rPr>
            </w:pPr>
            <w:r>
              <w:rPr>
                <w:rFonts w:hint="eastAsia" w:ascii="宋体" w:hAnsi="宋体"/>
                <w:szCs w:val="21"/>
              </w:rPr>
              <w:t>3.服务过程中，涉及实行强制标准认证制度、经营许可证制度、注册证制度、营运/经营许可等，中标人均应提供相关有效的证书复印件。</w:t>
            </w:r>
          </w:p>
          <w:p w14:paraId="6FAC61F4">
            <w:pPr>
              <w:spacing w:line="360" w:lineRule="exact"/>
              <w:ind w:firstLine="420" w:firstLineChars="200"/>
              <w:rPr>
                <w:rFonts w:hint="eastAsia" w:ascii="宋体" w:hAnsi="宋体"/>
                <w:szCs w:val="21"/>
              </w:rPr>
            </w:pPr>
            <w:r>
              <w:rPr>
                <w:rFonts w:hint="eastAsia" w:ascii="宋体" w:hAnsi="宋体"/>
                <w:szCs w:val="21"/>
              </w:rPr>
              <w:t>4.验收过程中，若出现需要第三方机构介入验收的，所产生的费用均由中标供应商承担。报价时应考虑相关费用。</w:t>
            </w:r>
          </w:p>
        </w:tc>
      </w:tr>
      <w:tr w14:paraId="3F507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F5AB8AD">
            <w:pPr>
              <w:spacing w:line="360" w:lineRule="exact"/>
              <w:rPr>
                <w:rFonts w:hint="eastAsia" w:ascii="宋体" w:hAnsi="宋体"/>
                <w:szCs w:val="21"/>
              </w:rPr>
            </w:pPr>
            <w:r>
              <w:rPr>
                <w:rFonts w:hint="eastAsia" w:ascii="宋体" w:hAnsi="宋体"/>
                <w:b/>
                <w:szCs w:val="21"/>
              </w:rPr>
              <w:t>（三）进口产品及核心产品说明</w:t>
            </w:r>
          </w:p>
        </w:tc>
      </w:tr>
      <w:tr w14:paraId="75CEC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7C2DE62">
            <w:pPr>
              <w:spacing w:line="360" w:lineRule="exact"/>
              <w:ind w:firstLine="435"/>
              <w:rPr>
                <w:rFonts w:hint="eastAsia" w:ascii="宋体" w:hAnsi="宋体"/>
                <w:szCs w:val="21"/>
              </w:rPr>
            </w:pPr>
            <w:r>
              <w:rPr>
                <w:rFonts w:hint="eastAsia" w:ascii="宋体" w:hAnsi="宋体"/>
                <w:szCs w:val="21"/>
              </w:rPr>
              <w:t>本项目为服务类项目，无进口产品和核心产品要求。</w:t>
            </w:r>
          </w:p>
        </w:tc>
      </w:tr>
      <w:tr w14:paraId="2557F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B2E3359">
            <w:pPr>
              <w:spacing w:line="360" w:lineRule="exact"/>
              <w:rPr>
                <w:rFonts w:hint="eastAsia" w:ascii="宋体" w:hAnsi="宋体"/>
                <w:b/>
                <w:szCs w:val="21"/>
              </w:rPr>
            </w:pPr>
            <w:r>
              <w:rPr>
                <w:rFonts w:hint="eastAsia" w:ascii="宋体" w:hAnsi="宋体"/>
                <w:b/>
                <w:szCs w:val="21"/>
              </w:rPr>
              <w:t>（四）其他要求</w:t>
            </w:r>
          </w:p>
        </w:tc>
      </w:tr>
      <w:tr w14:paraId="00DF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FF59231">
            <w:pPr>
              <w:spacing w:line="360" w:lineRule="exact"/>
              <w:ind w:firstLine="420" w:firstLineChars="200"/>
              <w:rPr>
                <w:rFonts w:hint="eastAsia" w:ascii="宋体" w:hAnsi="宋体"/>
                <w:szCs w:val="21"/>
              </w:rPr>
            </w:pPr>
            <w:r>
              <w:rPr>
                <w:rFonts w:hint="eastAsia" w:ascii="宋体" w:hAnsi="宋体"/>
                <w:szCs w:val="21"/>
              </w:rPr>
              <w:t>1.投标人可根据自身优势在响应本采购文件要求的基础上，结合本招标文件第四章“评标方法及评标标准”提供服务方案</w:t>
            </w:r>
            <w:r>
              <w:rPr>
                <w:rFonts w:hint="eastAsia" w:ascii="宋体" w:hAnsi="宋体"/>
                <w:bCs/>
                <w:szCs w:val="21"/>
              </w:rPr>
              <w:t>等</w:t>
            </w:r>
            <w:r>
              <w:rPr>
                <w:rFonts w:hint="eastAsia" w:ascii="宋体" w:hAnsi="宋体"/>
                <w:szCs w:val="21"/>
              </w:rPr>
              <w:t>（格式自拟）。</w:t>
            </w:r>
          </w:p>
          <w:p w14:paraId="0E11A441">
            <w:pPr>
              <w:spacing w:line="360" w:lineRule="exact"/>
              <w:ind w:firstLine="420" w:firstLineChars="200"/>
              <w:rPr>
                <w:rFonts w:hint="eastAsia" w:ascii="宋体" w:hAnsi="宋体"/>
                <w:szCs w:val="21"/>
              </w:rPr>
            </w:pPr>
            <w:r>
              <w:rPr>
                <w:rFonts w:hint="eastAsia" w:ascii="宋体" w:hAnsi="宋体"/>
                <w:szCs w:val="21"/>
              </w:rPr>
              <w:t>2.投标人根据项目服务需求投入与项目相适应的服务人员团队（附人员名单）。如有，并请提供人员具备的相关技术资格证书或职称</w:t>
            </w:r>
            <w:r>
              <w:rPr>
                <w:rFonts w:hint="eastAsia" w:ascii="宋体" w:hAnsi="宋体" w:cs="宋体"/>
                <w:szCs w:val="21"/>
              </w:rPr>
              <w:t>证书，以及</w:t>
            </w:r>
            <w:r>
              <w:rPr>
                <w:rFonts w:hint="eastAsia" w:ascii="宋体" w:hAnsi="宋体"/>
                <w:szCs w:val="21"/>
              </w:rPr>
              <w:t>社保缴纳证明文件或工资的银行流水或代缴其个人所得税复印件。</w:t>
            </w:r>
            <w:bookmarkStart w:id="9" w:name="OLE_LINK22"/>
            <w:r>
              <w:rPr>
                <w:rFonts w:hint="eastAsia" w:ascii="宋体" w:hAnsi="宋体" w:cs="宋体"/>
                <w:szCs w:val="21"/>
              </w:rPr>
              <w:t>投入服务人员可以是投标人或其分公司、分支机构人员</w:t>
            </w:r>
            <w:bookmarkEnd w:id="9"/>
            <w:r>
              <w:rPr>
                <w:rFonts w:hint="eastAsia" w:ascii="宋体" w:hAnsi="宋体" w:cs="宋体"/>
                <w:szCs w:val="21"/>
              </w:rPr>
              <w:t>。</w:t>
            </w:r>
          </w:p>
          <w:p w14:paraId="492443C9">
            <w:pPr>
              <w:spacing w:line="360" w:lineRule="exact"/>
              <w:ind w:firstLine="420" w:firstLineChars="200"/>
              <w:rPr>
                <w:rFonts w:hint="eastAsia" w:ascii="宋体" w:hAnsi="宋体"/>
                <w:szCs w:val="21"/>
              </w:rPr>
            </w:pPr>
            <w:r>
              <w:rPr>
                <w:rFonts w:hint="eastAsia" w:ascii="宋体" w:hAnsi="宋体"/>
                <w:szCs w:val="21"/>
              </w:rPr>
              <w:t>3.如有，请于投标文件中提供包含但不限于信誉、业绩、认证、奖项等能力证明。</w:t>
            </w:r>
          </w:p>
          <w:p w14:paraId="3D8ABA19">
            <w:pPr>
              <w:spacing w:line="360" w:lineRule="exact"/>
              <w:ind w:firstLine="420" w:firstLineChars="200"/>
              <w:rPr>
                <w:rFonts w:hint="eastAsia" w:ascii="宋体" w:hAnsi="宋体"/>
                <w:szCs w:val="21"/>
              </w:rPr>
            </w:pPr>
            <w:r>
              <w:rPr>
                <w:rFonts w:hint="eastAsia" w:ascii="宋体" w:hAnsi="宋体"/>
                <w:szCs w:val="21"/>
              </w:rPr>
              <w:t>4.项目服务方案由供应商根据自身能力提供方案及承诺，对于以虚假承诺谋取中标的供应商将自行承担后果，其违法行为将报监督管理部门处理。</w:t>
            </w:r>
          </w:p>
        </w:tc>
      </w:tr>
      <w:tr w14:paraId="26C5F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3F9C364">
            <w:pPr>
              <w:spacing w:line="360" w:lineRule="exact"/>
              <w:rPr>
                <w:rFonts w:hint="eastAsia" w:ascii="宋体" w:hAnsi="宋体"/>
                <w:szCs w:val="21"/>
              </w:rPr>
            </w:pPr>
            <w:r>
              <w:rPr>
                <w:rFonts w:hint="eastAsia" w:ascii="宋体" w:hAnsi="宋体"/>
                <w:b/>
                <w:szCs w:val="21"/>
              </w:rPr>
              <w:t>（五）其他说明</w:t>
            </w:r>
          </w:p>
        </w:tc>
      </w:tr>
      <w:tr w14:paraId="23405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A6BD7F5">
            <w:pPr>
              <w:spacing w:line="360" w:lineRule="exact"/>
              <w:ind w:firstLine="422" w:firstLineChars="200"/>
              <w:rPr>
                <w:rFonts w:hint="eastAsia" w:ascii="宋体" w:hAnsi="宋体"/>
                <w:b/>
                <w:szCs w:val="21"/>
              </w:rPr>
            </w:pPr>
            <w:r>
              <w:rPr>
                <w:rFonts w:hint="eastAsia" w:ascii="宋体" w:hAnsi="宋体"/>
                <w:b/>
                <w:szCs w:val="21"/>
              </w:rPr>
              <w:t>▲1.</w:t>
            </w:r>
            <w:r>
              <w:rPr>
                <w:rFonts w:hint="eastAsia" w:ascii="宋体" w:hAnsi="宋体"/>
                <w:b/>
                <w:bCs/>
                <w:szCs w:val="21"/>
                <w:u w:val="single"/>
              </w:rPr>
              <w:t>本项目设置最高限价：110万元/年，三年共计330万元，评审时以最高限价为依据，投标人</w:t>
            </w:r>
            <w:r>
              <w:rPr>
                <w:rFonts w:hint="eastAsia" w:ascii="宋体" w:hAnsi="宋体"/>
                <w:b/>
                <w:szCs w:val="21"/>
                <w:u w:val="single"/>
              </w:rPr>
              <w:t>投标报价超最高限价的作无效投标处理</w:t>
            </w:r>
            <w:r>
              <w:rPr>
                <w:rFonts w:hint="eastAsia" w:ascii="宋体" w:hAnsi="宋体"/>
                <w:b/>
                <w:szCs w:val="21"/>
              </w:rPr>
              <w:t xml:space="preserve">。 </w:t>
            </w:r>
          </w:p>
          <w:p w14:paraId="1F66CC78">
            <w:pPr>
              <w:spacing w:line="360" w:lineRule="exact"/>
              <w:ind w:firstLine="404" w:firstLineChars="200"/>
              <w:rPr>
                <w:rFonts w:hint="eastAsia" w:ascii="宋体" w:hAnsi="宋体" w:cs="宋体"/>
                <w:szCs w:val="21"/>
              </w:rPr>
            </w:pPr>
            <w:r>
              <w:rPr>
                <w:rFonts w:hint="eastAsia" w:ascii="宋体" w:hAnsi="宋体"/>
                <w:spacing w:val="-4"/>
                <w:szCs w:val="21"/>
              </w:rPr>
              <w:t>▲2.投标人就本项目服务需求中全部内容作完整唯一报价，拆分服务</w:t>
            </w:r>
            <w:r>
              <w:rPr>
                <w:rFonts w:ascii="宋体" w:hAnsi="宋体"/>
                <w:spacing w:val="-4"/>
                <w:szCs w:val="21"/>
              </w:rPr>
              <w:t>内容</w:t>
            </w:r>
            <w:r>
              <w:rPr>
                <w:rFonts w:hint="eastAsia" w:ascii="宋体" w:hAnsi="宋体"/>
                <w:spacing w:val="-4"/>
                <w:szCs w:val="21"/>
              </w:rPr>
              <w:t>投标或仅</w:t>
            </w:r>
            <w:r>
              <w:rPr>
                <w:rFonts w:ascii="宋体" w:hAnsi="宋体"/>
                <w:spacing w:val="-4"/>
                <w:szCs w:val="21"/>
              </w:rPr>
              <w:t>对部分内容</w:t>
            </w:r>
            <w:r>
              <w:rPr>
                <w:rFonts w:hint="eastAsia" w:ascii="宋体" w:hAnsi="宋体"/>
                <w:spacing w:val="-4"/>
                <w:szCs w:val="21"/>
              </w:rPr>
              <w:t>投</w:t>
            </w:r>
            <w:r>
              <w:rPr>
                <w:rFonts w:ascii="宋体" w:hAnsi="宋体"/>
                <w:spacing w:val="-4"/>
                <w:szCs w:val="21"/>
              </w:rPr>
              <w:t>标报价</w:t>
            </w:r>
            <w:r>
              <w:rPr>
                <w:rFonts w:hint="eastAsia" w:ascii="宋体" w:hAnsi="宋体"/>
                <w:spacing w:val="-4"/>
                <w:szCs w:val="21"/>
              </w:rPr>
              <w:t>的将导致投标无效。</w:t>
            </w:r>
          </w:p>
          <w:p w14:paraId="24EAB151">
            <w:pPr>
              <w:spacing w:line="360" w:lineRule="exact"/>
              <w:ind w:firstLine="422" w:firstLineChars="200"/>
              <w:rPr>
                <w:rFonts w:hint="eastAsia" w:ascii="宋体" w:hAnsi="宋体" w:cs="宋体"/>
                <w:b/>
                <w:bCs/>
                <w:szCs w:val="21"/>
                <w:u w:val="single"/>
              </w:rPr>
            </w:pPr>
            <w:r>
              <w:rPr>
                <w:rFonts w:hint="eastAsia" w:ascii="宋体" w:hAnsi="宋体" w:cs="宋体"/>
                <w:b/>
                <w:bCs/>
                <w:szCs w:val="21"/>
                <w:u w:val="single"/>
              </w:rPr>
              <w:t>4.现场踏勘</w:t>
            </w:r>
          </w:p>
          <w:p w14:paraId="5AA14146">
            <w:pPr>
              <w:spacing w:line="440" w:lineRule="exact"/>
              <w:ind w:firstLine="442" w:firstLineChars="200"/>
              <w:rPr>
                <w:b/>
                <w:bCs/>
                <w:sz w:val="22"/>
                <w:szCs w:val="22"/>
                <w:u w:val="single"/>
              </w:rPr>
            </w:pPr>
            <w:r>
              <w:rPr>
                <w:rFonts w:hint="eastAsia"/>
                <w:b/>
                <w:bCs/>
                <w:sz w:val="22"/>
                <w:szCs w:val="22"/>
                <w:u w:val="single"/>
              </w:rPr>
              <w:t>（1）系统相关技术及现状等详细信息不便公开，为便于供应商了解系统实际并提供相关需求分析及运维服务方案，由投标人自行参加采购人组织的统一考察，未到场考察即视同放弃考察权利，后续履约相关风险由投标人自行承担。</w:t>
            </w:r>
          </w:p>
          <w:p w14:paraId="7751F3E4">
            <w:pPr>
              <w:spacing w:line="440" w:lineRule="exact"/>
              <w:ind w:firstLine="442" w:firstLineChars="200"/>
              <w:rPr>
                <w:b/>
                <w:bCs/>
                <w:sz w:val="22"/>
                <w:szCs w:val="22"/>
                <w:u w:val="single"/>
              </w:rPr>
            </w:pPr>
            <w:r>
              <w:rPr>
                <w:rFonts w:hint="eastAsia"/>
                <w:b/>
                <w:bCs/>
                <w:sz w:val="22"/>
                <w:szCs w:val="22"/>
                <w:u w:val="single"/>
              </w:rPr>
              <w:t>（2）集中现场考察时间：2026年9月7日上午10时集中，逾时不候。</w:t>
            </w:r>
          </w:p>
          <w:p w14:paraId="1E066D63">
            <w:pPr>
              <w:spacing w:line="440" w:lineRule="exact"/>
              <w:ind w:firstLine="442" w:firstLineChars="200"/>
              <w:rPr>
                <w:b/>
                <w:bCs/>
                <w:sz w:val="22"/>
                <w:szCs w:val="22"/>
                <w:u w:val="single"/>
              </w:rPr>
            </w:pPr>
            <w:r>
              <w:rPr>
                <w:rFonts w:hint="eastAsia"/>
                <w:b/>
                <w:bCs/>
                <w:sz w:val="22"/>
                <w:szCs w:val="22"/>
                <w:u w:val="single"/>
              </w:rPr>
              <w:t>（3）联系人：闭韦杰，电话：0771-5815290。</w:t>
            </w:r>
          </w:p>
          <w:p w14:paraId="779F36AB">
            <w:pPr>
              <w:spacing w:line="440" w:lineRule="exact"/>
              <w:ind w:firstLine="442" w:firstLineChars="200"/>
              <w:rPr>
                <w:b/>
                <w:bCs/>
                <w:sz w:val="22"/>
                <w:szCs w:val="22"/>
                <w:u w:val="single"/>
              </w:rPr>
            </w:pPr>
            <w:r>
              <w:rPr>
                <w:rFonts w:hint="eastAsia"/>
                <w:b/>
                <w:bCs/>
                <w:sz w:val="22"/>
                <w:szCs w:val="22"/>
                <w:u w:val="single"/>
              </w:rPr>
              <w:t>（4）集中地点：广西南宁市青秀区植物路50-1号广西教育数据中心。</w:t>
            </w:r>
          </w:p>
          <w:p w14:paraId="71CF90D5">
            <w:pPr>
              <w:spacing w:line="360" w:lineRule="exact"/>
              <w:ind w:firstLine="442" w:firstLineChars="200"/>
              <w:rPr>
                <w:rFonts w:hint="eastAsia" w:ascii="宋体" w:hAnsi="宋体"/>
                <w:b/>
                <w:szCs w:val="21"/>
              </w:rPr>
            </w:pPr>
            <w:r>
              <w:rPr>
                <w:rFonts w:hint="eastAsia"/>
                <w:b/>
                <w:bCs/>
                <w:sz w:val="22"/>
                <w:szCs w:val="22"/>
                <w:u w:val="single"/>
              </w:rPr>
              <w:t>（5）现场考察携带的资料：投标人需提供保密承诺函（格式详见本章附件2）并加盖公司公章、成功获取采购文件的广西政府采购云平台的回执。</w:t>
            </w:r>
          </w:p>
        </w:tc>
      </w:tr>
      <w:bookmarkEnd w:id="4"/>
    </w:tbl>
    <w:p w14:paraId="4C8E9561">
      <w:pPr>
        <w:spacing w:line="360" w:lineRule="auto"/>
        <w:jc w:val="left"/>
        <w:rPr>
          <w:rFonts w:hint="eastAsia" w:ascii="宋体" w:hAnsi="宋体"/>
          <w:b/>
          <w:bCs/>
          <w:szCs w:val="21"/>
        </w:rPr>
      </w:pPr>
    </w:p>
    <w:p w14:paraId="0787EA63">
      <w:pPr>
        <w:spacing w:line="360" w:lineRule="auto"/>
        <w:jc w:val="left"/>
        <w:rPr>
          <w:rFonts w:hint="eastAsia" w:ascii="宋体" w:hAnsi="宋体"/>
          <w:b/>
          <w:bCs/>
          <w:szCs w:val="21"/>
        </w:rPr>
      </w:pPr>
      <w:r>
        <w:rPr>
          <w:rFonts w:hint="eastAsia" w:ascii="宋体" w:hAnsi="宋体"/>
          <w:b/>
          <w:bCs/>
          <w:szCs w:val="21"/>
        </w:rPr>
        <w:t>附件1</w:t>
      </w:r>
    </w:p>
    <w:p w14:paraId="429CC53C">
      <w:pPr>
        <w:spacing w:line="360" w:lineRule="auto"/>
        <w:jc w:val="center"/>
        <w:rPr>
          <w:rFonts w:hint="eastAsia" w:ascii="宋体" w:hAnsi="宋体"/>
          <w:b/>
          <w:bCs/>
          <w:sz w:val="24"/>
        </w:rPr>
      </w:pPr>
      <w:r>
        <w:rPr>
          <w:rFonts w:hint="eastAsia" w:ascii="宋体" w:hAnsi="宋体"/>
          <w:b/>
          <w:bCs/>
          <w:sz w:val="24"/>
        </w:rPr>
        <w:t>《广西教育数据中心信息系统（网站）清单》</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6624"/>
        <w:gridCol w:w="1496"/>
        <w:gridCol w:w="834"/>
      </w:tblGrid>
      <w:tr w14:paraId="7BED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1347566E">
            <w:pPr>
              <w:wordWrap w:val="0"/>
              <w:spacing w:line="360" w:lineRule="exact"/>
              <w:jc w:val="center"/>
              <w:rPr>
                <w:rFonts w:hint="eastAsia" w:ascii="宋体" w:hAnsi="宋体" w:cs="黑体"/>
                <w:b/>
                <w:bCs/>
                <w:szCs w:val="21"/>
              </w:rPr>
            </w:pPr>
            <w:r>
              <w:rPr>
                <w:rFonts w:hint="eastAsia" w:ascii="宋体" w:hAnsi="宋体" w:cs="黑体"/>
                <w:b/>
                <w:bCs/>
                <w:szCs w:val="21"/>
              </w:rPr>
              <w:t>序号</w:t>
            </w:r>
          </w:p>
        </w:tc>
        <w:tc>
          <w:tcPr>
            <w:tcW w:w="3361" w:type="pct"/>
            <w:vAlign w:val="center"/>
          </w:tcPr>
          <w:p w14:paraId="32CB8650">
            <w:pPr>
              <w:wordWrap w:val="0"/>
              <w:spacing w:line="360" w:lineRule="exact"/>
              <w:jc w:val="center"/>
              <w:rPr>
                <w:rFonts w:hint="eastAsia" w:ascii="宋体" w:hAnsi="宋体" w:cs="黑体"/>
                <w:b/>
                <w:bCs/>
                <w:szCs w:val="21"/>
              </w:rPr>
            </w:pPr>
            <w:r>
              <w:rPr>
                <w:rFonts w:hint="eastAsia" w:ascii="宋体" w:hAnsi="宋体" w:cs="黑体"/>
                <w:b/>
                <w:bCs/>
                <w:szCs w:val="21"/>
              </w:rPr>
              <w:t>系统名称</w:t>
            </w:r>
          </w:p>
        </w:tc>
        <w:tc>
          <w:tcPr>
            <w:tcW w:w="759" w:type="pct"/>
            <w:vAlign w:val="center"/>
          </w:tcPr>
          <w:p w14:paraId="6DDB9420">
            <w:pPr>
              <w:wordWrap w:val="0"/>
              <w:spacing w:line="360" w:lineRule="exact"/>
              <w:jc w:val="center"/>
              <w:rPr>
                <w:rFonts w:hint="eastAsia" w:ascii="宋体" w:hAnsi="宋体" w:cs="黑体"/>
                <w:b/>
                <w:bCs/>
                <w:szCs w:val="21"/>
              </w:rPr>
            </w:pPr>
            <w:r>
              <w:rPr>
                <w:rFonts w:hint="eastAsia" w:ascii="宋体" w:hAnsi="宋体" w:cs="黑体"/>
                <w:b/>
                <w:bCs/>
                <w:szCs w:val="21"/>
              </w:rPr>
              <w:t>等保备案</w:t>
            </w:r>
          </w:p>
          <w:p w14:paraId="44EC886C">
            <w:pPr>
              <w:wordWrap w:val="0"/>
              <w:spacing w:line="360" w:lineRule="exact"/>
              <w:jc w:val="center"/>
              <w:rPr>
                <w:rFonts w:hint="eastAsia" w:ascii="宋体" w:hAnsi="宋体" w:cs="黑体"/>
                <w:b/>
                <w:bCs/>
                <w:szCs w:val="21"/>
              </w:rPr>
            </w:pPr>
            <w:r>
              <w:rPr>
                <w:rFonts w:hint="eastAsia" w:ascii="宋体" w:hAnsi="宋体" w:cs="黑体"/>
                <w:b/>
                <w:bCs/>
                <w:szCs w:val="21"/>
              </w:rPr>
              <w:t>等级</w:t>
            </w:r>
          </w:p>
        </w:tc>
        <w:tc>
          <w:tcPr>
            <w:tcW w:w="424" w:type="pct"/>
            <w:vAlign w:val="center"/>
          </w:tcPr>
          <w:p w14:paraId="413A7D83">
            <w:pPr>
              <w:wordWrap w:val="0"/>
              <w:spacing w:line="360" w:lineRule="exact"/>
              <w:jc w:val="center"/>
              <w:rPr>
                <w:rFonts w:hint="eastAsia" w:ascii="宋体" w:hAnsi="宋体" w:cs="黑体"/>
                <w:b/>
                <w:bCs/>
                <w:szCs w:val="21"/>
              </w:rPr>
            </w:pPr>
            <w:r>
              <w:rPr>
                <w:rFonts w:hint="eastAsia" w:ascii="宋体" w:hAnsi="宋体" w:cs="黑体"/>
                <w:b/>
                <w:bCs/>
                <w:szCs w:val="21"/>
              </w:rPr>
              <w:t>备注</w:t>
            </w:r>
          </w:p>
        </w:tc>
      </w:tr>
      <w:tr w14:paraId="2A50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700805A4">
            <w:pPr>
              <w:wordWrap w:val="0"/>
              <w:spacing w:line="360" w:lineRule="exact"/>
              <w:jc w:val="center"/>
              <w:rPr>
                <w:rFonts w:hint="eastAsia" w:ascii="宋体" w:hAnsi="宋体" w:cs="仿宋"/>
                <w:szCs w:val="21"/>
              </w:rPr>
            </w:pPr>
            <w:r>
              <w:rPr>
                <w:rFonts w:hint="eastAsia" w:ascii="宋体" w:hAnsi="宋体" w:cs="仿宋"/>
                <w:szCs w:val="21"/>
              </w:rPr>
              <w:t>1</w:t>
            </w:r>
          </w:p>
        </w:tc>
        <w:tc>
          <w:tcPr>
            <w:tcW w:w="3361" w:type="pct"/>
            <w:vAlign w:val="center"/>
          </w:tcPr>
          <w:p w14:paraId="7ECD4AB4">
            <w:pPr>
              <w:wordWrap w:val="0"/>
              <w:spacing w:line="360" w:lineRule="exact"/>
              <w:jc w:val="center"/>
              <w:rPr>
                <w:rFonts w:hint="eastAsia" w:ascii="宋体" w:hAnsi="宋体" w:cs="仿宋"/>
                <w:szCs w:val="21"/>
              </w:rPr>
            </w:pPr>
            <w:r>
              <w:rPr>
                <w:rFonts w:hint="eastAsia" w:ascii="宋体" w:hAnsi="宋体" w:cs="仿宋"/>
                <w:szCs w:val="21"/>
              </w:rPr>
              <w:t>教育部应用支撑与服务平台（广西）</w:t>
            </w:r>
          </w:p>
        </w:tc>
        <w:tc>
          <w:tcPr>
            <w:tcW w:w="759" w:type="pct"/>
            <w:vAlign w:val="center"/>
          </w:tcPr>
          <w:p w14:paraId="24B7CB69">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3A0343E7">
            <w:pPr>
              <w:wordWrap w:val="0"/>
              <w:spacing w:line="360" w:lineRule="exact"/>
              <w:jc w:val="center"/>
              <w:rPr>
                <w:rFonts w:hint="eastAsia" w:ascii="宋体" w:hAnsi="宋体" w:cs="仿宋"/>
                <w:szCs w:val="21"/>
              </w:rPr>
            </w:pPr>
          </w:p>
        </w:tc>
      </w:tr>
      <w:tr w14:paraId="63A6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757E03A9">
            <w:pPr>
              <w:wordWrap w:val="0"/>
              <w:spacing w:line="360" w:lineRule="exact"/>
              <w:jc w:val="center"/>
              <w:rPr>
                <w:rFonts w:hint="eastAsia" w:ascii="宋体" w:hAnsi="宋体" w:cs="仿宋"/>
                <w:szCs w:val="21"/>
              </w:rPr>
            </w:pPr>
            <w:r>
              <w:rPr>
                <w:rFonts w:hint="eastAsia" w:ascii="宋体" w:hAnsi="宋体" w:cs="仿宋"/>
                <w:szCs w:val="21"/>
              </w:rPr>
              <w:t>2</w:t>
            </w:r>
          </w:p>
        </w:tc>
        <w:tc>
          <w:tcPr>
            <w:tcW w:w="3361" w:type="pct"/>
            <w:vAlign w:val="center"/>
          </w:tcPr>
          <w:p w14:paraId="7E5F564A">
            <w:pPr>
              <w:wordWrap w:val="0"/>
              <w:spacing w:line="360" w:lineRule="exact"/>
              <w:jc w:val="center"/>
              <w:rPr>
                <w:rFonts w:hint="eastAsia" w:ascii="宋体" w:hAnsi="宋体" w:cs="仿宋"/>
                <w:szCs w:val="21"/>
              </w:rPr>
            </w:pPr>
            <w:r>
              <w:rPr>
                <w:rFonts w:hint="eastAsia" w:ascii="宋体" w:hAnsi="宋体" w:cs="仿宋"/>
                <w:szCs w:val="21"/>
              </w:rPr>
              <w:t>全国教育基础信息数据库管理与服务系统</w:t>
            </w:r>
          </w:p>
        </w:tc>
        <w:tc>
          <w:tcPr>
            <w:tcW w:w="759" w:type="pct"/>
            <w:vAlign w:val="center"/>
          </w:tcPr>
          <w:p w14:paraId="2A7E444E">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490F1BB5">
            <w:pPr>
              <w:wordWrap w:val="0"/>
              <w:spacing w:line="360" w:lineRule="exact"/>
              <w:jc w:val="center"/>
              <w:rPr>
                <w:rFonts w:hint="eastAsia" w:ascii="宋体" w:hAnsi="宋体" w:cs="仿宋"/>
                <w:szCs w:val="21"/>
              </w:rPr>
            </w:pPr>
          </w:p>
        </w:tc>
      </w:tr>
      <w:tr w14:paraId="30EC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11C05181">
            <w:pPr>
              <w:wordWrap w:val="0"/>
              <w:spacing w:line="360" w:lineRule="exact"/>
              <w:jc w:val="center"/>
              <w:rPr>
                <w:rFonts w:hint="eastAsia" w:ascii="宋体" w:hAnsi="宋体" w:cs="仿宋"/>
                <w:szCs w:val="21"/>
              </w:rPr>
            </w:pPr>
            <w:r>
              <w:rPr>
                <w:rFonts w:hint="eastAsia" w:ascii="宋体" w:hAnsi="宋体" w:cs="仿宋"/>
                <w:szCs w:val="21"/>
              </w:rPr>
              <w:t>3</w:t>
            </w:r>
          </w:p>
        </w:tc>
        <w:tc>
          <w:tcPr>
            <w:tcW w:w="3361" w:type="pct"/>
            <w:vAlign w:val="center"/>
          </w:tcPr>
          <w:p w14:paraId="1A037D36">
            <w:pPr>
              <w:wordWrap w:val="0"/>
              <w:spacing w:line="360" w:lineRule="exact"/>
              <w:jc w:val="center"/>
              <w:rPr>
                <w:rFonts w:hint="eastAsia" w:ascii="宋体" w:hAnsi="宋体" w:cs="仿宋"/>
                <w:szCs w:val="21"/>
              </w:rPr>
            </w:pPr>
            <w:r>
              <w:rPr>
                <w:rFonts w:hint="eastAsia" w:ascii="宋体" w:hAnsi="宋体" w:cs="仿宋"/>
                <w:szCs w:val="21"/>
              </w:rPr>
              <w:t>教育电子认证服务中心系统（广西）</w:t>
            </w:r>
          </w:p>
        </w:tc>
        <w:tc>
          <w:tcPr>
            <w:tcW w:w="759" w:type="pct"/>
            <w:vAlign w:val="center"/>
          </w:tcPr>
          <w:p w14:paraId="12E72EB3">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49F757B4">
            <w:pPr>
              <w:wordWrap w:val="0"/>
              <w:spacing w:line="360" w:lineRule="exact"/>
              <w:jc w:val="center"/>
              <w:rPr>
                <w:rFonts w:hint="eastAsia" w:ascii="宋体" w:hAnsi="宋体" w:cs="仿宋"/>
                <w:szCs w:val="21"/>
              </w:rPr>
            </w:pPr>
          </w:p>
        </w:tc>
      </w:tr>
      <w:tr w14:paraId="75D8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77B57177">
            <w:pPr>
              <w:wordWrap w:val="0"/>
              <w:spacing w:line="360" w:lineRule="exact"/>
              <w:jc w:val="center"/>
              <w:rPr>
                <w:rFonts w:hint="eastAsia" w:ascii="宋体" w:hAnsi="宋体" w:cs="仿宋"/>
                <w:szCs w:val="21"/>
              </w:rPr>
            </w:pPr>
            <w:r>
              <w:rPr>
                <w:rFonts w:hint="eastAsia" w:ascii="宋体" w:hAnsi="宋体" w:cs="仿宋"/>
                <w:szCs w:val="21"/>
              </w:rPr>
              <w:t>4</w:t>
            </w:r>
          </w:p>
        </w:tc>
        <w:tc>
          <w:tcPr>
            <w:tcW w:w="3361" w:type="pct"/>
            <w:vAlign w:val="center"/>
          </w:tcPr>
          <w:p w14:paraId="06CEEBBA">
            <w:pPr>
              <w:wordWrap w:val="0"/>
              <w:spacing w:line="360" w:lineRule="exact"/>
              <w:jc w:val="center"/>
              <w:rPr>
                <w:rFonts w:hint="eastAsia" w:ascii="宋体" w:hAnsi="宋体" w:cs="仿宋"/>
                <w:szCs w:val="21"/>
              </w:rPr>
            </w:pPr>
            <w:r>
              <w:rPr>
                <w:rFonts w:hint="eastAsia" w:ascii="宋体" w:hAnsi="宋体" w:cs="仿宋"/>
                <w:szCs w:val="21"/>
              </w:rPr>
              <w:t>全国教师管理信息系统（广西）</w:t>
            </w:r>
          </w:p>
        </w:tc>
        <w:tc>
          <w:tcPr>
            <w:tcW w:w="759" w:type="pct"/>
            <w:vAlign w:val="center"/>
          </w:tcPr>
          <w:p w14:paraId="4B35FE09">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715F7356">
            <w:pPr>
              <w:wordWrap w:val="0"/>
              <w:spacing w:line="360" w:lineRule="exact"/>
              <w:jc w:val="center"/>
              <w:rPr>
                <w:rFonts w:hint="eastAsia" w:ascii="宋体" w:hAnsi="宋体" w:cs="仿宋"/>
                <w:szCs w:val="21"/>
              </w:rPr>
            </w:pPr>
          </w:p>
        </w:tc>
      </w:tr>
      <w:tr w14:paraId="10C7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12EA765B">
            <w:pPr>
              <w:wordWrap w:val="0"/>
              <w:spacing w:line="360" w:lineRule="exact"/>
              <w:jc w:val="center"/>
              <w:rPr>
                <w:rFonts w:hint="eastAsia" w:ascii="宋体" w:hAnsi="宋体" w:cs="仿宋"/>
                <w:szCs w:val="21"/>
              </w:rPr>
            </w:pPr>
            <w:r>
              <w:rPr>
                <w:rFonts w:hint="eastAsia" w:ascii="宋体" w:hAnsi="宋体" w:cs="仿宋"/>
                <w:szCs w:val="21"/>
              </w:rPr>
              <w:t>5</w:t>
            </w:r>
          </w:p>
        </w:tc>
        <w:tc>
          <w:tcPr>
            <w:tcW w:w="3361" w:type="pct"/>
            <w:vAlign w:val="center"/>
          </w:tcPr>
          <w:p w14:paraId="47CB397B">
            <w:pPr>
              <w:wordWrap w:val="0"/>
              <w:spacing w:line="360" w:lineRule="exact"/>
              <w:jc w:val="center"/>
              <w:rPr>
                <w:rFonts w:hint="eastAsia" w:ascii="宋体" w:hAnsi="宋体" w:cs="仿宋"/>
                <w:szCs w:val="21"/>
              </w:rPr>
            </w:pPr>
            <w:r>
              <w:rPr>
                <w:rFonts w:hint="eastAsia" w:ascii="宋体" w:hAnsi="宋体" w:cs="仿宋"/>
                <w:szCs w:val="21"/>
              </w:rPr>
              <w:t>全国学生资助管理信息系统（广西）</w:t>
            </w:r>
          </w:p>
        </w:tc>
        <w:tc>
          <w:tcPr>
            <w:tcW w:w="759" w:type="pct"/>
            <w:vAlign w:val="center"/>
          </w:tcPr>
          <w:p w14:paraId="5A68F4E8">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07883E3A">
            <w:pPr>
              <w:wordWrap w:val="0"/>
              <w:spacing w:line="360" w:lineRule="exact"/>
              <w:jc w:val="center"/>
              <w:rPr>
                <w:rFonts w:hint="eastAsia" w:ascii="宋体" w:hAnsi="宋体" w:cs="仿宋"/>
                <w:szCs w:val="21"/>
              </w:rPr>
            </w:pPr>
          </w:p>
        </w:tc>
      </w:tr>
      <w:tr w14:paraId="2BBE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6274D7E6">
            <w:pPr>
              <w:wordWrap w:val="0"/>
              <w:spacing w:line="360" w:lineRule="exact"/>
              <w:jc w:val="center"/>
              <w:rPr>
                <w:rFonts w:hint="eastAsia" w:ascii="宋体" w:hAnsi="宋体" w:cs="仿宋"/>
                <w:szCs w:val="21"/>
              </w:rPr>
            </w:pPr>
            <w:r>
              <w:rPr>
                <w:rFonts w:hint="eastAsia" w:ascii="宋体" w:hAnsi="宋体" w:cs="仿宋"/>
                <w:szCs w:val="21"/>
              </w:rPr>
              <w:t>6</w:t>
            </w:r>
          </w:p>
        </w:tc>
        <w:tc>
          <w:tcPr>
            <w:tcW w:w="3361" w:type="pct"/>
            <w:vAlign w:val="center"/>
          </w:tcPr>
          <w:p w14:paraId="378B73AA">
            <w:pPr>
              <w:wordWrap w:val="0"/>
              <w:spacing w:line="360" w:lineRule="exact"/>
              <w:jc w:val="center"/>
              <w:rPr>
                <w:rFonts w:hint="eastAsia" w:ascii="宋体" w:hAnsi="宋体" w:cs="仿宋"/>
                <w:szCs w:val="21"/>
              </w:rPr>
            </w:pPr>
            <w:r>
              <w:rPr>
                <w:rFonts w:hint="eastAsia" w:ascii="宋体" w:hAnsi="宋体" w:cs="仿宋"/>
                <w:szCs w:val="21"/>
              </w:rPr>
              <w:t>全国中等职业学校学生管理信息系统（广西）</w:t>
            </w:r>
          </w:p>
        </w:tc>
        <w:tc>
          <w:tcPr>
            <w:tcW w:w="759" w:type="pct"/>
            <w:vAlign w:val="center"/>
          </w:tcPr>
          <w:p w14:paraId="7BE103D1">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025C5893">
            <w:pPr>
              <w:wordWrap w:val="0"/>
              <w:spacing w:line="360" w:lineRule="exact"/>
              <w:jc w:val="center"/>
              <w:rPr>
                <w:rFonts w:hint="eastAsia" w:ascii="宋体" w:hAnsi="宋体" w:cs="仿宋"/>
                <w:szCs w:val="21"/>
              </w:rPr>
            </w:pPr>
          </w:p>
        </w:tc>
      </w:tr>
      <w:tr w14:paraId="2ACF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4BDBCAB1">
            <w:pPr>
              <w:wordWrap w:val="0"/>
              <w:spacing w:line="360" w:lineRule="exact"/>
              <w:jc w:val="center"/>
              <w:rPr>
                <w:rFonts w:hint="eastAsia" w:ascii="宋体" w:hAnsi="宋体" w:cs="仿宋"/>
                <w:szCs w:val="21"/>
              </w:rPr>
            </w:pPr>
            <w:r>
              <w:rPr>
                <w:rFonts w:hint="eastAsia" w:ascii="宋体" w:hAnsi="宋体" w:cs="仿宋"/>
                <w:szCs w:val="21"/>
              </w:rPr>
              <w:t>7</w:t>
            </w:r>
          </w:p>
        </w:tc>
        <w:tc>
          <w:tcPr>
            <w:tcW w:w="3361" w:type="pct"/>
            <w:vAlign w:val="center"/>
          </w:tcPr>
          <w:p w14:paraId="49FBBF38">
            <w:pPr>
              <w:wordWrap w:val="0"/>
              <w:spacing w:line="360" w:lineRule="exact"/>
              <w:jc w:val="center"/>
              <w:rPr>
                <w:rFonts w:hint="eastAsia" w:ascii="宋体" w:hAnsi="宋体" w:cs="仿宋"/>
                <w:szCs w:val="21"/>
              </w:rPr>
            </w:pPr>
            <w:r>
              <w:rPr>
                <w:rFonts w:hint="eastAsia" w:ascii="宋体" w:hAnsi="宋体" w:cs="仿宋"/>
                <w:szCs w:val="21"/>
              </w:rPr>
              <w:t>全国中等职业学校管理信息系统（广西）</w:t>
            </w:r>
          </w:p>
        </w:tc>
        <w:tc>
          <w:tcPr>
            <w:tcW w:w="759" w:type="pct"/>
            <w:vAlign w:val="center"/>
          </w:tcPr>
          <w:p w14:paraId="59E395CB">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0AF66D68">
            <w:pPr>
              <w:wordWrap w:val="0"/>
              <w:spacing w:line="360" w:lineRule="exact"/>
              <w:jc w:val="center"/>
              <w:rPr>
                <w:rFonts w:hint="eastAsia" w:ascii="宋体" w:hAnsi="宋体" w:cs="仿宋"/>
                <w:szCs w:val="21"/>
              </w:rPr>
            </w:pPr>
          </w:p>
        </w:tc>
      </w:tr>
      <w:tr w14:paraId="058B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05F97AB4">
            <w:pPr>
              <w:wordWrap w:val="0"/>
              <w:spacing w:line="360" w:lineRule="exact"/>
              <w:jc w:val="center"/>
              <w:rPr>
                <w:rFonts w:hint="eastAsia" w:ascii="宋体" w:hAnsi="宋体" w:cs="仿宋"/>
                <w:szCs w:val="21"/>
              </w:rPr>
            </w:pPr>
            <w:r>
              <w:rPr>
                <w:rFonts w:hint="eastAsia" w:ascii="宋体" w:hAnsi="宋体" w:cs="仿宋"/>
                <w:szCs w:val="21"/>
              </w:rPr>
              <w:t>8</w:t>
            </w:r>
          </w:p>
        </w:tc>
        <w:tc>
          <w:tcPr>
            <w:tcW w:w="3361" w:type="pct"/>
            <w:vAlign w:val="center"/>
          </w:tcPr>
          <w:p w14:paraId="4EE4EEFB">
            <w:pPr>
              <w:wordWrap w:val="0"/>
              <w:spacing w:line="360" w:lineRule="exact"/>
              <w:jc w:val="center"/>
              <w:rPr>
                <w:rFonts w:hint="eastAsia" w:ascii="宋体" w:hAnsi="宋体" w:cs="仿宋"/>
                <w:szCs w:val="21"/>
              </w:rPr>
            </w:pPr>
            <w:r>
              <w:rPr>
                <w:rFonts w:hint="eastAsia" w:ascii="宋体" w:hAnsi="宋体" w:cs="仿宋"/>
                <w:szCs w:val="21"/>
              </w:rPr>
              <w:t>中央对地方教育转移支付资金管理平台（广西）</w:t>
            </w:r>
          </w:p>
        </w:tc>
        <w:tc>
          <w:tcPr>
            <w:tcW w:w="759" w:type="pct"/>
            <w:vAlign w:val="center"/>
          </w:tcPr>
          <w:p w14:paraId="3FB0F7BD">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031CDE5D">
            <w:pPr>
              <w:wordWrap w:val="0"/>
              <w:spacing w:line="360" w:lineRule="exact"/>
              <w:jc w:val="center"/>
              <w:rPr>
                <w:rFonts w:hint="eastAsia" w:ascii="宋体" w:hAnsi="宋体" w:cs="仿宋"/>
                <w:szCs w:val="21"/>
              </w:rPr>
            </w:pPr>
          </w:p>
        </w:tc>
      </w:tr>
      <w:tr w14:paraId="0E1A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496159B7">
            <w:pPr>
              <w:wordWrap w:val="0"/>
              <w:spacing w:line="360" w:lineRule="exact"/>
              <w:jc w:val="center"/>
              <w:rPr>
                <w:rFonts w:hint="eastAsia" w:ascii="宋体" w:hAnsi="宋体" w:cs="仿宋"/>
                <w:szCs w:val="21"/>
              </w:rPr>
            </w:pPr>
            <w:r>
              <w:rPr>
                <w:rFonts w:hint="eastAsia" w:ascii="宋体" w:hAnsi="宋体" w:cs="仿宋"/>
                <w:szCs w:val="21"/>
              </w:rPr>
              <w:t>9</w:t>
            </w:r>
          </w:p>
        </w:tc>
        <w:tc>
          <w:tcPr>
            <w:tcW w:w="3361" w:type="pct"/>
            <w:vAlign w:val="center"/>
          </w:tcPr>
          <w:p w14:paraId="36BB9F5B">
            <w:pPr>
              <w:wordWrap w:val="0"/>
              <w:spacing w:line="360" w:lineRule="exact"/>
              <w:jc w:val="center"/>
              <w:rPr>
                <w:rFonts w:hint="eastAsia" w:ascii="宋体" w:hAnsi="宋体" w:cs="仿宋"/>
                <w:szCs w:val="21"/>
              </w:rPr>
            </w:pPr>
            <w:r>
              <w:rPr>
                <w:rFonts w:hint="eastAsia" w:ascii="宋体" w:hAnsi="宋体" w:cs="仿宋"/>
                <w:szCs w:val="21"/>
              </w:rPr>
              <w:t>广西教育数据共享系统</w:t>
            </w:r>
          </w:p>
        </w:tc>
        <w:tc>
          <w:tcPr>
            <w:tcW w:w="759" w:type="pct"/>
            <w:vAlign w:val="center"/>
          </w:tcPr>
          <w:p w14:paraId="56DD4777">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020B7F2B">
            <w:pPr>
              <w:wordWrap w:val="0"/>
              <w:spacing w:line="360" w:lineRule="exact"/>
              <w:jc w:val="center"/>
              <w:rPr>
                <w:rFonts w:hint="eastAsia" w:ascii="宋体" w:hAnsi="宋体" w:cs="仿宋"/>
                <w:szCs w:val="21"/>
              </w:rPr>
            </w:pPr>
          </w:p>
        </w:tc>
      </w:tr>
      <w:tr w14:paraId="1B81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2218CF94">
            <w:pPr>
              <w:wordWrap w:val="0"/>
              <w:spacing w:line="360" w:lineRule="exact"/>
              <w:jc w:val="center"/>
              <w:rPr>
                <w:rFonts w:hint="eastAsia" w:ascii="宋体" w:hAnsi="宋体" w:cs="仿宋"/>
                <w:szCs w:val="21"/>
              </w:rPr>
            </w:pPr>
            <w:r>
              <w:rPr>
                <w:rFonts w:hint="eastAsia" w:ascii="宋体" w:hAnsi="宋体" w:cs="仿宋"/>
                <w:szCs w:val="21"/>
              </w:rPr>
              <w:t>10</w:t>
            </w:r>
          </w:p>
        </w:tc>
        <w:tc>
          <w:tcPr>
            <w:tcW w:w="3361" w:type="pct"/>
            <w:vAlign w:val="center"/>
          </w:tcPr>
          <w:p w14:paraId="2CE012BF">
            <w:pPr>
              <w:wordWrap w:val="0"/>
              <w:spacing w:line="360" w:lineRule="exact"/>
              <w:jc w:val="center"/>
              <w:rPr>
                <w:rFonts w:hint="eastAsia" w:ascii="宋体" w:hAnsi="宋体" w:cs="仿宋"/>
                <w:szCs w:val="21"/>
              </w:rPr>
            </w:pPr>
            <w:r>
              <w:rPr>
                <w:rFonts w:hint="eastAsia" w:ascii="宋体" w:hAnsi="宋体" w:cs="仿宋"/>
                <w:szCs w:val="21"/>
              </w:rPr>
              <w:t>广西教育信息化终端应用管理和安全态势感知管理信息系统</w:t>
            </w:r>
          </w:p>
        </w:tc>
        <w:tc>
          <w:tcPr>
            <w:tcW w:w="759" w:type="pct"/>
            <w:vAlign w:val="center"/>
          </w:tcPr>
          <w:p w14:paraId="2B3BE2C9">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3377F1BE">
            <w:pPr>
              <w:wordWrap w:val="0"/>
              <w:spacing w:line="360" w:lineRule="exact"/>
              <w:jc w:val="center"/>
              <w:rPr>
                <w:rFonts w:hint="eastAsia" w:ascii="宋体" w:hAnsi="宋体" w:cs="仿宋"/>
                <w:szCs w:val="21"/>
              </w:rPr>
            </w:pPr>
          </w:p>
        </w:tc>
      </w:tr>
      <w:tr w14:paraId="5C57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5D98F3EF">
            <w:pPr>
              <w:wordWrap w:val="0"/>
              <w:spacing w:line="360" w:lineRule="exact"/>
              <w:jc w:val="center"/>
              <w:rPr>
                <w:rFonts w:hint="eastAsia" w:ascii="宋体" w:hAnsi="宋体" w:cs="仿宋"/>
                <w:szCs w:val="21"/>
              </w:rPr>
            </w:pPr>
            <w:r>
              <w:rPr>
                <w:rFonts w:hint="eastAsia" w:ascii="宋体" w:hAnsi="宋体" w:cs="仿宋"/>
                <w:szCs w:val="21"/>
              </w:rPr>
              <w:t>11</w:t>
            </w:r>
          </w:p>
        </w:tc>
        <w:tc>
          <w:tcPr>
            <w:tcW w:w="3361" w:type="pct"/>
            <w:vAlign w:val="center"/>
          </w:tcPr>
          <w:p w14:paraId="4FD30046">
            <w:pPr>
              <w:wordWrap w:val="0"/>
              <w:spacing w:line="360" w:lineRule="exact"/>
              <w:jc w:val="center"/>
              <w:rPr>
                <w:rFonts w:hint="eastAsia" w:ascii="宋体" w:hAnsi="宋体" w:cs="仿宋"/>
                <w:szCs w:val="21"/>
              </w:rPr>
            </w:pPr>
            <w:r>
              <w:rPr>
                <w:rFonts w:hint="eastAsia" w:ascii="宋体" w:hAnsi="宋体" w:cs="仿宋"/>
                <w:szCs w:val="21"/>
              </w:rPr>
              <w:t>广西教育网络安全态势感知和安全预警管理信息系统</w:t>
            </w:r>
          </w:p>
        </w:tc>
        <w:tc>
          <w:tcPr>
            <w:tcW w:w="759" w:type="pct"/>
            <w:vAlign w:val="center"/>
          </w:tcPr>
          <w:p w14:paraId="6CBE5F35">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5E577607">
            <w:pPr>
              <w:wordWrap w:val="0"/>
              <w:spacing w:line="360" w:lineRule="exact"/>
              <w:jc w:val="center"/>
              <w:rPr>
                <w:rFonts w:hint="eastAsia" w:ascii="宋体" w:hAnsi="宋体" w:cs="仿宋"/>
                <w:szCs w:val="21"/>
              </w:rPr>
            </w:pPr>
          </w:p>
        </w:tc>
      </w:tr>
      <w:tr w14:paraId="4679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18B0D71">
            <w:pPr>
              <w:wordWrap w:val="0"/>
              <w:spacing w:line="360" w:lineRule="exact"/>
              <w:jc w:val="center"/>
              <w:rPr>
                <w:rFonts w:hint="eastAsia" w:ascii="宋体" w:hAnsi="宋体" w:cs="仿宋"/>
                <w:szCs w:val="21"/>
              </w:rPr>
            </w:pPr>
            <w:r>
              <w:rPr>
                <w:rFonts w:hint="eastAsia" w:ascii="宋体" w:hAnsi="宋体" w:cs="仿宋"/>
                <w:szCs w:val="21"/>
              </w:rPr>
              <w:t>12</w:t>
            </w:r>
          </w:p>
        </w:tc>
        <w:tc>
          <w:tcPr>
            <w:tcW w:w="3361" w:type="pct"/>
            <w:vAlign w:val="center"/>
          </w:tcPr>
          <w:p w14:paraId="3E8F7E25">
            <w:pPr>
              <w:wordWrap w:val="0"/>
              <w:spacing w:line="360" w:lineRule="exact"/>
              <w:jc w:val="center"/>
              <w:rPr>
                <w:rFonts w:hint="eastAsia" w:ascii="宋体" w:hAnsi="宋体" w:cs="仿宋"/>
                <w:szCs w:val="21"/>
              </w:rPr>
            </w:pPr>
            <w:r>
              <w:rPr>
                <w:rFonts w:hint="eastAsia" w:ascii="宋体" w:hAnsi="宋体" w:cs="仿宋"/>
                <w:szCs w:val="21"/>
              </w:rPr>
              <w:t>广西中小学教育网站管理信息系统</w:t>
            </w:r>
          </w:p>
        </w:tc>
        <w:tc>
          <w:tcPr>
            <w:tcW w:w="759" w:type="pct"/>
            <w:vAlign w:val="center"/>
          </w:tcPr>
          <w:p w14:paraId="21E71FF8">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3AC22E5B">
            <w:pPr>
              <w:wordWrap w:val="0"/>
              <w:spacing w:line="360" w:lineRule="exact"/>
              <w:jc w:val="center"/>
              <w:rPr>
                <w:rFonts w:hint="eastAsia" w:ascii="宋体" w:hAnsi="宋体" w:cs="仿宋"/>
                <w:szCs w:val="21"/>
              </w:rPr>
            </w:pPr>
          </w:p>
        </w:tc>
      </w:tr>
      <w:tr w14:paraId="5E02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3D60564">
            <w:pPr>
              <w:wordWrap w:val="0"/>
              <w:spacing w:line="360" w:lineRule="exact"/>
              <w:jc w:val="center"/>
              <w:rPr>
                <w:rFonts w:hint="eastAsia" w:ascii="宋体" w:hAnsi="宋体" w:cs="仿宋"/>
                <w:szCs w:val="21"/>
              </w:rPr>
            </w:pPr>
            <w:r>
              <w:rPr>
                <w:rFonts w:hint="eastAsia" w:ascii="宋体" w:hAnsi="宋体" w:cs="仿宋"/>
                <w:szCs w:val="21"/>
              </w:rPr>
              <w:t>13</w:t>
            </w:r>
          </w:p>
        </w:tc>
        <w:tc>
          <w:tcPr>
            <w:tcW w:w="3361" w:type="pct"/>
            <w:vAlign w:val="center"/>
          </w:tcPr>
          <w:p w14:paraId="349993C3">
            <w:pPr>
              <w:wordWrap w:val="0"/>
              <w:spacing w:line="360" w:lineRule="exact"/>
              <w:jc w:val="center"/>
              <w:rPr>
                <w:rFonts w:hint="eastAsia" w:ascii="宋体" w:hAnsi="宋体" w:cs="仿宋"/>
                <w:szCs w:val="21"/>
              </w:rPr>
            </w:pPr>
            <w:r>
              <w:rPr>
                <w:rFonts w:hint="eastAsia" w:ascii="宋体" w:hAnsi="宋体" w:cs="仿宋"/>
                <w:szCs w:val="21"/>
              </w:rPr>
              <w:t>广西中职教育学生资助实名认证系统</w:t>
            </w:r>
          </w:p>
        </w:tc>
        <w:tc>
          <w:tcPr>
            <w:tcW w:w="759" w:type="pct"/>
            <w:vAlign w:val="center"/>
          </w:tcPr>
          <w:p w14:paraId="02C66FCB">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11BB6AF5">
            <w:pPr>
              <w:wordWrap w:val="0"/>
              <w:spacing w:line="360" w:lineRule="exact"/>
              <w:jc w:val="center"/>
              <w:rPr>
                <w:rFonts w:hint="eastAsia" w:ascii="宋体" w:hAnsi="宋体" w:cs="仿宋"/>
                <w:szCs w:val="21"/>
              </w:rPr>
            </w:pPr>
          </w:p>
        </w:tc>
      </w:tr>
      <w:tr w14:paraId="4791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22E483D">
            <w:pPr>
              <w:wordWrap w:val="0"/>
              <w:spacing w:line="360" w:lineRule="exact"/>
              <w:jc w:val="center"/>
              <w:rPr>
                <w:rFonts w:hint="eastAsia" w:ascii="宋体" w:hAnsi="宋体" w:cs="仿宋"/>
                <w:szCs w:val="21"/>
              </w:rPr>
            </w:pPr>
            <w:r>
              <w:rPr>
                <w:rFonts w:hint="eastAsia" w:ascii="宋体" w:hAnsi="宋体" w:cs="仿宋"/>
                <w:szCs w:val="21"/>
              </w:rPr>
              <w:t>14</w:t>
            </w:r>
          </w:p>
        </w:tc>
        <w:tc>
          <w:tcPr>
            <w:tcW w:w="3361" w:type="pct"/>
            <w:vAlign w:val="center"/>
          </w:tcPr>
          <w:p w14:paraId="34961358">
            <w:pPr>
              <w:wordWrap w:val="0"/>
              <w:spacing w:line="360" w:lineRule="exact"/>
              <w:jc w:val="center"/>
              <w:rPr>
                <w:rFonts w:hint="eastAsia" w:ascii="宋体" w:hAnsi="宋体" w:cs="仿宋"/>
                <w:szCs w:val="21"/>
              </w:rPr>
            </w:pPr>
            <w:r>
              <w:rPr>
                <w:rFonts w:hint="eastAsia" w:ascii="宋体" w:hAnsi="宋体" w:cs="仿宋"/>
                <w:szCs w:val="21"/>
              </w:rPr>
              <w:t>广西壮族自治区学生资助管理系统</w:t>
            </w:r>
          </w:p>
        </w:tc>
        <w:tc>
          <w:tcPr>
            <w:tcW w:w="759" w:type="pct"/>
            <w:vAlign w:val="center"/>
          </w:tcPr>
          <w:p w14:paraId="7C70DFDF">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1149641A">
            <w:pPr>
              <w:wordWrap w:val="0"/>
              <w:spacing w:line="360" w:lineRule="exact"/>
              <w:jc w:val="center"/>
              <w:rPr>
                <w:rFonts w:hint="eastAsia" w:ascii="宋体" w:hAnsi="宋体" w:cs="仿宋"/>
                <w:szCs w:val="21"/>
              </w:rPr>
            </w:pPr>
          </w:p>
        </w:tc>
      </w:tr>
      <w:tr w14:paraId="342D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45C1D9D1">
            <w:pPr>
              <w:wordWrap w:val="0"/>
              <w:spacing w:line="360" w:lineRule="exact"/>
              <w:jc w:val="center"/>
              <w:rPr>
                <w:rFonts w:hint="eastAsia" w:ascii="宋体" w:hAnsi="宋体" w:cs="仿宋"/>
                <w:szCs w:val="21"/>
              </w:rPr>
            </w:pPr>
            <w:r>
              <w:rPr>
                <w:rFonts w:hint="eastAsia" w:ascii="宋体" w:hAnsi="宋体" w:cs="仿宋"/>
                <w:szCs w:val="21"/>
              </w:rPr>
              <w:t>15</w:t>
            </w:r>
          </w:p>
        </w:tc>
        <w:tc>
          <w:tcPr>
            <w:tcW w:w="3361" w:type="pct"/>
            <w:vAlign w:val="center"/>
          </w:tcPr>
          <w:p w14:paraId="38CE0F4D">
            <w:pPr>
              <w:wordWrap w:val="0"/>
              <w:spacing w:line="360" w:lineRule="exact"/>
              <w:jc w:val="center"/>
              <w:rPr>
                <w:rFonts w:hint="eastAsia" w:ascii="宋体" w:hAnsi="宋体" w:cs="仿宋"/>
                <w:szCs w:val="21"/>
              </w:rPr>
            </w:pPr>
            <w:r>
              <w:rPr>
                <w:rFonts w:hint="eastAsia" w:ascii="宋体" w:hAnsi="宋体" w:cs="仿宋"/>
                <w:szCs w:val="21"/>
              </w:rPr>
              <w:t>广西本科高校示范课遴选管理信息系统</w:t>
            </w:r>
          </w:p>
        </w:tc>
        <w:tc>
          <w:tcPr>
            <w:tcW w:w="759" w:type="pct"/>
            <w:vAlign w:val="center"/>
          </w:tcPr>
          <w:p w14:paraId="542DD7C9">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7DBC198D">
            <w:pPr>
              <w:wordWrap w:val="0"/>
              <w:spacing w:line="360" w:lineRule="exact"/>
              <w:jc w:val="center"/>
              <w:rPr>
                <w:rFonts w:hint="eastAsia" w:ascii="宋体" w:hAnsi="宋体" w:cs="仿宋"/>
                <w:szCs w:val="21"/>
              </w:rPr>
            </w:pPr>
          </w:p>
        </w:tc>
      </w:tr>
      <w:tr w14:paraId="7C0A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43350073">
            <w:pPr>
              <w:wordWrap w:val="0"/>
              <w:spacing w:line="360" w:lineRule="exact"/>
              <w:jc w:val="center"/>
              <w:rPr>
                <w:rFonts w:hint="eastAsia" w:ascii="宋体" w:hAnsi="宋体" w:cs="仿宋"/>
                <w:szCs w:val="21"/>
              </w:rPr>
            </w:pPr>
            <w:r>
              <w:rPr>
                <w:rFonts w:hint="eastAsia" w:ascii="宋体" w:hAnsi="宋体" w:cs="仿宋"/>
                <w:szCs w:val="21"/>
              </w:rPr>
              <w:t>16</w:t>
            </w:r>
          </w:p>
        </w:tc>
        <w:tc>
          <w:tcPr>
            <w:tcW w:w="3361" w:type="pct"/>
            <w:vAlign w:val="center"/>
          </w:tcPr>
          <w:p w14:paraId="635F0E0C">
            <w:pPr>
              <w:wordWrap w:val="0"/>
              <w:spacing w:line="360" w:lineRule="exact"/>
              <w:jc w:val="center"/>
              <w:rPr>
                <w:rFonts w:hint="eastAsia" w:ascii="宋体" w:hAnsi="宋体" w:cs="仿宋"/>
                <w:szCs w:val="21"/>
              </w:rPr>
            </w:pPr>
            <w:r>
              <w:rPr>
                <w:rFonts w:hint="eastAsia" w:ascii="宋体" w:hAnsi="宋体" w:cs="仿宋"/>
                <w:szCs w:val="21"/>
              </w:rPr>
              <w:t>广西基础教育自治区级教学成果等次评定管理信息系统</w:t>
            </w:r>
          </w:p>
        </w:tc>
        <w:tc>
          <w:tcPr>
            <w:tcW w:w="759" w:type="pct"/>
            <w:vAlign w:val="center"/>
          </w:tcPr>
          <w:p w14:paraId="50AACD22">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438C64F9">
            <w:pPr>
              <w:wordWrap w:val="0"/>
              <w:spacing w:line="360" w:lineRule="exact"/>
              <w:jc w:val="center"/>
              <w:rPr>
                <w:rFonts w:hint="eastAsia" w:ascii="宋体" w:hAnsi="宋体" w:cs="仿宋"/>
                <w:szCs w:val="21"/>
              </w:rPr>
            </w:pPr>
          </w:p>
        </w:tc>
      </w:tr>
      <w:tr w14:paraId="36FA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7F28E6C">
            <w:pPr>
              <w:wordWrap w:val="0"/>
              <w:spacing w:line="360" w:lineRule="exact"/>
              <w:jc w:val="center"/>
              <w:rPr>
                <w:rFonts w:hint="eastAsia" w:ascii="宋体" w:hAnsi="宋体" w:cs="仿宋"/>
                <w:szCs w:val="21"/>
              </w:rPr>
            </w:pPr>
            <w:r>
              <w:rPr>
                <w:rFonts w:hint="eastAsia" w:ascii="宋体" w:hAnsi="宋体" w:cs="仿宋"/>
                <w:szCs w:val="21"/>
              </w:rPr>
              <w:t>17</w:t>
            </w:r>
          </w:p>
        </w:tc>
        <w:tc>
          <w:tcPr>
            <w:tcW w:w="3361" w:type="pct"/>
            <w:vAlign w:val="center"/>
          </w:tcPr>
          <w:p w14:paraId="6F4E9AE0">
            <w:pPr>
              <w:wordWrap w:val="0"/>
              <w:spacing w:line="360" w:lineRule="exact"/>
              <w:jc w:val="center"/>
              <w:rPr>
                <w:rFonts w:hint="eastAsia" w:ascii="宋体" w:hAnsi="宋体" w:cs="仿宋"/>
                <w:szCs w:val="21"/>
              </w:rPr>
            </w:pPr>
            <w:r>
              <w:rPr>
                <w:rFonts w:hint="eastAsia" w:ascii="宋体" w:hAnsi="宋体" w:cs="仿宋"/>
                <w:szCs w:val="21"/>
              </w:rPr>
              <w:t>广西本科高校教学指导委员会服务管理信息系统</w:t>
            </w:r>
          </w:p>
        </w:tc>
        <w:tc>
          <w:tcPr>
            <w:tcW w:w="759" w:type="pct"/>
            <w:vAlign w:val="center"/>
          </w:tcPr>
          <w:p w14:paraId="359874D1">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34C65011">
            <w:pPr>
              <w:wordWrap w:val="0"/>
              <w:spacing w:line="360" w:lineRule="exact"/>
              <w:jc w:val="center"/>
              <w:rPr>
                <w:rFonts w:hint="eastAsia" w:ascii="宋体" w:hAnsi="宋体" w:cs="仿宋"/>
                <w:szCs w:val="21"/>
              </w:rPr>
            </w:pPr>
          </w:p>
        </w:tc>
      </w:tr>
      <w:tr w14:paraId="0127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EC28954">
            <w:pPr>
              <w:wordWrap w:val="0"/>
              <w:spacing w:line="360" w:lineRule="exact"/>
              <w:jc w:val="center"/>
              <w:rPr>
                <w:rFonts w:hint="eastAsia" w:ascii="宋体" w:hAnsi="宋体" w:cs="仿宋"/>
                <w:szCs w:val="21"/>
              </w:rPr>
            </w:pPr>
            <w:r>
              <w:rPr>
                <w:rFonts w:hint="eastAsia" w:ascii="宋体" w:hAnsi="宋体" w:cs="仿宋"/>
                <w:szCs w:val="21"/>
              </w:rPr>
              <w:t>18</w:t>
            </w:r>
          </w:p>
        </w:tc>
        <w:tc>
          <w:tcPr>
            <w:tcW w:w="3361" w:type="pct"/>
            <w:vAlign w:val="center"/>
          </w:tcPr>
          <w:p w14:paraId="481B2B3D">
            <w:pPr>
              <w:wordWrap w:val="0"/>
              <w:spacing w:line="360" w:lineRule="exact"/>
              <w:jc w:val="center"/>
              <w:rPr>
                <w:rFonts w:hint="eastAsia" w:ascii="宋体" w:hAnsi="宋体" w:cs="仿宋"/>
                <w:szCs w:val="21"/>
              </w:rPr>
            </w:pPr>
            <w:r>
              <w:rPr>
                <w:rFonts w:hint="eastAsia" w:ascii="宋体" w:hAnsi="宋体" w:cs="仿宋"/>
                <w:szCs w:val="21"/>
              </w:rPr>
              <w:t>广西高等教育教学成果评审管理系统</w:t>
            </w:r>
          </w:p>
        </w:tc>
        <w:tc>
          <w:tcPr>
            <w:tcW w:w="759" w:type="pct"/>
            <w:vAlign w:val="center"/>
          </w:tcPr>
          <w:p w14:paraId="5556A730">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7858C915">
            <w:pPr>
              <w:wordWrap w:val="0"/>
              <w:spacing w:line="360" w:lineRule="exact"/>
              <w:jc w:val="center"/>
              <w:rPr>
                <w:rFonts w:hint="eastAsia" w:ascii="宋体" w:hAnsi="宋体" w:cs="仿宋"/>
                <w:szCs w:val="21"/>
              </w:rPr>
            </w:pPr>
          </w:p>
        </w:tc>
      </w:tr>
      <w:tr w14:paraId="6388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5310E840">
            <w:pPr>
              <w:wordWrap w:val="0"/>
              <w:spacing w:line="360" w:lineRule="exact"/>
              <w:jc w:val="center"/>
              <w:rPr>
                <w:rFonts w:hint="eastAsia" w:ascii="宋体" w:hAnsi="宋体" w:cs="仿宋"/>
                <w:szCs w:val="21"/>
              </w:rPr>
            </w:pPr>
            <w:r>
              <w:rPr>
                <w:rFonts w:hint="eastAsia" w:ascii="宋体" w:hAnsi="宋体" w:cs="仿宋"/>
                <w:szCs w:val="21"/>
              </w:rPr>
              <w:t>19</w:t>
            </w:r>
          </w:p>
        </w:tc>
        <w:tc>
          <w:tcPr>
            <w:tcW w:w="3361" w:type="pct"/>
            <w:vAlign w:val="center"/>
          </w:tcPr>
          <w:p w14:paraId="4AAAC5C1">
            <w:pPr>
              <w:wordWrap w:val="0"/>
              <w:spacing w:line="360" w:lineRule="exact"/>
              <w:jc w:val="center"/>
              <w:rPr>
                <w:rFonts w:hint="eastAsia" w:ascii="宋体" w:hAnsi="宋体" w:cs="仿宋"/>
                <w:szCs w:val="21"/>
              </w:rPr>
            </w:pPr>
            <w:r>
              <w:rPr>
                <w:rFonts w:hint="eastAsia" w:ascii="宋体" w:hAnsi="宋体" w:cs="仿宋"/>
                <w:szCs w:val="21"/>
              </w:rPr>
              <w:t>广西高等教育教学改革工程项目管理信息系统</w:t>
            </w:r>
          </w:p>
        </w:tc>
        <w:tc>
          <w:tcPr>
            <w:tcW w:w="759" w:type="pct"/>
            <w:vAlign w:val="center"/>
          </w:tcPr>
          <w:p w14:paraId="14714EA3">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59E28EAB">
            <w:pPr>
              <w:wordWrap w:val="0"/>
              <w:spacing w:line="360" w:lineRule="exact"/>
              <w:jc w:val="center"/>
              <w:rPr>
                <w:rFonts w:hint="eastAsia" w:ascii="宋体" w:hAnsi="宋体" w:cs="仿宋"/>
                <w:szCs w:val="21"/>
              </w:rPr>
            </w:pPr>
          </w:p>
        </w:tc>
      </w:tr>
      <w:tr w14:paraId="0345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7557C7DB">
            <w:pPr>
              <w:wordWrap w:val="0"/>
              <w:spacing w:line="360" w:lineRule="exact"/>
              <w:jc w:val="center"/>
              <w:rPr>
                <w:rFonts w:hint="eastAsia" w:ascii="宋体" w:hAnsi="宋体" w:cs="仿宋"/>
                <w:szCs w:val="21"/>
              </w:rPr>
            </w:pPr>
            <w:r>
              <w:rPr>
                <w:rFonts w:hint="eastAsia" w:ascii="宋体" w:hAnsi="宋体" w:cs="仿宋"/>
                <w:szCs w:val="21"/>
              </w:rPr>
              <w:t>20</w:t>
            </w:r>
          </w:p>
        </w:tc>
        <w:tc>
          <w:tcPr>
            <w:tcW w:w="3361" w:type="pct"/>
            <w:vAlign w:val="center"/>
          </w:tcPr>
          <w:p w14:paraId="439B15F1">
            <w:pPr>
              <w:wordWrap w:val="0"/>
              <w:spacing w:line="360" w:lineRule="exact"/>
              <w:jc w:val="center"/>
              <w:rPr>
                <w:rFonts w:hint="eastAsia" w:ascii="宋体" w:hAnsi="宋体" w:cs="仿宋"/>
                <w:szCs w:val="21"/>
              </w:rPr>
            </w:pPr>
            <w:r>
              <w:rPr>
                <w:rFonts w:hint="eastAsia" w:ascii="宋体" w:hAnsi="宋体" w:cs="仿宋"/>
                <w:szCs w:val="21"/>
              </w:rPr>
              <w:t>广西普通高等学校本科专业综合评估系统</w:t>
            </w:r>
          </w:p>
        </w:tc>
        <w:tc>
          <w:tcPr>
            <w:tcW w:w="759" w:type="pct"/>
            <w:vAlign w:val="center"/>
          </w:tcPr>
          <w:p w14:paraId="2FA5A248">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004F74EF">
            <w:pPr>
              <w:wordWrap w:val="0"/>
              <w:spacing w:line="360" w:lineRule="exact"/>
              <w:jc w:val="center"/>
              <w:rPr>
                <w:rFonts w:hint="eastAsia" w:ascii="宋体" w:hAnsi="宋体" w:cs="仿宋"/>
                <w:szCs w:val="21"/>
              </w:rPr>
            </w:pPr>
          </w:p>
        </w:tc>
      </w:tr>
      <w:tr w14:paraId="3ECC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213CB052">
            <w:pPr>
              <w:wordWrap w:val="0"/>
              <w:spacing w:line="360" w:lineRule="exact"/>
              <w:jc w:val="center"/>
              <w:rPr>
                <w:rFonts w:hint="eastAsia" w:ascii="宋体" w:hAnsi="宋体" w:cs="仿宋"/>
                <w:szCs w:val="21"/>
              </w:rPr>
            </w:pPr>
            <w:r>
              <w:rPr>
                <w:rFonts w:hint="eastAsia" w:ascii="宋体" w:hAnsi="宋体" w:cs="仿宋"/>
                <w:szCs w:val="21"/>
              </w:rPr>
              <w:t>21</w:t>
            </w:r>
          </w:p>
        </w:tc>
        <w:tc>
          <w:tcPr>
            <w:tcW w:w="3361" w:type="pct"/>
            <w:vAlign w:val="center"/>
          </w:tcPr>
          <w:p w14:paraId="30450F6C">
            <w:pPr>
              <w:wordWrap w:val="0"/>
              <w:spacing w:line="360" w:lineRule="exact"/>
              <w:jc w:val="center"/>
              <w:rPr>
                <w:rFonts w:hint="eastAsia" w:ascii="宋体" w:hAnsi="宋体" w:cs="仿宋"/>
                <w:szCs w:val="21"/>
              </w:rPr>
            </w:pPr>
            <w:r>
              <w:rPr>
                <w:rFonts w:hint="eastAsia" w:ascii="宋体" w:hAnsi="宋体" w:cs="仿宋"/>
                <w:szCs w:val="21"/>
              </w:rPr>
              <w:t>广西校园安全预防及应急管理信息系统</w:t>
            </w:r>
          </w:p>
        </w:tc>
        <w:tc>
          <w:tcPr>
            <w:tcW w:w="759" w:type="pct"/>
            <w:vAlign w:val="center"/>
          </w:tcPr>
          <w:p w14:paraId="646D6D6C">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550BBFDB">
            <w:pPr>
              <w:wordWrap w:val="0"/>
              <w:spacing w:line="360" w:lineRule="exact"/>
              <w:jc w:val="center"/>
              <w:rPr>
                <w:rFonts w:hint="eastAsia" w:ascii="宋体" w:hAnsi="宋体" w:cs="仿宋"/>
                <w:szCs w:val="21"/>
              </w:rPr>
            </w:pPr>
          </w:p>
        </w:tc>
      </w:tr>
      <w:tr w14:paraId="066F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822B044">
            <w:pPr>
              <w:wordWrap w:val="0"/>
              <w:spacing w:line="360" w:lineRule="exact"/>
              <w:jc w:val="center"/>
              <w:rPr>
                <w:rFonts w:hint="eastAsia" w:ascii="宋体" w:hAnsi="宋体" w:cs="仿宋"/>
                <w:szCs w:val="21"/>
              </w:rPr>
            </w:pPr>
            <w:r>
              <w:rPr>
                <w:rFonts w:hint="eastAsia" w:ascii="宋体" w:hAnsi="宋体" w:cs="仿宋"/>
                <w:szCs w:val="21"/>
              </w:rPr>
              <w:t>22</w:t>
            </w:r>
          </w:p>
        </w:tc>
        <w:tc>
          <w:tcPr>
            <w:tcW w:w="3361" w:type="pct"/>
            <w:vAlign w:val="center"/>
          </w:tcPr>
          <w:p w14:paraId="25D0FB85">
            <w:pPr>
              <w:wordWrap w:val="0"/>
              <w:spacing w:line="360" w:lineRule="exact"/>
              <w:jc w:val="center"/>
              <w:rPr>
                <w:rFonts w:hint="eastAsia" w:ascii="宋体" w:hAnsi="宋体" w:cs="仿宋"/>
                <w:szCs w:val="21"/>
              </w:rPr>
            </w:pPr>
            <w:r>
              <w:rPr>
                <w:rFonts w:hint="eastAsia" w:ascii="宋体" w:hAnsi="宋体" w:cs="仿宋"/>
                <w:szCs w:val="21"/>
              </w:rPr>
              <w:t>广西特岗教师招聘管理信息系统</w:t>
            </w:r>
          </w:p>
        </w:tc>
        <w:tc>
          <w:tcPr>
            <w:tcW w:w="759" w:type="pct"/>
            <w:vAlign w:val="center"/>
          </w:tcPr>
          <w:p w14:paraId="5D4DD67C">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0E2A4398">
            <w:pPr>
              <w:wordWrap w:val="0"/>
              <w:spacing w:line="360" w:lineRule="exact"/>
              <w:jc w:val="center"/>
              <w:rPr>
                <w:rFonts w:hint="eastAsia" w:ascii="宋体" w:hAnsi="宋体" w:cs="仿宋"/>
                <w:szCs w:val="21"/>
              </w:rPr>
            </w:pPr>
          </w:p>
        </w:tc>
      </w:tr>
      <w:tr w14:paraId="35E8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09C9B6FB">
            <w:pPr>
              <w:wordWrap w:val="0"/>
              <w:spacing w:line="360" w:lineRule="exact"/>
              <w:jc w:val="center"/>
              <w:rPr>
                <w:rFonts w:hint="eastAsia" w:ascii="宋体" w:hAnsi="宋体" w:cs="仿宋"/>
                <w:szCs w:val="21"/>
              </w:rPr>
            </w:pPr>
            <w:r>
              <w:rPr>
                <w:rFonts w:hint="eastAsia" w:ascii="宋体" w:hAnsi="宋体" w:cs="仿宋"/>
                <w:szCs w:val="21"/>
              </w:rPr>
              <w:t>23</w:t>
            </w:r>
          </w:p>
        </w:tc>
        <w:tc>
          <w:tcPr>
            <w:tcW w:w="3361" w:type="pct"/>
            <w:vAlign w:val="center"/>
          </w:tcPr>
          <w:p w14:paraId="1A7D6179">
            <w:pPr>
              <w:wordWrap w:val="0"/>
              <w:spacing w:line="360" w:lineRule="exact"/>
              <w:jc w:val="center"/>
              <w:rPr>
                <w:rFonts w:hint="eastAsia" w:ascii="宋体" w:hAnsi="宋体" w:cs="仿宋"/>
                <w:szCs w:val="21"/>
              </w:rPr>
            </w:pPr>
            <w:r>
              <w:rPr>
                <w:rFonts w:hint="eastAsia" w:ascii="宋体" w:hAnsi="宋体" w:cs="仿宋"/>
                <w:szCs w:val="21"/>
              </w:rPr>
              <w:t>广西学生精准资助管理信息系统</w:t>
            </w:r>
          </w:p>
        </w:tc>
        <w:tc>
          <w:tcPr>
            <w:tcW w:w="759" w:type="pct"/>
            <w:vAlign w:val="center"/>
          </w:tcPr>
          <w:p w14:paraId="571131D4">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49B167CF">
            <w:pPr>
              <w:wordWrap w:val="0"/>
              <w:spacing w:line="360" w:lineRule="exact"/>
              <w:jc w:val="center"/>
              <w:rPr>
                <w:rFonts w:hint="eastAsia" w:ascii="宋体" w:hAnsi="宋体" w:cs="仿宋"/>
                <w:szCs w:val="21"/>
              </w:rPr>
            </w:pPr>
          </w:p>
        </w:tc>
      </w:tr>
      <w:tr w14:paraId="1C2E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7" w:type="pct"/>
            <w:vAlign w:val="center"/>
          </w:tcPr>
          <w:p w14:paraId="2B4D94BB">
            <w:pPr>
              <w:wordWrap w:val="0"/>
              <w:spacing w:line="360" w:lineRule="exact"/>
              <w:jc w:val="center"/>
              <w:rPr>
                <w:rFonts w:hint="eastAsia" w:ascii="宋体" w:hAnsi="宋体" w:cs="仿宋"/>
                <w:szCs w:val="21"/>
              </w:rPr>
            </w:pPr>
            <w:r>
              <w:rPr>
                <w:rFonts w:hint="eastAsia" w:ascii="宋体" w:hAnsi="宋体" w:cs="仿宋"/>
                <w:szCs w:val="21"/>
              </w:rPr>
              <w:t>24</w:t>
            </w:r>
          </w:p>
        </w:tc>
        <w:tc>
          <w:tcPr>
            <w:tcW w:w="3361" w:type="pct"/>
            <w:vAlign w:val="center"/>
          </w:tcPr>
          <w:p w14:paraId="5A4F83ED">
            <w:pPr>
              <w:wordWrap w:val="0"/>
              <w:spacing w:line="360" w:lineRule="exact"/>
              <w:jc w:val="center"/>
              <w:rPr>
                <w:rFonts w:hint="eastAsia" w:ascii="宋体" w:hAnsi="宋体" w:cs="仿宋"/>
                <w:szCs w:val="21"/>
              </w:rPr>
            </w:pPr>
            <w:r>
              <w:rPr>
                <w:rFonts w:hint="eastAsia" w:ascii="宋体" w:hAnsi="宋体" w:cs="仿宋"/>
                <w:szCs w:val="21"/>
              </w:rPr>
              <w:t>广西教师培训管理信息系统</w:t>
            </w:r>
          </w:p>
        </w:tc>
        <w:tc>
          <w:tcPr>
            <w:tcW w:w="759" w:type="pct"/>
            <w:vAlign w:val="center"/>
          </w:tcPr>
          <w:p w14:paraId="37850B91">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061985CF">
            <w:pPr>
              <w:wordWrap w:val="0"/>
              <w:spacing w:line="360" w:lineRule="exact"/>
              <w:jc w:val="center"/>
              <w:rPr>
                <w:rFonts w:hint="eastAsia" w:ascii="宋体" w:hAnsi="宋体" w:cs="仿宋"/>
                <w:szCs w:val="21"/>
              </w:rPr>
            </w:pPr>
          </w:p>
        </w:tc>
      </w:tr>
      <w:tr w14:paraId="63EC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50F82186">
            <w:pPr>
              <w:wordWrap w:val="0"/>
              <w:spacing w:line="360" w:lineRule="exact"/>
              <w:jc w:val="center"/>
              <w:rPr>
                <w:rFonts w:hint="eastAsia" w:ascii="宋体" w:hAnsi="宋体" w:cs="仿宋"/>
                <w:szCs w:val="21"/>
              </w:rPr>
            </w:pPr>
            <w:r>
              <w:rPr>
                <w:rFonts w:hint="eastAsia" w:ascii="宋体" w:hAnsi="宋体" w:cs="仿宋"/>
                <w:szCs w:val="21"/>
              </w:rPr>
              <w:t>25</w:t>
            </w:r>
          </w:p>
        </w:tc>
        <w:tc>
          <w:tcPr>
            <w:tcW w:w="3361" w:type="pct"/>
            <w:vAlign w:val="center"/>
          </w:tcPr>
          <w:p w14:paraId="5A2AE812">
            <w:pPr>
              <w:wordWrap w:val="0"/>
              <w:spacing w:line="360" w:lineRule="exact"/>
              <w:jc w:val="center"/>
              <w:rPr>
                <w:rFonts w:hint="eastAsia" w:ascii="宋体" w:hAnsi="宋体" w:cs="仿宋"/>
                <w:szCs w:val="21"/>
              </w:rPr>
            </w:pPr>
            <w:r>
              <w:rPr>
                <w:rFonts w:hint="eastAsia" w:ascii="宋体" w:hAnsi="宋体" w:cs="仿宋"/>
                <w:szCs w:val="21"/>
              </w:rPr>
              <w:t>广西普通高中学生综合素质评价管理信息系统（二期）</w:t>
            </w:r>
          </w:p>
        </w:tc>
        <w:tc>
          <w:tcPr>
            <w:tcW w:w="759" w:type="pct"/>
            <w:vAlign w:val="center"/>
          </w:tcPr>
          <w:p w14:paraId="3B15E4F0">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51FCA254">
            <w:pPr>
              <w:wordWrap w:val="0"/>
              <w:spacing w:line="360" w:lineRule="exact"/>
              <w:jc w:val="center"/>
              <w:rPr>
                <w:rFonts w:hint="eastAsia" w:ascii="宋体" w:hAnsi="宋体" w:cs="仿宋"/>
                <w:szCs w:val="21"/>
              </w:rPr>
            </w:pPr>
          </w:p>
        </w:tc>
      </w:tr>
      <w:tr w14:paraId="754C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7C5A664D">
            <w:pPr>
              <w:wordWrap w:val="0"/>
              <w:spacing w:line="360" w:lineRule="exact"/>
              <w:jc w:val="center"/>
              <w:rPr>
                <w:rFonts w:hint="eastAsia" w:ascii="宋体" w:hAnsi="宋体" w:cs="仿宋"/>
                <w:szCs w:val="21"/>
              </w:rPr>
            </w:pPr>
            <w:r>
              <w:rPr>
                <w:rFonts w:hint="eastAsia" w:ascii="宋体" w:hAnsi="宋体" w:cs="仿宋"/>
                <w:szCs w:val="21"/>
              </w:rPr>
              <w:t>26</w:t>
            </w:r>
          </w:p>
        </w:tc>
        <w:tc>
          <w:tcPr>
            <w:tcW w:w="3361" w:type="pct"/>
            <w:vAlign w:val="center"/>
          </w:tcPr>
          <w:p w14:paraId="3313A570">
            <w:pPr>
              <w:wordWrap w:val="0"/>
              <w:spacing w:line="360" w:lineRule="exact"/>
              <w:jc w:val="center"/>
              <w:rPr>
                <w:rFonts w:hint="eastAsia" w:ascii="宋体" w:hAnsi="宋体" w:cs="仿宋"/>
                <w:szCs w:val="21"/>
              </w:rPr>
            </w:pPr>
            <w:r>
              <w:rPr>
                <w:rFonts w:hint="eastAsia" w:ascii="宋体" w:hAnsi="宋体" w:cs="仿宋"/>
                <w:szCs w:val="21"/>
              </w:rPr>
              <w:t>广西教育厅内控管理信息系统</w:t>
            </w:r>
          </w:p>
        </w:tc>
        <w:tc>
          <w:tcPr>
            <w:tcW w:w="759" w:type="pct"/>
            <w:vAlign w:val="center"/>
          </w:tcPr>
          <w:p w14:paraId="13BE9122">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10D277DB">
            <w:pPr>
              <w:wordWrap w:val="0"/>
              <w:spacing w:line="360" w:lineRule="exact"/>
              <w:jc w:val="center"/>
              <w:rPr>
                <w:rFonts w:hint="eastAsia" w:ascii="宋体" w:hAnsi="宋体" w:cs="仿宋"/>
                <w:szCs w:val="21"/>
              </w:rPr>
            </w:pPr>
          </w:p>
        </w:tc>
      </w:tr>
      <w:tr w14:paraId="48A9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1EE28EC0">
            <w:pPr>
              <w:wordWrap w:val="0"/>
              <w:spacing w:line="360" w:lineRule="exact"/>
              <w:jc w:val="center"/>
              <w:rPr>
                <w:rFonts w:hint="eastAsia" w:ascii="宋体" w:hAnsi="宋体" w:cs="仿宋"/>
                <w:szCs w:val="21"/>
              </w:rPr>
            </w:pPr>
            <w:r>
              <w:rPr>
                <w:rFonts w:hint="eastAsia" w:ascii="宋体" w:hAnsi="宋体" w:cs="仿宋"/>
                <w:szCs w:val="21"/>
              </w:rPr>
              <w:t>27</w:t>
            </w:r>
          </w:p>
        </w:tc>
        <w:tc>
          <w:tcPr>
            <w:tcW w:w="3361" w:type="pct"/>
            <w:vAlign w:val="center"/>
          </w:tcPr>
          <w:p w14:paraId="748B251A">
            <w:pPr>
              <w:wordWrap w:val="0"/>
              <w:spacing w:line="360" w:lineRule="exact"/>
              <w:jc w:val="center"/>
              <w:rPr>
                <w:rFonts w:hint="eastAsia" w:ascii="宋体" w:hAnsi="宋体" w:cs="仿宋"/>
                <w:szCs w:val="21"/>
              </w:rPr>
            </w:pPr>
            <w:r>
              <w:rPr>
                <w:rFonts w:hint="eastAsia" w:ascii="宋体" w:hAnsi="宋体" w:cs="仿宋"/>
                <w:szCs w:val="21"/>
              </w:rPr>
              <w:t>广西教育厅财务核算管理信息系统</w:t>
            </w:r>
          </w:p>
        </w:tc>
        <w:tc>
          <w:tcPr>
            <w:tcW w:w="759" w:type="pct"/>
            <w:vAlign w:val="center"/>
          </w:tcPr>
          <w:p w14:paraId="191B4FFB">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47D81BA3">
            <w:pPr>
              <w:wordWrap w:val="0"/>
              <w:spacing w:line="360" w:lineRule="exact"/>
              <w:jc w:val="center"/>
              <w:rPr>
                <w:rFonts w:hint="eastAsia" w:ascii="宋体" w:hAnsi="宋体" w:cs="仿宋"/>
                <w:szCs w:val="21"/>
              </w:rPr>
            </w:pPr>
          </w:p>
        </w:tc>
      </w:tr>
      <w:tr w14:paraId="1FA1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193E8E95">
            <w:pPr>
              <w:wordWrap w:val="0"/>
              <w:spacing w:line="360" w:lineRule="exact"/>
              <w:jc w:val="center"/>
              <w:rPr>
                <w:rFonts w:hint="eastAsia" w:ascii="宋体" w:hAnsi="宋体" w:cs="仿宋"/>
                <w:szCs w:val="21"/>
              </w:rPr>
            </w:pPr>
            <w:r>
              <w:rPr>
                <w:rFonts w:hint="eastAsia" w:ascii="宋体" w:hAnsi="宋体" w:cs="仿宋"/>
                <w:szCs w:val="21"/>
              </w:rPr>
              <w:t>28</w:t>
            </w:r>
          </w:p>
        </w:tc>
        <w:tc>
          <w:tcPr>
            <w:tcW w:w="3361" w:type="pct"/>
            <w:vAlign w:val="center"/>
          </w:tcPr>
          <w:p w14:paraId="0FF096CA">
            <w:pPr>
              <w:wordWrap w:val="0"/>
              <w:spacing w:line="360" w:lineRule="exact"/>
              <w:jc w:val="center"/>
              <w:rPr>
                <w:rFonts w:hint="eastAsia" w:ascii="宋体" w:hAnsi="宋体" w:cs="仿宋"/>
                <w:szCs w:val="21"/>
              </w:rPr>
            </w:pPr>
            <w:r>
              <w:rPr>
                <w:rFonts w:hint="eastAsia" w:ascii="宋体" w:hAnsi="宋体" w:cs="仿宋"/>
                <w:szCs w:val="21"/>
              </w:rPr>
              <w:t>广西教育科学规划课题管理信息系统</w:t>
            </w:r>
          </w:p>
        </w:tc>
        <w:tc>
          <w:tcPr>
            <w:tcW w:w="759" w:type="pct"/>
            <w:vAlign w:val="center"/>
          </w:tcPr>
          <w:p w14:paraId="1BD580C0">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68B91685">
            <w:pPr>
              <w:wordWrap w:val="0"/>
              <w:spacing w:line="360" w:lineRule="exact"/>
              <w:jc w:val="center"/>
              <w:rPr>
                <w:rFonts w:hint="eastAsia" w:ascii="宋体" w:hAnsi="宋体" w:cs="仿宋"/>
                <w:szCs w:val="21"/>
              </w:rPr>
            </w:pPr>
          </w:p>
        </w:tc>
      </w:tr>
      <w:tr w14:paraId="6035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20E1C8AA">
            <w:pPr>
              <w:wordWrap w:val="0"/>
              <w:spacing w:line="360" w:lineRule="exact"/>
              <w:jc w:val="center"/>
              <w:rPr>
                <w:rFonts w:hint="eastAsia" w:ascii="宋体" w:hAnsi="宋体" w:cs="仿宋"/>
                <w:szCs w:val="21"/>
              </w:rPr>
            </w:pPr>
            <w:r>
              <w:rPr>
                <w:rFonts w:hint="eastAsia" w:ascii="宋体" w:hAnsi="宋体" w:cs="仿宋"/>
                <w:szCs w:val="21"/>
              </w:rPr>
              <w:t>29</w:t>
            </w:r>
          </w:p>
        </w:tc>
        <w:tc>
          <w:tcPr>
            <w:tcW w:w="3361" w:type="pct"/>
            <w:vAlign w:val="center"/>
          </w:tcPr>
          <w:p w14:paraId="10DBE905">
            <w:pPr>
              <w:wordWrap w:val="0"/>
              <w:spacing w:line="360" w:lineRule="exact"/>
              <w:jc w:val="center"/>
              <w:rPr>
                <w:rFonts w:hint="eastAsia" w:ascii="宋体" w:hAnsi="宋体" w:cs="仿宋"/>
                <w:szCs w:val="21"/>
              </w:rPr>
            </w:pPr>
            <w:r>
              <w:rPr>
                <w:rFonts w:hint="eastAsia" w:ascii="宋体" w:hAnsi="宋体" w:cs="仿宋"/>
                <w:szCs w:val="21"/>
              </w:rPr>
              <w:t>留学广西门户网站</w:t>
            </w:r>
          </w:p>
        </w:tc>
        <w:tc>
          <w:tcPr>
            <w:tcW w:w="759" w:type="pct"/>
            <w:vAlign w:val="center"/>
          </w:tcPr>
          <w:p w14:paraId="5F870E53">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5B3D781E">
            <w:pPr>
              <w:wordWrap w:val="0"/>
              <w:spacing w:line="360" w:lineRule="exact"/>
              <w:jc w:val="center"/>
              <w:rPr>
                <w:rFonts w:hint="eastAsia" w:ascii="宋体" w:hAnsi="宋体" w:cs="仿宋"/>
                <w:szCs w:val="21"/>
              </w:rPr>
            </w:pPr>
          </w:p>
        </w:tc>
      </w:tr>
      <w:tr w14:paraId="09DF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11F6A21A">
            <w:pPr>
              <w:wordWrap w:val="0"/>
              <w:spacing w:line="360" w:lineRule="exact"/>
              <w:jc w:val="center"/>
              <w:rPr>
                <w:rFonts w:hint="eastAsia" w:ascii="宋体" w:hAnsi="宋体" w:cs="仿宋"/>
                <w:szCs w:val="21"/>
              </w:rPr>
            </w:pPr>
            <w:r>
              <w:rPr>
                <w:rFonts w:hint="eastAsia" w:ascii="宋体" w:hAnsi="宋体" w:cs="仿宋"/>
                <w:szCs w:val="21"/>
              </w:rPr>
              <w:t>30</w:t>
            </w:r>
          </w:p>
        </w:tc>
        <w:tc>
          <w:tcPr>
            <w:tcW w:w="3361" w:type="pct"/>
            <w:vAlign w:val="center"/>
          </w:tcPr>
          <w:p w14:paraId="3DB56CDA">
            <w:pPr>
              <w:wordWrap w:val="0"/>
              <w:spacing w:line="360" w:lineRule="exact"/>
              <w:jc w:val="center"/>
              <w:rPr>
                <w:rFonts w:hint="eastAsia" w:ascii="宋体" w:hAnsi="宋体" w:cs="仿宋"/>
                <w:szCs w:val="21"/>
              </w:rPr>
            </w:pPr>
            <w:r>
              <w:rPr>
                <w:rFonts w:hint="eastAsia" w:ascii="宋体" w:hAnsi="宋体" w:cs="仿宋"/>
                <w:szCs w:val="21"/>
              </w:rPr>
              <w:t>广西教育技术和信息化中心综合业务管理信息系统</w:t>
            </w:r>
          </w:p>
        </w:tc>
        <w:tc>
          <w:tcPr>
            <w:tcW w:w="759" w:type="pct"/>
            <w:vAlign w:val="center"/>
          </w:tcPr>
          <w:p w14:paraId="741DC3E1">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34F08307">
            <w:pPr>
              <w:wordWrap w:val="0"/>
              <w:spacing w:line="360" w:lineRule="exact"/>
              <w:jc w:val="center"/>
              <w:rPr>
                <w:rFonts w:hint="eastAsia" w:ascii="宋体" w:hAnsi="宋体" w:cs="仿宋"/>
                <w:szCs w:val="21"/>
              </w:rPr>
            </w:pPr>
          </w:p>
        </w:tc>
      </w:tr>
      <w:tr w14:paraId="28C6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5D4FF07B">
            <w:pPr>
              <w:wordWrap w:val="0"/>
              <w:spacing w:line="360" w:lineRule="exact"/>
              <w:jc w:val="center"/>
              <w:rPr>
                <w:rFonts w:hint="eastAsia" w:ascii="宋体" w:hAnsi="宋体" w:cs="仿宋"/>
                <w:szCs w:val="21"/>
              </w:rPr>
            </w:pPr>
            <w:r>
              <w:rPr>
                <w:rFonts w:hint="eastAsia" w:ascii="宋体" w:hAnsi="宋体" w:cs="仿宋"/>
                <w:szCs w:val="21"/>
              </w:rPr>
              <w:t>31</w:t>
            </w:r>
          </w:p>
        </w:tc>
        <w:tc>
          <w:tcPr>
            <w:tcW w:w="3361" w:type="pct"/>
            <w:vAlign w:val="center"/>
          </w:tcPr>
          <w:p w14:paraId="5EC97E11">
            <w:pPr>
              <w:wordWrap w:val="0"/>
              <w:spacing w:line="360" w:lineRule="exact"/>
              <w:jc w:val="center"/>
              <w:rPr>
                <w:rFonts w:hint="eastAsia" w:ascii="宋体" w:hAnsi="宋体" w:cs="仿宋"/>
                <w:szCs w:val="21"/>
              </w:rPr>
            </w:pPr>
            <w:r>
              <w:rPr>
                <w:rFonts w:hint="eastAsia" w:ascii="宋体" w:hAnsi="宋体" w:cs="仿宋"/>
                <w:szCs w:val="21"/>
              </w:rPr>
              <w:t>广西经典诵写讲资源管理信息系统</w:t>
            </w:r>
          </w:p>
        </w:tc>
        <w:tc>
          <w:tcPr>
            <w:tcW w:w="759" w:type="pct"/>
            <w:vAlign w:val="center"/>
          </w:tcPr>
          <w:p w14:paraId="72F634C7">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6A53B7FE">
            <w:pPr>
              <w:wordWrap w:val="0"/>
              <w:spacing w:line="360" w:lineRule="exact"/>
              <w:jc w:val="center"/>
              <w:rPr>
                <w:rFonts w:hint="eastAsia" w:ascii="宋体" w:hAnsi="宋体" w:cs="仿宋"/>
                <w:szCs w:val="21"/>
              </w:rPr>
            </w:pPr>
          </w:p>
        </w:tc>
      </w:tr>
      <w:tr w14:paraId="7C47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608EBF45">
            <w:pPr>
              <w:wordWrap w:val="0"/>
              <w:spacing w:line="360" w:lineRule="exact"/>
              <w:jc w:val="center"/>
              <w:rPr>
                <w:rFonts w:hint="eastAsia" w:ascii="宋体" w:hAnsi="宋体" w:cs="仿宋"/>
                <w:szCs w:val="21"/>
              </w:rPr>
            </w:pPr>
            <w:r>
              <w:rPr>
                <w:rFonts w:hint="eastAsia" w:ascii="宋体" w:hAnsi="宋体" w:cs="仿宋"/>
                <w:szCs w:val="21"/>
              </w:rPr>
              <w:t>32</w:t>
            </w:r>
          </w:p>
        </w:tc>
        <w:tc>
          <w:tcPr>
            <w:tcW w:w="3361" w:type="pct"/>
            <w:vAlign w:val="center"/>
          </w:tcPr>
          <w:p w14:paraId="5F4CB206">
            <w:pPr>
              <w:wordWrap w:val="0"/>
              <w:spacing w:line="360" w:lineRule="exact"/>
              <w:jc w:val="center"/>
              <w:rPr>
                <w:rFonts w:hint="eastAsia" w:ascii="宋体" w:hAnsi="宋体" w:cs="仿宋"/>
                <w:szCs w:val="21"/>
              </w:rPr>
            </w:pPr>
            <w:r>
              <w:rPr>
                <w:rFonts w:hint="eastAsia" w:ascii="宋体" w:hAnsi="宋体" w:cs="仿宋"/>
                <w:szCs w:val="21"/>
              </w:rPr>
              <w:t>广西中小学云课堂</w:t>
            </w:r>
          </w:p>
        </w:tc>
        <w:tc>
          <w:tcPr>
            <w:tcW w:w="759" w:type="pct"/>
            <w:vAlign w:val="center"/>
          </w:tcPr>
          <w:p w14:paraId="1C5688F7">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3ED13E14">
            <w:pPr>
              <w:wordWrap w:val="0"/>
              <w:spacing w:line="360" w:lineRule="exact"/>
              <w:jc w:val="center"/>
              <w:rPr>
                <w:rFonts w:hint="eastAsia" w:ascii="宋体" w:hAnsi="宋体" w:cs="仿宋"/>
                <w:szCs w:val="21"/>
              </w:rPr>
            </w:pPr>
          </w:p>
        </w:tc>
      </w:tr>
      <w:tr w14:paraId="42D4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56ED9970">
            <w:pPr>
              <w:wordWrap w:val="0"/>
              <w:spacing w:line="360" w:lineRule="exact"/>
              <w:jc w:val="center"/>
              <w:rPr>
                <w:rFonts w:hint="eastAsia" w:ascii="宋体" w:hAnsi="宋体" w:cs="仿宋"/>
                <w:szCs w:val="21"/>
              </w:rPr>
            </w:pPr>
            <w:r>
              <w:rPr>
                <w:rFonts w:hint="eastAsia" w:ascii="宋体" w:hAnsi="宋体" w:cs="仿宋"/>
                <w:szCs w:val="21"/>
              </w:rPr>
              <w:t>33</w:t>
            </w:r>
          </w:p>
        </w:tc>
        <w:tc>
          <w:tcPr>
            <w:tcW w:w="3361" w:type="pct"/>
            <w:vAlign w:val="center"/>
          </w:tcPr>
          <w:p w14:paraId="7424533F">
            <w:pPr>
              <w:wordWrap w:val="0"/>
              <w:spacing w:line="360" w:lineRule="exact"/>
              <w:jc w:val="center"/>
              <w:rPr>
                <w:rFonts w:hint="eastAsia" w:ascii="宋体" w:hAnsi="宋体" w:cs="仿宋"/>
                <w:szCs w:val="21"/>
              </w:rPr>
            </w:pPr>
            <w:r>
              <w:rPr>
                <w:rFonts w:hint="eastAsia" w:ascii="宋体" w:hAnsi="宋体" w:cs="仿宋"/>
                <w:szCs w:val="21"/>
              </w:rPr>
              <w:t>广西中等职业学校学生管理信息系统</w:t>
            </w:r>
          </w:p>
        </w:tc>
        <w:tc>
          <w:tcPr>
            <w:tcW w:w="759" w:type="pct"/>
            <w:vAlign w:val="center"/>
          </w:tcPr>
          <w:p w14:paraId="309A97DE">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35C0DC6B">
            <w:pPr>
              <w:wordWrap w:val="0"/>
              <w:spacing w:line="360" w:lineRule="exact"/>
              <w:jc w:val="center"/>
              <w:rPr>
                <w:rFonts w:hint="eastAsia" w:ascii="宋体" w:hAnsi="宋体" w:cs="仿宋"/>
                <w:szCs w:val="21"/>
              </w:rPr>
            </w:pPr>
          </w:p>
        </w:tc>
      </w:tr>
      <w:tr w14:paraId="64DE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75143B70">
            <w:pPr>
              <w:wordWrap w:val="0"/>
              <w:spacing w:line="360" w:lineRule="exact"/>
              <w:jc w:val="center"/>
              <w:rPr>
                <w:rFonts w:hint="eastAsia" w:ascii="宋体" w:hAnsi="宋体" w:cs="仿宋"/>
                <w:szCs w:val="21"/>
              </w:rPr>
            </w:pPr>
            <w:r>
              <w:rPr>
                <w:rFonts w:hint="eastAsia" w:ascii="宋体" w:hAnsi="宋体" w:cs="仿宋"/>
                <w:szCs w:val="21"/>
              </w:rPr>
              <w:t>34</w:t>
            </w:r>
          </w:p>
        </w:tc>
        <w:tc>
          <w:tcPr>
            <w:tcW w:w="3361" w:type="pct"/>
            <w:vAlign w:val="center"/>
          </w:tcPr>
          <w:p w14:paraId="2439345F">
            <w:pPr>
              <w:wordWrap w:val="0"/>
              <w:spacing w:line="360" w:lineRule="exact"/>
              <w:jc w:val="center"/>
              <w:rPr>
                <w:rFonts w:hint="eastAsia" w:ascii="宋体" w:hAnsi="宋体" w:cs="仿宋"/>
                <w:szCs w:val="21"/>
              </w:rPr>
            </w:pPr>
            <w:r>
              <w:rPr>
                <w:rFonts w:hint="eastAsia" w:ascii="宋体" w:hAnsi="宋体" w:cs="仿宋"/>
                <w:szCs w:val="21"/>
              </w:rPr>
              <w:t>广西教育数据全生命周期管理信息系统</w:t>
            </w:r>
          </w:p>
        </w:tc>
        <w:tc>
          <w:tcPr>
            <w:tcW w:w="759" w:type="pct"/>
            <w:vAlign w:val="center"/>
          </w:tcPr>
          <w:p w14:paraId="419ADD94">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6D335207">
            <w:pPr>
              <w:wordWrap w:val="0"/>
              <w:spacing w:line="360" w:lineRule="exact"/>
              <w:jc w:val="center"/>
              <w:rPr>
                <w:rFonts w:hint="eastAsia" w:ascii="宋体" w:hAnsi="宋体" w:cs="仿宋"/>
                <w:szCs w:val="21"/>
              </w:rPr>
            </w:pPr>
          </w:p>
        </w:tc>
      </w:tr>
      <w:tr w14:paraId="1505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4F802192">
            <w:pPr>
              <w:wordWrap w:val="0"/>
              <w:spacing w:line="360" w:lineRule="exact"/>
              <w:jc w:val="center"/>
              <w:rPr>
                <w:rFonts w:hint="eastAsia" w:ascii="宋体" w:hAnsi="宋体" w:cs="仿宋"/>
                <w:szCs w:val="21"/>
              </w:rPr>
            </w:pPr>
            <w:r>
              <w:rPr>
                <w:rFonts w:hint="eastAsia" w:ascii="宋体" w:hAnsi="宋体" w:cs="仿宋"/>
                <w:szCs w:val="21"/>
              </w:rPr>
              <w:t>35</w:t>
            </w:r>
          </w:p>
        </w:tc>
        <w:tc>
          <w:tcPr>
            <w:tcW w:w="3361" w:type="pct"/>
            <w:vAlign w:val="center"/>
          </w:tcPr>
          <w:p w14:paraId="0194BA5B">
            <w:pPr>
              <w:wordWrap w:val="0"/>
              <w:spacing w:line="360" w:lineRule="exact"/>
              <w:jc w:val="center"/>
              <w:rPr>
                <w:rFonts w:hint="eastAsia" w:ascii="宋体" w:hAnsi="宋体" w:cs="仿宋"/>
                <w:szCs w:val="21"/>
              </w:rPr>
            </w:pPr>
            <w:r>
              <w:rPr>
                <w:rFonts w:hint="eastAsia" w:ascii="宋体" w:hAnsi="宋体" w:cs="仿宋"/>
                <w:szCs w:val="21"/>
              </w:rPr>
              <w:t>广西学校办学条件管理信息系统</w:t>
            </w:r>
          </w:p>
        </w:tc>
        <w:tc>
          <w:tcPr>
            <w:tcW w:w="759" w:type="pct"/>
            <w:vAlign w:val="center"/>
          </w:tcPr>
          <w:p w14:paraId="41BDE025">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2C4CAFEE">
            <w:pPr>
              <w:wordWrap w:val="0"/>
              <w:spacing w:line="360" w:lineRule="exact"/>
              <w:jc w:val="center"/>
              <w:rPr>
                <w:rFonts w:hint="eastAsia" w:ascii="宋体" w:hAnsi="宋体" w:cs="仿宋"/>
                <w:szCs w:val="21"/>
              </w:rPr>
            </w:pPr>
          </w:p>
        </w:tc>
      </w:tr>
      <w:tr w14:paraId="7D08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21CD83C8">
            <w:pPr>
              <w:wordWrap w:val="0"/>
              <w:spacing w:line="360" w:lineRule="exact"/>
              <w:jc w:val="center"/>
              <w:rPr>
                <w:rFonts w:hint="eastAsia" w:ascii="宋体" w:hAnsi="宋体" w:cs="仿宋"/>
                <w:szCs w:val="21"/>
              </w:rPr>
            </w:pPr>
            <w:r>
              <w:rPr>
                <w:rFonts w:hint="eastAsia" w:ascii="宋体" w:hAnsi="宋体" w:cs="仿宋"/>
                <w:szCs w:val="21"/>
              </w:rPr>
              <w:t>36</w:t>
            </w:r>
          </w:p>
        </w:tc>
        <w:tc>
          <w:tcPr>
            <w:tcW w:w="3361" w:type="pct"/>
            <w:vAlign w:val="center"/>
          </w:tcPr>
          <w:p w14:paraId="6445557D">
            <w:pPr>
              <w:wordWrap w:val="0"/>
              <w:spacing w:line="360" w:lineRule="exact"/>
              <w:jc w:val="center"/>
              <w:rPr>
                <w:rFonts w:hint="eastAsia" w:ascii="宋体" w:hAnsi="宋体" w:cs="仿宋"/>
                <w:szCs w:val="21"/>
              </w:rPr>
            </w:pPr>
            <w:r>
              <w:rPr>
                <w:rFonts w:hint="eastAsia" w:ascii="宋体" w:hAnsi="宋体" w:cs="仿宋"/>
                <w:szCs w:val="21"/>
              </w:rPr>
              <w:t>广西教育质量监测管理信息系统</w:t>
            </w:r>
          </w:p>
        </w:tc>
        <w:tc>
          <w:tcPr>
            <w:tcW w:w="759" w:type="pct"/>
            <w:vAlign w:val="center"/>
          </w:tcPr>
          <w:p w14:paraId="52ED8156">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7C87B3C7">
            <w:pPr>
              <w:wordWrap w:val="0"/>
              <w:spacing w:line="360" w:lineRule="exact"/>
              <w:jc w:val="center"/>
              <w:rPr>
                <w:rFonts w:hint="eastAsia" w:ascii="宋体" w:hAnsi="宋体" w:cs="仿宋"/>
                <w:szCs w:val="21"/>
              </w:rPr>
            </w:pPr>
          </w:p>
        </w:tc>
      </w:tr>
      <w:tr w14:paraId="3DE5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5810E8EF">
            <w:pPr>
              <w:wordWrap w:val="0"/>
              <w:spacing w:line="360" w:lineRule="exact"/>
              <w:jc w:val="center"/>
              <w:rPr>
                <w:rFonts w:hint="eastAsia" w:ascii="宋体" w:hAnsi="宋体" w:cs="仿宋"/>
                <w:szCs w:val="21"/>
              </w:rPr>
            </w:pPr>
            <w:r>
              <w:rPr>
                <w:rFonts w:hint="eastAsia" w:ascii="宋体" w:hAnsi="宋体" w:cs="仿宋"/>
                <w:szCs w:val="21"/>
              </w:rPr>
              <w:t>37</w:t>
            </w:r>
          </w:p>
        </w:tc>
        <w:tc>
          <w:tcPr>
            <w:tcW w:w="3361" w:type="pct"/>
            <w:vAlign w:val="center"/>
          </w:tcPr>
          <w:p w14:paraId="1BC4FB82">
            <w:pPr>
              <w:wordWrap w:val="0"/>
              <w:spacing w:line="360" w:lineRule="exact"/>
              <w:jc w:val="center"/>
              <w:rPr>
                <w:rFonts w:hint="eastAsia" w:ascii="宋体" w:hAnsi="宋体" w:cs="仿宋"/>
                <w:szCs w:val="21"/>
              </w:rPr>
            </w:pPr>
            <w:r>
              <w:rPr>
                <w:rFonts w:hint="eastAsia" w:ascii="宋体" w:hAnsi="宋体" w:cs="仿宋"/>
                <w:szCs w:val="21"/>
              </w:rPr>
              <w:t>广西留学生管理信息系统</w:t>
            </w:r>
          </w:p>
        </w:tc>
        <w:tc>
          <w:tcPr>
            <w:tcW w:w="759" w:type="pct"/>
            <w:vAlign w:val="center"/>
          </w:tcPr>
          <w:p w14:paraId="6EF1662B">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3DE96573">
            <w:pPr>
              <w:wordWrap w:val="0"/>
              <w:spacing w:line="360" w:lineRule="exact"/>
              <w:jc w:val="center"/>
              <w:rPr>
                <w:rFonts w:hint="eastAsia" w:ascii="宋体" w:hAnsi="宋体" w:cs="仿宋"/>
                <w:szCs w:val="21"/>
              </w:rPr>
            </w:pPr>
          </w:p>
        </w:tc>
      </w:tr>
      <w:tr w14:paraId="07F9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226F6E6">
            <w:pPr>
              <w:wordWrap w:val="0"/>
              <w:spacing w:line="360" w:lineRule="exact"/>
              <w:jc w:val="center"/>
              <w:rPr>
                <w:rFonts w:hint="eastAsia" w:ascii="宋体" w:hAnsi="宋体" w:cs="仿宋"/>
                <w:szCs w:val="21"/>
              </w:rPr>
            </w:pPr>
            <w:r>
              <w:rPr>
                <w:rFonts w:hint="eastAsia" w:ascii="宋体" w:hAnsi="宋体" w:cs="仿宋"/>
                <w:szCs w:val="21"/>
              </w:rPr>
              <w:t>38</w:t>
            </w:r>
          </w:p>
        </w:tc>
        <w:tc>
          <w:tcPr>
            <w:tcW w:w="3361" w:type="pct"/>
            <w:vAlign w:val="center"/>
          </w:tcPr>
          <w:p w14:paraId="1BDAB53E">
            <w:pPr>
              <w:wordWrap w:val="0"/>
              <w:spacing w:line="360" w:lineRule="exact"/>
              <w:jc w:val="center"/>
              <w:rPr>
                <w:rFonts w:hint="eastAsia" w:ascii="宋体" w:hAnsi="宋体" w:cs="仿宋"/>
                <w:szCs w:val="21"/>
              </w:rPr>
            </w:pPr>
            <w:r>
              <w:rPr>
                <w:rFonts w:hint="eastAsia" w:ascii="宋体" w:hAnsi="宋体" w:cs="仿宋"/>
                <w:szCs w:val="21"/>
              </w:rPr>
              <w:t>广西教育研究院网络教研管理信息系统</w:t>
            </w:r>
          </w:p>
        </w:tc>
        <w:tc>
          <w:tcPr>
            <w:tcW w:w="759" w:type="pct"/>
            <w:vAlign w:val="center"/>
          </w:tcPr>
          <w:p w14:paraId="3067BD47">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16D517A6">
            <w:pPr>
              <w:wordWrap w:val="0"/>
              <w:spacing w:line="360" w:lineRule="exact"/>
              <w:jc w:val="center"/>
              <w:rPr>
                <w:rFonts w:hint="eastAsia" w:ascii="宋体" w:hAnsi="宋体" w:cs="仿宋"/>
                <w:szCs w:val="21"/>
              </w:rPr>
            </w:pPr>
          </w:p>
        </w:tc>
      </w:tr>
      <w:tr w14:paraId="17FB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7690C1EF">
            <w:pPr>
              <w:wordWrap w:val="0"/>
              <w:spacing w:line="360" w:lineRule="exact"/>
              <w:jc w:val="center"/>
              <w:rPr>
                <w:rFonts w:hint="eastAsia" w:ascii="宋体" w:hAnsi="宋体" w:cs="仿宋"/>
                <w:szCs w:val="21"/>
              </w:rPr>
            </w:pPr>
            <w:r>
              <w:rPr>
                <w:rFonts w:hint="eastAsia" w:ascii="宋体" w:hAnsi="宋体" w:cs="仿宋"/>
                <w:szCs w:val="21"/>
              </w:rPr>
              <w:t>39</w:t>
            </w:r>
          </w:p>
        </w:tc>
        <w:tc>
          <w:tcPr>
            <w:tcW w:w="3361" w:type="pct"/>
            <w:vAlign w:val="center"/>
          </w:tcPr>
          <w:p w14:paraId="2A6CE436">
            <w:pPr>
              <w:wordWrap w:val="0"/>
              <w:spacing w:line="360" w:lineRule="exact"/>
              <w:jc w:val="center"/>
              <w:rPr>
                <w:rFonts w:hint="eastAsia" w:ascii="宋体" w:hAnsi="宋体" w:cs="仿宋"/>
                <w:szCs w:val="21"/>
              </w:rPr>
            </w:pPr>
            <w:r>
              <w:rPr>
                <w:rFonts w:hint="eastAsia" w:ascii="宋体" w:hAnsi="宋体" w:cs="仿宋"/>
                <w:szCs w:val="21"/>
              </w:rPr>
              <w:t>广西中等职业学校招生录取管理信息系统</w:t>
            </w:r>
          </w:p>
        </w:tc>
        <w:tc>
          <w:tcPr>
            <w:tcW w:w="759" w:type="pct"/>
            <w:vAlign w:val="center"/>
          </w:tcPr>
          <w:p w14:paraId="2E7BC528">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5D476BB1">
            <w:pPr>
              <w:wordWrap w:val="0"/>
              <w:spacing w:line="360" w:lineRule="exact"/>
              <w:jc w:val="center"/>
              <w:rPr>
                <w:rFonts w:hint="eastAsia" w:ascii="宋体" w:hAnsi="宋体" w:cs="仿宋"/>
                <w:szCs w:val="21"/>
              </w:rPr>
            </w:pPr>
          </w:p>
        </w:tc>
      </w:tr>
      <w:tr w14:paraId="2747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1F193E14">
            <w:pPr>
              <w:wordWrap w:val="0"/>
              <w:spacing w:line="360" w:lineRule="exact"/>
              <w:jc w:val="center"/>
              <w:rPr>
                <w:rFonts w:hint="eastAsia" w:ascii="宋体" w:hAnsi="宋体" w:cs="仿宋"/>
                <w:szCs w:val="21"/>
              </w:rPr>
            </w:pPr>
            <w:r>
              <w:rPr>
                <w:rFonts w:hint="eastAsia" w:ascii="宋体" w:hAnsi="宋体" w:cs="仿宋"/>
                <w:szCs w:val="21"/>
              </w:rPr>
              <w:t>40</w:t>
            </w:r>
          </w:p>
        </w:tc>
        <w:tc>
          <w:tcPr>
            <w:tcW w:w="3361" w:type="pct"/>
            <w:vAlign w:val="center"/>
          </w:tcPr>
          <w:p w14:paraId="266F38BE">
            <w:pPr>
              <w:wordWrap w:val="0"/>
              <w:spacing w:line="360" w:lineRule="exact"/>
              <w:jc w:val="center"/>
              <w:rPr>
                <w:rFonts w:hint="eastAsia" w:ascii="宋体" w:hAnsi="宋体" w:cs="仿宋"/>
                <w:szCs w:val="21"/>
              </w:rPr>
            </w:pPr>
            <w:r>
              <w:rPr>
                <w:rFonts w:hint="eastAsia" w:ascii="宋体" w:hAnsi="宋体" w:cs="仿宋"/>
                <w:szCs w:val="21"/>
              </w:rPr>
              <w:t>广西教育督导管理信息系统</w:t>
            </w:r>
          </w:p>
        </w:tc>
        <w:tc>
          <w:tcPr>
            <w:tcW w:w="759" w:type="pct"/>
            <w:vAlign w:val="center"/>
          </w:tcPr>
          <w:p w14:paraId="13E0A2B3">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vAlign w:val="center"/>
          </w:tcPr>
          <w:p w14:paraId="2BCE600E">
            <w:pPr>
              <w:wordWrap w:val="0"/>
              <w:spacing w:line="360" w:lineRule="exact"/>
              <w:jc w:val="center"/>
              <w:rPr>
                <w:rFonts w:hint="eastAsia" w:ascii="宋体" w:hAnsi="宋体" w:cs="仿宋"/>
                <w:szCs w:val="21"/>
              </w:rPr>
            </w:pPr>
          </w:p>
        </w:tc>
      </w:tr>
      <w:tr w14:paraId="2DEE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07B613D2">
            <w:pPr>
              <w:wordWrap w:val="0"/>
              <w:spacing w:line="360" w:lineRule="exact"/>
              <w:jc w:val="center"/>
              <w:rPr>
                <w:rFonts w:hint="eastAsia" w:ascii="宋体" w:hAnsi="宋体" w:cs="仿宋"/>
                <w:szCs w:val="21"/>
              </w:rPr>
            </w:pPr>
            <w:r>
              <w:rPr>
                <w:rFonts w:hint="eastAsia" w:ascii="宋体" w:hAnsi="宋体" w:cs="仿宋"/>
                <w:szCs w:val="21"/>
              </w:rPr>
              <w:t>41</w:t>
            </w:r>
          </w:p>
        </w:tc>
        <w:tc>
          <w:tcPr>
            <w:tcW w:w="3361" w:type="pct"/>
            <w:vAlign w:val="center"/>
          </w:tcPr>
          <w:p w14:paraId="6F2304E7">
            <w:pPr>
              <w:wordWrap w:val="0"/>
              <w:spacing w:line="360" w:lineRule="exact"/>
              <w:jc w:val="center"/>
              <w:rPr>
                <w:rFonts w:hint="eastAsia" w:ascii="宋体" w:hAnsi="宋体" w:cs="仿宋"/>
                <w:szCs w:val="21"/>
              </w:rPr>
            </w:pPr>
            <w:r>
              <w:rPr>
                <w:rFonts w:hint="eastAsia" w:ascii="宋体" w:hAnsi="宋体" w:cs="仿宋"/>
                <w:szCs w:val="21"/>
              </w:rPr>
              <w:t>广西教育厅机关服务综合管理信息系统</w:t>
            </w:r>
          </w:p>
        </w:tc>
        <w:tc>
          <w:tcPr>
            <w:tcW w:w="759" w:type="pct"/>
            <w:vAlign w:val="center"/>
          </w:tcPr>
          <w:p w14:paraId="2D7FF2CD">
            <w:pPr>
              <w:wordWrap w:val="0"/>
              <w:spacing w:line="360" w:lineRule="exact"/>
              <w:jc w:val="center"/>
              <w:rPr>
                <w:rFonts w:hint="eastAsia" w:ascii="宋体" w:hAnsi="宋体" w:cs="仿宋"/>
                <w:szCs w:val="21"/>
              </w:rPr>
            </w:pPr>
            <w:r>
              <w:rPr>
                <w:rFonts w:hint="eastAsia" w:ascii="宋体" w:hAnsi="宋体" w:cs="仿宋"/>
                <w:szCs w:val="21"/>
              </w:rPr>
              <w:t>二级</w:t>
            </w:r>
          </w:p>
        </w:tc>
        <w:tc>
          <w:tcPr>
            <w:tcW w:w="424" w:type="pct"/>
            <w:vAlign w:val="center"/>
          </w:tcPr>
          <w:p w14:paraId="20927712">
            <w:pPr>
              <w:wordWrap w:val="0"/>
              <w:spacing w:line="360" w:lineRule="exact"/>
              <w:jc w:val="center"/>
              <w:rPr>
                <w:rFonts w:hint="eastAsia" w:ascii="宋体" w:hAnsi="宋体" w:cs="仿宋"/>
                <w:szCs w:val="21"/>
              </w:rPr>
            </w:pPr>
          </w:p>
        </w:tc>
      </w:tr>
      <w:tr w14:paraId="0D05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vAlign w:val="center"/>
          </w:tcPr>
          <w:p w14:paraId="370E4357">
            <w:pPr>
              <w:wordWrap w:val="0"/>
              <w:spacing w:line="360" w:lineRule="exact"/>
              <w:jc w:val="center"/>
              <w:rPr>
                <w:rFonts w:hint="eastAsia" w:ascii="宋体" w:hAnsi="宋体" w:cs="仿宋"/>
                <w:szCs w:val="21"/>
              </w:rPr>
            </w:pPr>
            <w:r>
              <w:rPr>
                <w:rFonts w:hint="eastAsia" w:ascii="宋体" w:hAnsi="宋体" w:cs="仿宋"/>
                <w:szCs w:val="21"/>
              </w:rPr>
              <w:t>42</w:t>
            </w:r>
          </w:p>
        </w:tc>
        <w:tc>
          <w:tcPr>
            <w:tcW w:w="3361" w:type="pct"/>
            <w:vAlign w:val="center"/>
          </w:tcPr>
          <w:p w14:paraId="393A3AF8">
            <w:pPr>
              <w:wordWrap w:val="0"/>
              <w:spacing w:line="360" w:lineRule="exact"/>
              <w:jc w:val="center"/>
              <w:rPr>
                <w:rFonts w:hint="eastAsia" w:ascii="宋体" w:hAnsi="宋体" w:cs="仿宋"/>
                <w:szCs w:val="21"/>
              </w:rPr>
            </w:pPr>
            <w:r>
              <w:rPr>
                <w:rFonts w:hint="eastAsia" w:ascii="宋体" w:hAnsi="宋体" w:cs="仿宋"/>
                <w:szCs w:val="21"/>
              </w:rPr>
              <w:t>广西学生资助数据融合处理平台</w:t>
            </w:r>
          </w:p>
        </w:tc>
        <w:tc>
          <w:tcPr>
            <w:tcW w:w="759" w:type="pct"/>
            <w:vAlign w:val="center"/>
          </w:tcPr>
          <w:p w14:paraId="09F5182F">
            <w:pPr>
              <w:wordWrap w:val="0"/>
              <w:spacing w:line="360" w:lineRule="exact"/>
              <w:jc w:val="center"/>
              <w:rPr>
                <w:rFonts w:hint="eastAsia" w:ascii="宋体" w:hAnsi="宋体" w:cs="仿宋"/>
                <w:szCs w:val="21"/>
              </w:rPr>
            </w:pPr>
            <w:r>
              <w:rPr>
                <w:rFonts w:hint="eastAsia" w:ascii="宋体" w:hAnsi="宋体" w:cs="仿宋"/>
                <w:szCs w:val="21"/>
              </w:rPr>
              <w:t>三级</w:t>
            </w:r>
          </w:p>
        </w:tc>
        <w:tc>
          <w:tcPr>
            <w:tcW w:w="424" w:type="pct"/>
            <w:noWrap/>
            <w:vAlign w:val="center"/>
          </w:tcPr>
          <w:p w14:paraId="1AAD7F9E">
            <w:pPr>
              <w:wordWrap w:val="0"/>
              <w:spacing w:line="360" w:lineRule="exact"/>
              <w:jc w:val="center"/>
              <w:rPr>
                <w:rFonts w:hint="eastAsia" w:ascii="宋体" w:hAnsi="宋体" w:cs="仿宋"/>
                <w:szCs w:val="21"/>
              </w:rPr>
            </w:pPr>
          </w:p>
        </w:tc>
      </w:tr>
    </w:tbl>
    <w:p w14:paraId="5264E263">
      <w:pPr>
        <w:rPr>
          <w:rFonts w:hint="eastAsia" w:ascii="宋体" w:hAnsi="宋体"/>
          <w:b/>
          <w:bCs/>
          <w:sz w:val="32"/>
          <w:szCs w:val="32"/>
        </w:rPr>
      </w:pPr>
    </w:p>
    <w:p w14:paraId="5AD92EC8">
      <w:pPr>
        <w:rPr>
          <w:rFonts w:hint="eastAsia" w:ascii="宋体" w:hAnsi="宋体"/>
          <w:b/>
          <w:bCs/>
          <w:sz w:val="32"/>
          <w:szCs w:val="32"/>
        </w:rPr>
      </w:pPr>
    </w:p>
    <w:p w14:paraId="54A57E2B">
      <w:pPr>
        <w:rPr>
          <w:rFonts w:hint="eastAsia" w:ascii="宋体" w:hAnsi="宋体"/>
          <w:b/>
          <w:bCs/>
          <w:sz w:val="32"/>
          <w:szCs w:val="32"/>
        </w:rPr>
      </w:pPr>
    </w:p>
    <w:p w14:paraId="6BE6295C">
      <w:pPr>
        <w:spacing w:line="360" w:lineRule="auto"/>
        <w:jc w:val="left"/>
      </w:pPr>
      <w:r>
        <w:rPr>
          <w:rFonts w:hint="eastAsia" w:ascii="宋体" w:hAnsi="宋体"/>
          <w:b/>
          <w:bCs/>
          <w:szCs w:val="21"/>
        </w:rPr>
        <w:t xml:space="preserve">附件2 </w:t>
      </w:r>
    </w:p>
    <w:p w14:paraId="77CDA448">
      <w:pPr>
        <w:pStyle w:val="2"/>
        <w:spacing w:line="360" w:lineRule="auto"/>
        <w:jc w:val="center"/>
        <w:rPr>
          <w:sz w:val="24"/>
          <w:szCs w:val="24"/>
        </w:rPr>
      </w:pPr>
      <w:r>
        <w:rPr>
          <w:rFonts w:hint="eastAsia"/>
          <w:sz w:val="24"/>
          <w:szCs w:val="24"/>
        </w:rPr>
        <w:t>《广西教育数据中心信息系统（网站）基础软件运维服务项目》保密承诺函</w:t>
      </w:r>
    </w:p>
    <w:p w14:paraId="37AC9389">
      <w:pPr>
        <w:spacing w:line="400" w:lineRule="exact"/>
        <w:ind w:firstLine="420" w:firstLineChars="200"/>
        <w:rPr>
          <w:rFonts w:hint="eastAsia" w:ascii="宋体" w:hAnsi="宋体"/>
          <w:szCs w:val="21"/>
        </w:rPr>
      </w:pPr>
      <w:r>
        <w:rPr>
          <w:rFonts w:hint="eastAsia" w:ascii="宋体" w:hAnsi="宋体"/>
          <w:szCs w:val="21"/>
        </w:rPr>
        <w:t xml:space="preserve">本单位了解有关保密法规制度,知悉应当承担的保密义务和法律责任。本单位庄重承诺: </w:t>
      </w:r>
    </w:p>
    <w:p w14:paraId="72A4B280">
      <w:pPr>
        <w:spacing w:line="400" w:lineRule="exact"/>
        <w:ind w:firstLine="420" w:firstLineChars="200"/>
        <w:rPr>
          <w:rFonts w:hint="eastAsia" w:ascii="宋体" w:hAnsi="宋体"/>
          <w:szCs w:val="21"/>
        </w:rPr>
      </w:pPr>
      <w:r>
        <w:rPr>
          <w:rFonts w:hint="eastAsia" w:ascii="宋体" w:hAnsi="宋体"/>
          <w:szCs w:val="21"/>
        </w:rPr>
        <w:t>1、认真遵守国家和</w:t>
      </w:r>
      <w:r>
        <w:rPr>
          <w:rFonts w:ascii="宋体" w:hAnsi="宋体"/>
          <w:szCs w:val="21"/>
        </w:rPr>
        <w:t>自治区</w:t>
      </w:r>
      <w:r>
        <w:rPr>
          <w:rFonts w:hint="eastAsia" w:ascii="宋体" w:hAnsi="宋体"/>
          <w:szCs w:val="21"/>
        </w:rPr>
        <w:t>的保密法律法规和规章制度,履行保密义务；</w:t>
      </w:r>
    </w:p>
    <w:p w14:paraId="3360E07F">
      <w:pPr>
        <w:spacing w:line="400" w:lineRule="exact"/>
        <w:ind w:firstLine="420" w:firstLineChars="200"/>
        <w:rPr>
          <w:rFonts w:hint="eastAsia" w:ascii="宋体" w:hAnsi="宋体"/>
          <w:szCs w:val="21"/>
        </w:rPr>
      </w:pPr>
      <w:r>
        <w:rPr>
          <w:rFonts w:hint="eastAsia" w:ascii="宋体" w:hAnsi="宋体"/>
          <w:szCs w:val="21"/>
        </w:rPr>
        <w:t>2、对本项目《广西教育数据中心硬件设备清单》涉及到的原产品的品牌及型号信息内容进行保密。</w:t>
      </w:r>
    </w:p>
    <w:p w14:paraId="269135B0">
      <w:pPr>
        <w:spacing w:line="400" w:lineRule="exact"/>
        <w:ind w:firstLine="420" w:firstLineChars="200"/>
        <w:rPr>
          <w:rFonts w:hint="eastAsia" w:ascii="宋体" w:hAnsi="宋体"/>
          <w:szCs w:val="21"/>
        </w:rPr>
      </w:pPr>
      <w:r>
        <w:rPr>
          <w:rFonts w:hint="eastAsia" w:ascii="宋体" w:hAnsi="宋体"/>
          <w:szCs w:val="21"/>
        </w:rPr>
        <w:t xml:space="preserve">3、认真遵守约定保密内容的相关规定； </w:t>
      </w:r>
    </w:p>
    <w:p w14:paraId="2BC57AB4">
      <w:pPr>
        <w:spacing w:line="400" w:lineRule="exact"/>
        <w:ind w:firstLine="420" w:firstLineChars="200"/>
        <w:rPr>
          <w:rFonts w:hint="eastAsia" w:ascii="宋体" w:hAnsi="宋体"/>
          <w:szCs w:val="21"/>
        </w:rPr>
      </w:pPr>
      <w:r>
        <w:rPr>
          <w:rFonts w:hint="eastAsia" w:ascii="宋体" w:hAnsi="宋体"/>
          <w:szCs w:val="21"/>
        </w:rPr>
        <w:t>4、对参与本项目采购文件及原产品的品牌及型号信息所涉及的技术资料和数据信息履行保密义务,未经许可,不擅自发表或使用或提供给他人；</w:t>
      </w:r>
    </w:p>
    <w:p w14:paraId="52011618">
      <w:pPr>
        <w:spacing w:line="400" w:lineRule="exact"/>
        <w:ind w:firstLine="420" w:firstLineChars="200"/>
        <w:rPr>
          <w:rFonts w:hint="eastAsia" w:ascii="宋体" w:hAnsi="宋体"/>
          <w:szCs w:val="21"/>
        </w:rPr>
      </w:pPr>
      <w:r>
        <w:rPr>
          <w:rFonts w:hint="eastAsia" w:ascii="宋体" w:hAnsi="宋体"/>
          <w:szCs w:val="21"/>
        </w:rPr>
        <w:t>5、如不参与本项目竞标,对仍具有保密性的技术资料和数据信息履行保密义务。</w:t>
      </w:r>
    </w:p>
    <w:p w14:paraId="0EB9743C">
      <w:pPr>
        <w:rPr>
          <w:szCs w:val="21"/>
        </w:rPr>
      </w:pPr>
    </w:p>
    <w:p w14:paraId="7BACC948">
      <w:pPr>
        <w:spacing w:line="400" w:lineRule="exact"/>
        <w:ind w:firstLine="420" w:firstLineChars="200"/>
        <w:rPr>
          <w:rFonts w:hint="eastAsia" w:ascii="宋体" w:hAnsi="宋体"/>
          <w:szCs w:val="21"/>
          <w:u w:val="single"/>
        </w:rPr>
      </w:pPr>
      <w:r>
        <w:rPr>
          <w:rFonts w:hint="eastAsia" w:ascii="宋体" w:hAnsi="宋体"/>
          <w:szCs w:val="21"/>
        </w:rPr>
        <w:t>承诺单位（盖章）：</w:t>
      </w:r>
      <w:r>
        <w:rPr>
          <w:rFonts w:hint="eastAsia" w:ascii="宋体" w:hAnsi="宋体"/>
          <w:szCs w:val="21"/>
          <w:u w:val="single"/>
        </w:rPr>
        <w:t xml:space="preserve">                  </w:t>
      </w:r>
    </w:p>
    <w:p w14:paraId="2EB2C4CC">
      <w:pPr>
        <w:spacing w:line="400" w:lineRule="exact"/>
        <w:ind w:firstLine="420" w:firstLineChars="200"/>
        <w:rPr>
          <w:rFonts w:hint="eastAsia" w:ascii="宋体" w:hAnsi="宋体"/>
          <w:szCs w:val="21"/>
          <w:u w:val="single"/>
        </w:rPr>
      </w:pPr>
      <w:r>
        <w:rPr>
          <w:rFonts w:hint="eastAsia" w:ascii="宋体" w:hAnsi="宋体"/>
          <w:szCs w:val="21"/>
        </w:rPr>
        <w:t>承诺代表人签字：</w:t>
      </w:r>
      <w:r>
        <w:rPr>
          <w:rFonts w:hint="eastAsia" w:ascii="宋体" w:hAnsi="宋体"/>
          <w:szCs w:val="21"/>
          <w:u w:val="single"/>
        </w:rPr>
        <w:t xml:space="preserve">                </w:t>
      </w:r>
    </w:p>
    <w:p w14:paraId="1B34807B">
      <w:pPr>
        <w:spacing w:line="400" w:lineRule="exact"/>
        <w:ind w:firstLine="420" w:firstLineChars="200"/>
        <w:rPr>
          <w:rFonts w:hint="eastAsia" w:ascii="宋体" w:hAnsi="宋体"/>
          <w:szCs w:val="21"/>
        </w:rPr>
      </w:pPr>
      <w:r>
        <w:rPr>
          <w:rFonts w:hint="eastAsia" w:ascii="宋体" w:hAnsi="宋体"/>
          <w:szCs w:val="21"/>
        </w:rPr>
        <w:t>承诺代表人身份证号码:</w:t>
      </w:r>
    </w:p>
    <w:p w14:paraId="4831B544">
      <w:pPr>
        <w:spacing w:line="400" w:lineRule="exact"/>
        <w:ind w:firstLine="420" w:firstLineChars="200"/>
        <w:rPr>
          <w:rFonts w:hint="eastAsia" w:ascii="宋体" w:hAnsi="宋体"/>
          <w:szCs w:val="21"/>
        </w:rPr>
      </w:pPr>
      <w:r>
        <w:rPr>
          <w:rFonts w:hint="eastAsia" w:ascii="宋体" w:hAnsi="宋体"/>
          <w:szCs w:val="21"/>
        </w:rPr>
        <w:t>承诺人联系方式：</w:t>
      </w:r>
    </w:p>
    <w:p w14:paraId="3603CF97">
      <w:pPr>
        <w:spacing w:line="400" w:lineRule="exact"/>
        <w:ind w:firstLine="420" w:firstLineChars="200"/>
        <w:rPr>
          <w:rFonts w:hint="eastAsia" w:ascii="宋体" w:hAnsi="宋体"/>
          <w:szCs w:val="21"/>
        </w:rPr>
      </w:pPr>
      <w:r>
        <w:rPr>
          <w:rFonts w:hint="eastAsia" w:ascii="宋体" w:hAnsi="宋体"/>
          <w:szCs w:val="21"/>
        </w:rPr>
        <w:t>日期：2026年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bookmarkEnd w:id="3"/>
    <w:p w14:paraId="677124B5">
      <w:pPr>
        <w:rPr>
          <w:rFonts w:hint="eastAsia" w:ascii="黑体" w:hAnsi="黑体" w:eastAsia="黑体" w:cs="黑体"/>
          <w:sz w:val="32"/>
          <w:szCs w:val="32"/>
        </w:rPr>
      </w:pPr>
      <w:r>
        <w:rPr>
          <w:rFonts w:hint="eastAsia" w:ascii="宋体" w:hAnsi="宋体"/>
          <w:b/>
          <w:bCs/>
          <w:sz w:val="32"/>
          <w:szCs w:val="32"/>
        </w:rPr>
        <w:br w:type="page"/>
      </w:r>
      <w:bookmarkEnd w:id="1"/>
      <w:bookmarkEnd w:id="2"/>
      <w:r>
        <w:rPr>
          <w:rFonts w:hint="eastAsia" w:ascii="黑体" w:hAnsi="黑体" w:eastAsia="黑体" w:cs="黑体"/>
          <w:sz w:val="32"/>
          <w:szCs w:val="32"/>
        </w:rPr>
        <w:t>其他附件：</w:t>
      </w:r>
    </w:p>
    <w:p w14:paraId="6278A2FA">
      <w:pPr>
        <w:pStyle w:val="3"/>
        <w:jc w:val="center"/>
        <w:rPr>
          <w:b/>
          <w:sz w:val="28"/>
          <w:szCs w:val="28"/>
        </w:rPr>
      </w:pPr>
      <w:r>
        <w:rPr>
          <w:rFonts w:hint="eastAsia"/>
          <w:b/>
          <w:sz w:val="28"/>
          <w:szCs w:val="28"/>
        </w:rPr>
        <w:t>中小企业划型标准规定</w:t>
      </w:r>
    </w:p>
    <w:p w14:paraId="30DB6018">
      <w:pPr>
        <w:pStyle w:val="3"/>
        <w:jc w:val="center"/>
        <w:rPr>
          <w:rFonts w:hint="eastAsia" w:ascii="宋体" w:hAnsi="宋体"/>
          <w:sz w:val="21"/>
          <w:szCs w:val="21"/>
        </w:rPr>
      </w:pPr>
      <w:r>
        <w:rPr>
          <w:rFonts w:hint="eastAsia" w:ascii="宋体" w:hAnsi="宋体"/>
          <w:szCs w:val="21"/>
        </w:rPr>
        <w:t>工信部联企业〔2011〕300号</w:t>
      </w:r>
    </w:p>
    <w:p w14:paraId="6D730251">
      <w:pPr>
        <w:pStyle w:val="3"/>
        <w:rPr>
          <w:szCs w:val="21"/>
        </w:rPr>
      </w:pPr>
    </w:p>
    <w:p w14:paraId="0F709502">
      <w:pPr>
        <w:pStyle w:val="3"/>
        <w:rPr>
          <w:szCs w:val="21"/>
        </w:rPr>
      </w:pPr>
      <w:r>
        <w:rPr>
          <w:rFonts w:hint="eastAsia"/>
          <w:szCs w:val="21"/>
        </w:rPr>
        <w:t>　　一、根据《中华人民共和国中小企业促进法》和《国务院关于进一步促进中小企业发展的若干意见》</w:t>
      </w:r>
      <w:r>
        <w:rPr>
          <w:szCs w:val="21"/>
        </w:rPr>
        <w:t>（</w:t>
      </w:r>
      <w:r>
        <w:rPr>
          <w:rFonts w:hint="eastAsia"/>
          <w:szCs w:val="21"/>
        </w:rPr>
        <w:t>国发</w:t>
      </w:r>
      <w:r>
        <w:rPr>
          <w:rFonts w:hint="eastAsia" w:ascii="宋体" w:hAnsi="宋体"/>
          <w:szCs w:val="21"/>
        </w:rPr>
        <w:t>〔2009〕</w:t>
      </w:r>
      <w:r>
        <w:rPr>
          <w:szCs w:val="21"/>
        </w:rPr>
        <w:t>36</w:t>
      </w:r>
      <w:r>
        <w:rPr>
          <w:rFonts w:hint="eastAsia"/>
          <w:szCs w:val="21"/>
        </w:rPr>
        <w:t>号</w:t>
      </w:r>
      <w:r>
        <w:rPr>
          <w:szCs w:val="21"/>
        </w:rPr>
        <w:t>）</w:t>
      </w:r>
      <w:r>
        <w:rPr>
          <w:rFonts w:hint="eastAsia"/>
          <w:szCs w:val="21"/>
        </w:rPr>
        <w:t>，制定本规定。</w:t>
      </w:r>
    </w:p>
    <w:p w14:paraId="1ADCD6DD">
      <w:pPr>
        <w:pStyle w:val="3"/>
        <w:rPr>
          <w:szCs w:val="21"/>
        </w:rPr>
      </w:pPr>
      <w:r>
        <w:rPr>
          <w:rFonts w:hint="eastAsia"/>
          <w:szCs w:val="21"/>
        </w:rPr>
        <w:t>　　二、中小企业划分为中型、小型、微型三种类型，具体标准根据企业从业人员、营业收入、资产总额等指标，结合行业特点制定。</w:t>
      </w:r>
    </w:p>
    <w:p w14:paraId="36BDD7DD">
      <w:pPr>
        <w:pStyle w:val="3"/>
        <w:rPr>
          <w:szCs w:val="21"/>
        </w:rPr>
      </w:pPr>
      <w:r>
        <w:rPr>
          <w:rFonts w:hint="eastAsia"/>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1471FFB">
      <w:pPr>
        <w:pStyle w:val="3"/>
        <w:rPr>
          <w:szCs w:val="21"/>
        </w:rPr>
      </w:pPr>
      <w:r>
        <w:rPr>
          <w:rFonts w:hint="eastAsia"/>
          <w:szCs w:val="21"/>
        </w:rPr>
        <w:t>　　四、各行业划型标准为：</w:t>
      </w:r>
    </w:p>
    <w:p w14:paraId="53C76D0D">
      <w:pPr>
        <w:pStyle w:val="3"/>
        <w:rPr>
          <w:szCs w:val="21"/>
        </w:rPr>
      </w:pPr>
      <w:r>
        <w:rPr>
          <w:rFonts w:hint="eastAsia"/>
          <w:szCs w:val="21"/>
        </w:rPr>
        <w:t>　　（一）农、林、牧、渔业。营业收入</w:t>
      </w:r>
      <w:r>
        <w:rPr>
          <w:szCs w:val="21"/>
        </w:rPr>
        <w:t>20000</w:t>
      </w:r>
      <w:r>
        <w:rPr>
          <w:rFonts w:hint="eastAsia"/>
          <w:szCs w:val="21"/>
        </w:rPr>
        <w:t>万元以下的为中小微型企业。其中，营业收入</w:t>
      </w:r>
      <w:r>
        <w:rPr>
          <w:szCs w:val="21"/>
        </w:rPr>
        <w:t>500</w:t>
      </w:r>
      <w:r>
        <w:rPr>
          <w:rFonts w:hint="eastAsia"/>
          <w:szCs w:val="21"/>
        </w:rPr>
        <w:t>万元及以上的为中型企业，营业收入</w:t>
      </w:r>
      <w:r>
        <w:rPr>
          <w:szCs w:val="21"/>
        </w:rPr>
        <w:t>50</w:t>
      </w:r>
      <w:r>
        <w:rPr>
          <w:rFonts w:hint="eastAsia"/>
          <w:szCs w:val="21"/>
        </w:rPr>
        <w:t>万元及以上的为小型企业，营业收入</w:t>
      </w:r>
      <w:r>
        <w:rPr>
          <w:szCs w:val="21"/>
        </w:rPr>
        <w:t>50</w:t>
      </w:r>
      <w:r>
        <w:rPr>
          <w:rFonts w:hint="eastAsia"/>
          <w:szCs w:val="21"/>
        </w:rPr>
        <w:t>万元以下的为微型企业。</w:t>
      </w:r>
    </w:p>
    <w:p w14:paraId="52B624DA">
      <w:pPr>
        <w:pStyle w:val="3"/>
        <w:rPr>
          <w:szCs w:val="21"/>
        </w:rPr>
      </w:pPr>
      <w:r>
        <w:rPr>
          <w:rFonts w:hint="eastAsia"/>
          <w:szCs w:val="21"/>
        </w:rPr>
        <w:t>　　（二）工业。从业人员</w:t>
      </w:r>
      <w:r>
        <w:rPr>
          <w:szCs w:val="21"/>
        </w:rPr>
        <w:t>1000</w:t>
      </w:r>
      <w:r>
        <w:rPr>
          <w:rFonts w:hint="eastAsia"/>
          <w:szCs w:val="21"/>
        </w:rPr>
        <w:t>人以下或营业收入</w:t>
      </w:r>
      <w:r>
        <w:rPr>
          <w:szCs w:val="21"/>
        </w:rPr>
        <w:t>40000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300</w:t>
      </w:r>
      <w:r>
        <w:rPr>
          <w:rFonts w:hint="eastAsia"/>
          <w:szCs w:val="21"/>
        </w:rPr>
        <w:t>万元及以上的为小型企业；从业人员</w:t>
      </w:r>
      <w:r>
        <w:rPr>
          <w:szCs w:val="21"/>
        </w:rPr>
        <w:t>20</w:t>
      </w:r>
      <w:r>
        <w:rPr>
          <w:rFonts w:hint="eastAsia"/>
          <w:szCs w:val="21"/>
        </w:rPr>
        <w:t>人以下或营业收入</w:t>
      </w:r>
      <w:r>
        <w:rPr>
          <w:szCs w:val="21"/>
        </w:rPr>
        <w:t>300</w:t>
      </w:r>
      <w:r>
        <w:rPr>
          <w:rFonts w:hint="eastAsia"/>
          <w:szCs w:val="21"/>
        </w:rPr>
        <w:t>万元以下的为微型企业。</w:t>
      </w:r>
    </w:p>
    <w:p w14:paraId="108BB444">
      <w:pPr>
        <w:pStyle w:val="3"/>
        <w:rPr>
          <w:szCs w:val="21"/>
        </w:rPr>
      </w:pPr>
      <w:r>
        <w:rPr>
          <w:rFonts w:hint="eastAsia"/>
          <w:szCs w:val="21"/>
        </w:rPr>
        <w:t>　　（三）建筑业。营业收入</w:t>
      </w:r>
      <w:r>
        <w:rPr>
          <w:szCs w:val="21"/>
        </w:rPr>
        <w:t>80000</w:t>
      </w:r>
      <w:r>
        <w:rPr>
          <w:rFonts w:hint="eastAsia"/>
          <w:szCs w:val="21"/>
        </w:rPr>
        <w:t>万元以下或资产总额</w:t>
      </w:r>
      <w:r>
        <w:rPr>
          <w:szCs w:val="21"/>
        </w:rPr>
        <w:t>80000</w:t>
      </w:r>
      <w:r>
        <w:rPr>
          <w:rFonts w:hint="eastAsia"/>
          <w:szCs w:val="21"/>
        </w:rPr>
        <w:t>万元以下的为中小微型企业。其中，营业收入</w:t>
      </w:r>
      <w:r>
        <w:rPr>
          <w:szCs w:val="21"/>
        </w:rPr>
        <w:t>6000</w:t>
      </w:r>
      <w:r>
        <w:rPr>
          <w:rFonts w:hint="eastAsia"/>
          <w:szCs w:val="21"/>
        </w:rPr>
        <w:t>万元及以上，且资产总额</w:t>
      </w:r>
      <w:r>
        <w:rPr>
          <w:szCs w:val="21"/>
        </w:rPr>
        <w:t>5000</w:t>
      </w:r>
      <w:r>
        <w:rPr>
          <w:rFonts w:hint="eastAsia"/>
          <w:szCs w:val="21"/>
        </w:rPr>
        <w:t>万元及以上的为中型企业；营业收入</w:t>
      </w:r>
      <w:r>
        <w:rPr>
          <w:szCs w:val="21"/>
        </w:rPr>
        <w:t>300</w:t>
      </w:r>
      <w:r>
        <w:rPr>
          <w:rFonts w:hint="eastAsia"/>
          <w:szCs w:val="21"/>
        </w:rPr>
        <w:t>万元及以上，且资产总额</w:t>
      </w:r>
      <w:r>
        <w:rPr>
          <w:szCs w:val="21"/>
        </w:rPr>
        <w:t>300</w:t>
      </w:r>
      <w:r>
        <w:rPr>
          <w:rFonts w:hint="eastAsia"/>
          <w:szCs w:val="21"/>
        </w:rPr>
        <w:t>万元及以上的为小型企业；营业收入</w:t>
      </w:r>
      <w:r>
        <w:rPr>
          <w:szCs w:val="21"/>
        </w:rPr>
        <w:t>300</w:t>
      </w:r>
      <w:r>
        <w:rPr>
          <w:rFonts w:hint="eastAsia"/>
          <w:szCs w:val="21"/>
        </w:rPr>
        <w:t>万元以下或资产总额</w:t>
      </w:r>
      <w:r>
        <w:rPr>
          <w:szCs w:val="21"/>
        </w:rPr>
        <w:t>300</w:t>
      </w:r>
      <w:r>
        <w:rPr>
          <w:rFonts w:hint="eastAsia"/>
          <w:szCs w:val="21"/>
        </w:rPr>
        <w:t>万元以下的为微型企业。</w:t>
      </w:r>
    </w:p>
    <w:p w14:paraId="493953D1">
      <w:pPr>
        <w:pStyle w:val="3"/>
        <w:rPr>
          <w:szCs w:val="21"/>
        </w:rPr>
      </w:pPr>
      <w:r>
        <w:rPr>
          <w:rFonts w:hint="eastAsia"/>
          <w:szCs w:val="21"/>
        </w:rPr>
        <w:t>　　（四）批发业。从业人员</w:t>
      </w:r>
      <w:r>
        <w:rPr>
          <w:szCs w:val="21"/>
        </w:rPr>
        <w:t>200</w:t>
      </w:r>
      <w:r>
        <w:rPr>
          <w:rFonts w:hint="eastAsia"/>
          <w:szCs w:val="21"/>
        </w:rPr>
        <w:t>人以下或营业收入</w:t>
      </w:r>
      <w:r>
        <w:rPr>
          <w:szCs w:val="21"/>
        </w:rPr>
        <w:t>40000</w:t>
      </w:r>
      <w:r>
        <w:rPr>
          <w:rFonts w:hint="eastAsia"/>
          <w:szCs w:val="21"/>
        </w:rPr>
        <w:t>万元以下的为中小微型企业。其中，从业人员</w:t>
      </w:r>
      <w:r>
        <w:rPr>
          <w:szCs w:val="21"/>
        </w:rPr>
        <w:t>20</w:t>
      </w:r>
      <w:r>
        <w:rPr>
          <w:rFonts w:hint="eastAsia"/>
          <w:szCs w:val="21"/>
        </w:rPr>
        <w:t>人及以上，且营业收入</w:t>
      </w:r>
      <w:r>
        <w:rPr>
          <w:szCs w:val="21"/>
        </w:rPr>
        <w:t>5000</w:t>
      </w:r>
      <w:r>
        <w:rPr>
          <w:rFonts w:hint="eastAsia"/>
          <w:szCs w:val="21"/>
        </w:rPr>
        <w:t>万元及以上的为中型企业；从业人员</w:t>
      </w:r>
      <w:r>
        <w:rPr>
          <w:szCs w:val="21"/>
        </w:rPr>
        <w:t>5</w:t>
      </w:r>
      <w:r>
        <w:rPr>
          <w:rFonts w:hint="eastAsia"/>
          <w:szCs w:val="21"/>
        </w:rPr>
        <w:t>人及以上，且营业收入</w:t>
      </w:r>
      <w:r>
        <w:rPr>
          <w:szCs w:val="21"/>
        </w:rPr>
        <w:t>1000</w:t>
      </w:r>
      <w:r>
        <w:rPr>
          <w:rFonts w:hint="eastAsia"/>
          <w:szCs w:val="21"/>
        </w:rPr>
        <w:t>万元及以上的为小型企业；从业人员</w:t>
      </w:r>
      <w:r>
        <w:rPr>
          <w:szCs w:val="21"/>
        </w:rPr>
        <w:t>5</w:t>
      </w:r>
      <w:r>
        <w:rPr>
          <w:rFonts w:hint="eastAsia"/>
          <w:szCs w:val="21"/>
        </w:rPr>
        <w:t>人以下或营业收入</w:t>
      </w:r>
      <w:r>
        <w:rPr>
          <w:szCs w:val="21"/>
        </w:rPr>
        <w:t>1000</w:t>
      </w:r>
      <w:r>
        <w:rPr>
          <w:rFonts w:hint="eastAsia"/>
          <w:szCs w:val="21"/>
        </w:rPr>
        <w:t>万元以下的为微型企业。</w:t>
      </w:r>
    </w:p>
    <w:p w14:paraId="42E8AB9A">
      <w:pPr>
        <w:pStyle w:val="3"/>
        <w:rPr>
          <w:szCs w:val="21"/>
        </w:rPr>
      </w:pPr>
      <w:r>
        <w:rPr>
          <w:rFonts w:hint="eastAsia"/>
          <w:szCs w:val="21"/>
        </w:rPr>
        <w:t>　　（五）零售业。从业人员</w:t>
      </w:r>
      <w:r>
        <w:rPr>
          <w:szCs w:val="21"/>
        </w:rPr>
        <w:t>300</w:t>
      </w:r>
      <w:r>
        <w:rPr>
          <w:rFonts w:hint="eastAsia"/>
          <w:szCs w:val="21"/>
        </w:rPr>
        <w:t>人以下或营业收入</w:t>
      </w:r>
      <w:r>
        <w:rPr>
          <w:szCs w:val="21"/>
        </w:rPr>
        <w:t>20000</w:t>
      </w:r>
      <w:r>
        <w:rPr>
          <w:rFonts w:hint="eastAsia"/>
          <w:szCs w:val="21"/>
        </w:rPr>
        <w:t>万元以下的为中小微型企业。其中，从业人员</w:t>
      </w:r>
      <w:r>
        <w:rPr>
          <w:szCs w:val="21"/>
        </w:rPr>
        <w:t>50</w:t>
      </w:r>
      <w:r>
        <w:rPr>
          <w:rFonts w:hint="eastAsia"/>
          <w:szCs w:val="21"/>
        </w:rPr>
        <w:t>人及以上，且营业收入</w:t>
      </w:r>
      <w:r>
        <w:rPr>
          <w:szCs w:val="21"/>
        </w:rPr>
        <w:t>500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64D98ACC">
      <w:pPr>
        <w:pStyle w:val="3"/>
        <w:rPr>
          <w:szCs w:val="21"/>
        </w:rPr>
      </w:pPr>
      <w:r>
        <w:rPr>
          <w:rFonts w:hint="eastAsia"/>
          <w:szCs w:val="21"/>
        </w:rPr>
        <w:t>　　（六）交通运输业。从业人员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3000</w:t>
      </w:r>
      <w:r>
        <w:rPr>
          <w:rFonts w:hint="eastAsia"/>
          <w:szCs w:val="21"/>
        </w:rPr>
        <w:t>万元及以上的为中型企业；从业人员</w:t>
      </w:r>
      <w:r>
        <w:rPr>
          <w:szCs w:val="21"/>
        </w:rPr>
        <w:t>20</w:t>
      </w:r>
      <w:r>
        <w:rPr>
          <w:rFonts w:hint="eastAsia"/>
          <w:szCs w:val="21"/>
        </w:rPr>
        <w:t>人及以上，且营业收入</w:t>
      </w:r>
      <w:r>
        <w:rPr>
          <w:szCs w:val="21"/>
        </w:rPr>
        <w:t>200</w:t>
      </w:r>
      <w:r>
        <w:rPr>
          <w:rFonts w:hint="eastAsia"/>
          <w:szCs w:val="21"/>
        </w:rPr>
        <w:t>万元及以上的为小型企业；从业人员</w:t>
      </w:r>
      <w:r>
        <w:rPr>
          <w:szCs w:val="21"/>
        </w:rPr>
        <w:t>20</w:t>
      </w:r>
      <w:r>
        <w:rPr>
          <w:rFonts w:hint="eastAsia"/>
          <w:szCs w:val="21"/>
        </w:rPr>
        <w:t>人以下或营业收入</w:t>
      </w:r>
      <w:r>
        <w:rPr>
          <w:szCs w:val="21"/>
        </w:rPr>
        <w:t>200</w:t>
      </w:r>
      <w:r>
        <w:rPr>
          <w:rFonts w:hint="eastAsia"/>
          <w:szCs w:val="21"/>
        </w:rPr>
        <w:t>万元以下的为微型企业。</w:t>
      </w:r>
    </w:p>
    <w:p w14:paraId="1F853194">
      <w:pPr>
        <w:pStyle w:val="3"/>
        <w:rPr>
          <w:szCs w:val="21"/>
        </w:rPr>
      </w:pPr>
      <w:r>
        <w:rPr>
          <w:rFonts w:hint="eastAsia"/>
          <w:szCs w:val="21"/>
        </w:rPr>
        <w:t>　　（七）仓储业。从业人员</w:t>
      </w:r>
      <w:r>
        <w:rPr>
          <w:szCs w:val="21"/>
        </w:rPr>
        <w:t>200</w:t>
      </w:r>
      <w:r>
        <w:rPr>
          <w:rFonts w:hint="eastAsia"/>
          <w:szCs w:val="21"/>
        </w:rPr>
        <w:t>人以下或营业收入</w:t>
      </w:r>
      <w:r>
        <w:rPr>
          <w:szCs w:val="21"/>
        </w:rPr>
        <w:t>30000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6A0DBCFA">
      <w:pPr>
        <w:pStyle w:val="3"/>
        <w:rPr>
          <w:szCs w:val="21"/>
        </w:rPr>
      </w:pPr>
      <w:r>
        <w:rPr>
          <w:rFonts w:hint="eastAsia"/>
          <w:szCs w:val="21"/>
        </w:rPr>
        <w:t>　　（八）邮政业。从业人员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5915FD37">
      <w:pPr>
        <w:pStyle w:val="3"/>
        <w:rPr>
          <w:szCs w:val="21"/>
        </w:rPr>
      </w:pPr>
      <w:r>
        <w:rPr>
          <w:rFonts w:hint="eastAsia"/>
          <w:szCs w:val="21"/>
        </w:rPr>
        <w:t>　　（九）住宿业。从业人员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61C43CAB">
      <w:pPr>
        <w:pStyle w:val="3"/>
        <w:rPr>
          <w:szCs w:val="21"/>
        </w:rPr>
      </w:pPr>
      <w:r>
        <w:rPr>
          <w:rFonts w:hint="eastAsia"/>
          <w:szCs w:val="21"/>
        </w:rPr>
        <w:t>　　（十）餐饮业。从业人员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37E3A074">
      <w:pPr>
        <w:pStyle w:val="3"/>
        <w:rPr>
          <w:szCs w:val="21"/>
        </w:rPr>
      </w:pPr>
      <w:r>
        <w:rPr>
          <w:rFonts w:hint="eastAsia"/>
          <w:szCs w:val="21"/>
        </w:rPr>
        <w:t>　　（十一）信息传输业。从业人员</w:t>
      </w:r>
      <w:r>
        <w:rPr>
          <w:szCs w:val="21"/>
        </w:rPr>
        <w:t>2000</w:t>
      </w:r>
      <w:r>
        <w:rPr>
          <w:rFonts w:hint="eastAsia"/>
          <w:szCs w:val="21"/>
        </w:rPr>
        <w:t>人以下或营业收入</w:t>
      </w:r>
      <w:r>
        <w:rPr>
          <w:szCs w:val="21"/>
        </w:rPr>
        <w:t>100000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4A7F6759">
      <w:pPr>
        <w:pStyle w:val="3"/>
        <w:rPr>
          <w:szCs w:val="21"/>
        </w:rPr>
      </w:pPr>
      <w:r>
        <w:rPr>
          <w:rFonts w:hint="eastAsia"/>
          <w:szCs w:val="21"/>
        </w:rPr>
        <w:t>　　（十二）</w:t>
      </w:r>
      <w:bookmarkStart w:id="10" w:name="OLE_LINK2"/>
      <w:bookmarkStart w:id="11" w:name="OLE_LINK1"/>
      <w:r>
        <w:rPr>
          <w:rFonts w:hint="eastAsia"/>
          <w:szCs w:val="21"/>
        </w:rPr>
        <w:t>软件和信息技术服务业</w:t>
      </w:r>
      <w:bookmarkEnd w:id="10"/>
      <w:bookmarkEnd w:id="11"/>
      <w:r>
        <w:rPr>
          <w:rFonts w:hint="eastAsia"/>
          <w:szCs w:val="21"/>
        </w:rPr>
        <w:t>。从业人员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50</w:t>
      </w:r>
      <w:r>
        <w:rPr>
          <w:rFonts w:hint="eastAsia"/>
          <w:szCs w:val="21"/>
        </w:rPr>
        <w:t>万元及以上的为小型企业；从业人员</w:t>
      </w:r>
      <w:r>
        <w:rPr>
          <w:szCs w:val="21"/>
        </w:rPr>
        <w:t>10</w:t>
      </w:r>
      <w:r>
        <w:rPr>
          <w:rFonts w:hint="eastAsia"/>
          <w:szCs w:val="21"/>
        </w:rPr>
        <w:t>人以下或营业收入</w:t>
      </w:r>
      <w:r>
        <w:rPr>
          <w:szCs w:val="21"/>
        </w:rPr>
        <w:t>50</w:t>
      </w:r>
      <w:r>
        <w:rPr>
          <w:rFonts w:hint="eastAsia"/>
          <w:szCs w:val="21"/>
        </w:rPr>
        <w:t>万元以下的为微型企业。</w:t>
      </w:r>
    </w:p>
    <w:p w14:paraId="78778CD3">
      <w:pPr>
        <w:pStyle w:val="3"/>
        <w:rPr>
          <w:szCs w:val="21"/>
        </w:rPr>
      </w:pPr>
      <w:r>
        <w:rPr>
          <w:rFonts w:hint="eastAsia"/>
          <w:szCs w:val="21"/>
        </w:rPr>
        <w:t>　　（十三）房地产开发经营。营业收入</w:t>
      </w:r>
      <w:r>
        <w:rPr>
          <w:szCs w:val="21"/>
        </w:rPr>
        <w:t>200000</w:t>
      </w:r>
      <w:r>
        <w:rPr>
          <w:rFonts w:hint="eastAsia"/>
          <w:szCs w:val="21"/>
        </w:rPr>
        <w:t>万元以下或资产总额</w:t>
      </w:r>
      <w:r>
        <w:rPr>
          <w:szCs w:val="21"/>
        </w:rPr>
        <w:t>10000</w:t>
      </w:r>
      <w:r>
        <w:rPr>
          <w:rFonts w:hint="eastAsia"/>
          <w:szCs w:val="21"/>
        </w:rPr>
        <w:t>万元以下的为中小微型企业。其中，营业收入</w:t>
      </w:r>
      <w:r>
        <w:rPr>
          <w:szCs w:val="21"/>
        </w:rPr>
        <w:t>1000</w:t>
      </w:r>
      <w:r>
        <w:rPr>
          <w:rFonts w:hint="eastAsia"/>
          <w:szCs w:val="21"/>
        </w:rPr>
        <w:t>万元及以上，且资产总额</w:t>
      </w:r>
      <w:r>
        <w:rPr>
          <w:szCs w:val="21"/>
        </w:rPr>
        <w:t>5000</w:t>
      </w:r>
      <w:r>
        <w:rPr>
          <w:rFonts w:hint="eastAsia"/>
          <w:szCs w:val="21"/>
        </w:rPr>
        <w:t>万元及以上的为中型企业；营业收入</w:t>
      </w:r>
      <w:r>
        <w:rPr>
          <w:szCs w:val="21"/>
        </w:rPr>
        <w:t>100</w:t>
      </w:r>
      <w:r>
        <w:rPr>
          <w:rFonts w:hint="eastAsia"/>
          <w:szCs w:val="21"/>
        </w:rPr>
        <w:t>万元及以上，且资产总额</w:t>
      </w:r>
      <w:r>
        <w:rPr>
          <w:szCs w:val="21"/>
        </w:rPr>
        <w:t>2000</w:t>
      </w:r>
      <w:r>
        <w:rPr>
          <w:rFonts w:hint="eastAsia"/>
          <w:szCs w:val="21"/>
        </w:rPr>
        <w:t>万元及以上的为小型企业；营业收入</w:t>
      </w:r>
      <w:r>
        <w:rPr>
          <w:szCs w:val="21"/>
        </w:rPr>
        <w:t>100</w:t>
      </w:r>
      <w:r>
        <w:rPr>
          <w:rFonts w:hint="eastAsia"/>
          <w:szCs w:val="21"/>
        </w:rPr>
        <w:t>万元以下或资产总额</w:t>
      </w:r>
      <w:r>
        <w:rPr>
          <w:szCs w:val="21"/>
        </w:rPr>
        <w:t>2000</w:t>
      </w:r>
      <w:r>
        <w:rPr>
          <w:rFonts w:hint="eastAsia"/>
          <w:szCs w:val="21"/>
        </w:rPr>
        <w:t>万元以下的为微型企业。</w:t>
      </w:r>
    </w:p>
    <w:p w14:paraId="095F4FAA">
      <w:pPr>
        <w:pStyle w:val="3"/>
        <w:rPr>
          <w:szCs w:val="21"/>
        </w:rPr>
      </w:pPr>
      <w:r>
        <w:rPr>
          <w:rFonts w:hint="eastAsia"/>
          <w:szCs w:val="21"/>
        </w:rPr>
        <w:t>　　（十四）物业管理。从业人员</w:t>
      </w:r>
      <w:r>
        <w:rPr>
          <w:szCs w:val="21"/>
        </w:rPr>
        <w:t>1000</w:t>
      </w:r>
      <w:r>
        <w:rPr>
          <w:rFonts w:hint="eastAsia"/>
          <w:szCs w:val="21"/>
        </w:rPr>
        <w:t>人以下或营业收入</w:t>
      </w:r>
      <w:r>
        <w:rPr>
          <w:szCs w:val="21"/>
        </w:rPr>
        <w:t>5000</w:t>
      </w:r>
      <w:r>
        <w:rPr>
          <w:rFonts w:hint="eastAsia"/>
          <w:szCs w:val="21"/>
        </w:rPr>
        <w:t>万元以下的为中小微型企业。其中，从业人员</w:t>
      </w:r>
      <w:r>
        <w:rPr>
          <w:szCs w:val="21"/>
        </w:rPr>
        <w:t>300</w:t>
      </w:r>
      <w:r>
        <w:rPr>
          <w:rFonts w:hint="eastAsia"/>
          <w:szCs w:val="21"/>
        </w:rPr>
        <w:t>人及以上，且营业收入</w:t>
      </w:r>
      <w:r>
        <w:rPr>
          <w:szCs w:val="21"/>
        </w:rPr>
        <w:t>1000</w:t>
      </w:r>
      <w:r>
        <w:rPr>
          <w:rFonts w:hint="eastAsia"/>
          <w:szCs w:val="21"/>
        </w:rPr>
        <w:t>万元及以上的为中型企业；从业人员</w:t>
      </w:r>
      <w:r>
        <w:rPr>
          <w:szCs w:val="21"/>
        </w:rPr>
        <w:t>100</w:t>
      </w:r>
      <w:r>
        <w:rPr>
          <w:rFonts w:hint="eastAsia"/>
          <w:szCs w:val="21"/>
        </w:rPr>
        <w:t>人及以上，且营业收入</w:t>
      </w:r>
      <w:r>
        <w:rPr>
          <w:szCs w:val="21"/>
        </w:rPr>
        <w:t>500</w:t>
      </w:r>
      <w:r>
        <w:rPr>
          <w:rFonts w:hint="eastAsia"/>
          <w:szCs w:val="21"/>
        </w:rPr>
        <w:t>万元及以上的为小型企业；从业人员</w:t>
      </w:r>
      <w:r>
        <w:rPr>
          <w:szCs w:val="21"/>
        </w:rPr>
        <w:t>100</w:t>
      </w:r>
      <w:r>
        <w:rPr>
          <w:rFonts w:hint="eastAsia"/>
          <w:szCs w:val="21"/>
        </w:rPr>
        <w:t>人以下或营业收入</w:t>
      </w:r>
      <w:r>
        <w:rPr>
          <w:szCs w:val="21"/>
        </w:rPr>
        <w:t>500</w:t>
      </w:r>
      <w:r>
        <w:rPr>
          <w:rFonts w:hint="eastAsia"/>
          <w:szCs w:val="21"/>
        </w:rPr>
        <w:t>万元以下的为微型企业。</w:t>
      </w:r>
    </w:p>
    <w:p w14:paraId="620B1C57">
      <w:pPr>
        <w:pStyle w:val="3"/>
        <w:rPr>
          <w:szCs w:val="21"/>
        </w:rPr>
      </w:pPr>
      <w:r>
        <w:rPr>
          <w:rFonts w:hint="eastAsia"/>
          <w:szCs w:val="21"/>
        </w:rPr>
        <w:t>　　（十五）租赁和商务服务业。从业人员</w:t>
      </w:r>
      <w:r>
        <w:rPr>
          <w:szCs w:val="21"/>
        </w:rPr>
        <w:t>300</w:t>
      </w:r>
      <w:r>
        <w:rPr>
          <w:rFonts w:hint="eastAsia"/>
          <w:szCs w:val="21"/>
        </w:rPr>
        <w:t>人以下或资产总额</w:t>
      </w:r>
      <w:r>
        <w:rPr>
          <w:szCs w:val="21"/>
        </w:rPr>
        <w:t>120000</w:t>
      </w:r>
      <w:r>
        <w:rPr>
          <w:rFonts w:hint="eastAsia"/>
          <w:szCs w:val="21"/>
        </w:rPr>
        <w:t>万元以下的为中小微型企业。其中，从业人员</w:t>
      </w:r>
      <w:r>
        <w:rPr>
          <w:szCs w:val="21"/>
        </w:rPr>
        <w:t>100</w:t>
      </w:r>
      <w:r>
        <w:rPr>
          <w:rFonts w:hint="eastAsia"/>
          <w:szCs w:val="21"/>
        </w:rPr>
        <w:t>人及以上，且资产总额</w:t>
      </w:r>
      <w:r>
        <w:rPr>
          <w:szCs w:val="21"/>
        </w:rPr>
        <w:t>8000</w:t>
      </w:r>
      <w:r>
        <w:rPr>
          <w:rFonts w:hint="eastAsia"/>
          <w:szCs w:val="21"/>
        </w:rPr>
        <w:t>万元及以上的为中型企业；从业人员</w:t>
      </w:r>
      <w:r>
        <w:rPr>
          <w:szCs w:val="21"/>
        </w:rPr>
        <w:t>10</w:t>
      </w:r>
      <w:r>
        <w:rPr>
          <w:rFonts w:hint="eastAsia"/>
          <w:szCs w:val="21"/>
        </w:rPr>
        <w:t>人及以上，且资产总额</w:t>
      </w:r>
      <w:r>
        <w:rPr>
          <w:szCs w:val="21"/>
        </w:rPr>
        <w:t>100</w:t>
      </w:r>
      <w:r>
        <w:rPr>
          <w:rFonts w:hint="eastAsia"/>
          <w:szCs w:val="21"/>
        </w:rPr>
        <w:t>万元及以上的为小型企业；从业人员</w:t>
      </w:r>
      <w:r>
        <w:rPr>
          <w:szCs w:val="21"/>
        </w:rPr>
        <w:t>10</w:t>
      </w:r>
      <w:r>
        <w:rPr>
          <w:rFonts w:hint="eastAsia"/>
          <w:szCs w:val="21"/>
        </w:rPr>
        <w:t>人以下或资产总额</w:t>
      </w:r>
      <w:r>
        <w:rPr>
          <w:szCs w:val="21"/>
        </w:rPr>
        <w:t>100</w:t>
      </w:r>
      <w:r>
        <w:rPr>
          <w:rFonts w:hint="eastAsia"/>
          <w:szCs w:val="21"/>
        </w:rPr>
        <w:t>万元以下的为微型企业。</w:t>
      </w:r>
    </w:p>
    <w:p w14:paraId="5BCAD447">
      <w:pPr>
        <w:pStyle w:val="3"/>
        <w:rPr>
          <w:szCs w:val="21"/>
        </w:rPr>
      </w:pPr>
      <w:r>
        <w:rPr>
          <w:rFonts w:hint="eastAsia"/>
          <w:szCs w:val="21"/>
        </w:rPr>
        <w:t>　　（十六）其他未列明行业。从业人员</w:t>
      </w:r>
      <w:r>
        <w:rPr>
          <w:szCs w:val="21"/>
        </w:rPr>
        <w:t>300</w:t>
      </w:r>
      <w:r>
        <w:rPr>
          <w:rFonts w:hint="eastAsia"/>
          <w:szCs w:val="21"/>
        </w:rPr>
        <w:t>人以下的为中小微型企业。其中，从业人员</w:t>
      </w:r>
      <w:r>
        <w:rPr>
          <w:szCs w:val="21"/>
        </w:rPr>
        <w:t>100</w:t>
      </w:r>
      <w:r>
        <w:rPr>
          <w:rFonts w:hint="eastAsia"/>
          <w:szCs w:val="21"/>
        </w:rPr>
        <w:t>人及以上的为中型企业；从业人员</w:t>
      </w:r>
      <w:r>
        <w:rPr>
          <w:szCs w:val="21"/>
        </w:rPr>
        <w:t>10</w:t>
      </w:r>
      <w:r>
        <w:rPr>
          <w:rFonts w:hint="eastAsia"/>
          <w:szCs w:val="21"/>
        </w:rPr>
        <w:t>人及以上的为小型企业；从业人员</w:t>
      </w:r>
      <w:r>
        <w:rPr>
          <w:szCs w:val="21"/>
        </w:rPr>
        <w:t>10</w:t>
      </w:r>
      <w:r>
        <w:rPr>
          <w:rFonts w:hint="eastAsia"/>
          <w:szCs w:val="21"/>
        </w:rPr>
        <w:t>人以下的为微型企业。</w:t>
      </w:r>
    </w:p>
    <w:p w14:paraId="4CB3DBEA">
      <w:pPr>
        <w:pStyle w:val="3"/>
        <w:rPr>
          <w:szCs w:val="21"/>
        </w:rPr>
      </w:pPr>
      <w:r>
        <w:rPr>
          <w:rFonts w:hint="eastAsia"/>
          <w:szCs w:val="21"/>
        </w:rPr>
        <w:t>　　五、企业类型的划分以统计部门的统计数据为依据。</w:t>
      </w:r>
    </w:p>
    <w:p w14:paraId="271F3A03">
      <w:pPr>
        <w:pStyle w:val="3"/>
        <w:rPr>
          <w:szCs w:val="21"/>
        </w:rPr>
      </w:pPr>
      <w:r>
        <w:rPr>
          <w:rFonts w:hint="eastAsia"/>
          <w:szCs w:val="21"/>
        </w:rPr>
        <w:t>　　六、本规定适用于在中华人民共和国境内依法设立的各类所有制和各种组织形式的企业。个体工商户和本规定以外的行业，参照本规定进行划型。</w:t>
      </w:r>
    </w:p>
    <w:p w14:paraId="6D006820">
      <w:pPr>
        <w:pStyle w:val="3"/>
        <w:rPr>
          <w:szCs w:val="21"/>
        </w:rPr>
      </w:pPr>
      <w:r>
        <w:rPr>
          <w:rFonts w:hint="eastAsia"/>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6BD97AB7">
      <w:pPr>
        <w:pStyle w:val="3"/>
        <w:rPr>
          <w:szCs w:val="21"/>
        </w:rPr>
      </w:pPr>
      <w:r>
        <w:rPr>
          <w:rFonts w:hint="eastAsia"/>
          <w:szCs w:val="21"/>
        </w:rPr>
        <w:t>　　八、本规定由工业和信息化部、国家统计局会同有关部门根据《国民经济行业分类》修订情况和企业发展变化情况适时修订。</w:t>
      </w:r>
    </w:p>
    <w:p w14:paraId="74FD95EF">
      <w:pPr>
        <w:pStyle w:val="3"/>
        <w:rPr>
          <w:szCs w:val="21"/>
        </w:rPr>
      </w:pPr>
      <w:r>
        <w:rPr>
          <w:rFonts w:hint="eastAsia"/>
          <w:szCs w:val="21"/>
        </w:rPr>
        <w:t>　　九、本规定由工业和信息化部、国家统计局会同有关部门负责解释。</w:t>
      </w:r>
    </w:p>
    <w:p w14:paraId="241AF92F">
      <w:r>
        <w:rPr>
          <w:rFonts w:hint="eastAsia"/>
          <w:szCs w:val="21"/>
        </w:rPr>
        <w:t>十、本规定自发布之日起执行，原国家经贸委、原国家计委、财政部和国家统计局</w:t>
      </w:r>
      <w:r>
        <w:rPr>
          <w:szCs w:val="21"/>
        </w:rPr>
        <w:t>2003</w:t>
      </w:r>
      <w:r>
        <w:rPr>
          <w:rFonts w:hint="eastAsia"/>
          <w:szCs w:val="21"/>
        </w:rPr>
        <w:t>年颁布的《中小企业标准暂行规定》同时废止。</w:t>
      </w:r>
    </w:p>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57D49"/>
    <w:rsid w:val="21E57D49"/>
    <w:rsid w:val="33F8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pPr>
      <w:spacing w:line="380" w:lineRule="exact"/>
    </w:pPr>
    <w:rPr>
      <w:kern w:val="0"/>
      <w:sz w:val="24"/>
    </w:rPr>
  </w:style>
  <w:style w:type="character" w:styleId="6">
    <w:name w:val="annotation reference"/>
    <w:unhideWhenUsed/>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2026-08-28T02:09:00Z</dcterms:created>
  <dc:creator>花开</dc:creator>
  <cp:lastModifiedBy>花开</cp:lastModifiedBy>
  <dcterms:modified xsi:type="dcterms:W3CDTF">2026-08-28T02:09:19Z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90569161553E4BF3B64BA7547F73731F_11</vt:lpwstr>
  </property>
  <property fmtid="{D5CDD505-2E9C-101B-9397-08002B2CF9AE}" pid="4" name="KSOTemplateDocerSaveRecord">
    <vt:lpwstr>eyJoZGlkIjoiZTdlZjYyZTZhYTQzNmUwM2ZmYjljMTdiZmUzNzQzOTMiLCJ1c2VySWQiOiIxNzkzNDk0NDE5In0=</vt:lpwstr>
  </property>
</Properties>
</file>