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00CC15">
      <w:pPr>
        <w:pStyle w:val="2"/>
        <w:spacing w:line="360" w:lineRule="auto"/>
        <w:jc w:val="center"/>
        <w:rPr>
          <w:color w:val="000000" w:themeColor="text1"/>
          <w14:textFill>
            <w14:solidFill>
              <w14:schemeClr w14:val="tx1"/>
            </w14:solidFill>
          </w14:textFill>
        </w:rPr>
      </w:pPr>
      <w:bookmarkStart w:id="0" w:name="_Toc26317"/>
      <w:bookmarkStart w:id="1" w:name="_Toc80886926"/>
      <w:r>
        <w:rPr>
          <w:rFonts w:hint="eastAsia" w:ascii="Cambria" w:hAnsi="Cambria"/>
          <w:bCs w:val="0"/>
          <w:color w:val="000000" w:themeColor="text1"/>
          <w:sz w:val="32"/>
          <w:szCs w:val="32"/>
          <w14:textFill>
            <w14:solidFill>
              <w14:schemeClr w14:val="tx1"/>
            </w14:solidFill>
          </w14:textFill>
        </w:rPr>
        <w:t>采购需求</w:t>
      </w:r>
      <w:bookmarkEnd w:id="0"/>
      <w:bookmarkEnd w:id="1"/>
    </w:p>
    <w:p w14:paraId="7EB65DDD">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w:t>
      </w:r>
    </w:p>
    <w:p w14:paraId="75A5F031">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olor w:val="000000" w:themeColor="text1"/>
          <w14:textFill>
            <w14:solidFill>
              <w14:schemeClr w14:val="tx1"/>
            </w14:solidFill>
          </w14:textFill>
        </w:rPr>
        <w:t>1</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为落实政府采购政策需满足的要求</w:t>
      </w:r>
    </w:p>
    <w:p w14:paraId="6F88F7BB">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（1）本竞争性磋商采购文件所称中小企业必须符合《政府采购促进中小企业发展管理办法》（财库〔2020〕46号）的规定。</w:t>
      </w:r>
    </w:p>
    <w:p w14:paraId="0BE1D993">
      <w:pPr>
        <w:tabs>
          <w:tab w:val="left" w:pos="180"/>
          <w:tab w:val="left" w:pos="1620"/>
        </w:tabs>
        <w:spacing w:line="360" w:lineRule="auto"/>
        <w:ind w:firstLine="420" w:firstLineChars="200"/>
        <w:rPr>
          <w:rFonts w:ascii="宋体" w:hAnsi="宋体" w:cs="宋体"/>
          <w:b/>
          <w:bCs/>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（2）服务项目中包含货物的，根据《财政部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0AA8752A">
      <w:pPr>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服务项目中包含货物的，根据《关于信息安全产品实施政府采购的通知》（财库〔2010〕48号）的规定，本项目采购范围包含信息安全产品的（信息安全产品包括：防火墙、网络安全隔离卡与线路选择器、安全隔离与信息交换产品、安全路由器、智能卡COS、数据备份与恢复产品、安全操作系统、安全数据库系统、反垃圾邮件产品、入侵检测系统（IDS）、网络脆弱扫描产品、安全审计产品、网站恢复产品），供应商必须在响应文件中提供中国信息安全认证中心授予的有效的信息安全产品认证证书（加盖供应商公章），否则响应文件作无效处理。</w:t>
      </w:r>
    </w:p>
    <w:p w14:paraId="62383C15">
      <w:pPr>
        <w:spacing w:line="360" w:lineRule="auto"/>
        <w:ind w:firstLine="424" w:firstLineChars="202"/>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w:t>
      </w:r>
      <w:r>
        <w:rPr>
          <w:rFonts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t>）根据《关于调整网络安全专用产品安全管理有关事项的公告》（2023年1号）规定，本项目采购需求中的服务伴随的产品如果包括《网络关键设备和网络安全专用产品目录》的网络安全专用产品，供应商在响应文件中应主动列明供货范围中属于网络安全专用产品的磋商产品，并在响应文件（商务及技术文件）中提供由中国网信网（ 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cs="宋体"/>
          <w:b/>
          <w:bCs/>
          <w:color w:val="000000" w:themeColor="text1"/>
          <w:szCs w:val="21"/>
          <w14:textFill>
            <w14:solidFill>
              <w14:schemeClr w14:val="tx1"/>
            </w14:solidFill>
          </w14:textFill>
        </w:rPr>
        <w:t>响应无</w:t>
      </w:r>
      <w:r>
        <w:rPr>
          <w:rFonts w:hint="eastAsia" w:ascii="宋体" w:hAnsi="宋体" w:cs="宋体"/>
          <w:b/>
          <w:color w:val="000000" w:themeColor="text1"/>
          <w:szCs w:val="21"/>
          <w14:textFill>
            <w14:solidFill>
              <w14:schemeClr w14:val="tx1"/>
            </w14:solidFill>
          </w14:textFill>
        </w:rPr>
        <w:t>效。</w:t>
      </w:r>
      <w:r>
        <w:rPr>
          <w:rFonts w:hint="eastAsia" w:ascii="宋体" w:hAnsi="宋体" w:cs="宋体"/>
          <w:color w:val="000000" w:themeColor="text1"/>
          <w:szCs w:val="21"/>
          <w14:textFill>
            <w14:solidFill>
              <w14:schemeClr w14:val="tx1"/>
            </w14:solidFill>
          </w14:textFill>
        </w:rPr>
        <w:t>如属于《网络关键设备和网络安全专用产品目录》中“二、网络安全专用产品”内“产品类别”中的所描述的产品，但不属于所列“产品描述”情形的，应提供相应的说明及证明材料。</w:t>
      </w:r>
    </w:p>
    <w:p w14:paraId="52C3AAD3">
      <w:pPr>
        <w:spacing w:line="360" w:lineRule="auto"/>
        <w:ind w:firstLine="426" w:firstLineChars="202"/>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2.“实质性要求”是指采购需求中带“▲”的条款或者不能负偏离的条款或者已经指明不满足按响应文件作无效处理的条款。</w:t>
      </w:r>
    </w:p>
    <w:p w14:paraId="5BA8DB33">
      <w:pPr>
        <w:spacing w:line="360" w:lineRule="auto"/>
        <w:ind w:firstLine="424" w:firstLineChars="202"/>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 不需要供应商对采购需求响应为具体数值的，此采购需求的数值后将以◆号标注。</w:t>
      </w:r>
    </w:p>
    <w:p w14:paraId="0BA22715">
      <w:pPr>
        <w:spacing w:line="360" w:lineRule="auto"/>
        <w:ind w:firstLine="424" w:firstLineChars="202"/>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4. 供应商应根据自身实际情况如实响应磋商文件，对磋商文件提出的要求和条件作出明确响应，否则将作无效响应处理。对于重要技术条款或技术参数应当在响应文件中提供技术支持资料，技术支持资料以磋商文件中规定的形式为准，否则将视为无效技术支持资料。</w:t>
      </w:r>
    </w:p>
    <w:p w14:paraId="21542321">
      <w:pPr>
        <w:spacing w:line="360" w:lineRule="auto"/>
        <w:ind w:firstLine="424" w:firstLineChars="202"/>
        <w:jc w:val="left"/>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lang w:val="en-US" w:eastAsia="zh-CN"/>
          <w14:textFill>
            <w14:solidFill>
              <w14:schemeClr w14:val="tx1"/>
            </w14:solidFill>
          </w14:textFill>
        </w:rPr>
        <w:t>5.</w:t>
      </w:r>
      <w:r>
        <w:rPr>
          <w:rFonts w:hint="eastAsia" w:ascii="宋体" w:hAnsi="宋体" w:eastAsia="宋体" w:cs="宋体"/>
          <w:color w:val="000000" w:themeColor="text1"/>
          <w:szCs w:val="21"/>
          <w14:textFill>
            <w14:solidFill>
              <w14:schemeClr w14:val="tx1"/>
            </w14:solidFill>
          </w14:textFill>
        </w:rPr>
        <w:t>供应商必须自行为其竞标产品侵犯他人的知识产权或者专利成果的行为承担相应法律责任。</w:t>
      </w:r>
    </w:p>
    <w:p w14:paraId="48A29136">
      <w:pPr>
        <w:spacing w:line="360" w:lineRule="auto"/>
        <w:rPr>
          <w:rFonts w:hint="default" w:ascii="宋体" w:hAnsi="宋体" w:cs="宋体"/>
          <w:b/>
          <w:bCs/>
          <w:color w:val="000000" w:themeColor="text1"/>
          <w:szCs w:val="21"/>
          <w:highlight w:val="none"/>
          <w:lang w:val="en-US" w:eastAsia="zh-CN"/>
          <w14:textFill>
            <w14:solidFill>
              <w14:schemeClr w14:val="tx1"/>
            </w14:solidFill>
          </w14:textFill>
        </w:rPr>
      </w:pPr>
      <w:r>
        <w:rPr>
          <w:rFonts w:hint="eastAsia" w:ascii="宋体" w:hAnsi="宋体" w:cs="宋体"/>
          <w:b/>
          <w:bCs/>
          <w:color w:val="000000" w:themeColor="text1"/>
          <w:szCs w:val="21"/>
          <w:highlight w:val="none"/>
          <w:lang w:val="en-US" w:eastAsia="zh-CN"/>
          <w14:textFill>
            <w14:solidFill>
              <w14:schemeClr w14:val="tx1"/>
            </w14:solidFill>
          </w14:textFill>
        </w:rPr>
        <w:t>一、服务需求</w:t>
      </w:r>
    </w:p>
    <w:tbl>
      <w:tblPr>
        <w:tblStyle w:val="27"/>
        <w:tblW w:w="1012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192"/>
        <w:gridCol w:w="703"/>
        <w:gridCol w:w="567"/>
        <w:gridCol w:w="577"/>
        <w:gridCol w:w="4961"/>
        <w:gridCol w:w="1024"/>
        <w:gridCol w:w="1007"/>
      </w:tblGrid>
      <w:tr w14:paraId="1BB889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121" w:type="dxa"/>
            <w:gridSpan w:val="9"/>
            <w:tcBorders>
              <w:top w:val="single" w:color="auto" w:sz="4" w:space="0"/>
              <w:left w:val="single" w:color="auto" w:sz="4" w:space="0"/>
              <w:bottom w:val="nil"/>
              <w:right w:val="single" w:color="auto" w:sz="4" w:space="0"/>
            </w:tcBorders>
            <w:noWrap/>
            <w:vAlign w:val="center"/>
          </w:tcPr>
          <w:p w14:paraId="3415D0EA">
            <w:pPr>
              <w:spacing w:line="360" w:lineRule="auto"/>
              <w:jc w:val="center"/>
              <w:rPr>
                <w:rFonts w:ascii="宋体" w:hAnsi="宋体" w:cs="宋体"/>
                <w:b/>
                <w:color w:val="000000" w:themeColor="text1"/>
                <w:sz w:val="24"/>
                <w:szCs w:val="24"/>
                <w:highlight w:val="none"/>
                <w14:textFill>
                  <w14:solidFill>
                    <w14:schemeClr w14:val="tx1"/>
                  </w14:solidFill>
                </w14:textFill>
              </w:rPr>
            </w:pPr>
            <w:r>
              <w:rPr>
                <w:rFonts w:hint="eastAsia" w:ascii="仿宋_GB2312" w:hAnsi="宋体" w:eastAsia="仿宋_GB2312" w:cs="Arial"/>
                <w:b/>
                <w:color w:val="000000" w:themeColor="text1"/>
                <w:sz w:val="24"/>
                <w:szCs w:val="24"/>
                <w:highlight w:val="none"/>
                <w14:textFill>
                  <w14:solidFill>
                    <w14:schemeClr w14:val="tx1"/>
                  </w14:solidFill>
                </w14:textFill>
              </w:rPr>
              <w:t>服务需求一览表</w:t>
            </w:r>
          </w:p>
        </w:tc>
      </w:tr>
      <w:tr w14:paraId="3FCF4F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985" w:type="dxa"/>
            <w:gridSpan w:val="4"/>
            <w:tcBorders>
              <w:top w:val="single" w:color="auto" w:sz="4" w:space="0"/>
              <w:left w:val="single" w:color="auto" w:sz="4" w:space="0"/>
              <w:bottom w:val="nil"/>
              <w:right w:val="single" w:color="auto" w:sz="4" w:space="0"/>
            </w:tcBorders>
            <w:noWrap/>
            <w:vAlign w:val="center"/>
          </w:tcPr>
          <w:p w14:paraId="6778FF7E">
            <w:pPr>
              <w:spacing w:line="360" w:lineRule="auto"/>
              <w:jc w:val="center"/>
              <w:rPr>
                <w:rFonts w:ascii="仿宋_GB2312" w:hAnsi="宋体" w:eastAsia="仿宋_GB2312" w:cs="Arial"/>
                <w:color w:val="000000" w:themeColor="text1"/>
                <w:sz w:val="24"/>
                <w:szCs w:val="24"/>
                <w:highlight w:val="none"/>
                <w14:textFill>
                  <w14:solidFill>
                    <w14:schemeClr w14:val="tx1"/>
                  </w14:solidFill>
                </w14:textFill>
              </w:rPr>
            </w:pPr>
            <w:r>
              <w:rPr>
                <w:rFonts w:hint="eastAsia" w:ascii="仿宋_GB2312" w:hAnsi="宋体" w:eastAsia="仿宋_GB2312" w:cs="Arial"/>
                <w:color w:val="000000" w:themeColor="text1"/>
                <w:sz w:val="24"/>
                <w:szCs w:val="24"/>
                <w:highlight w:val="none"/>
                <w14:textFill>
                  <w14:solidFill>
                    <w14:schemeClr w14:val="tx1"/>
                  </w14:solidFill>
                </w14:textFill>
              </w:rPr>
              <w:t>标段</w:t>
            </w:r>
          </w:p>
        </w:tc>
        <w:tc>
          <w:tcPr>
            <w:tcW w:w="8136" w:type="dxa"/>
            <w:gridSpan w:val="5"/>
            <w:tcBorders>
              <w:top w:val="single" w:color="auto" w:sz="4" w:space="0"/>
              <w:left w:val="single" w:color="auto" w:sz="4" w:space="0"/>
              <w:bottom w:val="nil"/>
              <w:right w:val="single" w:color="auto" w:sz="4" w:space="0"/>
            </w:tcBorders>
            <w:noWrap/>
            <w:vAlign w:val="center"/>
          </w:tcPr>
          <w:p w14:paraId="6CC9778C">
            <w:pPr>
              <w:spacing w:line="360" w:lineRule="auto"/>
              <w:jc w:val="left"/>
              <w:rPr>
                <w:rFonts w:hAnsi="宋体"/>
                <w:b/>
                <w:bCs/>
                <w:color w:val="000000" w:themeColor="text1"/>
                <w:sz w:val="24"/>
                <w:szCs w:val="24"/>
                <w:highlight w:val="none"/>
                <w14:textFill>
                  <w14:solidFill>
                    <w14:schemeClr w14:val="tx1"/>
                  </w14:solidFill>
                </w14:textFill>
              </w:rPr>
            </w:pPr>
            <w:r>
              <w:rPr>
                <w:rFonts w:hint="eastAsia" w:ascii="仿宋_GB2312" w:hAnsi="宋体" w:eastAsia="仿宋_GB2312" w:cs="Arial"/>
                <w:color w:val="000000" w:themeColor="text1"/>
                <w:sz w:val="24"/>
                <w:szCs w:val="24"/>
                <w:highlight w:val="none"/>
                <w:lang w:val="en-US" w:eastAsia="zh-CN"/>
                <w14:textFill>
                  <w14:solidFill>
                    <w14:schemeClr w14:val="tx1"/>
                  </w14:solidFill>
                </w14:textFill>
              </w:rPr>
              <w:t>单</w:t>
            </w:r>
            <w:r>
              <w:rPr>
                <w:rFonts w:hint="eastAsia" w:hAnsi="宋体"/>
                <w:b/>
                <w:bCs/>
                <w:color w:val="000000" w:themeColor="text1"/>
                <w:sz w:val="24"/>
                <w:szCs w:val="24"/>
                <w:highlight w:val="none"/>
                <w14:textFill>
                  <w14:solidFill>
                    <w14:schemeClr w14:val="tx1"/>
                  </w14:solidFill>
                </w14:textFill>
              </w:rPr>
              <w:t>分标</w:t>
            </w:r>
          </w:p>
        </w:tc>
      </w:tr>
      <w:tr w14:paraId="0FB24F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bottom w:val="single" w:color="auto" w:sz="4" w:space="0"/>
              <w:right w:val="single" w:color="auto" w:sz="4" w:space="0"/>
            </w:tcBorders>
            <w:noWrap/>
          </w:tcPr>
          <w:p w14:paraId="5317AF0F">
            <w:pPr>
              <w:spacing w:line="360" w:lineRule="auto"/>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采购清单及技术参数</w:t>
            </w:r>
          </w:p>
        </w:tc>
        <w:tc>
          <w:tcPr>
            <w:tcW w:w="545"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66E4E352">
            <w:pPr>
              <w:spacing w:line="360" w:lineRule="auto"/>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序号</w:t>
            </w:r>
          </w:p>
        </w:tc>
        <w:tc>
          <w:tcPr>
            <w:tcW w:w="895" w:type="dxa"/>
            <w:gridSpan w:val="2"/>
            <w:tcBorders>
              <w:top w:val="single" w:color="auto" w:sz="4" w:space="0"/>
              <w:left w:val="single" w:color="auto" w:sz="4" w:space="0"/>
              <w:bottom w:val="single" w:color="auto" w:sz="4" w:space="0"/>
              <w:right w:val="single" w:color="auto" w:sz="4" w:space="0"/>
            </w:tcBorders>
            <w:noWrap/>
            <w:vAlign w:val="center"/>
          </w:tcPr>
          <w:p w14:paraId="48A6551E">
            <w:pPr>
              <w:spacing w:line="360" w:lineRule="auto"/>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标的的名称</w:t>
            </w:r>
          </w:p>
        </w:tc>
        <w:tc>
          <w:tcPr>
            <w:tcW w:w="567" w:type="dxa"/>
            <w:tcBorders>
              <w:top w:val="single" w:color="auto" w:sz="4" w:space="0"/>
              <w:left w:val="single" w:color="auto" w:sz="4" w:space="0"/>
              <w:bottom w:val="single" w:color="auto" w:sz="4" w:space="0"/>
              <w:right w:val="single" w:color="auto" w:sz="4" w:space="0"/>
            </w:tcBorders>
            <w:noWrap/>
            <w:vAlign w:val="center"/>
          </w:tcPr>
          <w:p w14:paraId="5776AAA0">
            <w:pPr>
              <w:spacing w:line="360" w:lineRule="auto"/>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单位</w:t>
            </w:r>
          </w:p>
        </w:tc>
        <w:tc>
          <w:tcPr>
            <w:tcW w:w="577" w:type="dxa"/>
            <w:tcBorders>
              <w:top w:val="single" w:color="auto" w:sz="4" w:space="0"/>
              <w:left w:val="single" w:color="auto" w:sz="4" w:space="0"/>
              <w:bottom w:val="single" w:color="auto" w:sz="4" w:space="0"/>
              <w:right w:val="single" w:color="auto" w:sz="4" w:space="0"/>
            </w:tcBorders>
            <w:noWrap/>
            <w:vAlign w:val="center"/>
          </w:tcPr>
          <w:p w14:paraId="1F3C156A">
            <w:pPr>
              <w:spacing w:line="360" w:lineRule="auto"/>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数量</w:t>
            </w:r>
          </w:p>
        </w:tc>
        <w:tc>
          <w:tcPr>
            <w:tcW w:w="4961" w:type="dxa"/>
            <w:tcBorders>
              <w:top w:val="single" w:color="auto" w:sz="4" w:space="0"/>
              <w:left w:val="single" w:color="auto" w:sz="4" w:space="0"/>
              <w:bottom w:val="single" w:color="auto" w:sz="4" w:space="0"/>
              <w:right w:val="single" w:color="auto" w:sz="4" w:space="0"/>
            </w:tcBorders>
            <w:noWrap/>
            <w:vAlign w:val="center"/>
          </w:tcPr>
          <w:p w14:paraId="46884928">
            <w:pPr>
              <w:spacing w:line="360" w:lineRule="auto"/>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服务参数</w:t>
            </w:r>
          </w:p>
        </w:tc>
        <w:tc>
          <w:tcPr>
            <w:tcW w:w="1024" w:type="dxa"/>
            <w:tcBorders>
              <w:top w:val="single" w:color="auto" w:sz="4" w:space="0"/>
              <w:left w:val="single" w:color="auto" w:sz="4" w:space="0"/>
              <w:bottom w:val="single" w:color="auto" w:sz="4" w:space="0"/>
              <w:right w:val="single" w:color="auto" w:sz="4" w:space="0"/>
            </w:tcBorders>
            <w:noWrap/>
            <w:vAlign w:val="center"/>
          </w:tcPr>
          <w:p w14:paraId="56D69E81">
            <w:pPr>
              <w:spacing w:line="360" w:lineRule="auto"/>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分项预算合计（元）</w:t>
            </w:r>
          </w:p>
        </w:tc>
        <w:tc>
          <w:tcPr>
            <w:tcW w:w="1007" w:type="dxa"/>
            <w:tcBorders>
              <w:top w:val="single" w:color="auto" w:sz="4" w:space="0"/>
              <w:left w:val="single" w:color="auto" w:sz="4" w:space="0"/>
              <w:bottom w:val="single" w:color="auto" w:sz="4" w:space="0"/>
              <w:right w:val="single" w:color="auto" w:sz="4" w:space="0"/>
            </w:tcBorders>
            <w:noWrap/>
            <w:vAlign w:val="center"/>
          </w:tcPr>
          <w:p w14:paraId="7E0FB8BC">
            <w:pPr>
              <w:spacing w:line="360" w:lineRule="auto"/>
              <w:jc w:val="center"/>
              <w:rPr>
                <w:rFonts w:ascii="宋体" w:hAnsi="宋体" w:cs="宋体"/>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中小企业划分标准所属行业名称</w:t>
            </w:r>
          </w:p>
        </w:tc>
      </w:tr>
      <w:tr w14:paraId="426769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top w:val="single" w:color="auto" w:sz="4" w:space="0"/>
              <w:left w:val="single" w:color="auto" w:sz="4" w:space="0"/>
              <w:bottom w:val="single" w:color="auto" w:sz="4" w:space="0"/>
              <w:right w:val="single" w:color="auto" w:sz="4" w:space="0"/>
            </w:tcBorders>
            <w:noWrap/>
            <w:vAlign w:val="center"/>
          </w:tcPr>
          <w:p w14:paraId="419BB9C8">
            <w:pPr>
              <w:widowControl/>
              <w:spacing w:line="360" w:lineRule="auto"/>
              <w:jc w:val="left"/>
              <w:rPr>
                <w:rFonts w:ascii="宋体" w:hAnsi="宋体" w:cs="宋体"/>
                <w:color w:val="000000" w:themeColor="text1"/>
                <w:sz w:val="24"/>
                <w:szCs w:val="24"/>
                <w:highlight w:val="none"/>
                <w14:textFill>
                  <w14:solidFill>
                    <w14:schemeClr w14:val="tx1"/>
                  </w14:solidFill>
                </w14:textFill>
              </w:rPr>
            </w:pPr>
          </w:p>
        </w:tc>
        <w:tc>
          <w:tcPr>
            <w:tcW w:w="545" w:type="dxa"/>
            <w:tcBorders>
              <w:top w:val="single" w:color="auto" w:sz="4" w:space="0"/>
              <w:left w:val="single" w:color="auto" w:sz="4" w:space="0"/>
              <w:bottom w:val="single" w:color="auto" w:sz="4" w:space="0"/>
              <w:right w:val="single" w:color="auto" w:sz="4" w:space="0"/>
            </w:tcBorders>
            <w:noWrap/>
            <w:vAlign w:val="center"/>
          </w:tcPr>
          <w:p w14:paraId="3E0A1FB4">
            <w:pPr>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p>
        </w:tc>
        <w:tc>
          <w:tcPr>
            <w:tcW w:w="895" w:type="dxa"/>
            <w:gridSpan w:val="2"/>
            <w:tcBorders>
              <w:top w:val="single" w:color="auto" w:sz="4" w:space="0"/>
              <w:left w:val="single" w:color="auto" w:sz="4" w:space="0"/>
              <w:bottom w:val="single" w:color="auto" w:sz="4" w:space="0"/>
              <w:right w:val="single" w:color="auto" w:sz="4" w:space="0"/>
            </w:tcBorders>
            <w:noWrap/>
            <w:vAlign w:val="center"/>
          </w:tcPr>
          <w:p w14:paraId="48CCFE8D">
            <w:pPr>
              <w:spacing w:line="360" w:lineRule="auto"/>
              <w:rPr>
                <w:rFonts w:ascii="宋体" w:hAnsi="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上林县公共就业服务体系AI数智项目</w:t>
            </w:r>
          </w:p>
        </w:tc>
        <w:tc>
          <w:tcPr>
            <w:tcW w:w="567" w:type="dxa"/>
            <w:tcBorders>
              <w:top w:val="single" w:color="auto" w:sz="4" w:space="0"/>
              <w:left w:val="single" w:color="auto" w:sz="4" w:space="0"/>
              <w:bottom w:val="single" w:color="auto" w:sz="4" w:space="0"/>
              <w:right w:val="single" w:color="auto" w:sz="4" w:space="0"/>
            </w:tcBorders>
            <w:noWrap/>
            <w:vAlign w:val="center"/>
          </w:tcPr>
          <w:p w14:paraId="35E8A94D">
            <w:pPr>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项</w:t>
            </w:r>
          </w:p>
        </w:tc>
        <w:tc>
          <w:tcPr>
            <w:tcW w:w="577" w:type="dxa"/>
            <w:tcBorders>
              <w:top w:val="single" w:color="auto" w:sz="4" w:space="0"/>
              <w:left w:val="single" w:color="auto" w:sz="4" w:space="0"/>
              <w:bottom w:val="single" w:color="auto" w:sz="4" w:space="0"/>
              <w:right w:val="single" w:color="auto" w:sz="4" w:space="0"/>
            </w:tcBorders>
            <w:noWrap/>
            <w:vAlign w:val="center"/>
          </w:tcPr>
          <w:p w14:paraId="4B1A1C4D">
            <w:pPr>
              <w:spacing w:line="360" w:lineRule="auto"/>
              <w:jc w:val="center"/>
              <w:rPr>
                <w:rFonts w:ascii="宋体" w:hAnsi="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vertAlign w:val="baseline"/>
                <w:lang w:val="en-US" w:eastAsia="zh-CN"/>
                <w14:textFill>
                  <w14:solidFill>
                    <w14:schemeClr w14:val="tx1"/>
                  </w14:solidFill>
                </w14:textFill>
              </w:rPr>
              <w:t>1</w:t>
            </w:r>
          </w:p>
        </w:tc>
        <w:tc>
          <w:tcPr>
            <w:tcW w:w="4961" w:type="dxa"/>
            <w:tcBorders>
              <w:top w:val="single" w:color="auto" w:sz="4" w:space="0"/>
              <w:left w:val="single" w:color="auto" w:sz="4" w:space="0"/>
              <w:bottom w:val="single" w:color="auto" w:sz="4" w:space="0"/>
              <w:right w:val="single" w:color="auto" w:sz="4" w:space="0"/>
            </w:tcBorders>
            <w:noWrap/>
          </w:tcPr>
          <w:p w14:paraId="2FC1821F">
            <w:pPr>
              <w:keepNext w:val="0"/>
              <w:keepLines w:val="0"/>
              <w:pageBreakBefore w:val="0"/>
              <w:widowControl/>
              <w:numPr>
                <w:ilvl w:val="0"/>
                <w:numId w:val="0"/>
              </w:numPr>
              <w:pBdr>
                <w:left w:val="none" w:color="auto" w:sz="0" w:space="0"/>
              </w:pBdr>
              <w:kinsoku/>
              <w:wordWrap/>
              <w:overflowPunct w:val="0"/>
              <w:topLinePunct/>
              <w:autoSpaceDE/>
              <w:autoSpaceDN/>
              <w:bidi w:val="0"/>
              <w:adjustRightInd/>
              <w:snapToGrid/>
              <w:spacing w:afterAutospacing="0" w:line="360" w:lineRule="auto"/>
              <w:ind w:left="0" w:firstLine="482" w:firstLineChars="200"/>
              <w:jc w:val="both"/>
              <w:textAlignment w:val="auto"/>
              <w:rPr>
                <w:rFonts w:hint="eastAsia" w:ascii="宋体" w:hAnsi="宋体" w:eastAsia="宋体" w:cs="宋体"/>
                <w:b/>
                <w:bCs/>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0"/>
                <w:kern w:val="2"/>
                <w:sz w:val="24"/>
                <w:szCs w:val="24"/>
                <w:highlight w:val="none"/>
                <w:lang w:val="en-US" w:eastAsia="zh-CN" w:bidi="ar-SA"/>
                <w14:textFill>
                  <w14:solidFill>
                    <w14:schemeClr w14:val="tx1"/>
                  </w14:solidFill>
                </w14:textFill>
              </w:rPr>
              <w:t>一、目标</w:t>
            </w:r>
          </w:p>
          <w:p w14:paraId="33F47BD8">
            <w:pPr>
              <w:keepNext w:val="0"/>
              <w:keepLines w:val="0"/>
              <w:pageBreakBefore w:val="0"/>
              <w:widowControl/>
              <w:numPr>
                <w:ilvl w:val="0"/>
                <w:numId w:val="0"/>
              </w:numPr>
              <w:pBdr>
                <w:left w:val="none" w:color="auto" w:sz="0" w:space="0"/>
              </w:pBdr>
              <w:kinsoku/>
              <w:wordWrap/>
              <w:overflowPunct w:val="0"/>
              <w:topLinePunct/>
              <w:autoSpaceDE/>
              <w:autoSpaceDN/>
              <w:bidi w:val="0"/>
              <w:adjustRightInd/>
              <w:snapToGrid/>
              <w:spacing w:afterAutospacing="0" w:line="360" w:lineRule="auto"/>
              <w:ind w:left="0" w:firstLine="480" w:firstLineChars="200"/>
              <w:jc w:val="both"/>
              <w:textAlignment w:val="auto"/>
              <w:rPr>
                <w:rFonts w:hint="eastAsia" w:ascii="宋体" w:hAnsi="宋体" w:eastAsia="宋体" w:cs="宋体"/>
                <w:b w:val="0"/>
                <w:bCs w:val="0"/>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pacing w:val="0"/>
                <w:kern w:val="2"/>
                <w:sz w:val="24"/>
                <w:szCs w:val="24"/>
                <w:highlight w:val="none"/>
                <w:lang w:val="en-US" w:eastAsia="zh-CN" w:bidi="ar-SA"/>
                <w14:textFill>
                  <w14:solidFill>
                    <w14:schemeClr w14:val="tx1"/>
                  </w14:solidFill>
                </w14:textFill>
              </w:rPr>
              <w:t>建成覆盖上林县11个乡镇的“1个县级总站+1</w:t>
            </w:r>
            <w:r>
              <w:rPr>
                <w:rFonts w:hint="eastAsia" w:ascii="宋体" w:hAnsi="宋体" w:cs="宋体"/>
                <w:b w:val="0"/>
                <w:bCs w:val="0"/>
                <w:color w:val="000000" w:themeColor="text1"/>
                <w:spacing w:val="0"/>
                <w:kern w:val="2"/>
                <w:sz w:val="24"/>
                <w:szCs w:val="24"/>
                <w:highlight w:val="none"/>
                <w:lang w:val="en-US" w:eastAsia="zh-CN" w:bidi="ar-SA"/>
                <w14:textFill>
                  <w14:solidFill>
                    <w14:schemeClr w14:val="tx1"/>
                  </w14:solidFill>
                </w14:textFill>
              </w:rPr>
              <w:t>0</w:t>
            </w:r>
            <w:r>
              <w:rPr>
                <w:rFonts w:hint="eastAsia" w:ascii="宋体" w:hAnsi="宋体" w:eastAsia="宋体" w:cs="宋体"/>
                <w:b w:val="0"/>
                <w:bCs w:val="0"/>
                <w:color w:val="000000" w:themeColor="text1"/>
                <w:spacing w:val="0"/>
                <w:kern w:val="2"/>
                <w:sz w:val="24"/>
                <w:szCs w:val="24"/>
                <w:highlight w:val="none"/>
                <w:lang w:val="en-US" w:eastAsia="zh-CN" w:bidi="ar-SA"/>
                <w14:textFill>
                  <w14:solidFill>
                    <w14:schemeClr w14:val="tx1"/>
                  </w14:solidFill>
                </w14:textFill>
              </w:rPr>
              <w:t>个乡镇分站”就业数智服务网络，</w:t>
            </w:r>
            <w:r>
              <w:rPr>
                <w:rFonts w:hint="eastAsia" w:ascii="宋体" w:hAnsi="宋体" w:eastAsia="宋体" w:cs="宋体"/>
                <w:color w:val="000000" w:themeColor="text1"/>
                <w:sz w:val="24"/>
                <w:szCs w:val="24"/>
                <w:highlight w:val="none"/>
                <w:lang w:val="en-US" w:eastAsia="zh-CN"/>
                <w14:textFill>
                  <w14:solidFill>
                    <w14:schemeClr w14:val="tx1"/>
                  </w14:solidFill>
                </w14:textFill>
              </w:rPr>
              <w:t>实现“家门口就业+精准岗位匹配+政策直达”</w:t>
            </w:r>
            <w:r>
              <w:rPr>
                <w:rFonts w:hint="eastAsia" w:ascii="宋体" w:hAnsi="宋体" w:cs="宋体"/>
                <w:color w:val="000000" w:themeColor="text1"/>
                <w:sz w:val="24"/>
                <w:szCs w:val="24"/>
                <w:highlight w:val="none"/>
                <w:lang w:val="en-US" w:eastAsia="zh-CN"/>
                <w14:textFill>
                  <w14:solidFill>
                    <w14:schemeClr w14:val="tx1"/>
                  </w14:solidFill>
                </w14:textFill>
              </w:rPr>
              <w:t>功能</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49042861">
            <w:pPr>
              <w:keepNext w:val="0"/>
              <w:keepLines w:val="0"/>
              <w:pageBreakBefore w:val="0"/>
              <w:widowControl/>
              <w:numPr>
                <w:ilvl w:val="0"/>
                <w:numId w:val="0"/>
              </w:numPr>
              <w:pBdr>
                <w:left w:val="none" w:color="auto" w:sz="0" w:space="0"/>
              </w:pBdr>
              <w:kinsoku/>
              <w:wordWrap/>
              <w:overflowPunct w:val="0"/>
              <w:topLinePunct/>
              <w:autoSpaceDE/>
              <w:autoSpaceDN/>
              <w:bidi w:val="0"/>
              <w:adjustRightInd/>
              <w:snapToGrid/>
              <w:spacing w:afterAutospacing="0" w:line="360" w:lineRule="auto"/>
              <w:ind w:left="0" w:firstLine="482" w:firstLineChars="200"/>
              <w:jc w:val="both"/>
              <w:textAlignment w:val="auto"/>
              <w:rPr>
                <w:rFonts w:hint="eastAsia" w:ascii="宋体" w:hAnsi="宋体" w:eastAsia="宋体" w:cs="宋体"/>
                <w:b/>
                <w:bCs/>
                <w:color w:val="000000" w:themeColor="text1"/>
                <w:spacing w:val="0"/>
                <w:kern w:val="2"/>
                <w:sz w:val="24"/>
                <w:szCs w:val="24"/>
                <w:highlight w:val="none"/>
                <w:lang w:val="en-US" w:eastAsia="zh-CN" w:bidi="ar-SA"/>
                <w14:textFill>
                  <w14:solidFill>
                    <w14:schemeClr w14:val="tx1"/>
                  </w14:solidFill>
                </w14:textFill>
              </w:rPr>
            </w:pPr>
            <w:r>
              <w:rPr>
                <w:rFonts w:hint="eastAsia" w:ascii="宋体" w:hAnsi="宋体" w:cs="宋体"/>
                <w:b/>
                <w:bCs/>
                <w:color w:val="000000" w:themeColor="text1"/>
                <w:spacing w:val="0"/>
                <w:kern w:val="2"/>
                <w:sz w:val="24"/>
                <w:szCs w:val="24"/>
                <w:highlight w:val="none"/>
                <w:lang w:val="en-US" w:eastAsia="zh-CN" w:bidi="ar-SA"/>
                <w14:textFill>
                  <w14:solidFill>
                    <w14:schemeClr w14:val="tx1"/>
                  </w14:solidFill>
                </w14:textFill>
              </w:rPr>
              <w:t>二</w:t>
            </w:r>
            <w:r>
              <w:rPr>
                <w:rFonts w:hint="eastAsia" w:ascii="宋体" w:hAnsi="宋体" w:eastAsia="宋体" w:cs="宋体"/>
                <w:b/>
                <w:bCs/>
                <w:color w:val="000000" w:themeColor="text1"/>
                <w:spacing w:val="0"/>
                <w:kern w:val="2"/>
                <w:sz w:val="24"/>
                <w:szCs w:val="24"/>
                <w:highlight w:val="none"/>
                <w:lang w:val="en-US" w:eastAsia="zh-CN" w:bidi="ar-SA"/>
                <w14:textFill>
                  <w14:solidFill>
                    <w14:schemeClr w14:val="tx1"/>
                  </w14:solidFill>
                </w14:textFill>
              </w:rPr>
              <w:t>、</w:t>
            </w:r>
            <w:r>
              <w:rPr>
                <w:rFonts w:hint="eastAsia" w:ascii="宋体" w:hAnsi="宋体" w:cs="宋体"/>
                <w:b/>
                <w:bCs/>
                <w:color w:val="000000" w:themeColor="text1"/>
                <w:spacing w:val="0"/>
                <w:kern w:val="2"/>
                <w:sz w:val="24"/>
                <w:szCs w:val="24"/>
                <w:highlight w:val="none"/>
                <w:lang w:val="en-US" w:eastAsia="zh-CN" w:bidi="ar-SA"/>
                <w14:textFill>
                  <w14:solidFill>
                    <w14:schemeClr w14:val="tx1"/>
                  </w14:solidFill>
                </w14:textFill>
              </w:rPr>
              <w:t>服务</w:t>
            </w:r>
            <w:r>
              <w:rPr>
                <w:rFonts w:hint="eastAsia" w:ascii="宋体" w:hAnsi="宋体" w:eastAsia="宋体" w:cs="宋体"/>
                <w:b/>
                <w:bCs/>
                <w:color w:val="000000" w:themeColor="text1"/>
                <w:spacing w:val="0"/>
                <w:kern w:val="2"/>
                <w:sz w:val="24"/>
                <w:szCs w:val="24"/>
                <w:highlight w:val="none"/>
                <w:lang w:val="en-US" w:eastAsia="zh-CN" w:bidi="ar-SA"/>
                <w14:textFill>
                  <w14:solidFill>
                    <w14:schemeClr w14:val="tx1"/>
                  </w14:solidFill>
                </w14:textFill>
              </w:rPr>
              <w:t>内容</w:t>
            </w:r>
          </w:p>
          <w:p w14:paraId="64A25C1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（一）</w:t>
            </w:r>
            <w:r>
              <w:rPr>
                <w:rFonts w:hint="eastAsia" w:ascii="宋体" w:hAnsi="宋体" w:eastAsia="宋体" w:cs="宋体"/>
                <w:b/>
                <w:bCs/>
                <w:color w:val="000000" w:themeColor="text1"/>
                <w:spacing w:val="0"/>
                <w:sz w:val="24"/>
                <w:szCs w:val="24"/>
                <w:highlight w:val="none"/>
                <w14:textFill>
                  <w14:solidFill>
                    <w14:schemeClr w14:val="tx1"/>
                  </w14:solidFill>
                </w14:textFill>
              </w:rPr>
              <w:t>线上驿站平台运维服务</w:t>
            </w:r>
          </w:p>
          <w:p w14:paraId="3FB3752D">
            <w:pPr>
              <w:keepNext w:val="0"/>
              <w:keepLines w:val="0"/>
              <w:pageBreakBefore w:val="0"/>
              <w:kinsoku/>
              <w:wordWrap/>
              <w:autoSpaceDE/>
              <w:autoSpaceDN/>
              <w:bidi w:val="0"/>
              <w:adjustRightInd/>
              <w:snapToGrid/>
              <w:spacing w:line="360" w:lineRule="auto"/>
              <w:ind w:left="10" w:firstLine="482" w:firstLineChars="200"/>
              <w:jc w:val="both"/>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pacing w:val="0"/>
                <w:sz w:val="24"/>
                <w:szCs w:val="24"/>
                <w:highlight w:val="none"/>
                <w14:textFill>
                  <w14:solidFill>
                    <w14:schemeClr w14:val="tx1"/>
                  </w14:solidFill>
                </w14:textFill>
              </w:rPr>
              <w:t>平台建设：</w:t>
            </w:r>
            <w:r>
              <w:rPr>
                <w:rFonts w:hint="eastAsia" w:ascii="宋体" w:hAnsi="宋体" w:eastAsia="宋体" w:cs="宋体"/>
                <w:color w:val="000000" w:themeColor="text1"/>
                <w:spacing w:val="0"/>
                <w:sz w:val="24"/>
                <w:szCs w:val="24"/>
                <w:highlight w:val="none"/>
                <w14:textFill>
                  <w14:solidFill>
                    <w14:schemeClr w14:val="tx1"/>
                  </w14:solidFill>
                </w14:textFill>
              </w:rPr>
              <w:t>利用互联网、大数据等技术手段，以广西“数智人社”信息系统为依托，对就业服务进行数字化管理，打造便捷高效的</w:t>
            </w:r>
            <w:r>
              <w:rPr>
                <w:rFonts w:hint="eastAsia" w:ascii="宋体" w:hAnsi="宋体" w:cs="宋体"/>
                <w:color w:val="000000" w:themeColor="text1"/>
                <w:spacing w:val="0"/>
                <w:sz w:val="24"/>
                <w:szCs w:val="24"/>
                <w:highlight w:val="none"/>
                <w:lang w:val="en-US" w:eastAsia="zh-CN"/>
                <w14:textFill>
                  <w14:solidFill>
                    <w14:schemeClr w14:val="tx1"/>
                  </w14:solidFill>
                </w14:textFill>
              </w:rPr>
              <w:t>一体化</w:t>
            </w:r>
            <w:r>
              <w:rPr>
                <w:rFonts w:hint="eastAsia" w:ascii="宋体" w:hAnsi="宋体" w:eastAsia="宋体" w:cs="宋体"/>
                <w:color w:val="000000" w:themeColor="text1"/>
                <w:spacing w:val="0"/>
                <w:sz w:val="24"/>
                <w:szCs w:val="24"/>
                <w:highlight w:val="none"/>
                <w14:textFill>
                  <w14:solidFill>
                    <w14:schemeClr w14:val="tx1"/>
                  </w14:solidFill>
                </w14:textFill>
              </w:rPr>
              <w:t>就业服务平台，深度融合岗位发布、简历投递、人才测评、人岗智能推荐、在线面试及直播带岗等核心功能，打造“一站式”就业服务门户。</w:t>
            </w:r>
          </w:p>
          <w:p w14:paraId="40D05E0F">
            <w:pPr>
              <w:keepNext w:val="0"/>
              <w:keepLines w:val="0"/>
              <w:pageBreakBefore w:val="0"/>
              <w:kinsoku/>
              <w:wordWrap/>
              <w:autoSpaceDE/>
              <w:autoSpaceDN/>
              <w:bidi w:val="0"/>
              <w:adjustRightInd/>
              <w:snapToGrid/>
              <w:spacing w:line="360" w:lineRule="auto"/>
              <w:ind w:firstLine="482" w:firstLineChars="200"/>
              <w:jc w:val="both"/>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1.1</w:t>
            </w:r>
            <w:r>
              <w:rPr>
                <w:rFonts w:hint="eastAsia" w:ascii="宋体" w:hAnsi="宋体" w:eastAsia="宋体" w:cs="宋体"/>
                <w:b/>
                <w:bCs/>
                <w:color w:val="000000" w:themeColor="text1"/>
                <w:spacing w:val="0"/>
                <w:sz w:val="24"/>
                <w:szCs w:val="24"/>
                <w:highlight w:val="none"/>
                <w14:textFill>
                  <w14:solidFill>
                    <w14:schemeClr w14:val="tx1"/>
                  </w14:solidFill>
                </w14:textFill>
              </w:rPr>
              <w:t>用户需求调研：</w:t>
            </w:r>
            <w:r>
              <w:rPr>
                <w:rFonts w:hint="eastAsia" w:ascii="宋体" w:hAnsi="宋体" w:eastAsia="宋体" w:cs="宋体"/>
                <w:color w:val="000000" w:themeColor="text1"/>
                <w:spacing w:val="0"/>
                <w:sz w:val="24"/>
                <w:szCs w:val="24"/>
                <w:highlight w:val="none"/>
                <w14:textFill>
                  <w14:solidFill>
                    <w14:schemeClr w14:val="tx1"/>
                  </w14:solidFill>
                </w14:textFill>
              </w:rPr>
              <w:t>深入了解求职者、企业、政府部门等各类用户群体对就业驿站平台的功能需求、使用习惯、期望体验等，通过问卷调查、访谈、用户画像等方式收集详细信息；根据求职者、企业等用户群体对就业驿站平台的功能需求，搭建线上就业驿站专区。</w:t>
            </w:r>
          </w:p>
          <w:p w14:paraId="0C70CBED">
            <w:pPr>
              <w:keepNext w:val="0"/>
              <w:keepLines w:val="0"/>
              <w:pageBreakBefore w:val="0"/>
              <w:kinsoku/>
              <w:wordWrap/>
              <w:autoSpaceDE/>
              <w:autoSpaceDN/>
              <w:bidi w:val="0"/>
              <w:adjustRightInd/>
              <w:snapToGrid/>
              <w:spacing w:line="360" w:lineRule="auto"/>
              <w:ind w:firstLine="482" w:firstLineChars="200"/>
              <w:jc w:val="both"/>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1.2业务流程梳理：</w:t>
            </w:r>
            <w:r>
              <w:rPr>
                <w:rFonts w:hint="eastAsia" w:ascii="宋体" w:hAnsi="宋体" w:eastAsia="宋体" w:cs="宋体"/>
                <w:color w:val="000000" w:themeColor="text1"/>
                <w:spacing w:val="0"/>
                <w:sz w:val="24"/>
                <w:szCs w:val="24"/>
                <w:highlight w:val="none"/>
                <w14:textFill>
                  <w14:solidFill>
                    <w14:schemeClr w14:val="tx1"/>
                  </w14:solidFill>
                </w14:textFill>
              </w:rPr>
              <w:t>详细梳理就业驿站平台的各项业务流程，包括求职者注册登录、岗位搜索与筛选、简历投递与反馈、面试安排与跟踪、政策查询与申请等求职流程；企业注册认证、岗位发布与管理、简历接收与筛选、面试邀约与录用等招聘流程。</w:t>
            </w:r>
          </w:p>
          <w:p w14:paraId="3EF75187">
            <w:pPr>
              <w:keepNext w:val="0"/>
              <w:keepLines w:val="0"/>
              <w:pageBreakBefore w:val="0"/>
              <w:kinsoku/>
              <w:wordWrap/>
              <w:autoSpaceDE/>
              <w:autoSpaceDN/>
              <w:bidi w:val="0"/>
              <w:adjustRightInd/>
              <w:snapToGrid/>
              <w:spacing w:line="360" w:lineRule="auto"/>
              <w:ind w:firstLine="482" w:firstLineChars="200"/>
              <w:jc w:val="both"/>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1.3功能模块：</w:t>
            </w:r>
            <w:r>
              <w:rPr>
                <w:rFonts w:hint="eastAsia" w:ascii="宋体" w:hAnsi="宋体" w:eastAsia="宋体" w:cs="宋体"/>
                <w:color w:val="000000" w:themeColor="text1"/>
                <w:spacing w:val="0"/>
                <w:sz w:val="24"/>
                <w:szCs w:val="24"/>
                <w:highlight w:val="none"/>
                <w14:textFill>
                  <w14:solidFill>
                    <w14:schemeClr w14:val="tx1"/>
                  </w14:solidFill>
                </w14:textFill>
              </w:rPr>
              <w:t>就业驿站平台功能包含：求职者模块、企业模块、政府模块。求职者端功能模块包括个人中心(用户信息管理、简历管理、求职进度查询等)、岗位搜索(多维度搜索、筛选、排序功能)、简历投递(一键投递、投递记录查询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企业端功能模块包括企业中心(企业信息管理、招聘岗位管理</w:t>
            </w:r>
            <w:r>
              <w:rPr>
                <w:rFonts w:hint="eastAsia" w:ascii="宋体" w:hAnsi="宋体" w:cs="宋体"/>
                <w:color w:val="000000" w:themeColor="text1"/>
                <w:spacing w:val="0"/>
                <w:sz w:val="24"/>
                <w:szCs w:val="24"/>
                <w:highlight w:val="none"/>
                <w:lang w:eastAsia="zh-CN"/>
                <w14:textFill>
                  <w14:solidFill>
                    <w14:schemeClr w14:val="tx1"/>
                  </w14:solidFill>
                </w14:textFill>
              </w:rPr>
              <w:t>、人才库管理</w:t>
            </w:r>
            <w:r>
              <w:rPr>
                <w:rFonts w:hint="eastAsia" w:ascii="宋体" w:hAnsi="宋体" w:eastAsia="宋体" w:cs="宋体"/>
                <w:color w:val="000000" w:themeColor="text1"/>
                <w:spacing w:val="0"/>
                <w:sz w:val="24"/>
                <w:szCs w:val="24"/>
                <w:highlight w:val="none"/>
                <w14:textFill>
                  <w14:solidFill>
                    <w14:schemeClr w14:val="tx1"/>
                  </w14:solidFill>
                </w14:textFill>
              </w:rPr>
              <w:t>等)、岗位发布(岗位信息填写、岗位分类、发布审核等)、简历管理</w:t>
            </w:r>
            <w:r>
              <w:rPr>
                <w:rFonts w:hint="eastAsia" w:ascii="宋体" w:hAnsi="宋体" w:eastAsia="宋体" w:cs="宋体"/>
                <w:color w:val="000000" w:themeColor="text1"/>
                <w:sz w:val="24"/>
                <w:szCs w:val="24"/>
                <w:highlight w:val="none"/>
                <w:lang w:val="en-US" w:eastAsia="zh-CN"/>
                <w14:textFill>
                  <w14:solidFill>
                    <w14:schemeClr w14:val="tx1"/>
                  </w14:solidFill>
                </w14:textFill>
              </w:rPr>
              <w:t>（简历接收、筛选、分类、标记等）</w:t>
            </w:r>
            <w:r>
              <w:rPr>
                <w:rFonts w:hint="eastAsia" w:ascii="宋体" w:hAnsi="宋体" w:eastAsia="宋体" w:cs="宋体"/>
                <w:color w:val="000000" w:themeColor="text1"/>
                <w:spacing w:val="0"/>
                <w:sz w:val="24"/>
                <w:szCs w:val="24"/>
                <w:highlight w:val="none"/>
                <w14:textFill>
                  <w14:solidFill>
                    <w14:schemeClr w14:val="tx1"/>
                  </w14:solidFill>
                </w14:textFill>
              </w:rPr>
              <w:t>、面试管理</w:t>
            </w:r>
            <w:r>
              <w:rPr>
                <w:rFonts w:hint="eastAsia" w:ascii="宋体" w:hAnsi="宋体" w:eastAsia="宋体" w:cs="宋体"/>
                <w:color w:val="000000" w:themeColor="text1"/>
                <w:sz w:val="24"/>
                <w:szCs w:val="24"/>
                <w:highlight w:val="none"/>
                <w:lang w:val="en-US" w:eastAsia="zh-CN"/>
                <w14:textFill>
                  <w14:solidFill>
                    <w14:schemeClr w14:val="tx1"/>
                  </w14:solidFill>
                </w14:textFill>
              </w:rPr>
              <w:t>（面试安排、面试结果反馈等）</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政府端功能模块可包括数据管理(就业数据采集、统计、分析等)。</w:t>
            </w:r>
          </w:p>
          <w:p w14:paraId="5F7F082B">
            <w:pPr>
              <w:keepNext w:val="0"/>
              <w:keepLines w:val="0"/>
              <w:pageBreakBefore w:val="0"/>
              <w:kinsoku/>
              <w:wordWrap/>
              <w:autoSpaceDE/>
              <w:autoSpaceDN/>
              <w:bidi w:val="0"/>
              <w:adjustRightInd/>
              <w:snapToGrid/>
              <w:spacing w:line="360" w:lineRule="auto"/>
              <w:ind w:left="10" w:firstLine="482" w:firstLineChars="200"/>
              <w:jc w:val="both"/>
              <w:textAlignment w:val="auto"/>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cs="宋体"/>
                <w:b/>
                <w:bCs/>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pacing w:val="0"/>
                <w:sz w:val="24"/>
                <w:szCs w:val="24"/>
                <w:highlight w:val="none"/>
                <w:lang w:eastAsia="zh-CN"/>
                <w14:textFill>
                  <w14:solidFill>
                    <w14:schemeClr w14:val="tx1"/>
                  </w14:solidFill>
                </w14:textFill>
              </w:rPr>
              <w:t>交互设计</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及适配性</w:t>
            </w:r>
          </w:p>
          <w:p w14:paraId="720D4678">
            <w:pPr>
              <w:keepNext w:val="0"/>
              <w:keepLines w:val="0"/>
              <w:pageBreakBefore w:val="0"/>
              <w:kinsoku/>
              <w:wordWrap/>
              <w:autoSpaceDE/>
              <w:autoSpaceDN/>
              <w:bidi w:val="0"/>
              <w:adjustRightInd/>
              <w:snapToGrid/>
              <w:spacing w:line="360" w:lineRule="auto"/>
              <w:ind w:firstLine="482" w:firstLineChars="200"/>
              <w:jc w:val="both"/>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cs="宋体"/>
                <w:b/>
                <w:bCs/>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1交互设计：</w:t>
            </w:r>
            <w:r>
              <w:rPr>
                <w:rFonts w:hint="eastAsia" w:ascii="宋体" w:hAnsi="宋体" w:eastAsia="宋体" w:cs="宋体"/>
                <w:color w:val="000000" w:themeColor="text1"/>
                <w:spacing w:val="0"/>
                <w:sz w:val="24"/>
                <w:szCs w:val="24"/>
                <w:highlight w:val="none"/>
                <w14:textFill>
                  <w14:solidFill>
                    <w14:schemeClr w14:val="tx1"/>
                  </w14:solidFill>
                </w14:textFill>
              </w:rPr>
              <w:t>设计用户与平台之间的交互流程和操作方式，确保平台操作简单易懂、响应迅速、用户体验良好。</w:t>
            </w:r>
          </w:p>
          <w:p w14:paraId="065AFC17">
            <w:pPr>
              <w:pStyle w:val="9"/>
              <w:spacing w:line="360" w:lineRule="auto"/>
              <w:ind w:firstLine="482" w:firstLineChars="200"/>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cs="宋体"/>
                <w:b/>
                <w:bCs/>
                <w:color w:val="000000" w:themeColor="text1"/>
                <w:spacing w:val="0"/>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2适配性：</w:t>
            </w:r>
            <w:r>
              <w:rPr>
                <w:rFonts w:hint="eastAsia" w:ascii="宋体" w:hAnsi="宋体" w:eastAsia="宋体" w:cs="宋体"/>
                <w:color w:val="000000" w:themeColor="text1"/>
                <w:sz w:val="24"/>
                <w:szCs w:val="24"/>
                <w:highlight w:val="none"/>
                <w14:textFill>
                  <w14:solidFill>
                    <w14:schemeClr w14:val="tx1"/>
                  </w14:solidFill>
                </w14:textFill>
              </w:rPr>
              <w:t>系统可通过桌面浏览器、移动浏览器进行访问，页面展示正常，各项业务功能可正常操作</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在不同分辨率的屏幕上</w:t>
            </w:r>
            <w:r>
              <w:rPr>
                <w:rFonts w:hint="eastAsia" w:ascii="宋体" w:hAnsi="宋体" w:cs="宋体"/>
                <w:color w:val="000000" w:themeColor="text1"/>
                <w:spacing w:val="0"/>
                <w:sz w:val="24"/>
                <w:szCs w:val="24"/>
                <w:highlight w:val="none"/>
                <w:lang w:eastAsia="zh-CN"/>
                <w14:textFill>
                  <w14:solidFill>
                    <w14:schemeClr w14:val="tx1"/>
                  </w14:solidFill>
                </w14:textFill>
              </w:rPr>
              <w:t>都</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能</w:t>
            </w:r>
            <w:r>
              <w:rPr>
                <w:rFonts w:hint="eastAsia" w:ascii="宋体" w:hAnsi="宋体" w:eastAsia="宋体" w:cs="宋体"/>
                <w:color w:val="000000" w:themeColor="text1"/>
                <w:spacing w:val="0"/>
                <w:sz w:val="24"/>
                <w:szCs w:val="24"/>
                <w:highlight w:val="none"/>
                <w14:textFill>
                  <w14:solidFill>
                    <w14:schemeClr w14:val="tx1"/>
                  </w14:solidFill>
                </w14:textFill>
              </w:rPr>
              <w:t>自动调整页面布局和元素大小，保证页面内容完整、操作流畅，无明显布局错乱、功能失效等问题，同时支持移动端设备使用，提升用户操作便捷性。</w:t>
            </w:r>
          </w:p>
          <w:p w14:paraId="051A73C1">
            <w:pPr>
              <w:keepNext w:val="0"/>
              <w:keepLines w:val="0"/>
              <w:pageBreakBefore w:val="0"/>
              <w:kinsoku/>
              <w:wordWrap/>
              <w:autoSpaceDE/>
              <w:autoSpaceDN/>
              <w:bidi w:val="0"/>
              <w:adjustRightInd/>
              <w:snapToGrid/>
              <w:spacing w:line="360" w:lineRule="auto"/>
              <w:ind w:left="10" w:firstLine="482" w:firstLineChars="200"/>
              <w:jc w:val="both"/>
              <w:textAlignment w:val="auto"/>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cs="宋体"/>
                <w:b/>
                <w:bCs/>
                <w:color w:val="000000" w:themeColor="text1"/>
                <w:spacing w:val="0"/>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定期漏洞扫描、修复，保证系统正常运行</w:t>
            </w:r>
          </w:p>
          <w:p w14:paraId="576F6F5A">
            <w:pPr>
              <w:keepNext w:val="0"/>
              <w:keepLines w:val="0"/>
              <w:pageBreakBefore w:val="0"/>
              <w:kinsoku/>
              <w:wordWrap/>
              <w:autoSpaceDE/>
              <w:autoSpaceDN/>
              <w:bidi w:val="0"/>
              <w:adjustRightInd/>
              <w:snapToGrid/>
              <w:spacing w:line="360" w:lineRule="auto"/>
              <w:ind w:left="10" w:firstLine="480" w:firstLineChars="200"/>
              <w:jc w:val="both"/>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对大数据等第三方漏洞响应处理，对运行期间出现的问题处理，保证系统服务器正常运行。</w:t>
            </w:r>
          </w:p>
          <w:p w14:paraId="605E7075">
            <w:pPr>
              <w:keepNext w:val="0"/>
              <w:keepLines w:val="0"/>
              <w:pageBreakBefore w:val="0"/>
              <w:kinsoku/>
              <w:wordWrap/>
              <w:autoSpaceDE/>
              <w:autoSpaceDN/>
              <w:bidi w:val="0"/>
              <w:adjustRightInd/>
              <w:snapToGrid/>
              <w:spacing w:line="360" w:lineRule="auto"/>
              <w:ind w:left="10" w:firstLine="482" w:firstLineChars="200"/>
              <w:jc w:val="both"/>
              <w:textAlignment w:val="auto"/>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cs="宋体"/>
                <w:b/>
                <w:bCs/>
                <w:color w:val="000000" w:themeColor="text1"/>
                <w:spacing w:val="0"/>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配备设置</w:t>
            </w:r>
          </w:p>
          <w:p w14:paraId="7490993A">
            <w:pPr>
              <w:keepNext w:val="0"/>
              <w:keepLines w:val="0"/>
              <w:pageBreakBefore w:val="0"/>
              <w:numPr>
                <w:ilvl w:val="0"/>
                <w:numId w:val="0"/>
              </w:numPr>
              <w:kinsoku/>
              <w:wordWrap/>
              <w:autoSpaceDE/>
              <w:autoSpaceDN/>
              <w:bidi w:val="0"/>
              <w:adjustRightInd/>
              <w:snapToGrid/>
              <w:spacing w:line="360" w:lineRule="auto"/>
              <w:ind w:left="0"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在县城</w:t>
            </w:r>
            <w:r>
              <w:rPr>
                <w:rFonts w:hint="eastAsia" w:ascii="宋体" w:hAnsi="宋体" w:cs="宋体"/>
                <w:color w:val="000000" w:themeColor="text1"/>
                <w:spacing w:val="0"/>
                <w:sz w:val="24"/>
                <w:szCs w:val="24"/>
                <w:highlight w:val="none"/>
                <w:lang w:val="en-US" w:eastAsia="zh-CN"/>
                <w14:textFill>
                  <w14:solidFill>
                    <w14:schemeClr w14:val="tx1"/>
                  </w14:solidFill>
                </w14:textFill>
              </w:rPr>
              <w:t>1个</w:t>
            </w:r>
            <w:r>
              <w:rPr>
                <w:rFonts w:hint="eastAsia" w:ascii="宋体" w:hAnsi="宋体" w:eastAsia="宋体" w:cs="宋体"/>
                <w:color w:val="000000" w:themeColor="text1"/>
                <w:spacing w:val="0"/>
                <w:sz w:val="24"/>
                <w:szCs w:val="24"/>
                <w:highlight w:val="none"/>
                <w14:textFill>
                  <w14:solidFill>
                    <w14:schemeClr w14:val="tx1"/>
                  </w14:solidFill>
                </w14:textFill>
              </w:rPr>
              <w:t>总站点及</w:t>
            </w:r>
            <w:r>
              <w:rPr>
                <w:rFonts w:hint="eastAsia" w:ascii="宋体" w:hAnsi="宋体" w:cs="宋体"/>
                <w:color w:val="000000" w:themeColor="text1"/>
                <w:spacing w:val="0"/>
                <w:sz w:val="24"/>
                <w:szCs w:val="24"/>
                <w:highlight w:val="none"/>
                <w:lang w:val="en-US" w:eastAsia="zh-CN"/>
                <w14:textFill>
                  <w14:solidFill>
                    <w14:schemeClr w14:val="tx1"/>
                  </w14:solidFill>
                </w14:textFill>
              </w:rPr>
              <w:t>10个</w:t>
            </w:r>
            <w:r>
              <w:rPr>
                <w:rFonts w:hint="eastAsia" w:ascii="宋体" w:hAnsi="宋体" w:eastAsia="宋体" w:cs="宋体"/>
                <w:color w:val="000000" w:themeColor="text1"/>
                <w:spacing w:val="0"/>
                <w:sz w:val="24"/>
                <w:szCs w:val="24"/>
                <w:highlight w:val="none"/>
                <w14:textFill>
                  <w14:solidFill>
                    <w14:schemeClr w14:val="tx1"/>
                  </w14:solidFill>
                </w14:textFill>
              </w:rPr>
              <w:t>乡镇分站点各配置一台</w:t>
            </w:r>
            <w:r>
              <w:rPr>
                <w:rFonts w:hint="eastAsia" w:ascii="宋体" w:hAnsi="宋体" w:cs="宋体"/>
                <w:color w:val="000000" w:themeColor="text1"/>
                <w:spacing w:val="0"/>
                <w:sz w:val="24"/>
                <w:szCs w:val="24"/>
                <w:highlight w:val="none"/>
                <w:lang w:val="en-US" w:eastAsia="zh-CN"/>
                <w14:textFill>
                  <w14:solidFill>
                    <w14:schemeClr w14:val="tx1"/>
                  </w14:solidFill>
                </w14:textFill>
              </w:rPr>
              <w:t>AI</w:t>
            </w:r>
            <w:r>
              <w:rPr>
                <w:rFonts w:hint="eastAsia" w:ascii="宋体" w:hAnsi="宋体" w:eastAsia="宋体" w:cs="宋体"/>
                <w:color w:val="000000" w:themeColor="text1"/>
                <w:spacing w:val="0"/>
                <w:sz w:val="24"/>
                <w:szCs w:val="24"/>
                <w:highlight w:val="none"/>
                <w14:textFill>
                  <w14:solidFill>
                    <w14:schemeClr w14:val="tx1"/>
                  </w14:solidFill>
                </w14:textFill>
              </w:rPr>
              <w:t>职播</w:t>
            </w:r>
            <w:r>
              <w:rPr>
                <w:rFonts w:hint="eastAsia" w:ascii="宋体" w:hAnsi="宋体" w:cs="宋体"/>
                <w:color w:val="000000" w:themeColor="text1"/>
                <w:spacing w:val="0"/>
                <w:sz w:val="24"/>
                <w:szCs w:val="24"/>
                <w:highlight w:val="none"/>
                <w:lang w:eastAsia="zh-CN"/>
                <w14:textFill>
                  <w14:solidFill>
                    <w14:schemeClr w14:val="tx1"/>
                  </w14:solidFill>
                </w14:textFill>
              </w:rPr>
              <w:t>机</w:t>
            </w:r>
            <w:r>
              <w:rPr>
                <w:rFonts w:hint="eastAsia" w:ascii="宋体" w:hAnsi="宋体" w:cs="宋体"/>
                <w:color w:val="000000" w:themeColor="text1"/>
                <w:sz w:val="24"/>
                <w:szCs w:val="24"/>
                <w:highlight w:val="none"/>
                <w14:textFill>
                  <w14:solidFill>
                    <w14:schemeClr w14:val="tx1"/>
                  </w14:solidFill>
                </w14:textFill>
              </w:rPr>
              <w:t>（屏幕尺寸≥65英寸、分辨率≥1920*1080）</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可以实现远程投放与管理一体化，设备内置AI数字人探岗小视频、企业岗位信息。</w:t>
            </w:r>
          </w:p>
          <w:p w14:paraId="3253D3C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cs="宋体"/>
                <w:b/>
                <w:bCs/>
                <w:color w:val="000000" w:themeColor="text1"/>
                <w:spacing w:val="0"/>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AI职业介绍服务</w:t>
            </w:r>
          </w:p>
          <w:p w14:paraId="7AE882C5">
            <w:pPr>
              <w:keepNext w:val="0"/>
              <w:keepLines w:val="0"/>
              <w:pageBreakBefore w:val="0"/>
              <w:kinsoku/>
              <w:wordWrap/>
              <w:autoSpaceDE/>
              <w:autoSpaceDN/>
              <w:bidi w:val="0"/>
              <w:adjustRightInd/>
              <w:snapToGrid/>
              <w:spacing w:line="360" w:lineRule="auto"/>
              <w:ind w:right="291" w:firstLine="480" w:firstLineChars="200"/>
              <w:textAlignment w:val="auto"/>
              <w:rPr>
                <w:rFonts w:hint="eastAsia" w:ascii="宋体" w:hAnsi="宋体" w:eastAsia="宋体" w:cs="宋体"/>
                <w:color w:val="000000" w:themeColor="text1"/>
                <w:spacing w:val="0"/>
                <w:sz w:val="24"/>
                <w:szCs w:val="24"/>
                <w:highlight w:val="none"/>
                <w:lang w:eastAsia="zh-CN"/>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在县城</w:t>
            </w:r>
            <w:r>
              <w:rPr>
                <w:rFonts w:hint="eastAsia" w:ascii="宋体" w:hAnsi="宋体" w:cs="宋体"/>
                <w:color w:val="000000" w:themeColor="text1"/>
                <w:spacing w:val="0"/>
                <w:sz w:val="24"/>
                <w:szCs w:val="24"/>
                <w:highlight w:val="none"/>
                <w:lang w:val="en-US" w:eastAsia="zh-CN"/>
                <w14:textFill>
                  <w14:solidFill>
                    <w14:schemeClr w14:val="tx1"/>
                  </w14:solidFill>
                </w14:textFill>
              </w:rPr>
              <w:t>1个</w:t>
            </w:r>
            <w:r>
              <w:rPr>
                <w:rFonts w:hint="eastAsia" w:ascii="宋体" w:hAnsi="宋体" w:eastAsia="宋体" w:cs="宋体"/>
                <w:color w:val="000000" w:themeColor="text1"/>
                <w:spacing w:val="0"/>
                <w:sz w:val="24"/>
                <w:szCs w:val="24"/>
                <w:highlight w:val="none"/>
                <w14:textFill>
                  <w14:solidFill>
                    <w14:schemeClr w14:val="tx1"/>
                  </w14:solidFill>
                </w14:textFill>
              </w:rPr>
              <w:t>总站点及</w:t>
            </w:r>
            <w:r>
              <w:rPr>
                <w:rFonts w:hint="eastAsia" w:ascii="宋体" w:hAnsi="宋体" w:cs="宋体"/>
                <w:color w:val="000000" w:themeColor="text1"/>
                <w:spacing w:val="0"/>
                <w:sz w:val="24"/>
                <w:szCs w:val="24"/>
                <w:highlight w:val="none"/>
                <w:lang w:val="en-US" w:eastAsia="zh-CN"/>
                <w14:textFill>
                  <w14:solidFill>
                    <w14:schemeClr w14:val="tx1"/>
                  </w14:solidFill>
                </w14:textFill>
              </w:rPr>
              <w:t>10个</w:t>
            </w:r>
            <w:r>
              <w:rPr>
                <w:rFonts w:hint="eastAsia" w:ascii="宋体" w:hAnsi="宋体" w:eastAsia="宋体" w:cs="宋体"/>
                <w:color w:val="000000" w:themeColor="text1"/>
                <w:spacing w:val="0"/>
                <w:sz w:val="24"/>
                <w:szCs w:val="24"/>
                <w:highlight w:val="none"/>
                <w14:textFill>
                  <w14:solidFill>
                    <w14:schemeClr w14:val="tx1"/>
                  </w14:solidFill>
                </w14:textFill>
              </w:rPr>
              <w:t>乡镇分站点各配置一台</w:t>
            </w:r>
            <w:r>
              <w:rPr>
                <w:rFonts w:hint="eastAsia" w:ascii="宋体" w:hAnsi="宋体" w:eastAsia="宋体" w:cs="宋体"/>
                <w:b w:val="0"/>
                <w:bCs w:val="0"/>
                <w:color w:val="000000" w:themeColor="text1"/>
                <w:spacing w:val="0"/>
                <w:sz w:val="24"/>
                <w:szCs w:val="24"/>
                <w:highlight w:val="none"/>
                <w14:textFill>
                  <w14:solidFill>
                    <w14:schemeClr w14:val="tx1"/>
                  </w14:solidFill>
                </w14:textFill>
              </w:rPr>
              <w:t>就业互动机（屏幕尺寸：≥32寸，分辨率：≥3840*2160）</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，实现AI交互、AI简历撰写、AI简历诊断、AI模拟面试语音指导、AI语音推荐岗位功能。集成语音交互、简历优化及一键投递功能</w:t>
            </w:r>
            <w:r>
              <w:rPr>
                <w:rFonts w:hint="eastAsia" w:ascii="宋体" w:hAnsi="宋体" w:eastAsia="宋体" w:cs="宋体"/>
                <w:color w:val="000000" w:themeColor="text1"/>
                <w:spacing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eastAsia="zh-CN"/>
                <w14:textFill>
                  <w14:solidFill>
                    <w14:schemeClr w14:val="tx1"/>
                  </w14:solidFill>
                </w14:textFill>
              </w:rPr>
              <w:t>支持求职者在30秒内完成全流程操作。</w:t>
            </w:r>
          </w:p>
          <w:p w14:paraId="094D70F8">
            <w:pPr>
              <w:keepNext w:val="0"/>
              <w:keepLines w:val="0"/>
              <w:pageBreakBefore w:val="0"/>
              <w:kinsoku/>
              <w:wordWrap/>
              <w:autoSpaceDE/>
              <w:autoSpaceDN/>
              <w:bidi w:val="0"/>
              <w:adjustRightInd/>
              <w:snapToGrid/>
              <w:spacing w:line="360" w:lineRule="auto"/>
              <w:ind w:right="291" w:firstLine="482" w:firstLineChars="200"/>
              <w:textAlignment w:val="auto"/>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pPr>
            <w:r>
              <w:rPr>
                <w:rFonts w:hint="eastAsia" w:ascii="宋体" w:hAnsi="宋体" w:cs="宋体"/>
                <w:b/>
                <w:bCs/>
                <w:color w:val="000000" w:themeColor="text1"/>
                <w:spacing w:val="0"/>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岗位信息采集服务</w:t>
            </w:r>
          </w:p>
          <w:p w14:paraId="7E4D2614">
            <w:pPr>
              <w:keepNext w:val="0"/>
              <w:keepLines w:val="0"/>
              <w:pageBreakBefore w:val="0"/>
              <w:kinsoku/>
              <w:wordWrap/>
              <w:autoSpaceDE/>
              <w:autoSpaceDN/>
              <w:bidi w:val="0"/>
              <w:adjustRightInd/>
              <w:snapToGrid/>
              <w:spacing w:line="360" w:lineRule="auto"/>
              <w:ind w:firstLine="480" w:firstLineChars="200"/>
              <w:textAlignment w:val="auto"/>
              <w:rPr>
                <w:rFonts w:hint="eastAsia" w:ascii="宋体" w:hAnsi="宋体" w:eastAsia="宋体" w:cs="宋体"/>
                <w:color w:val="000000" w:themeColor="text1"/>
                <w:spacing w:val="0"/>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每月收集本县、南宁及广东深圳等区内区外企业招聘岗位信息，实现多地岗位信息的实时共享更新和精准推送。每月采集就业岗位数</w:t>
            </w:r>
            <w:r>
              <w:rPr>
                <w:rFonts w:hint="eastAsia" w:ascii="宋体" w:hAnsi="宋体" w:eastAsia="宋体" w:cs="宋体"/>
                <w:b/>
                <w:bCs/>
                <w:color w:val="000000" w:themeColor="text1"/>
                <w:spacing w:val="0"/>
                <w:sz w:val="24"/>
                <w:szCs w:val="24"/>
                <w:highlight w:val="none"/>
                <w14:textFill>
                  <w14:solidFill>
                    <w14:schemeClr w14:val="tx1"/>
                  </w14:solidFill>
                </w14:textFill>
              </w:rPr>
              <w:t>1500个以上</w:t>
            </w:r>
            <w:r>
              <w:rPr>
                <w:rFonts w:hint="eastAsia" w:ascii="宋体" w:hAnsi="宋体" w:eastAsia="宋体" w:cs="宋体"/>
                <w:color w:val="000000" w:themeColor="text1"/>
                <w:spacing w:val="0"/>
                <w:sz w:val="24"/>
                <w:szCs w:val="24"/>
                <w:highlight w:val="none"/>
                <w14:textFill>
                  <w14:solidFill>
                    <w14:schemeClr w14:val="tx1"/>
                  </w14:solidFill>
                </w14:textFill>
              </w:rPr>
              <w:t>。</w:t>
            </w:r>
          </w:p>
          <w:p w14:paraId="749F426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pacing w:val="0"/>
                <w:sz w:val="24"/>
                <w:szCs w:val="24"/>
                <w:highlight w:val="none"/>
                <w14:textFill>
                  <w14:solidFill>
                    <w14:schemeClr w14:val="tx1"/>
                  </w14:solidFill>
                </w14:textFill>
              </w:rPr>
            </w:pPr>
            <w:r>
              <w:rPr>
                <w:rFonts w:hint="eastAsia" w:ascii="宋体" w:hAnsi="宋体" w:cs="宋体"/>
                <w:b/>
                <w:bCs/>
                <w:color w:val="000000" w:themeColor="text1"/>
                <w:spacing w:val="0"/>
                <w:sz w:val="24"/>
                <w:szCs w:val="24"/>
                <w:highlight w:val="none"/>
                <w:lang w:val="en-US" w:eastAsia="zh-CN"/>
                <w14:textFill>
                  <w14:solidFill>
                    <w14:schemeClr w14:val="tx1"/>
                  </w14:solidFill>
                </w14:textFill>
              </w:rPr>
              <w:t>（四）</w:t>
            </w:r>
            <w:r>
              <w:rPr>
                <w:rFonts w:hint="eastAsia" w:ascii="宋体" w:hAnsi="宋体" w:eastAsia="宋体" w:cs="宋体"/>
                <w:b/>
                <w:bCs/>
                <w:color w:val="000000" w:themeColor="text1"/>
                <w:spacing w:val="0"/>
                <w:sz w:val="24"/>
                <w:szCs w:val="24"/>
                <w:highlight w:val="none"/>
                <w:lang w:val="en-US" w:eastAsia="zh-CN"/>
                <w14:textFill>
                  <w14:solidFill>
                    <w14:schemeClr w14:val="tx1"/>
                  </w14:solidFill>
                </w14:textFill>
              </w:rPr>
              <w:t>短视频制作服务</w:t>
            </w:r>
          </w:p>
          <w:p w14:paraId="637FD025">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pacing w:val="0"/>
                <w:sz w:val="24"/>
                <w:szCs w:val="24"/>
                <w:highlight w:val="none"/>
                <w14:textFill>
                  <w14:solidFill>
                    <w14:schemeClr w14:val="tx1"/>
                  </w14:solidFill>
                </w14:textFill>
              </w:rPr>
              <w:t>制作输出</w:t>
            </w:r>
            <w:r>
              <w:rPr>
                <w:rFonts w:hint="eastAsia" w:ascii="宋体" w:hAnsi="宋体" w:cs="宋体"/>
                <w:color w:val="000000" w:themeColor="text1"/>
                <w:spacing w:val="0"/>
                <w:sz w:val="24"/>
                <w:szCs w:val="24"/>
                <w:highlight w:val="none"/>
                <w:lang w:val="en-US" w:eastAsia="zh-CN"/>
                <w14:textFill>
                  <w14:solidFill>
                    <w14:schemeClr w14:val="tx1"/>
                  </w14:solidFill>
                </w14:textFill>
              </w:rPr>
              <w:t>96</w:t>
            </w:r>
            <w:r>
              <w:rPr>
                <w:rFonts w:hint="eastAsia" w:ascii="宋体" w:hAnsi="宋体" w:eastAsia="宋体" w:cs="宋体"/>
                <w:b w:val="0"/>
                <w:bCs w:val="0"/>
                <w:color w:val="000000" w:themeColor="text1"/>
                <w:spacing w:val="0"/>
                <w:sz w:val="24"/>
                <w:szCs w:val="24"/>
                <w:highlight w:val="none"/>
                <w14:textFill>
                  <w14:solidFill>
                    <w14:schemeClr w14:val="tx1"/>
                  </w14:solidFill>
                </w14:textFill>
              </w:rPr>
              <w:t>条</w:t>
            </w:r>
            <w:r>
              <w:rPr>
                <w:rFonts w:hint="eastAsia" w:ascii="宋体" w:hAnsi="宋体" w:cs="宋体"/>
                <w:b w:val="0"/>
                <w:bCs w:val="0"/>
                <w:color w:val="000000" w:themeColor="text1"/>
                <w:spacing w:val="0"/>
                <w:sz w:val="24"/>
                <w:szCs w:val="24"/>
                <w:highlight w:val="none"/>
                <w:lang w:val="en-US" w:eastAsia="zh-CN"/>
                <w14:textFill>
                  <w14:solidFill>
                    <w14:schemeClr w14:val="tx1"/>
                  </w14:solidFill>
                </w14:textFill>
              </w:rPr>
              <w:t>或</w:t>
            </w:r>
            <w:r>
              <w:rPr>
                <w:rFonts w:hint="eastAsia" w:ascii="宋体" w:hAnsi="宋体" w:eastAsia="宋体" w:cs="宋体"/>
                <w:color w:val="000000" w:themeColor="text1"/>
                <w:spacing w:val="0"/>
                <w:sz w:val="24"/>
                <w:szCs w:val="24"/>
                <w:highlight w:val="none"/>
                <w14:textFill>
                  <w14:solidFill>
                    <w14:schemeClr w14:val="tx1"/>
                  </w14:solidFill>
                </w14:textFill>
              </w:rPr>
              <w:t>以上数字人短视频（预制成片），内容包括岗位信息、就业创业政策宣传等。视频背景图片格式9:16，视频背景分辨率</w:t>
            </w:r>
            <w:r>
              <w:rPr>
                <w:rFonts w:hint="eastAsia" w:ascii="宋体" w:hAnsi="宋体" w:cs="宋体"/>
                <w:color w:val="000000" w:themeColor="text1"/>
                <w:spacing w:val="0"/>
                <w:sz w:val="24"/>
                <w:szCs w:val="24"/>
                <w:highlight w:val="none"/>
                <w:lang w:val="en-US" w:eastAsia="zh-CN"/>
                <w14:textFill>
                  <w14:solidFill>
                    <w14:schemeClr w14:val="tx1"/>
                  </w14:solidFill>
                </w14:textFill>
              </w:rPr>
              <w:t>不低于</w:t>
            </w:r>
            <w:r>
              <w:rPr>
                <w:rFonts w:hint="eastAsia" w:ascii="宋体" w:hAnsi="宋体" w:eastAsia="宋体" w:cs="宋体"/>
                <w:color w:val="000000" w:themeColor="text1"/>
                <w:spacing w:val="0"/>
                <w:sz w:val="24"/>
                <w:szCs w:val="24"/>
                <w:highlight w:val="none"/>
                <w14:textFill>
                  <w14:solidFill>
                    <w14:schemeClr w14:val="tx1"/>
                  </w14:solidFill>
                </w14:textFill>
              </w:rPr>
              <w:t>720*1280</w:t>
            </w:r>
            <w:r>
              <w:rPr>
                <w:rFonts w:hint="eastAsia" w:ascii="宋体" w:hAnsi="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14:textFill>
                  <w14:solidFill>
                    <w14:schemeClr w14:val="tx1"/>
                  </w14:solidFill>
                </w14:textFill>
              </w:rPr>
              <w:t>视频分辨率</w:t>
            </w:r>
            <w:r>
              <w:rPr>
                <w:rFonts w:hint="eastAsia" w:ascii="宋体" w:hAnsi="宋体" w:cs="宋体"/>
                <w:color w:val="000000" w:themeColor="text1"/>
                <w:spacing w:val="0"/>
                <w:sz w:val="24"/>
                <w:szCs w:val="24"/>
                <w:highlight w:val="none"/>
                <w:lang w:val="en-US" w:eastAsia="zh-CN"/>
                <w14:textFill>
                  <w14:solidFill>
                    <w14:schemeClr w14:val="tx1"/>
                  </w14:solidFill>
                </w14:textFill>
              </w:rPr>
              <w:t>至少支持</w:t>
            </w:r>
            <w:r>
              <w:rPr>
                <w:rFonts w:hint="eastAsia" w:ascii="宋体" w:hAnsi="宋体" w:eastAsia="宋体" w:cs="宋体"/>
                <w:color w:val="000000" w:themeColor="text1"/>
                <w:spacing w:val="0"/>
                <w:sz w:val="24"/>
                <w:szCs w:val="24"/>
                <w:highlight w:val="none"/>
                <w14:textFill>
                  <w14:solidFill>
                    <w14:schemeClr w14:val="tx1"/>
                  </w14:solidFill>
                </w14:textFill>
              </w:rPr>
              <w:t>480p、720p、1080p</w:t>
            </w:r>
            <w:r>
              <w:rPr>
                <w:rFonts w:hint="eastAsia" w:ascii="宋体" w:hAnsi="宋体" w:cs="宋体"/>
                <w:color w:val="000000" w:themeColor="text1"/>
                <w:spacing w:val="0"/>
                <w:sz w:val="24"/>
                <w:szCs w:val="24"/>
                <w:highlight w:val="none"/>
                <w:lang w:eastAsia="zh-CN"/>
                <w14:textFill>
                  <w14:solidFill>
                    <w14:schemeClr w14:val="tx1"/>
                  </w14:solidFill>
                </w14:textFill>
              </w:rPr>
              <w:t>，</w:t>
            </w:r>
            <w:r>
              <w:rPr>
                <w:rFonts w:hint="eastAsia" w:ascii="宋体" w:hAnsi="宋体" w:cs="宋体"/>
                <w:color w:val="000000" w:themeColor="text1"/>
                <w:spacing w:val="0"/>
                <w:sz w:val="24"/>
                <w:szCs w:val="24"/>
                <w:highlight w:val="none"/>
                <w:lang w:val="en-US" w:eastAsia="zh-CN"/>
                <w14:textFill>
                  <w14:solidFill>
                    <w14:schemeClr w14:val="tx1"/>
                  </w14:solidFill>
                </w14:textFill>
              </w:rPr>
              <w:t>供采购人选择</w:t>
            </w:r>
            <w:r>
              <w:rPr>
                <w:rFonts w:hint="eastAsia" w:ascii="宋体" w:hAnsi="宋体" w:cs="宋体"/>
                <w:color w:val="000000" w:themeColor="text1"/>
                <w:spacing w:val="0"/>
                <w:sz w:val="24"/>
                <w:szCs w:val="24"/>
                <w:highlight w:val="none"/>
                <w:lang w:eastAsia="zh-CN"/>
                <w14:textFill>
                  <w14:solidFill>
                    <w14:schemeClr w14:val="tx1"/>
                  </w14:solidFill>
                </w14:textFill>
              </w:rPr>
              <w:t>。</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每条</w:t>
            </w:r>
            <w:r>
              <w:rPr>
                <w:rFonts w:hint="eastAsia" w:ascii="宋体" w:hAnsi="宋体" w:eastAsia="宋体" w:cs="宋体"/>
                <w:color w:val="000000" w:themeColor="text1"/>
                <w:spacing w:val="0"/>
                <w:sz w:val="24"/>
                <w:szCs w:val="24"/>
                <w:highlight w:val="none"/>
                <w14:textFill>
                  <w14:solidFill>
                    <w14:schemeClr w14:val="tx1"/>
                  </w14:solidFill>
                </w14:textFill>
              </w:rPr>
              <w:t>视频时长</w:t>
            </w:r>
            <w:r>
              <w:rPr>
                <w:rFonts w:hint="eastAsia" w:ascii="宋体" w:hAnsi="宋体" w:eastAsia="宋体" w:cs="宋体"/>
                <w:color w:val="000000" w:themeColor="text1"/>
                <w:spacing w:val="0"/>
                <w:sz w:val="24"/>
                <w:szCs w:val="24"/>
                <w:highlight w:val="none"/>
                <w:lang w:val="en-US" w:eastAsia="zh-CN"/>
                <w14:textFill>
                  <w14:solidFill>
                    <w14:schemeClr w14:val="tx1"/>
                  </w14:solidFill>
                </w14:textFill>
              </w:rPr>
              <w:t>至少</w:t>
            </w:r>
            <w:r>
              <w:rPr>
                <w:rFonts w:hint="eastAsia" w:ascii="宋体" w:hAnsi="宋体" w:eastAsia="宋体" w:cs="宋体"/>
                <w:color w:val="000000" w:themeColor="text1"/>
                <w:spacing w:val="0"/>
                <w:sz w:val="24"/>
                <w:szCs w:val="24"/>
                <w:highlight w:val="none"/>
                <w14:textFill>
                  <w14:solidFill>
                    <w14:schemeClr w14:val="tx1"/>
                  </w14:solidFill>
                </w14:textFill>
              </w:rPr>
              <w:t>1分钟以上。通过线上平台和线下站点等渠道进行播放和宣传，扩大就业信</w:t>
            </w:r>
            <w:r>
              <w:rPr>
                <w:rFonts w:hint="eastAsia" w:ascii="宋体" w:hAnsi="宋体" w:cs="宋体"/>
                <w:color w:val="000000" w:themeColor="text1"/>
                <w:spacing w:val="0"/>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pacing w:val="0"/>
                <w:sz w:val="24"/>
                <w:szCs w:val="24"/>
                <w:highlight w:val="none"/>
                <w14:textFill>
                  <w14:solidFill>
                    <w14:schemeClr w14:val="tx1"/>
                  </w14:solidFill>
                </w14:textFill>
              </w:rPr>
              <w:t>息的传播范围，提高就业服务的覆盖面和影响力。</w:t>
            </w:r>
          </w:p>
        </w:tc>
        <w:tc>
          <w:tcPr>
            <w:tcW w:w="1024" w:type="dxa"/>
            <w:tcBorders>
              <w:top w:val="single" w:color="auto" w:sz="4" w:space="0"/>
              <w:left w:val="single" w:color="auto" w:sz="4" w:space="0"/>
              <w:bottom w:val="single" w:color="auto" w:sz="4" w:space="0"/>
              <w:right w:val="single" w:color="auto" w:sz="4" w:space="0"/>
            </w:tcBorders>
            <w:noWrap/>
            <w:vAlign w:val="center"/>
          </w:tcPr>
          <w:p w14:paraId="494C955E">
            <w:pPr>
              <w:spacing w:line="360" w:lineRule="auto"/>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1000000.00</w:t>
            </w:r>
          </w:p>
        </w:tc>
        <w:tc>
          <w:tcPr>
            <w:tcW w:w="1007" w:type="dxa"/>
            <w:tcBorders>
              <w:top w:val="single" w:color="auto" w:sz="4" w:space="0"/>
              <w:left w:val="single" w:color="auto" w:sz="4" w:space="0"/>
              <w:bottom w:val="single" w:color="auto" w:sz="4" w:space="0"/>
              <w:right w:val="single" w:color="auto" w:sz="4" w:space="0"/>
            </w:tcBorders>
            <w:noWrap/>
            <w:vAlign w:val="center"/>
          </w:tcPr>
          <w:p w14:paraId="3E8CC5D1">
            <w:pPr>
              <w:spacing w:line="360" w:lineRule="auto"/>
              <w:jc w:val="both"/>
              <w:rPr>
                <w:rFonts w:ascii="宋体" w:hAnsi="宋体"/>
                <w:color w:val="000000" w:themeColor="text1"/>
                <w:sz w:val="24"/>
                <w:szCs w:val="24"/>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租赁和商务服务业</w:t>
            </w:r>
          </w:p>
        </w:tc>
      </w:tr>
      <w:tr w14:paraId="7A79D3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3" w:hRule="atLeast"/>
          <w:jc w:val="center"/>
        </w:trPr>
        <w:tc>
          <w:tcPr>
            <w:tcW w:w="10121" w:type="dxa"/>
            <w:gridSpan w:val="9"/>
            <w:tcBorders>
              <w:top w:val="single" w:color="auto" w:sz="4" w:space="0"/>
              <w:left w:val="single" w:color="auto" w:sz="4" w:space="0"/>
              <w:bottom w:val="single" w:color="auto" w:sz="4" w:space="0"/>
              <w:right w:val="single" w:color="auto" w:sz="4" w:space="0"/>
            </w:tcBorders>
            <w:noWrap/>
          </w:tcPr>
          <w:p w14:paraId="3BB91F24">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w:t>
            </w:r>
            <w:r>
              <w:rPr>
                <w:rFonts w:hint="eastAsia" w:ascii="宋体" w:hAnsi="宋体" w:cs="宋体"/>
                <w:b/>
                <w:color w:val="000000" w:themeColor="text1"/>
                <w:sz w:val="24"/>
                <w:szCs w:val="24"/>
                <w:highlight w:val="none"/>
                <w14:textFill>
                  <w14:solidFill>
                    <w14:schemeClr w14:val="tx1"/>
                  </w14:solidFill>
                </w14:textFill>
              </w:rPr>
              <w:t>二、商务要求</w:t>
            </w:r>
          </w:p>
        </w:tc>
      </w:tr>
      <w:tr w14:paraId="4B6A7D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3967B806">
            <w:pPr>
              <w:spacing w:line="360" w:lineRule="auto"/>
              <w:jc w:val="center"/>
              <w:rPr>
                <w:rFonts w:hint="default" w:ascii="宋体" w:hAnsi="宋体"/>
                <w:b/>
                <w:bCs w:val="0"/>
                <w:color w:val="000000" w:themeColor="text1"/>
                <w:sz w:val="24"/>
                <w:szCs w:val="24"/>
                <w:highlight w:val="none"/>
                <w:lang w:val="en-US" w:eastAsia="zh-CN"/>
                <w14:textFill>
                  <w14:solidFill>
                    <w14:schemeClr w14:val="tx1"/>
                  </w14:solidFill>
                </w14:textFill>
              </w:rPr>
            </w:pPr>
            <w:r>
              <w:rPr>
                <w:rFonts w:hint="eastAsia" w:ascii="宋体" w:hAnsi="宋体"/>
                <w:b/>
                <w:bCs w:val="0"/>
                <w:color w:val="000000" w:themeColor="text1"/>
                <w:sz w:val="24"/>
                <w:szCs w:val="24"/>
                <w:highlight w:val="none"/>
                <w:lang w:val="en-US" w:eastAsia="zh-CN"/>
                <w14:textFill>
                  <w14:solidFill>
                    <w14:schemeClr w14:val="tx1"/>
                  </w14:solidFill>
                </w14:textFill>
              </w:rPr>
              <w:t>合同签订期</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1865C456">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自成交通知书发出之日起25日内。</w:t>
            </w:r>
          </w:p>
        </w:tc>
      </w:tr>
      <w:tr w14:paraId="693930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51D42B45">
            <w:pPr>
              <w:spacing w:line="360" w:lineRule="auto"/>
              <w:jc w:val="center"/>
              <w:rPr>
                <w:rFonts w:hint="eastAsia" w:ascii="宋体" w:hAnsi="宋体"/>
                <w:b/>
                <w:bCs w:val="0"/>
                <w:color w:val="000000" w:themeColor="text1"/>
                <w:sz w:val="24"/>
                <w:szCs w:val="24"/>
                <w:highlight w:val="none"/>
                <w14:textFill>
                  <w14:solidFill>
                    <w14:schemeClr w14:val="tx1"/>
                  </w14:solidFill>
                </w14:textFill>
              </w:rPr>
            </w:pPr>
            <w:r>
              <w:rPr>
                <w:rFonts w:hint="eastAsia" w:ascii="宋体" w:hAnsi="宋体"/>
                <w:b/>
                <w:bCs w:val="0"/>
                <w:color w:val="000000" w:themeColor="text1"/>
                <w:sz w:val="24"/>
                <w:szCs w:val="24"/>
                <w:highlight w:val="none"/>
                <w:lang w:eastAsia="zh-CN"/>
                <w14:textFill>
                  <w14:solidFill>
                    <w14:schemeClr w14:val="tx1"/>
                  </w14:solidFill>
                </w14:textFill>
              </w:rPr>
              <w:t>服务期限</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668962E4">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合同签订之日起 30个</w:t>
            </w:r>
            <w:r>
              <w:rPr>
                <w:rFonts w:hint="eastAsia" w:ascii="宋体" w:hAnsi="宋体"/>
                <w:color w:val="000000" w:themeColor="text1"/>
                <w:sz w:val="24"/>
                <w:szCs w:val="24"/>
                <w:highlight w:val="none"/>
                <w:lang w:val="en-US" w:eastAsia="zh-CN"/>
                <w14:textFill>
                  <w14:solidFill>
                    <w14:schemeClr w14:val="tx1"/>
                  </w14:solidFill>
                </w14:textFill>
              </w:rPr>
              <w:t>日历</w:t>
            </w:r>
            <w:r>
              <w:rPr>
                <w:rFonts w:hint="eastAsia" w:ascii="宋体" w:hAnsi="宋体"/>
                <w:color w:val="000000" w:themeColor="text1"/>
                <w:sz w:val="24"/>
                <w:szCs w:val="24"/>
                <w:highlight w:val="none"/>
                <w14:textFill>
                  <w14:solidFill>
                    <w14:schemeClr w14:val="tx1"/>
                  </w14:solidFill>
                </w14:textFill>
              </w:rPr>
              <w:t>日内完成全部设备（1</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台职播机、1</w:t>
            </w:r>
            <w:r>
              <w:rPr>
                <w:rFonts w:hint="eastAsia" w:ascii="宋体" w:hAnsi="宋体"/>
                <w:color w:val="000000" w:themeColor="text1"/>
                <w:sz w:val="24"/>
                <w:szCs w:val="24"/>
                <w:highlight w:val="none"/>
                <w:lang w:val="en-US" w:eastAsia="zh-CN"/>
                <w14:textFill>
                  <w14:solidFill>
                    <w14:schemeClr w14:val="tx1"/>
                  </w14:solidFill>
                </w14:textFill>
              </w:rPr>
              <w:t>1</w:t>
            </w:r>
            <w:r>
              <w:rPr>
                <w:rFonts w:hint="eastAsia" w:ascii="宋体" w:hAnsi="宋体"/>
                <w:color w:val="000000" w:themeColor="text1"/>
                <w:sz w:val="24"/>
                <w:szCs w:val="24"/>
                <w:highlight w:val="none"/>
                <w14:textFill>
                  <w14:solidFill>
                    <w14:schemeClr w14:val="tx1"/>
                  </w14:solidFill>
                </w14:textFill>
              </w:rPr>
              <w:t>台就业互动机）的供货、安装、调试并交付使用。自验收合格之日起提供</w:t>
            </w:r>
            <w:r>
              <w:rPr>
                <w:rFonts w:hint="eastAsia" w:ascii="宋体" w:hAnsi="宋体"/>
                <w:color w:val="000000" w:themeColor="text1"/>
                <w:sz w:val="24"/>
                <w:szCs w:val="24"/>
                <w:highlight w:val="none"/>
                <w:lang w:val="en-US" w:eastAsia="zh-CN"/>
                <w14:textFill>
                  <w14:solidFill>
                    <w14:schemeClr w14:val="tx1"/>
                  </w14:solidFill>
                </w14:textFill>
              </w:rPr>
              <w:t>24</w:t>
            </w:r>
            <w:r>
              <w:rPr>
                <w:rFonts w:hint="eastAsia" w:ascii="宋体" w:hAnsi="宋体"/>
                <w:color w:val="000000" w:themeColor="text1"/>
                <w:sz w:val="24"/>
                <w:szCs w:val="24"/>
                <w:highlight w:val="none"/>
                <w14:textFill>
                  <w14:solidFill>
                    <w14:schemeClr w14:val="tx1"/>
                  </w14:solidFill>
                </w14:textFill>
              </w:rPr>
              <w:t>个月</w:t>
            </w:r>
            <w:r>
              <w:rPr>
                <w:rFonts w:hint="eastAsia" w:ascii="宋体" w:hAnsi="宋体"/>
                <w:color w:val="000000" w:themeColor="text1"/>
                <w:sz w:val="24"/>
                <w:szCs w:val="24"/>
                <w:highlight w:val="none"/>
                <w:lang w:eastAsia="zh-CN"/>
                <w14:textFill>
                  <w14:solidFill>
                    <w14:schemeClr w14:val="tx1"/>
                  </w14:solidFill>
                </w14:textFill>
              </w:rPr>
              <w:t>的</w:t>
            </w:r>
            <w:r>
              <w:rPr>
                <w:rFonts w:hint="eastAsia" w:ascii="宋体" w:hAnsi="宋体"/>
                <w:color w:val="000000" w:themeColor="text1"/>
                <w:sz w:val="24"/>
                <w:szCs w:val="24"/>
                <w:highlight w:val="none"/>
                <w:lang w:val="en-US" w:eastAsia="zh-CN"/>
                <w14:textFill>
                  <w14:solidFill>
                    <w14:schemeClr w14:val="tx1"/>
                  </w14:solidFill>
                </w14:textFill>
              </w:rPr>
              <w:t>软件运维</w:t>
            </w:r>
            <w:r>
              <w:rPr>
                <w:rFonts w:hint="eastAsia" w:ascii="宋体" w:hAnsi="宋体"/>
                <w:color w:val="000000" w:themeColor="text1"/>
                <w:sz w:val="24"/>
                <w:szCs w:val="24"/>
                <w:highlight w:val="none"/>
                <w14:textFill>
                  <w14:solidFill>
                    <w14:schemeClr w14:val="tx1"/>
                  </w14:solidFill>
                </w14:textFill>
              </w:rPr>
              <w:t>服务。短视频制作服务按</w:t>
            </w:r>
            <w:r>
              <w:rPr>
                <w:rFonts w:hint="eastAsia" w:ascii="宋体" w:hAnsi="宋体"/>
                <w:color w:val="000000" w:themeColor="text1"/>
                <w:sz w:val="24"/>
                <w:szCs w:val="24"/>
                <w:highlight w:val="none"/>
                <w:lang w:eastAsia="zh-CN"/>
                <w14:textFill>
                  <w14:solidFill>
                    <w14:schemeClr w14:val="tx1"/>
                  </w14:solidFill>
                </w14:textFill>
              </w:rPr>
              <w:t>月</w:t>
            </w:r>
            <w:r>
              <w:rPr>
                <w:rFonts w:hint="eastAsia" w:ascii="宋体" w:hAnsi="宋体"/>
                <w:color w:val="000000" w:themeColor="text1"/>
                <w:sz w:val="24"/>
                <w:szCs w:val="24"/>
                <w:highlight w:val="none"/>
                <w14:textFill>
                  <w14:solidFill>
                    <w14:schemeClr w14:val="tx1"/>
                  </w14:solidFill>
                </w14:textFill>
              </w:rPr>
              <w:t>交付，</w:t>
            </w:r>
            <w:r>
              <w:rPr>
                <w:rFonts w:hint="eastAsia" w:ascii="宋体" w:hAnsi="宋体"/>
                <w:color w:val="000000" w:themeColor="text1"/>
                <w:sz w:val="24"/>
                <w:szCs w:val="24"/>
                <w:highlight w:val="none"/>
                <w:lang w:eastAsia="zh-CN"/>
                <w14:textFill>
                  <w14:solidFill>
                    <w14:schemeClr w14:val="tx1"/>
                  </w14:solidFill>
                </w14:textFill>
              </w:rPr>
              <w:t>每月</w:t>
            </w:r>
            <w:r>
              <w:rPr>
                <w:rFonts w:hint="eastAsia" w:ascii="宋体" w:hAnsi="宋体"/>
                <w:color w:val="000000" w:themeColor="text1"/>
                <w:sz w:val="24"/>
                <w:szCs w:val="24"/>
                <w:highlight w:val="none"/>
                <w14:textFill>
                  <w14:solidFill>
                    <w14:schemeClr w14:val="tx1"/>
                  </w14:solidFill>
                </w14:textFill>
              </w:rPr>
              <w:t>不少于</w:t>
            </w:r>
            <w:r>
              <w:rPr>
                <w:rFonts w:hint="eastAsia" w:ascii="宋体" w:hAnsi="宋体"/>
                <w:color w:val="000000" w:themeColor="text1"/>
                <w:sz w:val="24"/>
                <w:szCs w:val="24"/>
                <w:highlight w:val="none"/>
                <w:lang w:val="en-US" w:eastAsia="zh-CN"/>
                <w14:textFill>
                  <w14:solidFill>
                    <w14:schemeClr w14:val="tx1"/>
                  </w14:solidFill>
                </w14:textFill>
              </w:rPr>
              <w:t>4</w:t>
            </w:r>
            <w:r>
              <w:rPr>
                <w:rFonts w:hint="eastAsia" w:ascii="宋体" w:hAnsi="宋体"/>
                <w:color w:val="000000" w:themeColor="text1"/>
                <w:sz w:val="24"/>
                <w:szCs w:val="24"/>
                <w:highlight w:val="none"/>
                <w14:textFill>
                  <w14:solidFill>
                    <w14:schemeClr w14:val="tx1"/>
                  </w14:solidFill>
                </w14:textFill>
              </w:rPr>
              <w:t>条。岗位信息采集服务自验收合格之日起</w:t>
            </w:r>
            <w:r>
              <w:rPr>
                <w:rFonts w:hint="eastAsia" w:ascii="宋体" w:hAnsi="宋体"/>
                <w:color w:val="000000" w:themeColor="text1"/>
                <w:sz w:val="24"/>
                <w:szCs w:val="24"/>
                <w:highlight w:val="none"/>
                <w:lang w:val="en-US" w:eastAsia="zh-CN"/>
                <w14:textFill>
                  <w14:solidFill>
                    <w14:schemeClr w14:val="tx1"/>
                  </w14:solidFill>
                </w14:textFill>
              </w:rPr>
              <w:t>24</w:t>
            </w:r>
            <w:r>
              <w:rPr>
                <w:rFonts w:hint="eastAsia" w:ascii="宋体" w:hAnsi="宋体"/>
                <w:color w:val="000000" w:themeColor="text1"/>
                <w:sz w:val="24"/>
                <w:szCs w:val="24"/>
                <w:highlight w:val="none"/>
                <w14:textFill>
                  <w14:solidFill>
                    <w14:schemeClr w14:val="tx1"/>
                  </w14:solidFill>
                </w14:textFill>
              </w:rPr>
              <w:t>个月持续运行，每月采集岗位信息不少于1500个。</w:t>
            </w:r>
          </w:p>
        </w:tc>
      </w:tr>
      <w:tr w14:paraId="6F9342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77A4EC46">
            <w:pPr>
              <w:spacing w:line="360" w:lineRule="auto"/>
              <w:jc w:val="center"/>
              <w:rPr>
                <w:rFonts w:hint="eastAsia" w:ascii="宋体" w:hAnsi="宋体"/>
                <w:b/>
                <w:bCs w:val="0"/>
                <w:color w:val="000000" w:themeColor="text1"/>
                <w:sz w:val="24"/>
                <w:szCs w:val="24"/>
                <w:highlight w:val="none"/>
                <w14:textFill>
                  <w14:solidFill>
                    <w14:schemeClr w14:val="tx1"/>
                  </w14:solidFill>
                </w14:textFill>
              </w:rPr>
            </w:pPr>
            <w:r>
              <w:rPr>
                <w:rFonts w:hint="eastAsia" w:ascii="宋体" w:hAnsi="宋体"/>
                <w:b/>
                <w:bCs w:val="0"/>
                <w:color w:val="000000" w:themeColor="text1"/>
                <w:sz w:val="24"/>
                <w:szCs w:val="24"/>
                <w:highlight w:val="none"/>
                <w:lang w:val="en-US" w:eastAsia="zh-CN"/>
                <w14:textFill>
                  <w14:solidFill>
                    <w14:schemeClr w14:val="tx1"/>
                  </w14:solidFill>
                </w14:textFill>
              </w:rPr>
              <w:t>交付</w:t>
            </w:r>
            <w:r>
              <w:rPr>
                <w:rFonts w:hint="eastAsia" w:ascii="宋体" w:hAnsi="宋体"/>
                <w:b/>
                <w:bCs w:val="0"/>
                <w:color w:val="000000" w:themeColor="text1"/>
                <w:sz w:val="24"/>
                <w:szCs w:val="24"/>
                <w:highlight w:val="none"/>
                <w14:textFill>
                  <w14:solidFill>
                    <w14:schemeClr w14:val="tx1"/>
                  </w14:solidFill>
                </w14:textFill>
              </w:rPr>
              <w:t>地点</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2D8AB5D5">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广西区内采购人指定地点（</w:t>
            </w:r>
            <w:r>
              <w:rPr>
                <w:rFonts w:hint="eastAsia" w:ascii="宋体" w:hAnsi="宋体"/>
                <w:color w:val="000000" w:themeColor="text1"/>
                <w:sz w:val="24"/>
                <w:szCs w:val="24"/>
                <w:highlight w:val="none"/>
                <w:lang w:val="en-US" w:eastAsia="zh-CN"/>
                <w14:textFill>
                  <w14:solidFill>
                    <w14:schemeClr w14:val="tx1"/>
                  </w14:solidFill>
                </w14:textFill>
              </w:rPr>
              <w:t>南宁市上林县</w:t>
            </w:r>
            <w:r>
              <w:rPr>
                <w:rFonts w:hint="eastAsia" w:ascii="宋体" w:hAnsi="宋体"/>
                <w:color w:val="000000" w:themeColor="text1"/>
                <w:sz w:val="24"/>
                <w:szCs w:val="24"/>
                <w:highlight w:val="none"/>
                <w14:textFill>
                  <w14:solidFill>
                    <w14:schemeClr w14:val="tx1"/>
                  </w14:solidFill>
                </w14:textFill>
              </w:rPr>
              <w:t>）。</w:t>
            </w:r>
          </w:p>
        </w:tc>
      </w:tr>
      <w:tr w14:paraId="1B2804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51884272">
            <w:pPr>
              <w:snapToGrid w:val="0"/>
              <w:spacing w:line="360" w:lineRule="auto"/>
              <w:jc w:val="center"/>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质量保质期</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43671D94">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eastAsia="宋体" w:cs="Times New Roman"/>
                <w:color w:val="000000" w:themeColor="text1"/>
                <w:sz w:val="24"/>
                <w:szCs w:val="24"/>
                <w:highlight w:val="none"/>
                <w14:textFill>
                  <w14:solidFill>
                    <w14:schemeClr w14:val="tx1"/>
                  </w14:solidFill>
                </w14:textFill>
              </w:rPr>
              <w:t>全部硬件设备（职播机、就业互动机）质保期为</w:t>
            </w:r>
            <w:r>
              <w:rPr>
                <w:rFonts w:hint="default" w:ascii="宋体" w:hAnsi="宋体" w:eastAsia="宋体" w:cs="Times New Roman"/>
                <w:color w:val="000000" w:themeColor="text1"/>
                <w:sz w:val="24"/>
                <w:szCs w:val="24"/>
                <w:highlight w:val="none"/>
                <w14:textFill>
                  <w14:solidFill>
                    <w14:schemeClr w14:val="tx1"/>
                  </w14:solidFill>
                </w14:textFill>
              </w:rPr>
              <w:t>自验收合格之日起不少于24个月；软件平台及AI职业介绍服务质保期为自验收合格之日起</w:t>
            </w:r>
            <w:r>
              <w:rPr>
                <w:rFonts w:hint="eastAsia" w:ascii="宋体" w:hAnsi="宋体" w:cs="Times New Roman"/>
                <w:color w:val="000000" w:themeColor="text1"/>
                <w:sz w:val="24"/>
                <w:szCs w:val="24"/>
                <w:highlight w:val="none"/>
                <w:lang w:val="en-US" w:eastAsia="zh-CN"/>
                <w14:textFill>
                  <w14:solidFill>
                    <w14:schemeClr w14:val="tx1"/>
                  </w14:solidFill>
                </w14:textFill>
              </w:rPr>
              <w:t>24</w:t>
            </w:r>
            <w:r>
              <w:rPr>
                <w:rFonts w:hint="default" w:ascii="宋体" w:hAnsi="宋体" w:eastAsia="宋体" w:cs="Times New Roman"/>
                <w:color w:val="000000" w:themeColor="text1"/>
                <w:sz w:val="24"/>
                <w:szCs w:val="24"/>
                <w:highlight w:val="none"/>
                <w14:textFill>
                  <w14:solidFill>
                    <w14:schemeClr w14:val="tx1"/>
                  </w14:solidFill>
                </w14:textFill>
              </w:rPr>
              <w:t>个月。</w:t>
            </w:r>
          </w:p>
        </w:tc>
      </w:tr>
      <w:tr w14:paraId="45AB0C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30"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32BC9776">
            <w:pPr>
              <w:snapToGrid w:val="0"/>
              <w:spacing w:line="360" w:lineRule="auto"/>
              <w:jc w:val="center"/>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服务标准、服务效率、售后服务要求</w:t>
            </w:r>
            <w:r>
              <w:rPr>
                <w:rFonts w:hint="eastAsia" w:ascii="宋体" w:hAnsi="宋体" w:cs="宋体"/>
                <w:b/>
                <w:color w:val="000000" w:themeColor="text1"/>
                <w:sz w:val="24"/>
                <w:szCs w:val="24"/>
                <w:highlight w:val="none"/>
                <w:lang w:eastAsia="zh-CN"/>
                <w14:textFill>
                  <w14:solidFill>
                    <w14:schemeClr w14:val="tx1"/>
                  </w14:solidFill>
                </w14:textFill>
              </w:rPr>
              <w:t>及其他要求</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0BD7A859">
            <w:pPr>
              <w:pStyle w:val="11"/>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cs="宋体"/>
                <w:b/>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1.</w:t>
            </w:r>
            <w:r>
              <w:rPr>
                <w:rFonts w:hint="eastAsia" w:ascii="宋体" w:hAnsi="宋体" w:cs="宋体"/>
                <w:b/>
                <w:color w:val="000000" w:themeColor="text1"/>
                <w:sz w:val="24"/>
                <w:szCs w:val="24"/>
                <w:highlight w:val="none"/>
                <w14:textFill>
                  <w14:solidFill>
                    <w14:schemeClr w14:val="tx1"/>
                  </w14:solidFill>
                </w14:textFill>
              </w:rPr>
              <w:t>服务标准、服务效率、售后服务要求</w:t>
            </w:r>
          </w:p>
          <w:p w14:paraId="31957AA0">
            <w:pPr>
              <w:pStyle w:val="11"/>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处理问题响应时间：接到采购人处理问题通知后2小时内到达采购人指定现场。4小时内解决故障并恢复平台功能运行，服务期内提供免费技术支持。在服务期内，出现平台运行故障时，成交供应商未能在4小时内及时解决处理故障，恢复平台功能运行，影响了采购人核心业务工作开展，累计出现10次同类情况的，按违约处理。</w:t>
            </w:r>
          </w:p>
          <w:p w14:paraId="44AA3699">
            <w:pPr>
              <w:pStyle w:val="11"/>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维护服务还包括以下内容：</w:t>
            </w:r>
          </w:p>
          <w:p w14:paraId="27829019">
            <w:pPr>
              <w:pStyle w:val="11"/>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①对于平台数据安全问题应及时提供补丁，费用包含在总合同价中；</w:t>
            </w:r>
          </w:p>
          <w:p w14:paraId="22CAA7D6">
            <w:pPr>
              <w:pStyle w:val="11"/>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②对于因软件设计等技术原因而引起的故障，成交供应商应提供解决方案，费用包含在总合同价中。</w:t>
            </w:r>
          </w:p>
          <w:p w14:paraId="6D30C8A3">
            <w:pPr>
              <w:pStyle w:val="11"/>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eastAsia" w:ascii="宋体" w:hAnsi="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2.项目实施要求</w:t>
            </w:r>
          </w:p>
          <w:p w14:paraId="68E92491">
            <w:pPr>
              <w:pStyle w:val="11"/>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（1）供应商应在响应文件中提供项目实施方案，方案经采购人确认同意后方可实施，且须达到采购人项目总体目标的要求。</w:t>
            </w:r>
          </w:p>
          <w:p w14:paraId="206AF6BC">
            <w:pPr>
              <w:pStyle w:val="11"/>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项目开始至验收，成交供应商须按响应文件承诺要求提供服务团队。同时平台搭建与实施过程所需一切工具（含开发工具）、仪表等设备或工具均由成交供应商自行负责。</w:t>
            </w:r>
          </w:p>
          <w:p w14:paraId="0BBBB332">
            <w:pPr>
              <w:pStyle w:val="11"/>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服务团队必须严格按照采购人日常工作制度进行在岗服务，在服务期内，若连续因服务团队未及时响应、问题故障不能及时解决导致采购人业务开展累计达10次的，采购人有权终止合同，并依法追究成交供应商相应法律责任。</w:t>
            </w:r>
          </w:p>
          <w:p w14:paraId="634BF007">
            <w:pPr>
              <w:pStyle w:val="11"/>
              <w:keepNext w:val="0"/>
              <w:keepLines w:val="0"/>
              <w:pageBreakBefore w:val="0"/>
              <w:widowControl w:val="0"/>
              <w:kinsoku/>
              <w:wordWrap/>
              <w:overflowPunct/>
              <w:topLinePunct w:val="0"/>
              <w:autoSpaceDE/>
              <w:autoSpaceDN/>
              <w:bidi w:val="0"/>
              <w:adjustRightInd/>
              <w:spacing w:line="360" w:lineRule="auto"/>
              <w:ind w:firstLine="482" w:firstLineChars="200"/>
              <w:textAlignment w:val="auto"/>
              <w:rPr>
                <w:rFonts w:hint="default" w:ascii="宋体" w:hAnsi="宋体" w:cs="宋体"/>
                <w:b/>
                <w:color w:val="000000" w:themeColor="text1"/>
                <w:sz w:val="24"/>
                <w:szCs w:val="24"/>
                <w:highlight w:val="none"/>
                <w:lang w:val="en-US" w:eastAsia="zh-CN"/>
                <w14:textFill>
                  <w14:solidFill>
                    <w14:schemeClr w14:val="tx1"/>
                  </w14:solidFill>
                </w14:textFill>
              </w:rPr>
            </w:pPr>
            <w:r>
              <w:rPr>
                <w:rFonts w:hint="eastAsia" w:ascii="宋体" w:hAnsi="宋体" w:cs="宋体"/>
                <w:b/>
                <w:color w:val="000000" w:themeColor="text1"/>
                <w:sz w:val="24"/>
                <w:szCs w:val="24"/>
                <w:highlight w:val="none"/>
                <w:lang w:val="en-US" w:eastAsia="zh-CN"/>
                <w14:textFill>
                  <w14:solidFill>
                    <w14:schemeClr w14:val="tx1"/>
                  </w14:solidFill>
                </w14:textFill>
              </w:rPr>
              <w:t>3.其他要求</w:t>
            </w:r>
          </w:p>
          <w:p w14:paraId="261D3E61">
            <w:pPr>
              <w:pStyle w:val="11"/>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相关人员培训：标的包含人员的培训计划费用，设备装机验收后，现场提供对采购人进行3次以上基本培训，使采购人使用人员熟练掌握全部功能及基本维修。视采购人时间安排确定。</w:t>
            </w:r>
          </w:p>
          <w:p w14:paraId="522608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供应商在响应文件中明确投入项目团队。项目实施期间，严格按响应文件承诺投入项目团队人员</w:t>
            </w:r>
            <w:r>
              <w:rPr>
                <w:rFonts w:hint="eastAsia" w:ascii="宋体" w:hAnsi="宋体" w:cs="宋体"/>
                <w:bCs w:val="0"/>
                <w:color w:val="000000" w:themeColor="text1"/>
                <w:sz w:val="24"/>
                <w:szCs w:val="24"/>
                <w:highlight w:val="none"/>
                <w:lang w:eastAsia="zh-CN"/>
                <w14:textFill>
                  <w14:solidFill>
                    <w14:schemeClr w14:val="tx1"/>
                  </w14:solidFill>
                </w14:textFill>
              </w:rPr>
              <w:t>。</w:t>
            </w:r>
          </w:p>
        </w:tc>
      </w:tr>
      <w:tr w14:paraId="1C9D12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2EC1D16C">
            <w:pPr>
              <w:snapToGrid w:val="0"/>
              <w:spacing w:line="360" w:lineRule="auto"/>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报价要求</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26D8C2CE">
            <w:pPr>
              <w:pStyle w:val="16"/>
              <w:keepNext w:val="0"/>
              <w:keepLines w:val="0"/>
              <w:pageBreakBefore w:val="0"/>
              <w:widowControl w:val="0"/>
              <w:kinsoku/>
              <w:wordWrap/>
              <w:overflowPunct/>
              <w:topLinePunct w:val="0"/>
              <w:autoSpaceDE/>
              <w:autoSpaceDN/>
              <w:bidi w:val="0"/>
              <w:adjustRightInd/>
              <w:snapToGrid w:val="0"/>
              <w:spacing w:line="360" w:lineRule="auto"/>
              <w:ind w:left="34" w:leftChars="0" w:firstLine="512" w:firstLineChars="200"/>
              <w:textAlignment w:val="auto"/>
              <w:outlineLvl w:val="0"/>
              <w:rPr>
                <w:rFonts w:hint="eastAsia" w:ascii="宋体" w:hAnsi="宋体" w:eastAsia="宋体" w:cs="宋体"/>
                <w:i w:val="0"/>
                <w:iCs w:val="0"/>
                <w:caps w:val="0"/>
                <w:color w:val="000000" w:themeColor="text1"/>
                <w:spacing w:val="8"/>
                <w:sz w:val="24"/>
                <w:szCs w:val="24"/>
                <w:highlight w:val="none"/>
                <w:shd w:val="clear" w:fill="FFFFFF"/>
                <w:lang w:eastAsia="zh-CN"/>
                <w14:textFill>
                  <w14:solidFill>
                    <w14:schemeClr w14:val="tx1"/>
                  </w14:solidFill>
                </w14:textFill>
              </w:rPr>
            </w:pPr>
            <w:r>
              <w:rPr>
                <w:rFonts w:hint="eastAsia" w:ascii="宋体" w:hAnsi="宋体" w:eastAsia="宋体" w:cs="宋体"/>
                <w:i w:val="0"/>
                <w:iCs w:val="0"/>
                <w:caps w:val="0"/>
                <w:color w:val="000000" w:themeColor="text1"/>
                <w:spacing w:val="8"/>
                <w:sz w:val="24"/>
                <w:szCs w:val="24"/>
                <w:highlight w:val="none"/>
                <w:shd w:val="clear" w:fill="FFFFFF"/>
                <w:lang w:eastAsia="zh-CN"/>
                <w14:textFill>
                  <w14:solidFill>
                    <w14:schemeClr w14:val="tx1"/>
                  </w14:solidFill>
                </w14:textFill>
              </w:rPr>
              <w:t>1.报价要求：本项目报价金额以人民币计价。报价总额超过预算金额的，作无效竞标处理。</w:t>
            </w:r>
          </w:p>
          <w:p w14:paraId="55F20AC9">
            <w:pPr>
              <w:pStyle w:val="16"/>
              <w:keepNext w:val="0"/>
              <w:keepLines w:val="0"/>
              <w:pageBreakBefore w:val="0"/>
              <w:widowControl w:val="0"/>
              <w:kinsoku/>
              <w:wordWrap/>
              <w:overflowPunct/>
              <w:topLinePunct w:val="0"/>
              <w:autoSpaceDE/>
              <w:autoSpaceDN/>
              <w:bidi w:val="0"/>
              <w:adjustRightInd/>
              <w:snapToGrid w:val="0"/>
              <w:spacing w:line="360" w:lineRule="auto"/>
              <w:ind w:left="34" w:leftChars="0" w:firstLine="512" w:firstLineChars="200"/>
              <w:textAlignment w:val="auto"/>
              <w:outlineLvl w:val="0"/>
              <w:rPr>
                <w:rFonts w:hint="eastAsia" w:ascii="宋体" w:hAnsi="宋体" w:eastAsia="宋体"/>
                <w:color w:val="000000" w:themeColor="text1"/>
                <w:sz w:val="24"/>
                <w:szCs w:val="24"/>
                <w:highlight w:val="none"/>
                <w:lang w:eastAsia="zh-CN"/>
                <w14:textFill>
                  <w14:solidFill>
                    <w14:schemeClr w14:val="tx1"/>
                  </w14:solidFill>
                </w14:textFill>
              </w:rPr>
            </w:pPr>
            <w:r>
              <w:rPr>
                <w:rFonts w:hint="eastAsia" w:ascii="宋体" w:hAnsi="宋体" w:eastAsia="宋体" w:cs="宋体"/>
                <w:i w:val="0"/>
                <w:iCs w:val="0"/>
                <w:caps w:val="0"/>
                <w:color w:val="000000" w:themeColor="text1"/>
                <w:spacing w:val="8"/>
                <w:sz w:val="24"/>
                <w:szCs w:val="24"/>
                <w:highlight w:val="none"/>
                <w:shd w:val="clear" w:fill="FFFFFF"/>
                <w:lang w:eastAsia="zh-CN"/>
                <w14:textFill>
                  <w14:solidFill>
                    <w14:schemeClr w14:val="tx1"/>
                  </w14:solidFill>
                </w14:textFill>
              </w:rPr>
              <w:t>2.供应商的报价包括但不限于：服务费用、其他费用（包括但不限于运输、装卸、系统开发、系统部署、调试、技术支持、其他服务、检测、更新升级等费用）、各项税费、项目整体验收各项费用及其它与本项目有关的可预见及不可预见的所有成本、费用的总和，除合同价款及采购人认可的特殊情况外，采购人不再为本项目另付其他任何费用给成交供应商。</w:t>
            </w:r>
          </w:p>
        </w:tc>
      </w:tr>
      <w:tr w14:paraId="60075A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3ED0CD08">
            <w:pPr>
              <w:snapToGrid w:val="0"/>
              <w:spacing w:line="360" w:lineRule="auto"/>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付款方式</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7F19503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自</w:t>
            </w:r>
            <w:r>
              <w:rPr>
                <w:rFonts w:hint="eastAsia" w:ascii="宋体" w:hAnsi="宋体" w:eastAsia="宋体" w:cs="宋体"/>
                <w:color w:val="000000" w:themeColor="text1"/>
                <w:sz w:val="24"/>
                <w:szCs w:val="24"/>
                <w:highlight w:val="none"/>
                <w14:textFill>
                  <w14:solidFill>
                    <w14:schemeClr w14:val="tx1"/>
                  </w14:solidFill>
                </w14:textFill>
              </w:rPr>
              <w:t>合同签订</w:t>
            </w:r>
            <w:r>
              <w:rPr>
                <w:rFonts w:hint="eastAsia" w:ascii="宋体" w:hAnsi="宋体" w:eastAsia="宋体" w:cs="宋体"/>
                <w:color w:val="000000" w:themeColor="text1"/>
                <w:sz w:val="24"/>
                <w:szCs w:val="24"/>
                <w:highlight w:val="none"/>
                <w:lang w:val="en-US" w:eastAsia="zh-CN"/>
                <w14:textFill>
                  <w14:solidFill>
                    <w14:schemeClr w14:val="tx1"/>
                  </w14:solidFill>
                </w14:textFill>
              </w:rPr>
              <w:t>之日起</w:t>
            </w:r>
            <w:r>
              <w:rPr>
                <w:rFonts w:hint="default"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default" w:ascii="宋体" w:hAnsi="宋体" w:eastAsia="宋体" w:cs="宋体"/>
                <w:color w:val="000000" w:themeColor="text1"/>
                <w:sz w:val="24"/>
                <w:szCs w:val="24"/>
                <w:highlight w:val="none"/>
                <w14:textFill>
                  <w14:solidFill>
                    <w14:schemeClr w14:val="tx1"/>
                  </w14:solidFill>
                </w14:textFill>
              </w:rPr>
              <w:t>个工作日内，</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采购人向成交供应商</w:t>
            </w:r>
            <w:r>
              <w:rPr>
                <w:rFonts w:hint="default" w:ascii="宋体" w:hAnsi="宋体" w:eastAsia="宋体" w:cs="宋体"/>
                <w:color w:val="000000" w:themeColor="text1"/>
                <w:sz w:val="24"/>
                <w:szCs w:val="24"/>
                <w:highlight w:val="none"/>
                <w14:textFill>
                  <w14:solidFill>
                    <w14:schemeClr w14:val="tx1"/>
                  </w14:solidFill>
                </w14:textFill>
              </w:rPr>
              <w:t>支付合同总价的30%作为预付款</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用于先行支付平台搭建、岗位信息采集等费用</w:t>
            </w:r>
            <w:r>
              <w:rPr>
                <w:rFonts w:hint="eastAsia" w:ascii="宋体" w:hAnsi="宋体" w:cs="宋体"/>
                <w:color w:val="000000" w:themeColor="text1"/>
                <w:sz w:val="24"/>
                <w:szCs w:val="24"/>
                <w:highlight w:val="none"/>
                <w:lang w:val="en-US" w:eastAsia="zh-CN"/>
                <w14:textFill>
                  <w14:solidFill>
                    <w14:schemeClr w14:val="tx1"/>
                  </w14:solidFill>
                </w14:textFill>
              </w:rPr>
              <w:t>；项目实施中期，平台架构搭建完成，服务配套设备全部到位且能正常实施服务功能的</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再次</w:t>
            </w:r>
            <w:r>
              <w:rPr>
                <w:rFonts w:hint="default" w:ascii="宋体" w:hAnsi="宋体" w:eastAsia="宋体" w:cs="宋体"/>
                <w:color w:val="000000" w:themeColor="text1"/>
                <w:sz w:val="24"/>
                <w:szCs w:val="24"/>
                <w:highlight w:val="none"/>
                <w14:textFill>
                  <w14:solidFill>
                    <w14:schemeClr w14:val="tx1"/>
                  </w14:solidFill>
                </w14:textFill>
              </w:rPr>
              <w:t>支付合同总价的</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default" w:ascii="宋体" w:hAnsi="宋体" w:eastAsia="宋体" w:cs="宋体"/>
                <w:color w:val="000000" w:themeColor="text1"/>
                <w:sz w:val="24"/>
                <w:szCs w:val="24"/>
                <w:highlight w:val="none"/>
                <w14:textFill>
                  <w14:solidFill>
                    <w14:schemeClr w14:val="tx1"/>
                  </w14:solidFill>
                </w14:textFill>
              </w:rPr>
              <w:t>0%</w:t>
            </w:r>
            <w:r>
              <w:rPr>
                <w:rFonts w:hint="eastAsia" w:ascii="宋体" w:hAnsi="宋体" w:cs="宋体"/>
                <w:color w:val="000000" w:themeColor="text1"/>
                <w:sz w:val="24"/>
                <w:szCs w:val="24"/>
                <w:highlight w:val="none"/>
                <w:lang w:eastAsia="zh-CN"/>
                <w14:textFill>
                  <w14:solidFill>
                    <w14:schemeClr w14:val="tx1"/>
                  </w14:solidFill>
                </w14:textFill>
              </w:rPr>
              <w:t>进度款；</w:t>
            </w:r>
            <w:r>
              <w:rPr>
                <w:rFonts w:hint="eastAsia" w:ascii="宋体" w:hAnsi="宋体" w:eastAsia="宋体" w:cs="宋体"/>
                <w:color w:val="000000" w:themeColor="text1"/>
                <w:sz w:val="24"/>
                <w:szCs w:val="24"/>
                <w:highlight w:val="none"/>
                <w:lang w:val="en-US" w:eastAsia="zh-CN"/>
                <w14:textFill>
                  <w14:solidFill>
                    <w14:schemeClr w14:val="tx1"/>
                  </w14:solidFill>
                </w14:textFill>
              </w:rPr>
              <w:t>项目实施结束经采购</w:t>
            </w:r>
            <w:r>
              <w:rPr>
                <w:rFonts w:hint="eastAsia" w:ascii="宋体" w:hAnsi="宋体" w:cs="宋体"/>
                <w:color w:val="000000" w:themeColor="text1"/>
                <w:sz w:val="24"/>
                <w:szCs w:val="24"/>
                <w:highlight w:val="none"/>
                <w:lang w:val="en-US" w:eastAsia="zh-CN"/>
                <w14:textFill>
                  <w14:solidFill>
                    <w14:schemeClr w14:val="tx1"/>
                  </w14:solidFill>
                </w14:textFill>
              </w:rPr>
              <w:t>人</w:t>
            </w:r>
            <w:r>
              <w:rPr>
                <w:rFonts w:hint="eastAsia" w:ascii="宋体" w:hAnsi="宋体" w:eastAsia="宋体" w:cs="宋体"/>
                <w:color w:val="000000" w:themeColor="text1"/>
                <w:sz w:val="24"/>
                <w:szCs w:val="24"/>
                <w:highlight w:val="none"/>
                <w:lang w:val="en-US" w:eastAsia="zh-CN"/>
                <w14:textFill>
                  <w14:solidFill>
                    <w14:schemeClr w14:val="tx1"/>
                  </w14:solidFill>
                </w14:textFill>
              </w:rPr>
              <w:t>评估验收</w:t>
            </w:r>
            <w:r>
              <w:rPr>
                <w:rFonts w:hint="eastAsia" w:ascii="宋体" w:hAnsi="宋体" w:eastAsia="宋体" w:cs="宋体"/>
                <w:color w:val="000000" w:themeColor="text1"/>
                <w:sz w:val="24"/>
                <w:szCs w:val="24"/>
                <w:highlight w:val="none"/>
                <w14:textFill>
                  <w14:solidFill>
                    <w14:schemeClr w14:val="tx1"/>
                  </w14:solidFill>
                </w14:textFill>
              </w:rPr>
              <w:t>合格后</w:t>
            </w:r>
            <w:r>
              <w:rPr>
                <w:rFonts w:hint="default"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default" w:ascii="宋体" w:hAnsi="宋体" w:eastAsia="宋体" w:cs="宋体"/>
                <w:color w:val="000000" w:themeColor="text1"/>
                <w:sz w:val="24"/>
                <w:szCs w:val="24"/>
                <w:highlight w:val="none"/>
                <w14:textFill>
                  <w14:solidFill>
                    <w14:schemeClr w14:val="tx1"/>
                  </w14:solidFill>
                </w14:textFill>
              </w:rPr>
              <w:t>个工作日内，支付合同总价的</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14:textFill>
                  <w14:solidFill>
                    <w14:schemeClr w14:val="tx1"/>
                  </w14:solidFill>
                </w14:textFill>
              </w:rPr>
              <w:t>0%</w:t>
            </w:r>
            <w:r>
              <w:rPr>
                <w:rFonts w:hint="eastAsia" w:ascii="宋体" w:hAnsi="宋体" w:cs="宋体"/>
                <w:color w:val="000000" w:themeColor="text1"/>
                <w:sz w:val="24"/>
                <w:szCs w:val="24"/>
                <w:highlight w:val="none"/>
                <w:lang w:eastAsia="zh-CN"/>
                <w14:textFill>
                  <w14:solidFill>
                    <w14:schemeClr w14:val="tx1"/>
                  </w14:solidFill>
                </w14:textFill>
              </w:rPr>
              <w:t>尾款费用（全部付款规则及细节以正式合同条款为准）。</w:t>
            </w:r>
          </w:p>
          <w:p w14:paraId="5E8F2AF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每次支</w:t>
            </w:r>
            <w:r>
              <w:rPr>
                <w:rFonts w:hint="eastAsia" w:ascii="宋体" w:hAnsi="宋体" w:cs="宋体"/>
                <w:color w:val="000000" w:themeColor="text1"/>
                <w:sz w:val="24"/>
                <w:szCs w:val="24"/>
                <w:highlight w:val="none"/>
                <w14:textFill>
                  <w14:solidFill>
                    <w14:schemeClr w14:val="tx1"/>
                  </w14:solidFill>
                </w14:textFill>
              </w:rPr>
              <w:t>付</w:t>
            </w:r>
            <w:r>
              <w:rPr>
                <w:rFonts w:hint="eastAsia" w:ascii="宋体" w:hAnsi="宋体" w:cs="宋体"/>
                <w:color w:val="000000" w:themeColor="text1"/>
                <w:sz w:val="24"/>
                <w:szCs w:val="24"/>
                <w:highlight w:val="none"/>
                <w:lang w:eastAsia="zh-CN"/>
                <w14:textFill>
                  <w14:solidFill>
                    <w14:schemeClr w14:val="tx1"/>
                  </w14:solidFill>
                </w14:textFill>
              </w:rPr>
              <w:t>合同款项</w:t>
            </w:r>
            <w:r>
              <w:rPr>
                <w:rFonts w:hint="eastAsia" w:ascii="宋体" w:hAnsi="宋体" w:cs="宋体"/>
                <w:color w:val="000000" w:themeColor="text1"/>
                <w:sz w:val="24"/>
                <w:szCs w:val="24"/>
                <w:highlight w:val="none"/>
                <w14:textFill>
                  <w14:solidFill>
                    <w14:schemeClr w14:val="tx1"/>
                  </w14:solidFill>
                </w14:textFill>
              </w:rPr>
              <w:t>前，</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需开具合法有效的全额发票，</w:t>
            </w:r>
            <w:r>
              <w:rPr>
                <w:rFonts w:hint="eastAsia" w:ascii="宋体" w:hAnsi="宋体" w:cs="宋体"/>
                <w:color w:val="000000" w:themeColor="text1"/>
                <w:sz w:val="24"/>
                <w:szCs w:val="24"/>
                <w:highlight w:val="none"/>
                <w:lang w:eastAsia="zh-CN"/>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未开具合法有效的全额发票的，采购人有权不支付合同款。</w:t>
            </w:r>
          </w:p>
        </w:tc>
      </w:tr>
      <w:tr w14:paraId="44A675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4FB46A13">
            <w:pPr>
              <w:snapToGrid w:val="0"/>
              <w:spacing w:line="360" w:lineRule="auto"/>
              <w:jc w:val="center"/>
              <w:rPr>
                <w:rFonts w:hint="eastAsia" w:ascii="宋体" w:hAnsi="宋体" w:cs="宋体"/>
                <w:b/>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知识产权</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3120DEB3">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供应商为本项目定制开发的软件平台、AI算法模型、短视频作品等成果的知识产权（著作权）归采购人所有。</w:t>
            </w:r>
          </w:p>
          <w:p w14:paraId="145A199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供应商保证其提供的设备、软件、服务不侵犯任何第三方的知识产权，如发生知识产权纠纷，由供应商承担全部法律责任及经济赔偿。</w:t>
            </w:r>
          </w:p>
          <w:p w14:paraId="5545EF5D">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供应商须在验收合格后 30个</w:t>
            </w:r>
            <w:r>
              <w:rPr>
                <w:rFonts w:hint="eastAsia" w:ascii="宋体" w:hAnsi="宋体" w:cs="宋体"/>
                <w:color w:val="000000" w:themeColor="text1"/>
                <w:sz w:val="24"/>
                <w:szCs w:val="24"/>
                <w:highlight w:val="none"/>
                <w:lang w:eastAsia="zh-CN"/>
                <w14:textFill>
                  <w14:solidFill>
                    <w14:schemeClr w14:val="tx1"/>
                  </w14:solidFill>
                </w14:textFill>
              </w:rPr>
              <w:t>日历</w:t>
            </w:r>
            <w:r>
              <w:rPr>
                <w:rFonts w:hint="eastAsia" w:ascii="宋体" w:hAnsi="宋体" w:eastAsia="宋体" w:cs="宋体"/>
                <w:color w:val="000000" w:themeColor="text1"/>
                <w:sz w:val="24"/>
                <w:szCs w:val="24"/>
                <w:highlight w:val="none"/>
                <w14:textFill>
                  <w14:solidFill>
                    <w14:schemeClr w14:val="tx1"/>
                  </w14:solidFill>
                </w14:textFill>
              </w:rPr>
              <w:t>日内向采购人移交全部软件源代码、技术文档、操作手册等，并确保采购人可独立运行和二次开发。</w:t>
            </w:r>
          </w:p>
          <w:p w14:paraId="6C9AE21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项目运行期间产生的全部岗位信息数据、服务数据、用户数据等，其所有权和使用权均归采购人所有，供应商未经采购人书面同意不得用于其他用途。</w:t>
            </w:r>
          </w:p>
        </w:tc>
      </w:tr>
      <w:tr w14:paraId="562E98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3C161A79">
            <w:pPr>
              <w:snapToGrid w:val="0"/>
              <w:spacing w:line="360" w:lineRule="auto"/>
              <w:jc w:val="center"/>
              <w:rPr>
                <w:rFonts w:hint="eastAsia" w:ascii="宋体" w:hAnsi="宋体" w:cs="宋体"/>
                <w:b/>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数据安全与保密条款</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3BDE117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i w:val="0"/>
                <w:color w:val="000000" w:themeColor="text1"/>
                <w:sz w:val="24"/>
                <w:szCs w:val="24"/>
                <w:highlight w:val="none"/>
                <w14:textFill>
                  <w14:solidFill>
                    <w14:schemeClr w14:val="tx1"/>
                  </w14:solidFill>
                </w14:textFill>
              </w:rPr>
              <w:t>供应商应严格遵守《中华人民共和国数据安全法》《中华人民共和国个人信息保护法》《网络安全法》等法律法规，建立完善的数据安全管理制度。</w:t>
            </w:r>
          </w:p>
          <w:p w14:paraId="2015DEEC">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2.项目涉及的服务对象的个人信息（姓名、身份证号、联系方式、就业意向等）属于敏感个人信息，供应商须取得信息主体明示同意后方可采集和使用。</w:t>
            </w:r>
          </w:p>
          <w:p w14:paraId="2988F08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val="0"/>
                <w:i w:val="0"/>
                <w:color w:val="000000" w:themeColor="text1"/>
                <w:sz w:val="24"/>
                <w:szCs w:val="24"/>
                <w:highlight w:val="none"/>
                <w14:textFill>
                  <w14:solidFill>
                    <w14:schemeClr w14:val="tx1"/>
                  </w14:solidFill>
                </w14:textFill>
              </w:rPr>
              <w:t>供应商须对个人信息采取加密存储、脱敏处理、访问控制等技术措施，防止数据泄露、篡改、丢失。</w:t>
            </w:r>
          </w:p>
          <w:p w14:paraId="5CA284C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default" w:ascii="Times New Roman" w:hAnsi="Times New Roman"/>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val="0"/>
                <w:i w:val="0"/>
                <w:color w:val="000000" w:themeColor="text1"/>
                <w:sz w:val="24"/>
                <w:szCs w:val="24"/>
                <w:highlight w:val="none"/>
                <w14:textFill>
                  <w14:solidFill>
                    <w14:schemeClr w14:val="tx1"/>
                  </w14:solidFill>
                </w14:textFill>
              </w:rPr>
              <w:t>未经采购人书面同意，供应商不得将任何个人信息向第三方提供。</w:t>
            </w:r>
          </w:p>
        </w:tc>
      </w:tr>
      <w:tr w14:paraId="6F3FD5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0121" w:type="dxa"/>
            <w:gridSpan w:val="9"/>
            <w:tcBorders>
              <w:top w:val="single" w:color="auto" w:sz="4" w:space="0"/>
              <w:left w:val="single" w:color="auto" w:sz="4" w:space="0"/>
              <w:bottom w:val="single" w:color="auto" w:sz="4" w:space="0"/>
              <w:right w:val="single" w:color="auto" w:sz="4" w:space="0"/>
            </w:tcBorders>
            <w:noWrap/>
            <w:vAlign w:val="center"/>
          </w:tcPr>
          <w:p w14:paraId="71236DCF">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三、与实现项目目标相关的其他要求</w:t>
            </w:r>
          </w:p>
        </w:tc>
      </w:tr>
      <w:tr w14:paraId="78140C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0121" w:type="dxa"/>
            <w:gridSpan w:val="9"/>
            <w:tcBorders>
              <w:top w:val="single" w:color="auto" w:sz="4" w:space="0"/>
              <w:left w:val="single" w:color="auto" w:sz="4" w:space="0"/>
              <w:bottom w:val="single" w:color="auto" w:sz="4" w:space="0"/>
              <w:right w:val="single" w:color="auto" w:sz="4" w:space="0"/>
            </w:tcBorders>
            <w:noWrap/>
            <w:vAlign w:val="center"/>
          </w:tcPr>
          <w:p w14:paraId="73C7C92C">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（一）</w:t>
            </w:r>
            <w:r>
              <w:rPr>
                <w:rFonts w:hint="eastAsia" w:ascii="宋体" w:hAnsi="宋体" w:cs="宋体"/>
                <w:b/>
                <w:color w:val="000000" w:themeColor="text1"/>
                <w:sz w:val="24"/>
                <w:szCs w:val="24"/>
                <w:highlight w:val="none"/>
                <w:lang w:eastAsia="zh-CN"/>
                <w14:textFill>
                  <w14:solidFill>
                    <w14:schemeClr w14:val="tx1"/>
                  </w14:solidFill>
                </w14:textFill>
              </w:rPr>
              <w:t>供应商</w:t>
            </w:r>
            <w:r>
              <w:rPr>
                <w:rFonts w:hint="eastAsia" w:ascii="宋体" w:hAnsi="宋体" w:cs="宋体"/>
                <w:b/>
                <w:color w:val="000000" w:themeColor="text1"/>
                <w:sz w:val="24"/>
                <w:szCs w:val="24"/>
                <w:highlight w:val="none"/>
                <w14:textFill>
                  <w14:solidFill>
                    <w14:schemeClr w14:val="tx1"/>
                  </w14:solidFill>
                </w14:textFill>
              </w:rPr>
              <w:t>的履约能力要求</w:t>
            </w:r>
          </w:p>
        </w:tc>
      </w:tr>
      <w:tr w14:paraId="090EA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2"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33EB62B3">
            <w:pPr>
              <w:spacing w:line="360" w:lineRule="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管理体系</w:t>
            </w:r>
          </w:p>
          <w:p w14:paraId="6179C66B">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要求</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7A2F69FA">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见本</w:t>
            </w:r>
            <w:r>
              <w:rPr>
                <w:rFonts w:hint="eastAsia" w:ascii="宋体" w:hAnsi="宋体" w:cs="宋体"/>
                <w:bCs/>
                <w:color w:val="000000" w:themeColor="text1"/>
                <w:sz w:val="24"/>
                <w:szCs w:val="24"/>
                <w:highlight w:val="none"/>
                <w:lang w:eastAsia="zh-CN"/>
                <w14:textFill>
                  <w14:solidFill>
                    <w14:schemeClr w14:val="tx1"/>
                  </w14:solidFill>
                </w14:textFill>
              </w:rPr>
              <w:t>采购文件</w:t>
            </w:r>
            <w:r>
              <w:rPr>
                <w:rFonts w:hint="eastAsia" w:ascii="宋体" w:hAnsi="宋体" w:cs="宋体"/>
                <w:bCs/>
                <w:color w:val="000000" w:themeColor="text1"/>
                <w:sz w:val="24"/>
                <w:szCs w:val="24"/>
                <w:highlight w:val="none"/>
                <w14:textFill>
                  <w14:solidFill>
                    <w14:schemeClr w14:val="tx1"/>
                  </w14:solidFill>
                </w14:textFill>
              </w:rPr>
              <w:t xml:space="preserve"> “</w:t>
            </w:r>
            <w:r>
              <w:rPr>
                <w:rFonts w:hint="eastAsia" w:ascii="宋体" w:hAnsi="宋体" w:cs="宋体"/>
                <w:bCs/>
                <w:color w:val="000000" w:themeColor="text1"/>
                <w:sz w:val="24"/>
                <w:szCs w:val="24"/>
                <w:highlight w:val="none"/>
                <w:lang w:eastAsia="zh-CN"/>
                <w14:textFill>
                  <w14:solidFill>
                    <w14:schemeClr w14:val="tx1"/>
                  </w14:solidFill>
                </w14:textFill>
              </w:rPr>
              <w:t>第四章 评审程序、评审方法和评审标准</w:t>
            </w:r>
            <w:r>
              <w:rPr>
                <w:rFonts w:hint="eastAsia" w:ascii="宋体" w:hAnsi="宋体" w:cs="宋体"/>
                <w:bCs/>
                <w:color w:val="000000" w:themeColor="text1"/>
                <w:sz w:val="24"/>
                <w:szCs w:val="24"/>
                <w:highlight w:val="none"/>
                <w14:textFill>
                  <w14:solidFill>
                    <w14:schemeClr w14:val="tx1"/>
                  </w14:solidFill>
                </w14:textFill>
              </w:rPr>
              <w:t>”。</w:t>
            </w:r>
          </w:p>
        </w:tc>
      </w:tr>
      <w:tr w14:paraId="726C32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028B2CF1">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业绩要求</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3DB41D10">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见本</w:t>
            </w:r>
            <w:r>
              <w:rPr>
                <w:rFonts w:hint="eastAsia" w:ascii="宋体" w:hAnsi="宋体" w:cs="宋体"/>
                <w:bCs/>
                <w:color w:val="000000" w:themeColor="text1"/>
                <w:sz w:val="24"/>
                <w:szCs w:val="24"/>
                <w:highlight w:val="none"/>
                <w:lang w:eastAsia="zh-CN"/>
                <w14:textFill>
                  <w14:solidFill>
                    <w14:schemeClr w14:val="tx1"/>
                  </w14:solidFill>
                </w14:textFill>
              </w:rPr>
              <w:t>采购文件</w:t>
            </w:r>
            <w:r>
              <w:rPr>
                <w:rFonts w:hint="eastAsia" w:ascii="宋体" w:hAnsi="宋体" w:cs="宋体"/>
                <w:bCs/>
                <w:color w:val="000000" w:themeColor="text1"/>
                <w:sz w:val="24"/>
                <w:szCs w:val="24"/>
                <w:highlight w:val="none"/>
                <w14:textFill>
                  <w14:solidFill>
                    <w14:schemeClr w14:val="tx1"/>
                  </w14:solidFill>
                </w14:textFill>
              </w:rPr>
              <w:t xml:space="preserve"> “</w:t>
            </w:r>
            <w:r>
              <w:rPr>
                <w:rFonts w:hint="eastAsia" w:ascii="宋体" w:hAnsi="宋体" w:cs="宋体"/>
                <w:bCs/>
                <w:color w:val="000000" w:themeColor="text1"/>
                <w:sz w:val="24"/>
                <w:szCs w:val="24"/>
                <w:highlight w:val="none"/>
                <w:lang w:eastAsia="zh-CN"/>
                <w14:textFill>
                  <w14:solidFill>
                    <w14:schemeClr w14:val="tx1"/>
                  </w14:solidFill>
                </w14:textFill>
              </w:rPr>
              <w:t>第四章 评审程序、评审方法和评审标准</w:t>
            </w:r>
            <w:r>
              <w:rPr>
                <w:rFonts w:hint="eastAsia" w:ascii="宋体" w:hAnsi="宋体" w:cs="宋体"/>
                <w:bCs/>
                <w:color w:val="000000" w:themeColor="text1"/>
                <w:sz w:val="24"/>
                <w:szCs w:val="24"/>
                <w:highlight w:val="none"/>
                <w14:textFill>
                  <w14:solidFill>
                    <w14:schemeClr w14:val="tx1"/>
                  </w14:solidFill>
                </w14:textFill>
              </w:rPr>
              <w:t>”。</w:t>
            </w:r>
          </w:p>
        </w:tc>
      </w:tr>
      <w:tr w14:paraId="39FE4C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0121" w:type="dxa"/>
            <w:gridSpan w:val="9"/>
            <w:tcBorders>
              <w:top w:val="single" w:color="auto" w:sz="4" w:space="0"/>
              <w:left w:val="single" w:color="auto" w:sz="4" w:space="0"/>
              <w:bottom w:val="single" w:color="auto" w:sz="4" w:space="0"/>
              <w:right w:val="single" w:color="auto" w:sz="4" w:space="0"/>
            </w:tcBorders>
            <w:noWrap/>
          </w:tcPr>
          <w:p w14:paraId="19485CFC">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（二）政策性加分条件</w:t>
            </w:r>
          </w:p>
        </w:tc>
      </w:tr>
      <w:tr w14:paraId="3C817F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1CB442B8">
            <w:pPr>
              <w:spacing w:line="360" w:lineRule="auto"/>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管理体系</w:t>
            </w:r>
          </w:p>
          <w:p w14:paraId="3C5EEF0C">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要求</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32B29E13">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见本</w:t>
            </w:r>
            <w:r>
              <w:rPr>
                <w:rFonts w:hint="eastAsia" w:ascii="宋体" w:hAnsi="宋体" w:cs="宋体"/>
                <w:bCs/>
                <w:color w:val="000000" w:themeColor="text1"/>
                <w:sz w:val="24"/>
                <w:szCs w:val="24"/>
                <w:highlight w:val="none"/>
                <w:lang w:eastAsia="zh-CN"/>
                <w14:textFill>
                  <w14:solidFill>
                    <w14:schemeClr w14:val="tx1"/>
                  </w14:solidFill>
                </w14:textFill>
              </w:rPr>
              <w:t>采购文件</w:t>
            </w:r>
            <w:r>
              <w:rPr>
                <w:rFonts w:hint="eastAsia" w:ascii="宋体" w:hAnsi="宋体" w:cs="宋体"/>
                <w:bCs/>
                <w:color w:val="000000" w:themeColor="text1"/>
                <w:sz w:val="24"/>
                <w:szCs w:val="24"/>
                <w:highlight w:val="none"/>
                <w14:textFill>
                  <w14:solidFill>
                    <w14:schemeClr w14:val="tx1"/>
                  </w14:solidFill>
                </w14:textFill>
              </w:rPr>
              <w:t xml:space="preserve"> “</w:t>
            </w:r>
            <w:r>
              <w:rPr>
                <w:rFonts w:hint="eastAsia" w:ascii="宋体" w:hAnsi="宋体" w:cs="宋体"/>
                <w:bCs/>
                <w:color w:val="000000" w:themeColor="text1"/>
                <w:sz w:val="24"/>
                <w:szCs w:val="24"/>
                <w:highlight w:val="none"/>
                <w:lang w:eastAsia="zh-CN"/>
                <w14:textFill>
                  <w14:solidFill>
                    <w14:schemeClr w14:val="tx1"/>
                  </w14:solidFill>
                </w14:textFill>
              </w:rPr>
              <w:t>第四章 评审程序、评审方法和评审标准</w:t>
            </w:r>
            <w:r>
              <w:rPr>
                <w:rFonts w:hint="eastAsia" w:ascii="宋体" w:hAnsi="宋体" w:cs="宋体"/>
                <w:bCs/>
                <w:color w:val="000000" w:themeColor="text1"/>
                <w:sz w:val="24"/>
                <w:szCs w:val="24"/>
                <w:highlight w:val="none"/>
                <w14:textFill>
                  <w14:solidFill>
                    <w14:schemeClr w14:val="tx1"/>
                  </w14:solidFill>
                </w14:textFill>
              </w:rPr>
              <w:t>”。</w:t>
            </w:r>
          </w:p>
        </w:tc>
      </w:tr>
      <w:tr w14:paraId="051FAC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1E320E0B">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业绩要求</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23FEE1E8">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见本</w:t>
            </w:r>
            <w:r>
              <w:rPr>
                <w:rFonts w:hint="eastAsia" w:ascii="宋体" w:hAnsi="宋体" w:cs="宋体"/>
                <w:bCs/>
                <w:color w:val="000000" w:themeColor="text1"/>
                <w:sz w:val="24"/>
                <w:szCs w:val="24"/>
                <w:highlight w:val="none"/>
                <w:lang w:eastAsia="zh-CN"/>
                <w14:textFill>
                  <w14:solidFill>
                    <w14:schemeClr w14:val="tx1"/>
                  </w14:solidFill>
                </w14:textFill>
              </w:rPr>
              <w:t>采购文件</w:t>
            </w:r>
            <w:r>
              <w:rPr>
                <w:rFonts w:hint="eastAsia" w:ascii="宋体" w:hAnsi="宋体" w:cs="宋体"/>
                <w:bCs/>
                <w:color w:val="000000" w:themeColor="text1"/>
                <w:sz w:val="24"/>
                <w:szCs w:val="24"/>
                <w:highlight w:val="none"/>
                <w14:textFill>
                  <w14:solidFill>
                    <w14:schemeClr w14:val="tx1"/>
                  </w14:solidFill>
                </w14:textFill>
              </w:rPr>
              <w:t xml:space="preserve"> “</w:t>
            </w:r>
            <w:r>
              <w:rPr>
                <w:rFonts w:hint="eastAsia" w:ascii="宋体" w:hAnsi="宋体" w:cs="宋体"/>
                <w:bCs/>
                <w:color w:val="000000" w:themeColor="text1"/>
                <w:sz w:val="24"/>
                <w:szCs w:val="24"/>
                <w:highlight w:val="none"/>
                <w:lang w:eastAsia="zh-CN"/>
                <w14:textFill>
                  <w14:solidFill>
                    <w14:schemeClr w14:val="tx1"/>
                  </w14:solidFill>
                </w14:textFill>
              </w:rPr>
              <w:t>第四章 评审程序、评审方法和评审标准</w:t>
            </w:r>
            <w:r>
              <w:rPr>
                <w:rFonts w:hint="eastAsia" w:ascii="宋体" w:hAnsi="宋体" w:cs="宋体"/>
                <w:bCs/>
                <w:color w:val="000000" w:themeColor="text1"/>
                <w:sz w:val="24"/>
                <w:szCs w:val="24"/>
                <w:highlight w:val="none"/>
                <w14:textFill>
                  <w14:solidFill>
                    <w14:schemeClr w14:val="tx1"/>
                  </w14:solidFill>
                </w14:textFill>
              </w:rPr>
              <w:t>”。</w:t>
            </w:r>
          </w:p>
        </w:tc>
      </w:tr>
      <w:tr w14:paraId="02A9DF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0121" w:type="dxa"/>
            <w:gridSpan w:val="9"/>
            <w:tcBorders>
              <w:top w:val="single" w:color="auto" w:sz="4" w:space="0"/>
              <w:left w:val="single" w:color="auto" w:sz="4" w:space="0"/>
              <w:bottom w:val="single" w:color="auto" w:sz="4" w:space="0"/>
              <w:right w:val="single" w:color="auto" w:sz="4" w:space="0"/>
            </w:tcBorders>
            <w:noWrap/>
          </w:tcPr>
          <w:p w14:paraId="6242CA11">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（三）验收标准、验收方法</w:t>
            </w:r>
          </w:p>
        </w:tc>
      </w:tr>
      <w:tr w14:paraId="626B9F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27D024E8">
            <w:pPr>
              <w:spacing w:line="360" w:lineRule="auto"/>
              <w:jc w:val="center"/>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验收标准、验收方法及方案</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73733EC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1.供应商提供不符合公告规定的、采购文件、响应文件承诺的、本合同规定的服务（含伴随货物），采购人有权拒绝接受。</w:t>
            </w:r>
          </w:p>
          <w:p w14:paraId="2748101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2.供应商应将所提供服务（伴随货物的，需按装箱清单、用户手册、原厂保修卡、随机资料、工具和备品、备件等）交付给采购人，如有缺失应在采购人要求的期限内及时补齐，否则视为逾期交货。</w:t>
            </w:r>
          </w:p>
          <w:p w14:paraId="76A758E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3.采购人在设备到指定场地并安装、调试完后进行验收。验收合格后由双方签署货物验收单并加盖采购人单位公章，双方各执一份。</w:t>
            </w:r>
          </w:p>
          <w:p w14:paraId="2A27339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4.若采购人委托第三方组织的验收项目，其验收时间以该项目验收方案确定的验收时间为准，验收结果以该项目验收报告结论为准。在验收过程中发现供应商有违约问题，可暂缓资金结算，待违约问题解决后，方可办理资金结算事宜，在此期间，采购人不承担逾期付款责任。</w:t>
            </w:r>
          </w:p>
          <w:p w14:paraId="33A77C87">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5.采购人对验收有异议的，在验收后以书面形式向供应商提出，供应商应自收到采购人书面异议后五日内及时予以解决，供应商不予答复或未予以实质解决的，视为认可采购人异议及处置意见。</w:t>
            </w:r>
          </w:p>
          <w:p w14:paraId="47499C41">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6.验收产生的费用供应商负责。</w:t>
            </w:r>
          </w:p>
        </w:tc>
      </w:tr>
      <w:tr w14:paraId="5D98FF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0121" w:type="dxa"/>
            <w:gridSpan w:val="9"/>
            <w:tcBorders>
              <w:top w:val="single" w:color="auto" w:sz="4" w:space="0"/>
              <w:left w:val="single" w:color="auto" w:sz="4" w:space="0"/>
              <w:bottom w:val="single" w:color="auto" w:sz="4" w:space="0"/>
              <w:right w:val="single" w:color="auto" w:sz="4" w:space="0"/>
            </w:tcBorders>
            <w:noWrap/>
          </w:tcPr>
          <w:p w14:paraId="736965EB">
            <w:pPr>
              <w:spacing w:line="360" w:lineRule="auto"/>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w:t>
            </w:r>
            <w:r>
              <w:rPr>
                <w:rFonts w:hint="eastAsia" w:ascii="宋体" w:hAnsi="宋体" w:cs="宋体"/>
                <w:b/>
                <w:color w:val="000000" w:themeColor="text1"/>
                <w:sz w:val="24"/>
                <w:szCs w:val="24"/>
                <w:highlight w:val="none"/>
                <w:lang w:val="en-US" w:eastAsia="zh-CN"/>
                <w14:textFill>
                  <w14:solidFill>
                    <w14:schemeClr w14:val="tx1"/>
                  </w14:solidFill>
                </w14:textFill>
              </w:rPr>
              <w:t>四</w:t>
            </w:r>
            <w:r>
              <w:rPr>
                <w:rFonts w:hint="eastAsia" w:ascii="宋体" w:hAnsi="宋体" w:cs="宋体"/>
                <w:b/>
                <w:color w:val="000000" w:themeColor="text1"/>
                <w:sz w:val="24"/>
                <w:szCs w:val="24"/>
                <w:highlight w:val="none"/>
                <w14:textFill>
                  <w14:solidFill>
                    <w14:schemeClr w14:val="tx1"/>
                  </w14:solidFill>
                </w14:textFill>
              </w:rPr>
              <w:t>）其他要求</w:t>
            </w:r>
          </w:p>
        </w:tc>
      </w:tr>
      <w:tr w14:paraId="43FEEC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238ABAF3">
            <w:pPr>
              <w:spacing w:line="360" w:lineRule="auto"/>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规范标准</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1B0BB1DB">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执行现行的强制执行的国家、行业、地方标准</w:t>
            </w:r>
          </w:p>
        </w:tc>
      </w:tr>
      <w:tr w14:paraId="3A7E04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75F60029">
            <w:pPr>
              <w:spacing w:line="360" w:lineRule="auto"/>
              <w:jc w:val="left"/>
              <w:rPr>
                <w:rFonts w:hint="eastAsia" w:ascii="宋体" w:hAnsi="宋体"/>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14:textFill>
                  <w14:solidFill>
                    <w14:schemeClr w14:val="tx1"/>
                  </w14:solidFill>
                </w14:textFill>
              </w:rPr>
              <w:t>其他技术及服务要求</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6DC9803F">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bookmarkStart w:id="2" w:name="PO_3000001868_PM041"/>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1.是否进行演示：</w:t>
            </w:r>
            <w:bookmarkEnd w:id="2"/>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无。</w:t>
            </w:r>
          </w:p>
          <w:p w14:paraId="7419A41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bookmarkStart w:id="3" w:name="PO_3000001868_PM043"/>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2.是否要求提供样品：</w:t>
            </w:r>
            <w:bookmarkEnd w:id="3"/>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无。</w:t>
            </w:r>
          </w:p>
          <w:p w14:paraId="12D71D5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bookmarkStart w:id="4" w:name="PO_3000001868_PM040"/>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3.是否现场踏勘：</w:t>
            </w:r>
            <w:bookmarkEnd w:id="4"/>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不组织。</w:t>
            </w:r>
          </w:p>
        </w:tc>
      </w:tr>
      <w:tr w14:paraId="0116CD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0"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0ED571BE">
            <w:pPr>
              <w:spacing w:line="360" w:lineRule="auto"/>
              <w:jc w:val="left"/>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b/>
                <w:color w:val="000000" w:themeColor="text1"/>
                <w:sz w:val="24"/>
                <w:szCs w:val="24"/>
                <w:highlight w:val="none"/>
                <w14:textFill>
                  <w14:solidFill>
                    <w14:schemeClr w14:val="tx1"/>
                  </w14:solidFill>
                </w14:textFill>
              </w:rPr>
              <w:t>▲采购预算价及最高限价</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5F88F609">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i w:val="0"/>
                <w:color w:val="000000" w:themeColor="text1"/>
                <w:sz w:val="24"/>
                <w:szCs w:val="24"/>
                <w:highlight w:val="none"/>
                <w:lang w:val="en-US" w:eastAsia="zh-CN"/>
                <w14:textFill>
                  <w14:solidFill>
                    <w14:schemeClr w14:val="tx1"/>
                  </w14:solidFill>
                </w14:textFill>
              </w:rPr>
              <w:t>响应报价超采购预算（含单项采购预算，如有）及最高限价（含单项最高限价，如有）的响应无效。</w:t>
            </w:r>
          </w:p>
        </w:tc>
      </w:tr>
      <w:tr w14:paraId="5F2801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1282" w:type="dxa"/>
            <w:gridSpan w:val="3"/>
            <w:tcBorders>
              <w:top w:val="single" w:color="auto" w:sz="4" w:space="0"/>
              <w:left w:val="single" w:color="auto" w:sz="4" w:space="0"/>
              <w:bottom w:val="single" w:color="auto" w:sz="4" w:space="0"/>
              <w:right w:val="single" w:color="auto" w:sz="4" w:space="0"/>
            </w:tcBorders>
            <w:noWrap/>
            <w:vAlign w:val="center"/>
          </w:tcPr>
          <w:p w14:paraId="0848E4D5">
            <w:pPr>
              <w:spacing w:line="360" w:lineRule="auto"/>
              <w:jc w:val="left"/>
              <w:rPr>
                <w:rFonts w:hint="eastAsia" w:ascii="宋体" w:hAnsi="宋体" w:cs="宋体"/>
                <w:bCs/>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其它</w:t>
            </w:r>
          </w:p>
        </w:tc>
        <w:tc>
          <w:tcPr>
            <w:tcW w:w="8839" w:type="dxa"/>
            <w:gridSpan w:val="6"/>
            <w:tcBorders>
              <w:top w:val="single" w:color="auto" w:sz="4" w:space="0"/>
              <w:left w:val="single" w:color="auto" w:sz="4" w:space="0"/>
              <w:bottom w:val="single" w:color="auto" w:sz="4" w:space="0"/>
              <w:right w:val="single" w:color="auto" w:sz="4" w:space="0"/>
            </w:tcBorders>
            <w:noWrap/>
            <w:vAlign w:val="center"/>
          </w:tcPr>
          <w:p w14:paraId="5E71D1A5">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i w:val="0"/>
                <w:color w:val="000000" w:themeColor="text1"/>
                <w:sz w:val="24"/>
                <w:szCs w:val="24"/>
                <w:highlight w:val="none"/>
                <w:lang w:val="en-US" w:eastAsia="zh-CN"/>
                <w14:textFill>
                  <w14:solidFill>
                    <w14:schemeClr w14:val="tx1"/>
                  </w14:solidFill>
                </w14:textFill>
              </w:rPr>
              <w:t>供应商根据自身情况提供项目实施方案，内容包括但不限于：项目理解、项目实施方案、服务团队、实施能力、售后服务方案、培训实施方案、商务、信誉、业绩等。</w:t>
            </w:r>
          </w:p>
        </w:tc>
      </w:tr>
    </w:tbl>
    <w:p w14:paraId="575362F7">
      <w:pPr>
        <w:widowControl/>
        <w:spacing w:line="360" w:lineRule="auto"/>
        <w:jc w:val="left"/>
        <w:rPr>
          <w:rFonts w:ascii="宋体" w:hAnsi="宋体" w:cs="宋体"/>
          <w:b/>
          <w:bCs/>
          <w:color w:val="000000" w:themeColor="text1"/>
          <w:szCs w:val="21"/>
          <w14:textFill>
            <w14:solidFill>
              <w14:schemeClr w14:val="tx1"/>
            </w14:solidFill>
          </w14:textFill>
        </w:rPr>
        <w:sectPr>
          <w:headerReference r:id="rId3" w:type="default"/>
          <w:footerReference r:id="rId4" w:type="default"/>
          <w:pgSz w:w="11910" w:h="16840"/>
          <w:pgMar w:top="1520" w:right="1500" w:bottom="280" w:left="1680" w:header="720" w:footer="720" w:gutter="0"/>
          <w:pgNumType w:fmt="decimal" w:start="1"/>
          <w:cols w:space="720" w:num="1"/>
        </w:sectPr>
      </w:pPr>
    </w:p>
    <w:p w14:paraId="3DD93B75">
      <w:pPr>
        <w:tabs>
          <w:tab w:val="left" w:pos="180"/>
          <w:tab w:val="left" w:pos="1620"/>
        </w:tabs>
        <w:spacing w:line="360" w:lineRule="auto"/>
        <w:ind w:firstLine="422" w:firstLineChars="200"/>
        <w:rPr>
          <w:rFonts w:ascii="宋体" w:hAnsi="宋体" w:cs="宋体"/>
          <w:b/>
          <w:bCs/>
          <w:color w:val="000000" w:themeColor="text1"/>
          <w:szCs w:val="21"/>
          <w14:textFill>
            <w14:solidFill>
              <w14:schemeClr w14:val="tx1"/>
            </w14:solidFill>
          </w14:textFill>
        </w:rPr>
      </w:pPr>
    </w:p>
    <w:p w14:paraId="4A8A3980">
      <w:pPr>
        <w:spacing w:line="428" w:lineRule="exact"/>
        <w:ind w:left="119"/>
        <w:rPr>
          <w:rFonts w:ascii="Arial Unicode MS" w:hAnsi="Arial Unicode MS" w:eastAsia="Arial Unicode MS" w:cs="Arial Unicode MS"/>
          <w:color w:val="000000" w:themeColor="text1"/>
          <w:sz w:val="17"/>
          <w:szCs w:val="17"/>
          <w14:textFill>
            <w14:solidFill>
              <w14:schemeClr w14:val="tx1"/>
            </w14:solidFill>
          </w14:textFill>
        </w:rPr>
      </w:pPr>
      <w:r>
        <w:rPr>
          <w:rFonts w:hint="eastAsia" w:ascii="微软雅黑" w:hAnsi="微软雅黑" w:eastAsia="微软雅黑" w:cs="微软雅黑"/>
          <w:color w:val="000000" w:themeColor="text1"/>
          <w:sz w:val="32"/>
          <w:szCs w:val="32"/>
          <w14:textFill>
            <w14:solidFill>
              <w14:schemeClr w14:val="tx1"/>
            </w14:solidFill>
          </w14:textFill>
        </w:rPr>
        <w:t>附件1</w:t>
      </w:r>
    </w:p>
    <w:p w14:paraId="33CCB7A5">
      <w:pPr>
        <w:spacing w:line="528" w:lineRule="exact"/>
        <w:ind w:left="1871"/>
        <w:rPr>
          <w:rFonts w:ascii="Arial Unicode MS" w:hAnsi="Arial Unicode MS" w:eastAsia="Arial Unicode MS" w:cs="Arial Unicode MS"/>
          <w:color w:val="000000" w:themeColor="text1"/>
          <w:sz w:val="40"/>
          <w:szCs w:val="40"/>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14:textFill>
            <w14:solidFill>
              <w14:schemeClr w14:val="tx1"/>
            </w14:solidFill>
          </w14:textFill>
        </w:rPr>
        <w:t>节能产品政府采购品目清单</w:t>
      </w:r>
    </w:p>
    <w:tbl>
      <w:tblPr>
        <w:tblStyle w:val="2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422"/>
        <w:gridCol w:w="1496"/>
        <w:gridCol w:w="1481"/>
        <w:gridCol w:w="3452"/>
      </w:tblGrid>
      <w:tr w14:paraId="78DAE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4FAE0E1B">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b/>
                <w:bCs/>
                <w:color w:val="000000" w:themeColor="text1"/>
                <w:w w:val="99"/>
                <w:sz w:val="20"/>
                <w:szCs w:val="20"/>
                <w14:textFill>
                  <w14:solidFill>
                    <w14:schemeClr w14:val="tx1"/>
                  </w14:solidFill>
                </w14:textFill>
              </w:rPr>
              <w:t>品目序号</w:t>
            </w:r>
          </w:p>
        </w:tc>
        <w:tc>
          <w:tcPr>
            <w:tcW w:w="4399" w:type="dxa"/>
            <w:gridSpan w:val="3"/>
            <w:tcBorders>
              <w:top w:val="single" w:color="000000" w:sz="4" w:space="0"/>
              <w:left w:val="single" w:color="000000" w:sz="4" w:space="0"/>
              <w:bottom w:val="single" w:color="000000" w:sz="4" w:space="0"/>
              <w:right w:val="single" w:color="000000" w:sz="4" w:space="0"/>
            </w:tcBorders>
            <w:vAlign w:val="center"/>
          </w:tcPr>
          <w:p w14:paraId="6360017D">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b/>
                <w:bCs/>
                <w:color w:val="000000" w:themeColor="text1"/>
                <w:w w:val="99"/>
                <w:sz w:val="20"/>
                <w:szCs w:val="20"/>
                <w14:textFill>
                  <w14:solidFill>
                    <w14:schemeClr w14:val="tx1"/>
                  </w14:solidFill>
                </w14:textFill>
              </w:rPr>
              <w:t>名称</w:t>
            </w:r>
          </w:p>
        </w:tc>
        <w:tc>
          <w:tcPr>
            <w:tcW w:w="3452" w:type="dxa"/>
            <w:tcBorders>
              <w:top w:val="single" w:color="000000" w:sz="4" w:space="0"/>
              <w:left w:val="single" w:color="000000" w:sz="4" w:space="0"/>
              <w:bottom w:val="single" w:color="000000" w:sz="4" w:space="0"/>
              <w:right w:val="single" w:color="000000" w:sz="4" w:space="0"/>
            </w:tcBorders>
            <w:vAlign w:val="center"/>
          </w:tcPr>
          <w:p w14:paraId="752616E3">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b/>
                <w:bCs/>
                <w:color w:val="000000" w:themeColor="text1"/>
                <w:w w:val="99"/>
                <w:sz w:val="20"/>
                <w:szCs w:val="20"/>
                <w14:textFill>
                  <w14:solidFill>
                    <w14:schemeClr w14:val="tx1"/>
                  </w14:solidFill>
                </w14:textFill>
              </w:rPr>
              <w:t>依据的标准</w:t>
            </w:r>
          </w:p>
        </w:tc>
      </w:tr>
      <w:tr w14:paraId="065F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6B945BB">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3CB509E0">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A02010100计算机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0848A26E">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w w:val="99"/>
                <w:kern w:val="2"/>
                <w:sz w:val="20"/>
                <w:szCs w:val="20"/>
                <w14:textFill>
                  <w14:solidFill>
                    <w14:schemeClr w14:val="tx1"/>
                  </w14:solidFill>
                </w14:textFill>
              </w:rPr>
              <w:t>★</w:t>
            </w:r>
            <w:r>
              <w:rPr>
                <w:rFonts w:hint="eastAsia" w:ascii="宋体" w:hAnsi="宋体" w:eastAsia="宋体" w:cs="宋体"/>
                <w:color w:val="000000" w:themeColor="text1"/>
                <w:kern w:val="2"/>
                <w:sz w:val="20"/>
                <w:szCs w:val="20"/>
                <w14:textFill>
                  <w14:solidFill>
                    <w14:schemeClr w14:val="tx1"/>
                  </w14:solidFill>
                </w14:textFill>
              </w:rPr>
              <w:t>A02010105</w:t>
            </w:r>
            <w:r>
              <w:rPr>
                <w:rFonts w:hint="eastAsia" w:ascii="宋体" w:hAnsi="宋体" w:eastAsia="宋体" w:cs="宋体"/>
                <w:color w:val="000000" w:themeColor="text1"/>
                <w:kern w:val="2"/>
                <w:sz w:val="20"/>
                <w:szCs w:val="20"/>
                <w:lang w:eastAsia="zh-CN"/>
                <w14:textFill>
                  <w14:solidFill>
                    <w14:schemeClr w14:val="tx1"/>
                  </w14:solidFill>
                </w14:textFill>
              </w:rPr>
              <w:t>台式计算机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58C1772">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4A6C672D">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《微型计算机能效限定值及能效等级》（GB28380）</w:t>
            </w:r>
          </w:p>
        </w:tc>
      </w:tr>
      <w:tr w14:paraId="1A5C8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95780B5">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F16524">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3C1D132">
            <w:pPr>
              <w:pStyle w:val="73"/>
              <w:spacing w:before="44"/>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w w:val="99"/>
                <w:kern w:val="2"/>
                <w:sz w:val="20"/>
                <w:szCs w:val="20"/>
                <w14:textFill>
                  <w14:solidFill>
                    <w14:schemeClr w14:val="tx1"/>
                  </w14:solidFill>
                </w14:textFill>
              </w:rPr>
              <w:t>★</w:t>
            </w:r>
            <w:r>
              <w:rPr>
                <w:rFonts w:hint="eastAsia" w:ascii="宋体" w:hAnsi="宋体" w:eastAsia="宋体" w:cs="宋体"/>
                <w:color w:val="000000" w:themeColor="text1"/>
                <w:kern w:val="2"/>
                <w:sz w:val="20"/>
                <w:szCs w:val="20"/>
                <w14:textFill>
                  <w14:solidFill>
                    <w14:schemeClr w14:val="tx1"/>
                  </w14:solidFill>
                </w14:textFill>
              </w:rPr>
              <w:t>A02010108</w:t>
            </w:r>
            <w:r>
              <w:rPr>
                <w:rFonts w:hint="eastAsia" w:ascii="宋体" w:hAnsi="宋体" w:eastAsia="宋体" w:cs="宋体"/>
                <w:color w:val="000000" w:themeColor="text1"/>
                <w:kern w:val="2"/>
                <w:sz w:val="20"/>
                <w:szCs w:val="20"/>
                <w:lang w:eastAsia="zh-CN"/>
                <w14:textFill>
                  <w14:solidFill>
                    <w14:schemeClr w14:val="tx1"/>
                  </w14:solidFill>
                </w14:textFill>
              </w:rPr>
              <w:t>便携式计算机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D835110">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61C9D436">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《微型计算机能效限定值及能效等级》（GB28380）</w:t>
            </w:r>
          </w:p>
        </w:tc>
      </w:tr>
      <w:tr w14:paraId="55653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7AAD24">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50E7D1">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59D9F712">
            <w:pPr>
              <w:pStyle w:val="73"/>
              <w:spacing w:before="64"/>
              <w:ind w:left="7" w:right="5"/>
              <w:jc w:val="center"/>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w w:val="99"/>
                <w:kern w:val="2"/>
                <w:sz w:val="20"/>
                <w:szCs w:val="20"/>
                <w:lang w:eastAsia="zh-CN"/>
                <w14:textFill>
                  <w14:solidFill>
                    <w14:schemeClr w14:val="tx1"/>
                  </w14:solidFill>
                </w14:textFill>
              </w:rPr>
              <w:t>★</w:t>
            </w:r>
            <w:r>
              <w:rPr>
                <w:rFonts w:hint="eastAsia" w:ascii="宋体" w:hAnsi="宋体" w:eastAsia="宋体" w:cs="宋体"/>
                <w:color w:val="000000" w:themeColor="text1"/>
                <w:kern w:val="2"/>
                <w:sz w:val="20"/>
                <w:szCs w:val="20"/>
                <w:lang w:eastAsia="zh-CN"/>
                <w14:textFill>
                  <w14:solidFill>
                    <w14:schemeClr w14:val="tx1"/>
                  </w14:solidFill>
                </w14:textFill>
              </w:rPr>
              <w:t>A02010109平板式计算机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19E84595">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7EC22903">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《微型计算机能效限定值及能效等级》（GB28380）</w:t>
            </w:r>
          </w:p>
        </w:tc>
      </w:tr>
      <w:tr w14:paraId="0AF3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6145E3B4">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513D4AFA">
            <w:pPr>
              <w:pStyle w:val="73"/>
              <w:ind w:left="7"/>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A02020000办公设备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377249D0">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kern w:val="2"/>
                <w:sz w:val="20"/>
                <w:szCs w:val="20"/>
                <w:lang w:val="en-US" w:eastAsia="en-US" w:bidi="ar-SA"/>
                <w14:textFill>
                  <w14:solidFill>
                    <w14:schemeClr w14:val="tx1"/>
                  </w14:solidFill>
                </w14:textFill>
              </w:rPr>
              <w:t>A02021000打印机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3686871B">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A02021001 A3黑白打印机</w:t>
            </w:r>
          </w:p>
        </w:tc>
        <w:tc>
          <w:tcPr>
            <w:tcW w:w="3452" w:type="dxa"/>
            <w:tcBorders>
              <w:top w:val="single" w:color="000000" w:sz="4" w:space="0"/>
              <w:left w:val="single" w:color="000000" w:sz="4" w:space="0"/>
              <w:bottom w:val="single" w:color="000000" w:sz="4" w:space="0"/>
              <w:right w:val="single" w:color="000000" w:sz="4" w:space="0"/>
            </w:tcBorders>
          </w:tcPr>
          <w:p w14:paraId="61F9E8C7">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60E09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8B59EB0">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A95B98D">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FC3A79">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35C3583">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A02021002 A3彩色打印机</w:t>
            </w:r>
          </w:p>
        </w:tc>
        <w:tc>
          <w:tcPr>
            <w:tcW w:w="3452" w:type="dxa"/>
            <w:tcBorders>
              <w:top w:val="single" w:color="000000" w:sz="4" w:space="0"/>
              <w:left w:val="single" w:color="000000" w:sz="4" w:space="0"/>
              <w:bottom w:val="single" w:color="000000" w:sz="4" w:space="0"/>
              <w:right w:val="single" w:color="000000" w:sz="4" w:space="0"/>
            </w:tcBorders>
          </w:tcPr>
          <w:p w14:paraId="237D9851">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6FD4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32955F2">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D2D805">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AB5E6A5">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F5E35F0">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A02021003 A4黑白打印机</w:t>
            </w:r>
          </w:p>
        </w:tc>
        <w:tc>
          <w:tcPr>
            <w:tcW w:w="3452" w:type="dxa"/>
            <w:tcBorders>
              <w:top w:val="single" w:color="000000" w:sz="4" w:space="0"/>
              <w:left w:val="single" w:color="000000" w:sz="4" w:space="0"/>
              <w:bottom w:val="single" w:color="000000" w:sz="4" w:space="0"/>
              <w:right w:val="single" w:color="000000" w:sz="4" w:space="0"/>
            </w:tcBorders>
          </w:tcPr>
          <w:p w14:paraId="1C48048B">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5137D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C706B0D">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FC7A93E">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9B468FE">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92CBE54">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A02021004 A4彩色打印机</w:t>
            </w:r>
          </w:p>
        </w:tc>
        <w:tc>
          <w:tcPr>
            <w:tcW w:w="3452" w:type="dxa"/>
            <w:tcBorders>
              <w:top w:val="single" w:color="000000" w:sz="4" w:space="0"/>
              <w:left w:val="single" w:color="000000" w:sz="4" w:space="0"/>
              <w:bottom w:val="single" w:color="000000" w:sz="4" w:space="0"/>
              <w:right w:val="single" w:color="000000" w:sz="4" w:space="0"/>
            </w:tcBorders>
          </w:tcPr>
          <w:p w14:paraId="648E5F46">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73EA2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F3E42FF">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9D24EC">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19E6E58">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5FBDC25">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A02021005 3D打印机</w:t>
            </w:r>
          </w:p>
        </w:tc>
        <w:tc>
          <w:tcPr>
            <w:tcW w:w="3452" w:type="dxa"/>
            <w:tcBorders>
              <w:top w:val="single" w:color="000000" w:sz="4" w:space="0"/>
              <w:left w:val="single" w:color="000000" w:sz="4" w:space="0"/>
              <w:bottom w:val="single" w:color="000000" w:sz="4" w:space="0"/>
              <w:right w:val="single" w:color="000000" w:sz="4" w:space="0"/>
            </w:tcBorders>
          </w:tcPr>
          <w:p w14:paraId="2A39376F">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247E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AAD220">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D4BFC0D">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11642D">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13CE9F1">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A02021006票据打印机</w:t>
            </w:r>
          </w:p>
        </w:tc>
        <w:tc>
          <w:tcPr>
            <w:tcW w:w="3452" w:type="dxa"/>
            <w:tcBorders>
              <w:top w:val="single" w:color="000000" w:sz="4" w:space="0"/>
              <w:left w:val="single" w:color="000000" w:sz="4" w:space="0"/>
              <w:bottom w:val="single" w:color="000000" w:sz="4" w:space="0"/>
              <w:right w:val="single" w:color="000000" w:sz="4" w:space="0"/>
            </w:tcBorders>
          </w:tcPr>
          <w:p w14:paraId="18E782FE">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6A8B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81FDF4">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F870F6">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C128495">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D74FB4F">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A02021007条码打印机</w:t>
            </w:r>
          </w:p>
        </w:tc>
        <w:tc>
          <w:tcPr>
            <w:tcW w:w="3452" w:type="dxa"/>
            <w:tcBorders>
              <w:top w:val="single" w:color="000000" w:sz="4" w:space="0"/>
              <w:left w:val="single" w:color="000000" w:sz="4" w:space="0"/>
              <w:bottom w:val="single" w:color="000000" w:sz="4" w:space="0"/>
              <w:right w:val="single" w:color="000000" w:sz="4" w:space="0"/>
            </w:tcBorders>
          </w:tcPr>
          <w:p w14:paraId="5BD9BB7F">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4947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596FCD2">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6DB7C3">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82FABDF">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7E189C3">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A02021008地址打印机</w:t>
            </w:r>
          </w:p>
        </w:tc>
        <w:tc>
          <w:tcPr>
            <w:tcW w:w="3452" w:type="dxa"/>
            <w:tcBorders>
              <w:top w:val="single" w:color="000000" w:sz="4" w:space="0"/>
              <w:left w:val="single" w:color="000000" w:sz="4" w:space="0"/>
              <w:bottom w:val="single" w:color="000000" w:sz="4" w:space="0"/>
              <w:right w:val="single" w:color="000000" w:sz="4" w:space="0"/>
            </w:tcBorders>
          </w:tcPr>
          <w:p w14:paraId="026EF282">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58BCF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B616F5A">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3F9A199">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AB90C27">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813F608">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A02021099其他打印机</w:t>
            </w:r>
          </w:p>
        </w:tc>
        <w:tc>
          <w:tcPr>
            <w:tcW w:w="3452" w:type="dxa"/>
            <w:tcBorders>
              <w:top w:val="single" w:color="000000" w:sz="4" w:space="0"/>
              <w:left w:val="single" w:color="000000" w:sz="4" w:space="0"/>
              <w:bottom w:val="single" w:color="000000" w:sz="4" w:space="0"/>
              <w:right w:val="single" w:color="000000" w:sz="4" w:space="0"/>
            </w:tcBorders>
          </w:tcPr>
          <w:p w14:paraId="40D25DC8">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634D2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DC4D0C0">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2895641">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59BEC2DE">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A02021100输入输出设备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0646B4E4">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w w:val="99"/>
                <w:sz w:val="20"/>
                <w:szCs w:val="20"/>
                <w14:textFill>
                  <w14:solidFill>
                    <w14:schemeClr w14:val="tx1"/>
                  </w14:solidFill>
                </w14:textFill>
              </w:rPr>
              <w:t>★</w:t>
            </w:r>
            <w:r>
              <w:rPr>
                <w:rFonts w:hint="eastAsia" w:ascii="宋体" w:hAnsi="宋体" w:eastAsia="宋体" w:cs="宋体"/>
                <w:color w:val="000000" w:themeColor="text1"/>
                <w:sz w:val="20"/>
                <w:szCs w:val="20"/>
                <w14:textFill>
                  <w14:solidFill>
                    <w14:schemeClr w14:val="tx1"/>
                  </w14:solidFill>
                </w14:textFill>
              </w:rPr>
              <w:t>A02021104液晶显示器</w:t>
            </w:r>
          </w:p>
        </w:tc>
        <w:tc>
          <w:tcPr>
            <w:tcW w:w="3452" w:type="dxa"/>
            <w:tcBorders>
              <w:top w:val="single" w:color="000000" w:sz="4" w:space="0"/>
              <w:left w:val="single" w:color="000000" w:sz="4" w:space="0"/>
              <w:bottom w:val="single" w:color="000000" w:sz="4" w:space="0"/>
              <w:right w:val="single" w:color="000000" w:sz="4" w:space="0"/>
            </w:tcBorders>
            <w:vAlign w:val="center"/>
          </w:tcPr>
          <w:p w14:paraId="61963411">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《计算机显示器能效限定值及能效等级》（GB21520）</w:t>
            </w:r>
          </w:p>
        </w:tc>
      </w:tr>
      <w:tr w14:paraId="47B8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B19AE5">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D8FF098">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0DFA45">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146F711">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A02021118扫描仪</w:t>
            </w:r>
          </w:p>
        </w:tc>
        <w:tc>
          <w:tcPr>
            <w:tcW w:w="3452" w:type="dxa"/>
            <w:tcBorders>
              <w:top w:val="single" w:color="000000" w:sz="4" w:space="0"/>
              <w:left w:val="single" w:color="000000" w:sz="4" w:space="0"/>
              <w:bottom w:val="single" w:color="000000" w:sz="4" w:space="0"/>
              <w:right w:val="single" w:color="000000" w:sz="4" w:space="0"/>
            </w:tcBorders>
            <w:vAlign w:val="center"/>
          </w:tcPr>
          <w:p w14:paraId="0A812464">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参照《复印机、打印机和传真机能效限定值及能效等级》（GB21521）中打印速度为15页/分的针式打印机相关要求</w:t>
            </w:r>
          </w:p>
        </w:tc>
      </w:tr>
      <w:tr w14:paraId="3C8B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02F40A19">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w w:val="99"/>
                <w:sz w:val="20"/>
                <w:szCs w:val="20"/>
                <w14:textFill>
                  <w14:solidFill>
                    <w14:schemeClr w14:val="tx1"/>
                  </w14:solidFill>
                </w14:textFill>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673419CD">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A02020200投影仪</w:t>
            </w:r>
          </w:p>
        </w:tc>
        <w:tc>
          <w:tcPr>
            <w:tcW w:w="1496" w:type="dxa"/>
            <w:tcBorders>
              <w:top w:val="single" w:color="000000" w:sz="4" w:space="0"/>
              <w:left w:val="single" w:color="000000" w:sz="4" w:space="0"/>
              <w:bottom w:val="single" w:color="000000" w:sz="4" w:space="0"/>
              <w:right w:val="single" w:color="000000" w:sz="4" w:space="0"/>
            </w:tcBorders>
            <w:vAlign w:val="center"/>
          </w:tcPr>
          <w:p w14:paraId="54CEBA92">
            <w:pPr>
              <w:jc w:val="center"/>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9D84F81">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vAlign w:val="center"/>
          </w:tcPr>
          <w:p w14:paraId="1A6EC0E3">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《投影机能效限定值及能效等级》（GB32028）</w:t>
            </w:r>
          </w:p>
        </w:tc>
      </w:tr>
      <w:tr w14:paraId="0B54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0587B18">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4D770B4E">
            <w:pPr>
              <w:pStyle w:val="73"/>
              <w:spacing w:before="66"/>
              <w:ind w:left="7"/>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A02020400多功能一体机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6AF98307">
            <w:pPr>
              <w:jc w:val="center"/>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1249FA1">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vAlign w:val="center"/>
          </w:tcPr>
          <w:p w14:paraId="750C8F2B">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《复印机、打印机和传真机能效限定值及能效等级》（GB21521）</w:t>
            </w:r>
          </w:p>
        </w:tc>
      </w:tr>
      <w:tr w14:paraId="6A6B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0D976B8">
            <w:pPr>
              <w:pStyle w:val="73"/>
              <w:spacing w:before="160"/>
              <w:ind w:right="1"/>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w w:val="99"/>
                <w:kern w:val="2"/>
                <w:sz w:val="20"/>
                <w:szCs w:val="20"/>
                <w14:textFill>
                  <w14:solidFill>
                    <w14:schemeClr w14:val="tx1"/>
                  </w14:solidFill>
                </w14:textFill>
              </w:rPr>
              <w:t>5</w:t>
            </w:r>
          </w:p>
        </w:tc>
        <w:tc>
          <w:tcPr>
            <w:tcW w:w="1422" w:type="dxa"/>
            <w:tcBorders>
              <w:top w:val="single" w:color="000000" w:sz="4" w:space="0"/>
              <w:left w:val="single" w:color="000000" w:sz="4" w:space="0"/>
              <w:bottom w:val="single" w:color="000000" w:sz="4" w:space="0"/>
              <w:right w:val="single" w:color="000000" w:sz="4" w:space="0"/>
            </w:tcBorders>
            <w:vAlign w:val="center"/>
          </w:tcPr>
          <w:p w14:paraId="21AC3D7F">
            <w:pPr>
              <w:pStyle w:val="73"/>
              <w:spacing w:before="160"/>
              <w:ind w:left="7"/>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A02051900</w:t>
            </w:r>
            <w:r>
              <w:rPr>
                <w:rFonts w:hint="eastAsia" w:ascii="宋体" w:hAnsi="宋体" w:eastAsia="宋体" w:cs="宋体"/>
                <w:color w:val="000000" w:themeColor="text1"/>
                <w:w w:val="99"/>
                <w:kern w:val="2"/>
                <w:sz w:val="20"/>
                <w:szCs w:val="20"/>
                <w14:textFill>
                  <w14:solidFill>
                    <w14:schemeClr w14:val="tx1"/>
                  </w14:solidFill>
                </w14:textFill>
              </w:rPr>
              <w:t>泵</w:t>
            </w:r>
          </w:p>
        </w:tc>
        <w:tc>
          <w:tcPr>
            <w:tcW w:w="1496" w:type="dxa"/>
            <w:tcBorders>
              <w:top w:val="single" w:color="000000" w:sz="4" w:space="0"/>
              <w:left w:val="single" w:color="000000" w:sz="4" w:space="0"/>
              <w:bottom w:val="single" w:color="000000" w:sz="4" w:space="0"/>
              <w:right w:val="single" w:color="000000" w:sz="4" w:space="0"/>
            </w:tcBorders>
            <w:vAlign w:val="center"/>
          </w:tcPr>
          <w:p w14:paraId="67C00401">
            <w:pPr>
              <w:pStyle w:val="73"/>
              <w:spacing w:before="160"/>
              <w:ind w:left="7"/>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A02051901离心泵</w:t>
            </w:r>
          </w:p>
        </w:tc>
        <w:tc>
          <w:tcPr>
            <w:tcW w:w="1481" w:type="dxa"/>
            <w:tcBorders>
              <w:top w:val="single" w:color="000000" w:sz="4" w:space="0"/>
              <w:left w:val="single" w:color="000000" w:sz="4" w:space="0"/>
              <w:bottom w:val="single" w:color="000000" w:sz="4" w:space="0"/>
              <w:right w:val="single" w:color="000000" w:sz="4" w:space="0"/>
            </w:tcBorders>
            <w:vAlign w:val="center"/>
          </w:tcPr>
          <w:p w14:paraId="4C669685">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16A94556">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《清水离心泵能效限定值及节能评价值》（GB19762）</w:t>
            </w:r>
          </w:p>
        </w:tc>
      </w:tr>
      <w:tr w14:paraId="60A42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C599D7B">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14FB684E">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A02052300制冷空调设备</w:t>
            </w: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0BDD2C1D">
            <w:pPr>
              <w:pStyle w:val="73"/>
              <w:spacing w:line="276" w:lineRule="auto"/>
              <w:ind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★A02052301制冷压缩机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3EF21BB8">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冷水机组</w:t>
            </w:r>
          </w:p>
        </w:tc>
        <w:tc>
          <w:tcPr>
            <w:tcW w:w="3452" w:type="dxa"/>
            <w:tcBorders>
              <w:top w:val="single" w:color="000000" w:sz="4" w:space="0"/>
              <w:left w:val="single" w:color="000000" w:sz="4" w:space="0"/>
              <w:bottom w:val="single" w:color="000000" w:sz="4" w:space="0"/>
              <w:right w:val="single" w:color="000000" w:sz="4" w:space="0"/>
            </w:tcBorders>
          </w:tcPr>
          <w:p w14:paraId="691E2ABF">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《冷水机组能效限定值及能效等级》（GB19577），《低环境温度空气源热泵（冷水）机组能效限定值及能效等级》（GB37480）</w:t>
            </w:r>
          </w:p>
        </w:tc>
      </w:tr>
      <w:tr w14:paraId="360A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90920FC">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E435030">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68502C">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7D8A93C">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溴化锂吸收式冷水机组</w:t>
            </w:r>
          </w:p>
        </w:tc>
        <w:tc>
          <w:tcPr>
            <w:tcW w:w="3452" w:type="dxa"/>
            <w:tcBorders>
              <w:top w:val="single" w:color="000000" w:sz="4" w:space="0"/>
              <w:left w:val="single" w:color="000000" w:sz="4" w:space="0"/>
              <w:bottom w:val="single" w:color="000000" w:sz="4" w:space="0"/>
              <w:right w:val="single" w:color="000000" w:sz="4" w:space="0"/>
            </w:tcBorders>
            <w:vAlign w:val="center"/>
          </w:tcPr>
          <w:p w14:paraId="4DE14960">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《溴化锂吸收式冷水机组能效限</w:t>
            </w:r>
          </w:p>
          <w:p w14:paraId="56C8B4FA">
            <w:pPr>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sz w:val="20"/>
                <w:szCs w:val="20"/>
                <w14:textFill>
                  <w14:solidFill>
                    <w14:schemeClr w14:val="tx1"/>
                  </w14:solidFill>
                </w14:textFill>
              </w:rPr>
            </w:pPr>
            <w:r>
              <w:rPr>
                <w:rFonts w:hint="eastAsia" w:ascii="宋体" w:hAnsi="宋体" w:eastAsia="宋体" w:cs="宋体"/>
                <w:color w:val="000000" w:themeColor="text1"/>
                <w:spacing w:val="10"/>
                <w:sz w:val="20"/>
                <w:szCs w:val="20"/>
                <w14:textFill>
                  <w14:solidFill>
                    <w14:schemeClr w14:val="tx1"/>
                  </w14:solidFill>
                </w14:textFill>
              </w:rPr>
              <w:t>定值及能效等级》（GB29540）</w:t>
            </w:r>
          </w:p>
        </w:tc>
      </w:tr>
      <w:tr w14:paraId="0A015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3F6F26">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97B9C7">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13BEF13F">
            <w:pPr>
              <w:pStyle w:val="73"/>
              <w:spacing w:line="276" w:lineRule="auto"/>
              <w:ind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★A02052305空调机组</w:t>
            </w:r>
          </w:p>
        </w:tc>
        <w:tc>
          <w:tcPr>
            <w:tcW w:w="1481" w:type="dxa"/>
            <w:tcBorders>
              <w:top w:val="single" w:color="000000" w:sz="4" w:space="0"/>
              <w:left w:val="single" w:color="000000" w:sz="4" w:space="0"/>
              <w:bottom w:val="single" w:color="000000" w:sz="4" w:space="0"/>
              <w:right w:val="single" w:color="000000" w:sz="4" w:space="0"/>
            </w:tcBorders>
            <w:vAlign w:val="center"/>
          </w:tcPr>
          <w:p w14:paraId="1F39AB5F">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w w:val="99"/>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多联式空调（热泵）机组（制冷量&gt;14000W）</w:t>
            </w:r>
          </w:p>
        </w:tc>
        <w:tc>
          <w:tcPr>
            <w:tcW w:w="3452" w:type="dxa"/>
            <w:tcBorders>
              <w:top w:val="single" w:color="000000" w:sz="4" w:space="0"/>
              <w:left w:val="single" w:color="000000" w:sz="4" w:space="0"/>
              <w:bottom w:val="single" w:color="000000" w:sz="4" w:space="0"/>
              <w:right w:val="single" w:color="000000" w:sz="4" w:space="0"/>
            </w:tcBorders>
          </w:tcPr>
          <w:p w14:paraId="027018CF">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《多联式空调（热泵）机组能效限定值及能源效率等级》（GB21454）</w:t>
            </w:r>
          </w:p>
        </w:tc>
      </w:tr>
      <w:tr w14:paraId="5B99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AC4A34">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4A7501B">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1B903E3">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21D6DA68">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kern w:val="2"/>
                <w:sz w:val="20"/>
                <w:szCs w:val="20"/>
                <w:lang w:val="en-US" w:eastAsia="en-US" w:bidi="ar-SA"/>
                <w14:textFill>
                  <w14:solidFill>
                    <w14:schemeClr w14:val="tx1"/>
                  </w14:solidFill>
                </w14:textFill>
              </w:rPr>
              <w:t>单元式空气调节机</w:t>
            </w:r>
          </w:p>
        </w:tc>
        <w:tc>
          <w:tcPr>
            <w:tcW w:w="3452" w:type="dxa"/>
            <w:tcBorders>
              <w:top w:val="single" w:color="000000" w:sz="4" w:space="0"/>
              <w:left w:val="single" w:color="000000" w:sz="4" w:space="0"/>
              <w:bottom w:val="single" w:color="000000" w:sz="4" w:space="0"/>
              <w:right w:val="single" w:color="000000" w:sz="4" w:space="0"/>
            </w:tcBorders>
          </w:tcPr>
          <w:p w14:paraId="4A85916F">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《单元式空气调节机能效限定值及能效等级》（GB19576）《风管送风式空调机组能效限定值及能效等级》（GB37479）</w:t>
            </w:r>
          </w:p>
        </w:tc>
      </w:tr>
      <w:tr w14:paraId="647A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64A7D55">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2B6EFEA">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0F1E8E4F">
            <w:pPr>
              <w:pStyle w:val="73"/>
              <w:spacing w:before="83"/>
              <w:ind w:left="7"/>
              <w:jc w:val="center"/>
              <w:rPr>
                <w:rFonts w:hint="eastAsia" w:ascii="宋体" w:hAnsi="宋体" w:eastAsia="宋体" w:cs="宋体"/>
                <w:color w:val="000000" w:themeColor="text1"/>
                <w:w w:val="99"/>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★A02052309专用制冷、空调设备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22462190">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机房空调</w:t>
            </w:r>
          </w:p>
        </w:tc>
        <w:tc>
          <w:tcPr>
            <w:tcW w:w="3452" w:type="dxa"/>
            <w:tcBorders>
              <w:top w:val="single" w:color="000000" w:sz="4" w:space="0"/>
              <w:left w:val="single" w:color="000000" w:sz="4" w:space="0"/>
              <w:bottom w:val="single" w:color="000000" w:sz="4" w:space="0"/>
              <w:right w:val="single" w:color="000000" w:sz="4" w:space="0"/>
            </w:tcBorders>
          </w:tcPr>
          <w:p w14:paraId="77825DA0">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《单元式空气调节机能效限定值</w:t>
            </w:r>
          </w:p>
          <w:p w14:paraId="5F4EB02E">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及能效等级》（GB19576）</w:t>
            </w:r>
          </w:p>
        </w:tc>
      </w:tr>
      <w:tr w14:paraId="19C2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47AEB3">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605D561">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8D7C79A">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A02052399其他制冷</w:t>
            </w:r>
          </w:p>
          <w:p w14:paraId="49111EDC">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空调设备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30D9B570">
            <w:pPr>
              <w:keepNext w:val="0"/>
              <w:keepLines w:val="0"/>
              <w:pageBreakBefore w:val="0"/>
              <w:widowControl/>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lang w:eastAsia="en-US"/>
                <w14:textFill>
                  <w14:solidFill>
                    <w14:schemeClr w14:val="tx1"/>
                  </w14:solidFill>
                </w14:textFill>
              </w:rPr>
            </w:pPr>
            <w:r>
              <w:rPr>
                <w:rFonts w:hint="eastAsia" w:ascii="宋体" w:hAnsi="宋体" w:eastAsia="宋体" w:cs="宋体"/>
                <w:color w:val="000000" w:themeColor="text1"/>
                <w:kern w:val="2"/>
                <w:sz w:val="20"/>
                <w:szCs w:val="20"/>
                <w:lang w:val="en-US" w:eastAsia="en-US" w:bidi="ar-SA"/>
                <w14:textFill>
                  <w14:solidFill>
                    <w14:schemeClr w14:val="tx1"/>
                  </w14:solidFill>
                </w14:textFill>
              </w:rPr>
              <w:t>冷却塔</w:t>
            </w:r>
          </w:p>
        </w:tc>
        <w:tc>
          <w:tcPr>
            <w:tcW w:w="3452" w:type="dxa"/>
            <w:tcBorders>
              <w:top w:val="single" w:color="000000" w:sz="4" w:space="0"/>
              <w:left w:val="single" w:color="000000" w:sz="4" w:space="0"/>
              <w:bottom w:val="single" w:color="000000" w:sz="4" w:space="0"/>
              <w:right w:val="single" w:color="000000" w:sz="4" w:space="0"/>
            </w:tcBorders>
          </w:tcPr>
          <w:p w14:paraId="2B126986">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《机械通风冷却塔第1部分：中小型开式冷却塔》（GB/T7190.1）</w:t>
            </w:r>
          </w:p>
          <w:p w14:paraId="7C66F95E">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《机械通风冷却塔第2部分：大型开式冷却塔》（GB/T7190.2）</w:t>
            </w:r>
          </w:p>
        </w:tc>
      </w:tr>
      <w:tr w14:paraId="7833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F68B588">
            <w:pPr>
              <w:pStyle w:val="73"/>
              <w:ind w:right="1"/>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w w:val="99"/>
                <w:kern w:val="2"/>
                <w:sz w:val="20"/>
                <w:szCs w:val="20"/>
                <w14:textFill>
                  <w14:solidFill>
                    <w14:schemeClr w14:val="tx1"/>
                  </w14:solidFill>
                </w14:textFill>
              </w:rPr>
              <w:t>7</w:t>
            </w:r>
          </w:p>
        </w:tc>
        <w:tc>
          <w:tcPr>
            <w:tcW w:w="1422" w:type="dxa"/>
            <w:tcBorders>
              <w:top w:val="single" w:color="000000" w:sz="4" w:space="0"/>
              <w:left w:val="single" w:color="000000" w:sz="4" w:space="0"/>
              <w:bottom w:val="single" w:color="000000" w:sz="4" w:space="0"/>
              <w:right w:val="single" w:color="000000" w:sz="4" w:space="0"/>
            </w:tcBorders>
            <w:vAlign w:val="center"/>
          </w:tcPr>
          <w:p w14:paraId="1F090E4E">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A02060100电机</w:t>
            </w:r>
          </w:p>
        </w:tc>
        <w:tc>
          <w:tcPr>
            <w:tcW w:w="1496" w:type="dxa"/>
            <w:tcBorders>
              <w:top w:val="single" w:color="000000" w:sz="4" w:space="0"/>
              <w:left w:val="single" w:color="000000" w:sz="4" w:space="0"/>
              <w:bottom w:val="single" w:color="000000" w:sz="4" w:space="0"/>
              <w:right w:val="single" w:color="000000" w:sz="4" w:space="0"/>
            </w:tcBorders>
            <w:vAlign w:val="center"/>
          </w:tcPr>
          <w:p w14:paraId="39768F64">
            <w:pPr>
              <w:jc w:val="center"/>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467CCFE">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6D2FE1B2">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《中小型三相异步电动机能效限定值及能效等级》（GB18613）</w:t>
            </w:r>
          </w:p>
        </w:tc>
      </w:tr>
      <w:tr w14:paraId="419EB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4C02BBC8">
            <w:pPr>
              <w:pStyle w:val="73"/>
              <w:ind w:right="1"/>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w w:val="99"/>
                <w:kern w:val="2"/>
                <w:sz w:val="20"/>
                <w:szCs w:val="20"/>
                <w14:textFill>
                  <w14:solidFill>
                    <w14:schemeClr w14:val="tx1"/>
                  </w14:solidFill>
                </w14:textFill>
              </w:rPr>
              <w:t>8</w:t>
            </w:r>
          </w:p>
        </w:tc>
        <w:tc>
          <w:tcPr>
            <w:tcW w:w="1422" w:type="dxa"/>
            <w:tcBorders>
              <w:top w:val="single" w:color="000000" w:sz="4" w:space="0"/>
              <w:left w:val="single" w:color="000000" w:sz="4" w:space="0"/>
              <w:bottom w:val="single" w:color="000000" w:sz="4" w:space="0"/>
              <w:right w:val="single" w:color="000000" w:sz="4" w:space="0"/>
            </w:tcBorders>
            <w:vAlign w:val="center"/>
          </w:tcPr>
          <w:p w14:paraId="1FEABFA0">
            <w:pPr>
              <w:pStyle w:val="73"/>
              <w:spacing w:before="30"/>
              <w:ind w:left="7"/>
              <w:jc w:val="center"/>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A02060200变压</w:t>
            </w:r>
            <w:r>
              <w:rPr>
                <w:rFonts w:hint="eastAsia" w:ascii="宋体" w:hAnsi="宋体" w:cs="宋体"/>
                <w:color w:val="000000" w:themeColor="text1"/>
                <w:kern w:val="2"/>
                <w:sz w:val="20"/>
                <w:szCs w:val="20"/>
                <w:lang w:eastAsia="zh-CN"/>
                <w14:textFill>
                  <w14:solidFill>
                    <w14:schemeClr w14:val="tx1"/>
                  </w14:solidFill>
                </w14:textFill>
              </w:rPr>
              <w:t>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0BC61A0C">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配电变压器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49E1E552">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7A276602">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《三相配电变压器能效限定值及能效等级》（GB 20052）</w:t>
            </w:r>
          </w:p>
        </w:tc>
      </w:tr>
      <w:tr w14:paraId="0BA62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011FD312">
            <w:pPr>
              <w:pStyle w:val="73"/>
              <w:ind w:right="1"/>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w w:val="99"/>
                <w:kern w:val="2"/>
                <w:sz w:val="20"/>
                <w:szCs w:val="20"/>
                <w14:textFill>
                  <w14:solidFill>
                    <w14:schemeClr w14:val="tx1"/>
                  </w14:solidFill>
                </w14:textFill>
              </w:rPr>
              <w:t>9</w:t>
            </w:r>
          </w:p>
        </w:tc>
        <w:tc>
          <w:tcPr>
            <w:tcW w:w="1422" w:type="dxa"/>
            <w:tcBorders>
              <w:top w:val="single" w:color="000000" w:sz="4" w:space="0"/>
              <w:left w:val="single" w:color="000000" w:sz="4" w:space="0"/>
              <w:bottom w:val="single" w:color="000000" w:sz="4" w:space="0"/>
              <w:right w:val="single" w:color="000000" w:sz="4" w:space="0"/>
            </w:tcBorders>
            <w:vAlign w:val="center"/>
          </w:tcPr>
          <w:p w14:paraId="3CF11987">
            <w:pPr>
              <w:pStyle w:val="73"/>
              <w:spacing w:before="126"/>
              <w:ind w:left="7"/>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★A02060900镇流器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086D2E88">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管型荧光灯镇流器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F9ED838">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6BD9BAC0">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《管形荧光灯镇流器能效限定值及能效等级》（GB17896）</w:t>
            </w:r>
          </w:p>
        </w:tc>
      </w:tr>
      <w:tr w14:paraId="62048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5E1D862E">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w w:val="99"/>
                <w:kern w:val="2"/>
                <w:sz w:val="20"/>
                <w:szCs w:val="20"/>
                <w14:textFill>
                  <w14:solidFill>
                    <w14:schemeClr w14:val="tx1"/>
                  </w14:solidFill>
                </w14:textFill>
              </w:rPr>
              <w:t>10</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2DB17EC2">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A02061800生活用电器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0D58AF79">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A02061801电冰箱</w:t>
            </w:r>
          </w:p>
        </w:tc>
        <w:tc>
          <w:tcPr>
            <w:tcW w:w="1481" w:type="dxa"/>
            <w:tcBorders>
              <w:top w:val="single" w:color="000000" w:sz="4" w:space="0"/>
              <w:left w:val="single" w:color="000000" w:sz="4" w:space="0"/>
              <w:bottom w:val="single" w:color="000000" w:sz="4" w:space="0"/>
              <w:right w:val="single" w:color="000000" w:sz="4" w:space="0"/>
            </w:tcBorders>
            <w:vAlign w:val="center"/>
          </w:tcPr>
          <w:p w14:paraId="1E506404">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0D19A3A1">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《家用电冰箱耗电量限定值及能效等级》（GB12021.2）</w:t>
            </w:r>
          </w:p>
        </w:tc>
      </w:tr>
      <w:tr w14:paraId="05E80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43C81CE">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4C978C">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755EBC49">
            <w:pPr>
              <w:pStyle w:val="73"/>
              <w:spacing w:before="171"/>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★A02061804空调机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4E6A21F9">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房间空气调节器</w:t>
            </w:r>
          </w:p>
        </w:tc>
        <w:tc>
          <w:tcPr>
            <w:tcW w:w="3452" w:type="dxa"/>
            <w:tcBorders>
              <w:top w:val="single" w:color="000000" w:sz="4" w:space="0"/>
              <w:left w:val="single" w:color="000000" w:sz="4" w:space="0"/>
              <w:bottom w:val="single" w:color="000000" w:sz="4" w:space="0"/>
              <w:right w:val="single" w:color="000000" w:sz="4" w:space="0"/>
            </w:tcBorders>
          </w:tcPr>
          <w:p w14:paraId="58A62532">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《房间空气调节器能效限定值及能效等级》（GB21455-2019）</w:t>
            </w:r>
          </w:p>
        </w:tc>
      </w:tr>
      <w:tr w14:paraId="0292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94CEE9B">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76A9A7B">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B54948">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78C93EDF">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多联式空调（热泵）机组（制冷量≤ 14000W）</w:t>
            </w:r>
          </w:p>
        </w:tc>
        <w:tc>
          <w:tcPr>
            <w:tcW w:w="3452" w:type="dxa"/>
            <w:tcBorders>
              <w:top w:val="single" w:color="000000" w:sz="4" w:space="0"/>
              <w:left w:val="single" w:color="000000" w:sz="4" w:space="0"/>
              <w:bottom w:val="single" w:color="000000" w:sz="4" w:space="0"/>
              <w:right w:val="single" w:color="000000" w:sz="4" w:space="0"/>
            </w:tcBorders>
          </w:tcPr>
          <w:p w14:paraId="5B7DEA8B">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《多联式空调（热泵）机组能效限定值及能源效率等级》（GB21454）</w:t>
            </w:r>
          </w:p>
        </w:tc>
      </w:tr>
      <w:tr w14:paraId="2377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B607B87">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6FDB69">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1411E2B">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5A2F14FC">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单元式空气调节机（制冷量≤ 14000W）</w:t>
            </w:r>
          </w:p>
        </w:tc>
        <w:tc>
          <w:tcPr>
            <w:tcW w:w="3452" w:type="dxa"/>
            <w:tcBorders>
              <w:top w:val="single" w:color="000000" w:sz="4" w:space="0"/>
              <w:left w:val="single" w:color="000000" w:sz="4" w:space="0"/>
              <w:bottom w:val="single" w:color="000000" w:sz="4" w:space="0"/>
              <w:right w:val="single" w:color="000000" w:sz="4" w:space="0"/>
            </w:tcBorders>
          </w:tcPr>
          <w:p w14:paraId="5B44FEAE">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《单元式空气调节机能效限定值及能源效率等级》（GB19576）《风管送风式空调机组能效限定值及能效等级》（GB37479）</w:t>
            </w:r>
          </w:p>
        </w:tc>
      </w:tr>
      <w:tr w14:paraId="4ECD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EB855DA">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0C279D1">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FC82244">
            <w:pPr>
              <w:pStyle w:val="73"/>
              <w:spacing w:before="162"/>
              <w:ind w:left="7"/>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A02061810洗衣机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5BD74E49">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6DE34093">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《电动洗衣机能效水效限定值及等级》（GB12021.4）</w:t>
            </w:r>
          </w:p>
        </w:tc>
      </w:tr>
      <w:tr w14:paraId="6FC0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F6BE17">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2E77495">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vMerge w:val="restart"/>
            <w:tcBorders>
              <w:top w:val="single" w:color="000000" w:sz="4" w:space="0"/>
              <w:left w:val="single" w:color="000000" w:sz="4" w:space="0"/>
              <w:bottom w:val="single" w:color="000000" w:sz="4" w:space="0"/>
              <w:right w:val="single" w:color="000000" w:sz="4" w:space="0"/>
            </w:tcBorders>
            <w:vAlign w:val="center"/>
          </w:tcPr>
          <w:p w14:paraId="34707EA0">
            <w:pPr>
              <w:pStyle w:val="73"/>
              <w:spacing w:before="161"/>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A02061819热水器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AB69BC3">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★电热水器</w:t>
            </w:r>
          </w:p>
        </w:tc>
        <w:tc>
          <w:tcPr>
            <w:tcW w:w="3452" w:type="dxa"/>
            <w:tcBorders>
              <w:top w:val="single" w:color="000000" w:sz="4" w:space="0"/>
              <w:left w:val="single" w:color="000000" w:sz="4" w:space="0"/>
              <w:bottom w:val="single" w:color="000000" w:sz="4" w:space="0"/>
              <w:right w:val="single" w:color="000000" w:sz="4" w:space="0"/>
            </w:tcBorders>
          </w:tcPr>
          <w:p w14:paraId="2A82674D">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《储水式电热水器能效限定值及能效等级》（GB21519）</w:t>
            </w:r>
          </w:p>
        </w:tc>
      </w:tr>
      <w:tr w14:paraId="1436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DC3BA4B">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CE9335">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7F2286E">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005C513">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燃气热水器</w:t>
            </w:r>
          </w:p>
        </w:tc>
        <w:tc>
          <w:tcPr>
            <w:tcW w:w="3452" w:type="dxa"/>
            <w:tcBorders>
              <w:top w:val="single" w:color="000000" w:sz="4" w:space="0"/>
              <w:left w:val="single" w:color="000000" w:sz="4" w:space="0"/>
              <w:bottom w:val="single" w:color="000000" w:sz="4" w:space="0"/>
              <w:right w:val="single" w:color="000000" w:sz="4" w:space="0"/>
            </w:tcBorders>
          </w:tcPr>
          <w:p w14:paraId="38663DD3">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《家用燃气快速热水器和燃气采暖热水炉能效限定值及能效等级》（GB20665）</w:t>
            </w:r>
          </w:p>
        </w:tc>
      </w:tr>
      <w:tr w14:paraId="0964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72A55B1">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E263E4C">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C3098A9">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1F5D8E4C">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热泵热水器</w:t>
            </w:r>
          </w:p>
        </w:tc>
        <w:tc>
          <w:tcPr>
            <w:tcW w:w="3452" w:type="dxa"/>
            <w:tcBorders>
              <w:top w:val="single" w:color="000000" w:sz="4" w:space="0"/>
              <w:left w:val="single" w:color="000000" w:sz="4" w:space="0"/>
              <w:bottom w:val="single" w:color="000000" w:sz="4" w:space="0"/>
              <w:right w:val="single" w:color="000000" w:sz="4" w:space="0"/>
            </w:tcBorders>
          </w:tcPr>
          <w:p w14:paraId="6328B9AC">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《热泵热水机（器）能效限定值及能效等级》（GB29541）</w:t>
            </w:r>
          </w:p>
        </w:tc>
      </w:tr>
      <w:tr w14:paraId="5D6E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82D2EC8">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8686F18">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97ACDA7">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73042A7">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太阳能热水系统</w:t>
            </w:r>
          </w:p>
        </w:tc>
        <w:tc>
          <w:tcPr>
            <w:tcW w:w="3452" w:type="dxa"/>
            <w:tcBorders>
              <w:top w:val="single" w:color="000000" w:sz="4" w:space="0"/>
              <w:left w:val="single" w:color="000000" w:sz="4" w:space="0"/>
              <w:bottom w:val="single" w:color="000000" w:sz="4" w:space="0"/>
              <w:right w:val="single" w:color="000000" w:sz="4" w:space="0"/>
            </w:tcBorders>
          </w:tcPr>
          <w:p w14:paraId="2179E958">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《家用太阳能热水系统能效限定值及能效等级》（GB26969）</w:t>
            </w:r>
          </w:p>
        </w:tc>
      </w:tr>
      <w:tr w14:paraId="6386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7046FD4B">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spacing w:val="1"/>
                <w:w w:val="99"/>
                <w:kern w:val="2"/>
                <w:sz w:val="20"/>
                <w:szCs w:val="20"/>
                <w14:textFill>
                  <w14:solidFill>
                    <w14:schemeClr w14:val="tx1"/>
                  </w14:solidFill>
                </w14:textFill>
              </w:rPr>
              <w:t>1</w:t>
            </w:r>
            <w:r>
              <w:rPr>
                <w:rFonts w:hint="eastAsia" w:ascii="宋体" w:hAnsi="宋体" w:eastAsia="宋体" w:cs="宋体"/>
                <w:color w:val="000000" w:themeColor="text1"/>
                <w:w w:val="99"/>
                <w:kern w:val="2"/>
                <w:sz w:val="20"/>
                <w:szCs w:val="20"/>
                <w14:textFill>
                  <w14:solidFill>
                    <w14:schemeClr w14:val="tx1"/>
                  </w14:solidFill>
                </w14:textFill>
              </w:rPr>
              <w:t>1</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6E701849">
            <w:pPr>
              <w:pStyle w:val="73"/>
              <w:spacing w:before="157"/>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A02061900照明设备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5D60940A">
            <w:pPr>
              <w:pStyle w:val="73"/>
              <w:spacing w:before="133" w:line="276" w:lineRule="auto"/>
              <w:ind w:left="7" w:right="7"/>
              <w:jc w:val="center"/>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★普通照明用双端荧光灯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5D1C36A5">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1E69512E">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《普通照明用双端荧光灯能效限定值及能效等级》（GB19043）</w:t>
            </w:r>
          </w:p>
        </w:tc>
      </w:tr>
      <w:tr w14:paraId="20D30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9A49B17">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ADEB977">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D7DEA96">
            <w:pPr>
              <w:pStyle w:val="73"/>
              <w:spacing w:before="92" w:line="276" w:lineRule="auto"/>
              <w:ind w:left="7" w:right="2"/>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LED道路/隧道照明产品</w:t>
            </w:r>
          </w:p>
        </w:tc>
        <w:tc>
          <w:tcPr>
            <w:tcW w:w="1481" w:type="dxa"/>
            <w:tcBorders>
              <w:top w:val="single" w:color="000000" w:sz="4" w:space="0"/>
              <w:left w:val="single" w:color="000000" w:sz="4" w:space="0"/>
              <w:bottom w:val="single" w:color="000000" w:sz="4" w:space="0"/>
              <w:right w:val="single" w:color="000000" w:sz="4" w:space="0"/>
            </w:tcBorders>
            <w:vAlign w:val="center"/>
          </w:tcPr>
          <w:p w14:paraId="629D6D1C">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4C6FA54F">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《道路和隧道照明用LED灯具能效限定值及能效等级》（GB37478）</w:t>
            </w:r>
          </w:p>
        </w:tc>
      </w:tr>
      <w:tr w14:paraId="2BA15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BA6FACB">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FF00D8C">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7744787E">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LED筒灯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18CF624D">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66FAE66F">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《室内照明用LED产品能效限定值及能效等级》（GB30255）</w:t>
            </w:r>
          </w:p>
        </w:tc>
      </w:tr>
      <w:tr w14:paraId="3907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6A7574E">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CCCF166">
            <w:pPr>
              <w:widowControl/>
              <w:jc w:val="left"/>
              <w:rPr>
                <w:rFonts w:hint="eastAsia" w:ascii="宋体" w:hAnsi="宋体" w:eastAsia="宋体" w:cs="宋体"/>
                <w:color w:val="000000" w:themeColor="text1"/>
                <w:sz w:val="20"/>
                <w:szCs w:val="20"/>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3D55BA62">
            <w:pPr>
              <w:pStyle w:val="73"/>
              <w:spacing w:line="276" w:lineRule="auto"/>
              <w:ind w:right="7"/>
              <w:jc w:val="center"/>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普通照明用非定向自镇流LED灯</w:t>
            </w:r>
          </w:p>
        </w:tc>
        <w:tc>
          <w:tcPr>
            <w:tcW w:w="1481" w:type="dxa"/>
            <w:tcBorders>
              <w:top w:val="single" w:color="000000" w:sz="4" w:space="0"/>
              <w:left w:val="single" w:color="000000" w:sz="4" w:space="0"/>
              <w:bottom w:val="single" w:color="000000" w:sz="4" w:space="0"/>
              <w:right w:val="single" w:color="000000" w:sz="4" w:space="0"/>
            </w:tcBorders>
            <w:vAlign w:val="center"/>
          </w:tcPr>
          <w:p w14:paraId="1CDC23C3">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4454A15E">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《室内照明用LED产品能效限定值及能效等级》（GB30255）</w:t>
            </w:r>
          </w:p>
        </w:tc>
      </w:tr>
      <w:tr w14:paraId="7C52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3423D351">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spacing w:val="1"/>
                <w:w w:val="99"/>
                <w:kern w:val="2"/>
                <w:sz w:val="20"/>
                <w:szCs w:val="20"/>
                <w14:textFill>
                  <w14:solidFill>
                    <w14:schemeClr w14:val="tx1"/>
                  </w14:solidFill>
                </w14:textFill>
              </w:rPr>
              <w:t>1</w:t>
            </w:r>
            <w:r>
              <w:rPr>
                <w:rFonts w:hint="eastAsia" w:ascii="宋体" w:hAnsi="宋体" w:eastAsia="宋体" w:cs="宋体"/>
                <w:color w:val="000000" w:themeColor="text1"/>
                <w:w w:val="99"/>
                <w:kern w:val="2"/>
                <w:sz w:val="20"/>
                <w:szCs w:val="20"/>
                <w14:textFill>
                  <w14:solidFill>
                    <w14:schemeClr w14:val="tx1"/>
                  </w14:solidFill>
                </w14:textFill>
              </w:rPr>
              <w:t>2</w:t>
            </w:r>
          </w:p>
        </w:tc>
        <w:tc>
          <w:tcPr>
            <w:tcW w:w="1422" w:type="dxa"/>
            <w:tcBorders>
              <w:top w:val="single" w:color="000000" w:sz="4" w:space="0"/>
              <w:left w:val="single" w:color="000000" w:sz="4" w:space="0"/>
              <w:bottom w:val="single" w:color="000000" w:sz="4" w:space="0"/>
              <w:right w:val="single" w:color="000000" w:sz="4" w:space="0"/>
            </w:tcBorders>
            <w:vAlign w:val="center"/>
          </w:tcPr>
          <w:p w14:paraId="5D6E8EFC">
            <w:pPr>
              <w:pStyle w:val="73"/>
              <w:spacing w:before="81"/>
              <w:ind w:left="7"/>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★A02091000电视设备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75703B1A">
            <w:pPr>
              <w:pStyle w:val="73"/>
              <w:spacing w:before="81" w:line="276" w:lineRule="auto"/>
              <w:ind w:left="7" w:right="5"/>
              <w:jc w:val="center"/>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A02091001普通电视设备（电视机）</w:t>
            </w:r>
          </w:p>
        </w:tc>
        <w:tc>
          <w:tcPr>
            <w:tcW w:w="1481" w:type="dxa"/>
            <w:tcBorders>
              <w:top w:val="single" w:color="000000" w:sz="4" w:space="0"/>
              <w:left w:val="single" w:color="000000" w:sz="4" w:space="0"/>
              <w:bottom w:val="single" w:color="000000" w:sz="4" w:space="0"/>
              <w:right w:val="single" w:color="000000" w:sz="4" w:space="0"/>
            </w:tcBorders>
            <w:vAlign w:val="center"/>
          </w:tcPr>
          <w:p w14:paraId="6D984150">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050E976C">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《平板电视与机顶盒能效限定值及能效等级》（GB24850）</w:t>
            </w:r>
          </w:p>
        </w:tc>
      </w:tr>
      <w:tr w14:paraId="7D60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247B084B">
            <w:pPr>
              <w:pStyle w:val="73"/>
              <w:jc w:val="center"/>
              <w:rPr>
                <w:rFonts w:hint="eastAsia" w:ascii="宋体" w:hAnsi="宋体" w:eastAsia="宋体" w:cs="宋体"/>
                <w:color w:val="000000" w:themeColor="text1"/>
                <w:kern w:val="2"/>
                <w:sz w:val="20"/>
                <w:szCs w:val="20"/>
                <w14:textFill>
                  <w14:solidFill>
                    <w14:schemeClr w14:val="tx1"/>
                  </w14:solidFill>
                </w14:textFill>
              </w:rPr>
            </w:pPr>
            <w:bookmarkStart w:id="6" w:name="_GoBack"/>
            <w:r>
              <w:rPr>
                <w:rFonts w:hint="eastAsia" w:ascii="宋体" w:hAnsi="宋体" w:eastAsia="宋体" w:cs="宋体"/>
                <w:color w:val="000000" w:themeColor="text1"/>
                <w:spacing w:val="1"/>
                <w:w w:val="99"/>
                <w:kern w:val="2"/>
                <w:sz w:val="20"/>
                <w:szCs w:val="20"/>
                <w14:textFill>
                  <w14:solidFill>
                    <w14:schemeClr w14:val="tx1"/>
                  </w14:solidFill>
                </w14:textFill>
              </w:rPr>
              <w:t>1</w:t>
            </w:r>
            <w:r>
              <w:rPr>
                <w:rFonts w:hint="eastAsia" w:ascii="宋体" w:hAnsi="宋体" w:eastAsia="宋体" w:cs="宋体"/>
                <w:color w:val="000000" w:themeColor="text1"/>
                <w:w w:val="99"/>
                <w:kern w:val="2"/>
                <w:sz w:val="20"/>
                <w:szCs w:val="20"/>
                <w14:textFill>
                  <w14:solidFill>
                    <w14:schemeClr w14:val="tx1"/>
                  </w14:solidFill>
                </w14:textFill>
              </w:rPr>
              <w:t>3</w:t>
            </w:r>
          </w:p>
        </w:tc>
        <w:tc>
          <w:tcPr>
            <w:tcW w:w="1422" w:type="dxa"/>
            <w:tcBorders>
              <w:top w:val="single" w:color="000000" w:sz="4" w:space="0"/>
              <w:left w:val="single" w:color="000000" w:sz="4" w:space="0"/>
              <w:bottom w:val="single" w:color="000000" w:sz="4" w:space="0"/>
              <w:right w:val="single" w:color="000000" w:sz="4" w:space="0"/>
            </w:tcBorders>
            <w:vAlign w:val="center"/>
          </w:tcPr>
          <w:p w14:paraId="1EF9E11E">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★A02091100视频设备</w:t>
            </w:r>
          </w:p>
        </w:tc>
        <w:tc>
          <w:tcPr>
            <w:tcW w:w="1496" w:type="dxa"/>
            <w:tcBorders>
              <w:top w:val="single" w:color="000000" w:sz="4" w:space="0"/>
              <w:left w:val="single" w:color="000000" w:sz="4" w:space="0"/>
              <w:bottom w:val="single" w:color="000000" w:sz="4" w:space="0"/>
              <w:right w:val="single" w:color="000000" w:sz="4" w:space="0"/>
            </w:tcBorders>
            <w:vAlign w:val="center"/>
          </w:tcPr>
          <w:p w14:paraId="733DF464">
            <w:pPr>
              <w:pStyle w:val="73"/>
              <w:spacing w:line="276" w:lineRule="auto"/>
              <w:ind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A02091107视频监控设备</w:t>
            </w:r>
          </w:p>
        </w:tc>
        <w:tc>
          <w:tcPr>
            <w:tcW w:w="1481" w:type="dxa"/>
            <w:tcBorders>
              <w:top w:val="single" w:color="000000" w:sz="4" w:space="0"/>
              <w:left w:val="single" w:color="000000" w:sz="4" w:space="0"/>
              <w:bottom w:val="single" w:color="000000" w:sz="4" w:space="0"/>
              <w:right w:val="single" w:color="000000" w:sz="4" w:space="0"/>
            </w:tcBorders>
            <w:vAlign w:val="center"/>
          </w:tcPr>
          <w:p w14:paraId="2AD59EE2">
            <w:pPr>
              <w:pStyle w:val="73"/>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w w:val="99"/>
                <w:kern w:val="2"/>
                <w:sz w:val="20"/>
                <w:szCs w:val="20"/>
                <w14:textFill>
                  <w14:solidFill>
                    <w14:schemeClr w14:val="tx1"/>
                  </w14:solidFill>
                </w14:textFill>
              </w:rPr>
              <w:t>监视器</w:t>
            </w:r>
          </w:p>
        </w:tc>
        <w:tc>
          <w:tcPr>
            <w:tcW w:w="3452" w:type="dxa"/>
            <w:tcBorders>
              <w:top w:val="single" w:color="000000" w:sz="4" w:space="0"/>
              <w:left w:val="single" w:color="000000" w:sz="4" w:space="0"/>
              <w:bottom w:val="single" w:color="000000" w:sz="4" w:space="0"/>
              <w:right w:val="single" w:color="000000" w:sz="4" w:space="0"/>
            </w:tcBorders>
          </w:tcPr>
          <w:p w14:paraId="603D15FF">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spacing w:val="10"/>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以射频信号为主要信号输入的监视器应符合《平板电视与机顶盒能效限定值及能效等级》（GB24850），以数字信号为主要信号输入的监视器应符合《计算机显示器能效限定值及能效等级》（GB21520）</w:t>
            </w:r>
          </w:p>
        </w:tc>
      </w:tr>
      <w:bookmarkEnd w:id="6"/>
      <w:tr w14:paraId="767BE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679323AF">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spacing w:val="1"/>
                <w:w w:val="99"/>
                <w:kern w:val="2"/>
                <w:sz w:val="20"/>
                <w:szCs w:val="20"/>
                <w14:textFill>
                  <w14:solidFill>
                    <w14:schemeClr w14:val="tx1"/>
                  </w14:solidFill>
                </w14:textFill>
              </w:rPr>
              <w:t>1</w:t>
            </w:r>
            <w:r>
              <w:rPr>
                <w:rFonts w:hint="eastAsia" w:ascii="宋体" w:hAnsi="宋体" w:eastAsia="宋体" w:cs="宋体"/>
                <w:color w:val="000000" w:themeColor="text1"/>
                <w:w w:val="99"/>
                <w:kern w:val="2"/>
                <w:sz w:val="20"/>
                <w:szCs w:val="20"/>
                <w14:textFill>
                  <w14:solidFill>
                    <w14:schemeClr w14:val="tx1"/>
                  </w14:solidFill>
                </w14:textFill>
              </w:rPr>
              <w:t>4</w:t>
            </w:r>
          </w:p>
        </w:tc>
        <w:tc>
          <w:tcPr>
            <w:tcW w:w="1422" w:type="dxa"/>
            <w:tcBorders>
              <w:top w:val="single" w:color="000000" w:sz="4" w:space="0"/>
              <w:left w:val="single" w:color="000000" w:sz="4" w:space="0"/>
              <w:bottom w:val="single" w:color="000000" w:sz="4" w:space="0"/>
              <w:right w:val="single" w:color="000000" w:sz="4" w:space="0"/>
            </w:tcBorders>
            <w:vAlign w:val="center"/>
          </w:tcPr>
          <w:p w14:paraId="12CCE3D1">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A02241000饮食炊事机械</w:t>
            </w:r>
          </w:p>
        </w:tc>
        <w:tc>
          <w:tcPr>
            <w:tcW w:w="1496" w:type="dxa"/>
            <w:tcBorders>
              <w:top w:val="single" w:color="000000" w:sz="4" w:space="0"/>
              <w:left w:val="single" w:color="000000" w:sz="4" w:space="0"/>
              <w:bottom w:val="single" w:color="000000" w:sz="4" w:space="0"/>
              <w:right w:val="single" w:color="000000" w:sz="4" w:space="0"/>
            </w:tcBorders>
            <w:vAlign w:val="center"/>
          </w:tcPr>
          <w:p w14:paraId="594C8A56">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商用燃气灶具</w:t>
            </w:r>
          </w:p>
        </w:tc>
        <w:tc>
          <w:tcPr>
            <w:tcW w:w="1481" w:type="dxa"/>
            <w:tcBorders>
              <w:top w:val="single" w:color="000000" w:sz="4" w:space="0"/>
              <w:left w:val="single" w:color="000000" w:sz="4" w:space="0"/>
              <w:bottom w:val="single" w:color="000000" w:sz="4" w:space="0"/>
              <w:right w:val="single" w:color="000000" w:sz="4" w:space="0"/>
            </w:tcBorders>
            <w:vAlign w:val="center"/>
          </w:tcPr>
          <w:p w14:paraId="6863F508">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5DBC3468">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《商用燃气灶具能效限定值及能效等级》（GB30531）</w:t>
            </w:r>
          </w:p>
        </w:tc>
      </w:tr>
      <w:tr w14:paraId="6ED6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vMerge w:val="restart"/>
            <w:tcBorders>
              <w:top w:val="single" w:color="000000" w:sz="4" w:space="0"/>
              <w:left w:val="single" w:color="000000" w:sz="4" w:space="0"/>
              <w:bottom w:val="single" w:color="000000" w:sz="4" w:space="0"/>
              <w:right w:val="single" w:color="000000" w:sz="4" w:space="0"/>
            </w:tcBorders>
            <w:vAlign w:val="center"/>
          </w:tcPr>
          <w:p w14:paraId="070FCA6D">
            <w:pPr>
              <w:jc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15</w:t>
            </w:r>
          </w:p>
        </w:tc>
        <w:tc>
          <w:tcPr>
            <w:tcW w:w="1422" w:type="dxa"/>
            <w:vMerge w:val="restart"/>
            <w:tcBorders>
              <w:top w:val="single" w:color="000000" w:sz="4" w:space="0"/>
              <w:left w:val="single" w:color="000000" w:sz="4" w:space="0"/>
              <w:bottom w:val="single" w:color="000000" w:sz="4" w:space="0"/>
              <w:right w:val="single" w:color="000000" w:sz="4" w:space="0"/>
            </w:tcBorders>
            <w:vAlign w:val="center"/>
          </w:tcPr>
          <w:p w14:paraId="03D560F6">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★A05020105便器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2BF57B09">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坐便器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037DCE8E">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0C69DF9A">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《坐便器水效限定值及水效等级》</w:t>
            </w:r>
          </w:p>
          <w:p w14:paraId="54B3CB65">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（GB25502）</w:t>
            </w:r>
          </w:p>
        </w:tc>
      </w:tr>
      <w:tr w14:paraId="098E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F979840">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5B8A259">
            <w:pPr>
              <w:widowControl/>
              <w:jc w:val="left"/>
              <w:rPr>
                <w:rFonts w:hint="eastAsia" w:ascii="宋体" w:hAnsi="宋体" w:eastAsia="宋体" w:cs="宋体"/>
                <w:color w:val="000000" w:themeColor="text1"/>
                <w:kern w:val="2"/>
                <w:sz w:val="20"/>
                <w:szCs w:val="20"/>
                <w:lang w:val="en-US" w:eastAsia="en-US" w:bidi="ar-SA"/>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1738F4AB">
            <w:pPr>
              <w:pStyle w:val="73"/>
              <w:jc w:val="center"/>
              <w:rPr>
                <w:rFonts w:hint="eastAsia" w:ascii="宋体" w:hAnsi="宋体" w:eastAsia="宋体" w:cs="宋体"/>
                <w:color w:val="000000" w:themeColor="text1"/>
                <w:kern w:val="2"/>
                <w:sz w:val="20"/>
                <w:szCs w:val="20"/>
                <w:lang w:val="en-US" w:eastAsia="en-US" w:bidi="ar-SA"/>
                <w14:textFill>
                  <w14:solidFill>
                    <w14:schemeClr w14:val="tx1"/>
                  </w14:solidFill>
                </w14:textFill>
              </w:rPr>
            </w:pPr>
            <w:r>
              <w:rPr>
                <w:rFonts w:hint="eastAsia" w:ascii="宋体" w:hAnsi="宋体" w:eastAsia="宋体" w:cs="宋体"/>
                <w:color w:val="000000" w:themeColor="text1"/>
                <w:kern w:val="2"/>
                <w:sz w:val="20"/>
                <w:szCs w:val="20"/>
                <w:lang w:val="en-US" w:eastAsia="en-US" w:bidi="ar-SA"/>
                <w14:textFill>
                  <w14:solidFill>
                    <w14:schemeClr w14:val="tx1"/>
                  </w14:solidFill>
                </w14:textFill>
              </w:rPr>
              <w:t>蹲便器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7F0F10C5">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00034ECE">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《蹲便器用水效率限定值及用水效率等级》（GB30717）</w:t>
            </w:r>
          </w:p>
        </w:tc>
      </w:tr>
      <w:tr w14:paraId="4502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319D77">
            <w:pPr>
              <w:widowControl/>
              <w:jc w:val="left"/>
              <w:rPr>
                <w:rFonts w:hint="eastAsia" w:ascii="宋体" w:hAnsi="宋体" w:eastAsia="宋体" w:cs="宋体"/>
                <w:color w:val="000000" w:themeColor="text1"/>
                <w:sz w:val="20"/>
                <w:szCs w:val="20"/>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728F33">
            <w:pPr>
              <w:widowControl/>
              <w:jc w:val="left"/>
              <w:rPr>
                <w:rFonts w:hint="eastAsia" w:ascii="宋体" w:hAnsi="宋体" w:eastAsia="宋体" w:cs="宋体"/>
                <w:color w:val="000000" w:themeColor="text1"/>
                <w:kern w:val="2"/>
                <w:sz w:val="20"/>
                <w:szCs w:val="20"/>
                <w:lang w:val="en-US" w:eastAsia="en-US" w:bidi="ar-SA"/>
                <w14:textFill>
                  <w14:solidFill>
                    <w14:schemeClr w14:val="tx1"/>
                  </w14:solidFill>
                </w14:textFill>
              </w:rPr>
            </w:pPr>
          </w:p>
        </w:tc>
        <w:tc>
          <w:tcPr>
            <w:tcW w:w="1496" w:type="dxa"/>
            <w:tcBorders>
              <w:top w:val="single" w:color="000000" w:sz="4" w:space="0"/>
              <w:left w:val="single" w:color="000000" w:sz="4" w:space="0"/>
              <w:bottom w:val="single" w:color="000000" w:sz="4" w:space="0"/>
              <w:right w:val="single" w:color="000000" w:sz="4" w:space="0"/>
            </w:tcBorders>
            <w:vAlign w:val="center"/>
          </w:tcPr>
          <w:p w14:paraId="2DEC52C2">
            <w:pPr>
              <w:pStyle w:val="73"/>
              <w:jc w:val="center"/>
              <w:rPr>
                <w:rFonts w:hint="eastAsia" w:ascii="宋体" w:hAnsi="宋体" w:eastAsia="宋体" w:cs="宋体"/>
                <w:color w:val="000000" w:themeColor="text1"/>
                <w:kern w:val="2"/>
                <w:sz w:val="20"/>
                <w:szCs w:val="20"/>
                <w:lang w:val="en-US" w:eastAsia="en-US" w:bidi="ar-SA"/>
                <w14:textFill>
                  <w14:solidFill>
                    <w14:schemeClr w14:val="tx1"/>
                  </w14:solidFill>
                </w14:textFill>
              </w:rPr>
            </w:pPr>
            <w:r>
              <w:rPr>
                <w:rFonts w:hint="eastAsia" w:ascii="宋体" w:hAnsi="宋体" w:eastAsia="宋体" w:cs="宋体"/>
                <w:color w:val="000000" w:themeColor="text1"/>
                <w:kern w:val="2"/>
                <w:sz w:val="20"/>
                <w:szCs w:val="20"/>
                <w:lang w:val="en-US" w:eastAsia="en-US" w:bidi="ar-SA"/>
                <w14:textFill>
                  <w14:solidFill>
                    <w14:schemeClr w14:val="tx1"/>
                  </w14:solidFill>
                </w14:textFill>
              </w:rPr>
              <w:t>小便器</w:t>
            </w:r>
          </w:p>
        </w:tc>
        <w:tc>
          <w:tcPr>
            <w:tcW w:w="1481" w:type="dxa"/>
            <w:tcBorders>
              <w:top w:val="single" w:color="000000" w:sz="4" w:space="0"/>
              <w:left w:val="single" w:color="000000" w:sz="4" w:space="0"/>
              <w:bottom w:val="single" w:color="000000" w:sz="4" w:space="0"/>
              <w:right w:val="single" w:color="000000" w:sz="4" w:space="0"/>
            </w:tcBorders>
            <w:vAlign w:val="center"/>
          </w:tcPr>
          <w:p w14:paraId="5E2FB9A6">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67F1FD57">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kern w:val="2"/>
                <w:sz w:val="20"/>
                <w:szCs w:val="20"/>
                <w:lang w:eastAsia="zh-CN"/>
                <w14:textFill>
                  <w14:solidFill>
                    <w14:schemeClr w14:val="tx1"/>
                  </w14:solidFill>
                </w14:textFill>
              </w:rPr>
              <w:t>《小便器用水效率限定值及用水效率等级》（GB28377）</w:t>
            </w:r>
          </w:p>
        </w:tc>
      </w:tr>
      <w:tr w14:paraId="4AE8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57137424">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16</w:t>
            </w:r>
          </w:p>
        </w:tc>
        <w:tc>
          <w:tcPr>
            <w:tcW w:w="1422" w:type="dxa"/>
            <w:tcBorders>
              <w:top w:val="single" w:color="000000" w:sz="4" w:space="0"/>
              <w:left w:val="single" w:color="000000" w:sz="4" w:space="0"/>
              <w:bottom w:val="single" w:color="000000" w:sz="4" w:space="0"/>
              <w:right w:val="single" w:color="000000" w:sz="4" w:space="0"/>
            </w:tcBorders>
            <w:vAlign w:val="center"/>
          </w:tcPr>
          <w:p w14:paraId="205B62B2">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★A05020106水嘴</w:t>
            </w:r>
          </w:p>
        </w:tc>
        <w:tc>
          <w:tcPr>
            <w:tcW w:w="1496" w:type="dxa"/>
            <w:tcBorders>
              <w:top w:val="single" w:color="000000" w:sz="4" w:space="0"/>
              <w:left w:val="single" w:color="000000" w:sz="4" w:space="0"/>
              <w:bottom w:val="single" w:color="000000" w:sz="4" w:space="0"/>
              <w:right w:val="single" w:color="000000" w:sz="4" w:space="0"/>
            </w:tcBorders>
            <w:vAlign w:val="center"/>
          </w:tcPr>
          <w:p w14:paraId="6CE6036E">
            <w:pPr>
              <w:pStyle w:val="73"/>
              <w:spacing w:before="93"/>
              <w:ind w:left="7" w:right="5"/>
              <w:jc w:val="center"/>
              <w:rPr>
                <w:rFonts w:hint="eastAsia" w:ascii="宋体" w:hAnsi="宋体" w:eastAsia="宋体" w:cs="宋体"/>
                <w:color w:val="000000" w:themeColor="text1"/>
                <w:kern w:val="2"/>
                <w:sz w:val="20"/>
                <w:szCs w:val="20"/>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4F1E78B7">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lang w:eastAsia="en-US"/>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5F09D1BB">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《水嘴用水效率限定值及用水效</w:t>
            </w:r>
            <w:r>
              <w:rPr>
                <w:rFonts w:hint="eastAsia" w:ascii="宋体" w:hAnsi="宋体" w:eastAsia="宋体" w:cs="宋体"/>
                <w:color w:val="000000" w:themeColor="text1"/>
                <w:kern w:val="2"/>
                <w:sz w:val="20"/>
                <w:szCs w:val="20"/>
                <w:lang w:eastAsia="zh-CN"/>
                <w14:textFill>
                  <w14:solidFill>
                    <w14:schemeClr w14:val="tx1"/>
                  </w14:solidFill>
                </w14:textFill>
              </w:rPr>
              <w:t>率等级》（GB 25501）</w:t>
            </w:r>
          </w:p>
        </w:tc>
      </w:tr>
      <w:tr w14:paraId="700D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58AF27A0">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17</w:t>
            </w:r>
          </w:p>
        </w:tc>
        <w:tc>
          <w:tcPr>
            <w:tcW w:w="1422" w:type="dxa"/>
            <w:tcBorders>
              <w:top w:val="single" w:color="000000" w:sz="4" w:space="0"/>
              <w:left w:val="single" w:color="000000" w:sz="4" w:space="0"/>
              <w:bottom w:val="single" w:color="000000" w:sz="4" w:space="0"/>
              <w:right w:val="single" w:color="000000" w:sz="4" w:space="0"/>
            </w:tcBorders>
            <w:vAlign w:val="center"/>
          </w:tcPr>
          <w:p w14:paraId="52900123">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A05020107便器冲洗阀</w:t>
            </w:r>
          </w:p>
        </w:tc>
        <w:tc>
          <w:tcPr>
            <w:tcW w:w="1496" w:type="dxa"/>
            <w:tcBorders>
              <w:top w:val="single" w:color="000000" w:sz="4" w:space="0"/>
              <w:left w:val="single" w:color="000000" w:sz="4" w:space="0"/>
              <w:bottom w:val="single" w:color="000000" w:sz="4" w:space="0"/>
              <w:right w:val="single" w:color="000000" w:sz="4" w:space="0"/>
            </w:tcBorders>
            <w:vAlign w:val="center"/>
          </w:tcPr>
          <w:p w14:paraId="798877A6">
            <w:pPr>
              <w:pStyle w:val="73"/>
              <w:spacing w:before="93"/>
              <w:ind w:left="7" w:right="5"/>
              <w:jc w:val="center"/>
              <w:rPr>
                <w:rFonts w:hint="eastAsia" w:ascii="宋体" w:hAnsi="宋体" w:eastAsia="宋体" w:cs="宋体"/>
                <w:color w:val="000000" w:themeColor="text1"/>
                <w:kern w:val="2"/>
                <w:sz w:val="20"/>
                <w:szCs w:val="20"/>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036316A4">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lang w:eastAsia="en-US"/>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0B684475">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《便器冲洗阀用水效率限定值及</w:t>
            </w:r>
            <w:r>
              <w:rPr>
                <w:rFonts w:hint="eastAsia" w:ascii="宋体" w:hAnsi="宋体" w:eastAsia="宋体" w:cs="宋体"/>
                <w:color w:val="000000" w:themeColor="text1"/>
                <w:kern w:val="2"/>
                <w:sz w:val="20"/>
                <w:szCs w:val="20"/>
                <w:lang w:eastAsia="zh-CN"/>
                <w14:textFill>
                  <w14:solidFill>
                    <w14:schemeClr w14:val="tx1"/>
                  </w14:solidFill>
                </w14:textFill>
              </w:rPr>
              <w:t>用水效率等级》（GB28379）</w:t>
            </w:r>
          </w:p>
        </w:tc>
      </w:tr>
      <w:tr w14:paraId="42B96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1" w:type="dxa"/>
            <w:tcBorders>
              <w:top w:val="single" w:color="000000" w:sz="4" w:space="0"/>
              <w:left w:val="single" w:color="000000" w:sz="4" w:space="0"/>
              <w:bottom w:val="single" w:color="000000" w:sz="4" w:space="0"/>
              <w:right w:val="single" w:color="000000" w:sz="4" w:space="0"/>
            </w:tcBorders>
            <w:vAlign w:val="center"/>
          </w:tcPr>
          <w:p w14:paraId="1EECCBBE">
            <w:pPr>
              <w:pStyle w:val="73"/>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18</w:t>
            </w:r>
          </w:p>
        </w:tc>
        <w:tc>
          <w:tcPr>
            <w:tcW w:w="1422" w:type="dxa"/>
            <w:tcBorders>
              <w:top w:val="single" w:color="000000" w:sz="4" w:space="0"/>
              <w:left w:val="single" w:color="000000" w:sz="4" w:space="0"/>
              <w:bottom w:val="single" w:color="000000" w:sz="4" w:space="0"/>
              <w:right w:val="single" w:color="000000" w:sz="4" w:space="0"/>
            </w:tcBorders>
            <w:vAlign w:val="center"/>
          </w:tcPr>
          <w:p w14:paraId="7D51033F">
            <w:pPr>
              <w:pStyle w:val="73"/>
              <w:spacing w:before="93"/>
              <w:ind w:left="7" w:right="5"/>
              <w:jc w:val="center"/>
              <w:rPr>
                <w:rFonts w:hint="eastAsia" w:ascii="宋体" w:hAnsi="宋体" w:eastAsia="宋体" w:cs="宋体"/>
                <w:color w:val="000000" w:themeColor="text1"/>
                <w:kern w:val="2"/>
                <w:sz w:val="20"/>
                <w:szCs w:val="20"/>
                <w14:textFill>
                  <w14:solidFill>
                    <w14:schemeClr w14:val="tx1"/>
                  </w14:solidFill>
                </w14:textFill>
              </w:rPr>
            </w:pPr>
            <w:r>
              <w:rPr>
                <w:rFonts w:hint="eastAsia" w:ascii="宋体" w:hAnsi="宋体" w:eastAsia="宋体" w:cs="宋体"/>
                <w:color w:val="000000" w:themeColor="text1"/>
                <w:kern w:val="2"/>
                <w:sz w:val="20"/>
                <w:szCs w:val="20"/>
                <w14:textFill>
                  <w14:solidFill>
                    <w14:schemeClr w14:val="tx1"/>
                  </w14:solidFill>
                </w14:textFill>
              </w:rPr>
              <w:t>A05020110淋浴器</w:t>
            </w:r>
          </w:p>
        </w:tc>
        <w:tc>
          <w:tcPr>
            <w:tcW w:w="1496" w:type="dxa"/>
            <w:tcBorders>
              <w:top w:val="single" w:color="000000" w:sz="4" w:space="0"/>
              <w:left w:val="single" w:color="000000" w:sz="4" w:space="0"/>
              <w:bottom w:val="single" w:color="000000" w:sz="4" w:space="0"/>
              <w:right w:val="single" w:color="000000" w:sz="4" w:space="0"/>
            </w:tcBorders>
            <w:vAlign w:val="center"/>
          </w:tcPr>
          <w:p w14:paraId="27F6962D">
            <w:pPr>
              <w:pStyle w:val="73"/>
              <w:spacing w:before="93"/>
              <w:ind w:left="7" w:right="5"/>
              <w:jc w:val="center"/>
              <w:rPr>
                <w:rFonts w:hint="eastAsia" w:ascii="宋体" w:hAnsi="宋体" w:eastAsia="宋体" w:cs="宋体"/>
                <w:color w:val="000000" w:themeColor="text1"/>
                <w:kern w:val="2"/>
                <w:sz w:val="20"/>
                <w:szCs w:val="20"/>
                <w:lang w:eastAsia="en-US"/>
                <w14:textFill>
                  <w14:solidFill>
                    <w14:schemeClr w14:val="tx1"/>
                  </w14:solidFill>
                </w14:textFill>
              </w:rPr>
            </w:pPr>
          </w:p>
        </w:tc>
        <w:tc>
          <w:tcPr>
            <w:tcW w:w="1481" w:type="dxa"/>
            <w:tcBorders>
              <w:top w:val="single" w:color="000000" w:sz="4" w:space="0"/>
              <w:left w:val="single" w:color="000000" w:sz="4" w:space="0"/>
              <w:bottom w:val="single" w:color="000000" w:sz="4" w:space="0"/>
              <w:right w:val="single" w:color="000000" w:sz="4" w:space="0"/>
            </w:tcBorders>
            <w:vAlign w:val="center"/>
          </w:tcPr>
          <w:p w14:paraId="39EC13CA">
            <w:pPr>
              <w:keepNext w:val="0"/>
              <w:keepLines w:val="0"/>
              <w:pageBreakBefore w:val="0"/>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000000" w:themeColor="text1"/>
                <w:sz w:val="20"/>
                <w:szCs w:val="20"/>
                <w:lang w:eastAsia="en-US"/>
                <w14:textFill>
                  <w14:solidFill>
                    <w14:schemeClr w14:val="tx1"/>
                  </w14:solidFill>
                </w14:textFill>
              </w:rPr>
            </w:pPr>
          </w:p>
        </w:tc>
        <w:tc>
          <w:tcPr>
            <w:tcW w:w="3452" w:type="dxa"/>
            <w:tcBorders>
              <w:top w:val="single" w:color="000000" w:sz="4" w:space="0"/>
              <w:left w:val="single" w:color="000000" w:sz="4" w:space="0"/>
              <w:bottom w:val="single" w:color="000000" w:sz="4" w:space="0"/>
              <w:right w:val="single" w:color="000000" w:sz="4" w:space="0"/>
            </w:tcBorders>
          </w:tcPr>
          <w:p w14:paraId="30C00540">
            <w:pPr>
              <w:pStyle w:val="73"/>
              <w:keepNext w:val="0"/>
              <w:keepLines w:val="0"/>
              <w:pageBreakBefore w:val="0"/>
              <w:kinsoku/>
              <w:wordWrap/>
              <w:overflowPunct/>
              <w:topLinePunct w:val="0"/>
              <w:autoSpaceDE/>
              <w:autoSpaceDN/>
              <w:bidi w:val="0"/>
              <w:adjustRightInd/>
              <w:snapToGrid/>
              <w:spacing w:line="400" w:lineRule="exact"/>
              <w:ind w:left="0" w:right="0"/>
              <w:textAlignment w:val="auto"/>
              <w:rPr>
                <w:rFonts w:hint="eastAsia" w:ascii="宋体" w:hAnsi="宋体" w:eastAsia="宋体" w:cs="宋体"/>
                <w:color w:val="000000" w:themeColor="text1"/>
                <w:kern w:val="2"/>
                <w:sz w:val="20"/>
                <w:szCs w:val="20"/>
                <w:lang w:eastAsia="zh-CN"/>
                <w14:textFill>
                  <w14:solidFill>
                    <w14:schemeClr w14:val="tx1"/>
                  </w14:solidFill>
                </w14:textFill>
              </w:rPr>
            </w:pPr>
            <w:r>
              <w:rPr>
                <w:rFonts w:hint="eastAsia" w:ascii="宋体" w:hAnsi="宋体" w:eastAsia="宋体" w:cs="宋体"/>
                <w:color w:val="000000" w:themeColor="text1"/>
                <w:spacing w:val="10"/>
                <w:kern w:val="2"/>
                <w:sz w:val="20"/>
                <w:szCs w:val="20"/>
                <w:lang w:eastAsia="zh-CN"/>
                <w14:textFill>
                  <w14:solidFill>
                    <w14:schemeClr w14:val="tx1"/>
                  </w14:solidFill>
                </w14:textFill>
              </w:rPr>
              <w:t>《淋浴器用水效率限定值及用水</w:t>
            </w:r>
            <w:r>
              <w:rPr>
                <w:rFonts w:hint="eastAsia" w:ascii="宋体" w:hAnsi="宋体" w:eastAsia="宋体" w:cs="宋体"/>
                <w:color w:val="000000" w:themeColor="text1"/>
                <w:kern w:val="2"/>
                <w:sz w:val="20"/>
                <w:szCs w:val="20"/>
                <w:lang w:eastAsia="zh-CN"/>
                <w14:textFill>
                  <w14:solidFill>
                    <w14:schemeClr w14:val="tx1"/>
                  </w14:solidFill>
                </w14:textFill>
              </w:rPr>
              <w:t>效率等级》（GB28378）</w:t>
            </w:r>
          </w:p>
        </w:tc>
      </w:tr>
    </w:tbl>
    <w:p w14:paraId="0925240E">
      <w:pPr>
        <w:pStyle w:val="11"/>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pacing w:val="-3"/>
          <w:sz w:val="20"/>
          <w:szCs w:val="20"/>
          <w14:textFill>
            <w14:solidFill>
              <w14:schemeClr w14:val="tx1"/>
            </w14:solidFill>
          </w14:textFill>
        </w:rPr>
        <w:t>注：1.节能产品认证应依据相关国家标准的最新版本，依据国家标准中二级能效（水效）</w:t>
      </w:r>
      <w:r>
        <w:rPr>
          <w:rFonts w:hint="eastAsia" w:ascii="宋体" w:hAnsi="宋体" w:eastAsia="宋体" w:cs="宋体"/>
          <w:color w:val="000000" w:themeColor="text1"/>
          <w:sz w:val="20"/>
          <w:szCs w:val="20"/>
          <w14:textFill>
            <w14:solidFill>
              <w14:schemeClr w14:val="tx1"/>
            </w14:solidFill>
          </w14:textFill>
        </w:rPr>
        <w:t>指标。</w:t>
      </w:r>
    </w:p>
    <w:p w14:paraId="70E4D013">
      <w:pPr>
        <w:pStyle w:val="11"/>
        <w:keepNext w:val="0"/>
        <w:keepLines w:val="0"/>
        <w:pageBreakBefore w:val="0"/>
        <w:widowControl w:val="0"/>
        <w:kinsoku/>
        <w:wordWrap/>
        <w:overflowPunct/>
        <w:topLinePunct w:val="0"/>
        <w:autoSpaceDE/>
        <w:autoSpaceDN/>
        <w:bidi w:val="0"/>
        <w:adjustRightInd/>
        <w:snapToGrid/>
        <w:spacing w:after="0" w:line="400" w:lineRule="exact"/>
        <w:ind w:firstLine="465"/>
        <w:textAlignment w:val="auto"/>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2.以“★”标注的为政府强制采购产品。</w:t>
      </w:r>
    </w:p>
    <w:p w14:paraId="150F6270">
      <w:pPr>
        <w:pStyle w:val="11"/>
        <w:keepNext w:val="0"/>
        <w:keepLines w:val="0"/>
        <w:pageBreakBefore w:val="0"/>
        <w:widowControl w:val="0"/>
        <w:kinsoku/>
        <w:wordWrap/>
        <w:overflowPunct/>
        <w:topLinePunct w:val="0"/>
        <w:autoSpaceDE/>
        <w:autoSpaceDN/>
        <w:bidi w:val="0"/>
        <w:adjustRightInd/>
        <w:snapToGrid/>
        <w:spacing w:after="0" w:line="400" w:lineRule="exact"/>
        <w:ind w:firstLine="465"/>
        <w:textAlignment w:val="auto"/>
        <w:rPr>
          <w:rFonts w:ascii="Arial Unicode MS" w:hAnsi="Arial Unicode MS" w:eastAsia="Arial Unicode MS" w:cs="Arial Unicode MS"/>
          <w:color w:val="000000" w:themeColor="text1"/>
          <w:sz w:val="32"/>
          <w:szCs w:val="32"/>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3.本表格原为《关于印发节能产品政府采购品目清单的通知》（财库〔2019〕19号）规定的表格附件，其中名称及编码已根据《财政部关于印发〈政府采购品目分类目录〉的通知》（财库〔2022〕31号）修改。</w:t>
      </w:r>
      <w:r>
        <w:rPr>
          <w:rFonts w:hint="eastAsia"/>
          <w:color w:val="000000" w:themeColor="text1"/>
          <w14:textFill>
            <w14:solidFill>
              <w14:schemeClr w14:val="tx1"/>
            </w14:solidFill>
          </w14:textFill>
        </w:rPr>
        <w:br w:type="page"/>
      </w:r>
      <w:r>
        <w:rPr>
          <w:rFonts w:hint="eastAsia" w:ascii="微软雅黑" w:hAnsi="微软雅黑" w:eastAsia="微软雅黑" w:cs="微软雅黑"/>
          <w:color w:val="000000" w:themeColor="text1"/>
          <w:sz w:val="32"/>
          <w:szCs w:val="32"/>
          <w14:textFill>
            <w14:solidFill>
              <w14:schemeClr w14:val="tx1"/>
            </w14:solidFill>
          </w14:textFill>
        </w:rPr>
        <w:t>附件</w:t>
      </w:r>
      <w:r>
        <w:rPr>
          <w:rFonts w:ascii="Arial Unicode MS" w:hAnsi="Arial Unicode MS" w:eastAsia="Arial Unicode MS" w:cs="Arial Unicode MS"/>
          <w:color w:val="000000" w:themeColor="text1"/>
          <w:sz w:val="32"/>
          <w:szCs w:val="32"/>
          <w14:textFill>
            <w14:solidFill>
              <w14:schemeClr w14:val="tx1"/>
            </w14:solidFill>
          </w14:textFill>
        </w:rPr>
        <w:t>2</w:t>
      </w:r>
    </w:p>
    <w:p w14:paraId="0A402E25">
      <w:pPr>
        <w:spacing w:line="528" w:lineRule="exact"/>
        <w:ind w:left="1871"/>
        <w:rPr>
          <w:rFonts w:ascii="Arial Unicode MS" w:hAnsi="Arial Unicode MS" w:eastAsia="Arial Unicode MS" w:cs="Arial Unicode MS"/>
          <w:color w:val="000000" w:themeColor="text1"/>
          <w:sz w:val="40"/>
          <w:szCs w:val="40"/>
          <w14:textFill>
            <w14:solidFill>
              <w14:schemeClr w14:val="tx1"/>
            </w14:solidFill>
          </w14:textFill>
        </w:rPr>
      </w:pPr>
      <w:r>
        <w:rPr>
          <w:rFonts w:hint="eastAsia" w:ascii="微软雅黑" w:hAnsi="微软雅黑" w:eastAsia="微软雅黑" w:cs="微软雅黑"/>
          <w:color w:val="000000" w:themeColor="text1"/>
          <w:sz w:val="40"/>
          <w:szCs w:val="40"/>
          <w14:textFill>
            <w14:solidFill>
              <w14:schemeClr w14:val="tx1"/>
            </w14:solidFill>
          </w14:textFill>
        </w:rPr>
        <w:t>中小微企业划型标准</w:t>
      </w:r>
    </w:p>
    <w:tbl>
      <w:tblPr>
        <w:tblStyle w:val="27"/>
        <w:tblW w:w="9500" w:type="dxa"/>
        <w:tblInd w:w="250" w:type="dxa"/>
        <w:tblLayout w:type="fixed"/>
        <w:tblCellMar>
          <w:top w:w="0" w:type="dxa"/>
          <w:left w:w="108" w:type="dxa"/>
          <w:bottom w:w="0" w:type="dxa"/>
          <w:right w:w="108" w:type="dxa"/>
        </w:tblCellMar>
      </w:tblPr>
      <w:tblGrid>
        <w:gridCol w:w="1985"/>
        <w:gridCol w:w="1985"/>
        <w:gridCol w:w="851"/>
        <w:gridCol w:w="1843"/>
        <w:gridCol w:w="1702"/>
        <w:gridCol w:w="1134"/>
      </w:tblGrid>
      <w:tr w14:paraId="6307E440">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vAlign w:val="center"/>
          </w:tcPr>
          <w:p w14:paraId="5B36F18B">
            <w:pPr>
              <w:widowControl/>
              <w:jc w:val="left"/>
              <w:rPr>
                <w:rFonts w:ascii="仿宋_GB2312" w:hAnsi="仿宋" w:eastAsia="仿宋_GB2312" w:cs="宋体"/>
                <w:b/>
                <w:color w:val="000000" w:themeColor="text1"/>
                <w:kern w:val="0"/>
                <w:sz w:val="24"/>
                <w14:textFill>
                  <w14:solidFill>
                    <w14:schemeClr w14:val="tx1"/>
                  </w14:solidFill>
                </w14:textFill>
              </w:rPr>
            </w:pPr>
            <w:r>
              <w:rPr>
                <w:rFonts w:hint="eastAsia" w:ascii="仿宋_GB2312" w:hAnsi="仿宋" w:eastAsia="仿宋_GB2312" w:cs="宋体"/>
                <w:b/>
                <w:color w:val="000000" w:themeColor="text1"/>
                <w:kern w:val="0"/>
                <w:sz w:val="24"/>
                <w14:textFill>
                  <w14:solidFill>
                    <w14:schemeClr w14:val="tx1"/>
                  </w14:solidFill>
                </w14:textFill>
              </w:rPr>
              <w:t>行业名称</w:t>
            </w:r>
          </w:p>
        </w:tc>
        <w:tc>
          <w:tcPr>
            <w:tcW w:w="1984" w:type="dxa"/>
            <w:tcBorders>
              <w:top w:val="single" w:color="auto" w:sz="4" w:space="0"/>
              <w:left w:val="nil"/>
              <w:bottom w:val="single" w:color="auto" w:sz="4" w:space="0"/>
              <w:right w:val="single" w:color="auto" w:sz="4" w:space="0"/>
            </w:tcBorders>
            <w:vAlign w:val="center"/>
          </w:tcPr>
          <w:p w14:paraId="65DD52DC">
            <w:pPr>
              <w:widowControl/>
              <w:jc w:val="left"/>
              <w:rPr>
                <w:rFonts w:ascii="仿宋_GB2312" w:hAnsi="仿宋" w:eastAsia="仿宋_GB2312" w:cs="宋体"/>
                <w:b/>
                <w:color w:val="000000" w:themeColor="text1"/>
                <w:kern w:val="0"/>
                <w:sz w:val="24"/>
                <w14:textFill>
                  <w14:solidFill>
                    <w14:schemeClr w14:val="tx1"/>
                  </w14:solidFill>
                </w14:textFill>
              </w:rPr>
            </w:pPr>
            <w:r>
              <w:rPr>
                <w:rFonts w:hint="eastAsia" w:ascii="仿宋_GB2312" w:hAnsi="仿宋" w:eastAsia="仿宋_GB2312" w:cs="宋体"/>
                <w:b/>
                <w:color w:val="000000" w:themeColor="text1"/>
                <w:kern w:val="0"/>
                <w:sz w:val="24"/>
                <w14:textFill>
                  <w14:solidFill>
                    <w14:schemeClr w14:val="tx1"/>
                  </w14:solidFill>
                </w14:textFill>
              </w:rPr>
              <w:t>指标名称</w:t>
            </w:r>
          </w:p>
        </w:tc>
        <w:tc>
          <w:tcPr>
            <w:tcW w:w="851" w:type="dxa"/>
            <w:tcBorders>
              <w:top w:val="single" w:color="auto" w:sz="4" w:space="0"/>
              <w:left w:val="nil"/>
              <w:bottom w:val="single" w:color="auto" w:sz="4" w:space="0"/>
              <w:right w:val="single" w:color="auto" w:sz="4" w:space="0"/>
            </w:tcBorders>
            <w:vAlign w:val="center"/>
          </w:tcPr>
          <w:p w14:paraId="76C0BB4D">
            <w:pPr>
              <w:widowControl/>
              <w:jc w:val="left"/>
              <w:rPr>
                <w:rFonts w:ascii="仿宋_GB2312" w:hAnsi="仿宋" w:eastAsia="仿宋_GB2312" w:cs="宋体"/>
                <w:b/>
                <w:color w:val="000000" w:themeColor="text1"/>
                <w:kern w:val="0"/>
                <w:sz w:val="24"/>
                <w14:textFill>
                  <w14:solidFill>
                    <w14:schemeClr w14:val="tx1"/>
                  </w14:solidFill>
                </w14:textFill>
              </w:rPr>
            </w:pPr>
            <w:r>
              <w:rPr>
                <w:rFonts w:hint="eastAsia" w:ascii="仿宋_GB2312" w:hAnsi="仿宋" w:eastAsia="仿宋_GB2312" w:cs="宋体"/>
                <w:b/>
                <w:color w:val="000000" w:themeColor="text1"/>
                <w:kern w:val="0"/>
                <w:sz w:val="24"/>
                <w14:textFill>
                  <w14:solidFill>
                    <w14:schemeClr w14:val="tx1"/>
                  </w14:solidFill>
                </w14:textFill>
              </w:rPr>
              <w:t>计量单位</w:t>
            </w:r>
          </w:p>
        </w:tc>
        <w:tc>
          <w:tcPr>
            <w:tcW w:w="1842" w:type="dxa"/>
            <w:tcBorders>
              <w:top w:val="single" w:color="auto" w:sz="4" w:space="0"/>
              <w:left w:val="nil"/>
              <w:bottom w:val="single" w:color="auto" w:sz="4" w:space="0"/>
              <w:right w:val="single" w:color="auto" w:sz="4" w:space="0"/>
            </w:tcBorders>
            <w:vAlign w:val="center"/>
          </w:tcPr>
          <w:p w14:paraId="5ADE8310">
            <w:pPr>
              <w:widowControl/>
              <w:jc w:val="left"/>
              <w:rPr>
                <w:rFonts w:ascii="仿宋_GB2312" w:hAnsi="仿宋" w:eastAsia="仿宋_GB2312" w:cs="宋体"/>
                <w:b/>
                <w:color w:val="000000" w:themeColor="text1"/>
                <w:kern w:val="0"/>
                <w:sz w:val="24"/>
                <w14:textFill>
                  <w14:solidFill>
                    <w14:schemeClr w14:val="tx1"/>
                  </w14:solidFill>
                </w14:textFill>
              </w:rPr>
            </w:pPr>
            <w:r>
              <w:rPr>
                <w:rFonts w:hint="eastAsia" w:ascii="仿宋_GB2312" w:hAnsi="仿宋" w:eastAsia="仿宋_GB2312" w:cs="宋体"/>
                <w:b/>
                <w:color w:val="000000" w:themeColor="text1"/>
                <w:kern w:val="0"/>
                <w:sz w:val="24"/>
                <w14:textFill>
                  <w14:solidFill>
                    <w14:schemeClr w14:val="tx1"/>
                  </w14:solidFill>
                </w14:textFill>
              </w:rPr>
              <w:t>中型</w:t>
            </w:r>
          </w:p>
        </w:tc>
        <w:tc>
          <w:tcPr>
            <w:tcW w:w="1701" w:type="dxa"/>
            <w:tcBorders>
              <w:top w:val="single" w:color="auto" w:sz="4" w:space="0"/>
              <w:left w:val="nil"/>
              <w:bottom w:val="single" w:color="auto" w:sz="4" w:space="0"/>
              <w:right w:val="single" w:color="auto" w:sz="4" w:space="0"/>
            </w:tcBorders>
            <w:vAlign w:val="center"/>
          </w:tcPr>
          <w:p w14:paraId="2556F406">
            <w:pPr>
              <w:widowControl/>
              <w:jc w:val="left"/>
              <w:rPr>
                <w:rFonts w:ascii="仿宋_GB2312" w:hAnsi="仿宋" w:eastAsia="仿宋_GB2312" w:cs="宋体"/>
                <w:b/>
                <w:color w:val="000000" w:themeColor="text1"/>
                <w:kern w:val="0"/>
                <w:sz w:val="24"/>
                <w14:textFill>
                  <w14:solidFill>
                    <w14:schemeClr w14:val="tx1"/>
                  </w14:solidFill>
                </w14:textFill>
              </w:rPr>
            </w:pPr>
            <w:r>
              <w:rPr>
                <w:rFonts w:hint="eastAsia" w:ascii="仿宋_GB2312" w:hAnsi="仿宋" w:eastAsia="仿宋_GB2312" w:cs="宋体"/>
                <w:b/>
                <w:color w:val="000000" w:themeColor="text1"/>
                <w:kern w:val="0"/>
                <w:sz w:val="24"/>
                <w14:textFill>
                  <w14:solidFill>
                    <w14:schemeClr w14:val="tx1"/>
                  </w14:solidFill>
                </w14:textFill>
              </w:rPr>
              <w:t>小型</w:t>
            </w:r>
          </w:p>
        </w:tc>
        <w:tc>
          <w:tcPr>
            <w:tcW w:w="1134" w:type="dxa"/>
            <w:tcBorders>
              <w:top w:val="single" w:color="auto" w:sz="4" w:space="0"/>
              <w:left w:val="nil"/>
              <w:bottom w:val="single" w:color="auto" w:sz="4" w:space="0"/>
              <w:right w:val="single" w:color="auto" w:sz="4" w:space="0"/>
            </w:tcBorders>
            <w:vAlign w:val="center"/>
          </w:tcPr>
          <w:p w14:paraId="13DC63A6">
            <w:pPr>
              <w:widowControl/>
              <w:jc w:val="left"/>
              <w:rPr>
                <w:rFonts w:ascii="仿宋_GB2312" w:hAnsi="仿宋" w:eastAsia="仿宋_GB2312" w:cs="宋体"/>
                <w:b/>
                <w:color w:val="000000" w:themeColor="text1"/>
                <w:kern w:val="0"/>
                <w:sz w:val="24"/>
                <w14:textFill>
                  <w14:solidFill>
                    <w14:schemeClr w14:val="tx1"/>
                  </w14:solidFill>
                </w14:textFill>
              </w:rPr>
            </w:pPr>
            <w:r>
              <w:rPr>
                <w:rFonts w:hint="eastAsia" w:ascii="仿宋_GB2312" w:hAnsi="仿宋" w:eastAsia="仿宋_GB2312" w:cs="宋体"/>
                <w:b/>
                <w:color w:val="000000" w:themeColor="text1"/>
                <w:kern w:val="0"/>
                <w:sz w:val="24"/>
                <w14:textFill>
                  <w14:solidFill>
                    <w14:schemeClr w14:val="tx1"/>
                  </w14:solidFill>
                </w14:textFill>
              </w:rPr>
              <w:t>微型</w:t>
            </w:r>
          </w:p>
        </w:tc>
      </w:tr>
      <w:tr w14:paraId="7CEF8101">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3511B459">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农、林、牧、渔</w:t>
            </w:r>
          </w:p>
        </w:tc>
        <w:tc>
          <w:tcPr>
            <w:tcW w:w="1984" w:type="dxa"/>
            <w:tcBorders>
              <w:top w:val="nil"/>
              <w:left w:val="nil"/>
              <w:bottom w:val="single" w:color="auto" w:sz="4" w:space="0"/>
              <w:right w:val="single" w:color="auto" w:sz="4" w:space="0"/>
            </w:tcBorders>
            <w:vAlign w:val="center"/>
          </w:tcPr>
          <w:p w14:paraId="034086B0">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5D7BC4E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703EEB1A">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500≤Y＜20000</w:t>
            </w:r>
          </w:p>
        </w:tc>
        <w:tc>
          <w:tcPr>
            <w:tcW w:w="1701" w:type="dxa"/>
            <w:tcBorders>
              <w:top w:val="nil"/>
              <w:left w:val="nil"/>
              <w:bottom w:val="single" w:color="auto" w:sz="4" w:space="0"/>
              <w:right w:val="single" w:color="auto" w:sz="4" w:space="0"/>
            </w:tcBorders>
            <w:vAlign w:val="center"/>
          </w:tcPr>
          <w:p w14:paraId="38CE32F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50≤Y＜500</w:t>
            </w:r>
          </w:p>
        </w:tc>
        <w:tc>
          <w:tcPr>
            <w:tcW w:w="1134" w:type="dxa"/>
            <w:tcBorders>
              <w:top w:val="nil"/>
              <w:left w:val="nil"/>
              <w:bottom w:val="single" w:color="auto" w:sz="4" w:space="0"/>
              <w:right w:val="single" w:color="auto" w:sz="4" w:space="0"/>
            </w:tcBorders>
            <w:vAlign w:val="center"/>
          </w:tcPr>
          <w:p w14:paraId="5986049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Y＜50</w:t>
            </w:r>
          </w:p>
        </w:tc>
      </w:tr>
      <w:tr w14:paraId="4625C90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894BCE1">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工业</w:t>
            </w:r>
          </w:p>
        </w:tc>
        <w:tc>
          <w:tcPr>
            <w:tcW w:w="1984" w:type="dxa"/>
            <w:tcBorders>
              <w:top w:val="nil"/>
              <w:left w:val="nil"/>
              <w:bottom w:val="single" w:color="auto" w:sz="4" w:space="0"/>
              <w:right w:val="single" w:color="auto" w:sz="4" w:space="0"/>
            </w:tcBorders>
            <w:vAlign w:val="center"/>
          </w:tcPr>
          <w:p w14:paraId="5D1EE95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05EA942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1341BAEA">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300≤X＜1000</w:t>
            </w:r>
          </w:p>
        </w:tc>
        <w:tc>
          <w:tcPr>
            <w:tcW w:w="1701" w:type="dxa"/>
            <w:tcBorders>
              <w:top w:val="nil"/>
              <w:left w:val="nil"/>
              <w:bottom w:val="single" w:color="auto" w:sz="4" w:space="0"/>
              <w:right w:val="single" w:color="auto" w:sz="4" w:space="0"/>
            </w:tcBorders>
            <w:vAlign w:val="center"/>
          </w:tcPr>
          <w:p w14:paraId="5BAC5F5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20≤X＜300</w:t>
            </w:r>
          </w:p>
        </w:tc>
        <w:tc>
          <w:tcPr>
            <w:tcW w:w="1134" w:type="dxa"/>
            <w:tcBorders>
              <w:top w:val="nil"/>
              <w:left w:val="nil"/>
              <w:bottom w:val="single" w:color="auto" w:sz="4" w:space="0"/>
              <w:right w:val="single" w:color="auto" w:sz="4" w:space="0"/>
            </w:tcBorders>
            <w:vAlign w:val="center"/>
          </w:tcPr>
          <w:p w14:paraId="7ED1D574">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X＜20</w:t>
            </w:r>
          </w:p>
        </w:tc>
      </w:tr>
      <w:tr w14:paraId="75DD671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617CC406">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0A78F35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5D1C56A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23351CC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2000≤Y＜40000</w:t>
            </w:r>
          </w:p>
        </w:tc>
        <w:tc>
          <w:tcPr>
            <w:tcW w:w="1701" w:type="dxa"/>
            <w:tcBorders>
              <w:top w:val="nil"/>
              <w:left w:val="nil"/>
              <w:bottom w:val="single" w:color="auto" w:sz="4" w:space="0"/>
              <w:right w:val="single" w:color="auto" w:sz="4" w:space="0"/>
            </w:tcBorders>
            <w:vAlign w:val="center"/>
          </w:tcPr>
          <w:p w14:paraId="479E15D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300≤Y＜2000</w:t>
            </w:r>
          </w:p>
        </w:tc>
        <w:tc>
          <w:tcPr>
            <w:tcW w:w="1134" w:type="dxa"/>
            <w:tcBorders>
              <w:top w:val="nil"/>
              <w:left w:val="nil"/>
              <w:bottom w:val="single" w:color="auto" w:sz="4" w:space="0"/>
              <w:right w:val="single" w:color="auto" w:sz="4" w:space="0"/>
            </w:tcBorders>
            <w:vAlign w:val="center"/>
          </w:tcPr>
          <w:p w14:paraId="16B9F77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Y＜300</w:t>
            </w:r>
          </w:p>
        </w:tc>
      </w:tr>
      <w:tr w14:paraId="37C176E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6C52B57">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建筑业</w:t>
            </w:r>
          </w:p>
        </w:tc>
        <w:tc>
          <w:tcPr>
            <w:tcW w:w="1984" w:type="dxa"/>
            <w:tcBorders>
              <w:top w:val="nil"/>
              <w:left w:val="nil"/>
              <w:bottom w:val="single" w:color="auto" w:sz="4" w:space="0"/>
              <w:right w:val="single" w:color="auto" w:sz="4" w:space="0"/>
            </w:tcBorders>
            <w:vAlign w:val="center"/>
          </w:tcPr>
          <w:p w14:paraId="351CA88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27795F64">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764D42D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6000≤Y＜80000</w:t>
            </w:r>
          </w:p>
        </w:tc>
        <w:tc>
          <w:tcPr>
            <w:tcW w:w="1701" w:type="dxa"/>
            <w:tcBorders>
              <w:top w:val="nil"/>
              <w:left w:val="nil"/>
              <w:bottom w:val="single" w:color="auto" w:sz="4" w:space="0"/>
              <w:right w:val="single" w:color="auto" w:sz="4" w:space="0"/>
            </w:tcBorders>
            <w:vAlign w:val="center"/>
          </w:tcPr>
          <w:p w14:paraId="0D09FED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300≤Y＜6000</w:t>
            </w:r>
          </w:p>
        </w:tc>
        <w:tc>
          <w:tcPr>
            <w:tcW w:w="1134" w:type="dxa"/>
            <w:tcBorders>
              <w:top w:val="nil"/>
              <w:left w:val="nil"/>
              <w:bottom w:val="single" w:color="auto" w:sz="4" w:space="0"/>
              <w:right w:val="single" w:color="auto" w:sz="4" w:space="0"/>
            </w:tcBorders>
            <w:vAlign w:val="center"/>
          </w:tcPr>
          <w:p w14:paraId="53820B3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Y＜300</w:t>
            </w:r>
          </w:p>
        </w:tc>
      </w:tr>
      <w:tr w14:paraId="1FACCCE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5FFFB3D7">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6FA333B1">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资产总额（Z）</w:t>
            </w:r>
          </w:p>
        </w:tc>
        <w:tc>
          <w:tcPr>
            <w:tcW w:w="851" w:type="dxa"/>
            <w:tcBorders>
              <w:top w:val="nil"/>
              <w:left w:val="nil"/>
              <w:bottom w:val="single" w:color="auto" w:sz="4" w:space="0"/>
              <w:right w:val="single" w:color="auto" w:sz="4" w:space="0"/>
            </w:tcBorders>
            <w:vAlign w:val="center"/>
          </w:tcPr>
          <w:p w14:paraId="6302FF6A">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050D77E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5000≤Z＜80000</w:t>
            </w:r>
          </w:p>
        </w:tc>
        <w:tc>
          <w:tcPr>
            <w:tcW w:w="1701" w:type="dxa"/>
            <w:tcBorders>
              <w:top w:val="nil"/>
              <w:left w:val="nil"/>
              <w:bottom w:val="single" w:color="auto" w:sz="4" w:space="0"/>
              <w:right w:val="single" w:color="auto" w:sz="4" w:space="0"/>
            </w:tcBorders>
            <w:vAlign w:val="center"/>
          </w:tcPr>
          <w:p w14:paraId="70BE809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300≤Z＜5000</w:t>
            </w:r>
          </w:p>
        </w:tc>
        <w:tc>
          <w:tcPr>
            <w:tcW w:w="1134" w:type="dxa"/>
            <w:tcBorders>
              <w:top w:val="nil"/>
              <w:left w:val="nil"/>
              <w:bottom w:val="single" w:color="auto" w:sz="4" w:space="0"/>
              <w:right w:val="single" w:color="auto" w:sz="4" w:space="0"/>
            </w:tcBorders>
            <w:vAlign w:val="center"/>
          </w:tcPr>
          <w:p w14:paraId="5757CAE4">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Z＜300</w:t>
            </w:r>
          </w:p>
        </w:tc>
      </w:tr>
      <w:tr w14:paraId="4208242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F52C643">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批发业</w:t>
            </w:r>
          </w:p>
        </w:tc>
        <w:tc>
          <w:tcPr>
            <w:tcW w:w="1984" w:type="dxa"/>
            <w:tcBorders>
              <w:top w:val="nil"/>
              <w:left w:val="nil"/>
              <w:bottom w:val="single" w:color="auto" w:sz="4" w:space="0"/>
              <w:right w:val="single" w:color="auto" w:sz="4" w:space="0"/>
            </w:tcBorders>
            <w:vAlign w:val="center"/>
          </w:tcPr>
          <w:p w14:paraId="758CB99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32B92AC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04ABDD0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20≤X＜200</w:t>
            </w:r>
          </w:p>
        </w:tc>
        <w:tc>
          <w:tcPr>
            <w:tcW w:w="1701" w:type="dxa"/>
            <w:tcBorders>
              <w:top w:val="nil"/>
              <w:left w:val="nil"/>
              <w:bottom w:val="single" w:color="auto" w:sz="4" w:space="0"/>
              <w:right w:val="single" w:color="auto" w:sz="4" w:space="0"/>
            </w:tcBorders>
            <w:vAlign w:val="center"/>
          </w:tcPr>
          <w:p w14:paraId="504A43B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5≤X＜20</w:t>
            </w:r>
          </w:p>
        </w:tc>
        <w:tc>
          <w:tcPr>
            <w:tcW w:w="1134" w:type="dxa"/>
            <w:tcBorders>
              <w:top w:val="nil"/>
              <w:left w:val="nil"/>
              <w:bottom w:val="single" w:color="auto" w:sz="4" w:space="0"/>
              <w:right w:val="single" w:color="auto" w:sz="4" w:space="0"/>
            </w:tcBorders>
            <w:vAlign w:val="center"/>
          </w:tcPr>
          <w:p w14:paraId="4C154B01">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X＜5</w:t>
            </w:r>
          </w:p>
        </w:tc>
      </w:tr>
      <w:tr w14:paraId="774EBD4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5EA6AD0">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4D10943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1012D5FA">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3DA7A30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5000≤Y＜40000</w:t>
            </w:r>
          </w:p>
        </w:tc>
        <w:tc>
          <w:tcPr>
            <w:tcW w:w="1701" w:type="dxa"/>
            <w:tcBorders>
              <w:top w:val="nil"/>
              <w:left w:val="nil"/>
              <w:bottom w:val="single" w:color="auto" w:sz="4" w:space="0"/>
              <w:right w:val="single" w:color="auto" w:sz="4" w:space="0"/>
            </w:tcBorders>
            <w:vAlign w:val="center"/>
          </w:tcPr>
          <w:p w14:paraId="6326EB4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1000≤Y＜5000</w:t>
            </w:r>
          </w:p>
        </w:tc>
        <w:tc>
          <w:tcPr>
            <w:tcW w:w="1134" w:type="dxa"/>
            <w:tcBorders>
              <w:top w:val="nil"/>
              <w:left w:val="nil"/>
              <w:bottom w:val="single" w:color="auto" w:sz="4" w:space="0"/>
              <w:right w:val="single" w:color="auto" w:sz="4" w:space="0"/>
            </w:tcBorders>
            <w:vAlign w:val="center"/>
          </w:tcPr>
          <w:p w14:paraId="671D26E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Y＜1000</w:t>
            </w:r>
          </w:p>
        </w:tc>
      </w:tr>
      <w:tr w14:paraId="0DA7D07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3D34BB7">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零售业</w:t>
            </w:r>
          </w:p>
        </w:tc>
        <w:tc>
          <w:tcPr>
            <w:tcW w:w="1984" w:type="dxa"/>
            <w:tcBorders>
              <w:top w:val="nil"/>
              <w:left w:val="nil"/>
              <w:bottom w:val="single" w:color="auto" w:sz="4" w:space="0"/>
              <w:right w:val="single" w:color="auto" w:sz="4" w:space="0"/>
            </w:tcBorders>
            <w:vAlign w:val="center"/>
          </w:tcPr>
          <w:p w14:paraId="1C0C93B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298B53A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61142F4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50≤X＜300</w:t>
            </w:r>
          </w:p>
        </w:tc>
        <w:tc>
          <w:tcPr>
            <w:tcW w:w="1701" w:type="dxa"/>
            <w:tcBorders>
              <w:top w:val="nil"/>
              <w:left w:val="nil"/>
              <w:bottom w:val="single" w:color="auto" w:sz="4" w:space="0"/>
              <w:right w:val="single" w:color="auto" w:sz="4" w:space="0"/>
            </w:tcBorders>
            <w:vAlign w:val="center"/>
          </w:tcPr>
          <w:p w14:paraId="5E660D2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10≤X＜50</w:t>
            </w:r>
          </w:p>
        </w:tc>
        <w:tc>
          <w:tcPr>
            <w:tcW w:w="1134" w:type="dxa"/>
            <w:tcBorders>
              <w:top w:val="nil"/>
              <w:left w:val="nil"/>
              <w:bottom w:val="single" w:color="auto" w:sz="4" w:space="0"/>
              <w:right w:val="single" w:color="auto" w:sz="4" w:space="0"/>
            </w:tcBorders>
            <w:vAlign w:val="center"/>
          </w:tcPr>
          <w:p w14:paraId="0C12AB7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w:t>
            </w:r>
          </w:p>
        </w:tc>
      </w:tr>
      <w:tr w14:paraId="287AD5D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0088CAEA">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1ADD1C5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2F96262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2E43847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500≤Y＜20000</w:t>
            </w:r>
          </w:p>
        </w:tc>
        <w:tc>
          <w:tcPr>
            <w:tcW w:w="1701" w:type="dxa"/>
            <w:tcBorders>
              <w:top w:val="nil"/>
              <w:left w:val="nil"/>
              <w:bottom w:val="single" w:color="auto" w:sz="4" w:space="0"/>
              <w:right w:val="single" w:color="auto" w:sz="4" w:space="0"/>
            </w:tcBorders>
            <w:vAlign w:val="center"/>
          </w:tcPr>
          <w:p w14:paraId="6F3ECCC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100≤Y＜500</w:t>
            </w:r>
          </w:p>
        </w:tc>
        <w:tc>
          <w:tcPr>
            <w:tcW w:w="1134" w:type="dxa"/>
            <w:tcBorders>
              <w:top w:val="nil"/>
              <w:left w:val="nil"/>
              <w:bottom w:val="single" w:color="auto" w:sz="4" w:space="0"/>
              <w:right w:val="single" w:color="auto" w:sz="4" w:space="0"/>
            </w:tcBorders>
            <w:vAlign w:val="center"/>
          </w:tcPr>
          <w:p w14:paraId="5743895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Y＜100</w:t>
            </w:r>
          </w:p>
        </w:tc>
      </w:tr>
      <w:tr w14:paraId="2FE7EACF">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5A9DC894">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交通运输业</w:t>
            </w:r>
          </w:p>
        </w:tc>
        <w:tc>
          <w:tcPr>
            <w:tcW w:w="1984" w:type="dxa"/>
            <w:tcBorders>
              <w:top w:val="nil"/>
              <w:left w:val="nil"/>
              <w:bottom w:val="single" w:color="auto" w:sz="4" w:space="0"/>
              <w:right w:val="single" w:color="auto" w:sz="4" w:space="0"/>
            </w:tcBorders>
            <w:vAlign w:val="center"/>
          </w:tcPr>
          <w:p w14:paraId="7224BC0A">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064EC984">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1795866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300≤X＜1000</w:t>
            </w:r>
          </w:p>
        </w:tc>
        <w:tc>
          <w:tcPr>
            <w:tcW w:w="1701" w:type="dxa"/>
            <w:tcBorders>
              <w:top w:val="nil"/>
              <w:left w:val="nil"/>
              <w:bottom w:val="single" w:color="auto" w:sz="4" w:space="0"/>
              <w:right w:val="single" w:color="auto" w:sz="4" w:space="0"/>
            </w:tcBorders>
            <w:vAlign w:val="center"/>
          </w:tcPr>
          <w:p w14:paraId="5E52C34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20≤X＜300</w:t>
            </w:r>
          </w:p>
        </w:tc>
        <w:tc>
          <w:tcPr>
            <w:tcW w:w="1134" w:type="dxa"/>
            <w:tcBorders>
              <w:top w:val="nil"/>
              <w:left w:val="nil"/>
              <w:bottom w:val="single" w:color="auto" w:sz="4" w:space="0"/>
              <w:right w:val="single" w:color="auto" w:sz="4" w:space="0"/>
            </w:tcBorders>
            <w:vAlign w:val="center"/>
          </w:tcPr>
          <w:p w14:paraId="281AB07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X＜20</w:t>
            </w:r>
          </w:p>
        </w:tc>
      </w:tr>
      <w:tr w14:paraId="20D46D1F">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F11B806">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55CD8B5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4967FF5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35BBB24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3000≤Y＜30000</w:t>
            </w:r>
          </w:p>
        </w:tc>
        <w:tc>
          <w:tcPr>
            <w:tcW w:w="1701" w:type="dxa"/>
            <w:tcBorders>
              <w:top w:val="nil"/>
              <w:left w:val="nil"/>
              <w:bottom w:val="single" w:color="auto" w:sz="4" w:space="0"/>
              <w:right w:val="single" w:color="auto" w:sz="4" w:space="0"/>
            </w:tcBorders>
            <w:vAlign w:val="center"/>
          </w:tcPr>
          <w:p w14:paraId="7CB3296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200≤Y＜3000</w:t>
            </w:r>
          </w:p>
        </w:tc>
        <w:tc>
          <w:tcPr>
            <w:tcW w:w="1134" w:type="dxa"/>
            <w:tcBorders>
              <w:top w:val="nil"/>
              <w:left w:val="nil"/>
              <w:bottom w:val="single" w:color="auto" w:sz="4" w:space="0"/>
              <w:right w:val="single" w:color="auto" w:sz="4" w:space="0"/>
            </w:tcBorders>
            <w:vAlign w:val="center"/>
          </w:tcPr>
          <w:p w14:paraId="0049406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Y＜200</w:t>
            </w:r>
          </w:p>
        </w:tc>
      </w:tr>
      <w:tr w14:paraId="3C19F5D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E56D65F">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仓储业</w:t>
            </w:r>
          </w:p>
        </w:tc>
        <w:tc>
          <w:tcPr>
            <w:tcW w:w="1984" w:type="dxa"/>
            <w:tcBorders>
              <w:top w:val="nil"/>
              <w:left w:val="nil"/>
              <w:bottom w:val="single" w:color="auto" w:sz="4" w:space="0"/>
              <w:right w:val="single" w:color="auto" w:sz="4" w:space="0"/>
            </w:tcBorders>
            <w:vAlign w:val="center"/>
          </w:tcPr>
          <w:p w14:paraId="746AEAF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44C4B35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4921C21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100≤X＜200</w:t>
            </w:r>
          </w:p>
        </w:tc>
        <w:tc>
          <w:tcPr>
            <w:tcW w:w="1701" w:type="dxa"/>
            <w:tcBorders>
              <w:top w:val="nil"/>
              <w:left w:val="nil"/>
              <w:bottom w:val="single" w:color="auto" w:sz="4" w:space="0"/>
              <w:right w:val="single" w:color="auto" w:sz="4" w:space="0"/>
            </w:tcBorders>
            <w:vAlign w:val="center"/>
          </w:tcPr>
          <w:p w14:paraId="2F1FB4E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20≤X＜100</w:t>
            </w:r>
          </w:p>
        </w:tc>
        <w:tc>
          <w:tcPr>
            <w:tcW w:w="1134" w:type="dxa"/>
            <w:tcBorders>
              <w:top w:val="nil"/>
              <w:left w:val="nil"/>
              <w:bottom w:val="single" w:color="auto" w:sz="4" w:space="0"/>
              <w:right w:val="single" w:color="auto" w:sz="4" w:space="0"/>
            </w:tcBorders>
            <w:vAlign w:val="center"/>
          </w:tcPr>
          <w:p w14:paraId="6E6B3BB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X＜20</w:t>
            </w:r>
          </w:p>
        </w:tc>
      </w:tr>
      <w:tr w14:paraId="1D31F6C8">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4DFCCBE3">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7626A50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43959DB0">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5DCF3FE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1000≤Y＜30000</w:t>
            </w:r>
          </w:p>
        </w:tc>
        <w:tc>
          <w:tcPr>
            <w:tcW w:w="1701" w:type="dxa"/>
            <w:tcBorders>
              <w:top w:val="nil"/>
              <w:left w:val="nil"/>
              <w:bottom w:val="single" w:color="auto" w:sz="4" w:space="0"/>
              <w:right w:val="single" w:color="auto" w:sz="4" w:space="0"/>
            </w:tcBorders>
            <w:vAlign w:val="center"/>
          </w:tcPr>
          <w:p w14:paraId="72D462E0">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100≤Y＜1000</w:t>
            </w:r>
          </w:p>
        </w:tc>
        <w:tc>
          <w:tcPr>
            <w:tcW w:w="1134" w:type="dxa"/>
            <w:tcBorders>
              <w:top w:val="nil"/>
              <w:left w:val="nil"/>
              <w:bottom w:val="single" w:color="auto" w:sz="4" w:space="0"/>
              <w:right w:val="single" w:color="auto" w:sz="4" w:space="0"/>
            </w:tcBorders>
            <w:vAlign w:val="center"/>
          </w:tcPr>
          <w:p w14:paraId="58E22E4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Y＜100</w:t>
            </w:r>
          </w:p>
        </w:tc>
      </w:tr>
      <w:tr w14:paraId="4B4B02F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2EACC04">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邮政业</w:t>
            </w:r>
          </w:p>
        </w:tc>
        <w:tc>
          <w:tcPr>
            <w:tcW w:w="1984" w:type="dxa"/>
            <w:tcBorders>
              <w:top w:val="nil"/>
              <w:left w:val="nil"/>
              <w:bottom w:val="single" w:color="auto" w:sz="4" w:space="0"/>
              <w:right w:val="single" w:color="auto" w:sz="4" w:space="0"/>
            </w:tcBorders>
            <w:vAlign w:val="center"/>
          </w:tcPr>
          <w:p w14:paraId="04A166D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3EF2C7C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02E627C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300≤X＜1000</w:t>
            </w:r>
          </w:p>
        </w:tc>
        <w:tc>
          <w:tcPr>
            <w:tcW w:w="1701" w:type="dxa"/>
            <w:tcBorders>
              <w:top w:val="nil"/>
              <w:left w:val="nil"/>
              <w:bottom w:val="single" w:color="auto" w:sz="4" w:space="0"/>
              <w:right w:val="single" w:color="auto" w:sz="4" w:space="0"/>
            </w:tcBorders>
            <w:vAlign w:val="center"/>
          </w:tcPr>
          <w:p w14:paraId="52918ED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20≤X＜300</w:t>
            </w:r>
          </w:p>
        </w:tc>
        <w:tc>
          <w:tcPr>
            <w:tcW w:w="1134" w:type="dxa"/>
            <w:tcBorders>
              <w:top w:val="nil"/>
              <w:left w:val="nil"/>
              <w:bottom w:val="single" w:color="auto" w:sz="4" w:space="0"/>
              <w:right w:val="single" w:color="auto" w:sz="4" w:space="0"/>
            </w:tcBorders>
            <w:vAlign w:val="center"/>
          </w:tcPr>
          <w:p w14:paraId="352247E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X＜20</w:t>
            </w:r>
          </w:p>
        </w:tc>
      </w:tr>
      <w:tr w14:paraId="4370CC1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E7CA8BF">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2F6270B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6E8BFC31">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0B56D57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2000≤Y＜30000</w:t>
            </w:r>
          </w:p>
        </w:tc>
        <w:tc>
          <w:tcPr>
            <w:tcW w:w="1701" w:type="dxa"/>
            <w:tcBorders>
              <w:top w:val="nil"/>
              <w:left w:val="nil"/>
              <w:bottom w:val="single" w:color="auto" w:sz="4" w:space="0"/>
              <w:right w:val="single" w:color="auto" w:sz="4" w:space="0"/>
            </w:tcBorders>
            <w:vAlign w:val="center"/>
          </w:tcPr>
          <w:p w14:paraId="1D482534">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100≤Y＜2000</w:t>
            </w:r>
          </w:p>
        </w:tc>
        <w:tc>
          <w:tcPr>
            <w:tcW w:w="1134" w:type="dxa"/>
            <w:tcBorders>
              <w:top w:val="nil"/>
              <w:left w:val="nil"/>
              <w:bottom w:val="single" w:color="auto" w:sz="4" w:space="0"/>
              <w:right w:val="single" w:color="auto" w:sz="4" w:space="0"/>
            </w:tcBorders>
            <w:vAlign w:val="center"/>
          </w:tcPr>
          <w:p w14:paraId="73C7EFB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Y＜100</w:t>
            </w:r>
          </w:p>
        </w:tc>
      </w:tr>
      <w:tr w14:paraId="44BA1DB1">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E09F534">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住宿业</w:t>
            </w:r>
          </w:p>
        </w:tc>
        <w:tc>
          <w:tcPr>
            <w:tcW w:w="1984" w:type="dxa"/>
            <w:tcBorders>
              <w:top w:val="nil"/>
              <w:left w:val="nil"/>
              <w:bottom w:val="single" w:color="auto" w:sz="4" w:space="0"/>
              <w:right w:val="single" w:color="auto" w:sz="4" w:space="0"/>
            </w:tcBorders>
            <w:vAlign w:val="center"/>
          </w:tcPr>
          <w:p w14:paraId="0F10C95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12082B54">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5E72F581">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100≤X＜300</w:t>
            </w:r>
          </w:p>
        </w:tc>
        <w:tc>
          <w:tcPr>
            <w:tcW w:w="1701" w:type="dxa"/>
            <w:tcBorders>
              <w:top w:val="nil"/>
              <w:left w:val="nil"/>
              <w:bottom w:val="single" w:color="auto" w:sz="4" w:space="0"/>
              <w:right w:val="single" w:color="auto" w:sz="4" w:space="0"/>
            </w:tcBorders>
            <w:vAlign w:val="center"/>
          </w:tcPr>
          <w:p w14:paraId="7B41345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10≤X＜100</w:t>
            </w:r>
          </w:p>
        </w:tc>
        <w:tc>
          <w:tcPr>
            <w:tcW w:w="1134" w:type="dxa"/>
            <w:tcBorders>
              <w:top w:val="nil"/>
              <w:left w:val="nil"/>
              <w:bottom w:val="single" w:color="auto" w:sz="4" w:space="0"/>
              <w:right w:val="single" w:color="auto" w:sz="4" w:space="0"/>
            </w:tcBorders>
            <w:vAlign w:val="center"/>
          </w:tcPr>
          <w:p w14:paraId="0F82160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w:t>
            </w:r>
          </w:p>
        </w:tc>
      </w:tr>
      <w:tr w14:paraId="4F47B5F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398F36B0">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4631D58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00D982D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337D7A6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2000≤Y＜10000</w:t>
            </w:r>
          </w:p>
        </w:tc>
        <w:tc>
          <w:tcPr>
            <w:tcW w:w="1701" w:type="dxa"/>
            <w:tcBorders>
              <w:top w:val="nil"/>
              <w:left w:val="nil"/>
              <w:bottom w:val="single" w:color="auto" w:sz="4" w:space="0"/>
              <w:right w:val="single" w:color="auto" w:sz="4" w:space="0"/>
            </w:tcBorders>
            <w:vAlign w:val="center"/>
          </w:tcPr>
          <w:p w14:paraId="6FCD846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100≤Y＜2000</w:t>
            </w:r>
          </w:p>
        </w:tc>
        <w:tc>
          <w:tcPr>
            <w:tcW w:w="1134" w:type="dxa"/>
            <w:tcBorders>
              <w:top w:val="nil"/>
              <w:left w:val="nil"/>
              <w:bottom w:val="single" w:color="auto" w:sz="4" w:space="0"/>
              <w:right w:val="single" w:color="auto" w:sz="4" w:space="0"/>
            </w:tcBorders>
            <w:vAlign w:val="center"/>
          </w:tcPr>
          <w:p w14:paraId="3A5D579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Y＜100</w:t>
            </w:r>
          </w:p>
        </w:tc>
      </w:tr>
      <w:tr w14:paraId="4943191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67341411">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餐饮业</w:t>
            </w:r>
          </w:p>
        </w:tc>
        <w:tc>
          <w:tcPr>
            <w:tcW w:w="1984" w:type="dxa"/>
            <w:tcBorders>
              <w:top w:val="nil"/>
              <w:left w:val="nil"/>
              <w:bottom w:val="single" w:color="auto" w:sz="4" w:space="0"/>
              <w:right w:val="single" w:color="auto" w:sz="4" w:space="0"/>
            </w:tcBorders>
            <w:vAlign w:val="center"/>
          </w:tcPr>
          <w:p w14:paraId="53F2BBF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22230E1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35E043C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100≤X＜300</w:t>
            </w:r>
          </w:p>
        </w:tc>
        <w:tc>
          <w:tcPr>
            <w:tcW w:w="1701" w:type="dxa"/>
            <w:tcBorders>
              <w:top w:val="nil"/>
              <w:left w:val="nil"/>
              <w:bottom w:val="single" w:color="auto" w:sz="4" w:space="0"/>
              <w:right w:val="single" w:color="auto" w:sz="4" w:space="0"/>
            </w:tcBorders>
            <w:vAlign w:val="center"/>
          </w:tcPr>
          <w:p w14:paraId="7794DE5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10≤X＜100</w:t>
            </w:r>
          </w:p>
        </w:tc>
        <w:tc>
          <w:tcPr>
            <w:tcW w:w="1134" w:type="dxa"/>
            <w:tcBorders>
              <w:top w:val="nil"/>
              <w:left w:val="nil"/>
              <w:bottom w:val="single" w:color="auto" w:sz="4" w:space="0"/>
              <w:right w:val="single" w:color="auto" w:sz="4" w:space="0"/>
            </w:tcBorders>
            <w:vAlign w:val="center"/>
          </w:tcPr>
          <w:p w14:paraId="2522A08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w:t>
            </w:r>
          </w:p>
        </w:tc>
      </w:tr>
      <w:tr w14:paraId="5590FB3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033E793">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1247E32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6AE2D0B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1A6D21F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2000≤Y＜10000</w:t>
            </w:r>
          </w:p>
        </w:tc>
        <w:tc>
          <w:tcPr>
            <w:tcW w:w="1701" w:type="dxa"/>
            <w:tcBorders>
              <w:top w:val="nil"/>
              <w:left w:val="nil"/>
              <w:bottom w:val="single" w:color="auto" w:sz="4" w:space="0"/>
              <w:right w:val="single" w:color="auto" w:sz="4" w:space="0"/>
            </w:tcBorders>
            <w:vAlign w:val="center"/>
          </w:tcPr>
          <w:p w14:paraId="67BCF0B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100≤Y＜2000</w:t>
            </w:r>
          </w:p>
        </w:tc>
        <w:tc>
          <w:tcPr>
            <w:tcW w:w="1134" w:type="dxa"/>
            <w:tcBorders>
              <w:top w:val="nil"/>
              <w:left w:val="nil"/>
              <w:bottom w:val="single" w:color="auto" w:sz="4" w:space="0"/>
              <w:right w:val="single" w:color="auto" w:sz="4" w:space="0"/>
            </w:tcBorders>
            <w:vAlign w:val="center"/>
          </w:tcPr>
          <w:p w14:paraId="566CBE6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Y＜100</w:t>
            </w:r>
          </w:p>
        </w:tc>
      </w:tr>
      <w:tr w14:paraId="19774B47">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36324C79">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信息传输业</w:t>
            </w:r>
          </w:p>
        </w:tc>
        <w:tc>
          <w:tcPr>
            <w:tcW w:w="1984" w:type="dxa"/>
            <w:tcBorders>
              <w:top w:val="nil"/>
              <w:left w:val="nil"/>
              <w:bottom w:val="single" w:color="auto" w:sz="4" w:space="0"/>
              <w:right w:val="single" w:color="auto" w:sz="4" w:space="0"/>
            </w:tcBorders>
            <w:vAlign w:val="center"/>
          </w:tcPr>
          <w:p w14:paraId="42AC831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6F2EE27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74B32E3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100≤X＜2000</w:t>
            </w:r>
          </w:p>
        </w:tc>
        <w:tc>
          <w:tcPr>
            <w:tcW w:w="1701" w:type="dxa"/>
            <w:tcBorders>
              <w:top w:val="nil"/>
              <w:left w:val="nil"/>
              <w:bottom w:val="single" w:color="auto" w:sz="4" w:space="0"/>
              <w:right w:val="single" w:color="auto" w:sz="4" w:space="0"/>
            </w:tcBorders>
            <w:vAlign w:val="center"/>
          </w:tcPr>
          <w:p w14:paraId="19011AB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10≤X＜100</w:t>
            </w:r>
          </w:p>
        </w:tc>
        <w:tc>
          <w:tcPr>
            <w:tcW w:w="1134" w:type="dxa"/>
            <w:tcBorders>
              <w:top w:val="nil"/>
              <w:left w:val="nil"/>
              <w:bottom w:val="single" w:color="auto" w:sz="4" w:space="0"/>
              <w:right w:val="single" w:color="auto" w:sz="4" w:space="0"/>
            </w:tcBorders>
            <w:vAlign w:val="center"/>
          </w:tcPr>
          <w:p w14:paraId="5A69FE5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w:t>
            </w:r>
          </w:p>
        </w:tc>
      </w:tr>
      <w:tr w14:paraId="53ABB91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6332AA2">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43F74DE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0175B5C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1BCC232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1000≤Y＜100000</w:t>
            </w:r>
          </w:p>
        </w:tc>
        <w:tc>
          <w:tcPr>
            <w:tcW w:w="1701" w:type="dxa"/>
            <w:tcBorders>
              <w:top w:val="nil"/>
              <w:left w:val="nil"/>
              <w:bottom w:val="single" w:color="auto" w:sz="4" w:space="0"/>
              <w:right w:val="single" w:color="auto" w:sz="4" w:space="0"/>
            </w:tcBorders>
            <w:vAlign w:val="center"/>
          </w:tcPr>
          <w:p w14:paraId="016CA8E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100≤Y＜1000</w:t>
            </w:r>
          </w:p>
        </w:tc>
        <w:tc>
          <w:tcPr>
            <w:tcW w:w="1134" w:type="dxa"/>
            <w:tcBorders>
              <w:top w:val="nil"/>
              <w:left w:val="nil"/>
              <w:bottom w:val="single" w:color="auto" w:sz="4" w:space="0"/>
              <w:right w:val="single" w:color="auto" w:sz="4" w:space="0"/>
            </w:tcBorders>
            <w:vAlign w:val="center"/>
          </w:tcPr>
          <w:p w14:paraId="40981A7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Y＜100</w:t>
            </w:r>
          </w:p>
        </w:tc>
      </w:tr>
      <w:tr w14:paraId="473E5DC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12E51A78">
            <w:pPr>
              <w:widowControl/>
              <w:jc w:val="center"/>
              <w:rPr>
                <w:rFonts w:ascii="仿宋_GB2312" w:hAnsi="仿宋" w:eastAsia="仿宋_GB2312" w:cs="宋体"/>
                <w:b/>
                <w:bCs/>
                <w:color w:val="000000" w:themeColor="text1"/>
                <w:kern w:val="0"/>
                <w:sz w:val="18"/>
                <w:szCs w:val="18"/>
                <w14:textFill>
                  <w14:solidFill>
                    <w14:schemeClr w14:val="tx1"/>
                  </w14:solidFill>
                </w14:textFill>
              </w:rPr>
            </w:pPr>
            <w:bookmarkStart w:id="5" w:name="OLE_LINK1"/>
            <w:r>
              <w:rPr>
                <w:rFonts w:hint="eastAsia" w:ascii="仿宋_GB2312" w:hAnsi="仿宋" w:eastAsia="仿宋_GB2312" w:cs="宋体"/>
                <w:b/>
                <w:bCs/>
                <w:color w:val="000000" w:themeColor="text1"/>
                <w:kern w:val="0"/>
                <w:sz w:val="18"/>
                <w:szCs w:val="18"/>
                <w14:textFill>
                  <w14:solidFill>
                    <w14:schemeClr w14:val="tx1"/>
                  </w14:solidFill>
                </w14:textFill>
              </w:rPr>
              <w:t>软件和信息技术服务业</w:t>
            </w:r>
            <w:bookmarkEnd w:id="5"/>
          </w:p>
        </w:tc>
        <w:tc>
          <w:tcPr>
            <w:tcW w:w="1984" w:type="dxa"/>
            <w:tcBorders>
              <w:top w:val="nil"/>
              <w:left w:val="nil"/>
              <w:bottom w:val="single" w:color="auto" w:sz="4" w:space="0"/>
              <w:right w:val="single" w:color="auto" w:sz="4" w:space="0"/>
            </w:tcBorders>
            <w:vAlign w:val="center"/>
          </w:tcPr>
          <w:p w14:paraId="7A351C7F">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6293291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429C92C0">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100≤X＜300</w:t>
            </w:r>
          </w:p>
        </w:tc>
        <w:tc>
          <w:tcPr>
            <w:tcW w:w="1701" w:type="dxa"/>
            <w:tcBorders>
              <w:top w:val="nil"/>
              <w:left w:val="nil"/>
              <w:bottom w:val="single" w:color="auto" w:sz="4" w:space="0"/>
              <w:right w:val="single" w:color="auto" w:sz="4" w:space="0"/>
            </w:tcBorders>
            <w:vAlign w:val="center"/>
          </w:tcPr>
          <w:p w14:paraId="0BB6B47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10≤X＜100</w:t>
            </w:r>
          </w:p>
        </w:tc>
        <w:tc>
          <w:tcPr>
            <w:tcW w:w="1134" w:type="dxa"/>
            <w:tcBorders>
              <w:top w:val="nil"/>
              <w:left w:val="nil"/>
              <w:bottom w:val="single" w:color="auto" w:sz="4" w:space="0"/>
              <w:right w:val="single" w:color="auto" w:sz="4" w:space="0"/>
            </w:tcBorders>
            <w:vAlign w:val="center"/>
          </w:tcPr>
          <w:p w14:paraId="7B35A4C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w:t>
            </w:r>
          </w:p>
        </w:tc>
      </w:tr>
      <w:tr w14:paraId="5F8DBDE4">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EEAF119">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1630403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541C932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67467E8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1000≤Y＜10000</w:t>
            </w:r>
          </w:p>
        </w:tc>
        <w:tc>
          <w:tcPr>
            <w:tcW w:w="1701" w:type="dxa"/>
            <w:tcBorders>
              <w:top w:val="nil"/>
              <w:left w:val="nil"/>
              <w:bottom w:val="single" w:color="auto" w:sz="4" w:space="0"/>
              <w:right w:val="single" w:color="auto" w:sz="4" w:space="0"/>
            </w:tcBorders>
            <w:vAlign w:val="center"/>
          </w:tcPr>
          <w:p w14:paraId="1671242A">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50≤Y＜1000</w:t>
            </w:r>
          </w:p>
        </w:tc>
        <w:tc>
          <w:tcPr>
            <w:tcW w:w="1134" w:type="dxa"/>
            <w:tcBorders>
              <w:top w:val="nil"/>
              <w:left w:val="nil"/>
              <w:bottom w:val="single" w:color="auto" w:sz="4" w:space="0"/>
              <w:right w:val="single" w:color="auto" w:sz="4" w:space="0"/>
            </w:tcBorders>
            <w:vAlign w:val="center"/>
          </w:tcPr>
          <w:p w14:paraId="0D85234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Y＜50</w:t>
            </w:r>
          </w:p>
        </w:tc>
      </w:tr>
      <w:tr w14:paraId="73BC5952">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0B327853">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房地产开发经营</w:t>
            </w:r>
          </w:p>
        </w:tc>
        <w:tc>
          <w:tcPr>
            <w:tcW w:w="1984" w:type="dxa"/>
            <w:tcBorders>
              <w:top w:val="nil"/>
              <w:left w:val="nil"/>
              <w:bottom w:val="single" w:color="auto" w:sz="4" w:space="0"/>
              <w:right w:val="single" w:color="auto" w:sz="4" w:space="0"/>
            </w:tcBorders>
            <w:vAlign w:val="center"/>
          </w:tcPr>
          <w:p w14:paraId="2A3EB61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42DC2AB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13601F61">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1000≤Y＜200000</w:t>
            </w:r>
          </w:p>
        </w:tc>
        <w:tc>
          <w:tcPr>
            <w:tcW w:w="1701" w:type="dxa"/>
            <w:tcBorders>
              <w:top w:val="nil"/>
              <w:left w:val="nil"/>
              <w:bottom w:val="single" w:color="auto" w:sz="4" w:space="0"/>
              <w:right w:val="single" w:color="auto" w:sz="4" w:space="0"/>
            </w:tcBorders>
            <w:vAlign w:val="center"/>
          </w:tcPr>
          <w:p w14:paraId="69A07EB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100≤X＜1000</w:t>
            </w:r>
          </w:p>
        </w:tc>
        <w:tc>
          <w:tcPr>
            <w:tcW w:w="1134" w:type="dxa"/>
            <w:tcBorders>
              <w:top w:val="nil"/>
              <w:left w:val="nil"/>
              <w:bottom w:val="single" w:color="auto" w:sz="4" w:space="0"/>
              <w:right w:val="single" w:color="auto" w:sz="4" w:space="0"/>
            </w:tcBorders>
            <w:vAlign w:val="center"/>
          </w:tcPr>
          <w:p w14:paraId="4D2B02D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X＜100</w:t>
            </w:r>
          </w:p>
        </w:tc>
      </w:tr>
      <w:tr w14:paraId="2AD56090">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770B9F89">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13F4444E">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资产总额（Z）</w:t>
            </w:r>
          </w:p>
        </w:tc>
        <w:tc>
          <w:tcPr>
            <w:tcW w:w="851" w:type="dxa"/>
            <w:tcBorders>
              <w:top w:val="nil"/>
              <w:left w:val="nil"/>
              <w:bottom w:val="single" w:color="auto" w:sz="4" w:space="0"/>
              <w:right w:val="single" w:color="auto" w:sz="4" w:space="0"/>
            </w:tcBorders>
            <w:vAlign w:val="center"/>
          </w:tcPr>
          <w:p w14:paraId="1CED2FC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524F2ED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5000≤Z＜10000</w:t>
            </w:r>
          </w:p>
        </w:tc>
        <w:tc>
          <w:tcPr>
            <w:tcW w:w="1701" w:type="dxa"/>
            <w:tcBorders>
              <w:top w:val="nil"/>
              <w:left w:val="nil"/>
              <w:bottom w:val="single" w:color="auto" w:sz="4" w:space="0"/>
              <w:right w:val="single" w:color="auto" w:sz="4" w:space="0"/>
            </w:tcBorders>
            <w:vAlign w:val="center"/>
          </w:tcPr>
          <w:p w14:paraId="42C52C3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2000≤Y＜5000</w:t>
            </w:r>
          </w:p>
        </w:tc>
        <w:tc>
          <w:tcPr>
            <w:tcW w:w="1134" w:type="dxa"/>
            <w:tcBorders>
              <w:top w:val="nil"/>
              <w:left w:val="nil"/>
              <w:bottom w:val="single" w:color="auto" w:sz="4" w:space="0"/>
              <w:right w:val="single" w:color="auto" w:sz="4" w:space="0"/>
            </w:tcBorders>
            <w:vAlign w:val="center"/>
          </w:tcPr>
          <w:p w14:paraId="213D738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Y＜2000</w:t>
            </w:r>
          </w:p>
        </w:tc>
      </w:tr>
      <w:tr w14:paraId="504DB41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418B62A1">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物业管理</w:t>
            </w:r>
          </w:p>
        </w:tc>
        <w:tc>
          <w:tcPr>
            <w:tcW w:w="1984" w:type="dxa"/>
            <w:tcBorders>
              <w:top w:val="nil"/>
              <w:left w:val="nil"/>
              <w:bottom w:val="single" w:color="auto" w:sz="4" w:space="0"/>
              <w:right w:val="single" w:color="auto" w:sz="4" w:space="0"/>
            </w:tcBorders>
            <w:vAlign w:val="center"/>
          </w:tcPr>
          <w:p w14:paraId="1B538CF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6F5478D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16AD7D8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300≤X＜1000</w:t>
            </w:r>
          </w:p>
        </w:tc>
        <w:tc>
          <w:tcPr>
            <w:tcW w:w="1701" w:type="dxa"/>
            <w:tcBorders>
              <w:top w:val="nil"/>
              <w:left w:val="nil"/>
              <w:bottom w:val="single" w:color="auto" w:sz="4" w:space="0"/>
              <w:right w:val="single" w:color="auto" w:sz="4" w:space="0"/>
            </w:tcBorders>
            <w:vAlign w:val="center"/>
          </w:tcPr>
          <w:p w14:paraId="18B60D7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100≤X＜300</w:t>
            </w:r>
          </w:p>
        </w:tc>
        <w:tc>
          <w:tcPr>
            <w:tcW w:w="1134" w:type="dxa"/>
            <w:tcBorders>
              <w:top w:val="nil"/>
              <w:left w:val="nil"/>
              <w:bottom w:val="single" w:color="auto" w:sz="4" w:space="0"/>
              <w:right w:val="single" w:color="auto" w:sz="4" w:space="0"/>
            </w:tcBorders>
            <w:vAlign w:val="center"/>
          </w:tcPr>
          <w:p w14:paraId="1B2EA0F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X＜100</w:t>
            </w:r>
          </w:p>
        </w:tc>
      </w:tr>
      <w:tr w14:paraId="7A89C3F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247F8584">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4B31E93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营业收入（Y）</w:t>
            </w:r>
          </w:p>
        </w:tc>
        <w:tc>
          <w:tcPr>
            <w:tcW w:w="851" w:type="dxa"/>
            <w:tcBorders>
              <w:top w:val="nil"/>
              <w:left w:val="nil"/>
              <w:bottom w:val="single" w:color="auto" w:sz="4" w:space="0"/>
              <w:right w:val="single" w:color="auto" w:sz="4" w:space="0"/>
            </w:tcBorders>
            <w:vAlign w:val="center"/>
          </w:tcPr>
          <w:p w14:paraId="54CC37F8">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398C1B4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1000≤Y＜5000</w:t>
            </w:r>
          </w:p>
        </w:tc>
        <w:tc>
          <w:tcPr>
            <w:tcW w:w="1701" w:type="dxa"/>
            <w:tcBorders>
              <w:top w:val="nil"/>
              <w:left w:val="nil"/>
              <w:bottom w:val="single" w:color="auto" w:sz="4" w:space="0"/>
              <w:right w:val="single" w:color="auto" w:sz="4" w:space="0"/>
            </w:tcBorders>
            <w:vAlign w:val="center"/>
          </w:tcPr>
          <w:p w14:paraId="4EFE779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500≤Y＜1000</w:t>
            </w:r>
          </w:p>
        </w:tc>
        <w:tc>
          <w:tcPr>
            <w:tcW w:w="1134" w:type="dxa"/>
            <w:tcBorders>
              <w:top w:val="nil"/>
              <w:left w:val="nil"/>
              <w:bottom w:val="single" w:color="auto" w:sz="4" w:space="0"/>
              <w:right w:val="single" w:color="auto" w:sz="4" w:space="0"/>
            </w:tcBorders>
            <w:vAlign w:val="center"/>
          </w:tcPr>
          <w:p w14:paraId="133F8433">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Y＜500</w:t>
            </w:r>
          </w:p>
        </w:tc>
      </w:tr>
      <w:tr w14:paraId="7A5B8FA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vAlign w:val="bottom"/>
          </w:tcPr>
          <w:p w14:paraId="760F9A4C">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租赁和商务服务业</w:t>
            </w:r>
          </w:p>
        </w:tc>
        <w:tc>
          <w:tcPr>
            <w:tcW w:w="1984" w:type="dxa"/>
            <w:tcBorders>
              <w:top w:val="nil"/>
              <w:left w:val="nil"/>
              <w:bottom w:val="single" w:color="auto" w:sz="4" w:space="0"/>
              <w:right w:val="single" w:color="auto" w:sz="4" w:space="0"/>
            </w:tcBorders>
            <w:vAlign w:val="center"/>
          </w:tcPr>
          <w:p w14:paraId="4F9F46E6">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2C6FD7F9">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59BD2CF1">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100≤X＜300</w:t>
            </w:r>
          </w:p>
        </w:tc>
        <w:tc>
          <w:tcPr>
            <w:tcW w:w="1701" w:type="dxa"/>
            <w:tcBorders>
              <w:top w:val="nil"/>
              <w:left w:val="nil"/>
              <w:bottom w:val="single" w:color="auto" w:sz="4" w:space="0"/>
              <w:right w:val="single" w:color="auto" w:sz="4" w:space="0"/>
            </w:tcBorders>
            <w:vAlign w:val="center"/>
          </w:tcPr>
          <w:p w14:paraId="49721050">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10≤X＜100</w:t>
            </w:r>
          </w:p>
        </w:tc>
        <w:tc>
          <w:tcPr>
            <w:tcW w:w="1134" w:type="dxa"/>
            <w:tcBorders>
              <w:top w:val="nil"/>
              <w:left w:val="nil"/>
              <w:bottom w:val="single" w:color="auto" w:sz="4" w:space="0"/>
              <w:right w:val="single" w:color="auto" w:sz="4" w:space="0"/>
            </w:tcBorders>
            <w:vAlign w:val="center"/>
          </w:tcPr>
          <w:p w14:paraId="37E8A31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w:t>
            </w:r>
          </w:p>
        </w:tc>
      </w:tr>
      <w:tr w14:paraId="392FA82D">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vAlign w:val="center"/>
          </w:tcPr>
          <w:p w14:paraId="100A0AD3">
            <w:pPr>
              <w:widowControl/>
              <w:jc w:val="left"/>
              <w:rPr>
                <w:rFonts w:ascii="仿宋_GB2312" w:hAnsi="仿宋" w:eastAsia="仿宋_GB2312" w:cs="宋体"/>
                <w:b/>
                <w:bCs/>
                <w:color w:val="000000" w:themeColor="text1"/>
                <w:kern w:val="0"/>
                <w:sz w:val="18"/>
                <w:szCs w:val="18"/>
                <w14:textFill>
                  <w14:solidFill>
                    <w14:schemeClr w14:val="tx1"/>
                  </w14:solidFill>
                </w14:textFill>
              </w:rPr>
            </w:pPr>
          </w:p>
        </w:tc>
        <w:tc>
          <w:tcPr>
            <w:tcW w:w="1984" w:type="dxa"/>
            <w:tcBorders>
              <w:top w:val="nil"/>
              <w:left w:val="nil"/>
              <w:bottom w:val="single" w:color="auto" w:sz="4" w:space="0"/>
              <w:right w:val="single" w:color="auto" w:sz="4" w:space="0"/>
            </w:tcBorders>
            <w:vAlign w:val="center"/>
          </w:tcPr>
          <w:p w14:paraId="6C4DFBEB">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资产总额（Z）</w:t>
            </w:r>
          </w:p>
        </w:tc>
        <w:tc>
          <w:tcPr>
            <w:tcW w:w="851" w:type="dxa"/>
            <w:tcBorders>
              <w:top w:val="nil"/>
              <w:left w:val="nil"/>
              <w:bottom w:val="single" w:color="auto" w:sz="4" w:space="0"/>
              <w:right w:val="single" w:color="auto" w:sz="4" w:space="0"/>
            </w:tcBorders>
            <w:vAlign w:val="center"/>
          </w:tcPr>
          <w:p w14:paraId="06C65A37">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万元</w:t>
            </w:r>
          </w:p>
        </w:tc>
        <w:tc>
          <w:tcPr>
            <w:tcW w:w="1842" w:type="dxa"/>
            <w:tcBorders>
              <w:top w:val="nil"/>
              <w:left w:val="nil"/>
              <w:bottom w:val="single" w:color="auto" w:sz="4" w:space="0"/>
              <w:right w:val="single" w:color="auto" w:sz="4" w:space="0"/>
            </w:tcBorders>
            <w:vAlign w:val="center"/>
          </w:tcPr>
          <w:p w14:paraId="027F9C91">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8000≤Z＜120000</w:t>
            </w:r>
          </w:p>
        </w:tc>
        <w:tc>
          <w:tcPr>
            <w:tcW w:w="1701" w:type="dxa"/>
            <w:tcBorders>
              <w:top w:val="nil"/>
              <w:left w:val="nil"/>
              <w:bottom w:val="single" w:color="auto" w:sz="4" w:space="0"/>
              <w:right w:val="single" w:color="auto" w:sz="4" w:space="0"/>
            </w:tcBorders>
            <w:vAlign w:val="center"/>
          </w:tcPr>
          <w:p w14:paraId="74A61D12">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100≤Z＜8000</w:t>
            </w:r>
          </w:p>
        </w:tc>
        <w:tc>
          <w:tcPr>
            <w:tcW w:w="1134" w:type="dxa"/>
            <w:tcBorders>
              <w:top w:val="nil"/>
              <w:left w:val="nil"/>
              <w:bottom w:val="single" w:color="auto" w:sz="4" w:space="0"/>
              <w:right w:val="single" w:color="auto" w:sz="4" w:space="0"/>
            </w:tcBorders>
            <w:vAlign w:val="center"/>
          </w:tcPr>
          <w:p w14:paraId="23B636CD">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Y＜100</w:t>
            </w:r>
          </w:p>
        </w:tc>
      </w:tr>
      <w:tr w14:paraId="2C0BCEA3">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vAlign w:val="bottom"/>
          </w:tcPr>
          <w:p w14:paraId="4811E691">
            <w:pPr>
              <w:widowControl/>
              <w:jc w:val="center"/>
              <w:rPr>
                <w:rFonts w:ascii="仿宋_GB2312" w:hAnsi="仿宋" w:eastAsia="仿宋_GB2312" w:cs="宋体"/>
                <w:b/>
                <w:bCs/>
                <w:color w:val="000000" w:themeColor="text1"/>
                <w:kern w:val="0"/>
                <w:sz w:val="18"/>
                <w:szCs w:val="18"/>
                <w14:textFill>
                  <w14:solidFill>
                    <w14:schemeClr w14:val="tx1"/>
                  </w14:solidFill>
                </w14:textFill>
              </w:rPr>
            </w:pPr>
            <w:r>
              <w:rPr>
                <w:rFonts w:hint="eastAsia" w:ascii="仿宋_GB2312" w:hAnsi="仿宋" w:eastAsia="仿宋_GB2312" w:cs="宋体"/>
                <w:b/>
                <w:bCs/>
                <w:color w:val="000000" w:themeColor="text1"/>
                <w:kern w:val="0"/>
                <w:sz w:val="18"/>
                <w:szCs w:val="18"/>
                <w14:textFill>
                  <w14:solidFill>
                    <w14:schemeClr w14:val="tx1"/>
                  </w14:solidFill>
                </w14:textFill>
              </w:rPr>
              <w:t>其他未列明行业</w:t>
            </w:r>
          </w:p>
        </w:tc>
        <w:tc>
          <w:tcPr>
            <w:tcW w:w="1984" w:type="dxa"/>
            <w:tcBorders>
              <w:top w:val="nil"/>
              <w:left w:val="nil"/>
              <w:bottom w:val="single" w:color="auto" w:sz="4" w:space="0"/>
              <w:right w:val="single" w:color="auto" w:sz="4" w:space="0"/>
            </w:tcBorders>
            <w:vAlign w:val="center"/>
          </w:tcPr>
          <w:p w14:paraId="71C7255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从业人员（X）</w:t>
            </w:r>
          </w:p>
        </w:tc>
        <w:tc>
          <w:tcPr>
            <w:tcW w:w="851" w:type="dxa"/>
            <w:tcBorders>
              <w:top w:val="nil"/>
              <w:left w:val="nil"/>
              <w:bottom w:val="single" w:color="auto" w:sz="4" w:space="0"/>
              <w:right w:val="single" w:color="auto" w:sz="4" w:space="0"/>
            </w:tcBorders>
            <w:vAlign w:val="center"/>
          </w:tcPr>
          <w:p w14:paraId="7FF12EB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人</w:t>
            </w:r>
          </w:p>
        </w:tc>
        <w:tc>
          <w:tcPr>
            <w:tcW w:w="1842" w:type="dxa"/>
            <w:tcBorders>
              <w:top w:val="nil"/>
              <w:left w:val="nil"/>
              <w:bottom w:val="single" w:color="auto" w:sz="4" w:space="0"/>
              <w:right w:val="single" w:color="auto" w:sz="4" w:space="0"/>
            </w:tcBorders>
            <w:vAlign w:val="center"/>
          </w:tcPr>
          <w:p w14:paraId="6299D25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100≤X＜300</w:t>
            </w:r>
          </w:p>
        </w:tc>
        <w:tc>
          <w:tcPr>
            <w:tcW w:w="1701" w:type="dxa"/>
            <w:tcBorders>
              <w:top w:val="nil"/>
              <w:left w:val="nil"/>
              <w:bottom w:val="single" w:color="auto" w:sz="4" w:space="0"/>
              <w:right w:val="single" w:color="auto" w:sz="4" w:space="0"/>
            </w:tcBorders>
            <w:vAlign w:val="center"/>
          </w:tcPr>
          <w:p w14:paraId="4227EFF5">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10≤X＜100</w:t>
            </w:r>
          </w:p>
        </w:tc>
        <w:tc>
          <w:tcPr>
            <w:tcW w:w="1134" w:type="dxa"/>
            <w:tcBorders>
              <w:top w:val="nil"/>
              <w:left w:val="nil"/>
              <w:bottom w:val="single" w:color="auto" w:sz="4" w:space="0"/>
              <w:right w:val="single" w:color="auto" w:sz="4" w:space="0"/>
            </w:tcBorders>
            <w:vAlign w:val="center"/>
          </w:tcPr>
          <w:p w14:paraId="112D705C">
            <w:pPr>
              <w:widowControl/>
              <w:jc w:val="left"/>
              <w:rPr>
                <w:rFonts w:ascii="仿宋_GB2312" w:hAnsi="仿宋" w:eastAsia="仿宋_GB2312" w:cs="宋体"/>
                <w:color w:val="000000" w:themeColor="text1"/>
                <w:kern w:val="0"/>
                <w:sz w:val="18"/>
                <w:szCs w:val="18"/>
                <w14:textFill>
                  <w14:solidFill>
                    <w14:schemeClr w14:val="tx1"/>
                  </w14:solidFill>
                </w14:textFill>
              </w:rPr>
            </w:pPr>
            <w:r>
              <w:rPr>
                <w:rFonts w:hint="eastAsia" w:ascii="仿宋_GB2312" w:hAnsi="仿宋" w:eastAsia="仿宋_GB2312" w:cs="宋体"/>
                <w:color w:val="000000" w:themeColor="text1"/>
                <w:kern w:val="0"/>
                <w:sz w:val="18"/>
                <w:szCs w:val="18"/>
                <w14:textFill>
                  <w14:solidFill>
                    <w14:schemeClr w14:val="tx1"/>
                  </w14:solidFill>
                </w14:textFill>
              </w:rPr>
              <w:t>X＜10</w:t>
            </w:r>
          </w:p>
        </w:tc>
      </w:tr>
    </w:tbl>
    <w:p w14:paraId="123C032D">
      <w:pPr>
        <w:spacing w:line="560" w:lineRule="exact"/>
        <w:ind w:firstLine="525" w:firstLineChars="250"/>
        <w:rPr>
          <w:color w:val="000000" w:themeColor="text1"/>
          <w14:textFill>
            <w14:solidFill>
              <w14:schemeClr w14:val="tx1"/>
            </w14:solidFill>
          </w14:textFill>
        </w:rPr>
      </w:pPr>
      <w:r>
        <w:rPr>
          <w:rFonts w:hint="eastAsia" w:ascii="仿宋_GB2312" w:hAnsi="仿宋" w:eastAsia="仿宋_GB2312"/>
          <w:color w:val="000000" w:themeColor="text1"/>
          <w:szCs w:val="21"/>
          <w14:textFill>
            <w14:solidFill>
              <w14:schemeClr w14:val="tx1"/>
            </w14:solidFill>
          </w14:textFill>
        </w:rPr>
        <w:t>说明：上述标准参照《关于印发中小企业划型标准规定的通知》（工信部联企业[2011]300号），大型、中型和小型企业须同时满足所列指标的下限，否则下划一档；微型企业只须满足所列指标中的一项即可。</w:t>
      </w:r>
    </w:p>
    <w:sectPr>
      <w:footerReference r:id="rId6" w:type="first"/>
      <w:footerReference r:id="rId5"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BD01A63-ADAB-4CDB-894E-C5BA15F91A2C}"/>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642A4F32-07CF-4E8A-9D58-3841803652D0}"/>
  </w:font>
  <w:font w:name="等线 Light">
    <w:panose1 w:val="02010600030101010101"/>
    <w:charset w:val="86"/>
    <w:family w:val="roman"/>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787D32DC-DB08-4ACB-9D45-F2482C82753B}"/>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4" w:fontKey="{C02010AF-88B3-4693-B09E-B482E602C9A5}"/>
  </w:font>
  <w:font w:name="方正小标宋简体">
    <w:panose1 w:val="02010601030101010101"/>
    <w:charset w:val="86"/>
    <w:family w:val="script"/>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Arial Unicode MS">
    <w:panose1 w:val="020B0604020202020204"/>
    <w:charset w:val="86"/>
    <w:family w:val="swiss"/>
    <w:pitch w:val="default"/>
    <w:sig w:usb0="F7FFAEFF" w:usb1="F9DFFFFF" w:usb2="0000007F" w:usb3="00000000" w:csb0="203F01FF" w:csb1="DFFF0000"/>
    <w:embedRegular r:id="rId5" w:fontKey="{680FD200-9902-4D2D-B756-067A8CFC065E}"/>
  </w:font>
  <w:font w:name="微软雅黑">
    <w:panose1 w:val="020B0503020204020204"/>
    <w:charset w:val="86"/>
    <w:family w:val="auto"/>
    <w:pitch w:val="default"/>
    <w:sig w:usb0="80000287" w:usb1="2ACF3C50" w:usb2="00000016" w:usb3="00000000" w:csb0="0004001F" w:csb1="00000000"/>
    <w:embedRegular r:id="rId6" w:fontKey="{BF3D3950-2060-4ADC-AD23-B7BFFBAA0BB9}"/>
  </w:font>
  <w:font w:name="Helvetica">
    <w:altName w:val="Arial"/>
    <w:panose1 w:val="020B0604020202020204"/>
    <w:charset w:val="00"/>
    <w:family w:val="swiss"/>
    <w:pitch w:val="default"/>
    <w:sig w:usb0="00000000" w:usb1="00000000" w:usb2="00000000" w:usb3="00000000" w:csb0="00000001" w:csb1="00000000"/>
  </w:font>
  <w:font w:name="Wingdings 2">
    <w:panose1 w:val="05020102010507070707"/>
    <w:charset w:val="02"/>
    <w:family w:val="roman"/>
    <w:pitch w:val="default"/>
    <w:sig w:usb0="00000000" w:usb1="00000000" w:usb2="00000000" w:usb3="00000000" w:csb0="80000000" w:csb1="00000000"/>
  </w:font>
  <w:font w:name="TimesNewRomanPSMT">
    <w:altName w:val="Times New Roman"/>
    <w:panose1 w:val="00000000000000000000"/>
    <w:charset w:val="00"/>
    <w:family w:val="roma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WPSEMBED1">
    <w:panose1 w:val="05020102010507070707"/>
    <w:charset w:val="00"/>
    <w:family w:val="auto"/>
    <w:pitch w:val="default"/>
    <w:sig w:usb0="00000000" w:usb1="00000000" w:usb2="00000000" w:usb3="00000000" w:csb0="80000000" w:csb1="00000000"/>
  </w:font>
  <w:font w:name="WPSEMBED2">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54F61">
    <w:pPr>
      <w:pStyle w:val="1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BAFEA0">
                          <w:pPr>
                            <w:pStyle w:val="1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zEIRckBAACZAwAADgAAAGRycy9lMm9Eb2MueG1srVPNjtMwEL4j8Q6W&#10;79TZIqES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LeUOG5x4OefP86//px/fye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vMQhFyQEAAJkDAAAOAAAAAAAAAAEAIAAAAB4BAABkcnMvZTJvRG9j&#10;LnhtbFBLBQYAAAAABgAGAFkBAABZBQAAAAA=&#10;">
              <v:fill on="f" focussize="0,0"/>
              <v:stroke on="f"/>
              <v:imagedata o:title=""/>
              <o:lock v:ext="edit" aspectratio="f"/>
              <v:textbox inset="0mm,0mm,0mm,0mm" style="mso-fit-shape-to-text:t;">
                <w:txbxContent>
                  <w:p w14:paraId="7ABAFEA0">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5CF77">
    <w:pPr>
      <w:pStyle w:val="19"/>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5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D4396F">
                          <w:pPr>
                            <w:pStyle w:val="19"/>
                            <w:jc w:val="center"/>
                          </w:pPr>
                          <w:r>
                            <w:fldChar w:fldCharType="begin"/>
                          </w:r>
                          <w:r>
                            <w:instrText xml:space="preserve"> PAGE  \* MERGEFORMAT </w:instrText>
                          </w:r>
                          <w:r>
                            <w:fldChar w:fldCharType="separate"/>
                          </w:r>
                          <w:r>
                            <w:t>91</w:t>
                          </w:r>
                          <w:r>
                            <w:fldChar w:fldCharType="end"/>
                          </w:r>
                        </w:p>
                      </w:txbxContent>
                    </wps:txbx>
                    <wps:bodyPr wrap="none" lIns="0" tIns="0" rIns="0" bIns="0" upright="1">
                      <a:spAutoFit/>
                    </wps:bodyPr>
                  </wps:wsp>
                </a:graphicData>
              </a:graphic>
            </wp:anchor>
          </w:drawing>
        </mc:Choice>
        <mc:Fallback>
          <w:pict>
            <v:shape id="文本框 512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gd+MwBAACdAwAADgAAAGRycy9lMm9Eb2MueG1srVNLbtswEN0XyB0I&#10;7mNKBlo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5CSYnlBid+/v7t/OPX+edX&#10;8rZclqlFvYcKM5885sbhzg2YPvsBnUn50AaTvqiJYBwbfLo0WA6RiPRotVytCgwJjM0XxGfPz32A&#10;+F46Q5JR04ATzI3lx0eIY+qckqpZd6+0zlPU9i8HYiYPS9xHjsmKw26YBO1cc0I9PQ6/phZ3nRL9&#10;YLG3aU9mI8zGbjYOPqh9h9TKzAv87SEiicwtVRhhp8I4taxu2rC0Fn/ec9bzX7X5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KB34zAEAAJ0DAAAOAAAAAAAAAAEAIAAAAB4BAABkcnMvZTJv&#10;RG9jLnhtbFBLBQYAAAAABgAGAFkBAABcBQAAAAA=&#10;">
              <v:fill on="f" focussize="0,0"/>
              <v:stroke on="f"/>
              <v:imagedata o:title=""/>
              <o:lock v:ext="edit" aspectratio="f"/>
              <v:textbox inset="0mm,0mm,0mm,0mm" style="mso-fit-shape-to-text:t;">
                <w:txbxContent>
                  <w:p w14:paraId="15D4396F">
                    <w:pPr>
                      <w:pStyle w:val="19"/>
                      <w:jc w:val="center"/>
                    </w:pPr>
                    <w:r>
                      <w:fldChar w:fldCharType="begin"/>
                    </w:r>
                    <w:r>
                      <w:instrText xml:space="preserve"> PAGE  \* MERGEFORMAT </w:instrText>
                    </w:r>
                    <w:r>
                      <w:fldChar w:fldCharType="separate"/>
                    </w:r>
                    <w:r>
                      <w:t>91</w:t>
                    </w:r>
                    <w:r>
                      <w:fldChar w:fldCharType="end"/>
                    </w:r>
                  </w:p>
                </w:txbxContent>
              </v:textbox>
            </v:shape>
          </w:pict>
        </mc:Fallback>
      </mc:AlternateContent>
    </w:r>
  </w:p>
  <w:p w14:paraId="45F259C6">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A7657">
    <w:pPr>
      <w:pStyle w:val="1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B51F961">
                          <w:pPr>
                            <w:pStyle w:val="19"/>
                          </w:pPr>
                          <w:r>
                            <w:fldChar w:fldCharType="begin"/>
                          </w:r>
                          <w:r>
                            <w:instrText xml:space="preserve"> PAGE  \* MERGEFORMAT </w:instrText>
                          </w:r>
                          <w:r>
                            <w:fldChar w:fldCharType="separate"/>
                          </w:r>
                          <w:r>
                            <w:t>63</w:t>
                          </w:r>
                          <w:r>
                            <w:fldChar w:fldCharType="end"/>
                          </w:r>
                        </w:p>
                      </w:txbxContent>
                    </wps:txbx>
                    <wps:bodyPr wrap="none" lIns="0" tIns="0" rIns="0" bIns="0" upright="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OqXm5zwAAAAUBAAAPAAAAAAAAAAEAIAAAACIAAABkcnMvZG93&#10;bnJldi54bWxQSwECFAAUAAAACACHTuJADNY0idABAACqAwAADgAAAAAAAAABACAAAAAeAQAAZHJz&#10;L2Uyb0RvYy54bWxQSwUGAAAAAAYABgBZAQAAYAUAAAAA&#10;">
              <v:fill on="f" focussize="0,0"/>
              <v:stroke on="f"/>
              <v:imagedata o:title=""/>
              <o:lock v:ext="edit" aspectratio="f"/>
              <v:textbox inset="0mm,0mm,0mm,0mm" style="mso-fit-shape-to-text:t;">
                <w:txbxContent>
                  <w:p w14:paraId="5B51F961">
                    <w:pPr>
                      <w:pStyle w:val="19"/>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42B95">
    <w:pPr>
      <w:pStyle w:val="20"/>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wOGQ5Y2VmZmFlOGI2YWRmOTdlMTQ3OGU0MjYyODgifQ=="/>
  </w:docVars>
  <w:rsids>
    <w:rsidRoot w:val="00F34B14"/>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A4D"/>
    <w:rsid w:val="00011BC9"/>
    <w:rsid w:val="00012854"/>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4463"/>
    <w:rsid w:val="00025461"/>
    <w:rsid w:val="00025636"/>
    <w:rsid w:val="00025E36"/>
    <w:rsid w:val="00026855"/>
    <w:rsid w:val="00026886"/>
    <w:rsid w:val="0002785D"/>
    <w:rsid w:val="000329E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7ACA"/>
    <w:rsid w:val="00077C70"/>
    <w:rsid w:val="000813B5"/>
    <w:rsid w:val="00081BA3"/>
    <w:rsid w:val="00081D2E"/>
    <w:rsid w:val="00081F89"/>
    <w:rsid w:val="00082619"/>
    <w:rsid w:val="00082D02"/>
    <w:rsid w:val="00083871"/>
    <w:rsid w:val="00083B91"/>
    <w:rsid w:val="0008473C"/>
    <w:rsid w:val="0008520B"/>
    <w:rsid w:val="00085B9A"/>
    <w:rsid w:val="000860BD"/>
    <w:rsid w:val="000871B8"/>
    <w:rsid w:val="000916DA"/>
    <w:rsid w:val="00092442"/>
    <w:rsid w:val="000929EF"/>
    <w:rsid w:val="000933BE"/>
    <w:rsid w:val="00093CD4"/>
    <w:rsid w:val="0009560F"/>
    <w:rsid w:val="0009588E"/>
    <w:rsid w:val="000959EE"/>
    <w:rsid w:val="00097183"/>
    <w:rsid w:val="000972CB"/>
    <w:rsid w:val="00097608"/>
    <w:rsid w:val="000A13F3"/>
    <w:rsid w:val="000A23B1"/>
    <w:rsid w:val="000A2B0E"/>
    <w:rsid w:val="000A357B"/>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585"/>
    <w:rsid w:val="000B2BC6"/>
    <w:rsid w:val="000B2D03"/>
    <w:rsid w:val="000B3815"/>
    <w:rsid w:val="000B3C7B"/>
    <w:rsid w:val="000B3ED8"/>
    <w:rsid w:val="000B4321"/>
    <w:rsid w:val="000B6A6B"/>
    <w:rsid w:val="000B6C95"/>
    <w:rsid w:val="000B79FC"/>
    <w:rsid w:val="000B7BD1"/>
    <w:rsid w:val="000C02B1"/>
    <w:rsid w:val="000C1679"/>
    <w:rsid w:val="000C1EE3"/>
    <w:rsid w:val="000C3AE7"/>
    <w:rsid w:val="000C3CC9"/>
    <w:rsid w:val="000C6DE4"/>
    <w:rsid w:val="000C7202"/>
    <w:rsid w:val="000D0A89"/>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3C8"/>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3678"/>
    <w:rsid w:val="00113C3E"/>
    <w:rsid w:val="00115E11"/>
    <w:rsid w:val="00115EEE"/>
    <w:rsid w:val="00115F56"/>
    <w:rsid w:val="00116CA9"/>
    <w:rsid w:val="00116F38"/>
    <w:rsid w:val="001170A4"/>
    <w:rsid w:val="00117AE7"/>
    <w:rsid w:val="00117CBD"/>
    <w:rsid w:val="0012006A"/>
    <w:rsid w:val="00121979"/>
    <w:rsid w:val="00122064"/>
    <w:rsid w:val="00124341"/>
    <w:rsid w:val="00124492"/>
    <w:rsid w:val="00124B12"/>
    <w:rsid w:val="001250A0"/>
    <w:rsid w:val="001263B8"/>
    <w:rsid w:val="0012763E"/>
    <w:rsid w:val="00130217"/>
    <w:rsid w:val="00130783"/>
    <w:rsid w:val="00130A47"/>
    <w:rsid w:val="00130D7C"/>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1F43"/>
    <w:rsid w:val="00182862"/>
    <w:rsid w:val="00184F57"/>
    <w:rsid w:val="00185544"/>
    <w:rsid w:val="00185617"/>
    <w:rsid w:val="00186823"/>
    <w:rsid w:val="00186FE1"/>
    <w:rsid w:val="00187A14"/>
    <w:rsid w:val="0019171E"/>
    <w:rsid w:val="00192368"/>
    <w:rsid w:val="001923A0"/>
    <w:rsid w:val="001928B1"/>
    <w:rsid w:val="00193537"/>
    <w:rsid w:val="00193846"/>
    <w:rsid w:val="00195424"/>
    <w:rsid w:val="001955FF"/>
    <w:rsid w:val="00196D6E"/>
    <w:rsid w:val="00197EDD"/>
    <w:rsid w:val="001A02B3"/>
    <w:rsid w:val="001A04BB"/>
    <w:rsid w:val="001A08D0"/>
    <w:rsid w:val="001A1B39"/>
    <w:rsid w:val="001A2120"/>
    <w:rsid w:val="001A28C6"/>
    <w:rsid w:val="001A2E69"/>
    <w:rsid w:val="001A3C34"/>
    <w:rsid w:val="001A3EDE"/>
    <w:rsid w:val="001A4222"/>
    <w:rsid w:val="001A50EA"/>
    <w:rsid w:val="001A5BA2"/>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6512"/>
    <w:rsid w:val="001B65D7"/>
    <w:rsid w:val="001B6752"/>
    <w:rsid w:val="001B6768"/>
    <w:rsid w:val="001B6F1F"/>
    <w:rsid w:val="001B7CD7"/>
    <w:rsid w:val="001B7ECC"/>
    <w:rsid w:val="001C025B"/>
    <w:rsid w:val="001C115F"/>
    <w:rsid w:val="001C1EAB"/>
    <w:rsid w:val="001C25A7"/>
    <w:rsid w:val="001C318C"/>
    <w:rsid w:val="001C35C4"/>
    <w:rsid w:val="001C4287"/>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B63"/>
    <w:rsid w:val="001E522E"/>
    <w:rsid w:val="001E5A94"/>
    <w:rsid w:val="001E5F6F"/>
    <w:rsid w:val="001F0373"/>
    <w:rsid w:val="001F2A2E"/>
    <w:rsid w:val="001F3356"/>
    <w:rsid w:val="001F3C63"/>
    <w:rsid w:val="001F4460"/>
    <w:rsid w:val="001F711A"/>
    <w:rsid w:val="001F75B0"/>
    <w:rsid w:val="00200CE5"/>
    <w:rsid w:val="00200F7C"/>
    <w:rsid w:val="002014DB"/>
    <w:rsid w:val="0020150B"/>
    <w:rsid w:val="00201E12"/>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4EAB"/>
    <w:rsid w:val="002557AF"/>
    <w:rsid w:val="0025589C"/>
    <w:rsid w:val="00255B62"/>
    <w:rsid w:val="002566B1"/>
    <w:rsid w:val="002575E3"/>
    <w:rsid w:val="00257A74"/>
    <w:rsid w:val="002603C1"/>
    <w:rsid w:val="002609A1"/>
    <w:rsid w:val="002612B1"/>
    <w:rsid w:val="00266165"/>
    <w:rsid w:val="002662FE"/>
    <w:rsid w:val="00266F2C"/>
    <w:rsid w:val="0027125E"/>
    <w:rsid w:val="00271767"/>
    <w:rsid w:val="00272293"/>
    <w:rsid w:val="002723C8"/>
    <w:rsid w:val="00273C2A"/>
    <w:rsid w:val="00273CBE"/>
    <w:rsid w:val="002746B1"/>
    <w:rsid w:val="00274BAD"/>
    <w:rsid w:val="00282D56"/>
    <w:rsid w:val="002835B0"/>
    <w:rsid w:val="00283C74"/>
    <w:rsid w:val="0028407E"/>
    <w:rsid w:val="0028410F"/>
    <w:rsid w:val="00284572"/>
    <w:rsid w:val="00285221"/>
    <w:rsid w:val="00286FB5"/>
    <w:rsid w:val="00287763"/>
    <w:rsid w:val="00287FCB"/>
    <w:rsid w:val="00290606"/>
    <w:rsid w:val="002909B2"/>
    <w:rsid w:val="00291D6D"/>
    <w:rsid w:val="00291FF1"/>
    <w:rsid w:val="00292AA2"/>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58D"/>
    <w:rsid w:val="002B0C16"/>
    <w:rsid w:val="002B2AC5"/>
    <w:rsid w:val="002B3528"/>
    <w:rsid w:val="002B3539"/>
    <w:rsid w:val="002B4532"/>
    <w:rsid w:val="002B5042"/>
    <w:rsid w:val="002B69CC"/>
    <w:rsid w:val="002B6D71"/>
    <w:rsid w:val="002C0C1C"/>
    <w:rsid w:val="002C54C2"/>
    <w:rsid w:val="002C5D34"/>
    <w:rsid w:val="002C5D7F"/>
    <w:rsid w:val="002C60BB"/>
    <w:rsid w:val="002C661A"/>
    <w:rsid w:val="002D0D6F"/>
    <w:rsid w:val="002D25FC"/>
    <w:rsid w:val="002D4AC6"/>
    <w:rsid w:val="002D5BF5"/>
    <w:rsid w:val="002D5E95"/>
    <w:rsid w:val="002D5EE8"/>
    <w:rsid w:val="002D7360"/>
    <w:rsid w:val="002D7648"/>
    <w:rsid w:val="002D780A"/>
    <w:rsid w:val="002E109C"/>
    <w:rsid w:val="002E193E"/>
    <w:rsid w:val="002E1A94"/>
    <w:rsid w:val="002E1D55"/>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2EFC"/>
    <w:rsid w:val="00303243"/>
    <w:rsid w:val="00303BCC"/>
    <w:rsid w:val="00303F2B"/>
    <w:rsid w:val="00303F8D"/>
    <w:rsid w:val="0030572D"/>
    <w:rsid w:val="0030586A"/>
    <w:rsid w:val="0030622D"/>
    <w:rsid w:val="00306811"/>
    <w:rsid w:val="00306F32"/>
    <w:rsid w:val="003074C5"/>
    <w:rsid w:val="00307A3C"/>
    <w:rsid w:val="00307FA4"/>
    <w:rsid w:val="00310290"/>
    <w:rsid w:val="0031083D"/>
    <w:rsid w:val="00310CC1"/>
    <w:rsid w:val="00311B60"/>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55AF"/>
    <w:rsid w:val="003256EB"/>
    <w:rsid w:val="003259DB"/>
    <w:rsid w:val="003314D9"/>
    <w:rsid w:val="00331653"/>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50458"/>
    <w:rsid w:val="00350E6C"/>
    <w:rsid w:val="003518A6"/>
    <w:rsid w:val="00351E7F"/>
    <w:rsid w:val="00352953"/>
    <w:rsid w:val="00354062"/>
    <w:rsid w:val="0035459E"/>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728"/>
    <w:rsid w:val="003A60E7"/>
    <w:rsid w:val="003A7092"/>
    <w:rsid w:val="003A72A1"/>
    <w:rsid w:val="003A7611"/>
    <w:rsid w:val="003A7D1F"/>
    <w:rsid w:val="003B0B6A"/>
    <w:rsid w:val="003B22F7"/>
    <w:rsid w:val="003B29CF"/>
    <w:rsid w:val="003B3A90"/>
    <w:rsid w:val="003B534F"/>
    <w:rsid w:val="003B5E4F"/>
    <w:rsid w:val="003B7A79"/>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63D"/>
    <w:rsid w:val="00410D17"/>
    <w:rsid w:val="00413442"/>
    <w:rsid w:val="00413821"/>
    <w:rsid w:val="00413BA5"/>
    <w:rsid w:val="004141A3"/>
    <w:rsid w:val="00414909"/>
    <w:rsid w:val="0041582F"/>
    <w:rsid w:val="00416112"/>
    <w:rsid w:val="00416AC8"/>
    <w:rsid w:val="00417AE0"/>
    <w:rsid w:val="00417BAA"/>
    <w:rsid w:val="0042042B"/>
    <w:rsid w:val="00420B45"/>
    <w:rsid w:val="00420D7A"/>
    <w:rsid w:val="00421257"/>
    <w:rsid w:val="00422193"/>
    <w:rsid w:val="004223DE"/>
    <w:rsid w:val="00422A10"/>
    <w:rsid w:val="00424D17"/>
    <w:rsid w:val="00425DFD"/>
    <w:rsid w:val="004263A3"/>
    <w:rsid w:val="00427713"/>
    <w:rsid w:val="00427CCC"/>
    <w:rsid w:val="0043013A"/>
    <w:rsid w:val="00430421"/>
    <w:rsid w:val="00430A36"/>
    <w:rsid w:val="00430B4F"/>
    <w:rsid w:val="00431084"/>
    <w:rsid w:val="004310D7"/>
    <w:rsid w:val="004322D6"/>
    <w:rsid w:val="00432589"/>
    <w:rsid w:val="00432A94"/>
    <w:rsid w:val="00432C95"/>
    <w:rsid w:val="00433827"/>
    <w:rsid w:val="00433A40"/>
    <w:rsid w:val="00434B70"/>
    <w:rsid w:val="004360C8"/>
    <w:rsid w:val="004371D5"/>
    <w:rsid w:val="0044006B"/>
    <w:rsid w:val="0044033F"/>
    <w:rsid w:val="00440630"/>
    <w:rsid w:val="00441F0F"/>
    <w:rsid w:val="00441FBF"/>
    <w:rsid w:val="00442965"/>
    <w:rsid w:val="00444157"/>
    <w:rsid w:val="0044417C"/>
    <w:rsid w:val="00444DB3"/>
    <w:rsid w:val="00445617"/>
    <w:rsid w:val="00445A2F"/>
    <w:rsid w:val="0044684E"/>
    <w:rsid w:val="00446F22"/>
    <w:rsid w:val="0045019F"/>
    <w:rsid w:val="004503A4"/>
    <w:rsid w:val="00450555"/>
    <w:rsid w:val="004506FA"/>
    <w:rsid w:val="00450DC6"/>
    <w:rsid w:val="004516A5"/>
    <w:rsid w:val="00451E9C"/>
    <w:rsid w:val="0045280F"/>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2429"/>
    <w:rsid w:val="004725E5"/>
    <w:rsid w:val="00472751"/>
    <w:rsid w:val="00473128"/>
    <w:rsid w:val="00473263"/>
    <w:rsid w:val="00475078"/>
    <w:rsid w:val="00475767"/>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5D9"/>
    <w:rsid w:val="00486D60"/>
    <w:rsid w:val="00491FA1"/>
    <w:rsid w:val="00492A25"/>
    <w:rsid w:val="004938A3"/>
    <w:rsid w:val="0049558B"/>
    <w:rsid w:val="00496350"/>
    <w:rsid w:val="0049797C"/>
    <w:rsid w:val="004A00E1"/>
    <w:rsid w:val="004A0943"/>
    <w:rsid w:val="004A1405"/>
    <w:rsid w:val="004A1FC6"/>
    <w:rsid w:val="004A2E5F"/>
    <w:rsid w:val="004A38C2"/>
    <w:rsid w:val="004A3C03"/>
    <w:rsid w:val="004A3DB7"/>
    <w:rsid w:val="004A5088"/>
    <w:rsid w:val="004A5255"/>
    <w:rsid w:val="004A6CB0"/>
    <w:rsid w:val="004A70FF"/>
    <w:rsid w:val="004A7EDE"/>
    <w:rsid w:val="004B0D93"/>
    <w:rsid w:val="004B1FA4"/>
    <w:rsid w:val="004B29AC"/>
    <w:rsid w:val="004B35DF"/>
    <w:rsid w:val="004B3627"/>
    <w:rsid w:val="004B4922"/>
    <w:rsid w:val="004B57DF"/>
    <w:rsid w:val="004B5976"/>
    <w:rsid w:val="004B7137"/>
    <w:rsid w:val="004B722E"/>
    <w:rsid w:val="004B72E8"/>
    <w:rsid w:val="004C01A5"/>
    <w:rsid w:val="004C0412"/>
    <w:rsid w:val="004C0DBA"/>
    <w:rsid w:val="004C1142"/>
    <w:rsid w:val="004C2138"/>
    <w:rsid w:val="004C3940"/>
    <w:rsid w:val="004C51FD"/>
    <w:rsid w:val="004C65A8"/>
    <w:rsid w:val="004C6689"/>
    <w:rsid w:val="004D139A"/>
    <w:rsid w:val="004D14DC"/>
    <w:rsid w:val="004D17C6"/>
    <w:rsid w:val="004D2858"/>
    <w:rsid w:val="004D28C5"/>
    <w:rsid w:val="004D2E49"/>
    <w:rsid w:val="004D35BA"/>
    <w:rsid w:val="004D38E5"/>
    <w:rsid w:val="004D3C5A"/>
    <w:rsid w:val="004D449A"/>
    <w:rsid w:val="004D4701"/>
    <w:rsid w:val="004D47C7"/>
    <w:rsid w:val="004D4F35"/>
    <w:rsid w:val="004D5D45"/>
    <w:rsid w:val="004D618D"/>
    <w:rsid w:val="004D62A9"/>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7160"/>
    <w:rsid w:val="00500258"/>
    <w:rsid w:val="00500B2D"/>
    <w:rsid w:val="00501A99"/>
    <w:rsid w:val="00503180"/>
    <w:rsid w:val="005038A4"/>
    <w:rsid w:val="00505450"/>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20EF8"/>
    <w:rsid w:val="005210F7"/>
    <w:rsid w:val="00521753"/>
    <w:rsid w:val="0052239D"/>
    <w:rsid w:val="005224EE"/>
    <w:rsid w:val="00522879"/>
    <w:rsid w:val="00523BB1"/>
    <w:rsid w:val="0052570E"/>
    <w:rsid w:val="005260CD"/>
    <w:rsid w:val="00526265"/>
    <w:rsid w:val="0052655D"/>
    <w:rsid w:val="005265E0"/>
    <w:rsid w:val="00526BC3"/>
    <w:rsid w:val="00531761"/>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B5D"/>
    <w:rsid w:val="005706D5"/>
    <w:rsid w:val="00570757"/>
    <w:rsid w:val="00573733"/>
    <w:rsid w:val="00573F8B"/>
    <w:rsid w:val="00574554"/>
    <w:rsid w:val="00574E06"/>
    <w:rsid w:val="005751BB"/>
    <w:rsid w:val="00576089"/>
    <w:rsid w:val="005764B1"/>
    <w:rsid w:val="00576852"/>
    <w:rsid w:val="00576D06"/>
    <w:rsid w:val="00577287"/>
    <w:rsid w:val="005779E4"/>
    <w:rsid w:val="00577F9F"/>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41B0"/>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4DE"/>
    <w:rsid w:val="0062169D"/>
    <w:rsid w:val="0062181E"/>
    <w:rsid w:val="0062211B"/>
    <w:rsid w:val="00622BB7"/>
    <w:rsid w:val="00622C1E"/>
    <w:rsid w:val="00623389"/>
    <w:rsid w:val="00623DAA"/>
    <w:rsid w:val="00623FAF"/>
    <w:rsid w:val="006265C4"/>
    <w:rsid w:val="0062678A"/>
    <w:rsid w:val="006270AF"/>
    <w:rsid w:val="00634367"/>
    <w:rsid w:val="00640082"/>
    <w:rsid w:val="00640291"/>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2CA5"/>
    <w:rsid w:val="00673711"/>
    <w:rsid w:val="00673F82"/>
    <w:rsid w:val="00674F74"/>
    <w:rsid w:val="0067508F"/>
    <w:rsid w:val="00677576"/>
    <w:rsid w:val="0068051E"/>
    <w:rsid w:val="00680B9D"/>
    <w:rsid w:val="00681F13"/>
    <w:rsid w:val="0068231C"/>
    <w:rsid w:val="00682344"/>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43B"/>
    <w:rsid w:val="006B6805"/>
    <w:rsid w:val="006B6DE0"/>
    <w:rsid w:val="006C16C3"/>
    <w:rsid w:val="006C1D50"/>
    <w:rsid w:val="006C2187"/>
    <w:rsid w:val="006C32F4"/>
    <w:rsid w:val="006C3C54"/>
    <w:rsid w:val="006C4B6B"/>
    <w:rsid w:val="006C4F9F"/>
    <w:rsid w:val="006C71A2"/>
    <w:rsid w:val="006C73EC"/>
    <w:rsid w:val="006D0C1D"/>
    <w:rsid w:val="006D2E9D"/>
    <w:rsid w:val="006D4A4E"/>
    <w:rsid w:val="006D4C42"/>
    <w:rsid w:val="006D5389"/>
    <w:rsid w:val="006D5809"/>
    <w:rsid w:val="006D607E"/>
    <w:rsid w:val="006D6781"/>
    <w:rsid w:val="006D6E12"/>
    <w:rsid w:val="006D70CB"/>
    <w:rsid w:val="006D715C"/>
    <w:rsid w:val="006D7363"/>
    <w:rsid w:val="006D774E"/>
    <w:rsid w:val="006D7EA2"/>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5C43"/>
    <w:rsid w:val="006F61D8"/>
    <w:rsid w:val="006F62B7"/>
    <w:rsid w:val="006F70BC"/>
    <w:rsid w:val="006F734B"/>
    <w:rsid w:val="006F7E7C"/>
    <w:rsid w:val="0070174E"/>
    <w:rsid w:val="007018DB"/>
    <w:rsid w:val="00701DE6"/>
    <w:rsid w:val="00702740"/>
    <w:rsid w:val="0070381B"/>
    <w:rsid w:val="007076DD"/>
    <w:rsid w:val="0070796C"/>
    <w:rsid w:val="007109BB"/>
    <w:rsid w:val="00710EBF"/>
    <w:rsid w:val="007110B8"/>
    <w:rsid w:val="0071209F"/>
    <w:rsid w:val="007125A2"/>
    <w:rsid w:val="00713DD9"/>
    <w:rsid w:val="00713F79"/>
    <w:rsid w:val="007148A8"/>
    <w:rsid w:val="00716AC8"/>
    <w:rsid w:val="00716E54"/>
    <w:rsid w:val="00717421"/>
    <w:rsid w:val="0072033C"/>
    <w:rsid w:val="00720B1B"/>
    <w:rsid w:val="00721062"/>
    <w:rsid w:val="00721E5D"/>
    <w:rsid w:val="007229D4"/>
    <w:rsid w:val="007230F8"/>
    <w:rsid w:val="007233F4"/>
    <w:rsid w:val="00724044"/>
    <w:rsid w:val="007248D3"/>
    <w:rsid w:val="00724DF8"/>
    <w:rsid w:val="00725137"/>
    <w:rsid w:val="00725378"/>
    <w:rsid w:val="00727A43"/>
    <w:rsid w:val="00727FF2"/>
    <w:rsid w:val="00730550"/>
    <w:rsid w:val="00730C2A"/>
    <w:rsid w:val="00731434"/>
    <w:rsid w:val="00731E59"/>
    <w:rsid w:val="007323E0"/>
    <w:rsid w:val="00732911"/>
    <w:rsid w:val="00733721"/>
    <w:rsid w:val="00733DE2"/>
    <w:rsid w:val="007352EA"/>
    <w:rsid w:val="0073625F"/>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27F7"/>
    <w:rsid w:val="00753C48"/>
    <w:rsid w:val="00754250"/>
    <w:rsid w:val="00754FE4"/>
    <w:rsid w:val="00755216"/>
    <w:rsid w:val="00756236"/>
    <w:rsid w:val="00756271"/>
    <w:rsid w:val="00756348"/>
    <w:rsid w:val="00756521"/>
    <w:rsid w:val="00756AB7"/>
    <w:rsid w:val="0076106D"/>
    <w:rsid w:val="007623FB"/>
    <w:rsid w:val="00762517"/>
    <w:rsid w:val="00763240"/>
    <w:rsid w:val="0076376A"/>
    <w:rsid w:val="007648AD"/>
    <w:rsid w:val="0076504E"/>
    <w:rsid w:val="00767BFD"/>
    <w:rsid w:val="00767EA0"/>
    <w:rsid w:val="0077068F"/>
    <w:rsid w:val="00771EDF"/>
    <w:rsid w:val="00772986"/>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7490"/>
    <w:rsid w:val="007C0525"/>
    <w:rsid w:val="007C13F7"/>
    <w:rsid w:val="007C218D"/>
    <w:rsid w:val="007C2D28"/>
    <w:rsid w:val="007C3E22"/>
    <w:rsid w:val="007C5B90"/>
    <w:rsid w:val="007C6218"/>
    <w:rsid w:val="007C6484"/>
    <w:rsid w:val="007C67C6"/>
    <w:rsid w:val="007C78BE"/>
    <w:rsid w:val="007C7E59"/>
    <w:rsid w:val="007D0476"/>
    <w:rsid w:val="007D0B91"/>
    <w:rsid w:val="007D1386"/>
    <w:rsid w:val="007D1452"/>
    <w:rsid w:val="007D3DCB"/>
    <w:rsid w:val="007D460C"/>
    <w:rsid w:val="007D4996"/>
    <w:rsid w:val="007D4AD3"/>
    <w:rsid w:val="007D5D19"/>
    <w:rsid w:val="007D5FDC"/>
    <w:rsid w:val="007D6176"/>
    <w:rsid w:val="007D6D68"/>
    <w:rsid w:val="007E32DA"/>
    <w:rsid w:val="007E4998"/>
    <w:rsid w:val="007E4A9C"/>
    <w:rsid w:val="007E6914"/>
    <w:rsid w:val="007E7F78"/>
    <w:rsid w:val="007F0179"/>
    <w:rsid w:val="007F2C13"/>
    <w:rsid w:val="007F2CEC"/>
    <w:rsid w:val="007F3435"/>
    <w:rsid w:val="007F55DE"/>
    <w:rsid w:val="007F762D"/>
    <w:rsid w:val="007F78F0"/>
    <w:rsid w:val="007F78FF"/>
    <w:rsid w:val="008001C5"/>
    <w:rsid w:val="00800F6C"/>
    <w:rsid w:val="00801065"/>
    <w:rsid w:val="00802C0B"/>
    <w:rsid w:val="008051FC"/>
    <w:rsid w:val="008055A9"/>
    <w:rsid w:val="008056C4"/>
    <w:rsid w:val="008057FD"/>
    <w:rsid w:val="00805D8B"/>
    <w:rsid w:val="00810BB6"/>
    <w:rsid w:val="00810E8E"/>
    <w:rsid w:val="00812C44"/>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B7F"/>
    <w:rsid w:val="00833E8E"/>
    <w:rsid w:val="00834906"/>
    <w:rsid w:val="00836075"/>
    <w:rsid w:val="00836417"/>
    <w:rsid w:val="00836A3E"/>
    <w:rsid w:val="00837526"/>
    <w:rsid w:val="00837F20"/>
    <w:rsid w:val="008407A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54E4"/>
    <w:rsid w:val="00876EAE"/>
    <w:rsid w:val="00880106"/>
    <w:rsid w:val="00880F95"/>
    <w:rsid w:val="00882B44"/>
    <w:rsid w:val="008838AD"/>
    <w:rsid w:val="008864B3"/>
    <w:rsid w:val="008865E5"/>
    <w:rsid w:val="008871B0"/>
    <w:rsid w:val="00890B57"/>
    <w:rsid w:val="008916BA"/>
    <w:rsid w:val="0089217C"/>
    <w:rsid w:val="00892790"/>
    <w:rsid w:val="008931DA"/>
    <w:rsid w:val="00893671"/>
    <w:rsid w:val="008946DC"/>
    <w:rsid w:val="00895838"/>
    <w:rsid w:val="00895A1E"/>
    <w:rsid w:val="00895A72"/>
    <w:rsid w:val="00895CDF"/>
    <w:rsid w:val="00896679"/>
    <w:rsid w:val="00896D8C"/>
    <w:rsid w:val="008A0FC9"/>
    <w:rsid w:val="008A1956"/>
    <w:rsid w:val="008A1A7C"/>
    <w:rsid w:val="008A2CE2"/>
    <w:rsid w:val="008A40D3"/>
    <w:rsid w:val="008A469C"/>
    <w:rsid w:val="008A51D1"/>
    <w:rsid w:val="008A5DCE"/>
    <w:rsid w:val="008A75D3"/>
    <w:rsid w:val="008B05DD"/>
    <w:rsid w:val="008B07B8"/>
    <w:rsid w:val="008B17E8"/>
    <w:rsid w:val="008B2E7C"/>
    <w:rsid w:val="008B321A"/>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03C2"/>
    <w:rsid w:val="008D12FB"/>
    <w:rsid w:val="008D3B2D"/>
    <w:rsid w:val="008D58D9"/>
    <w:rsid w:val="008D5AD4"/>
    <w:rsid w:val="008D695E"/>
    <w:rsid w:val="008D6DD5"/>
    <w:rsid w:val="008D6E59"/>
    <w:rsid w:val="008D7155"/>
    <w:rsid w:val="008D76E0"/>
    <w:rsid w:val="008E0B29"/>
    <w:rsid w:val="008E141A"/>
    <w:rsid w:val="008E1A44"/>
    <w:rsid w:val="008E1E55"/>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62C1"/>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4570"/>
    <w:rsid w:val="00924A46"/>
    <w:rsid w:val="00926112"/>
    <w:rsid w:val="0092625F"/>
    <w:rsid w:val="00926B28"/>
    <w:rsid w:val="00926D9C"/>
    <w:rsid w:val="00927028"/>
    <w:rsid w:val="00927763"/>
    <w:rsid w:val="00927A2D"/>
    <w:rsid w:val="00927B37"/>
    <w:rsid w:val="00931917"/>
    <w:rsid w:val="009321B1"/>
    <w:rsid w:val="00932ED7"/>
    <w:rsid w:val="009333CF"/>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7797"/>
    <w:rsid w:val="009478A2"/>
    <w:rsid w:val="00947D02"/>
    <w:rsid w:val="00953808"/>
    <w:rsid w:val="009539A6"/>
    <w:rsid w:val="00954032"/>
    <w:rsid w:val="00954537"/>
    <w:rsid w:val="0095472D"/>
    <w:rsid w:val="00955FBB"/>
    <w:rsid w:val="0095694B"/>
    <w:rsid w:val="00956BD5"/>
    <w:rsid w:val="00956D84"/>
    <w:rsid w:val="009577B5"/>
    <w:rsid w:val="009608E6"/>
    <w:rsid w:val="00960F57"/>
    <w:rsid w:val="00961C90"/>
    <w:rsid w:val="00965443"/>
    <w:rsid w:val="00965954"/>
    <w:rsid w:val="00965A21"/>
    <w:rsid w:val="00965E55"/>
    <w:rsid w:val="0096608E"/>
    <w:rsid w:val="00966522"/>
    <w:rsid w:val="00966C33"/>
    <w:rsid w:val="00966FCB"/>
    <w:rsid w:val="00970F18"/>
    <w:rsid w:val="00971CF1"/>
    <w:rsid w:val="00971F5D"/>
    <w:rsid w:val="009721E9"/>
    <w:rsid w:val="00973772"/>
    <w:rsid w:val="0097471B"/>
    <w:rsid w:val="0097560A"/>
    <w:rsid w:val="00975E1E"/>
    <w:rsid w:val="00975E70"/>
    <w:rsid w:val="009761DE"/>
    <w:rsid w:val="009766FA"/>
    <w:rsid w:val="00977CD6"/>
    <w:rsid w:val="0098048B"/>
    <w:rsid w:val="00980DF9"/>
    <w:rsid w:val="00981150"/>
    <w:rsid w:val="0098243D"/>
    <w:rsid w:val="00982D26"/>
    <w:rsid w:val="00983B6E"/>
    <w:rsid w:val="00983FE5"/>
    <w:rsid w:val="009849E9"/>
    <w:rsid w:val="009859E4"/>
    <w:rsid w:val="00987812"/>
    <w:rsid w:val="00990225"/>
    <w:rsid w:val="00992A13"/>
    <w:rsid w:val="00994AAD"/>
    <w:rsid w:val="00994DE1"/>
    <w:rsid w:val="00995150"/>
    <w:rsid w:val="00995D67"/>
    <w:rsid w:val="009A013B"/>
    <w:rsid w:val="009A01A8"/>
    <w:rsid w:val="009A02F4"/>
    <w:rsid w:val="009A06BF"/>
    <w:rsid w:val="009A0D17"/>
    <w:rsid w:val="009A2494"/>
    <w:rsid w:val="009A295D"/>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1AF6"/>
    <w:rsid w:val="009C2913"/>
    <w:rsid w:val="009C2BD4"/>
    <w:rsid w:val="009C5AFE"/>
    <w:rsid w:val="009C6606"/>
    <w:rsid w:val="009C6CE5"/>
    <w:rsid w:val="009C6D50"/>
    <w:rsid w:val="009C7547"/>
    <w:rsid w:val="009D05EC"/>
    <w:rsid w:val="009D18D4"/>
    <w:rsid w:val="009D1CDD"/>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3812"/>
    <w:rsid w:val="00A15655"/>
    <w:rsid w:val="00A160B0"/>
    <w:rsid w:val="00A1740C"/>
    <w:rsid w:val="00A20069"/>
    <w:rsid w:val="00A2244D"/>
    <w:rsid w:val="00A2253D"/>
    <w:rsid w:val="00A2267F"/>
    <w:rsid w:val="00A22CDB"/>
    <w:rsid w:val="00A247B8"/>
    <w:rsid w:val="00A2495A"/>
    <w:rsid w:val="00A24C7A"/>
    <w:rsid w:val="00A24D8F"/>
    <w:rsid w:val="00A25B8B"/>
    <w:rsid w:val="00A25C5D"/>
    <w:rsid w:val="00A2689F"/>
    <w:rsid w:val="00A26ECA"/>
    <w:rsid w:val="00A27461"/>
    <w:rsid w:val="00A27D67"/>
    <w:rsid w:val="00A30ABC"/>
    <w:rsid w:val="00A32F6D"/>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410C"/>
    <w:rsid w:val="00A647B1"/>
    <w:rsid w:val="00A64DEF"/>
    <w:rsid w:val="00A654D2"/>
    <w:rsid w:val="00A665DF"/>
    <w:rsid w:val="00A67928"/>
    <w:rsid w:val="00A67FCC"/>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930"/>
    <w:rsid w:val="00A863F7"/>
    <w:rsid w:val="00A86604"/>
    <w:rsid w:val="00A87519"/>
    <w:rsid w:val="00A9246D"/>
    <w:rsid w:val="00A92CCA"/>
    <w:rsid w:val="00A93BD0"/>
    <w:rsid w:val="00A93CC2"/>
    <w:rsid w:val="00A974CC"/>
    <w:rsid w:val="00AA1067"/>
    <w:rsid w:val="00AA2001"/>
    <w:rsid w:val="00AA2B5C"/>
    <w:rsid w:val="00AA32D2"/>
    <w:rsid w:val="00AA4016"/>
    <w:rsid w:val="00AA4C1F"/>
    <w:rsid w:val="00AA5328"/>
    <w:rsid w:val="00AA5393"/>
    <w:rsid w:val="00AA63D4"/>
    <w:rsid w:val="00AB03FD"/>
    <w:rsid w:val="00AB2000"/>
    <w:rsid w:val="00AB2E94"/>
    <w:rsid w:val="00AB38CB"/>
    <w:rsid w:val="00AB3BEC"/>
    <w:rsid w:val="00AB44E4"/>
    <w:rsid w:val="00AB4AEB"/>
    <w:rsid w:val="00AB4E5F"/>
    <w:rsid w:val="00AB5352"/>
    <w:rsid w:val="00AB56AE"/>
    <w:rsid w:val="00AB62D5"/>
    <w:rsid w:val="00AB65B5"/>
    <w:rsid w:val="00AB6DCD"/>
    <w:rsid w:val="00AB6EE0"/>
    <w:rsid w:val="00AC17A2"/>
    <w:rsid w:val="00AC40B7"/>
    <w:rsid w:val="00AC531F"/>
    <w:rsid w:val="00AC5B36"/>
    <w:rsid w:val="00AC6377"/>
    <w:rsid w:val="00AC66A4"/>
    <w:rsid w:val="00AC6CB1"/>
    <w:rsid w:val="00AC7D6D"/>
    <w:rsid w:val="00AD0091"/>
    <w:rsid w:val="00AD23EF"/>
    <w:rsid w:val="00AD2662"/>
    <w:rsid w:val="00AD307B"/>
    <w:rsid w:val="00AD4014"/>
    <w:rsid w:val="00AD41B3"/>
    <w:rsid w:val="00AD5721"/>
    <w:rsid w:val="00AD5C4D"/>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6B62"/>
    <w:rsid w:val="00AE7280"/>
    <w:rsid w:val="00AF033A"/>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859"/>
    <w:rsid w:val="00B13EC9"/>
    <w:rsid w:val="00B14319"/>
    <w:rsid w:val="00B14A06"/>
    <w:rsid w:val="00B158E1"/>
    <w:rsid w:val="00B16715"/>
    <w:rsid w:val="00B1768E"/>
    <w:rsid w:val="00B17910"/>
    <w:rsid w:val="00B20F18"/>
    <w:rsid w:val="00B21516"/>
    <w:rsid w:val="00B21A37"/>
    <w:rsid w:val="00B21D23"/>
    <w:rsid w:val="00B21F62"/>
    <w:rsid w:val="00B22CE0"/>
    <w:rsid w:val="00B23738"/>
    <w:rsid w:val="00B23BEF"/>
    <w:rsid w:val="00B247BB"/>
    <w:rsid w:val="00B2504A"/>
    <w:rsid w:val="00B25EE6"/>
    <w:rsid w:val="00B3115A"/>
    <w:rsid w:val="00B31825"/>
    <w:rsid w:val="00B31A5C"/>
    <w:rsid w:val="00B33B06"/>
    <w:rsid w:val="00B33C19"/>
    <w:rsid w:val="00B35A15"/>
    <w:rsid w:val="00B35B45"/>
    <w:rsid w:val="00B36A99"/>
    <w:rsid w:val="00B42264"/>
    <w:rsid w:val="00B434B2"/>
    <w:rsid w:val="00B43D45"/>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D7"/>
    <w:rsid w:val="00B662FF"/>
    <w:rsid w:val="00B66679"/>
    <w:rsid w:val="00B70145"/>
    <w:rsid w:val="00B71A92"/>
    <w:rsid w:val="00B721D8"/>
    <w:rsid w:val="00B730CA"/>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C2A"/>
    <w:rsid w:val="00B878BE"/>
    <w:rsid w:val="00B902A5"/>
    <w:rsid w:val="00B90420"/>
    <w:rsid w:val="00B90848"/>
    <w:rsid w:val="00B91146"/>
    <w:rsid w:val="00B913E4"/>
    <w:rsid w:val="00B91DB9"/>
    <w:rsid w:val="00B91FF3"/>
    <w:rsid w:val="00B93EFE"/>
    <w:rsid w:val="00B944B9"/>
    <w:rsid w:val="00B94956"/>
    <w:rsid w:val="00B94C7F"/>
    <w:rsid w:val="00B94E93"/>
    <w:rsid w:val="00B956B5"/>
    <w:rsid w:val="00B96DF2"/>
    <w:rsid w:val="00B96E18"/>
    <w:rsid w:val="00B96F5A"/>
    <w:rsid w:val="00BA0B39"/>
    <w:rsid w:val="00BA0CB2"/>
    <w:rsid w:val="00BA0E26"/>
    <w:rsid w:val="00BA138B"/>
    <w:rsid w:val="00BA305B"/>
    <w:rsid w:val="00BA31BF"/>
    <w:rsid w:val="00BA3FC7"/>
    <w:rsid w:val="00BA478B"/>
    <w:rsid w:val="00BA5224"/>
    <w:rsid w:val="00BA575E"/>
    <w:rsid w:val="00BA76B7"/>
    <w:rsid w:val="00BA7E3B"/>
    <w:rsid w:val="00BB078D"/>
    <w:rsid w:val="00BB079C"/>
    <w:rsid w:val="00BB0D7A"/>
    <w:rsid w:val="00BB10E1"/>
    <w:rsid w:val="00BB2471"/>
    <w:rsid w:val="00BB25B8"/>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2F4"/>
    <w:rsid w:val="00BC6E73"/>
    <w:rsid w:val="00BC74D3"/>
    <w:rsid w:val="00BD0014"/>
    <w:rsid w:val="00BD01D8"/>
    <w:rsid w:val="00BD255F"/>
    <w:rsid w:val="00BD2895"/>
    <w:rsid w:val="00BD4236"/>
    <w:rsid w:val="00BD483B"/>
    <w:rsid w:val="00BD5CD4"/>
    <w:rsid w:val="00BD65D9"/>
    <w:rsid w:val="00BD6DF3"/>
    <w:rsid w:val="00BD6E09"/>
    <w:rsid w:val="00BD6EF9"/>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4342"/>
    <w:rsid w:val="00BF4704"/>
    <w:rsid w:val="00BF4FFC"/>
    <w:rsid w:val="00BF5050"/>
    <w:rsid w:val="00BF50D1"/>
    <w:rsid w:val="00BF5422"/>
    <w:rsid w:val="00BF59B1"/>
    <w:rsid w:val="00BF6A78"/>
    <w:rsid w:val="00BF7695"/>
    <w:rsid w:val="00BF79B4"/>
    <w:rsid w:val="00BF7C61"/>
    <w:rsid w:val="00C00037"/>
    <w:rsid w:val="00C00D18"/>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B19"/>
    <w:rsid w:val="00C413CB"/>
    <w:rsid w:val="00C42752"/>
    <w:rsid w:val="00C42973"/>
    <w:rsid w:val="00C44C69"/>
    <w:rsid w:val="00C4712A"/>
    <w:rsid w:val="00C5034F"/>
    <w:rsid w:val="00C50830"/>
    <w:rsid w:val="00C52479"/>
    <w:rsid w:val="00C5266E"/>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7223"/>
    <w:rsid w:val="00C707B8"/>
    <w:rsid w:val="00C712AC"/>
    <w:rsid w:val="00C71C15"/>
    <w:rsid w:val="00C71F3D"/>
    <w:rsid w:val="00C72F53"/>
    <w:rsid w:val="00C74035"/>
    <w:rsid w:val="00C748EA"/>
    <w:rsid w:val="00C77818"/>
    <w:rsid w:val="00C8063F"/>
    <w:rsid w:val="00C81282"/>
    <w:rsid w:val="00C827B4"/>
    <w:rsid w:val="00C83214"/>
    <w:rsid w:val="00C8329F"/>
    <w:rsid w:val="00C84F8A"/>
    <w:rsid w:val="00C85BA4"/>
    <w:rsid w:val="00C8618F"/>
    <w:rsid w:val="00C8625D"/>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19D7"/>
    <w:rsid w:val="00CB19FE"/>
    <w:rsid w:val="00CB1C3F"/>
    <w:rsid w:val="00CB2364"/>
    <w:rsid w:val="00CB304C"/>
    <w:rsid w:val="00CB3933"/>
    <w:rsid w:val="00CB53E8"/>
    <w:rsid w:val="00CB594A"/>
    <w:rsid w:val="00CB5CB2"/>
    <w:rsid w:val="00CB6979"/>
    <w:rsid w:val="00CB7DDE"/>
    <w:rsid w:val="00CC0A3D"/>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2687"/>
    <w:rsid w:val="00CE3529"/>
    <w:rsid w:val="00CE35C8"/>
    <w:rsid w:val="00CE3962"/>
    <w:rsid w:val="00CE4D1A"/>
    <w:rsid w:val="00CE4E8A"/>
    <w:rsid w:val="00CE5105"/>
    <w:rsid w:val="00CE56BD"/>
    <w:rsid w:val="00CE5EC0"/>
    <w:rsid w:val="00CE6A0B"/>
    <w:rsid w:val="00CE6F9F"/>
    <w:rsid w:val="00CE781A"/>
    <w:rsid w:val="00CE7B08"/>
    <w:rsid w:val="00CE7D52"/>
    <w:rsid w:val="00CF1D74"/>
    <w:rsid w:val="00CF2BE2"/>
    <w:rsid w:val="00CF3DEB"/>
    <w:rsid w:val="00CF55F9"/>
    <w:rsid w:val="00CF7074"/>
    <w:rsid w:val="00CF7390"/>
    <w:rsid w:val="00CF7495"/>
    <w:rsid w:val="00D01CF9"/>
    <w:rsid w:val="00D0334D"/>
    <w:rsid w:val="00D0374D"/>
    <w:rsid w:val="00D06D7B"/>
    <w:rsid w:val="00D06DA5"/>
    <w:rsid w:val="00D07191"/>
    <w:rsid w:val="00D07F1D"/>
    <w:rsid w:val="00D10558"/>
    <w:rsid w:val="00D11D4D"/>
    <w:rsid w:val="00D126DC"/>
    <w:rsid w:val="00D12B03"/>
    <w:rsid w:val="00D13E70"/>
    <w:rsid w:val="00D15FCD"/>
    <w:rsid w:val="00D16C58"/>
    <w:rsid w:val="00D17019"/>
    <w:rsid w:val="00D17FC8"/>
    <w:rsid w:val="00D20B44"/>
    <w:rsid w:val="00D21168"/>
    <w:rsid w:val="00D2438C"/>
    <w:rsid w:val="00D2585A"/>
    <w:rsid w:val="00D259B0"/>
    <w:rsid w:val="00D26C3F"/>
    <w:rsid w:val="00D27026"/>
    <w:rsid w:val="00D27185"/>
    <w:rsid w:val="00D30EF8"/>
    <w:rsid w:val="00D32518"/>
    <w:rsid w:val="00D33488"/>
    <w:rsid w:val="00D33AB3"/>
    <w:rsid w:val="00D33F24"/>
    <w:rsid w:val="00D34160"/>
    <w:rsid w:val="00D346B8"/>
    <w:rsid w:val="00D34DCA"/>
    <w:rsid w:val="00D35AC8"/>
    <w:rsid w:val="00D36F87"/>
    <w:rsid w:val="00D37E4E"/>
    <w:rsid w:val="00D400A4"/>
    <w:rsid w:val="00D40DEF"/>
    <w:rsid w:val="00D417D8"/>
    <w:rsid w:val="00D41F78"/>
    <w:rsid w:val="00D42E6C"/>
    <w:rsid w:val="00D4351C"/>
    <w:rsid w:val="00D43B80"/>
    <w:rsid w:val="00D44988"/>
    <w:rsid w:val="00D45B4C"/>
    <w:rsid w:val="00D45BA4"/>
    <w:rsid w:val="00D471AF"/>
    <w:rsid w:val="00D4724F"/>
    <w:rsid w:val="00D50519"/>
    <w:rsid w:val="00D512C8"/>
    <w:rsid w:val="00D51601"/>
    <w:rsid w:val="00D51ECB"/>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A7722"/>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009D"/>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A1D"/>
    <w:rsid w:val="00DE15B2"/>
    <w:rsid w:val="00DE1A9A"/>
    <w:rsid w:val="00DE3D2C"/>
    <w:rsid w:val="00DE5E82"/>
    <w:rsid w:val="00DE5FA6"/>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608"/>
    <w:rsid w:val="00DF6CCC"/>
    <w:rsid w:val="00DF6D0C"/>
    <w:rsid w:val="00DF6F64"/>
    <w:rsid w:val="00DF721E"/>
    <w:rsid w:val="00DF7B8A"/>
    <w:rsid w:val="00DF7C87"/>
    <w:rsid w:val="00E009B0"/>
    <w:rsid w:val="00E00A12"/>
    <w:rsid w:val="00E00C49"/>
    <w:rsid w:val="00E01C9C"/>
    <w:rsid w:val="00E0219D"/>
    <w:rsid w:val="00E04C0F"/>
    <w:rsid w:val="00E0570B"/>
    <w:rsid w:val="00E10343"/>
    <w:rsid w:val="00E10913"/>
    <w:rsid w:val="00E10B87"/>
    <w:rsid w:val="00E121CE"/>
    <w:rsid w:val="00E1478B"/>
    <w:rsid w:val="00E14FAC"/>
    <w:rsid w:val="00E15007"/>
    <w:rsid w:val="00E16277"/>
    <w:rsid w:val="00E16EC7"/>
    <w:rsid w:val="00E219CE"/>
    <w:rsid w:val="00E24071"/>
    <w:rsid w:val="00E24EBC"/>
    <w:rsid w:val="00E2522C"/>
    <w:rsid w:val="00E2552F"/>
    <w:rsid w:val="00E2599B"/>
    <w:rsid w:val="00E2710C"/>
    <w:rsid w:val="00E27428"/>
    <w:rsid w:val="00E305B4"/>
    <w:rsid w:val="00E31AFA"/>
    <w:rsid w:val="00E31CB7"/>
    <w:rsid w:val="00E324EE"/>
    <w:rsid w:val="00E32990"/>
    <w:rsid w:val="00E34DB1"/>
    <w:rsid w:val="00E35931"/>
    <w:rsid w:val="00E359FF"/>
    <w:rsid w:val="00E36BD1"/>
    <w:rsid w:val="00E402C5"/>
    <w:rsid w:val="00E402F4"/>
    <w:rsid w:val="00E405F1"/>
    <w:rsid w:val="00E4178B"/>
    <w:rsid w:val="00E417DB"/>
    <w:rsid w:val="00E43054"/>
    <w:rsid w:val="00E43655"/>
    <w:rsid w:val="00E44440"/>
    <w:rsid w:val="00E46013"/>
    <w:rsid w:val="00E47099"/>
    <w:rsid w:val="00E47284"/>
    <w:rsid w:val="00E4730A"/>
    <w:rsid w:val="00E477C3"/>
    <w:rsid w:val="00E47BE3"/>
    <w:rsid w:val="00E517A5"/>
    <w:rsid w:val="00E51E16"/>
    <w:rsid w:val="00E53730"/>
    <w:rsid w:val="00E5438D"/>
    <w:rsid w:val="00E54511"/>
    <w:rsid w:val="00E54E50"/>
    <w:rsid w:val="00E55288"/>
    <w:rsid w:val="00E57577"/>
    <w:rsid w:val="00E62043"/>
    <w:rsid w:val="00E626B9"/>
    <w:rsid w:val="00E627C9"/>
    <w:rsid w:val="00E630F3"/>
    <w:rsid w:val="00E6332F"/>
    <w:rsid w:val="00E637C9"/>
    <w:rsid w:val="00E6402D"/>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1257"/>
    <w:rsid w:val="00E92154"/>
    <w:rsid w:val="00E923CF"/>
    <w:rsid w:val="00E93685"/>
    <w:rsid w:val="00E93B65"/>
    <w:rsid w:val="00E93C8C"/>
    <w:rsid w:val="00E95111"/>
    <w:rsid w:val="00E95FDF"/>
    <w:rsid w:val="00EA14C8"/>
    <w:rsid w:val="00EA2110"/>
    <w:rsid w:val="00EA283A"/>
    <w:rsid w:val="00EA2C90"/>
    <w:rsid w:val="00EA2E07"/>
    <w:rsid w:val="00EA383B"/>
    <w:rsid w:val="00EA48F3"/>
    <w:rsid w:val="00EA60BF"/>
    <w:rsid w:val="00EA7365"/>
    <w:rsid w:val="00EA763F"/>
    <w:rsid w:val="00EA77E9"/>
    <w:rsid w:val="00EB05D0"/>
    <w:rsid w:val="00EB1151"/>
    <w:rsid w:val="00EB1D49"/>
    <w:rsid w:val="00EB23D9"/>
    <w:rsid w:val="00EB39A0"/>
    <w:rsid w:val="00EB559F"/>
    <w:rsid w:val="00EB566C"/>
    <w:rsid w:val="00EB5F3D"/>
    <w:rsid w:val="00EC1CEB"/>
    <w:rsid w:val="00EC1DC0"/>
    <w:rsid w:val="00EC1DC2"/>
    <w:rsid w:val="00EC21EC"/>
    <w:rsid w:val="00EC24B8"/>
    <w:rsid w:val="00EC268C"/>
    <w:rsid w:val="00EC3753"/>
    <w:rsid w:val="00EC4E71"/>
    <w:rsid w:val="00EC5F1C"/>
    <w:rsid w:val="00ED0365"/>
    <w:rsid w:val="00ED0865"/>
    <w:rsid w:val="00ED1C60"/>
    <w:rsid w:val="00ED2EB9"/>
    <w:rsid w:val="00ED32D5"/>
    <w:rsid w:val="00ED3722"/>
    <w:rsid w:val="00ED3A31"/>
    <w:rsid w:val="00ED4469"/>
    <w:rsid w:val="00ED5424"/>
    <w:rsid w:val="00ED5F23"/>
    <w:rsid w:val="00ED6DC0"/>
    <w:rsid w:val="00ED7A7A"/>
    <w:rsid w:val="00EE0327"/>
    <w:rsid w:val="00EE038C"/>
    <w:rsid w:val="00EE28C5"/>
    <w:rsid w:val="00EE2F09"/>
    <w:rsid w:val="00EE47C5"/>
    <w:rsid w:val="00EE490C"/>
    <w:rsid w:val="00EE4E57"/>
    <w:rsid w:val="00EE5738"/>
    <w:rsid w:val="00EE58BD"/>
    <w:rsid w:val="00EE5E59"/>
    <w:rsid w:val="00EE6549"/>
    <w:rsid w:val="00EE73D0"/>
    <w:rsid w:val="00EE7CB0"/>
    <w:rsid w:val="00EF08A8"/>
    <w:rsid w:val="00EF167B"/>
    <w:rsid w:val="00EF30BF"/>
    <w:rsid w:val="00EF41A8"/>
    <w:rsid w:val="00EF44FB"/>
    <w:rsid w:val="00EF5122"/>
    <w:rsid w:val="00EF5554"/>
    <w:rsid w:val="00EF5AD8"/>
    <w:rsid w:val="00EF6B90"/>
    <w:rsid w:val="00EF7807"/>
    <w:rsid w:val="00EF79F7"/>
    <w:rsid w:val="00F006C0"/>
    <w:rsid w:val="00F0125F"/>
    <w:rsid w:val="00F019AA"/>
    <w:rsid w:val="00F0267E"/>
    <w:rsid w:val="00F02686"/>
    <w:rsid w:val="00F030C0"/>
    <w:rsid w:val="00F03291"/>
    <w:rsid w:val="00F0459B"/>
    <w:rsid w:val="00F04E15"/>
    <w:rsid w:val="00F05DF3"/>
    <w:rsid w:val="00F0692C"/>
    <w:rsid w:val="00F069EA"/>
    <w:rsid w:val="00F070E5"/>
    <w:rsid w:val="00F07DDE"/>
    <w:rsid w:val="00F11675"/>
    <w:rsid w:val="00F12557"/>
    <w:rsid w:val="00F13599"/>
    <w:rsid w:val="00F13B28"/>
    <w:rsid w:val="00F14E01"/>
    <w:rsid w:val="00F156A0"/>
    <w:rsid w:val="00F1573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DA7"/>
    <w:rsid w:val="00F36A6A"/>
    <w:rsid w:val="00F40101"/>
    <w:rsid w:val="00F404F7"/>
    <w:rsid w:val="00F40CCA"/>
    <w:rsid w:val="00F42D97"/>
    <w:rsid w:val="00F436B2"/>
    <w:rsid w:val="00F43813"/>
    <w:rsid w:val="00F43FEE"/>
    <w:rsid w:val="00F45A72"/>
    <w:rsid w:val="00F46723"/>
    <w:rsid w:val="00F4706D"/>
    <w:rsid w:val="00F476E1"/>
    <w:rsid w:val="00F47D1D"/>
    <w:rsid w:val="00F47F29"/>
    <w:rsid w:val="00F50016"/>
    <w:rsid w:val="00F50058"/>
    <w:rsid w:val="00F5118A"/>
    <w:rsid w:val="00F51A21"/>
    <w:rsid w:val="00F52614"/>
    <w:rsid w:val="00F5276E"/>
    <w:rsid w:val="00F52E9F"/>
    <w:rsid w:val="00F53304"/>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5171"/>
    <w:rsid w:val="00F6560D"/>
    <w:rsid w:val="00F65C23"/>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203B"/>
    <w:rsid w:val="00F93ABB"/>
    <w:rsid w:val="00F94D79"/>
    <w:rsid w:val="00F9658C"/>
    <w:rsid w:val="00F97A7F"/>
    <w:rsid w:val="00FA0889"/>
    <w:rsid w:val="00FA16E7"/>
    <w:rsid w:val="00FA31C7"/>
    <w:rsid w:val="00FA472D"/>
    <w:rsid w:val="00FB0CBF"/>
    <w:rsid w:val="00FB18F6"/>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23A"/>
    <w:rsid w:val="00FC6524"/>
    <w:rsid w:val="00FC75AC"/>
    <w:rsid w:val="00FD01BF"/>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1C9B"/>
    <w:rsid w:val="00FF1D49"/>
    <w:rsid w:val="00FF203B"/>
    <w:rsid w:val="00FF2562"/>
    <w:rsid w:val="00FF3A41"/>
    <w:rsid w:val="00FF3E5B"/>
    <w:rsid w:val="00FF57E4"/>
    <w:rsid w:val="00FF78E5"/>
    <w:rsid w:val="01410281"/>
    <w:rsid w:val="01AF3D99"/>
    <w:rsid w:val="02511F9D"/>
    <w:rsid w:val="0277407F"/>
    <w:rsid w:val="03A314B8"/>
    <w:rsid w:val="03D82B98"/>
    <w:rsid w:val="03F83E8B"/>
    <w:rsid w:val="042138A9"/>
    <w:rsid w:val="05C56868"/>
    <w:rsid w:val="07B72767"/>
    <w:rsid w:val="08077E72"/>
    <w:rsid w:val="08760100"/>
    <w:rsid w:val="08882DD0"/>
    <w:rsid w:val="090D3FCB"/>
    <w:rsid w:val="09952748"/>
    <w:rsid w:val="09CC2AAC"/>
    <w:rsid w:val="09D26E76"/>
    <w:rsid w:val="0A652D3E"/>
    <w:rsid w:val="0B326F2A"/>
    <w:rsid w:val="0C1E2888"/>
    <w:rsid w:val="0C92213C"/>
    <w:rsid w:val="0C9B6BDE"/>
    <w:rsid w:val="0D696DCC"/>
    <w:rsid w:val="0D84032B"/>
    <w:rsid w:val="0F2A74C4"/>
    <w:rsid w:val="10A27F31"/>
    <w:rsid w:val="10CF2046"/>
    <w:rsid w:val="112623F5"/>
    <w:rsid w:val="11927058"/>
    <w:rsid w:val="13AF4F03"/>
    <w:rsid w:val="1414051C"/>
    <w:rsid w:val="14736E66"/>
    <w:rsid w:val="147F458F"/>
    <w:rsid w:val="14D958EC"/>
    <w:rsid w:val="1534169A"/>
    <w:rsid w:val="15C03E03"/>
    <w:rsid w:val="162A25EB"/>
    <w:rsid w:val="16E556FC"/>
    <w:rsid w:val="16FD2A55"/>
    <w:rsid w:val="17067C1A"/>
    <w:rsid w:val="1729063C"/>
    <w:rsid w:val="17366761"/>
    <w:rsid w:val="175D3A94"/>
    <w:rsid w:val="177C01F0"/>
    <w:rsid w:val="17CE6630"/>
    <w:rsid w:val="1AFF0AFE"/>
    <w:rsid w:val="1B4F19F8"/>
    <w:rsid w:val="1BB96904"/>
    <w:rsid w:val="1C1571E4"/>
    <w:rsid w:val="1C226F03"/>
    <w:rsid w:val="1D021844"/>
    <w:rsid w:val="1D7D6213"/>
    <w:rsid w:val="1E6C7103"/>
    <w:rsid w:val="1ECC44FA"/>
    <w:rsid w:val="1F063325"/>
    <w:rsid w:val="1F3A55CD"/>
    <w:rsid w:val="1FBC5DF5"/>
    <w:rsid w:val="1FF90588"/>
    <w:rsid w:val="20490E7D"/>
    <w:rsid w:val="20C3623F"/>
    <w:rsid w:val="21195CB4"/>
    <w:rsid w:val="21416940"/>
    <w:rsid w:val="21781212"/>
    <w:rsid w:val="21B83F86"/>
    <w:rsid w:val="221178A8"/>
    <w:rsid w:val="221213CF"/>
    <w:rsid w:val="22327A92"/>
    <w:rsid w:val="231D53A2"/>
    <w:rsid w:val="236D5383"/>
    <w:rsid w:val="23B7504C"/>
    <w:rsid w:val="24571307"/>
    <w:rsid w:val="25110A2A"/>
    <w:rsid w:val="256C0944"/>
    <w:rsid w:val="26446DE3"/>
    <w:rsid w:val="269669E7"/>
    <w:rsid w:val="26D7699F"/>
    <w:rsid w:val="27CE3290"/>
    <w:rsid w:val="28845555"/>
    <w:rsid w:val="2A583A99"/>
    <w:rsid w:val="2B774624"/>
    <w:rsid w:val="2C7A72BE"/>
    <w:rsid w:val="2C9A7D75"/>
    <w:rsid w:val="2CC17412"/>
    <w:rsid w:val="2E9976CE"/>
    <w:rsid w:val="2F401D3C"/>
    <w:rsid w:val="2F5B24E1"/>
    <w:rsid w:val="2FA95C88"/>
    <w:rsid w:val="3041370F"/>
    <w:rsid w:val="30F359CA"/>
    <w:rsid w:val="31265A26"/>
    <w:rsid w:val="312B50A3"/>
    <w:rsid w:val="31BB64C2"/>
    <w:rsid w:val="32453A27"/>
    <w:rsid w:val="3263064A"/>
    <w:rsid w:val="32A43132"/>
    <w:rsid w:val="32AC0C06"/>
    <w:rsid w:val="33344EF5"/>
    <w:rsid w:val="33E57D11"/>
    <w:rsid w:val="343D381A"/>
    <w:rsid w:val="3537750C"/>
    <w:rsid w:val="3537798C"/>
    <w:rsid w:val="35C13FC9"/>
    <w:rsid w:val="35C6441D"/>
    <w:rsid w:val="364257B6"/>
    <w:rsid w:val="36A811E3"/>
    <w:rsid w:val="36BB26CF"/>
    <w:rsid w:val="37EA5922"/>
    <w:rsid w:val="38276B93"/>
    <w:rsid w:val="38AC3431"/>
    <w:rsid w:val="390E2A1A"/>
    <w:rsid w:val="392F2E16"/>
    <w:rsid w:val="3960514E"/>
    <w:rsid w:val="39E00529"/>
    <w:rsid w:val="3A0B64A7"/>
    <w:rsid w:val="3A0D4272"/>
    <w:rsid w:val="3A574DDA"/>
    <w:rsid w:val="3AD3075A"/>
    <w:rsid w:val="3AF74C02"/>
    <w:rsid w:val="3B0B1FFB"/>
    <w:rsid w:val="3B871469"/>
    <w:rsid w:val="3C0059A5"/>
    <w:rsid w:val="3C134E78"/>
    <w:rsid w:val="3D66696F"/>
    <w:rsid w:val="3DEC7285"/>
    <w:rsid w:val="3DF6345D"/>
    <w:rsid w:val="3E2B5515"/>
    <w:rsid w:val="3E4D4F28"/>
    <w:rsid w:val="3EE13701"/>
    <w:rsid w:val="3F1A4BB3"/>
    <w:rsid w:val="3F22466E"/>
    <w:rsid w:val="40192BA6"/>
    <w:rsid w:val="412907FD"/>
    <w:rsid w:val="41766EA9"/>
    <w:rsid w:val="421F113C"/>
    <w:rsid w:val="42550A18"/>
    <w:rsid w:val="429D496A"/>
    <w:rsid w:val="42AD50EE"/>
    <w:rsid w:val="42F473A1"/>
    <w:rsid w:val="441E62C0"/>
    <w:rsid w:val="45325D14"/>
    <w:rsid w:val="45811C7C"/>
    <w:rsid w:val="45906116"/>
    <w:rsid w:val="45F95F9B"/>
    <w:rsid w:val="468B3EFB"/>
    <w:rsid w:val="470A6193"/>
    <w:rsid w:val="47385210"/>
    <w:rsid w:val="47DC4F5C"/>
    <w:rsid w:val="485D7FA6"/>
    <w:rsid w:val="48B40671"/>
    <w:rsid w:val="499B5738"/>
    <w:rsid w:val="499F244D"/>
    <w:rsid w:val="4A973F3F"/>
    <w:rsid w:val="4AF96BC7"/>
    <w:rsid w:val="4B5A416B"/>
    <w:rsid w:val="4B862A85"/>
    <w:rsid w:val="4CEF36E2"/>
    <w:rsid w:val="4CEF4DC5"/>
    <w:rsid w:val="4E232AA4"/>
    <w:rsid w:val="4E257655"/>
    <w:rsid w:val="4E8E7871"/>
    <w:rsid w:val="4F372380"/>
    <w:rsid w:val="4F372FFB"/>
    <w:rsid w:val="5025116D"/>
    <w:rsid w:val="502D2C76"/>
    <w:rsid w:val="50D45E67"/>
    <w:rsid w:val="50E431B3"/>
    <w:rsid w:val="50E47C22"/>
    <w:rsid w:val="52395ECD"/>
    <w:rsid w:val="52C10D75"/>
    <w:rsid w:val="531321C9"/>
    <w:rsid w:val="53C27FF8"/>
    <w:rsid w:val="549E1A80"/>
    <w:rsid w:val="54C658F4"/>
    <w:rsid w:val="55006BAB"/>
    <w:rsid w:val="550C4BD7"/>
    <w:rsid w:val="554C1D56"/>
    <w:rsid w:val="55572986"/>
    <w:rsid w:val="55801A9A"/>
    <w:rsid w:val="55C062DD"/>
    <w:rsid w:val="565340FA"/>
    <w:rsid w:val="571E6C34"/>
    <w:rsid w:val="5723343E"/>
    <w:rsid w:val="573D7EAB"/>
    <w:rsid w:val="57FB5468"/>
    <w:rsid w:val="593D584B"/>
    <w:rsid w:val="5A2F2CC8"/>
    <w:rsid w:val="5BA26962"/>
    <w:rsid w:val="5C10702D"/>
    <w:rsid w:val="5C152601"/>
    <w:rsid w:val="5C591F03"/>
    <w:rsid w:val="5C8A1B2F"/>
    <w:rsid w:val="5D914004"/>
    <w:rsid w:val="5E1B0B9C"/>
    <w:rsid w:val="5F561B72"/>
    <w:rsid w:val="606007BB"/>
    <w:rsid w:val="606C2580"/>
    <w:rsid w:val="60AC7F66"/>
    <w:rsid w:val="60EE27F2"/>
    <w:rsid w:val="61BF10D9"/>
    <w:rsid w:val="61DA3D4C"/>
    <w:rsid w:val="62AC22DC"/>
    <w:rsid w:val="637833E8"/>
    <w:rsid w:val="64E45EF7"/>
    <w:rsid w:val="6691014E"/>
    <w:rsid w:val="66C87CCE"/>
    <w:rsid w:val="671454B0"/>
    <w:rsid w:val="677435B2"/>
    <w:rsid w:val="67EF75F1"/>
    <w:rsid w:val="682A2358"/>
    <w:rsid w:val="69124F16"/>
    <w:rsid w:val="694A5205"/>
    <w:rsid w:val="69CD5C14"/>
    <w:rsid w:val="69CF0D33"/>
    <w:rsid w:val="6AD172CA"/>
    <w:rsid w:val="6B9946B3"/>
    <w:rsid w:val="6C662189"/>
    <w:rsid w:val="6C7007C7"/>
    <w:rsid w:val="6D0F609D"/>
    <w:rsid w:val="6D3E76EB"/>
    <w:rsid w:val="6D4176AB"/>
    <w:rsid w:val="6D9E2373"/>
    <w:rsid w:val="6DE76850"/>
    <w:rsid w:val="6F8F4715"/>
    <w:rsid w:val="6FB20BD4"/>
    <w:rsid w:val="6FB650F7"/>
    <w:rsid w:val="6FBA59BE"/>
    <w:rsid w:val="70296B3E"/>
    <w:rsid w:val="70611204"/>
    <w:rsid w:val="73445350"/>
    <w:rsid w:val="74FA2C30"/>
    <w:rsid w:val="754D5C4B"/>
    <w:rsid w:val="76C240A7"/>
    <w:rsid w:val="775246B7"/>
    <w:rsid w:val="77FFF706"/>
    <w:rsid w:val="781E69D1"/>
    <w:rsid w:val="78BB33DD"/>
    <w:rsid w:val="793B3DA7"/>
    <w:rsid w:val="7A263B6B"/>
    <w:rsid w:val="7AB968E7"/>
    <w:rsid w:val="7AF46346"/>
    <w:rsid w:val="7B0F5EBF"/>
    <w:rsid w:val="7B130FB9"/>
    <w:rsid w:val="7BF64EDE"/>
    <w:rsid w:val="7C400C1E"/>
    <w:rsid w:val="7C5637C5"/>
    <w:rsid w:val="7D4A463B"/>
    <w:rsid w:val="7DD11708"/>
    <w:rsid w:val="7EBD579E"/>
    <w:rsid w:val="7EC167BD"/>
    <w:rsid w:val="7F272D9E"/>
    <w:rsid w:val="7F7338C5"/>
    <w:rsid w:val="7FAB32B2"/>
    <w:rsid w:val="7FE833C5"/>
    <w:rsid w:val="DEF9C8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99"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52"/>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47"/>
    <w:autoRedefine/>
    <w:qFormat/>
    <w:uiPriority w:val="9"/>
    <w:pPr>
      <w:keepNext/>
      <w:keepLines/>
      <w:spacing w:before="260" w:after="260" w:line="416" w:lineRule="auto"/>
      <w:outlineLvl w:val="2"/>
    </w:pPr>
    <w:rPr>
      <w:b/>
      <w:bCs/>
      <w:sz w:val="32"/>
      <w:szCs w:val="32"/>
    </w:rPr>
  </w:style>
  <w:style w:type="paragraph" w:styleId="5">
    <w:name w:val="heading 5"/>
    <w:basedOn w:val="1"/>
    <w:next w:val="6"/>
    <w:link w:val="60"/>
    <w:qFormat/>
    <w:uiPriority w:val="9"/>
    <w:pPr>
      <w:keepNext/>
      <w:keepLines/>
      <w:spacing w:before="280" w:after="290" w:line="376" w:lineRule="auto"/>
      <w:outlineLvl w:val="4"/>
    </w:pPr>
    <w:rPr>
      <w:b/>
      <w:bCs/>
      <w:sz w:val="28"/>
      <w:szCs w:val="28"/>
    </w:rPr>
  </w:style>
  <w:style w:type="paragraph" w:styleId="7">
    <w:name w:val="heading 8"/>
    <w:basedOn w:val="1"/>
    <w:next w:val="1"/>
    <w:link w:val="79"/>
    <w:autoRedefine/>
    <w:qFormat/>
    <w:uiPriority w:val="9"/>
    <w:pPr>
      <w:keepNext/>
      <w:keepLines/>
      <w:spacing w:before="240" w:after="64" w:line="320" w:lineRule="auto"/>
      <w:outlineLvl w:val="7"/>
    </w:pPr>
    <w:rPr>
      <w:rFonts w:ascii="等线 Light" w:hAnsi="等线 Light" w:eastAsia="等线 Light"/>
      <w:sz w:val="24"/>
    </w:rPr>
  </w:style>
  <w:style w:type="character" w:default="1" w:styleId="29">
    <w:name w:val="Default Paragraph Font"/>
    <w:autoRedefine/>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pPr>
    <w:rPr>
      <w:szCs w:val="20"/>
    </w:rPr>
  </w:style>
  <w:style w:type="paragraph" w:styleId="8">
    <w:name w:val="List Number"/>
    <w:basedOn w:val="1"/>
    <w:autoRedefine/>
    <w:qFormat/>
    <w:uiPriority w:val="99"/>
    <w:pPr>
      <w:widowControl/>
      <w:tabs>
        <w:tab w:val="left" w:pos="454"/>
        <w:tab w:val="left" w:pos="720"/>
        <w:tab w:val="left" w:pos="840"/>
      </w:tabs>
      <w:spacing w:afterLines="50"/>
      <w:ind w:left="454" w:hanging="284"/>
      <w:jc w:val="left"/>
    </w:pPr>
    <w:rPr>
      <w:kern w:val="0"/>
      <w:sz w:val="24"/>
      <w:szCs w:val="20"/>
    </w:rPr>
  </w:style>
  <w:style w:type="paragraph" w:styleId="9">
    <w:name w:val="annotation text"/>
    <w:basedOn w:val="1"/>
    <w:link w:val="38"/>
    <w:qFormat/>
    <w:uiPriority w:val="99"/>
    <w:pPr>
      <w:jc w:val="left"/>
    </w:pPr>
  </w:style>
  <w:style w:type="paragraph" w:styleId="10">
    <w:name w:val="Body Text 3"/>
    <w:basedOn w:val="1"/>
    <w:link w:val="95"/>
    <w:autoRedefine/>
    <w:unhideWhenUsed/>
    <w:qFormat/>
    <w:uiPriority w:val="99"/>
    <w:pPr>
      <w:spacing w:after="120"/>
    </w:pPr>
    <w:rPr>
      <w:sz w:val="16"/>
      <w:szCs w:val="16"/>
    </w:rPr>
  </w:style>
  <w:style w:type="paragraph" w:styleId="11">
    <w:name w:val="Body Text"/>
    <w:basedOn w:val="1"/>
    <w:next w:val="1"/>
    <w:link w:val="74"/>
    <w:autoRedefine/>
    <w:unhideWhenUsed/>
    <w:qFormat/>
    <w:uiPriority w:val="99"/>
    <w:pPr>
      <w:spacing w:after="120"/>
    </w:pPr>
  </w:style>
  <w:style w:type="paragraph" w:styleId="12">
    <w:name w:val="Body Text Indent"/>
    <w:basedOn w:val="1"/>
    <w:next w:val="13"/>
    <w:link w:val="57"/>
    <w:autoRedefine/>
    <w:qFormat/>
    <w:uiPriority w:val="99"/>
    <w:pPr>
      <w:ind w:firstLine="830" w:firstLineChars="352"/>
    </w:pPr>
    <w:rPr>
      <w:rFonts w:ascii="仿宋_GB2312" w:eastAsia="仿宋_GB2312"/>
      <w:kern w:val="0"/>
      <w:sz w:val="32"/>
      <w:szCs w:val="20"/>
    </w:rPr>
  </w:style>
  <w:style w:type="paragraph" w:customStyle="1" w:styleId="13">
    <w:name w:val="标准正文 Char Char Char Char"/>
    <w:basedOn w:val="1"/>
    <w:next w:val="1"/>
    <w:qFormat/>
    <w:uiPriority w:val="0"/>
    <w:pPr>
      <w:spacing w:after="60"/>
      <w:ind w:firstLine="482"/>
    </w:pPr>
    <w:rPr>
      <w:kern w:val="0"/>
      <w:sz w:val="20"/>
      <w:szCs w:val="20"/>
    </w:rPr>
  </w:style>
  <w:style w:type="paragraph" w:styleId="14">
    <w:name w:val="List 2"/>
    <w:basedOn w:val="1"/>
    <w:autoRedefine/>
    <w:unhideWhenUsed/>
    <w:qFormat/>
    <w:uiPriority w:val="99"/>
    <w:pPr>
      <w:ind w:left="100" w:leftChars="200" w:hanging="200" w:hangingChars="200"/>
      <w:contextualSpacing/>
    </w:pPr>
  </w:style>
  <w:style w:type="paragraph" w:styleId="15">
    <w:name w:val="toc 3"/>
    <w:basedOn w:val="1"/>
    <w:next w:val="1"/>
    <w:autoRedefine/>
    <w:unhideWhenUsed/>
    <w:qFormat/>
    <w:uiPriority w:val="39"/>
    <w:pPr>
      <w:ind w:left="840" w:leftChars="400"/>
    </w:pPr>
  </w:style>
  <w:style w:type="paragraph" w:styleId="16">
    <w:name w:val="Plain Text"/>
    <w:basedOn w:val="1"/>
    <w:link w:val="89"/>
    <w:autoRedefine/>
    <w:qFormat/>
    <w:uiPriority w:val="99"/>
    <w:rPr>
      <w:rFonts w:ascii="宋体" w:hAnsi="Courier New"/>
      <w:kern w:val="0"/>
      <w:sz w:val="20"/>
      <w:szCs w:val="21"/>
    </w:rPr>
  </w:style>
  <w:style w:type="paragraph" w:styleId="17">
    <w:name w:val="Date"/>
    <w:basedOn w:val="1"/>
    <w:next w:val="1"/>
    <w:link w:val="75"/>
    <w:autoRedefine/>
    <w:unhideWhenUsed/>
    <w:qFormat/>
    <w:uiPriority w:val="99"/>
    <w:pPr>
      <w:ind w:left="100" w:leftChars="2500"/>
    </w:pPr>
  </w:style>
  <w:style w:type="paragraph" w:styleId="18">
    <w:name w:val="Balloon Text"/>
    <w:basedOn w:val="1"/>
    <w:link w:val="46"/>
    <w:autoRedefine/>
    <w:semiHidden/>
    <w:qFormat/>
    <w:uiPriority w:val="99"/>
    <w:rPr>
      <w:sz w:val="18"/>
      <w:szCs w:val="18"/>
    </w:rPr>
  </w:style>
  <w:style w:type="paragraph" w:styleId="19">
    <w:name w:val="footer"/>
    <w:basedOn w:val="1"/>
    <w:link w:val="82"/>
    <w:autoRedefine/>
    <w:unhideWhenUsed/>
    <w:qFormat/>
    <w:uiPriority w:val="99"/>
    <w:pPr>
      <w:tabs>
        <w:tab w:val="center" w:pos="4153"/>
        <w:tab w:val="right" w:pos="8306"/>
      </w:tabs>
      <w:snapToGrid w:val="0"/>
      <w:jc w:val="left"/>
    </w:pPr>
    <w:rPr>
      <w:kern w:val="0"/>
      <w:sz w:val="18"/>
      <w:szCs w:val="18"/>
    </w:rPr>
  </w:style>
  <w:style w:type="paragraph" w:styleId="20">
    <w:name w:val="header"/>
    <w:basedOn w:val="1"/>
    <w:link w:val="45"/>
    <w:autoRedefine/>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autoRedefine/>
    <w:unhideWhenUsed/>
    <w:qFormat/>
    <w:uiPriority w:val="39"/>
  </w:style>
  <w:style w:type="paragraph" w:styleId="22">
    <w:name w:val="List"/>
    <w:basedOn w:val="1"/>
    <w:autoRedefine/>
    <w:unhideWhenUsed/>
    <w:qFormat/>
    <w:uiPriority w:val="99"/>
    <w:pPr>
      <w:ind w:left="200" w:hanging="200" w:hangingChars="200"/>
      <w:contextualSpacing/>
    </w:pPr>
  </w:style>
  <w:style w:type="paragraph" w:styleId="23">
    <w:name w:val="toc 2"/>
    <w:basedOn w:val="1"/>
    <w:next w:val="1"/>
    <w:autoRedefine/>
    <w:unhideWhenUsed/>
    <w:qFormat/>
    <w:uiPriority w:val="39"/>
    <w:pPr>
      <w:tabs>
        <w:tab w:val="right" w:leader="dot" w:pos="8296"/>
      </w:tabs>
      <w:ind w:left="420" w:leftChars="200"/>
    </w:pPr>
  </w:style>
  <w:style w:type="paragraph" w:styleId="24">
    <w:name w:val="Normal (Web)"/>
    <w:basedOn w:val="1"/>
    <w:autoRedefine/>
    <w:unhideWhenUsed/>
    <w:qFormat/>
    <w:uiPriority w:val="99"/>
    <w:rPr>
      <w:rFonts w:ascii="Calibri" w:hAnsi="Calibri"/>
      <w:kern w:val="0"/>
      <w:sz w:val="24"/>
    </w:rPr>
  </w:style>
  <w:style w:type="paragraph" w:styleId="25">
    <w:name w:val="annotation subject"/>
    <w:basedOn w:val="9"/>
    <w:next w:val="9"/>
    <w:link w:val="37"/>
    <w:autoRedefine/>
    <w:qFormat/>
    <w:uiPriority w:val="99"/>
    <w:rPr>
      <w:b/>
      <w:bCs/>
    </w:rPr>
  </w:style>
  <w:style w:type="paragraph" w:styleId="26">
    <w:name w:val="Body Text First Indent 2"/>
    <w:basedOn w:val="12"/>
    <w:qFormat/>
    <w:uiPriority w:val="0"/>
    <w:pPr>
      <w:ind w:firstLine="420" w:firstLineChars="200"/>
    </w:pPr>
  </w:style>
  <w:style w:type="table" w:styleId="28">
    <w:name w:val="Table Grid"/>
    <w:basedOn w:val="2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Strong"/>
    <w:basedOn w:val="29"/>
    <w:qFormat/>
    <w:uiPriority w:val="22"/>
    <w:rPr>
      <w:b/>
    </w:rPr>
  </w:style>
  <w:style w:type="character" w:styleId="31">
    <w:name w:val="endnote reference"/>
    <w:autoRedefine/>
    <w:unhideWhenUsed/>
    <w:qFormat/>
    <w:uiPriority w:val="99"/>
    <w:rPr>
      <w:vertAlign w:val="superscript"/>
    </w:rPr>
  </w:style>
  <w:style w:type="character" w:styleId="32">
    <w:name w:val="page number"/>
    <w:autoRedefine/>
    <w:qFormat/>
    <w:uiPriority w:val="0"/>
  </w:style>
  <w:style w:type="character" w:styleId="33">
    <w:name w:val="FollowedHyperlink"/>
    <w:autoRedefine/>
    <w:unhideWhenUsed/>
    <w:qFormat/>
    <w:uiPriority w:val="99"/>
    <w:rPr>
      <w:color w:val="800080"/>
      <w:u w:val="single"/>
    </w:rPr>
  </w:style>
  <w:style w:type="character" w:styleId="34">
    <w:name w:val="Hyperlink"/>
    <w:autoRedefine/>
    <w:unhideWhenUsed/>
    <w:qFormat/>
    <w:uiPriority w:val="99"/>
    <w:rPr>
      <w:color w:val="0000FF"/>
      <w:u w:val="single"/>
    </w:rPr>
  </w:style>
  <w:style w:type="character" w:styleId="35">
    <w:name w:val="annotation reference"/>
    <w:autoRedefine/>
    <w:qFormat/>
    <w:uiPriority w:val="99"/>
    <w:rPr>
      <w:sz w:val="21"/>
      <w:szCs w:val="21"/>
    </w:rPr>
  </w:style>
  <w:style w:type="character" w:styleId="36">
    <w:name w:val="HTML Sample"/>
    <w:basedOn w:val="29"/>
    <w:semiHidden/>
    <w:unhideWhenUsed/>
    <w:qFormat/>
    <w:uiPriority w:val="99"/>
    <w:rPr>
      <w:rFonts w:ascii="Courier New" w:hAnsi="Courier New"/>
    </w:rPr>
  </w:style>
  <w:style w:type="character" w:customStyle="1" w:styleId="37">
    <w:name w:val="批注主题 Char"/>
    <w:link w:val="25"/>
    <w:autoRedefine/>
    <w:qFormat/>
    <w:uiPriority w:val="99"/>
    <w:rPr>
      <w:rFonts w:ascii="Times New Roman" w:hAnsi="Times New Roman"/>
      <w:b/>
      <w:bCs/>
      <w:kern w:val="2"/>
      <w:sz w:val="21"/>
      <w:szCs w:val="24"/>
    </w:rPr>
  </w:style>
  <w:style w:type="character" w:customStyle="1" w:styleId="38">
    <w:name w:val="批注文字 Char1"/>
    <w:link w:val="9"/>
    <w:autoRedefine/>
    <w:qFormat/>
    <w:uiPriority w:val="0"/>
    <w:rPr>
      <w:rFonts w:ascii="Times New Roman" w:hAnsi="Times New Roman"/>
      <w:kern w:val="2"/>
      <w:sz w:val="21"/>
      <w:szCs w:val="24"/>
    </w:rPr>
  </w:style>
  <w:style w:type="character" w:customStyle="1" w:styleId="39">
    <w:name w:val="批注文字 字符"/>
    <w:autoRedefine/>
    <w:qFormat/>
    <w:uiPriority w:val="0"/>
    <w:rPr>
      <w:rFonts w:ascii="Times New Roman" w:hAnsi="Times New Roman"/>
      <w:kern w:val="2"/>
      <w:sz w:val="21"/>
      <w:szCs w:val="24"/>
    </w:rPr>
  </w:style>
  <w:style w:type="paragraph" w:customStyle="1" w:styleId="40">
    <w:name w:val="正文2"/>
    <w:basedOn w:val="1"/>
    <w:link w:val="65"/>
    <w:autoRedefine/>
    <w:qFormat/>
    <w:uiPriority w:val="0"/>
    <w:pPr>
      <w:adjustRightInd w:val="0"/>
      <w:spacing w:before="156" w:line="360" w:lineRule="auto"/>
      <w:ind w:firstLine="510" w:firstLineChars="200"/>
    </w:pPr>
    <w:rPr>
      <w:kern w:val="0"/>
      <w:sz w:val="24"/>
      <w:szCs w:val="20"/>
    </w:rPr>
  </w:style>
  <w:style w:type="paragraph" w:customStyle="1" w:styleId="41">
    <w:name w:val="默认段落字体 Para Char Char Char Char Char Char Char Char Char1 Char Char Char Char"/>
    <w:basedOn w:val="1"/>
    <w:autoRedefine/>
    <w:qFormat/>
    <w:uiPriority w:val="99"/>
    <w:rPr>
      <w:rFonts w:ascii="Tahoma" w:hAnsi="Tahoma"/>
      <w:sz w:val="24"/>
      <w:szCs w:val="20"/>
    </w:rPr>
  </w:style>
  <w:style w:type="character" w:customStyle="1" w:styleId="42">
    <w:name w:val="日期 字符"/>
    <w:autoRedefine/>
    <w:qFormat/>
    <w:uiPriority w:val="99"/>
    <w:rPr>
      <w:kern w:val="2"/>
      <w:sz w:val="21"/>
      <w:szCs w:val="24"/>
    </w:rPr>
  </w:style>
  <w:style w:type="paragraph" w:customStyle="1" w:styleId="43">
    <w:name w:val="_Style 94"/>
    <w:basedOn w:val="1"/>
    <w:autoRedefine/>
    <w:unhideWhenUsed/>
    <w:qFormat/>
    <w:uiPriority w:val="99"/>
  </w:style>
  <w:style w:type="paragraph" w:customStyle="1" w:styleId="44">
    <w:name w:val="_Style 95"/>
    <w:basedOn w:val="1"/>
    <w:autoRedefine/>
    <w:unhideWhenUsed/>
    <w:qFormat/>
    <w:uiPriority w:val="99"/>
  </w:style>
  <w:style w:type="character" w:customStyle="1" w:styleId="45">
    <w:name w:val="页眉 Char"/>
    <w:link w:val="20"/>
    <w:autoRedefine/>
    <w:qFormat/>
    <w:uiPriority w:val="99"/>
    <w:rPr>
      <w:sz w:val="18"/>
      <w:szCs w:val="18"/>
    </w:rPr>
  </w:style>
  <w:style w:type="character" w:customStyle="1" w:styleId="46">
    <w:name w:val="批注框文本 Char"/>
    <w:link w:val="18"/>
    <w:autoRedefine/>
    <w:semiHidden/>
    <w:qFormat/>
    <w:uiPriority w:val="99"/>
    <w:rPr>
      <w:kern w:val="2"/>
      <w:sz w:val="18"/>
      <w:szCs w:val="18"/>
    </w:rPr>
  </w:style>
  <w:style w:type="character" w:customStyle="1" w:styleId="47">
    <w:name w:val="标题 3 Char"/>
    <w:link w:val="4"/>
    <w:autoRedefine/>
    <w:qFormat/>
    <w:uiPriority w:val="9"/>
    <w:rPr>
      <w:b/>
      <w:bCs/>
      <w:kern w:val="2"/>
      <w:sz w:val="32"/>
      <w:szCs w:val="32"/>
    </w:rPr>
  </w:style>
  <w:style w:type="character" w:customStyle="1" w:styleId="48">
    <w:name w:val="纯文本 字符"/>
    <w:autoRedefine/>
    <w:qFormat/>
    <w:uiPriority w:val="0"/>
    <w:rPr>
      <w:rFonts w:ascii="宋体" w:hAnsi="Courier New" w:eastAsia="宋体" w:cs="Courier New"/>
      <w:szCs w:val="21"/>
    </w:rPr>
  </w:style>
  <w:style w:type="character" w:customStyle="1" w:styleId="49">
    <w:name w:val="纯文本 字符1"/>
    <w:autoRedefine/>
    <w:qFormat/>
    <w:uiPriority w:val="0"/>
    <w:rPr>
      <w:rFonts w:ascii="宋体" w:hAnsi="Courier New"/>
    </w:rPr>
  </w:style>
  <w:style w:type="character" w:customStyle="1" w:styleId="50">
    <w:name w:val="标题 1 字符"/>
    <w:autoRedefine/>
    <w:qFormat/>
    <w:uiPriority w:val="9"/>
    <w:rPr>
      <w:b/>
      <w:bCs/>
      <w:kern w:val="44"/>
      <w:sz w:val="44"/>
      <w:szCs w:val="44"/>
    </w:rPr>
  </w:style>
  <w:style w:type="character" w:customStyle="1" w:styleId="51">
    <w:name w:val="标题 8 字符"/>
    <w:autoRedefine/>
    <w:qFormat/>
    <w:uiPriority w:val="9"/>
    <w:rPr>
      <w:rFonts w:ascii="等线 Light" w:hAnsi="等线 Light" w:eastAsia="等线 Light"/>
      <w:kern w:val="2"/>
      <w:sz w:val="24"/>
      <w:szCs w:val="24"/>
    </w:rPr>
  </w:style>
  <w:style w:type="character" w:customStyle="1" w:styleId="52">
    <w:name w:val="标题 2 Char1"/>
    <w:link w:val="3"/>
    <w:autoRedefine/>
    <w:qFormat/>
    <w:uiPriority w:val="9"/>
    <w:rPr>
      <w:rFonts w:ascii="Cambria" w:hAnsi="Cambria" w:eastAsia="宋体" w:cs="Times New Roman"/>
      <w:b/>
      <w:bCs/>
      <w:kern w:val="2"/>
      <w:sz w:val="32"/>
      <w:szCs w:val="32"/>
    </w:rPr>
  </w:style>
  <w:style w:type="character" w:customStyle="1" w:styleId="53">
    <w:name w:val="正文文本 字符"/>
    <w:autoRedefine/>
    <w:qFormat/>
    <w:uiPriority w:val="0"/>
    <w:rPr>
      <w:rFonts w:ascii="Times New Roman" w:hAnsi="Times New Roman"/>
      <w:kern w:val="2"/>
      <w:sz w:val="21"/>
      <w:szCs w:val="24"/>
    </w:rPr>
  </w:style>
  <w:style w:type="character" w:customStyle="1" w:styleId="54">
    <w:name w:val="未处理的提及"/>
    <w:autoRedefine/>
    <w:unhideWhenUsed/>
    <w:qFormat/>
    <w:uiPriority w:val="99"/>
    <w:rPr>
      <w:color w:val="605E5C"/>
      <w:shd w:val="clear" w:color="auto" w:fill="E1DFDD"/>
    </w:rPr>
  </w:style>
  <w:style w:type="paragraph" w:customStyle="1" w:styleId="55">
    <w:name w:val="Char Char Char Char"/>
    <w:basedOn w:val="1"/>
    <w:autoRedefine/>
    <w:qFormat/>
    <w:uiPriority w:val="99"/>
    <w:pPr>
      <w:widowControl/>
      <w:spacing w:after="160" w:line="240" w:lineRule="exact"/>
      <w:jc w:val="left"/>
    </w:pPr>
  </w:style>
  <w:style w:type="character" w:customStyle="1" w:styleId="56">
    <w:name w:val="页眉 字符"/>
    <w:autoRedefine/>
    <w:qFormat/>
    <w:uiPriority w:val="99"/>
    <w:rPr>
      <w:sz w:val="18"/>
      <w:szCs w:val="18"/>
    </w:rPr>
  </w:style>
  <w:style w:type="character" w:customStyle="1" w:styleId="57">
    <w:name w:val="正文文本缩进 Char"/>
    <w:link w:val="12"/>
    <w:autoRedefine/>
    <w:qFormat/>
    <w:uiPriority w:val="0"/>
    <w:rPr>
      <w:rFonts w:ascii="仿宋_GB2312" w:hAnsi="Times New Roman" w:eastAsia="仿宋_GB2312" w:cs="Times New Roman"/>
      <w:sz w:val="32"/>
      <w:szCs w:val="20"/>
    </w:rPr>
  </w:style>
  <w:style w:type="paragraph" w:customStyle="1" w:styleId="58">
    <w:name w:val="msonormal"/>
    <w:basedOn w:val="1"/>
    <w:autoRedefine/>
    <w:qFormat/>
    <w:uiPriority w:val="99"/>
    <w:rPr>
      <w:rFonts w:ascii="Calibri" w:hAnsi="Calibri"/>
      <w:kern w:val="0"/>
      <w:sz w:val="24"/>
    </w:rPr>
  </w:style>
  <w:style w:type="character" w:customStyle="1" w:styleId="59">
    <w:name w:val="正文文本缩进 字符"/>
    <w:autoRedefine/>
    <w:qFormat/>
    <w:uiPriority w:val="99"/>
    <w:rPr>
      <w:rFonts w:ascii="仿宋_GB2312" w:eastAsia="仿宋_GB2312"/>
      <w:sz w:val="32"/>
    </w:rPr>
  </w:style>
  <w:style w:type="character" w:customStyle="1" w:styleId="60">
    <w:name w:val="标题 5 Char"/>
    <w:link w:val="5"/>
    <w:autoRedefine/>
    <w:qFormat/>
    <w:uiPriority w:val="9"/>
    <w:rPr>
      <w:rFonts w:ascii="Times New Roman" w:hAnsi="Times New Roman"/>
      <w:b/>
      <w:bCs/>
      <w:kern w:val="2"/>
      <w:sz w:val="28"/>
      <w:szCs w:val="28"/>
    </w:rPr>
  </w:style>
  <w:style w:type="character" w:customStyle="1" w:styleId="61">
    <w:name w:val="页脚 字符"/>
    <w:autoRedefine/>
    <w:qFormat/>
    <w:uiPriority w:val="99"/>
    <w:rPr>
      <w:sz w:val="18"/>
      <w:szCs w:val="18"/>
    </w:rPr>
  </w:style>
  <w:style w:type="character" w:customStyle="1" w:styleId="62">
    <w:name w:val="标题 3 字符"/>
    <w:autoRedefine/>
    <w:qFormat/>
    <w:uiPriority w:val="9"/>
    <w:rPr>
      <w:b/>
      <w:bCs/>
      <w:kern w:val="2"/>
      <w:sz w:val="32"/>
      <w:szCs w:val="32"/>
    </w:rPr>
  </w:style>
  <w:style w:type="character" w:customStyle="1" w:styleId="63">
    <w:name w:val="标题 5 字符"/>
    <w:autoRedefine/>
    <w:qFormat/>
    <w:uiPriority w:val="9"/>
    <w:rPr>
      <w:b/>
      <w:bCs/>
      <w:kern w:val="2"/>
      <w:sz w:val="28"/>
      <w:szCs w:val="28"/>
    </w:rPr>
  </w:style>
  <w:style w:type="character" w:customStyle="1" w:styleId="64">
    <w:name w:val="textcontents"/>
    <w:autoRedefine/>
    <w:qFormat/>
    <w:uiPriority w:val="0"/>
  </w:style>
  <w:style w:type="character" w:customStyle="1" w:styleId="65">
    <w:name w:val="正文2 Char Char"/>
    <w:link w:val="40"/>
    <w:autoRedefine/>
    <w:qFormat/>
    <w:uiPriority w:val="0"/>
    <w:rPr>
      <w:sz w:val="24"/>
    </w:rPr>
  </w:style>
  <w:style w:type="character" w:customStyle="1" w:styleId="66">
    <w:name w:val="标题 2 Char"/>
    <w:autoRedefine/>
    <w:qFormat/>
    <w:uiPriority w:val="9"/>
    <w:rPr>
      <w:rFonts w:ascii="Cambria" w:hAnsi="Cambria" w:eastAsia="宋体" w:cs="Times New Roman"/>
      <w:b/>
      <w:bCs/>
      <w:kern w:val="2"/>
      <w:sz w:val="32"/>
      <w:szCs w:val="32"/>
    </w:rPr>
  </w:style>
  <w:style w:type="paragraph" w:customStyle="1" w:styleId="67">
    <w:name w:val="Table Text"/>
    <w:basedOn w:val="1"/>
    <w:semiHidden/>
    <w:qFormat/>
    <w:uiPriority w:val="0"/>
    <w:rPr>
      <w:rFonts w:ascii="宋体" w:hAnsi="宋体" w:eastAsia="宋体" w:cs="宋体"/>
      <w:sz w:val="21"/>
      <w:szCs w:val="21"/>
      <w:lang w:val="en-US" w:eastAsia="en-US" w:bidi="ar-SA"/>
    </w:rPr>
  </w:style>
  <w:style w:type="character" w:customStyle="1" w:styleId="68">
    <w:name w:val="正文文本 (26) + 间距 0 pt"/>
    <w:autoRedefine/>
    <w:qFormat/>
    <w:uiPriority w:val="0"/>
    <w:rPr>
      <w:rFonts w:ascii="宋体" w:hAnsi="宋体" w:eastAsia="宋体" w:cs="宋体"/>
      <w:color w:val="000000"/>
      <w:spacing w:val="0"/>
      <w:w w:val="100"/>
      <w:position w:val="0"/>
      <w:sz w:val="22"/>
      <w:szCs w:val="22"/>
      <w:u w:val="none"/>
      <w:lang w:val="zh-CN" w:eastAsia="zh-CN" w:bidi="zh-CN"/>
    </w:rPr>
  </w:style>
  <w:style w:type="paragraph" w:customStyle="1" w:styleId="69">
    <w:name w:val="_Style 68"/>
    <w:basedOn w:val="2"/>
    <w:next w:val="1"/>
    <w:autoRedefine/>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character" w:customStyle="1" w:styleId="70">
    <w:name w:val="apple-style-span"/>
    <w:autoRedefine/>
    <w:qFormat/>
    <w:uiPriority w:val="0"/>
  </w:style>
  <w:style w:type="character" w:customStyle="1" w:styleId="71">
    <w:name w:val="正文文本 3 字符"/>
    <w:autoRedefine/>
    <w:qFormat/>
    <w:uiPriority w:val="99"/>
    <w:rPr>
      <w:kern w:val="2"/>
      <w:sz w:val="16"/>
      <w:szCs w:val="16"/>
    </w:rPr>
  </w:style>
  <w:style w:type="character" w:customStyle="1" w:styleId="72">
    <w:name w:val="标题 2 字符"/>
    <w:autoRedefine/>
    <w:qFormat/>
    <w:uiPriority w:val="9"/>
    <w:rPr>
      <w:rFonts w:ascii="Cambria" w:hAnsi="Cambria"/>
      <w:b/>
      <w:bCs/>
      <w:kern w:val="2"/>
      <w:sz w:val="32"/>
      <w:szCs w:val="32"/>
    </w:rPr>
  </w:style>
  <w:style w:type="paragraph" w:customStyle="1" w:styleId="73">
    <w:name w:val="Table Paragraph"/>
    <w:basedOn w:val="1"/>
    <w:autoRedefine/>
    <w:qFormat/>
    <w:uiPriority w:val="1"/>
    <w:pPr>
      <w:jc w:val="left"/>
    </w:pPr>
    <w:rPr>
      <w:rFonts w:ascii="Calibri" w:hAnsi="Calibri"/>
      <w:kern w:val="0"/>
      <w:sz w:val="22"/>
      <w:szCs w:val="22"/>
      <w:lang w:eastAsia="en-US"/>
    </w:rPr>
  </w:style>
  <w:style w:type="character" w:customStyle="1" w:styleId="74">
    <w:name w:val="正文文本 Char1"/>
    <w:link w:val="11"/>
    <w:autoRedefine/>
    <w:qFormat/>
    <w:uiPriority w:val="0"/>
    <w:rPr>
      <w:rFonts w:ascii="Times New Roman" w:hAnsi="Times New Roman"/>
      <w:kern w:val="2"/>
      <w:sz w:val="21"/>
      <w:szCs w:val="24"/>
    </w:rPr>
  </w:style>
  <w:style w:type="character" w:customStyle="1" w:styleId="75">
    <w:name w:val="日期 Char"/>
    <w:link w:val="17"/>
    <w:autoRedefine/>
    <w:qFormat/>
    <w:uiPriority w:val="99"/>
    <w:rPr>
      <w:rFonts w:ascii="Times New Roman" w:hAnsi="Times New Roman"/>
      <w:kern w:val="2"/>
      <w:sz w:val="21"/>
      <w:szCs w:val="24"/>
    </w:rPr>
  </w:style>
  <w:style w:type="character" w:customStyle="1" w:styleId="76">
    <w:name w:val="正文文本 Char"/>
    <w:autoRedefine/>
    <w:qFormat/>
    <w:uiPriority w:val="0"/>
    <w:rPr>
      <w:rFonts w:ascii="Times New Roman" w:hAnsi="Times New Roman"/>
      <w:kern w:val="2"/>
      <w:sz w:val="21"/>
      <w:szCs w:val="24"/>
    </w:rPr>
  </w:style>
  <w:style w:type="character" w:customStyle="1" w:styleId="77">
    <w:name w:val="纯文本 字符3"/>
    <w:autoRedefine/>
    <w:qFormat/>
    <w:uiPriority w:val="99"/>
    <w:rPr>
      <w:rFonts w:ascii="宋体" w:hAnsi="Courier New"/>
      <w:szCs w:val="21"/>
    </w:rPr>
  </w:style>
  <w:style w:type="character" w:customStyle="1" w:styleId="78">
    <w:name w:val="纯文本 Char"/>
    <w:autoRedefine/>
    <w:qFormat/>
    <w:uiPriority w:val="0"/>
    <w:rPr>
      <w:rFonts w:ascii="宋体" w:hAnsi="Courier New" w:eastAsia="宋体" w:cs="Courier New"/>
      <w:szCs w:val="21"/>
    </w:rPr>
  </w:style>
  <w:style w:type="character" w:customStyle="1" w:styleId="79">
    <w:name w:val="标题 8 Char1"/>
    <w:link w:val="7"/>
    <w:autoRedefine/>
    <w:qFormat/>
    <w:uiPriority w:val="9"/>
    <w:rPr>
      <w:rFonts w:ascii="等线 Light" w:hAnsi="等线 Light" w:eastAsia="等线 Light" w:cs="Times New Roman"/>
      <w:kern w:val="2"/>
      <w:sz w:val="24"/>
      <w:szCs w:val="24"/>
    </w:rPr>
  </w:style>
  <w:style w:type="character" w:customStyle="1" w:styleId="80">
    <w:name w:val="纯文本 字符2"/>
    <w:autoRedefine/>
    <w:qFormat/>
    <w:uiPriority w:val="0"/>
    <w:rPr>
      <w:rFonts w:ascii="宋体" w:hAnsi="Courier New" w:eastAsia="宋体" w:cs="Courier New"/>
      <w:szCs w:val="21"/>
    </w:rPr>
  </w:style>
  <w:style w:type="character" w:customStyle="1" w:styleId="81">
    <w:name w:val="批注主题 字符"/>
    <w:autoRedefine/>
    <w:qFormat/>
    <w:uiPriority w:val="99"/>
    <w:rPr>
      <w:rFonts w:ascii="Times New Roman" w:hAnsi="Times New Roman"/>
      <w:b/>
      <w:bCs/>
      <w:kern w:val="2"/>
      <w:sz w:val="21"/>
      <w:szCs w:val="24"/>
    </w:rPr>
  </w:style>
  <w:style w:type="character" w:customStyle="1" w:styleId="82">
    <w:name w:val="页脚 Char"/>
    <w:link w:val="19"/>
    <w:autoRedefine/>
    <w:qFormat/>
    <w:uiPriority w:val="99"/>
    <w:rPr>
      <w:sz w:val="18"/>
      <w:szCs w:val="18"/>
    </w:rPr>
  </w:style>
  <w:style w:type="character" w:customStyle="1" w:styleId="83">
    <w:name w:val="标题 8 Char"/>
    <w:autoRedefine/>
    <w:qFormat/>
    <w:uiPriority w:val="0"/>
    <w:rPr>
      <w:rFonts w:ascii="Arial" w:hAnsi="Arial" w:eastAsia="黑体"/>
      <w:kern w:val="2"/>
      <w:sz w:val="24"/>
      <w:szCs w:val="24"/>
    </w:rPr>
  </w:style>
  <w:style w:type="character" w:customStyle="1" w:styleId="84">
    <w:name w:val="标题 1 字符1"/>
    <w:autoRedefine/>
    <w:qFormat/>
    <w:uiPriority w:val="0"/>
    <w:rPr>
      <w:b/>
      <w:bCs/>
      <w:kern w:val="44"/>
      <w:sz w:val="44"/>
      <w:szCs w:val="44"/>
    </w:rPr>
  </w:style>
  <w:style w:type="character" w:customStyle="1" w:styleId="85">
    <w:name w:val="批注文字 字符2"/>
    <w:autoRedefine/>
    <w:qFormat/>
    <w:uiPriority w:val="99"/>
    <w:rPr>
      <w:kern w:val="2"/>
      <w:sz w:val="21"/>
      <w:szCs w:val="24"/>
    </w:rPr>
  </w:style>
  <w:style w:type="character" w:customStyle="1" w:styleId="86">
    <w:name w:val="标题 1 Char"/>
    <w:link w:val="2"/>
    <w:autoRedefine/>
    <w:qFormat/>
    <w:uiPriority w:val="9"/>
    <w:rPr>
      <w:b/>
      <w:bCs/>
      <w:kern w:val="44"/>
      <w:sz w:val="44"/>
      <w:szCs w:val="44"/>
    </w:rPr>
  </w:style>
  <w:style w:type="paragraph" w:customStyle="1" w:styleId="87">
    <w:name w:val="正文缩进1"/>
    <w:basedOn w:val="1"/>
    <w:next w:val="12"/>
    <w:autoRedefine/>
    <w:qFormat/>
    <w:uiPriority w:val="99"/>
    <w:pPr>
      <w:autoSpaceDE w:val="0"/>
      <w:autoSpaceDN w:val="0"/>
      <w:adjustRightInd w:val="0"/>
      <w:snapToGrid w:val="0"/>
      <w:spacing w:after="120" w:line="360" w:lineRule="auto"/>
      <w:ind w:left="420" w:leftChars="200" w:firstLine="480" w:firstLineChars="200"/>
    </w:pPr>
    <w:rPr>
      <w:sz w:val="24"/>
      <w:szCs w:val="21"/>
    </w:rPr>
  </w:style>
  <w:style w:type="paragraph" w:styleId="88">
    <w:name w:val="List Paragraph"/>
    <w:basedOn w:val="1"/>
    <w:autoRedefine/>
    <w:qFormat/>
    <w:uiPriority w:val="34"/>
    <w:pPr>
      <w:ind w:firstLine="420" w:firstLineChars="200"/>
    </w:pPr>
  </w:style>
  <w:style w:type="character" w:customStyle="1" w:styleId="89">
    <w:name w:val="纯文本 Char1"/>
    <w:link w:val="16"/>
    <w:autoRedefine/>
    <w:qFormat/>
    <w:uiPriority w:val="0"/>
    <w:rPr>
      <w:rFonts w:ascii="宋体" w:hAnsi="Courier New" w:eastAsia="宋体" w:cs="Courier New"/>
      <w:szCs w:val="21"/>
    </w:rPr>
  </w:style>
  <w:style w:type="character" w:customStyle="1" w:styleId="90">
    <w:name w:val="正文文本 字符1"/>
    <w:autoRedefine/>
    <w:qFormat/>
    <w:uiPriority w:val="99"/>
    <w:rPr>
      <w:kern w:val="2"/>
      <w:sz w:val="21"/>
      <w:szCs w:val="24"/>
    </w:rPr>
  </w:style>
  <w:style w:type="character" w:customStyle="1" w:styleId="91">
    <w:name w:val="批注文字 字符1"/>
    <w:autoRedefine/>
    <w:qFormat/>
    <w:uiPriority w:val="0"/>
    <w:rPr>
      <w:rFonts w:ascii="Times New Roman" w:hAnsi="Times New Roman"/>
      <w:kern w:val="2"/>
      <w:sz w:val="21"/>
      <w:szCs w:val="24"/>
    </w:rPr>
  </w:style>
  <w:style w:type="paragraph" w:customStyle="1" w:styleId="92">
    <w:name w:val="表内文字"/>
    <w:basedOn w:val="1"/>
    <w:autoRedefine/>
    <w:qFormat/>
    <w:uiPriority w:val="99"/>
    <w:pPr>
      <w:snapToGrid w:val="0"/>
      <w:spacing w:before="50" w:after="50"/>
      <w:jc w:val="center"/>
    </w:pPr>
    <w:rPr>
      <w:rFonts w:ascii="仿宋_GB2312" w:hAnsi="宋体" w:eastAsia="仿宋_GB2312"/>
      <w:b/>
      <w:color w:val="000000"/>
      <w:sz w:val="32"/>
      <w:szCs w:val="32"/>
    </w:rPr>
  </w:style>
  <w:style w:type="character" w:customStyle="1" w:styleId="93">
    <w:name w:val="批注文字 Char"/>
    <w:autoRedefine/>
    <w:qFormat/>
    <w:uiPriority w:val="0"/>
    <w:rPr>
      <w:rFonts w:ascii="Times New Roman" w:hAnsi="Times New Roman"/>
      <w:kern w:val="2"/>
      <w:sz w:val="21"/>
      <w:szCs w:val="24"/>
    </w:rPr>
  </w:style>
  <w:style w:type="paragraph" w:customStyle="1" w:styleId="94">
    <w:name w:val="样式5"/>
    <w:basedOn w:val="1"/>
    <w:autoRedefine/>
    <w:qFormat/>
    <w:uiPriority w:val="99"/>
    <w:pPr>
      <w:adjustRightInd w:val="0"/>
      <w:spacing w:line="440" w:lineRule="exact"/>
      <w:ind w:left="2" w:firstLine="480" w:firstLineChars="200"/>
    </w:pPr>
    <w:rPr>
      <w:rFonts w:ascii="仿宋_GB2312" w:hAnsi="仿宋" w:eastAsia="仿宋_GB2312"/>
      <w:sz w:val="24"/>
    </w:rPr>
  </w:style>
  <w:style w:type="character" w:customStyle="1" w:styleId="95">
    <w:name w:val="正文文本 3 Char"/>
    <w:link w:val="10"/>
    <w:autoRedefine/>
    <w:qFormat/>
    <w:uiPriority w:val="99"/>
    <w:rPr>
      <w:kern w:val="2"/>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13</Pages>
  <Words>8229</Words>
  <Characters>9071</Characters>
  <TotalTime>108</TotalTime>
  <ScaleCrop>false</ScaleCrop>
  <LinksUpToDate>false</LinksUpToDate>
  <CharactersWithSpaces>9184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2026-09-29T17:11:00Z</dcterms:created>
  <dc:creator>Administrator</dc:creator>
  <cp:lastModifiedBy>WPS_1640435606</cp:lastModifiedBy>
  <dcterms:modified xsi:type="dcterms:W3CDTF">2026-09-30T09:47:26Z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eyJoZGlkIjoiZDQ4YTc0NjQ5NTI0ZDBhNTMxZTg2NmQ3YWQxZGRhNzAiLCJ1c2VySWQiOiIxMzA2OTE1NjU5In0=</vt:lpwstr>
  </property>
  <property fmtid="{D5CDD505-2E9C-101B-9397-08002B2CF9AE}" pid="3" name="KSOProductBuildVer">
    <vt:lpwstr>2052-12.1.0.26895</vt:lpwstr>
  </property>
  <property fmtid="{D5CDD505-2E9C-101B-9397-08002B2CF9AE}" pid="4" name="ICV">
    <vt:lpwstr>5259D0EFF8B74371B543385A391A1663_13</vt:lpwstr>
  </property>
</Properties>
</file>