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58BEFB">
      <w:pPr>
        <w:spacing w:line="400" w:lineRule="exact"/>
        <w:jc w:val="center"/>
        <w:rPr>
          <w:rFonts w:ascii="宋体" w:hAnsi="宋体"/>
          <w:b/>
          <w:bCs/>
          <w:color w:val="auto"/>
          <w:sz w:val="32"/>
          <w:szCs w:val="32"/>
          <w:highlight w:val="none"/>
        </w:rPr>
      </w:pPr>
      <w:r>
        <w:rPr>
          <w:rFonts w:hint="eastAsia" w:ascii="宋体" w:hAnsi="宋体"/>
          <w:b/>
          <w:bCs/>
          <w:color w:val="auto"/>
          <w:sz w:val="32"/>
          <w:szCs w:val="32"/>
          <w:highlight w:val="none"/>
        </w:rPr>
        <w:t>云之龙咨询集团有限公司人工智能综合实训室建设项目</w:t>
      </w:r>
      <w:r>
        <w:rPr>
          <w:rFonts w:hint="eastAsia" w:ascii="宋体" w:hAnsi="宋体"/>
          <w:b/>
          <w:bCs/>
          <w:color w:val="auto"/>
          <w:sz w:val="32"/>
          <w:szCs w:val="32"/>
          <w:highlight w:val="none"/>
          <w:lang w:eastAsia="zh-CN"/>
        </w:rPr>
        <w:t>（GXZC2026-J1-003055-YZLZ）</w:t>
      </w:r>
      <w:r>
        <w:rPr>
          <w:rFonts w:hint="eastAsia" w:ascii="宋体" w:hAnsi="宋体"/>
          <w:b/>
          <w:bCs/>
          <w:color w:val="auto"/>
          <w:sz w:val="32"/>
          <w:szCs w:val="32"/>
          <w:highlight w:val="none"/>
        </w:rPr>
        <w:t>竞争性谈判公告</w:t>
      </w:r>
    </w:p>
    <w:p w14:paraId="65A350AA">
      <w:pPr>
        <w:spacing w:line="360" w:lineRule="auto"/>
        <w:rPr>
          <w:rFonts w:ascii="宋体" w:hAnsi="宋体"/>
          <w:color w:val="auto"/>
          <w:szCs w:val="21"/>
          <w:highlight w:val="none"/>
        </w:rPr>
      </w:pPr>
    </w:p>
    <w:p w14:paraId="455A6D6A">
      <w:pPr>
        <w:keepNext w:val="0"/>
        <w:keepLines w:val="0"/>
        <w:pageBreakBefore w:val="0"/>
        <w:widowControl w:val="0"/>
        <w:pBdr>
          <w:top w:val="single" w:color="000000" w:sz="4" w:space="1"/>
          <w:left w:val="single" w:color="000000" w:sz="4" w:space="4"/>
          <w:bottom w:val="single" w:color="000000" w:sz="4" w:space="1"/>
          <w:right w:val="single" w:color="000000" w:sz="4" w:space="4"/>
        </w:pBdr>
        <w:kinsoku/>
        <w:wordWrap w:val="0"/>
        <w:overflowPunct/>
        <w:topLinePunct w:val="0"/>
        <w:autoSpaceDE/>
        <w:autoSpaceDN/>
        <w:bidi w:val="0"/>
        <w:adjustRightInd/>
        <w:snapToGrid/>
        <w:spacing w:line="360" w:lineRule="auto"/>
        <w:ind w:firstLine="420"/>
        <w:textAlignment w:val="auto"/>
        <w:rPr>
          <w:rFonts w:ascii="宋体" w:hAnsi="宋体"/>
          <w:color w:val="auto"/>
          <w:szCs w:val="21"/>
          <w:highlight w:val="none"/>
        </w:rPr>
      </w:pPr>
      <w:bookmarkStart w:id="0" w:name="_Hlk37430271"/>
      <w:r>
        <w:rPr>
          <w:rFonts w:hint="eastAsia" w:ascii="宋体" w:hAnsi="宋体"/>
          <w:color w:val="auto"/>
          <w:szCs w:val="21"/>
          <w:highlight w:val="none"/>
        </w:rPr>
        <w:t>项目概况</w:t>
      </w:r>
    </w:p>
    <w:p w14:paraId="39244550">
      <w:pPr>
        <w:keepNext w:val="0"/>
        <w:keepLines w:val="0"/>
        <w:pageBreakBefore w:val="0"/>
        <w:widowControl w:val="0"/>
        <w:pBdr>
          <w:top w:val="single" w:color="000000" w:sz="4" w:space="1"/>
          <w:left w:val="single" w:color="000000" w:sz="4" w:space="4"/>
          <w:bottom w:val="single" w:color="000000" w:sz="4" w:space="1"/>
          <w:right w:val="single" w:color="000000" w:sz="4" w:space="4"/>
        </w:pBdr>
        <w:kinsoku/>
        <w:wordWrap w:val="0"/>
        <w:overflowPunct/>
        <w:topLinePunct w:val="0"/>
        <w:autoSpaceDE/>
        <w:autoSpaceDN/>
        <w:bidi w:val="0"/>
        <w:adjustRightInd/>
        <w:snapToGrid/>
        <w:spacing w:line="360" w:lineRule="auto"/>
        <w:ind w:firstLine="420"/>
        <w:textAlignment w:val="auto"/>
        <w:rPr>
          <w:rFonts w:ascii="宋体" w:hAnsi="宋体"/>
          <w:color w:val="auto"/>
          <w:szCs w:val="21"/>
          <w:highlight w:val="none"/>
        </w:rPr>
      </w:pPr>
      <w:r>
        <w:rPr>
          <w:rFonts w:hint="eastAsia" w:ascii="宋体" w:hAnsi="宋体"/>
          <w:color w:val="auto"/>
          <w:szCs w:val="21"/>
          <w:highlight w:val="none"/>
          <w:u w:val="single"/>
        </w:rPr>
        <w:t>人工智能综合实训室建设项目</w:t>
      </w:r>
      <w:r>
        <w:rPr>
          <w:rFonts w:hint="eastAsia" w:ascii="宋体" w:hAnsi="宋体"/>
          <w:color w:val="auto"/>
          <w:szCs w:val="21"/>
          <w:highlight w:val="none"/>
        </w:rPr>
        <w:t>的潜在供应商应在广西政府采购云平台（https://www.gcy.zfcg.gxzf.gov.cn/）获取（下载）竞争性谈判文件，并于</w:t>
      </w:r>
      <w:r>
        <w:rPr>
          <w:rFonts w:hint="eastAsia" w:ascii="宋体" w:hAnsi="宋体"/>
          <w:b/>
          <w:bCs w:val="0"/>
          <w:color w:val="auto"/>
          <w:szCs w:val="21"/>
          <w:highlight w:val="none"/>
          <w:u w:val="single"/>
        </w:rPr>
        <w:t xml:space="preserve">2026年 </w:t>
      </w:r>
      <w:r>
        <w:rPr>
          <w:rFonts w:hint="eastAsia" w:ascii="宋体" w:hAnsi="宋体"/>
          <w:b/>
          <w:bCs w:val="0"/>
          <w:color w:val="auto"/>
          <w:szCs w:val="21"/>
          <w:highlight w:val="none"/>
          <w:u w:val="single"/>
          <w:lang w:val="en-US" w:eastAsia="zh-CN"/>
        </w:rPr>
        <w:t>9</w:t>
      </w:r>
      <w:r>
        <w:rPr>
          <w:rFonts w:hint="eastAsia" w:ascii="宋体" w:hAnsi="宋体"/>
          <w:b/>
          <w:bCs w:val="0"/>
          <w:color w:val="auto"/>
          <w:szCs w:val="21"/>
          <w:highlight w:val="none"/>
          <w:u w:val="single"/>
        </w:rPr>
        <w:t xml:space="preserve"> 月</w:t>
      </w:r>
      <w:r>
        <w:rPr>
          <w:rFonts w:hint="eastAsia" w:ascii="宋体" w:hAnsi="宋体"/>
          <w:b/>
          <w:bCs w:val="0"/>
          <w:color w:val="auto"/>
          <w:szCs w:val="21"/>
          <w:highlight w:val="none"/>
          <w:u w:val="single"/>
          <w:lang w:val="en-US" w:eastAsia="zh-CN"/>
        </w:rPr>
        <w:t>17</w:t>
      </w:r>
      <w:r>
        <w:rPr>
          <w:rFonts w:hint="eastAsia" w:ascii="宋体" w:hAnsi="宋体"/>
          <w:b/>
          <w:bCs w:val="0"/>
          <w:color w:val="auto"/>
          <w:szCs w:val="21"/>
          <w:highlight w:val="none"/>
          <w:u w:val="single"/>
        </w:rPr>
        <w:t>日</w:t>
      </w:r>
      <w:r>
        <w:rPr>
          <w:rFonts w:hint="eastAsia" w:ascii="宋体" w:hAnsi="宋体"/>
          <w:b/>
          <w:bCs w:val="0"/>
          <w:color w:val="auto"/>
          <w:szCs w:val="21"/>
          <w:highlight w:val="none"/>
          <w:u w:val="single"/>
          <w:lang w:val="en-US" w:eastAsia="zh-CN"/>
        </w:rPr>
        <w:t>15</w:t>
      </w:r>
      <w:r>
        <w:rPr>
          <w:rFonts w:hint="eastAsia" w:ascii="宋体" w:hAnsi="宋体"/>
          <w:b/>
          <w:bCs w:val="0"/>
          <w:color w:val="auto"/>
          <w:szCs w:val="21"/>
          <w:highlight w:val="none"/>
          <w:u w:val="single"/>
        </w:rPr>
        <w:t>时30分</w:t>
      </w:r>
      <w:r>
        <w:rPr>
          <w:rFonts w:hint="eastAsia" w:ascii="宋体" w:hAnsi="宋体"/>
          <w:bCs/>
          <w:color w:val="auto"/>
          <w:szCs w:val="21"/>
          <w:highlight w:val="none"/>
          <w:u w:val="single"/>
        </w:rPr>
        <w:t>（</w:t>
      </w:r>
      <w:r>
        <w:rPr>
          <w:rFonts w:hint="eastAsia" w:ascii="宋体" w:hAnsi="宋体"/>
          <w:bCs/>
          <w:color w:val="auto"/>
          <w:szCs w:val="21"/>
          <w:highlight w:val="none"/>
        </w:rPr>
        <w:t>北京时间）前提交（上传）</w:t>
      </w:r>
      <w:r>
        <w:rPr>
          <w:rFonts w:hint="eastAsia" w:ascii="宋体" w:hAnsi="宋体"/>
          <w:color w:val="auto"/>
          <w:szCs w:val="21"/>
          <w:highlight w:val="none"/>
        </w:rPr>
        <w:t>响应</w:t>
      </w:r>
      <w:r>
        <w:rPr>
          <w:rFonts w:ascii="宋体" w:hAnsi="宋体"/>
          <w:bCs/>
          <w:color w:val="auto"/>
          <w:szCs w:val="21"/>
          <w:highlight w:val="none"/>
        </w:rPr>
        <w:t>文件</w:t>
      </w:r>
      <w:r>
        <w:rPr>
          <w:rFonts w:hint="eastAsia" w:ascii="宋体" w:hAnsi="宋体"/>
          <w:color w:val="auto"/>
          <w:szCs w:val="21"/>
          <w:highlight w:val="none"/>
        </w:rPr>
        <w:t>。</w:t>
      </w:r>
    </w:p>
    <w:p w14:paraId="3F83E4AE">
      <w:pPr>
        <w:spacing w:line="360" w:lineRule="exact"/>
        <w:rPr>
          <w:rFonts w:ascii="宋体" w:hAnsi="宋体"/>
          <w:color w:val="auto"/>
          <w:szCs w:val="21"/>
          <w:highlight w:val="none"/>
        </w:rPr>
      </w:pPr>
    </w:p>
    <w:p w14:paraId="41E8C027">
      <w:pPr>
        <w:spacing w:line="400" w:lineRule="exact"/>
        <w:ind w:firstLine="480"/>
        <w:rPr>
          <w:rFonts w:ascii="黑体" w:hAnsi="黑体" w:eastAsia="黑体"/>
          <w:color w:val="auto"/>
          <w:sz w:val="24"/>
          <w:highlight w:val="none"/>
        </w:rPr>
      </w:pPr>
      <w:bookmarkStart w:id="1" w:name="_Toc35393629"/>
      <w:bookmarkStart w:id="2" w:name="_Toc71365362"/>
      <w:bookmarkStart w:id="3" w:name="_Toc28359089"/>
      <w:bookmarkStart w:id="4" w:name="_Toc71366040"/>
      <w:bookmarkStart w:id="5" w:name="_Toc35393798"/>
      <w:bookmarkStart w:id="6" w:name="_Toc28359012"/>
      <w:r>
        <w:rPr>
          <w:rFonts w:hint="eastAsia" w:ascii="黑体" w:hAnsi="黑体" w:eastAsia="黑体"/>
          <w:color w:val="auto"/>
          <w:sz w:val="24"/>
          <w:highlight w:val="none"/>
        </w:rPr>
        <w:t>一、项目基本情况</w:t>
      </w:r>
      <w:bookmarkEnd w:id="0"/>
      <w:bookmarkEnd w:id="1"/>
      <w:bookmarkEnd w:id="2"/>
      <w:bookmarkEnd w:id="3"/>
      <w:bookmarkEnd w:id="4"/>
      <w:bookmarkEnd w:id="5"/>
    </w:p>
    <w:p w14:paraId="192062F3">
      <w:pPr>
        <w:spacing w:line="400" w:lineRule="exact"/>
        <w:ind w:firstLine="420"/>
        <w:rPr>
          <w:rFonts w:ascii="宋体" w:hAnsi="宋体"/>
          <w:color w:val="auto"/>
          <w:szCs w:val="21"/>
          <w:highlight w:val="none"/>
        </w:rPr>
      </w:pPr>
      <w:r>
        <w:rPr>
          <w:rFonts w:hint="eastAsia" w:ascii="宋体" w:hAnsi="宋体"/>
          <w:color w:val="auto"/>
          <w:szCs w:val="21"/>
          <w:highlight w:val="none"/>
        </w:rPr>
        <w:t>项目编号：GXZC2026-J1-003055-YZLZ；</w:t>
      </w:r>
      <w:bookmarkStart w:id="61" w:name="_GoBack"/>
      <w:bookmarkEnd w:id="61"/>
      <w:r>
        <w:rPr>
          <w:rFonts w:hint="eastAsia" w:ascii="宋体" w:hAnsi="宋体"/>
          <w:color w:val="auto"/>
          <w:szCs w:val="21"/>
          <w:highlight w:val="none"/>
        </w:rPr>
        <w:t xml:space="preserve">采购计划编号：广西政采[2026]19297号 </w:t>
      </w:r>
    </w:p>
    <w:p w14:paraId="0A80C266">
      <w:pPr>
        <w:spacing w:line="400" w:lineRule="exact"/>
        <w:ind w:left="1470" w:hanging="1050"/>
        <w:rPr>
          <w:rFonts w:ascii="宋体" w:hAnsi="宋体"/>
          <w:color w:val="auto"/>
          <w:szCs w:val="21"/>
          <w:highlight w:val="none"/>
          <w:u w:val="single"/>
        </w:rPr>
      </w:pPr>
      <w:r>
        <w:rPr>
          <w:rFonts w:hint="eastAsia" w:ascii="宋体" w:hAnsi="宋体"/>
          <w:color w:val="auto"/>
          <w:szCs w:val="21"/>
          <w:highlight w:val="none"/>
        </w:rPr>
        <w:t>项目名称：人工智能综合实训室建设项目</w:t>
      </w:r>
    </w:p>
    <w:p w14:paraId="08AE666D">
      <w:pPr>
        <w:spacing w:line="400" w:lineRule="exact"/>
        <w:ind w:firstLine="420"/>
        <w:rPr>
          <w:rFonts w:ascii="宋体" w:hAnsi="宋体"/>
          <w:color w:val="auto"/>
          <w:szCs w:val="21"/>
          <w:highlight w:val="none"/>
        </w:rPr>
      </w:pPr>
      <w:r>
        <w:rPr>
          <w:rFonts w:hint="eastAsia" w:ascii="宋体" w:hAnsi="宋体"/>
          <w:color w:val="auto"/>
          <w:szCs w:val="21"/>
          <w:highlight w:val="none"/>
        </w:rPr>
        <w:t>采购方式：竞争性谈判</w:t>
      </w:r>
    </w:p>
    <w:p w14:paraId="259C0CE3">
      <w:pPr>
        <w:spacing w:line="400" w:lineRule="exact"/>
        <w:ind w:firstLine="420"/>
        <w:rPr>
          <w:rFonts w:ascii="宋体" w:hAnsi="宋体"/>
          <w:color w:val="auto"/>
          <w:szCs w:val="21"/>
          <w:highlight w:val="none"/>
        </w:rPr>
      </w:pPr>
      <w:r>
        <w:rPr>
          <w:rFonts w:hint="eastAsia" w:ascii="宋体" w:hAnsi="宋体"/>
          <w:color w:val="auto"/>
          <w:szCs w:val="21"/>
          <w:highlight w:val="none"/>
        </w:rPr>
        <w:t>预算金额：</w:t>
      </w:r>
      <w:r>
        <w:rPr>
          <w:rFonts w:ascii="宋体" w:hAnsi="宋体"/>
          <w:iCs/>
          <w:color w:val="auto"/>
          <w:szCs w:val="21"/>
          <w:highlight w:val="none"/>
          <w:u w:val="single"/>
        </w:rPr>
        <w:t>112.1650</w:t>
      </w:r>
      <w:r>
        <w:rPr>
          <w:rFonts w:hint="eastAsia" w:ascii="宋体" w:hAnsi="宋体"/>
          <w:iCs/>
          <w:color w:val="auto"/>
          <w:szCs w:val="21"/>
          <w:highlight w:val="none"/>
          <w:u w:val="single"/>
        </w:rPr>
        <w:t>万元</w:t>
      </w:r>
    </w:p>
    <w:p w14:paraId="6EA71729">
      <w:pPr>
        <w:spacing w:line="400" w:lineRule="exact"/>
        <w:ind w:firstLine="420"/>
        <w:rPr>
          <w:rFonts w:ascii="宋体" w:hAnsi="宋体"/>
          <w:color w:val="auto"/>
          <w:szCs w:val="21"/>
          <w:highlight w:val="none"/>
          <w:u w:val="single"/>
        </w:rPr>
      </w:pPr>
      <w:r>
        <w:rPr>
          <w:rFonts w:hint="eastAsia" w:ascii="宋体" w:hAnsi="宋体"/>
          <w:color w:val="auto"/>
          <w:szCs w:val="21"/>
          <w:highlight w:val="none"/>
        </w:rPr>
        <w:t>最高限价：</w:t>
      </w:r>
      <w:r>
        <w:rPr>
          <w:rFonts w:ascii="宋体" w:hAnsi="宋体"/>
          <w:iCs/>
          <w:color w:val="auto"/>
          <w:szCs w:val="21"/>
          <w:highlight w:val="none"/>
          <w:u w:val="single"/>
        </w:rPr>
        <w:t>112.1650</w:t>
      </w:r>
      <w:r>
        <w:rPr>
          <w:rFonts w:hint="eastAsia" w:ascii="宋体" w:hAnsi="宋体"/>
          <w:iCs/>
          <w:color w:val="auto"/>
          <w:szCs w:val="21"/>
          <w:highlight w:val="none"/>
          <w:u w:val="single"/>
        </w:rPr>
        <w:t>万元</w:t>
      </w:r>
    </w:p>
    <w:p w14:paraId="1B3070AA">
      <w:pPr>
        <w:spacing w:line="400" w:lineRule="exact"/>
        <w:ind w:firstLine="420"/>
        <w:rPr>
          <w:rFonts w:ascii="宋体" w:hAnsi="宋体"/>
          <w:color w:val="auto"/>
          <w:szCs w:val="21"/>
          <w:highlight w:val="none"/>
        </w:rPr>
      </w:pPr>
      <w:r>
        <w:rPr>
          <w:rFonts w:hint="eastAsia" w:ascii="宋体" w:hAnsi="宋体"/>
          <w:color w:val="auto"/>
          <w:szCs w:val="21"/>
          <w:highlight w:val="none"/>
        </w:rPr>
        <w:t>采购需求：</w:t>
      </w:r>
    </w:p>
    <w:tbl>
      <w:tblPr>
        <w:tblStyle w:val="2"/>
        <w:tblW w:w="5000" w:type="pct"/>
        <w:tblInd w:w="-22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637"/>
        <w:gridCol w:w="1737"/>
        <w:gridCol w:w="808"/>
        <w:gridCol w:w="5340"/>
      </w:tblGrid>
      <w:tr w14:paraId="507C3FE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5000" w:type="pct"/>
            <w:gridSpan w:val="4"/>
            <w:tcBorders>
              <w:top w:val="single" w:color="auto" w:sz="4" w:space="0"/>
              <w:left w:val="single" w:color="auto" w:sz="4" w:space="0"/>
              <w:bottom w:val="single" w:color="auto" w:sz="4" w:space="0"/>
              <w:right w:val="single" w:color="auto" w:sz="4" w:space="0"/>
            </w:tcBorders>
            <w:vAlign w:val="center"/>
          </w:tcPr>
          <w:p w14:paraId="2C5EEB79">
            <w:pPr>
              <w:spacing w:line="360" w:lineRule="exact"/>
              <w:rPr>
                <w:rFonts w:ascii="宋体" w:hAnsi="宋体"/>
                <w:color w:val="auto"/>
                <w:szCs w:val="21"/>
                <w:highlight w:val="none"/>
              </w:rPr>
            </w:pPr>
            <w:r>
              <w:rPr>
                <w:rFonts w:hint="eastAsia" w:ascii="宋体" w:hAnsi="宋体"/>
                <w:color w:val="auto"/>
                <w:szCs w:val="21"/>
                <w:highlight w:val="none"/>
              </w:rPr>
              <w:t>单分标；最高限价金额：</w:t>
            </w:r>
            <w:r>
              <w:rPr>
                <w:rFonts w:ascii="宋体" w:hAnsi="宋体"/>
                <w:iCs/>
                <w:color w:val="auto"/>
                <w:szCs w:val="21"/>
                <w:highlight w:val="none"/>
                <w:u w:val="single"/>
              </w:rPr>
              <w:t>112.1650</w:t>
            </w:r>
            <w:r>
              <w:rPr>
                <w:rFonts w:hint="eastAsia" w:ascii="宋体" w:hAnsi="宋体"/>
                <w:color w:val="auto"/>
                <w:szCs w:val="21"/>
                <w:highlight w:val="none"/>
              </w:rPr>
              <w:t>万元</w:t>
            </w:r>
          </w:p>
        </w:tc>
      </w:tr>
      <w:tr w14:paraId="21E698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74" w:type="pct"/>
            <w:tcBorders>
              <w:top w:val="single" w:color="auto" w:sz="4" w:space="0"/>
              <w:left w:val="single" w:color="auto" w:sz="4" w:space="0"/>
              <w:bottom w:val="single" w:color="auto" w:sz="4" w:space="0"/>
              <w:right w:val="single" w:color="auto" w:sz="4" w:space="0"/>
            </w:tcBorders>
            <w:vAlign w:val="center"/>
          </w:tcPr>
          <w:p w14:paraId="49AC2435">
            <w:pPr>
              <w:spacing w:line="360" w:lineRule="exact"/>
              <w:jc w:val="center"/>
              <w:rPr>
                <w:rFonts w:ascii="宋体" w:hAnsi="宋体"/>
                <w:color w:val="auto"/>
                <w:szCs w:val="21"/>
                <w:highlight w:val="none"/>
              </w:rPr>
            </w:pPr>
            <w:r>
              <w:rPr>
                <w:rFonts w:hint="eastAsia" w:ascii="宋体" w:hAnsi="宋体"/>
                <w:color w:val="auto"/>
                <w:szCs w:val="21"/>
                <w:highlight w:val="none"/>
              </w:rPr>
              <w:t>序号</w:t>
            </w:r>
          </w:p>
        </w:tc>
        <w:tc>
          <w:tcPr>
            <w:tcW w:w="1019" w:type="pct"/>
            <w:tcBorders>
              <w:top w:val="single" w:color="auto" w:sz="4" w:space="0"/>
              <w:left w:val="single" w:color="auto" w:sz="4" w:space="0"/>
              <w:bottom w:val="single" w:color="auto" w:sz="4" w:space="0"/>
              <w:right w:val="single" w:color="auto" w:sz="4" w:space="0"/>
            </w:tcBorders>
            <w:vAlign w:val="center"/>
          </w:tcPr>
          <w:p w14:paraId="6BF5F44C">
            <w:pPr>
              <w:spacing w:line="360" w:lineRule="exact"/>
              <w:jc w:val="center"/>
              <w:rPr>
                <w:rFonts w:ascii="宋体" w:hAnsi="宋体"/>
                <w:color w:val="auto"/>
                <w:szCs w:val="21"/>
                <w:highlight w:val="none"/>
              </w:rPr>
            </w:pPr>
            <w:r>
              <w:rPr>
                <w:rFonts w:hint="eastAsia" w:ascii="宋体" w:hAnsi="宋体"/>
                <w:color w:val="auto"/>
                <w:szCs w:val="21"/>
                <w:highlight w:val="none"/>
              </w:rPr>
              <w:t>标的名称</w:t>
            </w:r>
          </w:p>
        </w:tc>
        <w:tc>
          <w:tcPr>
            <w:tcW w:w="474" w:type="pct"/>
            <w:tcBorders>
              <w:top w:val="single" w:color="auto" w:sz="4" w:space="0"/>
              <w:left w:val="single" w:color="auto" w:sz="4" w:space="0"/>
              <w:bottom w:val="single" w:color="auto" w:sz="4" w:space="0"/>
              <w:right w:val="single" w:color="auto" w:sz="4" w:space="0"/>
            </w:tcBorders>
            <w:vAlign w:val="center"/>
          </w:tcPr>
          <w:p w14:paraId="55A9E8CA">
            <w:pPr>
              <w:spacing w:line="360" w:lineRule="exact"/>
              <w:jc w:val="center"/>
              <w:rPr>
                <w:rFonts w:ascii="宋体" w:hAnsi="宋体"/>
                <w:color w:val="auto"/>
                <w:szCs w:val="21"/>
                <w:highlight w:val="none"/>
              </w:rPr>
            </w:pPr>
            <w:r>
              <w:rPr>
                <w:rFonts w:hint="eastAsia" w:ascii="宋体" w:hAnsi="宋体"/>
                <w:color w:val="auto"/>
                <w:szCs w:val="21"/>
                <w:highlight w:val="none"/>
              </w:rPr>
              <w:t>数量及</w:t>
            </w:r>
          </w:p>
          <w:p w14:paraId="72547DD9">
            <w:pPr>
              <w:spacing w:line="360" w:lineRule="exact"/>
              <w:jc w:val="center"/>
              <w:rPr>
                <w:rFonts w:ascii="宋体" w:hAnsi="宋体"/>
                <w:color w:val="auto"/>
                <w:szCs w:val="21"/>
                <w:highlight w:val="none"/>
              </w:rPr>
            </w:pPr>
            <w:r>
              <w:rPr>
                <w:rFonts w:hint="eastAsia" w:ascii="宋体" w:hAnsi="宋体"/>
                <w:color w:val="auto"/>
                <w:szCs w:val="21"/>
                <w:highlight w:val="none"/>
              </w:rPr>
              <w:t>单位</w:t>
            </w:r>
          </w:p>
        </w:tc>
        <w:tc>
          <w:tcPr>
            <w:tcW w:w="3131" w:type="pct"/>
            <w:tcBorders>
              <w:top w:val="single" w:color="auto" w:sz="4" w:space="0"/>
              <w:left w:val="single" w:color="auto" w:sz="4" w:space="0"/>
              <w:bottom w:val="single" w:color="auto" w:sz="4" w:space="0"/>
              <w:right w:val="single" w:color="auto" w:sz="4" w:space="0"/>
            </w:tcBorders>
            <w:vAlign w:val="center"/>
          </w:tcPr>
          <w:p w14:paraId="2E6CE053">
            <w:pPr>
              <w:spacing w:line="360" w:lineRule="exact"/>
              <w:jc w:val="center"/>
              <w:rPr>
                <w:rFonts w:ascii="宋体" w:hAnsi="宋体"/>
                <w:color w:val="auto"/>
                <w:szCs w:val="21"/>
                <w:highlight w:val="none"/>
              </w:rPr>
            </w:pPr>
            <w:r>
              <w:rPr>
                <w:rFonts w:hint="eastAsia" w:ascii="宋体" w:hAnsi="宋体"/>
                <w:color w:val="auto"/>
                <w:szCs w:val="21"/>
                <w:highlight w:val="none"/>
              </w:rPr>
              <w:t>简要技术需求或者服务要求</w:t>
            </w:r>
          </w:p>
        </w:tc>
      </w:tr>
      <w:tr w14:paraId="139FDE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74" w:type="pct"/>
            <w:tcBorders>
              <w:top w:val="single" w:color="auto" w:sz="4" w:space="0"/>
              <w:left w:val="single" w:color="auto" w:sz="4" w:space="0"/>
              <w:bottom w:val="single" w:color="auto" w:sz="4" w:space="0"/>
              <w:right w:val="single" w:color="auto" w:sz="4" w:space="0"/>
            </w:tcBorders>
            <w:vAlign w:val="center"/>
          </w:tcPr>
          <w:p w14:paraId="267964F3">
            <w:pPr>
              <w:spacing w:line="360" w:lineRule="exact"/>
              <w:jc w:val="center"/>
              <w:rPr>
                <w:rFonts w:ascii="宋体" w:hAnsi="宋体"/>
                <w:color w:val="auto"/>
                <w:szCs w:val="21"/>
                <w:highlight w:val="none"/>
              </w:rPr>
            </w:pPr>
            <w:r>
              <w:rPr>
                <w:rFonts w:hint="eastAsia" w:ascii="宋体" w:hAnsi="宋体"/>
                <w:color w:val="auto"/>
                <w:szCs w:val="21"/>
                <w:highlight w:val="none"/>
              </w:rPr>
              <w:t>1</w:t>
            </w:r>
          </w:p>
        </w:tc>
        <w:tc>
          <w:tcPr>
            <w:tcW w:w="1019" w:type="pct"/>
            <w:tcBorders>
              <w:top w:val="single" w:color="auto" w:sz="4" w:space="0"/>
              <w:left w:val="single" w:color="auto" w:sz="4" w:space="0"/>
              <w:bottom w:val="single" w:color="auto" w:sz="4" w:space="0"/>
              <w:right w:val="single" w:color="auto" w:sz="4" w:space="0"/>
            </w:tcBorders>
            <w:vAlign w:val="center"/>
          </w:tcPr>
          <w:p w14:paraId="1A2294AC">
            <w:pPr>
              <w:widowControl/>
              <w:spacing w:line="360" w:lineRule="exact"/>
              <w:jc w:val="left"/>
              <w:rPr>
                <w:rFonts w:ascii="宋体" w:hAnsi="宋体"/>
                <w:color w:val="auto"/>
                <w:szCs w:val="21"/>
                <w:highlight w:val="none"/>
              </w:rPr>
            </w:pPr>
            <w:r>
              <w:rPr>
                <w:rFonts w:hint="eastAsia"/>
                <w:color w:val="auto"/>
                <w:szCs w:val="21"/>
                <w:highlight w:val="none"/>
              </w:rPr>
              <w:t>人工智能综合实验箱</w:t>
            </w:r>
          </w:p>
        </w:tc>
        <w:tc>
          <w:tcPr>
            <w:tcW w:w="474" w:type="pct"/>
            <w:tcBorders>
              <w:top w:val="single" w:color="auto" w:sz="4" w:space="0"/>
              <w:left w:val="single" w:color="auto" w:sz="4" w:space="0"/>
              <w:bottom w:val="single" w:color="auto" w:sz="4" w:space="0"/>
              <w:right w:val="single" w:color="auto" w:sz="4" w:space="0"/>
            </w:tcBorders>
            <w:vAlign w:val="center"/>
          </w:tcPr>
          <w:p w14:paraId="3BAE4E85">
            <w:pPr>
              <w:widowControl/>
              <w:spacing w:line="360" w:lineRule="exact"/>
              <w:jc w:val="center"/>
              <w:rPr>
                <w:rFonts w:ascii="宋体" w:hAnsi="宋体"/>
                <w:color w:val="auto"/>
                <w:szCs w:val="21"/>
                <w:highlight w:val="none"/>
              </w:rPr>
            </w:pPr>
            <w:r>
              <w:rPr>
                <w:rFonts w:hint="eastAsia" w:ascii="宋体" w:hAnsi="宋体"/>
                <w:color w:val="auto"/>
                <w:szCs w:val="21"/>
                <w:highlight w:val="none"/>
              </w:rPr>
              <w:t>25套</w:t>
            </w:r>
          </w:p>
        </w:tc>
        <w:tc>
          <w:tcPr>
            <w:tcW w:w="3131" w:type="pct"/>
            <w:tcBorders>
              <w:top w:val="single" w:color="auto" w:sz="4" w:space="0"/>
              <w:left w:val="single" w:color="auto" w:sz="4" w:space="0"/>
              <w:bottom w:val="single" w:color="auto" w:sz="4" w:space="0"/>
              <w:right w:val="single" w:color="auto" w:sz="4" w:space="0"/>
            </w:tcBorders>
            <w:vAlign w:val="center"/>
          </w:tcPr>
          <w:p w14:paraId="29071B76">
            <w:pPr>
              <w:widowControl/>
              <w:spacing w:line="360" w:lineRule="exact"/>
              <w:rPr>
                <w:color w:val="auto"/>
                <w:szCs w:val="21"/>
                <w:highlight w:val="none"/>
              </w:rPr>
            </w:pPr>
            <w:r>
              <w:rPr>
                <w:rFonts w:hint="eastAsia"/>
                <w:color w:val="auto"/>
                <w:szCs w:val="21"/>
                <w:highlight w:val="none"/>
              </w:rPr>
              <w:t>1.</w:t>
            </w:r>
            <w:r>
              <w:rPr>
                <w:color w:val="auto"/>
                <w:szCs w:val="21"/>
                <w:highlight w:val="none"/>
              </w:rPr>
              <w:t xml:space="preserve"> </w:t>
            </w:r>
            <w:r>
              <w:rPr>
                <w:rFonts w:hint="eastAsia"/>
                <w:color w:val="auto"/>
                <w:szCs w:val="21"/>
                <w:highlight w:val="none"/>
              </w:rPr>
              <w:t>设备整机采用铝合双层上下一体结构，机箱尺寸约长580mm×宽380mm×高210mm，提供双屏交互，主屏≥17寸屏幕，副屏≥8寸，分辨率≥1920×1080，整机集成键盘、无线双模鼠标，标配防撞脚垫、橡胶/塑料把手，机箱内部支持摄像头、麦克风阵列、鼠标、实验道具等物品的收纳，支持上电即用；</w:t>
            </w:r>
          </w:p>
          <w:p w14:paraId="10B53ADD">
            <w:pPr>
              <w:widowControl/>
              <w:spacing w:line="360" w:lineRule="exact"/>
              <w:jc w:val="left"/>
              <w:rPr>
                <w:rFonts w:ascii="宋体" w:hAnsi="宋体" w:cs="宋体"/>
                <w:color w:val="auto"/>
                <w:szCs w:val="21"/>
                <w:highlight w:val="none"/>
              </w:rPr>
            </w:pPr>
            <w:r>
              <w:rPr>
                <w:rFonts w:hint="eastAsia"/>
                <w:color w:val="auto"/>
                <w:szCs w:val="21"/>
                <w:highlight w:val="none"/>
              </w:rPr>
              <w:t>……</w:t>
            </w:r>
          </w:p>
        </w:tc>
      </w:tr>
      <w:tr w14:paraId="271A7B1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74" w:type="pct"/>
            <w:tcBorders>
              <w:top w:val="single" w:color="auto" w:sz="4" w:space="0"/>
              <w:left w:val="single" w:color="auto" w:sz="4" w:space="0"/>
              <w:bottom w:val="single" w:color="auto" w:sz="4" w:space="0"/>
              <w:right w:val="single" w:color="auto" w:sz="4" w:space="0"/>
            </w:tcBorders>
            <w:vAlign w:val="center"/>
          </w:tcPr>
          <w:p w14:paraId="771CCB14">
            <w:pPr>
              <w:spacing w:line="360" w:lineRule="exact"/>
              <w:jc w:val="center"/>
              <w:rPr>
                <w:rFonts w:ascii="宋体" w:hAnsi="宋体"/>
                <w:color w:val="auto"/>
                <w:szCs w:val="21"/>
                <w:highlight w:val="none"/>
              </w:rPr>
            </w:pPr>
            <w:r>
              <w:rPr>
                <w:rFonts w:hint="eastAsia" w:ascii="宋体" w:hAnsi="宋体"/>
                <w:color w:val="auto"/>
                <w:szCs w:val="21"/>
                <w:highlight w:val="none"/>
              </w:rPr>
              <w:t>2</w:t>
            </w:r>
          </w:p>
        </w:tc>
        <w:tc>
          <w:tcPr>
            <w:tcW w:w="1019" w:type="pct"/>
            <w:tcBorders>
              <w:top w:val="single" w:color="auto" w:sz="4" w:space="0"/>
              <w:left w:val="single" w:color="auto" w:sz="4" w:space="0"/>
              <w:bottom w:val="single" w:color="auto" w:sz="4" w:space="0"/>
              <w:right w:val="single" w:color="auto" w:sz="4" w:space="0"/>
            </w:tcBorders>
            <w:vAlign w:val="center"/>
          </w:tcPr>
          <w:p w14:paraId="26A7BC12">
            <w:pPr>
              <w:widowControl/>
              <w:spacing w:line="360" w:lineRule="exact"/>
              <w:jc w:val="left"/>
              <w:rPr>
                <w:rFonts w:ascii="宋体" w:hAnsi="宋体"/>
                <w:color w:val="auto"/>
                <w:szCs w:val="21"/>
                <w:highlight w:val="none"/>
              </w:rPr>
            </w:pPr>
            <w:r>
              <w:rPr>
                <w:rFonts w:hint="eastAsia"/>
                <w:color w:val="auto"/>
                <w:szCs w:val="21"/>
                <w:highlight w:val="none"/>
              </w:rPr>
              <w:t>人工智能大模型综合实验平台</w:t>
            </w:r>
          </w:p>
        </w:tc>
        <w:tc>
          <w:tcPr>
            <w:tcW w:w="474" w:type="pct"/>
            <w:tcBorders>
              <w:top w:val="single" w:color="auto" w:sz="4" w:space="0"/>
              <w:left w:val="single" w:color="auto" w:sz="4" w:space="0"/>
              <w:bottom w:val="single" w:color="auto" w:sz="4" w:space="0"/>
              <w:right w:val="single" w:color="auto" w:sz="4" w:space="0"/>
            </w:tcBorders>
            <w:vAlign w:val="center"/>
          </w:tcPr>
          <w:p w14:paraId="0BE6D77C">
            <w:pPr>
              <w:widowControl/>
              <w:spacing w:line="360" w:lineRule="exact"/>
              <w:jc w:val="center"/>
              <w:rPr>
                <w:rFonts w:ascii="宋体" w:hAnsi="宋体"/>
                <w:color w:val="auto"/>
                <w:szCs w:val="21"/>
                <w:highlight w:val="none"/>
              </w:rPr>
            </w:pPr>
            <w:r>
              <w:rPr>
                <w:rFonts w:hint="eastAsia" w:ascii="宋体" w:hAnsi="宋体"/>
                <w:color w:val="auto"/>
                <w:szCs w:val="21"/>
                <w:highlight w:val="none"/>
              </w:rPr>
              <w:t>1套</w:t>
            </w:r>
          </w:p>
        </w:tc>
        <w:tc>
          <w:tcPr>
            <w:tcW w:w="3131" w:type="pct"/>
            <w:tcBorders>
              <w:top w:val="single" w:color="auto" w:sz="4" w:space="0"/>
              <w:left w:val="single" w:color="auto" w:sz="4" w:space="0"/>
              <w:bottom w:val="single" w:color="auto" w:sz="4" w:space="0"/>
              <w:right w:val="single" w:color="auto" w:sz="4" w:space="0"/>
            </w:tcBorders>
            <w:vAlign w:val="center"/>
          </w:tcPr>
          <w:p w14:paraId="31E55477">
            <w:pPr>
              <w:widowControl/>
              <w:spacing w:line="360" w:lineRule="exact"/>
              <w:rPr>
                <w:color w:val="auto"/>
                <w:szCs w:val="21"/>
                <w:highlight w:val="none"/>
              </w:rPr>
            </w:pPr>
            <w:r>
              <w:rPr>
                <w:rFonts w:hint="eastAsia"/>
                <w:color w:val="auto"/>
                <w:szCs w:val="21"/>
                <w:highlight w:val="none"/>
              </w:rPr>
              <w:t>功能要求：支持对话大模型、文生图、图生图、图像高清化、模型训练、AI音乐生成、AI翻译、智能体平台、语音聊天等不少于9项功能。</w:t>
            </w:r>
          </w:p>
          <w:p w14:paraId="45E61759">
            <w:pPr>
              <w:widowControl/>
              <w:spacing w:line="360" w:lineRule="exact"/>
              <w:jc w:val="left"/>
              <w:rPr>
                <w:rFonts w:ascii="宋体" w:hAnsi="宋体" w:cs="宋体"/>
                <w:color w:val="auto"/>
                <w:szCs w:val="21"/>
                <w:highlight w:val="none"/>
              </w:rPr>
            </w:pPr>
            <w:r>
              <w:rPr>
                <w:rFonts w:hint="eastAsia"/>
                <w:color w:val="auto"/>
                <w:szCs w:val="21"/>
                <w:highlight w:val="none"/>
              </w:rPr>
              <w:t>……</w:t>
            </w:r>
          </w:p>
        </w:tc>
      </w:tr>
      <w:tr w14:paraId="0DECFE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74" w:type="pct"/>
            <w:tcBorders>
              <w:top w:val="single" w:color="auto" w:sz="4" w:space="0"/>
              <w:left w:val="single" w:color="auto" w:sz="4" w:space="0"/>
              <w:bottom w:val="single" w:color="auto" w:sz="4" w:space="0"/>
              <w:right w:val="single" w:color="auto" w:sz="4" w:space="0"/>
            </w:tcBorders>
            <w:vAlign w:val="center"/>
          </w:tcPr>
          <w:p w14:paraId="3DEFE476">
            <w:pPr>
              <w:spacing w:line="360" w:lineRule="exact"/>
              <w:jc w:val="center"/>
              <w:rPr>
                <w:rFonts w:ascii="宋体" w:hAnsi="宋体"/>
                <w:color w:val="auto"/>
                <w:szCs w:val="21"/>
                <w:highlight w:val="none"/>
              </w:rPr>
            </w:pPr>
            <w:r>
              <w:rPr>
                <w:rFonts w:hint="eastAsia" w:ascii="宋体" w:hAnsi="宋体"/>
                <w:color w:val="auto"/>
                <w:szCs w:val="21"/>
                <w:highlight w:val="none"/>
              </w:rPr>
              <w:t>3</w:t>
            </w:r>
          </w:p>
        </w:tc>
        <w:tc>
          <w:tcPr>
            <w:tcW w:w="1019" w:type="pct"/>
            <w:tcBorders>
              <w:top w:val="single" w:color="auto" w:sz="4" w:space="0"/>
              <w:left w:val="single" w:color="auto" w:sz="4" w:space="0"/>
              <w:bottom w:val="single" w:color="auto" w:sz="4" w:space="0"/>
              <w:right w:val="single" w:color="auto" w:sz="4" w:space="0"/>
            </w:tcBorders>
            <w:vAlign w:val="center"/>
          </w:tcPr>
          <w:p w14:paraId="371C5FEE">
            <w:pPr>
              <w:widowControl/>
              <w:spacing w:line="360" w:lineRule="exact"/>
              <w:jc w:val="left"/>
              <w:rPr>
                <w:rFonts w:ascii="宋体" w:hAnsi="宋体"/>
                <w:color w:val="auto"/>
                <w:szCs w:val="21"/>
                <w:highlight w:val="none"/>
              </w:rPr>
            </w:pPr>
            <w:r>
              <w:rPr>
                <w:rFonts w:hint="eastAsia"/>
                <w:color w:val="auto"/>
                <w:szCs w:val="21"/>
                <w:highlight w:val="none"/>
              </w:rPr>
              <w:t>课堂管理软件</w:t>
            </w:r>
          </w:p>
        </w:tc>
        <w:tc>
          <w:tcPr>
            <w:tcW w:w="474" w:type="pct"/>
            <w:tcBorders>
              <w:top w:val="single" w:color="auto" w:sz="4" w:space="0"/>
              <w:left w:val="single" w:color="auto" w:sz="4" w:space="0"/>
              <w:bottom w:val="single" w:color="auto" w:sz="4" w:space="0"/>
              <w:right w:val="single" w:color="auto" w:sz="4" w:space="0"/>
            </w:tcBorders>
            <w:vAlign w:val="center"/>
          </w:tcPr>
          <w:p w14:paraId="5698F7DD">
            <w:pPr>
              <w:widowControl/>
              <w:spacing w:line="360" w:lineRule="exact"/>
              <w:jc w:val="center"/>
              <w:rPr>
                <w:rFonts w:ascii="宋体" w:hAnsi="宋体"/>
                <w:color w:val="auto"/>
                <w:szCs w:val="21"/>
                <w:highlight w:val="none"/>
              </w:rPr>
            </w:pPr>
            <w:r>
              <w:rPr>
                <w:rFonts w:hint="eastAsia" w:ascii="宋体" w:hAnsi="宋体"/>
                <w:color w:val="auto"/>
                <w:szCs w:val="21"/>
                <w:highlight w:val="none"/>
              </w:rPr>
              <w:t>1套</w:t>
            </w:r>
          </w:p>
        </w:tc>
        <w:tc>
          <w:tcPr>
            <w:tcW w:w="3131" w:type="pct"/>
            <w:tcBorders>
              <w:top w:val="single" w:color="auto" w:sz="4" w:space="0"/>
              <w:left w:val="single" w:color="auto" w:sz="4" w:space="0"/>
              <w:bottom w:val="single" w:color="auto" w:sz="4" w:space="0"/>
              <w:right w:val="single" w:color="auto" w:sz="4" w:space="0"/>
            </w:tcBorders>
            <w:vAlign w:val="center"/>
          </w:tcPr>
          <w:p w14:paraId="4569C149">
            <w:pPr>
              <w:widowControl/>
              <w:spacing w:line="360" w:lineRule="exact"/>
              <w:rPr>
                <w:color w:val="auto"/>
                <w:szCs w:val="21"/>
                <w:highlight w:val="none"/>
              </w:rPr>
            </w:pPr>
            <w:r>
              <w:rPr>
                <w:rFonts w:hint="eastAsia"/>
                <w:color w:val="auto"/>
                <w:szCs w:val="21"/>
                <w:highlight w:val="none"/>
              </w:rPr>
              <w:t>1. 安装部署快捷，升级简易方便，全中文人性化界面设计，支持主窗口功能按钮、浮动工具条、右键菜单、快捷键多项操作方式。</w:t>
            </w:r>
          </w:p>
          <w:p w14:paraId="0528EBDC">
            <w:pPr>
              <w:widowControl/>
              <w:spacing w:line="360" w:lineRule="exact"/>
              <w:jc w:val="left"/>
              <w:rPr>
                <w:rFonts w:ascii="宋体" w:hAnsi="宋体" w:cs="宋体"/>
                <w:color w:val="auto"/>
                <w:szCs w:val="21"/>
                <w:highlight w:val="none"/>
              </w:rPr>
            </w:pPr>
            <w:r>
              <w:rPr>
                <w:rFonts w:hint="eastAsia"/>
                <w:color w:val="auto"/>
                <w:szCs w:val="21"/>
                <w:highlight w:val="none"/>
              </w:rPr>
              <w:t>……</w:t>
            </w:r>
          </w:p>
        </w:tc>
      </w:tr>
      <w:tr w14:paraId="78BBC1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74" w:type="pct"/>
            <w:tcBorders>
              <w:top w:val="single" w:color="auto" w:sz="4" w:space="0"/>
              <w:left w:val="single" w:color="auto" w:sz="4" w:space="0"/>
              <w:bottom w:val="single" w:color="auto" w:sz="4" w:space="0"/>
              <w:right w:val="single" w:color="auto" w:sz="4" w:space="0"/>
            </w:tcBorders>
            <w:vAlign w:val="center"/>
          </w:tcPr>
          <w:p w14:paraId="57E5F18C">
            <w:pPr>
              <w:pStyle w:val="4"/>
              <w:rPr>
                <w:rFonts w:ascii="宋体" w:hAnsi="宋体"/>
                <w:color w:val="auto"/>
                <w:sz w:val="21"/>
                <w:szCs w:val="21"/>
                <w:highlight w:val="none"/>
              </w:rPr>
            </w:pPr>
            <w:r>
              <w:rPr>
                <w:rFonts w:hint="eastAsia"/>
                <w:color w:val="auto"/>
                <w:sz w:val="21"/>
                <w:szCs w:val="21"/>
                <w:highlight w:val="none"/>
              </w:rPr>
              <w:t>4</w:t>
            </w:r>
          </w:p>
        </w:tc>
        <w:tc>
          <w:tcPr>
            <w:tcW w:w="1019" w:type="pct"/>
            <w:tcBorders>
              <w:top w:val="single" w:color="auto" w:sz="4" w:space="0"/>
              <w:left w:val="single" w:color="auto" w:sz="4" w:space="0"/>
              <w:bottom w:val="single" w:color="auto" w:sz="4" w:space="0"/>
              <w:right w:val="single" w:color="auto" w:sz="4" w:space="0"/>
            </w:tcBorders>
            <w:vAlign w:val="center"/>
          </w:tcPr>
          <w:p w14:paraId="2B706C91">
            <w:pPr>
              <w:pStyle w:val="4"/>
              <w:rPr>
                <w:rFonts w:ascii="宋体" w:hAnsi="宋体"/>
                <w:color w:val="auto"/>
                <w:sz w:val="21"/>
                <w:szCs w:val="21"/>
                <w:highlight w:val="none"/>
              </w:rPr>
            </w:pPr>
            <w:r>
              <w:rPr>
                <w:rFonts w:hint="eastAsia"/>
                <w:color w:val="auto"/>
                <w:sz w:val="21"/>
                <w:szCs w:val="21"/>
                <w:highlight w:val="none"/>
              </w:rPr>
              <w:t>24口企业级可网管接入交换机</w:t>
            </w:r>
          </w:p>
        </w:tc>
        <w:tc>
          <w:tcPr>
            <w:tcW w:w="474" w:type="pct"/>
            <w:tcBorders>
              <w:top w:val="single" w:color="auto" w:sz="4" w:space="0"/>
              <w:left w:val="single" w:color="auto" w:sz="4" w:space="0"/>
              <w:bottom w:val="single" w:color="auto" w:sz="4" w:space="0"/>
              <w:right w:val="single" w:color="auto" w:sz="4" w:space="0"/>
            </w:tcBorders>
            <w:vAlign w:val="center"/>
          </w:tcPr>
          <w:p w14:paraId="1301AEF3">
            <w:pPr>
              <w:widowControl/>
              <w:spacing w:line="360" w:lineRule="exact"/>
              <w:jc w:val="center"/>
              <w:rPr>
                <w:rFonts w:ascii="宋体" w:hAnsi="宋体"/>
                <w:color w:val="auto"/>
                <w:szCs w:val="21"/>
                <w:highlight w:val="none"/>
              </w:rPr>
            </w:pPr>
            <w:r>
              <w:rPr>
                <w:rFonts w:hint="eastAsia" w:ascii="宋体" w:hAnsi="宋体"/>
                <w:color w:val="auto"/>
                <w:szCs w:val="21"/>
                <w:highlight w:val="none"/>
              </w:rPr>
              <w:t>1台</w:t>
            </w:r>
          </w:p>
        </w:tc>
        <w:tc>
          <w:tcPr>
            <w:tcW w:w="3131" w:type="pct"/>
            <w:tcBorders>
              <w:top w:val="single" w:color="auto" w:sz="4" w:space="0"/>
              <w:left w:val="single" w:color="auto" w:sz="4" w:space="0"/>
              <w:bottom w:val="single" w:color="auto" w:sz="4" w:space="0"/>
              <w:right w:val="single" w:color="auto" w:sz="4" w:space="0"/>
            </w:tcBorders>
            <w:vAlign w:val="center"/>
          </w:tcPr>
          <w:p w14:paraId="42A16390">
            <w:pPr>
              <w:widowControl/>
              <w:spacing w:line="360" w:lineRule="exact"/>
              <w:rPr>
                <w:color w:val="auto"/>
                <w:szCs w:val="21"/>
                <w:highlight w:val="none"/>
              </w:rPr>
            </w:pPr>
            <w:r>
              <w:rPr>
                <w:rFonts w:hint="eastAsia"/>
                <w:color w:val="auto"/>
                <w:szCs w:val="21"/>
                <w:highlight w:val="none"/>
              </w:rPr>
              <w:t>1. 整机性能：交换容量≥670Gbps，包转发率≥120Mpps；</w:t>
            </w:r>
          </w:p>
          <w:p w14:paraId="4475697F">
            <w:pPr>
              <w:widowControl/>
              <w:spacing w:line="360" w:lineRule="exact"/>
              <w:rPr>
                <w:color w:val="auto"/>
                <w:szCs w:val="21"/>
                <w:highlight w:val="none"/>
              </w:rPr>
            </w:pPr>
            <w:r>
              <w:rPr>
                <w:rFonts w:hint="eastAsia"/>
                <w:color w:val="auto"/>
                <w:szCs w:val="21"/>
                <w:highlight w:val="none"/>
              </w:rPr>
              <w:t>2. 设备配置：提供千兆电口≥24个，万兆光口≥4个，万兆单模光模块≥4个；</w:t>
            </w:r>
          </w:p>
          <w:p w14:paraId="675D1356">
            <w:pPr>
              <w:widowControl/>
              <w:spacing w:line="360" w:lineRule="exact"/>
              <w:jc w:val="left"/>
              <w:rPr>
                <w:rFonts w:ascii="宋体" w:hAnsi="宋体" w:cs="宋体"/>
                <w:color w:val="auto"/>
                <w:szCs w:val="21"/>
                <w:highlight w:val="none"/>
              </w:rPr>
            </w:pPr>
            <w:r>
              <w:rPr>
                <w:rFonts w:hint="eastAsia"/>
                <w:color w:val="auto"/>
                <w:szCs w:val="21"/>
                <w:highlight w:val="none"/>
              </w:rPr>
              <w:t>……</w:t>
            </w:r>
          </w:p>
        </w:tc>
      </w:tr>
      <w:tr w14:paraId="7F151FF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74" w:type="pct"/>
            <w:tcBorders>
              <w:top w:val="single" w:color="auto" w:sz="4" w:space="0"/>
              <w:left w:val="single" w:color="auto" w:sz="4" w:space="0"/>
              <w:bottom w:val="single" w:color="auto" w:sz="4" w:space="0"/>
              <w:right w:val="single" w:color="auto" w:sz="4" w:space="0"/>
            </w:tcBorders>
            <w:vAlign w:val="center"/>
          </w:tcPr>
          <w:p w14:paraId="55EDD91F">
            <w:pPr>
              <w:pStyle w:val="4"/>
              <w:rPr>
                <w:rFonts w:ascii="宋体" w:hAnsi="宋体"/>
                <w:color w:val="auto"/>
                <w:sz w:val="21"/>
                <w:szCs w:val="21"/>
                <w:highlight w:val="none"/>
              </w:rPr>
            </w:pPr>
            <w:bookmarkStart w:id="7" w:name="_Toc35393630"/>
            <w:bookmarkStart w:id="8" w:name="_Toc71365363"/>
            <w:bookmarkStart w:id="9" w:name="_Toc28359090"/>
            <w:bookmarkStart w:id="10" w:name="_Toc71366041"/>
            <w:bookmarkStart w:id="11" w:name="_Toc35393799"/>
            <w:bookmarkStart w:id="12" w:name="_Toc28359013"/>
            <w:r>
              <w:rPr>
                <w:rFonts w:hint="eastAsia"/>
                <w:color w:val="auto"/>
                <w:sz w:val="21"/>
                <w:szCs w:val="21"/>
                <w:highlight w:val="none"/>
              </w:rPr>
              <w:t>5</w:t>
            </w:r>
          </w:p>
        </w:tc>
        <w:tc>
          <w:tcPr>
            <w:tcW w:w="1019" w:type="pct"/>
            <w:tcBorders>
              <w:top w:val="single" w:color="auto" w:sz="4" w:space="0"/>
              <w:left w:val="single" w:color="auto" w:sz="4" w:space="0"/>
              <w:bottom w:val="single" w:color="auto" w:sz="4" w:space="0"/>
              <w:right w:val="single" w:color="auto" w:sz="4" w:space="0"/>
            </w:tcBorders>
            <w:vAlign w:val="center"/>
          </w:tcPr>
          <w:p w14:paraId="20AF6017">
            <w:pPr>
              <w:pStyle w:val="4"/>
              <w:rPr>
                <w:rFonts w:ascii="宋体" w:hAnsi="宋体"/>
                <w:color w:val="auto"/>
                <w:sz w:val="21"/>
                <w:szCs w:val="21"/>
                <w:highlight w:val="none"/>
              </w:rPr>
            </w:pPr>
            <w:r>
              <w:rPr>
                <w:rFonts w:hint="eastAsia"/>
                <w:color w:val="auto"/>
                <w:sz w:val="21"/>
                <w:szCs w:val="21"/>
                <w:highlight w:val="none"/>
              </w:rPr>
              <w:t>48口企业级可网管接入交换机</w:t>
            </w:r>
          </w:p>
        </w:tc>
        <w:tc>
          <w:tcPr>
            <w:tcW w:w="474" w:type="pct"/>
            <w:tcBorders>
              <w:top w:val="single" w:color="auto" w:sz="4" w:space="0"/>
              <w:left w:val="single" w:color="auto" w:sz="4" w:space="0"/>
              <w:bottom w:val="single" w:color="auto" w:sz="4" w:space="0"/>
              <w:right w:val="single" w:color="auto" w:sz="4" w:space="0"/>
            </w:tcBorders>
            <w:vAlign w:val="center"/>
          </w:tcPr>
          <w:p w14:paraId="0306266E">
            <w:pPr>
              <w:widowControl/>
              <w:spacing w:line="360" w:lineRule="exact"/>
              <w:jc w:val="center"/>
              <w:rPr>
                <w:rFonts w:ascii="宋体" w:hAnsi="宋体"/>
                <w:color w:val="auto"/>
                <w:szCs w:val="21"/>
                <w:highlight w:val="none"/>
              </w:rPr>
            </w:pPr>
            <w:r>
              <w:rPr>
                <w:rFonts w:hint="eastAsia" w:ascii="宋体" w:hAnsi="宋体"/>
                <w:color w:val="auto"/>
                <w:szCs w:val="21"/>
                <w:highlight w:val="none"/>
              </w:rPr>
              <w:t>1台</w:t>
            </w:r>
          </w:p>
        </w:tc>
        <w:tc>
          <w:tcPr>
            <w:tcW w:w="3131" w:type="pct"/>
            <w:tcBorders>
              <w:top w:val="single" w:color="auto" w:sz="4" w:space="0"/>
              <w:left w:val="single" w:color="auto" w:sz="4" w:space="0"/>
              <w:bottom w:val="single" w:color="auto" w:sz="4" w:space="0"/>
              <w:right w:val="single" w:color="auto" w:sz="4" w:space="0"/>
            </w:tcBorders>
            <w:vAlign w:val="center"/>
          </w:tcPr>
          <w:p w14:paraId="1DFCF5CC">
            <w:pPr>
              <w:widowControl/>
              <w:spacing w:line="360" w:lineRule="exact"/>
              <w:rPr>
                <w:color w:val="auto"/>
                <w:szCs w:val="21"/>
                <w:highlight w:val="none"/>
              </w:rPr>
            </w:pPr>
            <w:r>
              <w:rPr>
                <w:rFonts w:hint="eastAsia"/>
                <w:color w:val="auto"/>
                <w:szCs w:val="21"/>
                <w:highlight w:val="none"/>
              </w:rPr>
              <w:t>1. 整机性能：交换容量≥670Gbps，包转发率≥160Mpps；</w:t>
            </w:r>
          </w:p>
          <w:p w14:paraId="0C6E508E">
            <w:pPr>
              <w:widowControl/>
              <w:spacing w:line="360" w:lineRule="exact"/>
              <w:jc w:val="center"/>
              <w:rPr>
                <w:rFonts w:ascii="宋体" w:hAnsi="宋体" w:cs="宋体"/>
                <w:color w:val="auto"/>
                <w:szCs w:val="21"/>
                <w:highlight w:val="none"/>
              </w:rPr>
            </w:pPr>
            <w:r>
              <w:rPr>
                <w:rFonts w:hint="eastAsia"/>
                <w:color w:val="auto"/>
                <w:szCs w:val="21"/>
                <w:highlight w:val="none"/>
              </w:rPr>
              <w:t>……</w:t>
            </w:r>
          </w:p>
        </w:tc>
      </w:tr>
      <w:tr w14:paraId="77962D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374" w:type="pct"/>
            <w:tcBorders>
              <w:top w:val="single" w:color="auto" w:sz="4" w:space="0"/>
              <w:left w:val="single" w:color="auto" w:sz="4" w:space="0"/>
              <w:bottom w:val="single" w:color="auto" w:sz="4" w:space="0"/>
              <w:right w:val="single" w:color="auto" w:sz="4" w:space="0"/>
            </w:tcBorders>
            <w:vAlign w:val="center"/>
          </w:tcPr>
          <w:p w14:paraId="68783266">
            <w:pPr>
              <w:pStyle w:val="4"/>
              <w:rPr>
                <w:color w:val="auto"/>
                <w:sz w:val="21"/>
                <w:szCs w:val="21"/>
                <w:highlight w:val="none"/>
              </w:rPr>
            </w:pPr>
            <w:r>
              <w:rPr>
                <w:rFonts w:hint="eastAsia"/>
                <w:color w:val="auto"/>
                <w:szCs w:val="21"/>
                <w:highlight w:val="none"/>
              </w:rPr>
              <w:t>……</w:t>
            </w:r>
          </w:p>
        </w:tc>
        <w:tc>
          <w:tcPr>
            <w:tcW w:w="1019" w:type="pct"/>
            <w:tcBorders>
              <w:top w:val="single" w:color="auto" w:sz="4" w:space="0"/>
              <w:left w:val="single" w:color="auto" w:sz="4" w:space="0"/>
              <w:bottom w:val="single" w:color="auto" w:sz="4" w:space="0"/>
              <w:right w:val="single" w:color="auto" w:sz="4" w:space="0"/>
            </w:tcBorders>
            <w:vAlign w:val="center"/>
          </w:tcPr>
          <w:p w14:paraId="66327401">
            <w:pPr>
              <w:pStyle w:val="4"/>
              <w:rPr>
                <w:color w:val="auto"/>
                <w:sz w:val="21"/>
                <w:szCs w:val="21"/>
                <w:highlight w:val="none"/>
              </w:rPr>
            </w:pPr>
            <w:r>
              <w:rPr>
                <w:rFonts w:hint="eastAsia"/>
                <w:color w:val="auto"/>
                <w:szCs w:val="21"/>
                <w:highlight w:val="none"/>
              </w:rPr>
              <w:t>……</w:t>
            </w:r>
          </w:p>
        </w:tc>
        <w:tc>
          <w:tcPr>
            <w:tcW w:w="474" w:type="pct"/>
            <w:tcBorders>
              <w:top w:val="single" w:color="auto" w:sz="4" w:space="0"/>
              <w:left w:val="single" w:color="auto" w:sz="4" w:space="0"/>
              <w:bottom w:val="single" w:color="auto" w:sz="4" w:space="0"/>
              <w:right w:val="single" w:color="auto" w:sz="4" w:space="0"/>
            </w:tcBorders>
            <w:vAlign w:val="center"/>
          </w:tcPr>
          <w:p w14:paraId="38993B5B">
            <w:pPr>
              <w:widowControl/>
              <w:spacing w:line="360" w:lineRule="exact"/>
              <w:jc w:val="center"/>
              <w:rPr>
                <w:rFonts w:ascii="宋体" w:hAnsi="宋体"/>
                <w:color w:val="auto"/>
                <w:szCs w:val="21"/>
                <w:highlight w:val="none"/>
              </w:rPr>
            </w:pPr>
            <w:r>
              <w:rPr>
                <w:rFonts w:hint="eastAsia"/>
                <w:color w:val="auto"/>
                <w:szCs w:val="21"/>
                <w:highlight w:val="none"/>
              </w:rPr>
              <w:t>……</w:t>
            </w:r>
          </w:p>
        </w:tc>
        <w:tc>
          <w:tcPr>
            <w:tcW w:w="3131" w:type="pct"/>
            <w:tcBorders>
              <w:top w:val="single" w:color="auto" w:sz="4" w:space="0"/>
              <w:left w:val="single" w:color="auto" w:sz="4" w:space="0"/>
              <w:bottom w:val="single" w:color="auto" w:sz="4" w:space="0"/>
              <w:right w:val="single" w:color="auto" w:sz="4" w:space="0"/>
            </w:tcBorders>
            <w:vAlign w:val="center"/>
          </w:tcPr>
          <w:p w14:paraId="6986E899">
            <w:pPr>
              <w:widowControl/>
              <w:spacing w:line="360" w:lineRule="exact"/>
              <w:jc w:val="left"/>
              <w:rPr>
                <w:rFonts w:ascii="宋体" w:hAnsi="宋体" w:cs="宋体"/>
                <w:color w:val="auto"/>
                <w:szCs w:val="21"/>
                <w:highlight w:val="none"/>
              </w:rPr>
            </w:pPr>
            <w:r>
              <w:rPr>
                <w:rFonts w:hint="eastAsia"/>
                <w:color w:val="auto"/>
                <w:szCs w:val="21"/>
                <w:highlight w:val="none"/>
              </w:rPr>
              <w:t>……</w:t>
            </w:r>
          </w:p>
        </w:tc>
      </w:tr>
    </w:tbl>
    <w:p w14:paraId="576C5F45">
      <w:pPr>
        <w:spacing w:line="400" w:lineRule="exact"/>
        <w:ind w:firstLine="420"/>
        <w:rPr>
          <w:rFonts w:ascii="宋体" w:hAnsi="宋体"/>
          <w:color w:val="auto"/>
          <w:szCs w:val="21"/>
          <w:highlight w:val="none"/>
          <w:u w:val="single"/>
        </w:rPr>
      </w:pPr>
      <w:r>
        <w:rPr>
          <w:rFonts w:hint="eastAsia" w:ascii="宋体" w:hAnsi="宋体"/>
          <w:color w:val="auto"/>
          <w:szCs w:val="21"/>
          <w:highlight w:val="none"/>
        </w:rPr>
        <w:t>合同履行期限：合同签订后30日内完成所有货物供货、安装调试及本项目整体验收交付。</w:t>
      </w:r>
    </w:p>
    <w:p w14:paraId="738FBE3E">
      <w:pPr>
        <w:spacing w:line="400" w:lineRule="exact"/>
        <w:ind w:firstLine="422"/>
        <w:rPr>
          <w:rFonts w:ascii="宋体" w:hAnsi="宋体"/>
          <w:b/>
          <w:color w:val="auto"/>
          <w:szCs w:val="21"/>
          <w:highlight w:val="none"/>
        </w:rPr>
      </w:pPr>
      <w:r>
        <w:rPr>
          <w:rFonts w:hint="eastAsia" w:ascii="宋体" w:hAnsi="宋体"/>
          <w:b/>
          <w:color w:val="auto"/>
          <w:szCs w:val="21"/>
          <w:highlight w:val="none"/>
        </w:rPr>
        <w:t>本项目不接受联合体。</w:t>
      </w:r>
    </w:p>
    <w:p w14:paraId="6C824B1B">
      <w:pPr>
        <w:spacing w:line="400" w:lineRule="exact"/>
        <w:ind w:firstLine="422"/>
        <w:rPr>
          <w:rFonts w:ascii="宋体" w:hAnsi="宋体"/>
          <w:b/>
          <w:color w:val="auto"/>
          <w:szCs w:val="21"/>
          <w:highlight w:val="none"/>
        </w:rPr>
      </w:pPr>
    </w:p>
    <w:p w14:paraId="5D882AF1">
      <w:pPr>
        <w:spacing w:line="400" w:lineRule="exact"/>
        <w:ind w:firstLine="480"/>
        <w:rPr>
          <w:rFonts w:ascii="黑体" w:hAnsi="黑体" w:eastAsia="黑体"/>
          <w:color w:val="auto"/>
          <w:sz w:val="24"/>
          <w:highlight w:val="none"/>
        </w:rPr>
      </w:pPr>
      <w:r>
        <w:rPr>
          <w:rFonts w:hint="eastAsia" w:ascii="黑体" w:hAnsi="黑体" w:eastAsia="黑体"/>
          <w:color w:val="auto"/>
          <w:sz w:val="24"/>
          <w:highlight w:val="none"/>
        </w:rPr>
        <w:t>二、供应商的资格条件：</w:t>
      </w:r>
      <w:bookmarkEnd w:id="6"/>
      <w:bookmarkEnd w:id="7"/>
      <w:bookmarkEnd w:id="8"/>
      <w:bookmarkEnd w:id="9"/>
      <w:bookmarkEnd w:id="10"/>
      <w:bookmarkEnd w:id="11"/>
      <w:bookmarkStart w:id="13" w:name="_Toc28359091"/>
      <w:bookmarkStart w:id="14" w:name="_Toc28359014"/>
    </w:p>
    <w:p w14:paraId="4BE43B30">
      <w:pPr>
        <w:spacing w:line="400" w:lineRule="exact"/>
        <w:ind w:firstLine="420"/>
        <w:rPr>
          <w:rFonts w:ascii="宋体" w:hAnsi="宋体"/>
          <w:color w:val="auto"/>
          <w:szCs w:val="21"/>
          <w:highlight w:val="none"/>
        </w:rPr>
      </w:pPr>
      <w:r>
        <w:rPr>
          <w:rFonts w:hint="eastAsia" w:ascii="宋体" w:hAnsi="宋体"/>
          <w:color w:val="auto"/>
          <w:szCs w:val="21"/>
          <w:highlight w:val="none"/>
        </w:rPr>
        <w:t>1.满足《中华人民共和国政府采购法》第二十二条规定；</w:t>
      </w:r>
    </w:p>
    <w:p w14:paraId="0DBF7FE6">
      <w:pPr>
        <w:spacing w:line="400" w:lineRule="exact"/>
        <w:ind w:firstLine="420"/>
        <w:rPr>
          <w:rFonts w:ascii="宋体" w:hAnsi="宋体"/>
          <w:color w:val="auto"/>
          <w:szCs w:val="21"/>
          <w:highlight w:val="none"/>
        </w:rPr>
      </w:pPr>
      <w:r>
        <w:rPr>
          <w:rFonts w:ascii="宋体" w:hAnsi="宋体"/>
          <w:color w:val="auto"/>
          <w:szCs w:val="21"/>
          <w:highlight w:val="none"/>
        </w:rPr>
        <w:t>2</w:t>
      </w:r>
      <w:r>
        <w:rPr>
          <w:rFonts w:hint="eastAsia" w:ascii="宋体" w:hAnsi="宋体"/>
          <w:color w:val="auto"/>
          <w:szCs w:val="21"/>
          <w:highlight w:val="none"/>
        </w:rPr>
        <w:t>.落实政府采购政策需满足的资格要求：无；</w:t>
      </w:r>
    </w:p>
    <w:p w14:paraId="069A5DC5">
      <w:pPr>
        <w:spacing w:line="400" w:lineRule="exact"/>
        <w:ind w:firstLine="420"/>
        <w:rPr>
          <w:rFonts w:ascii="宋体" w:hAnsi="宋体"/>
          <w:color w:val="auto"/>
          <w:szCs w:val="21"/>
          <w:highlight w:val="none"/>
        </w:rPr>
      </w:pPr>
      <w:r>
        <w:rPr>
          <w:rFonts w:hint="eastAsia" w:ascii="宋体" w:hAnsi="宋体"/>
          <w:color w:val="auto"/>
          <w:szCs w:val="21"/>
          <w:highlight w:val="none"/>
        </w:rPr>
        <w:t>3.本项目的特定资格要求：无。</w:t>
      </w:r>
      <w:bookmarkStart w:id="15" w:name="_Toc71366042"/>
      <w:bookmarkStart w:id="16" w:name="_Toc35393631"/>
      <w:bookmarkStart w:id="17" w:name="_Toc71365364"/>
      <w:bookmarkStart w:id="18" w:name="_Toc35393800"/>
    </w:p>
    <w:p w14:paraId="6B0BFF6B">
      <w:pPr>
        <w:spacing w:line="400" w:lineRule="exact"/>
        <w:ind w:firstLine="480"/>
        <w:rPr>
          <w:rFonts w:ascii="黑体" w:hAnsi="黑体" w:eastAsia="黑体"/>
          <w:color w:val="auto"/>
          <w:sz w:val="24"/>
          <w:highlight w:val="none"/>
        </w:rPr>
      </w:pPr>
      <w:r>
        <w:rPr>
          <w:rFonts w:hint="eastAsia" w:ascii="黑体" w:hAnsi="黑体" w:eastAsia="黑体"/>
          <w:color w:val="auto"/>
          <w:sz w:val="24"/>
          <w:highlight w:val="none"/>
        </w:rPr>
        <w:t>三、获取</w:t>
      </w:r>
      <w:bookmarkEnd w:id="12"/>
      <w:bookmarkEnd w:id="13"/>
      <w:bookmarkEnd w:id="14"/>
      <w:bookmarkEnd w:id="15"/>
      <w:bookmarkEnd w:id="16"/>
      <w:bookmarkEnd w:id="17"/>
      <w:r>
        <w:rPr>
          <w:rFonts w:hint="eastAsia" w:ascii="黑体" w:hAnsi="黑体" w:eastAsia="黑体"/>
          <w:color w:val="auto"/>
          <w:sz w:val="24"/>
          <w:highlight w:val="none"/>
        </w:rPr>
        <w:t>采购文件</w:t>
      </w:r>
    </w:p>
    <w:p w14:paraId="46529632">
      <w:pPr>
        <w:spacing w:line="400" w:lineRule="exact"/>
        <w:ind w:firstLine="420"/>
        <w:rPr>
          <w:rFonts w:ascii="宋体" w:hAnsi="宋体" w:cs="宋体"/>
          <w:bCs/>
          <w:color w:val="auto"/>
          <w:szCs w:val="21"/>
          <w:highlight w:val="none"/>
          <w:u w:val="single"/>
        </w:rPr>
      </w:pPr>
      <w:r>
        <w:rPr>
          <w:rFonts w:hint="eastAsia" w:ascii="宋体" w:hAnsi="宋体" w:cs="宋体"/>
          <w:bCs/>
          <w:color w:val="auto"/>
          <w:szCs w:val="21"/>
          <w:highlight w:val="none"/>
        </w:rPr>
        <w:t>时间：</w:t>
      </w:r>
      <w:r>
        <w:rPr>
          <w:rFonts w:hint="eastAsia" w:ascii="宋体" w:hAnsi="宋体" w:cs="宋体"/>
          <w:b/>
          <w:bCs w:val="0"/>
          <w:color w:val="auto"/>
          <w:szCs w:val="21"/>
          <w:highlight w:val="none"/>
          <w:u w:val="single"/>
        </w:rPr>
        <w:t>2026年</w:t>
      </w:r>
      <w:r>
        <w:rPr>
          <w:rFonts w:hint="eastAsia" w:ascii="宋体" w:hAnsi="宋体" w:cs="宋体"/>
          <w:b/>
          <w:bCs w:val="0"/>
          <w:color w:val="auto"/>
          <w:szCs w:val="21"/>
          <w:highlight w:val="none"/>
          <w:u w:val="single"/>
          <w:lang w:val="en-US" w:eastAsia="zh-CN"/>
        </w:rPr>
        <w:t>9</w:t>
      </w:r>
      <w:r>
        <w:rPr>
          <w:rFonts w:hint="eastAsia" w:ascii="宋体" w:hAnsi="宋体" w:cs="宋体"/>
          <w:b/>
          <w:bCs w:val="0"/>
          <w:color w:val="auto"/>
          <w:szCs w:val="21"/>
          <w:highlight w:val="none"/>
          <w:u w:val="single"/>
        </w:rPr>
        <w:t>月</w:t>
      </w:r>
      <w:r>
        <w:rPr>
          <w:rFonts w:hint="eastAsia" w:ascii="宋体" w:hAnsi="宋体" w:cs="宋体"/>
          <w:b/>
          <w:bCs w:val="0"/>
          <w:color w:val="auto"/>
          <w:szCs w:val="21"/>
          <w:highlight w:val="none"/>
          <w:u w:val="single"/>
          <w:lang w:val="en-US" w:eastAsia="zh-CN"/>
        </w:rPr>
        <w:t>11</w:t>
      </w:r>
      <w:r>
        <w:rPr>
          <w:rFonts w:hint="eastAsia" w:ascii="宋体" w:hAnsi="宋体" w:cs="宋体"/>
          <w:b/>
          <w:bCs w:val="0"/>
          <w:color w:val="auto"/>
          <w:szCs w:val="21"/>
          <w:highlight w:val="none"/>
          <w:u w:val="single"/>
        </w:rPr>
        <w:t>日至2026年</w:t>
      </w:r>
      <w:r>
        <w:rPr>
          <w:rFonts w:hint="eastAsia" w:ascii="宋体" w:hAnsi="宋体" w:cs="宋体"/>
          <w:b/>
          <w:bCs w:val="0"/>
          <w:color w:val="auto"/>
          <w:szCs w:val="21"/>
          <w:highlight w:val="none"/>
          <w:u w:val="single"/>
          <w:lang w:val="en-US" w:eastAsia="zh-CN"/>
        </w:rPr>
        <w:t>9</w:t>
      </w:r>
      <w:r>
        <w:rPr>
          <w:rFonts w:hint="eastAsia" w:ascii="宋体" w:hAnsi="宋体" w:cs="宋体"/>
          <w:b/>
          <w:bCs w:val="0"/>
          <w:color w:val="auto"/>
          <w:szCs w:val="21"/>
          <w:highlight w:val="none"/>
          <w:u w:val="single"/>
        </w:rPr>
        <w:t>月</w:t>
      </w:r>
      <w:r>
        <w:rPr>
          <w:rFonts w:hint="eastAsia" w:ascii="宋体" w:hAnsi="宋体" w:cs="宋体"/>
          <w:b/>
          <w:bCs w:val="0"/>
          <w:color w:val="auto"/>
          <w:szCs w:val="21"/>
          <w:highlight w:val="none"/>
          <w:u w:val="single"/>
          <w:lang w:val="en-US" w:eastAsia="zh-CN"/>
        </w:rPr>
        <w:t>16</w:t>
      </w:r>
      <w:r>
        <w:rPr>
          <w:rFonts w:hint="eastAsia" w:ascii="宋体" w:hAnsi="宋体" w:cs="宋体"/>
          <w:b/>
          <w:bCs w:val="0"/>
          <w:color w:val="auto"/>
          <w:szCs w:val="21"/>
          <w:highlight w:val="none"/>
          <w:u w:val="single"/>
        </w:rPr>
        <w:t>日</w:t>
      </w:r>
      <w:r>
        <w:rPr>
          <w:rFonts w:hint="eastAsia" w:ascii="宋体" w:hAnsi="宋体" w:cs="宋体"/>
          <w:b/>
          <w:bCs w:val="0"/>
          <w:color w:val="auto"/>
          <w:szCs w:val="21"/>
          <w:highlight w:val="none"/>
        </w:rPr>
        <w:t>，每天</w:t>
      </w:r>
      <w:r>
        <w:rPr>
          <w:rFonts w:hint="eastAsia" w:ascii="宋体" w:hAnsi="宋体" w:cs="宋体"/>
          <w:b/>
          <w:bCs w:val="0"/>
          <w:color w:val="auto"/>
          <w:szCs w:val="21"/>
          <w:highlight w:val="none"/>
          <w:u w:val="single"/>
        </w:rPr>
        <w:t>0:00至23:59</w:t>
      </w:r>
    </w:p>
    <w:p w14:paraId="6958CC69">
      <w:pPr>
        <w:spacing w:line="400" w:lineRule="exact"/>
        <w:ind w:firstLine="420"/>
        <w:rPr>
          <w:rFonts w:ascii="宋体" w:hAnsi="宋体" w:cs="宋体"/>
          <w:bCs/>
          <w:color w:val="auto"/>
          <w:szCs w:val="21"/>
          <w:highlight w:val="none"/>
        </w:rPr>
      </w:pPr>
      <w:r>
        <w:rPr>
          <w:rFonts w:hint="eastAsia" w:ascii="宋体" w:hAnsi="宋体" w:cs="宋体"/>
          <w:bCs/>
          <w:color w:val="auto"/>
          <w:szCs w:val="21"/>
          <w:highlight w:val="none"/>
        </w:rPr>
        <w:t>地点：广西政府采购云平台（https://www.gcy.zfcg.gxzf.gov.cn/）</w:t>
      </w:r>
    </w:p>
    <w:p w14:paraId="0EA6C698">
      <w:pPr>
        <w:spacing w:line="400" w:lineRule="exact"/>
        <w:ind w:firstLine="420"/>
        <w:rPr>
          <w:rFonts w:ascii="宋体" w:hAnsi="宋体" w:cs="宋体"/>
          <w:bCs/>
          <w:color w:val="auto"/>
          <w:szCs w:val="21"/>
          <w:highlight w:val="none"/>
        </w:rPr>
      </w:pPr>
      <w:r>
        <w:rPr>
          <w:rFonts w:hint="eastAsia" w:ascii="宋体" w:hAnsi="宋体" w:cs="宋体"/>
          <w:bCs/>
          <w:color w:val="auto"/>
          <w:szCs w:val="21"/>
          <w:highlight w:val="none"/>
        </w:rPr>
        <w:t>方式：网上下载。本项目不提供纸质文件，潜在供应商需使用账号登录或者使用CA登录广西政府采购云平台（https://www.gcy.zfcg.gxzf.gov.cn/）-进入“项目采购”应用，在获取采购文件菜单中选择项目，获取竞争性谈判文件。电子响应文件制作需要基于广西政府采购云平台获取的谈判文件编制，通过其他方式获取谈判文件的，将有可能导致供应商无法在广西政府采购云平台编制及上传响应文件。</w:t>
      </w:r>
    </w:p>
    <w:p w14:paraId="2F1D5EA8">
      <w:pPr>
        <w:spacing w:line="400" w:lineRule="exact"/>
        <w:ind w:firstLine="420"/>
        <w:rPr>
          <w:rFonts w:ascii="宋体" w:hAnsi="宋体" w:cs="宋体"/>
          <w:bCs/>
          <w:color w:val="auto"/>
          <w:szCs w:val="21"/>
          <w:highlight w:val="none"/>
        </w:rPr>
      </w:pPr>
      <w:r>
        <w:rPr>
          <w:rFonts w:hint="eastAsia" w:ascii="宋体" w:hAnsi="宋体" w:cs="宋体"/>
          <w:bCs/>
          <w:color w:val="auto"/>
          <w:szCs w:val="21"/>
          <w:highlight w:val="none"/>
        </w:rPr>
        <w:t>售价：0元</w:t>
      </w:r>
      <w:bookmarkStart w:id="19" w:name="_Toc28359092"/>
      <w:bookmarkStart w:id="20" w:name="_Toc28359015"/>
      <w:bookmarkStart w:id="21" w:name="_Toc71366043"/>
      <w:bookmarkStart w:id="22" w:name="_Toc35393801"/>
      <w:bookmarkStart w:id="23" w:name="_Toc35393632"/>
      <w:bookmarkStart w:id="24" w:name="_Toc71365365"/>
    </w:p>
    <w:p w14:paraId="14C517AB">
      <w:pPr>
        <w:spacing w:line="400" w:lineRule="exact"/>
        <w:ind w:firstLine="480"/>
        <w:rPr>
          <w:rFonts w:ascii="黑体" w:hAnsi="黑体" w:eastAsia="黑体"/>
          <w:color w:val="auto"/>
          <w:sz w:val="24"/>
          <w:highlight w:val="none"/>
        </w:rPr>
      </w:pPr>
      <w:r>
        <w:rPr>
          <w:rFonts w:hint="eastAsia" w:ascii="黑体" w:hAnsi="黑体" w:eastAsia="黑体"/>
          <w:color w:val="auto"/>
          <w:sz w:val="24"/>
          <w:highlight w:val="none"/>
        </w:rPr>
        <w:t>四、响应文件提交</w:t>
      </w:r>
      <w:bookmarkEnd w:id="18"/>
      <w:bookmarkEnd w:id="19"/>
      <w:bookmarkEnd w:id="20"/>
      <w:bookmarkEnd w:id="21"/>
      <w:bookmarkEnd w:id="22"/>
      <w:bookmarkEnd w:id="23"/>
    </w:p>
    <w:p w14:paraId="6829BD48">
      <w:pPr>
        <w:spacing w:line="400" w:lineRule="exact"/>
        <w:ind w:firstLine="420"/>
        <w:rPr>
          <w:rFonts w:ascii="宋体" w:hAnsi="宋体"/>
          <w:iCs/>
          <w:color w:val="auto"/>
          <w:szCs w:val="21"/>
          <w:highlight w:val="none"/>
          <w:u w:val="single"/>
        </w:rPr>
      </w:pPr>
      <w:r>
        <w:rPr>
          <w:rFonts w:hint="eastAsia" w:ascii="宋体" w:hAnsi="宋体"/>
          <w:color w:val="auto"/>
          <w:szCs w:val="21"/>
          <w:highlight w:val="none"/>
        </w:rPr>
        <w:t>截止时间：</w:t>
      </w:r>
      <w:r>
        <w:rPr>
          <w:rFonts w:hint="eastAsia" w:ascii="宋体" w:hAnsi="宋体"/>
          <w:b/>
          <w:bCs w:val="0"/>
          <w:color w:val="auto"/>
          <w:szCs w:val="21"/>
          <w:highlight w:val="none"/>
          <w:u w:val="single"/>
        </w:rPr>
        <w:t xml:space="preserve">2026年 </w:t>
      </w:r>
      <w:r>
        <w:rPr>
          <w:rFonts w:hint="eastAsia" w:ascii="宋体" w:hAnsi="宋体"/>
          <w:b/>
          <w:bCs w:val="0"/>
          <w:color w:val="auto"/>
          <w:szCs w:val="21"/>
          <w:highlight w:val="none"/>
          <w:u w:val="single"/>
          <w:lang w:val="en-US" w:eastAsia="zh-CN"/>
        </w:rPr>
        <w:t>9</w:t>
      </w:r>
      <w:r>
        <w:rPr>
          <w:rFonts w:hint="eastAsia" w:ascii="宋体" w:hAnsi="宋体"/>
          <w:b/>
          <w:bCs w:val="0"/>
          <w:color w:val="auto"/>
          <w:szCs w:val="21"/>
          <w:highlight w:val="none"/>
          <w:u w:val="single"/>
        </w:rPr>
        <w:t xml:space="preserve"> 月</w:t>
      </w:r>
      <w:r>
        <w:rPr>
          <w:rFonts w:hint="eastAsia" w:ascii="宋体" w:hAnsi="宋体"/>
          <w:b/>
          <w:bCs w:val="0"/>
          <w:color w:val="auto"/>
          <w:szCs w:val="21"/>
          <w:highlight w:val="none"/>
          <w:u w:val="single"/>
          <w:lang w:val="en-US" w:eastAsia="zh-CN"/>
        </w:rPr>
        <w:t>17</w:t>
      </w:r>
      <w:r>
        <w:rPr>
          <w:rFonts w:hint="eastAsia" w:ascii="宋体" w:hAnsi="宋体"/>
          <w:b/>
          <w:bCs w:val="0"/>
          <w:color w:val="auto"/>
          <w:szCs w:val="21"/>
          <w:highlight w:val="none"/>
          <w:u w:val="single"/>
        </w:rPr>
        <w:t>日</w:t>
      </w:r>
      <w:r>
        <w:rPr>
          <w:rFonts w:hint="eastAsia" w:ascii="宋体" w:hAnsi="宋体"/>
          <w:b/>
          <w:bCs w:val="0"/>
          <w:color w:val="auto"/>
          <w:szCs w:val="21"/>
          <w:highlight w:val="none"/>
          <w:u w:val="single"/>
          <w:lang w:val="en-US" w:eastAsia="zh-CN"/>
        </w:rPr>
        <w:t>15</w:t>
      </w:r>
      <w:r>
        <w:rPr>
          <w:rFonts w:hint="eastAsia" w:ascii="宋体" w:hAnsi="宋体"/>
          <w:b/>
          <w:bCs w:val="0"/>
          <w:color w:val="auto"/>
          <w:szCs w:val="21"/>
          <w:highlight w:val="none"/>
          <w:u w:val="single"/>
        </w:rPr>
        <w:t>时30分</w:t>
      </w:r>
      <w:r>
        <w:rPr>
          <w:rFonts w:hint="eastAsia" w:ascii="宋体" w:hAnsi="宋体"/>
          <w:bCs/>
          <w:color w:val="auto"/>
          <w:szCs w:val="21"/>
          <w:highlight w:val="none"/>
        </w:rPr>
        <w:t>（北京时间）</w:t>
      </w:r>
    </w:p>
    <w:p w14:paraId="244F5BE8">
      <w:pPr>
        <w:spacing w:line="400" w:lineRule="exact"/>
        <w:ind w:firstLine="420"/>
        <w:rPr>
          <w:rFonts w:ascii="宋体" w:hAnsi="宋体" w:cs="宋体"/>
          <w:bCs/>
          <w:color w:val="auto"/>
          <w:szCs w:val="21"/>
          <w:highlight w:val="none"/>
        </w:rPr>
      </w:pPr>
      <w:r>
        <w:rPr>
          <w:rFonts w:hint="eastAsia" w:ascii="宋体" w:hAnsi="宋体"/>
          <w:color w:val="auto"/>
          <w:szCs w:val="21"/>
          <w:highlight w:val="none"/>
        </w:rPr>
        <w:t>地点：</w:t>
      </w:r>
      <w:bookmarkStart w:id="25" w:name="_Toc35393633"/>
      <w:bookmarkStart w:id="26" w:name="_Toc71366044"/>
      <w:bookmarkStart w:id="27" w:name="_Toc71365366"/>
      <w:bookmarkStart w:id="28" w:name="_Toc35393802"/>
      <w:bookmarkStart w:id="29" w:name="_Toc28359093"/>
      <w:bookmarkStart w:id="30" w:name="_Toc28359016"/>
      <w:r>
        <w:rPr>
          <w:rFonts w:hint="eastAsia" w:ascii="宋体" w:hAnsi="宋体" w:cs="宋体"/>
          <w:bCs/>
          <w:color w:val="auto"/>
          <w:szCs w:val="21"/>
          <w:highlight w:val="none"/>
        </w:rPr>
        <w:t>广西政府采购云平台（https://www.gcy.zfcg.gxzf.gov.cn/）</w:t>
      </w:r>
    </w:p>
    <w:p w14:paraId="1385AA93">
      <w:pPr>
        <w:spacing w:line="400" w:lineRule="exact"/>
        <w:ind w:firstLine="480"/>
        <w:rPr>
          <w:rFonts w:ascii="黑体" w:hAnsi="黑体" w:eastAsia="黑体"/>
          <w:color w:val="auto"/>
          <w:sz w:val="24"/>
          <w:highlight w:val="none"/>
        </w:rPr>
      </w:pPr>
      <w:r>
        <w:rPr>
          <w:rFonts w:hint="eastAsia" w:ascii="黑体" w:hAnsi="黑体" w:eastAsia="黑体"/>
          <w:color w:val="auto"/>
          <w:sz w:val="24"/>
          <w:highlight w:val="none"/>
        </w:rPr>
        <w:t>五、开启</w:t>
      </w:r>
      <w:bookmarkEnd w:id="24"/>
      <w:bookmarkEnd w:id="25"/>
      <w:bookmarkEnd w:id="26"/>
      <w:bookmarkEnd w:id="27"/>
      <w:bookmarkEnd w:id="28"/>
      <w:bookmarkEnd w:id="29"/>
    </w:p>
    <w:p w14:paraId="09ED9456">
      <w:pPr>
        <w:spacing w:line="400" w:lineRule="exact"/>
        <w:ind w:firstLine="420"/>
        <w:rPr>
          <w:rFonts w:ascii="宋体" w:hAnsi="宋体"/>
          <w:bCs/>
          <w:color w:val="auto"/>
          <w:szCs w:val="21"/>
          <w:highlight w:val="none"/>
          <w:u w:val="single"/>
        </w:rPr>
      </w:pPr>
      <w:r>
        <w:rPr>
          <w:rFonts w:hint="eastAsia" w:ascii="宋体" w:hAnsi="宋体"/>
          <w:color w:val="auto"/>
          <w:szCs w:val="21"/>
          <w:highlight w:val="none"/>
        </w:rPr>
        <w:t>时间：</w:t>
      </w:r>
      <w:r>
        <w:rPr>
          <w:rFonts w:hint="eastAsia" w:ascii="宋体" w:hAnsi="宋体"/>
          <w:b/>
          <w:bCs w:val="0"/>
          <w:color w:val="auto"/>
          <w:szCs w:val="21"/>
          <w:highlight w:val="none"/>
          <w:u w:val="single"/>
        </w:rPr>
        <w:t xml:space="preserve">2026年 </w:t>
      </w:r>
      <w:r>
        <w:rPr>
          <w:rFonts w:hint="eastAsia" w:ascii="宋体" w:hAnsi="宋体"/>
          <w:b/>
          <w:bCs w:val="0"/>
          <w:color w:val="auto"/>
          <w:szCs w:val="21"/>
          <w:highlight w:val="none"/>
          <w:u w:val="single"/>
          <w:lang w:val="en-US" w:eastAsia="zh-CN"/>
        </w:rPr>
        <w:t>9</w:t>
      </w:r>
      <w:r>
        <w:rPr>
          <w:rFonts w:hint="eastAsia" w:ascii="宋体" w:hAnsi="宋体"/>
          <w:b/>
          <w:bCs w:val="0"/>
          <w:color w:val="auto"/>
          <w:szCs w:val="21"/>
          <w:highlight w:val="none"/>
          <w:u w:val="single"/>
        </w:rPr>
        <w:t xml:space="preserve"> 月</w:t>
      </w:r>
      <w:r>
        <w:rPr>
          <w:rFonts w:hint="eastAsia" w:ascii="宋体" w:hAnsi="宋体"/>
          <w:b/>
          <w:bCs w:val="0"/>
          <w:color w:val="auto"/>
          <w:szCs w:val="21"/>
          <w:highlight w:val="none"/>
          <w:u w:val="single"/>
          <w:lang w:val="en-US" w:eastAsia="zh-CN"/>
        </w:rPr>
        <w:t>17</w:t>
      </w:r>
      <w:r>
        <w:rPr>
          <w:rFonts w:hint="eastAsia" w:ascii="宋体" w:hAnsi="宋体"/>
          <w:b/>
          <w:bCs w:val="0"/>
          <w:color w:val="auto"/>
          <w:szCs w:val="21"/>
          <w:highlight w:val="none"/>
          <w:u w:val="single"/>
        </w:rPr>
        <w:t>日</w:t>
      </w:r>
      <w:r>
        <w:rPr>
          <w:rFonts w:hint="eastAsia" w:ascii="宋体" w:hAnsi="宋体"/>
          <w:b/>
          <w:bCs w:val="0"/>
          <w:color w:val="auto"/>
          <w:szCs w:val="21"/>
          <w:highlight w:val="none"/>
          <w:u w:val="single"/>
          <w:lang w:val="en-US" w:eastAsia="zh-CN"/>
        </w:rPr>
        <w:t>15</w:t>
      </w:r>
      <w:r>
        <w:rPr>
          <w:rFonts w:hint="eastAsia" w:ascii="宋体" w:hAnsi="宋体"/>
          <w:b/>
          <w:bCs w:val="0"/>
          <w:color w:val="auto"/>
          <w:szCs w:val="21"/>
          <w:highlight w:val="none"/>
          <w:u w:val="single"/>
        </w:rPr>
        <w:t>时30分后</w:t>
      </w:r>
      <w:r>
        <w:rPr>
          <w:rFonts w:hint="eastAsia" w:ascii="宋体" w:hAnsi="宋体"/>
          <w:bCs/>
          <w:color w:val="auto"/>
          <w:szCs w:val="21"/>
          <w:highlight w:val="none"/>
          <w:u w:val="single"/>
        </w:rPr>
        <w:t>（北京时间）</w:t>
      </w:r>
    </w:p>
    <w:p w14:paraId="7A604CEE">
      <w:pPr>
        <w:spacing w:line="400" w:lineRule="exact"/>
        <w:ind w:firstLine="420"/>
        <w:rPr>
          <w:rFonts w:ascii="宋体" w:hAnsi="宋体" w:cs="宋体"/>
          <w:bCs/>
          <w:color w:val="auto"/>
          <w:szCs w:val="21"/>
          <w:highlight w:val="none"/>
        </w:rPr>
      </w:pPr>
      <w:r>
        <w:rPr>
          <w:rFonts w:hint="eastAsia" w:ascii="宋体" w:hAnsi="宋体"/>
          <w:color w:val="auto"/>
          <w:szCs w:val="21"/>
          <w:highlight w:val="none"/>
        </w:rPr>
        <w:t>地点：</w:t>
      </w:r>
      <w:bookmarkStart w:id="31" w:name="_Toc71366045"/>
      <w:bookmarkStart w:id="32" w:name="_Toc28359017"/>
      <w:bookmarkStart w:id="33" w:name="_Toc35393634"/>
      <w:bookmarkStart w:id="34" w:name="_Toc35393803"/>
      <w:bookmarkStart w:id="35" w:name="_Toc71365367"/>
      <w:bookmarkStart w:id="36" w:name="_Toc28359094"/>
      <w:r>
        <w:rPr>
          <w:rFonts w:hint="eastAsia" w:ascii="宋体" w:hAnsi="宋体" w:cs="宋体"/>
          <w:bCs/>
          <w:color w:val="auto"/>
          <w:szCs w:val="21"/>
          <w:highlight w:val="none"/>
        </w:rPr>
        <w:t>广西政府采购云平台（https://www.gcy.zfcg.gxzf.gov.cn/）</w:t>
      </w:r>
    </w:p>
    <w:p w14:paraId="5B742E4F">
      <w:pPr>
        <w:spacing w:line="400" w:lineRule="exact"/>
        <w:ind w:firstLine="480"/>
        <w:rPr>
          <w:rFonts w:ascii="黑体" w:hAnsi="黑体" w:eastAsia="黑体"/>
          <w:color w:val="auto"/>
          <w:sz w:val="24"/>
          <w:highlight w:val="none"/>
        </w:rPr>
      </w:pPr>
      <w:r>
        <w:rPr>
          <w:rFonts w:hint="eastAsia" w:ascii="黑体" w:hAnsi="黑体" w:eastAsia="黑体"/>
          <w:color w:val="auto"/>
          <w:sz w:val="24"/>
          <w:highlight w:val="none"/>
        </w:rPr>
        <w:t>六、公告期限</w:t>
      </w:r>
      <w:bookmarkEnd w:id="30"/>
      <w:bookmarkEnd w:id="31"/>
      <w:bookmarkEnd w:id="32"/>
      <w:bookmarkEnd w:id="33"/>
      <w:bookmarkEnd w:id="34"/>
      <w:bookmarkEnd w:id="35"/>
    </w:p>
    <w:p w14:paraId="1321839D">
      <w:pPr>
        <w:spacing w:line="400" w:lineRule="exact"/>
        <w:ind w:firstLine="420"/>
        <w:rPr>
          <w:rFonts w:ascii="宋体" w:hAnsi="宋体" w:cs="宋体"/>
          <w:color w:val="auto"/>
          <w:szCs w:val="21"/>
          <w:highlight w:val="none"/>
        </w:rPr>
      </w:pPr>
      <w:r>
        <w:rPr>
          <w:rFonts w:hint="eastAsia" w:ascii="宋体" w:hAnsi="宋体" w:cs="宋体"/>
          <w:color w:val="auto"/>
          <w:szCs w:val="21"/>
          <w:highlight w:val="none"/>
        </w:rPr>
        <w:t>自本公告发布之日起3个工作日。</w:t>
      </w:r>
      <w:bookmarkStart w:id="37" w:name="_Toc71366046"/>
      <w:bookmarkStart w:id="38" w:name="_Toc35393804"/>
      <w:bookmarkStart w:id="39" w:name="_Toc71365368"/>
      <w:bookmarkStart w:id="40" w:name="_Toc35393635"/>
    </w:p>
    <w:p w14:paraId="07C2DBA1">
      <w:pPr>
        <w:spacing w:line="400" w:lineRule="exact"/>
        <w:ind w:firstLine="480"/>
        <w:rPr>
          <w:rFonts w:ascii="黑体" w:hAnsi="黑体" w:eastAsia="黑体"/>
          <w:color w:val="auto"/>
          <w:sz w:val="24"/>
          <w:highlight w:val="none"/>
        </w:rPr>
      </w:pPr>
      <w:r>
        <w:rPr>
          <w:rFonts w:hint="eastAsia" w:ascii="黑体" w:hAnsi="黑体" w:eastAsia="黑体"/>
          <w:color w:val="auto"/>
          <w:sz w:val="24"/>
          <w:highlight w:val="none"/>
        </w:rPr>
        <w:t>七、其他补充事宜</w:t>
      </w:r>
      <w:bookmarkEnd w:id="36"/>
      <w:bookmarkEnd w:id="37"/>
      <w:bookmarkEnd w:id="38"/>
      <w:bookmarkEnd w:id="39"/>
    </w:p>
    <w:p w14:paraId="59706ECD">
      <w:pPr>
        <w:spacing w:line="400" w:lineRule="exact"/>
        <w:ind w:firstLine="420"/>
        <w:rPr>
          <w:rFonts w:ascii="宋体" w:hAnsi="宋体" w:cs="宋体"/>
          <w:color w:val="auto"/>
          <w:szCs w:val="21"/>
          <w:highlight w:val="none"/>
        </w:rPr>
      </w:pPr>
      <w:r>
        <w:rPr>
          <w:rFonts w:hint="eastAsia" w:ascii="宋体" w:hAnsi="宋体" w:cs="宋体"/>
          <w:color w:val="auto"/>
          <w:szCs w:val="21"/>
          <w:highlight w:val="none"/>
        </w:rPr>
        <w:t>1</w:t>
      </w:r>
      <w:r>
        <w:rPr>
          <w:rFonts w:ascii="宋体" w:hAnsi="宋体" w:cs="宋体"/>
          <w:color w:val="auto"/>
          <w:szCs w:val="21"/>
          <w:highlight w:val="none"/>
        </w:rPr>
        <w:t>.</w:t>
      </w:r>
      <w:r>
        <w:rPr>
          <w:rFonts w:hint="eastAsia" w:ascii="宋体" w:hAnsi="宋体" w:cs="宋体"/>
          <w:color w:val="auto"/>
          <w:szCs w:val="21"/>
          <w:highlight w:val="none"/>
        </w:rPr>
        <w:t>网上查询地址</w:t>
      </w:r>
    </w:p>
    <w:p w14:paraId="49579AF8">
      <w:pPr>
        <w:spacing w:line="400" w:lineRule="exact"/>
        <w:ind w:firstLine="420"/>
        <w:rPr>
          <w:rFonts w:ascii="宋体" w:hAnsi="宋体" w:cs="宋体"/>
          <w:color w:val="auto"/>
          <w:szCs w:val="21"/>
          <w:highlight w:val="none"/>
        </w:rPr>
      </w:pPr>
      <w:bookmarkStart w:id="41" w:name="_Hlk37429674"/>
      <w:bookmarkStart w:id="42" w:name="_Toc71366047"/>
      <w:bookmarkStart w:id="43" w:name="_Toc28359018"/>
      <w:bookmarkStart w:id="44" w:name="_Toc35393636"/>
      <w:bookmarkStart w:id="45" w:name="_Toc35393805"/>
      <w:bookmarkStart w:id="46" w:name="_Toc71365369"/>
      <w:bookmarkStart w:id="47" w:name="_Toc28359095"/>
      <w:r>
        <w:rPr>
          <w:rFonts w:hint="eastAsia" w:ascii="宋体" w:hAnsi="宋体" w:cs="宋体"/>
          <w:color w:val="auto"/>
          <w:szCs w:val="21"/>
          <w:highlight w:val="none"/>
        </w:rPr>
        <w:t>中国政府采购网（http://www.ccgp.gov.cn）、广西壮族自治区政府采购网（http://zfcg.gxzf.gov.cn）</w:t>
      </w:r>
    </w:p>
    <w:p w14:paraId="40E0F688">
      <w:pPr>
        <w:spacing w:line="400" w:lineRule="exact"/>
        <w:ind w:firstLine="420"/>
        <w:rPr>
          <w:rFonts w:ascii="宋体" w:hAnsi="宋体" w:cs="宋体"/>
          <w:color w:val="auto"/>
          <w:szCs w:val="21"/>
          <w:highlight w:val="none"/>
        </w:rPr>
      </w:pPr>
      <w:r>
        <w:rPr>
          <w:rFonts w:hint="eastAsia" w:ascii="宋体" w:hAnsi="宋体"/>
          <w:color w:val="auto"/>
          <w:szCs w:val="21"/>
          <w:highlight w:val="none"/>
        </w:rPr>
        <w:t>2</w:t>
      </w:r>
      <w:r>
        <w:rPr>
          <w:rFonts w:ascii="宋体" w:hAnsi="宋体"/>
          <w:color w:val="auto"/>
          <w:szCs w:val="21"/>
          <w:highlight w:val="none"/>
        </w:rPr>
        <w:t>.</w:t>
      </w:r>
      <w:r>
        <w:rPr>
          <w:rFonts w:hint="eastAsia" w:ascii="宋体" w:hAnsi="宋体" w:cs="宋体"/>
          <w:color w:val="auto"/>
          <w:szCs w:val="21"/>
          <w:highlight w:val="none"/>
        </w:rPr>
        <w:t>本项目需要落实的政府采购政策</w:t>
      </w:r>
    </w:p>
    <w:p w14:paraId="115EA277">
      <w:pPr>
        <w:spacing w:line="400" w:lineRule="exact"/>
        <w:ind w:firstLine="420"/>
        <w:rPr>
          <w:rFonts w:ascii="宋体" w:hAnsi="宋体" w:cs="宋体"/>
          <w:iCs/>
          <w:color w:val="auto"/>
          <w:szCs w:val="21"/>
          <w:highlight w:val="none"/>
        </w:rPr>
      </w:pPr>
      <w:r>
        <w:rPr>
          <w:rFonts w:hint="eastAsia" w:ascii="宋体" w:hAnsi="宋体" w:cs="宋体"/>
          <w:iCs/>
          <w:color w:val="auto"/>
          <w:szCs w:val="21"/>
          <w:highlight w:val="none"/>
        </w:rPr>
        <w:t>（1）政府采购促进中小企业发展。</w:t>
      </w:r>
    </w:p>
    <w:p w14:paraId="768B67A6">
      <w:pPr>
        <w:spacing w:line="400" w:lineRule="exact"/>
        <w:ind w:firstLine="420"/>
        <w:rPr>
          <w:rFonts w:ascii="宋体" w:hAnsi="宋体" w:cs="宋体"/>
          <w:iCs/>
          <w:color w:val="auto"/>
          <w:szCs w:val="21"/>
          <w:highlight w:val="none"/>
        </w:rPr>
      </w:pPr>
      <w:r>
        <w:rPr>
          <w:rFonts w:hint="eastAsia" w:ascii="宋体" w:hAnsi="宋体" w:cs="宋体"/>
          <w:iCs/>
          <w:color w:val="auto"/>
          <w:szCs w:val="21"/>
          <w:highlight w:val="none"/>
        </w:rPr>
        <w:t>（2）政府采购支持采用本国产品的政策。</w:t>
      </w:r>
    </w:p>
    <w:p w14:paraId="5D1442E4">
      <w:pPr>
        <w:spacing w:line="400" w:lineRule="exact"/>
        <w:ind w:firstLine="420"/>
        <w:rPr>
          <w:rFonts w:ascii="宋体" w:hAnsi="宋体" w:cs="宋体"/>
          <w:iCs/>
          <w:color w:val="auto"/>
          <w:szCs w:val="21"/>
          <w:highlight w:val="none"/>
        </w:rPr>
      </w:pPr>
      <w:r>
        <w:rPr>
          <w:rFonts w:hint="eastAsia" w:ascii="宋体" w:hAnsi="宋体" w:cs="宋体"/>
          <w:iCs/>
          <w:color w:val="auto"/>
          <w:szCs w:val="21"/>
          <w:highlight w:val="none"/>
        </w:rPr>
        <w:t>（3）强制采购节能产品；优先采购节能产品、环境标志产品。</w:t>
      </w:r>
    </w:p>
    <w:p w14:paraId="6D56FAC5">
      <w:pPr>
        <w:spacing w:line="400" w:lineRule="exact"/>
        <w:ind w:firstLine="420"/>
        <w:rPr>
          <w:rFonts w:ascii="宋体" w:hAnsi="宋体" w:cs="宋体"/>
          <w:iCs/>
          <w:color w:val="auto"/>
          <w:szCs w:val="21"/>
          <w:highlight w:val="none"/>
        </w:rPr>
      </w:pPr>
      <w:r>
        <w:rPr>
          <w:rFonts w:hint="eastAsia" w:ascii="宋体" w:hAnsi="宋体" w:cs="宋体"/>
          <w:iCs/>
          <w:color w:val="auto"/>
          <w:szCs w:val="21"/>
          <w:highlight w:val="none"/>
        </w:rPr>
        <w:t>（4）政府采购促进残疾人就业政策。</w:t>
      </w:r>
    </w:p>
    <w:p w14:paraId="3CDF3E85">
      <w:pPr>
        <w:spacing w:line="400" w:lineRule="exact"/>
        <w:ind w:firstLine="420"/>
        <w:rPr>
          <w:rFonts w:ascii="宋体" w:hAnsi="宋体" w:cs="宋体"/>
          <w:i/>
          <w:iCs/>
          <w:color w:val="auto"/>
          <w:szCs w:val="21"/>
          <w:highlight w:val="none"/>
        </w:rPr>
      </w:pPr>
      <w:r>
        <w:rPr>
          <w:rFonts w:hint="eastAsia" w:ascii="宋体" w:hAnsi="宋体" w:cs="宋体"/>
          <w:iCs/>
          <w:color w:val="auto"/>
          <w:szCs w:val="21"/>
          <w:highlight w:val="none"/>
        </w:rPr>
        <w:t>（5）政府采购支持监狱企业发展。</w:t>
      </w:r>
    </w:p>
    <w:p w14:paraId="5B6E3DF8">
      <w:pPr>
        <w:spacing w:line="400" w:lineRule="exact"/>
        <w:ind w:firstLine="420"/>
        <w:rPr>
          <w:rFonts w:ascii="宋体" w:hAnsi="宋体"/>
          <w:color w:val="auto"/>
          <w:szCs w:val="21"/>
          <w:highlight w:val="none"/>
        </w:rPr>
      </w:pPr>
      <w:r>
        <w:rPr>
          <w:rFonts w:hint="eastAsia" w:ascii="宋体" w:hAnsi="宋体" w:cs="宋体"/>
          <w:color w:val="auto"/>
          <w:szCs w:val="21"/>
          <w:highlight w:val="none"/>
        </w:rPr>
        <w:t>3.供应商</w:t>
      </w:r>
      <w:r>
        <w:rPr>
          <w:rFonts w:hint="eastAsia" w:ascii="宋体" w:hAnsi="宋体"/>
          <w:color w:val="auto"/>
          <w:szCs w:val="21"/>
          <w:highlight w:val="none"/>
        </w:rPr>
        <w:t>竞标注意事项</w:t>
      </w:r>
    </w:p>
    <w:p w14:paraId="2F4C4224">
      <w:pPr>
        <w:spacing w:line="400" w:lineRule="exact"/>
        <w:ind w:firstLine="420"/>
        <w:rPr>
          <w:rFonts w:ascii="宋体" w:hAnsi="宋体"/>
          <w:color w:val="auto"/>
          <w:szCs w:val="21"/>
          <w:highlight w:val="none"/>
        </w:rPr>
      </w:pPr>
      <w:r>
        <w:rPr>
          <w:rFonts w:hint="eastAsia" w:ascii="宋体" w:hAnsi="宋体"/>
          <w:color w:val="auto"/>
          <w:szCs w:val="21"/>
          <w:highlight w:val="none"/>
        </w:rPr>
        <w:t>（1）本项目为全流程电子化采购项目，通过广西政府采购云平台（https://www.gcy.zfcg.gxzf.gov.cn/）实行在线电子竞标，供应商应先安装“广西政府采购云平台电子交易客户端”（请自行前往“广西政府采购云平台”进行下载），并按照本项目竞争性谈判文件和广西政府采购云平台的要求编制、加密后在提交响应文件截止时间前通过网络上传至 广西政府采购云平台（加密的电子响应文件是指</w:t>
      </w:r>
      <w:r>
        <w:rPr>
          <w:rFonts w:hint="eastAsia"/>
          <w:color w:val="auto"/>
          <w:highlight w:val="none"/>
        </w:rPr>
        <w:t>后缀名为“jm</w:t>
      </w:r>
      <w:r>
        <w:rPr>
          <w:color w:val="auto"/>
          <w:highlight w:val="none"/>
        </w:rPr>
        <w:t>bs</w:t>
      </w:r>
      <w:r>
        <w:rPr>
          <w:rFonts w:hint="eastAsia"/>
          <w:color w:val="auto"/>
          <w:highlight w:val="none"/>
        </w:rPr>
        <w:t>”的文件</w:t>
      </w:r>
      <w:r>
        <w:rPr>
          <w:rFonts w:hint="eastAsia" w:ascii="宋体" w:hAnsi="宋体"/>
          <w:color w:val="auto"/>
          <w:szCs w:val="21"/>
          <w:highlight w:val="none"/>
        </w:rPr>
        <w:t>），</w:t>
      </w:r>
      <w:r>
        <w:rPr>
          <w:rFonts w:hint="eastAsia" w:ascii="宋体" w:hAnsi="宋体"/>
          <w:b/>
          <w:color w:val="auto"/>
          <w:szCs w:val="21"/>
          <w:highlight w:val="none"/>
        </w:rPr>
        <w:t>供应商在广西政府采购云平台提交电子响应文件时，请填写参加远程采购活动经办人联系方式。</w:t>
      </w:r>
      <w:r>
        <w:rPr>
          <w:rFonts w:hint="eastAsia" w:ascii="宋体" w:hAnsi="宋体"/>
          <w:color w:val="auto"/>
          <w:szCs w:val="21"/>
          <w:highlight w:val="none"/>
        </w:rPr>
        <w:t>供应商登录广西政府采购云平台，依次进入“服务中心-项目采购-操作流程-电子招投标-</w:t>
      </w:r>
      <w:r>
        <w:rPr>
          <w:color w:val="auto"/>
          <w:highlight w:val="none"/>
        </w:rPr>
        <w:t>政府采购项目电子交易管理操作指南-供应商</w:t>
      </w:r>
      <w:r>
        <w:rPr>
          <w:rFonts w:hint="eastAsia" w:ascii="宋体" w:hAnsi="宋体"/>
          <w:color w:val="auto"/>
          <w:szCs w:val="21"/>
          <w:highlight w:val="none"/>
        </w:rPr>
        <w:t>”查看电子竞标具体操作流程。</w:t>
      </w:r>
    </w:p>
    <w:p w14:paraId="1B9219E6">
      <w:pPr>
        <w:spacing w:line="400" w:lineRule="exact"/>
        <w:ind w:firstLine="420"/>
        <w:rPr>
          <w:rFonts w:ascii="宋体" w:hAnsi="宋体"/>
          <w:color w:val="auto"/>
          <w:szCs w:val="21"/>
          <w:highlight w:val="none"/>
        </w:rPr>
      </w:pPr>
      <w:r>
        <w:rPr>
          <w:rFonts w:hint="eastAsia" w:ascii="宋体" w:hAnsi="宋体"/>
          <w:color w:val="auto"/>
          <w:szCs w:val="21"/>
          <w:highlight w:val="none"/>
        </w:rPr>
        <w:t>（2）未进行网上注册并办理数字证书（CA认证）的供应商将无法参与本项目政府采购活动，供应商应当在提交响应文件截止时间前，完成电子交易平台上的CA数字证书办理及响应文件的提交（供应商可登录“广西政府采购网”，依次进入“办事服务-下载专区”或者登录</w:t>
      </w:r>
      <w:r>
        <w:rPr>
          <w:rFonts w:hint="eastAsia" w:ascii="宋体" w:hAnsi="宋体" w:cs="宋体"/>
          <w:color w:val="auto"/>
          <w:szCs w:val="21"/>
          <w:highlight w:val="none"/>
        </w:rPr>
        <w:t>广西政府采购云平台，</w:t>
      </w:r>
      <w:r>
        <w:rPr>
          <w:rFonts w:hint="eastAsia" w:ascii="宋体" w:hAnsi="宋体"/>
          <w:color w:val="auto"/>
          <w:szCs w:val="21"/>
          <w:highlight w:val="none"/>
        </w:rPr>
        <w:t>依次进入“服务中心-入驻与配置”中查看CA数字证书办理操作流程。</w:t>
      </w:r>
      <w:r>
        <w:rPr>
          <w:rFonts w:hint="eastAsia" w:ascii="宋体" w:hAnsi="宋体" w:cs="宋体"/>
          <w:bCs/>
          <w:color w:val="auto"/>
          <w:szCs w:val="21"/>
          <w:highlight w:val="none"/>
        </w:rPr>
        <w:t>如在操作过程中遇到问题或者需要技术支持，请致电广西政府采购云平台客服热线：95763</w:t>
      </w:r>
      <w:bookmarkStart w:id="48" w:name="_Hlk181375433"/>
      <w:r>
        <w:rPr>
          <w:rFonts w:hint="eastAsia" w:ascii="宋体" w:hAnsi="宋体" w:cs="宋体"/>
          <w:bCs/>
          <w:color w:val="auto"/>
          <w:szCs w:val="21"/>
          <w:highlight w:val="none"/>
        </w:rPr>
        <w:t>或0</w:t>
      </w:r>
      <w:r>
        <w:rPr>
          <w:rFonts w:ascii="宋体" w:hAnsi="宋体" w:cs="宋体"/>
          <w:bCs/>
          <w:color w:val="auto"/>
          <w:szCs w:val="21"/>
          <w:highlight w:val="none"/>
        </w:rPr>
        <w:t>771-</w:t>
      </w:r>
      <w:r>
        <w:rPr>
          <w:rFonts w:hint="eastAsia" w:ascii="宋体" w:hAnsi="宋体" w:cs="宋体"/>
          <w:bCs/>
          <w:color w:val="auto"/>
          <w:szCs w:val="21"/>
          <w:highlight w:val="none"/>
        </w:rPr>
        <w:t>3</w:t>
      </w:r>
      <w:r>
        <w:rPr>
          <w:rFonts w:ascii="宋体" w:hAnsi="宋体" w:cs="宋体"/>
          <w:bCs/>
          <w:color w:val="auto"/>
          <w:szCs w:val="21"/>
          <w:highlight w:val="none"/>
        </w:rPr>
        <w:t>381253</w:t>
      </w:r>
      <w:bookmarkEnd w:id="40"/>
      <w:r>
        <w:rPr>
          <w:rFonts w:hint="eastAsia" w:ascii="宋体" w:hAnsi="宋体"/>
          <w:color w:val="auto"/>
          <w:szCs w:val="21"/>
          <w:highlight w:val="none"/>
        </w:rPr>
        <w:t>）。</w:t>
      </w:r>
    </w:p>
    <w:p w14:paraId="4EF85695">
      <w:pPr>
        <w:spacing w:line="400" w:lineRule="exact"/>
        <w:ind w:firstLine="420"/>
        <w:rPr>
          <w:rFonts w:ascii="宋体" w:hAnsi="宋体" w:cs="宋体"/>
          <w:color w:val="auto"/>
          <w:szCs w:val="21"/>
          <w:highlight w:val="none"/>
        </w:rPr>
      </w:pPr>
      <w:r>
        <w:rPr>
          <w:rFonts w:hint="eastAsia" w:ascii="宋体" w:hAnsi="宋体" w:cs="宋体"/>
          <w:color w:val="auto"/>
          <w:szCs w:val="21"/>
          <w:highlight w:val="none"/>
        </w:rPr>
        <w:t>（3）CA证书在线解密：首次响应文件开启时，需携带制作响应文件时用来加密的有效数字证书（CA认证）登录广西政府采购云平台电子开标大厅现场按规定时间对加密的响应文件进行解密，否则后果自负。</w:t>
      </w:r>
    </w:p>
    <w:p w14:paraId="281E7DA7">
      <w:pPr>
        <w:spacing w:line="400" w:lineRule="exact"/>
        <w:ind w:firstLine="420"/>
        <w:rPr>
          <w:rFonts w:ascii="宋体" w:hAnsi="宋体"/>
          <w:color w:val="auto"/>
          <w:szCs w:val="21"/>
          <w:highlight w:val="none"/>
        </w:rPr>
      </w:pPr>
      <w:r>
        <w:rPr>
          <w:rFonts w:hint="eastAsia" w:ascii="宋体" w:hAnsi="宋体"/>
          <w:color w:val="auto"/>
          <w:szCs w:val="21"/>
          <w:highlight w:val="none"/>
        </w:rPr>
        <w:t>注：</w:t>
      </w:r>
    </w:p>
    <w:p w14:paraId="34C73C3F">
      <w:pPr>
        <w:spacing w:line="400" w:lineRule="exact"/>
        <w:ind w:firstLine="420"/>
        <w:rPr>
          <w:rFonts w:ascii="宋体" w:hAnsi="宋体"/>
          <w:color w:val="auto"/>
          <w:szCs w:val="21"/>
          <w:highlight w:val="none"/>
        </w:rPr>
      </w:pPr>
      <w:r>
        <w:rPr>
          <w:rFonts w:hint="eastAsia" w:ascii="宋体" w:hAnsi="宋体"/>
          <w:color w:val="auto"/>
          <w:szCs w:val="21"/>
          <w:highlight w:val="none"/>
        </w:rPr>
        <w:t>①为确保网上操作合法、有效和安全，请供应商确保在电子竞标过程中能够对相关数据电文进行加密和使用电子签章，妥善保管C</w:t>
      </w:r>
      <w:r>
        <w:rPr>
          <w:rFonts w:ascii="宋体" w:hAnsi="宋体"/>
          <w:color w:val="auto"/>
          <w:szCs w:val="21"/>
          <w:highlight w:val="none"/>
        </w:rPr>
        <w:t>A</w:t>
      </w:r>
      <w:r>
        <w:rPr>
          <w:rFonts w:hint="eastAsia" w:ascii="宋体" w:hAnsi="宋体"/>
          <w:color w:val="auto"/>
          <w:szCs w:val="21"/>
          <w:highlight w:val="none"/>
        </w:rPr>
        <w:t>数字证书并使用有效的CA数字证书参与整个采购活动。</w:t>
      </w:r>
    </w:p>
    <w:p w14:paraId="5A5F08CA">
      <w:pPr>
        <w:spacing w:line="400" w:lineRule="exact"/>
        <w:ind w:firstLine="420"/>
        <w:rPr>
          <w:rFonts w:ascii="宋体" w:hAnsi="宋体"/>
          <w:bCs/>
          <w:color w:val="auto"/>
          <w:szCs w:val="21"/>
          <w:highlight w:val="none"/>
        </w:rPr>
      </w:pPr>
      <w:r>
        <w:rPr>
          <w:rFonts w:ascii="宋体" w:hAnsi="宋体"/>
          <w:color w:val="auto"/>
          <w:szCs w:val="21"/>
          <w:highlight w:val="none"/>
        </w:rPr>
        <w:fldChar w:fldCharType="begin"/>
      </w:r>
      <w:r>
        <w:rPr>
          <w:rFonts w:ascii="宋体" w:hAnsi="宋体"/>
          <w:color w:val="auto"/>
          <w:szCs w:val="21"/>
          <w:highlight w:val="none"/>
        </w:rPr>
        <w:instrText xml:space="preserve"> </w:instrText>
      </w:r>
      <w:r>
        <w:rPr>
          <w:rFonts w:hint="eastAsia" w:ascii="宋体" w:hAnsi="宋体"/>
          <w:color w:val="auto"/>
          <w:szCs w:val="21"/>
          <w:highlight w:val="none"/>
        </w:rPr>
        <w:instrText xml:space="preserve">= 2 \* GB3</w:instrText>
      </w:r>
      <w:r>
        <w:rPr>
          <w:rFonts w:ascii="宋体" w:hAnsi="宋体"/>
          <w:color w:val="auto"/>
          <w:szCs w:val="21"/>
          <w:highlight w:val="none"/>
        </w:rPr>
        <w:instrText xml:space="preserve"> </w:instrText>
      </w:r>
      <w:r>
        <w:rPr>
          <w:rFonts w:ascii="宋体" w:hAnsi="宋体"/>
          <w:color w:val="auto"/>
          <w:szCs w:val="21"/>
          <w:highlight w:val="none"/>
        </w:rPr>
        <w:fldChar w:fldCharType="separate"/>
      </w:r>
      <w:r>
        <w:rPr>
          <w:rFonts w:hint="eastAsia" w:ascii="宋体" w:hAnsi="宋体"/>
          <w:color w:val="auto"/>
          <w:szCs w:val="21"/>
          <w:highlight w:val="none"/>
        </w:rPr>
        <w:t>②</w:t>
      </w:r>
      <w:r>
        <w:rPr>
          <w:rFonts w:ascii="宋体" w:hAnsi="宋体"/>
          <w:color w:val="auto"/>
          <w:szCs w:val="21"/>
          <w:highlight w:val="none"/>
        </w:rPr>
        <w:fldChar w:fldCharType="end"/>
      </w:r>
      <w:r>
        <w:rPr>
          <w:rFonts w:hint="eastAsia" w:ascii="宋体" w:hAnsi="宋体"/>
          <w:bCs/>
          <w:color w:val="auto"/>
          <w:szCs w:val="21"/>
          <w:highlight w:val="none"/>
        </w:rPr>
        <w:t>供应商应当在提交响应文件截止时间前完成电子响应文件的提交（上传），提交响应文件截止时间前可以补充、修改或者撤回响应文件。补充或者修改响应文件的，应当先行撤回原响应文件，补充、修改后重新提交（上传），提交响应文件截止时间前未完成提交（上传）的，视为撤回响应文件。提交响应文件截止时间以后提交（上传）的响应文件，广西政府采购云平台将予以拒收。</w:t>
      </w:r>
    </w:p>
    <w:p w14:paraId="0AE1074D">
      <w:pPr>
        <w:spacing w:line="400" w:lineRule="exact"/>
        <w:ind w:firstLine="422"/>
        <w:rPr>
          <w:rFonts w:ascii="宋体" w:hAnsi="宋体" w:cs="宋体"/>
          <w:b/>
          <w:color w:val="auto"/>
          <w:szCs w:val="21"/>
          <w:highlight w:val="none"/>
        </w:rPr>
      </w:pPr>
      <w:r>
        <w:rPr>
          <w:rFonts w:hint="eastAsia" w:ascii="宋体" w:hAnsi="宋体" w:cs="宋体"/>
          <w:b/>
          <w:color w:val="auto"/>
          <w:szCs w:val="21"/>
          <w:highlight w:val="none"/>
        </w:rPr>
        <w:t>（4）供应商需要在具备有摄像头及语音功能且互联网网络状况良好的电脑登录广西政府采购云平台远程开标大厅参与本次谈判，否则后果自负。</w:t>
      </w:r>
      <w:bookmarkEnd w:id="41"/>
    </w:p>
    <w:p w14:paraId="75E1C73F">
      <w:pPr>
        <w:spacing w:line="400" w:lineRule="exact"/>
        <w:ind w:firstLine="480"/>
        <w:rPr>
          <w:rFonts w:ascii="黑体" w:hAnsi="黑体" w:eastAsia="黑体"/>
          <w:color w:val="auto"/>
          <w:sz w:val="24"/>
          <w:highlight w:val="none"/>
        </w:rPr>
      </w:pPr>
      <w:r>
        <w:rPr>
          <w:rFonts w:hint="eastAsia" w:ascii="黑体" w:hAnsi="黑体" w:eastAsia="黑体"/>
          <w:color w:val="auto"/>
          <w:sz w:val="24"/>
          <w:highlight w:val="none"/>
        </w:rPr>
        <w:t>八、凡对本次采购提出询问，请按</w:t>
      </w:r>
      <w:r>
        <w:rPr>
          <w:rFonts w:ascii="黑体" w:hAnsi="黑体" w:eastAsia="黑体"/>
          <w:color w:val="auto"/>
          <w:sz w:val="24"/>
          <w:highlight w:val="none"/>
        </w:rPr>
        <w:t>以下方式</w:t>
      </w:r>
      <w:r>
        <w:rPr>
          <w:rFonts w:hint="eastAsia" w:ascii="黑体" w:hAnsi="黑体" w:eastAsia="黑体"/>
          <w:color w:val="auto"/>
          <w:sz w:val="24"/>
          <w:highlight w:val="none"/>
        </w:rPr>
        <w:t>联系。</w:t>
      </w:r>
      <w:bookmarkEnd w:id="42"/>
      <w:bookmarkEnd w:id="43"/>
      <w:bookmarkEnd w:id="44"/>
      <w:bookmarkEnd w:id="45"/>
      <w:bookmarkEnd w:id="46"/>
      <w:bookmarkEnd w:id="47"/>
      <w:bookmarkStart w:id="49" w:name="_Toc28359096"/>
      <w:bookmarkStart w:id="50" w:name="_Toc28359019"/>
      <w:bookmarkStart w:id="51" w:name="_Toc35393637"/>
      <w:bookmarkStart w:id="52" w:name="_Toc35393806"/>
    </w:p>
    <w:p w14:paraId="71A5B784">
      <w:pPr>
        <w:spacing w:line="400" w:lineRule="exact"/>
        <w:ind w:firstLine="420"/>
        <w:rPr>
          <w:rFonts w:ascii="宋体" w:hAnsi="宋体" w:cs="宋体"/>
          <w:color w:val="auto"/>
          <w:szCs w:val="21"/>
          <w:highlight w:val="none"/>
        </w:rPr>
      </w:pPr>
      <w:r>
        <w:rPr>
          <w:rFonts w:hint="eastAsia" w:ascii="宋体" w:hAnsi="宋体" w:cs="宋体"/>
          <w:color w:val="auto"/>
          <w:szCs w:val="21"/>
          <w:highlight w:val="none"/>
        </w:rPr>
        <w:t>1.采购人信息</w:t>
      </w:r>
      <w:bookmarkEnd w:id="48"/>
      <w:bookmarkEnd w:id="49"/>
      <w:bookmarkEnd w:id="50"/>
      <w:bookmarkEnd w:id="51"/>
    </w:p>
    <w:p w14:paraId="7D7E3810">
      <w:pPr>
        <w:spacing w:line="400" w:lineRule="exact"/>
        <w:ind w:firstLine="420"/>
        <w:rPr>
          <w:rFonts w:ascii="宋体" w:hAnsi="宋体"/>
          <w:color w:val="auto"/>
          <w:szCs w:val="21"/>
          <w:highlight w:val="none"/>
          <w:u w:val="single"/>
        </w:rPr>
      </w:pPr>
      <w:r>
        <w:rPr>
          <w:rFonts w:hint="eastAsia" w:ascii="宋体" w:hAnsi="宋体"/>
          <w:color w:val="auto"/>
          <w:szCs w:val="21"/>
          <w:highlight w:val="none"/>
        </w:rPr>
        <w:t>名    称：</w:t>
      </w:r>
      <w:r>
        <w:rPr>
          <w:rFonts w:hint="eastAsia" w:ascii="宋体" w:hAnsi="宋体"/>
          <w:color w:val="auto"/>
          <w:szCs w:val="21"/>
          <w:highlight w:val="none"/>
          <w:u w:val="single"/>
        </w:rPr>
        <w:t>广西质量工程职业技术学院</w:t>
      </w:r>
    </w:p>
    <w:p w14:paraId="6E39BA6A">
      <w:pPr>
        <w:spacing w:line="400" w:lineRule="exact"/>
        <w:ind w:firstLine="420"/>
        <w:jc w:val="left"/>
        <w:rPr>
          <w:rFonts w:ascii="宋体" w:hAnsi="宋体"/>
          <w:color w:val="auto"/>
          <w:szCs w:val="21"/>
          <w:highlight w:val="none"/>
          <w:u w:val="single"/>
        </w:rPr>
      </w:pPr>
      <w:r>
        <w:rPr>
          <w:rFonts w:hint="eastAsia" w:ascii="宋体" w:hAnsi="宋体"/>
          <w:color w:val="auto"/>
          <w:szCs w:val="21"/>
          <w:highlight w:val="none"/>
        </w:rPr>
        <w:t>地    址：</w:t>
      </w:r>
      <w:r>
        <w:rPr>
          <w:color w:val="auto"/>
          <w:highlight w:val="none"/>
        </w:rPr>
        <w:fldChar w:fldCharType="begin"/>
      </w:r>
      <w:r>
        <w:rPr>
          <w:color w:val="auto"/>
          <w:highlight w:val="none"/>
        </w:rPr>
        <w:instrText xml:space="preserve"> HYPERLINK "https://baike.baidu.com/item/%E5%8D%97%E5%AE%81%E5%B8%82/215945?fromModule=lemma_inlink" \t "https://baike.baidu.com/item/%E5%B9%BF%E8%A5%BF%E8%B4%A8%E9%87%8F%E5%B7%A5%E7%A8%8B%E8%81%8C%E4%B8%9A%E6%8A%80%E6%9C%AF%E5%AD%A6%E9%99%A2/_blank" </w:instrText>
      </w:r>
      <w:r>
        <w:rPr>
          <w:color w:val="auto"/>
          <w:highlight w:val="none"/>
        </w:rPr>
        <w:fldChar w:fldCharType="separate"/>
      </w:r>
      <w:r>
        <w:rPr>
          <w:rFonts w:ascii="宋体" w:hAnsi="宋体" w:cs="Arial"/>
          <w:color w:val="auto"/>
          <w:szCs w:val="21"/>
          <w:highlight w:val="none"/>
          <w:u w:val="single"/>
        </w:rPr>
        <w:t>南宁市</w:t>
      </w:r>
      <w:r>
        <w:rPr>
          <w:rFonts w:ascii="宋体" w:hAnsi="宋体" w:cs="Arial"/>
          <w:color w:val="auto"/>
          <w:szCs w:val="21"/>
          <w:highlight w:val="none"/>
          <w:u w:val="single"/>
        </w:rPr>
        <w:fldChar w:fldCharType="end"/>
      </w:r>
      <w:r>
        <w:rPr>
          <w:color w:val="auto"/>
          <w:highlight w:val="none"/>
        </w:rPr>
        <w:fldChar w:fldCharType="begin"/>
      </w:r>
      <w:r>
        <w:rPr>
          <w:color w:val="auto"/>
          <w:highlight w:val="none"/>
        </w:rPr>
        <w:instrText xml:space="preserve"> HYPERLINK "https://baike.baidu.com/item/%E6%AD%A6%E9%B8%A3%E5%8C%BA/16694269?fromModule=lemma_inlink" \t "https://baike.baidu.com/item/%E5%B9%BF%E8%A5%BF%E8%B4%A8%E9%87%8F%E5%B7%A5%E7%A8%8B%E8%81%8C%E4%B8%9A%E6%8A%80%E6%9C%AF%E5%AD%A6%E9%99%A2/_blank" </w:instrText>
      </w:r>
      <w:r>
        <w:rPr>
          <w:color w:val="auto"/>
          <w:highlight w:val="none"/>
        </w:rPr>
        <w:fldChar w:fldCharType="separate"/>
      </w:r>
      <w:r>
        <w:rPr>
          <w:rFonts w:ascii="宋体" w:hAnsi="宋体" w:cs="Arial"/>
          <w:color w:val="auto"/>
          <w:szCs w:val="21"/>
          <w:highlight w:val="none"/>
          <w:u w:val="single"/>
        </w:rPr>
        <w:t>武鸣区</w:t>
      </w:r>
      <w:r>
        <w:rPr>
          <w:rFonts w:ascii="宋体" w:hAnsi="宋体" w:cs="Arial"/>
          <w:color w:val="auto"/>
          <w:szCs w:val="21"/>
          <w:highlight w:val="none"/>
          <w:u w:val="single"/>
        </w:rPr>
        <w:fldChar w:fldCharType="end"/>
      </w:r>
      <w:r>
        <w:rPr>
          <w:rFonts w:ascii="宋体" w:hAnsi="宋体" w:cs="Arial"/>
          <w:color w:val="auto"/>
          <w:szCs w:val="21"/>
          <w:highlight w:val="none"/>
          <w:u w:val="single"/>
        </w:rPr>
        <w:t>发展大道12号</w:t>
      </w:r>
    </w:p>
    <w:p w14:paraId="37B17769">
      <w:pPr>
        <w:spacing w:line="400" w:lineRule="exact"/>
        <w:ind w:firstLine="420"/>
        <w:rPr>
          <w:rFonts w:ascii="宋体" w:hAnsi="宋体"/>
          <w:color w:val="auto"/>
          <w:szCs w:val="21"/>
          <w:highlight w:val="none"/>
          <w:u w:val="single"/>
        </w:rPr>
      </w:pPr>
      <w:r>
        <w:rPr>
          <w:rFonts w:hint="eastAsia" w:ascii="宋体" w:hAnsi="宋体"/>
          <w:color w:val="auto"/>
          <w:szCs w:val="21"/>
          <w:highlight w:val="none"/>
        </w:rPr>
        <w:t>联系方式：</w:t>
      </w:r>
      <w:r>
        <w:rPr>
          <w:rFonts w:hint="eastAsia" w:ascii="宋体" w:hAnsi="宋体" w:cs="Arial"/>
          <w:color w:val="auto"/>
          <w:szCs w:val="21"/>
          <w:highlight w:val="none"/>
          <w:u w:val="single"/>
        </w:rPr>
        <w:t>张老师，0771-2348102</w:t>
      </w:r>
      <w:r>
        <w:rPr>
          <w:rFonts w:ascii="宋体" w:hAnsi="宋体"/>
          <w:color w:val="auto"/>
          <w:szCs w:val="21"/>
          <w:highlight w:val="none"/>
          <w:u w:val="single"/>
        </w:rPr>
        <w:t xml:space="preserve"> </w:t>
      </w:r>
    </w:p>
    <w:p w14:paraId="2E3EB736">
      <w:pPr>
        <w:spacing w:line="400" w:lineRule="exact"/>
        <w:ind w:firstLine="420"/>
        <w:rPr>
          <w:rFonts w:ascii="宋体" w:hAnsi="宋体" w:cs="宋体"/>
          <w:color w:val="auto"/>
          <w:szCs w:val="21"/>
          <w:highlight w:val="none"/>
        </w:rPr>
      </w:pPr>
      <w:bookmarkStart w:id="53" w:name="_Toc28359020"/>
      <w:bookmarkStart w:id="54" w:name="_Toc28359097"/>
      <w:bookmarkStart w:id="55" w:name="_Toc35393807"/>
      <w:bookmarkStart w:id="56" w:name="_Toc35393638"/>
      <w:r>
        <w:rPr>
          <w:rFonts w:hint="eastAsia" w:ascii="宋体" w:hAnsi="宋体" w:cs="宋体"/>
          <w:color w:val="auto"/>
          <w:szCs w:val="21"/>
          <w:highlight w:val="none"/>
        </w:rPr>
        <w:t>2.采购代理机构信息</w:t>
      </w:r>
      <w:bookmarkEnd w:id="52"/>
      <w:bookmarkEnd w:id="53"/>
      <w:bookmarkEnd w:id="54"/>
      <w:bookmarkEnd w:id="55"/>
    </w:p>
    <w:p w14:paraId="370751B5">
      <w:pPr>
        <w:spacing w:line="400" w:lineRule="exact"/>
        <w:ind w:firstLine="420"/>
        <w:rPr>
          <w:rFonts w:ascii="宋体" w:hAnsi="宋体"/>
          <w:color w:val="auto"/>
          <w:szCs w:val="21"/>
          <w:highlight w:val="none"/>
        </w:rPr>
      </w:pPr>
      <w:r>
        <w:rPr>
          <w:rFonts w:hint="eastAsia" w:ascii="宋体" w:hAnsi="宋体"/>
          <w:color w:val="auto"/>
          <w:szCs w:val="21"/>
          <w:highlight w:val="none"/>
        </w:rPr>
        <w:t>名    称：</w:t>
      </w:r>
      <w:r>
        <w:rPr>
          <w:rFonts w:hint="eastAsia" w:ascii="宋体" w:hAnsi="宋体"/>
          <w:color w:val="auto"/>
          <w:szCs w:val="21"/>
          <w:highlight w:val="none"/>
          <w:u w:val="single"/>
        </w:rPr>
        <w:t>云之龙咨询集团有限公司</w:t>
      </w:r>
    </w:p>
    <w:p w14:paraId="2ED66459">
      <w:pPr>
        <w:spacing w:line="400" w:lineRule="exact"/>
        <w:ind w:firstLine="420"/>
        <w:rPr>
          <w:rFonts w:ascii="宋体" w:hAnsi="宋体"/>
          <w:color w:val="auto"/>
          <w:szCs w:val="21"/>
          <w:highlight w:val="none"/>
        </w:rPr>
      </w:pPr>
      <w:r>
        <w:rPr>
          <w:rFonts w:hint="eastAsia" w:ascii="宋体" w:hAnsi="宋体"/>
          <w:color w:val="auto"/>
          <w:szCs w:val="21"/>
          <w:highlight w:val="none"/>
        </w:rPr>
        <w:t>地　　址：</w:t>
      </w:r>
      <w:r>
        <w:rPr>
          <w:rFonts w:hint="eastAsia" w:ascii="宋体" w:hAnsi="宋体"/>
          <w:color w:val="auto"/>
          <w:szCs w:val="21"/>
          <w:highlight w:val="none"/>
          <w:u w:val="single"/>
        </w:rPr>
        <w:t>广西南宁市良庆区云英路15号3号楼云之龙咨询集团大厦6楼</w:t>
      </w:r>
    </w:p>
    <w:p w14:paraId="71D46AC5">
      <w:pPr>
        <w:spacing w:line="400" w:lineRule="exact"/>
        <w:ind w:firstLine="420"/>
        <w:rPr>
          <w:rFonts w:ascii="宋体" w:hAnsi="宋体"/>
          <w:color w:val="auto"/>
          <w:szCs w:val="21"/>
          <w:highlight w:val="none"/>
          <w:u w:val="single"/>
        </w:rPr>
      </w:pPr>
      <w:r>
        <w:rPr>
          <w:rFonts w:hint="eastAsia" w:ascii="宋体" w:hAnsi="宋体"/>
          <w:color w:val="auto"/>
          <w:szCs w:val="21"/>
          <w:highlight w:val="none"/>
        </w:rPr>
        <w:t>联系方式：吴小芹、梁俏英</w:t>
      </w:r>
      <w:r>
        <w:rPr>
          <w:rFonts w:hint="eastAsia" w:ascii="宋体" w:hAnsi="宋体"/>
          <w:color w:val="auto"/>
          <w:szCs w:val="21"/>
          <w:highlight w:val="none"/>
          <w:u w:val="single"/>
        </w:rPr>
        <w:t>；0771-2618118、2611889、2611898</w:t>
      </w:r>
    </w:p>
    <w:p w14:paraId="7D10E97F">
      <w:pPr>
        <w:spacing w:line="400" w:lineRule="exact"/>
        <w:ind w:firstLine="420"/>
        <w:rPr>
          <w:rFonts w:ascii="宋体" w:hAnsi="宋体" w:cs="宋体"/>
          <w:color w:val="auto"/>
          <w:szCs w:val="21"/>
          <w:highlight w:val="none"/>
        </w:rPr>
      </w:pPr>
      <w:bookmarkStart w:id="57" w:name="_Toc28359098"/>
      <w:bookmarkStart w:id="58" w:name="_Toc35393639"/>
      <w:bookmarkStart w:id="59" w:name="_Toc28359021"/>
      <w:bookmarkStart w:id="60" w:name="_Toc35393808"/>
      <w:r>
        <w:rPr>
          <w:rFonts w:hint="eastAsia" w:ascii="宋体" w:hAnsi="宋体" w:cs="宋体"/>
          <w:color w:val="auto"/>
          <w:szCs w:val="21"/>
          <w:highlight w:val="none"/>
        </w:rPr>
        <w:t>3.项目联系</w:t>
      </w:r>
      <w:r>
        <w:rPr>
          <w:rFonts w:ascii="宋体" w:hAnsi="宋体" w:cs="宋体"/>
          <w:color w:val="auto"/>
          <w:szCs w:val="21"/>
          <w:highlight w:val="none"/>
        </w:rPr>
        <w:t>方式</w:t>
      </w:r>
      <w:bookmarkEnd w:id="56"/>
      <w:bookmarkEnd w:id="57"/>
      <w:bookmarkEnd w:id="58"/>
      <w:bookmarkEnd w:id="59"/>
    </w:p>
    <w:p w14:paraId="0CDA9690">
      <w:pPr>
        <w:pStyle w:val="6"/>
        <w:spacing w:line="400" w:lineRule="exact"/>
        <w:ind w:firstLine="420"/>
        <w:rPr>
          <w:rFonts w:hAnsi="宋体"/>
          <w:color w:val="auto"/>
          <w:sz w:val="21"/>
          <w:highlight w:val="none"/>
          <w:u w:val="single"/>
        </w:rPr>
      </w:pPr>
      <w:r>
        <w:rPr>
          <w:rFonts w:hint="eastAsia" w:hAnsi="宋体"/>
          <w:color w:val="auto"/>
          <w:sz w:val="21"/>
          <w:highlight w:val="none"/>
        </w:rPr>
        <w:t>项目联系人：</w:t>
      </w:r>
      <w:r>
        <w:rPr>
          <w:rFonts w:hint="eastAsia" w:hAnsi="宋体" w:cs="Arial"/>
          <w:color w:val="auto"/>
          <w:highlight w:val="none"/>
          <w:u w:val="single"/>
        </w:rPr>
        <w:t>吴小芹、梁俏英</w:t>
      </w:r>
    </w:p>
    <w:p w14:paraId="38CEDBAB">
      <w:pPr>
        <w:spacing w:line="400" w:lineRule="exact"/>
        <w:ind w:firstLine="420"/>
        <w:rPr>
          <w:rFonts w:ascii="宋体" w:hAnsi="宋体"/>
          <w:color w:val="auto"/>
          <w:szCs w:val="21"/>
          <w:highlight w:val="none"/>
          <w:u w:val="single"/>
        </w:rPr>
      </w:pPr>
      <w:r>
        <w:rPr>
          <w:rFonts w:hint="eastAsia" w:ascii="宋体" w:hAnsi="宋体"/>
          <w:color w:val="auto"/>
          <w:szCs w:val="21"/>
          <w:highlight w:val="none"/>
        </w:rPr>
        <w:t>电　　话：</w:t>
      </w:r>
      <w:r>
        <w:rPr>
          <w:rFonts w:hint="eastAsia" w:ascii="宋体" w:hAnsi="宋体"/>
          <w:color w:val="auto"/>
          <w:szCs w:val="21"/>
          <w:highlight w:val="none"/>
          <w:u w:val="single"/>
        </w:rPr>
        <w:t>0771-2618118、2611889、2611898</w:t>
      </w:r>
    </w:p>
    <w:bookmarkEnd w:id="60"/>
    <w:p w14:paraId="2E970905"/>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A4D3B13"/>
    <w:rsid w:val="6BBF40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B-2"/>
    <w:basedOn w:val="5"/>
    <w:qFormat/>
    <w:uiPriority w:val="0"/>
    <w:rPr>
      <w:b w:val="0"/>
      <w:sz w:val="18"/>
    </w:rPr>
  </w:style>
  <w:style w:type="paragraph" w:customStyle="1" w:styleId="5">
    <w:name w:val="B-1"/>
    <w:basedOn w:val="1"/>
    <w:qFormat/>
    <w:uiPriority w:val="0"/>
    <w:pPr>
      <w:spacing w:line="360" w:lineRule="atLeast"/>
      <w:jc w:val="center"/>
    </w:pPr>
    <w:rPr>
      <w:b/>
    </w:rPr>
  </w:style>
  <w:style w:type="paragraph" w:customStyle="1" w:styleId="6">
    <w:name w:val="纯文本1"/>
    <w:basedOn w:val="1"/>
    <w:qFormat/>
    <w:uiPriority w:val="0"/>
    <w:rPr>
      <w:rFonts w:ascii="宋体" w:hAnsi="Courier New"/>
      <w:sz w:val="20"/>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2025-10-28T10:38:00Z</dcterms:created>
  <dc:creator>Administrator</dc:creator>
  <cp:lastModifiedBy>WPS_1602214612</cp:lastModifiedBy>
  <dcterms:modified xsi:type="dcterms:W3CDTF">2026-09-11T10:49:15Z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BCD27B52A63B459E89DEC36C3C906F09_12</vt:lpwstr>
  </property>
  <property fmtid="{D5CDD505-2E9C-101B-9397-08002B2CF9AE}" pid="4" name="KSOTemplateDocerSaveRecord">
    <vt:lpwstr>eyJoZGlkIjoiYzYyZDllODYwZmNjMmI1MzcyZGY0ODk5ZTE1MjMzZTIiLCJ1c2VySWQiOiIxMTI4ODcwMzU0In0=</vt:lpwstr>
  </property>
</Properties>
</file>