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1E192">
      <w:pPr>
        <w:spacing w:line="360" w:lineRule="auto"/>
        <w:jc w:val="center"/>
        <w:rPr>
          <w:rFonts w:hint="eastAsia" w:ascii="宋体" w:hAnsi="宋体" w:cs="宋体"/>
          <w:color w:val="auto"/>
          <w:sz w:val="52"/>
          <w:szCs w:val="52"/>
          <w:highlight w:val="none"/>
        </w:rPr>
      </w:pPr>
      <w:r>
        <w:rPr>
          <w:rFonts w:hint="eastAsia" w:ascii="宋体" w:hAnsi="宋体" w:cs="宋体"/>
          <w:color w:val="auto"/>
          <w:highlight w:val="none"/>
        </w:rPr>
        <w:drawing>
          <wp:inline distT="0" distB="0" distL="114300" distR="114300">
            <wp:extent cx="1977390" cy="1932305"/>
            <wp:effectExtent l="0" t="0" r="3810" b="10795"/>
            <wp:docPr id="1" name="图片 1" descr="TIM图片2019040917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图片20190409175741"/>
                    <pic:cNvPicPr>
                      <a:picLocks noChangeAspect="1"/>
                    </pic:cNvPicPr>
                  </pic:nvPicPr>
                  <pic:blipFill>
                    <a:blip r:embed="rId13"/>
                    <a:stretch>
                      <a:fillRect/>
                    </a:stretch>
                  </pic:blipFill>
                  <pic:spPr>
                    <a:xfrm>
                      <a:off x="0" y="0"/>
                      <a:ext cx="1977390" cy="1932305"/>
                    </a:xfrm>
                    <a:prstGeom prst="rect">
                      <a:avLst/>
                    </a:prstGeom>
                    <a:noFill/>
                    <a:ln>
                      <a:noFill/>
                    </a:ln>
                  </pic:spPr>
                </pic:pic>
              </a:graphicData>
            </a:graphic>
          </wp:inline>
        </w:drawing>
      </w:r>
    </w:p>
    <w:p w14:paraId="0ED4378D">
      <w:pPr>
        <w:spacing w:line="360" w:lineRule="auto"/>
        <w:jc w:val="center"/>
        <w:rPr>
          <w:rFonts w:hint="eastAsia" w:ascii="宋体" w:hAnsi="宋体" w:cs="宋体"/>
          <w:b/>
          <w:color w:val="auto"/>
          <w:sz w:val="44"/>
          <w:szCs w:val="44"/>
          <w:highlight w:val="none"/>
        </w:rPr>
      </w:pPr>
    </w:p>
    <w:p w14:paraId="0A1475A1">
      <w:pPr>
        <w:spacing w:line="360" w:lineRule="auto"/>
        <w:jc w:val="center"/>
        <w:rPr>
          <w:rFonts w:hint="eastAsia" w:ascii="宋体" w:hAnsi="宋体" w:cs="宋体"/>
          <w:b/>
          <w:color w:val="auto"/>
          <w:sz w:val="44"/>
          <w:szCs w:val="44"/>
          <w:highlight w:val="none"/>
        </w:rPr>
      </w:pPr>
    </w:p>
    <w:p w14:paraId="2C4A950F">
      <w:pPr>
        <w:snapToGrid w:val="0"/>
        <w:spacing w:before="156" w:beforeLines="50" w:line="360" w:lineRule="auto"/>
        <w:jc w:val="center"/>
        <w:rPr>
          <w:rFonts w:hint="eastAsia" w:ascii="宋体" w:hAnsi="宋体" w:cs="宋体"/>
          <w:color w:val="auto"/>
          <w:sz w:val="120"/>
          <w:szCs w:val="120"/>
          <w:highlight w:val="none"/>
        </w:rPr>
      </w:pPr>
      <w:r>
        <w:rPr>
          <w:rFonts w:hint="eastAsia" w:ascii="宋体" w:hAnsi="宋体" w:cs="宋体"/>
          <w:color w:val="auto"/>
          <w:sz w:val="120"/>
          <w:szCs w:val="120"/>
          <w:highlight w:val="none"/>
        </w:rPr>
        <w:t>竞争性磋商文件</w:t>
      </w:r>
    </w:p>
    <w:p w14:paraId="6D0120FC">
      <w:pPr>
        <w:snapToGrid w:val="0"/>
        <w:spacing w:before="156" w:beforeLines="50" w:line="360" w:lineRule="auto"/>
        <w:jc w:val="center"/>
        <w:rPr>
          <w:rFonts w:hint="eastAsia" w:ascii="宋体" w:hAnsi="宋体" w:cs="宋体"/>
          <w:b/>
          <w:color w:val="auto"/>
          <w:sz w:val="30"/>
          <w:szCs w:val="72"/>
          <w:highlight w:val="none"/>
        </w:rPr>
      </w:pPr>
      <w:r>
        <w:rPr>
          <w:rFonts w:hint="eastAsia" w:ascii="宋体" w:hAnsi="宋体" w:cs="宋体"/>
          <w:b/>
          <w:color w:val="auto"/>
          <w:sz w:val="48"/>
          <w:szCs w:val="48"/>
          <w:highlight w:val="none"/>
        </w:rPr>
        <w:t>（全流程电子化采购）</w:t>
      </w:r>
    </w:p>
    <w:p w14:paraId="78FD79C3">
      <w:pPr>
        <w:snapToGrid w:val="0"/>
        <w:spacing w:line="360" w:lineRule="auto"/>
        <w:rPr>
          <w:rFonts w:hint="eastAsia" w:ascii="宋体" w:hAnsi="宋体" w:cs="宋体"/>
          <w:color w:val="auto"/>
          <w:sz w:val="30"/>
          <w:szCs w:val="72"/>
          <w:highlight w:val="none"/>
        </w:rPr>
      </w:pPr>
    </w:p>
    <w:p w14:paraId="64333887">
      <w:pPr>
        <w:pStyle w:val="15"/>
        <w:snapToGrid w:val="0"/>
        <w:spacing w:line="360" w:lineRule="auto"/>
        <w:ind w:left="1506" w:hanging="1506" w:hangingChars="5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bookmarkStart w:id="0" w:name="OLE_LINK3"/>
      <w:r>
        <w:rPr>
          <w:rFonts w:hint="eastAsia" w:hAnsi="宋体" w:cs="宋体"/>
          <w:b/>
          <w:bCs/>
          <w:color w:val="auto"/>
          <w:sz w:val="30"/>
          <w:szCs w:val="30"/>
          <w:highlight w:val="none"/>
          <w:lang w:eastAsia="zh-CN"/>
        </w:rPr>
        <w:t>应急救援学院专业能力提升综合项目</w:t>
      </w:r>
      <w:bookmarkEnd w:id="0"/>
      <w:r>
        <w:rPr>
          <w:rFonts w:hint="eastAsia" w:hAnsi="宋体" w:cs="宋体"/>
          <w:b/>
          <w:bCs/>
          <w:color w:val="auto"/>
          <w:sz w:val="30"/>
          <w:szCs w:val="30"/>
          <w:highlight w:val="none"/>
          <w:lang w:eastAsia="zh-CN"/>
        </w:rPr>
        <w:t>（重</w:t>
      </w:r>
      <w:r>
        <w:rPr>
          <w:rFonts w:hint="eastAsia" w:hAnsi="宋体" w:cs="宋体"/>
          <w:b/>
          <w:bCs/>
          <w:color w:val="auto"/>
          <w:sz w:val="30"/>
          <w:szCs w:val="30"/>
          <w:highlight w:val="none"/>
          <w:lang w:val="en-US" w:eastAsia="zh-CN"/>
        </w:rPr>
        <w:t>2</w:t>
      </w:r>
      <w:r>
        <w:rPr>
          <w:rFonts w:hint="eastAsia" w:hAnsi="宋体" w:cs="宋体"/>
          <w:b/>
          <w:bCs/>
          <w:color w:val="auto"/>
          <w:sz w:val="30"/>
          <w:szCs w:val="30"/>
          <w:highlight w:val="none"/>
          <w:lang w:eastAsia="zh-CN"/>
        </w:rPr>
        <w:t>）</w:t>
      </w:r>
    </w:p>
    <w:p w14:paraId="6E02E437">
      <w:pPr>
        <w:snapToGrid w:val="0"/>
        <w:spacing w:line="360" w:lineRule="auto"/>
        <w:rPr>
          <w:rFonts w:hint="eastAsia" w:ascii="宋体" w:hAnsi="宋体" w:eastAsia="宋体" w:cs="宋体"/>
          <w:b/>
          <w:bCs/>
          <w:color w:val="auto"/>
          <w:w w:val="95"/>
          <w:sz w:val="30"/>
          <w:szCs w:val="30"/>
          <w:highlight w:val="none"/>
          <w:lang w:eastAsia="zh-CN"/>
        </w:rPr>
      </w:pPr>
      <w:r>
        <w:rPr>
          <w:rFonts w:hint="eastAsia" w:ascii="宋体" w:hAnsi="宋体" w:cs="宋体"/>
          <w:b/>
          <w:bCs/>
          <w:color w:val="auto"/>
          <w:w w:val="95"/>
          <w:sz w:val="30"/>
          <w:szCs w:val="30"/>
          <w:highlight w:val="none"/>
        </w:rPr>
        <w:t>项目</w:t>
      </w:r>
      <w:r>
        <w:rPr>
          <w:rFonts w:hint="eastAsia" w:ascii="宋体" w:hAnsi="宋体" w:cs="宋体"/>
          <w:b/>
          <w:bCs/>
          <w:color w:val="auto"/>
          <w:sz w:val="30"/>
          <w:szCs w:val="30"/>
          <w:highlight w:val="none"/>
        </w:rPr>
        <w:t>编号</w:t>
      </w:r>
      <w:r>
        <w:rPr>
          <w:rFonts w:hint="eastAsia" w:ascii="宋体" w:hAnsi="宋体" w:cs="宋体"/>
          <w:b/>
          <w:bCs/>
          <w:color w:val="auto"/>
          <w:w w:val="95"/>
          <w:sz w:val="30"/>
          <w:szCs w:val="30"/>
          <w:highlight w:val="none"/>
        </w:rPr>
        <w:t>：GXZC2026-C3-002736-JGJD</w:t>
      </w:r>
    </w:p>
    <w:p w14:paraId="4FC7493C">
      <w:pPr>
        <w:snapToGrid w:val="0"/>
        <w:spacing w:line="360" w:lineRule="auto"/>
        <w:ind w:firstLine="1145" w:firstLineChars="400"/>
        <w:rPr>
          <w:rFonts w:hint="eastAsia" w:ascii="宋体" w:hAnsi="宋体" w:cs="宋体"/>
          <w:b/>
          <w:bCs/>
          <w:color w:val="auto"/>
          <w:w w:val="95"/>
          <w:sz w:val="30"/>
          <w:szCs w:val="30"/>
          <w:highlight w:val="none"/>
        </w:rPr>
      </w:pPr>
    </w:p>
    <w:p w14:paraId="300C3764">
      <w:pPr>
        <w:snapToGrid w:val="0"/>
        <w:spacing w:line="360" w:lineRule="auto"/>
        <w:ind w:firstLine="1145" w:firstLineChars="400"/>
        <w:rPr>
          <w:rFonts w:hint="eastAsia" w:ascii="宋体" w:hAnsi="宋体" w:cs="宋体"/>
          <w:b/>
          <w:bCs/>
          <w:color w:val="auto"/>
          <w:w w:val="95"/>
          <w:sz w:val="30"/>
          <w:szCs w:val="30"/>
          <w:highlight w:val="none"/>
        </w:rPr>
      </w:pPr>
    </w:p>
    <w:p w14:paraId="0B43CE83">
      <w:pPr>
        <w:pStyle w:val="15"/>
        <w:snapToGrid w:val="0"/>
        <w:spacing w:line="360" w:lineRule="auto"/>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rPr>
        <w:t>采 购 人：</w:t>
      </w:r>
      <w:r>
        <w:rPr>
          <w:rFonts w:hint="eastAsia" w:hAnsi="宋体" w:cs="宋体"/>
          <w:b/>
          <w:bCs/>
          <w:color w:val="auto"/>
          <w:w w:val="95"/>
          <w:sz w:val="30"/>
          <w:szCs w:val="30"/>
          <w:highlight w:val="none"/>
          <w:lang w:eastAsia="zh-CN"/>
        </w:rPr>
        <w:t>广西安全工程职业技术学院</w:t>
      </w:r>
    </w:p>
    <w:p w14:paraId="01FAB6FE">
      <w:pPr>
        <w:pStyle w:val="15"/>
        <w:snapToGrid w:val="0"/>
        <w:spacing w:line="360" w:lineRule="auto"/>
        <w:rPr>
          <w:rFonts w:hint="eastAsia" w:hAnsi="宋体" w:cs="宋体"/>
          <w:b/>
          <w:bCs/>
          <w:color w:val="auto"/>
          <w:w w:val="95"/>
          <w:sz w:val="30"/>
          <w:szCs w:val="30"/>
          <w:highlight w:val="none"/>
        </w:rPr>
      </w:pPr>
      <w:r>
        <w:rPr>
          <w:rFonts w:hint="eastAsia" w:hAnsi="宋体" w:cs="宋体"/>
          <w:b/>
          <w:bCs/>
          <w:color w:val="auto"/>
          <w:w w:val="95"/>
          <w:sz w:val="30"/>
          <w:szCs w:val="30"/>
          <w:highlight w:val="none"/>
        </w:rPr>
        <w:t>采购代理机构：广西建设工程机电设备招标中心有限公司</w:t>
      </w:r>
    </w:p>
    <w:p w14:paraId="4BE8E496">
      <w:pPr>
        <w:pStyle w:val="15"/>
        <w:snapToGrid w:val="0"/>
        <w:spacing w:line="360" w:lineRule="auto"/>
        <w:ind w:firstLine="2576" w:firstLineChars="900"/>
        <w:rPr>
          <w:rFonts w:hint="eastAsia" w:hAnsi="宋体" w:cs="宋体"/>
          <w:color w:val="auto"/>
          <w:szCs w:val="20"/>
          <w:highlight w:val="none"/>
        </w:rPr>
      </w:pPr>
      <w:r>
        <w:rPr>
          <w:rFonts w:hint="eastAsia" w:hAnsi="宋体" w:cs="宋体"/>
          <w:b/>
          <w:bCs/>
          <w:color w:val="auto"/>
          <w:w w:val="95"/>
          <w:sz w:val="30"/>
          <w:szCs w:val="30"/>
          <w:highlight w:val="none"/>
          <w:lang w:eastAsia="zh-CN"/>
        </w:rPr>
        <w:t>2026年8月</w:t>
      </w:r>
      <w:r>
        <w:rPr>
          <w:rFonts w:hint="eastAsia" w:hAnsi="宋体" w:cs="宋体"/>
          <w:b/>
          <w:bCs/>
          <w:color w:val="auto"/>
          <w:w w:val="95"/>
          <w:sz w:val="30"/>
          <w:szCs w:val="30"/>
          <w:highlight w:val="none"/>
          <w:lang w:val="en-US" w:eastAsia="zh-CN"/>
        </w:rPr>
        <w:t>24</w:t>
      </w:r>
      <w:r>
        <w:rPr>
          <w:rFonts w:hint="eastAsia" w:hAnsi="宋体" w:cs="宋体"/>
          <w:b/>
          <w:bCs/>
          <w:color w:val="auto"/>
          <w:w w:val="95"/>
          <w:sz w:val="30"/>
          <w:szCs w:val="30"/>
          <w:highlight w:val="none"/>
          <w:lang w:eastAsia="zh-CN"/>
        </w:rPr>
        <w:t>日</w:t>
      </w:r>
    </w:p>
    <w:p w14:paraId="524CB81E">
      <w:pPr>
        <w:spacing w:line="360" w:lineRule="auto"/>
        <w:rPr>
          <w:rFonts w:hint="eastAsia" w:ascii="宋体" w:hAnsi="宋体" w:cs="宋体"/>
          <w:b/>
          <w:color w:val="auto"/>
          <w:sz w:val="44"/>
          <w:szCs w:val="44"/>
          <w:highlight w:val="none"/>
        </w:rPr>
      </w:pPr>
    </w:p>
    <w:p w14:paraId="3B166ECB">
      <w:pPr>
        <w:spacing w:line="360" w:lineRule="auto"/>
        <w:jc w:val="center"/>
        <w:rPr>
          <w:rFonts w:hint="eastAsia" w:ascii="宋体" w:hAnsi="宋体" w:cs="宋体"/>
          <w:b/>
          <w:color w:val="auto"/>
          <w:sz w:val="44"/>
          <w:szCs w:val="44"/>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0A906BED">
      <w:pPr>
        <w:spacing w:line="360" w:lineRule="auto"/>
        <w:jc w:val="center"/>
        <w:rPr>
          <w:rFonts w:hint="eastAsia" w:ascii="宋体" w:hAnsi="宋体" w:cs="宋体"/>
          <w:b/>
          <w:color w:val="auto"/>
          <w:sz w:val="44"/>
          <w:szCs w:val="44"/>
          <w:highlight w:val="none"/>
        </w:rPr>
      </w:pPr>
    </w:p>
    <w:p w14:paraId="080C2C21">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4554F38C">
      <w:pPr>
        <w:spacing w:line="400" w:lineRule="exact"/>
        <w:jc w:val="center"/>
        <w:rPr>
          <w:rFonts w:hint="eastAsia" w:ascii="宋体" w:hAnsi="宋体" w:cs="宋体"/>
          <w:b/>
          <w:color w:val="auto"/>
          <w:sz w:val="44"/>
          <w:szCs w:val="44"/>
          <w:highlight w:val="none"/>
        </w:rPr>
      </w:pPr>
    </w:p>
    <w:p w14:paraId="4DC1A17E">
      <w:pPr>
        <w:pStyle w:val="18"/>
        <w:tabs>
          <w:tab w:val="right" w:leader="dot" w:pos="8879"/>
        </w:tabs>
        <w:spacing w:line="600" w:lineRule="exact"/>
        <w:rPr>
          <w:b/>
          <w:bCs/>
          <w:color w:val="auto"/>
          <w:sz w:val="24"/>
          <w:szCs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TOC \o "1-1" \h \u </w:instrText>
      </w:r>
      <w:r>
        <w:rPr>
          <w:rFonts w:hint="eastAsia" w:ascii="宋体" w:hAnsi="宋体" w:cs="宋体"/>
          <w:b/>
          <w:color w:val="auto"/>
          <w:sz w:val="24"/>
          <w:highlight w:val="none"/>
        </w:rPr>
        <w:fldChar w:fldCharType="separate"/>
      </w: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_Toc15907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第一章 竞争性磋商公告</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_Toc15907 \h </w:instrText>
      </w:r>
      <w:r>
        <w:rPr>
          <w:b/>
          <w:bCs/>
          <w:color w:val="auto"/>
          <w:sz w:val="24"/>
          <w:szCs w:val="24"/>
          <w:highlight w:val="none"/>
        </w:rPr>
        <w:fldChar w:fldCharType="separate"/>
      </w:r>
      <w:r>
        <w:rPr>
          <w:b/>
          <w:bCs/>
          <w:color w:val="auto"/>
          <w:sz w:val="24"/>
          <w:szCs w:val="24"/>
          <w:highlight w:val="none"/>
        </w:rPr>
        <w:t>2</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7285C464">
      <w:pPr>
        <w:pStyle w:val="18"/>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_Toc15723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第二章 供应商须知</w:t>
      </w:r>
      <w:r>
        <w:rPr>
          <w:b/>
          <w:bCs/>
          <w:color w:val="auto"/>
          <w:sz w:val="24"/>
          <w:szCs w:val="24"/>
          <w:highlight w:val="none"/>
        </w:rPr>
        <w:tab/>
      </w:r>
      <w:r>
        <w:rPr>
          <w:rFonts w:hint="eastAsia"/>
          <w:b/>
          <w:bCs/>
          <w:color w:val="auto"/>
          <w:sz w:val="24"/>
          <w:szCs w:val="24"/>
          <w:highlight w:val="none"/>
          <w:lang w:val="en-US" w:eastAsia="zh-CN"/>
        </w:rPr>
        <w:t>6</w:t>
      </w:r>
      <w:r>
        <w:rPr>
          <w:rFonts w:hint="eastAsia" w:ascii="宋体" w:hAnsi="宋体" w:cs="宋体"/>
          <w:b/>
          <w:bCs/>
          <w:color w:val="auto"/>
          <w:sz w:val="24"/>
          <w:szCs w:val="24"/>
          <w:highlight w:val="none"/>
        </w:rPr>
        <w:fldChar w:fldCharType="end"/>
      </w:r>
    </w:p>
    <w:p w14:paraId="720A4058">
      <w:pPr>
        <w:pStyle w:val="18"/>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_Toc3481 </w:instrText>
      </w:r>
      <w:r>
        <w:rPr>
          <w:rFonts w:hint="eastAsia" w:ascii="宋体" w:hAnsi="宋体" w:cs="宋体"/>
          <w:b/>
          <w:bCs/>
          <w:color w:val="auto"/>
          <w:sz w:val="24"/>
          <w:szCs w:val="24"/>
          <w:highlight w:val="none"/>
        </w:rPr>
        <w:fldChar w:fldCharType="separate"/>
      </w:r>
      <w:r>
        <w:rPr>
          <w:rFonts w:hint="eastAsia"/>
          <w:b/>
          <w:bCs/>
          <w:color w:val="auto"/>
          <w:sz w:val="24"/>
          <w:szCs w:val="24"/>
          <w:highlight w:val="none"/>
        </w:rPr>
        <w:t>第三章采购需求</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_Toc3481 \h </w:instrText>
      </w:r>
      <w:r>
        <w:rPr>
          <w:b/>
          <w:bCs/>
          <w:color w:val="auto"/>
          <w:sz w:val="24"/>
          <w:szCs w:val="24"/>
          <w:highlight w:val="none"/>
        </w:rPr>
        <w:fldChar w:fldCharType="separate"/>
      </w:r>
      <w:r>
        <w:rPr>
          <w:b/>
          <w:bCs/>
          <w:color w:val="auto"/>
          <w:sz w:val="24"/>
          <w:szCs w:val="24"/>
          <w:highlight w:val="none"/>
        </w:rPr>
        <w:t>2</w:t>
      </w:r>
      <w:r>
        <w:rPr>
          <w:rFonts w:hint="eastAsia"/>
          <w:b/>
          <w:bCs/>
          <w:color w:val="auto"/>
          <w:sz w:val="24"/>
          <w:szCs w:val="24"/>
          <w:highlight w:val="none"/>
          <w:lang w:val="en-US" w:eastAsia="zh-CN"/>
        </w:rPr>
        <w:t>2</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65B384A4">
      <w:pPr>
        <w:pStyle w:val="18"/>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_Toc9193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第四章  评审程序、评审方法和评审标准</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_Toc9193 \h </w:instrText>
      </w:r>
      <w:r>
        <w:rPr>
          <w:b/>
          <w:bCs/>
          <w:color w:val="auto"/>
          <w:sz w:val="24"/>
          <w:szCs w:val="24"/>
          <w:highlight w:val="none"/>
        </w:rPr>
        <w:fldChar w:fldCharType="separate"/>
      </w:r>
      <w:r>
        <w:rPr>
          <w:b/>
          <w:bCs/>
          <w:color w:val="auto"/>
          <w:sz w:val="24"/>
          <w:szCs w:val="24"/>
          <w:highlight w:val="none"/>
        </w:rPr>
        <w:t>24</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2C5A327B">
      <w:pPr>
        <w:pStyle w:val="18"/>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_Toc14749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第五章 响应文件格式</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_Toc14749 \h </w:instrText>
      </w:r>
      <w:r>
        <w:rPr>
          <w:b/>
          <w:bCs/>
          <w:color w:val="auto"/>
          <w:sz w:val="24"/>
          <w:szCs w:val="24"/>
          <w:highlight w:val="none"/>
        </w:rPr>
        <w:fldChar w:fldCharType="separate"/>
      </w:r>
      <w:r>
        <w:rPr>
          <w:b/>
          <w:bCs/>
          <w:color w:val="auto"/>
          <w:sz w:val="24"/>
          <w:szCs w:val="24"/>
          <w:highlight w:val="none"/>
        </w:rPr>
        <w:t>34</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48A2A71A">
      <w:pPr>
        <w:pStyle w:val="18"/>
        <w:tabs>
          <w:tab w:val="right" w:leader="dot" w:pos="8879"/>
        </w:tabs>
        <w:spacing w:line="600" w:lineRule="exact"/>
        <w:rPr>
          <w:color w:val="auto"/>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_Toc26375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第六章 合同文本</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_Toc26375 \h </w:instrText>
      </w:r>
      <w:r>
        <w:rPr>
          <w:b/>
          <w:bCs/>
          <w:color w:val="auto"/>
          <w:sz w:val="24"/>
          <w:szCs w:val="24"/>
          <w:highlight w:val="none"/>
        </w:rPr>
        <w:fldChar w:fldCharType="separate"/>
      </w:r>
      <w:r>
        <w:rPr>
          <w:b/>
          <w:bCs/>
          <w:color w:val="auto"/>
          <w:sz w:val="24"/>
          <w:szCs w:val="24"/>
          <w:highlight w:val="none"/>
        </w:rPr>
        <w:t>57</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032B77AF">
      <w:pPr>
        <w:pStyle w:val="12"/>
        <w:tabs>
          <w:tab w:val="right" w:leader="dot" w:pos="8931"/>
          <w:tab w:val="clear" w:pos="8296"/>
        </w:tabs>
        <w:snapToGrid w:val="0"/>
        <w:spacing w:line="500" w:lineRule="atLeast"/>
        <w:ind w:left="0" w:leftChars="0"/>
        <w:rPr>
          <w:rFonts w:hint="eastAsia" w:ascii="宋体" w:hAnsi="宋体" w:cs="宋体"/>
          <w:b/>
          <w:color w:val="auto"/>
          <w:sz w:val="24"/>
          <w:highlight w:val="none"/>
        </w:rPr>
      </w:pPr>
      <w:r>
        <w:rPr>
          <w:rFonts w:hint="eastAsia" w:ascii="宋体" w:hAnsi="宋体" w:cs="宋体"/>
          <w:color w:val="auto"/>
          <w:highlight w:val="none"/>
        </w:rPr>
        <w:fldChar w:fldCharType="end"/>
      </w:r>
    </w:p>
    <w:p w14:paraId="33CB52EE">
      <w:pPr>
        <w:spacing w:line="400" w:lineRule="exact"/>
        <w:jc w:val="left"/>
        <w:rPr>
          <w:rFonts w:hint="eastAsia" w:ascii="宋体" w:hAnsi="宋体" w:cs="宋体"/>
          <w:b/>
          <w:color w:val="auto"/>
          <w:sz w:val="32"/>
          <w:szCs w:val="32"/>
          <w:highlight w:val="none"/>
        </w:rPr>
      </w:pPr>
    </w:p>
    <w:p w14:paraId="71E3AA31">
      <w:pPr>
        <w:spacing w:line="400" w:lineRule="exact"/>
        <w:jc w:val="center"/>
        <w:rPr>
          <w:rFonts w:hint="eastAsia" w:ascii="宋体" w:hAnsi="宋体" w:cs="宋体"/>
          <w:b/>
          <w:color w:val="auto"/>
          <w:sz w:val="32"/>
          <w:szCs w:val="32"/>
          <w:highlight w:val="none"/>
        </w:rPr>
      </w:pPr>
    </w:p>
    <w:p w14:paraId="65B055D8">
      <w:pPr>
        <w:spacing w:line="400" w:lineRule="exact"/>
        <w:jc w:val="center"/>
        <w:rPr>
          <w:rFonts w:hint="eastAsia" w:ascii="宋体" w:hAnsi="宋体" w:cs="宋体"/>
          <w:b/>
          <w:color w:val="auto"/>
          <w:sz w:val="32"/>
          <w:szCs w:val="32"/>
          <w:highlight w:val="none"/>
        </w:rPr>
      </w:pPr>
    </w:p>
    <w:p w14:paraId="6DE1C54F">
      <w:pPr>
        <w:spacing w:line="400" w:lineRule="exact"/>
        <w:jc w:val="center"/>
        <w:rPr>
          <w:rFonts w:hint="eastAsia" w:ascii="宋体" w:hAnsi="宋体" w:cs="宋体"/>
          <w:b/>
          <w:color w:val="auto"/>
          <w:sz w:val="32"/>
          <w:szCs w:val="32"/>
          <w:highlight w:val="none"/>
        </w:rPr>
      </w:pPr>
    </w:p>
    <w:p w14:paraId="2927A26E">
      <w:pPr>
        <w:spacing w:line="400" w:lineRule="exact"/>
        <w:jc w:val="center"/>
        <w:rPr>
          <w:rFonts w:hint="eastAsia" w:ascii="宋体" w:hAnsi="宋体" w:cs="宋体"/>
          <w:b/>
          <w:color w:val="auto"/>
          <w:sz w:val="32"/>
          <w:szCs w:val="32"/>
          <w:highlight w:val="none"/>
        </w:rPr>
      </w:pPr>
    </w:p>
    <w:p w14:paraId="3A0BED3E">
      <w:pPr>
        <w:spacing w:line="400" w:lineRule="exact"/>
        <w:rPr>
          <w:rFonts w:hint="eastAsia" w:ascii="宋体" w:hAnsi="宋体" w:cs="宋体"/>
          <w:b/>
          <w:color w:val="auto"/>
          <w:sz w:val="32"/>
          <w:szCs w:val="32"/>
          <w:highlight w:val="none"/>
        </w:rPr>
        <w:sectPr>
          <w:footerReference r:id="rId8" w:type="first"/>
          <w:footerReference r:id="rId7" w:type="default"/>
          <w:pgSz w:w="11906" w:h="16838"/>
          <w:pgMar w:top="1440" w:right="1440" w:bottom="1440" w:left="1587" w:header="851" w:footer="992" w:gutter="0"/>
          <w:pgNumType w:start="1"/>
          <w:cols w:space="720" w:num="1"/>
          <w:titlePg/>
          <w:docGrid w:type="lines" w:linePitch="312" w:charSpace="0"/>
        </w:sectPr>
      </w:pPr>
    </w:p>
    <w:p w14:paraId="030DEE4F">
      <w:pPr>
        <w:pStyle w:val="2"/>
        <w:numPr>
          <w:ilvl w:val="0"/>
          <w:numId w:val="2"/>
        </w:numPr>
        <w:spacing w:before="0" w:after="0" w:line="500" w:lineRule="exact"/>
        <w:jc w:val="center"/>
        <w:rPr>
          <w:rFonts w:hint="eastAsia" w:ascii="宋体" w:hAnsi="宋体" w:cs="宋体"/>
          <w:color w:val="auto"/>
          <w:highlight w:val="none"/>
        </w:rPr>
      </w:pPr>
      <w:bookmarkStart w:id="1" w:name="_Toc74323456"/>
      <w:bookmarkStart w:id="2" w:name="_Toc15907"/>
      <w:bookmarkStart w:id="3" w:name="_Toc20289"/>
      <w:r>
        <w:rPr>
          <w:rFonts w:hint="eastAsia" w:ascii="宋体" w:hAnsi="宋体" w:cs="宋体"/>
          <w:color w:val="auto"/>
          <w:highlight w:val="none"/>
        </w:rPr>
        <w:t>竞争性磋商公告</w:t>
      </w:r>
      <w:bookmarkEnd w:id="1"/>
      <w:bookmarkEnd w:id="2"/>
      <w:bookmarkEnd w:id="3"/>
    </w:p>
    <w:p w14:paraId="08F4C87A">
      <w:pPr>
        <w:widowControl/>
        <w:wordWrap w:val="0"/>
        <w:rPr>
          <w:rFonts w:hint="eastAsia" w:ascii="宋体" w:hAnsi="宋体" w:cs="宋体"/>
          <w:color w:val="auto"/>
          <w:highlight w:val="none"/>
        </w:rPr>
      </w:pPr>
    </w:p>
    <w:p w14:paraId="6B52129F">
      <w:pPr>
        <w:widowControl/>
        <w:wordWrap w:val="0"/>
        <w:jc w:val="center"/>
        <w:rPr>
          <w:rFonts w:hint="eastAsia" w:ascii="宋体" w:hAnsi="宋体" w:cs="宋体"/>
          <w:color w:val="auto"/>
          <w:highlight w:val="none"/>
        </w:rPr>
      </w:pPr>
      <w:r>
        <w:rPr>
          <w:rFonts w:hint="eastAsia" w:ascii="宋体" w:hAnsi="宋体" w:cs="宋体"/>
          <w:b/>
          <w:bCs/>
          <w:color w:val="auto"/>
          <w:w w:val="95"/>
          <w:sz w:val="30"/>
          <w:szCs w:val="30"/>
          <w:highlight w:val="none"/>
        </w:rPr>
        <w:t>广西建设工程机电设备招标中心有限公司关于</w:t>
      </w:r>
      <w:r>
        <w:rPr>
          <w:rFonts w:hint="eastAsia" w:ascii="宋体" w:hAnsi="宋体" w:cs="宋体"/>
          <w:b/>
          <w:bCs/>
          <w:color w:val="auto"/>
          <w:w w:val="95"/>
          <w:sz w:val="30"/>
          <w:szCs w:val="30"/>
          <w:highlight w:val="none"/>
          <w:lang w:eastAsia="zh-CN"/>
        </w:rPr>
        <w:t>应急救援学院专业能力提升综合项目（重</w:t>
      </w:r>
      <w:r>
        <w:rPr>
          <w:rFonts w:hint="eastAsia" w:ascii="宋体" w:hAnsi="宋体" w:cs="宋体"/>
          <w:b/>
          <w:bCs/>
          <w:color w:val="auto"/>
          <w:w w:val="95"/>
          <w:sz w:val="30"/>
          <w:szCs w:val="30"/>
          <w:highlight w:val="none"/>
          <w:lang w:val="en-US" w:eastAsia="zh-CN"/>
        </w:rPr>
        <w:t>2</w:t>
      </w:r>
      <w:r>
        <w:rPr>
          <w:rFonts w:hint="eastAsia" w:ascii="宋体" w:hAnsi="宋体" w:cs="宋体"/>
          <w:b/>
          <w:bCs/>
          <w:color w:val="auto"/>
          <w:w w:val="95"/>
          <w:sz w:val="30"/>
          <w:szCs w:val="30"/>
          <w:highlight w:val="none"/>
          <w:lang w:eastAsia="zh-CN"/>
        </w:rPr>
        <w:t>）</w:t>
      </w:r>
      <w:r>
        <w:rPr>
          <w:rFonts w:hint="eastAsia" w:ascii="宋体" w:hAnsi="宋体" w:cs="宋体"/>
          <w:b/>
          <w:bCs/>
          <w:color w:val="auto"/>
          <w:w w:val="95"/>
          <w:sz w:val="30"/>
          <w:szCs w:val="30"/>
          <w:highlight w:val="none"/>
        </w:rPr>
        <w:t>竞争性磋商公告</w:t>
      </w:r>
    </w:p>
    <w:p w14:paraId="26761639">
      <w:pPr>
        <w:widowControl/>
        <w:wordWrap w:val="0"/>
        <w:rPr>
          <w:rFonts w:hint="eastAsia" w:ascii="宋体" w:hAnsi="宋体" w:cs="宋体"/>
          <w:color w:val="auto"/>
          <w:highlight w:val="none"/>
        </w:rPr>
      </w:pPr>
    </w:p>
    <w:p w14:paraId="39B8F55C">
      <w:pPr>
        <w:widowControl/>
        <w:pBdr>
          <w:top w:val="single" w:color="auto" w:sz="4" w:space="1"/>
          <w:left w:val="single" w:color="auto" w:sz="4" w:space="4"/>
          <w:bottom w:val="single" w:color="auto" w:sz="4" w:space="1"/>
          <w:right w:val="single" w:color="auto" w:sz="4" w:space="4"/>
        </w:pBdr>
        <w:wordWrap w:val="0"/>
        <w:spacing w:line="360" w:lineRule="auto"/>
        <w:ind w:firstLine="420" w:firstLineChars="200"/>
        <w:rPr>
          <w:rFonts w:hint="eastAsia" w:ascii="宋体" w:hAnsi="宋体" w:cs="宋体"/>
          <w:color w:val="auto"/>
          <w:szCs w:val="21"/>
          <w:highlight w:val="none"/>
        </w:rPr>
      </w:pPr>
      <w:bookmarkStart w:id="4" w:name="_Hlk37430271"/>
      <w:r>
        <w:rPr>
          <w:rFonts w:hint="eastAsia" w:ascii="宋体" w:hAnsi="宋体" w:cs="宋体"/>
          <w:color w:val="auto"/>
          <w:szCs w:val="21"/>
          <w:highlight w:val="none"/>
        </w:rPr>
        <w:t>项目概况</w:t>
      </w:r>
    </w:p>
    <w:p w14:paraId="0C3328D2">
      <w:pPr>
        <w:widowControl/>
        <w:pBdr>
          <w:top w:val="single" w:color="auto" w:sz="4" w:space="1"/>
          <w:left w:val="single" w:color="auto" w:sz="4" w:space="4"/>
          <w:bottom w:val="single" w:color="auto" w:sz="4" w:space="1"/>
          <w:right w:val="single" w:color="auto" w:sz="4" w:space="4"/>
        </w:pBd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应急救援学院专业能力提升综合项目（重</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的潜在供应商应在“广西政府采购云”平台(https://www.gcy.zfcg.gxzf.gov.cn/)获取（下载）竞争性磋商文件，并于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9月4日</w:t>
      </w:r>
      <w:r>
        <w:rPr>
          <w:rFonts w:hint="eastAsia" w:ascii="宋体" w:hAnsi="宋体" w:cs="宋体"/>
          <w:bCs/>
          <w:color w:val="auto"/>
          <w:szCs w:val="21"/>
          <w:highlight w:val="none"/>
          <w:u w:val="single"/>
        </w:rPr>
        <w:t>9时</w:t>
      </w:r>
      <w:r>
        <w:rPr>
          <w:rFonts w:hint="eastAsia" w:ascii="宋体" w:hAnsi="宋体" w:cs="宋体"/>
          <w:bCs/>
          <w:color w:val="auto"/>
          <w:szCs w:val="21"/>
          <w:highlight w:val="none"/>
          <w:u w:val="single"/>
          <w:lang w:val="en-US" w:eastAsia="zh-CN"/>
        </w:rPr>
        <w:t>30</w:t>
      </w:r>
      <w:r>
        <w:rPr>
          <w:rFonts w:hint="eastAsia" w:ascii="宋体" w:hAnsi="宋体" w:cs="宋体"/>
          <w:bCs/>
          <w:color w:val="auto"/>
          <w:szCs w:val="21"/>
          <w:highlight w:val="none"/>
          <w:u w:val="single"/>
        </w:rPr>
        <w:t>分（</w:t>
      </w:r>
      <w:r>
        <w:rPr>
          <w:rFonts w:hint="eastAsia" w:ascii="宋体" w:hAnsi="宋体" w:cs="宋体"/>
          <w:bCs/>
          <w:color w:val="auto"/>
          <w:szCs w:val="21"/>
          <w:highlight w:val="none"/>
        </w:rPr>
        <w:t>北京时间）前提交</w:t>
      </w:r>
      <w:r>
        <w:rPr>
          <w:rFonts w:hint="eastAsia" w:ascii="宋体" w:hAnsi="宋体" w:cs="宋体"/>
          <w:color w:val="auto"/>
          <w:szCs w:val="21"/>
          <w:highlight w:val="none"/>
        </w:rPr>
        <w:t>响应</w:t>
      </w:r>
      <w:r>
        <w:rPr>
          <w:rFonts w:hint="eastAsia" w:ascii="宋体" w:hAnsi="宋体" w:cs="宋体"/>
          <w:bCs/>
          <w:color w:val="auto"/>
          <w:szCs w:val="21"/>
          <w:highlight w:val="none"/>
        </w:rPr>
        <w:t>文件</w:t>
      </w:r>
      <w:r>
        <w:rPr>
          <w:rFonts w:hint="eastAsia" w:ascii="宋体" w:hAnsi="宋体" w:cs="宋体"/>
          <w:color w:val="auto"/>
          <w:szCs w:val="21"/>
          <w:highlight w:val="none"/>
        </w:rPr>
        <w:t>。</w:t>
      </w:r>
    </w:p>
    <w:p w14:paraId="2A9B1C2F">
      <w:pPr>
        <w:widowControl/>
        <w:wordWrap w:val="0"/>
        <w:spacing w:line="360" w:lineRule="auto"/>
        <w:ind w:firstLine="354" w:firstLineChars="147"/>
        <w:rPr>
          <w:rFonts w:hint="eastAsia" w:ascii="宋体" w:hAnsi="宋体" w:cs="宋体"/>
          <w:b/>
          <w:color w:val="auto"/>
          <w:sz w:val="24"/>
          <w:highlight w:val="none"/>
        </w:rPr>
      </w:pPr>
      <w:bookmarkStart w:id="5" w:name="_Toc28359012"/>
      <w:bookmarkStart w:id="6" w:name="_Toc71365905"/>
      <w:bookmarkStart w:id="7" w:name="_Toc35393629"/>
      <w:bookmarkStart w:id="8" w:name="_Toc44229878"/>
      <w:bookmarkStart w:id="9" w:name="_Toc35393798"/>
      <w:bookmarkStart w:id="10" w:name="_Toc28359089"/>
      <w:r>
        <w:rPr>
          <w:rFonts w:hint="eastAsia" w:ascii="宋体" w:hAnsi="宋体" w:cs="宋体"/>
          <w:b/>
          <w:color w:val="auto"/>
          <w:sz w:val="24"/>
          <w:highlight w:val="none"/>
        </w:rPr>
        <w:t>一、项目基本情况</w:t>
      </w:r>
      <w:bookmarkEnd w:id="5"/>
      <w:bookmarkEnd w:id="6"/>
      <w:bookmarkEnd w:id="7"/>
      <w:bookmarkEnd w:id="8"/>
      <w:bookmarkEnd w:id="9"/>
      <w:bookmarkEnd w:id="10"/>
    </w:p>
    <w:p w14:paraId="018CFB65">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项目编号：GXZC2026-C3-002736-JGJD</w:t>
      </w:r>
    </w:p>
    <w:p w14:paraId="5A6516AC">
      <w:pPr>
        <w:widowControl/>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应急救援学院专业能力提升综合项目（重</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p>
    <w:p w14:paraId="7FE76CB5">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294FEB79">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w:t>
      </w:r>
      <w:r>
        <w:rPr>
          <w:rFonts w:hint="eastAsia" w:ascii="宋体" w:hAnsi="宋体" w:cs="宋体"/>
          <w:color w:val="auto"/>
          <w:szCs w:val="21"/>
          <w:highlight w:val="none"/>
          <w:lang w:val="en-US" w:eastAsia="zh-CN"/>
        </w:rPr>
        <w:t>1453958.00元（其中A分标：986096.00元；B分标：392862.00元；C分标：75000.00元）</w:t>
      </w:r>
    </w:p>
    <w:p w14:paraId="7C6D6499">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color w:val="auto"/>
          <w:szCs w:val="21"/>
          <w:highlight w:val="none"/>
          <w:lang w:val="en-US" w:eastAsia="zh-CN"/>
        </w:rPr>
        <w:t>1453958.00元（其中A分标：986096.00元；B分标：392862.00元；C分标：75000.00元）</w:t>
      </w:r>
    </w:p>
    <w:p w14:paraId="16CA9BF1">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E97483C">
      <w:pPr>
        <w:widowControl/>
        <w:wordWrap w:val="0"/>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标项一</w:t>
      </w:r>
      <w:r>
        <w:rPr>
          <w:rFonts w:hint="eastAsia" w:ascii="宋体" w:hAnsi="宋体" w:cs="宋体"/>
          <w:color w:val="auto"/>
          <w:szCs w:val="21"/>
          <w:highlight w:val="none"/>
        </w:rPr>
        <w:t> </w:t>
      </w:r>
    </w:p>
    <w:p w14:paraId="0D443C39">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标项名称：应急救援学院专业能力提升综合项目</w:t>
      </w:r>
    </w:p>
    <w:p w14:paraId="37C6AED1">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数量：1</w:t>
      </w:r>
    </w:p>
    <w:p w14:paraId="417133BC">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预算金额（元）：986096.00元</w:t>
      </w:r>
    </w:p>
    <w:p w14:paraId="605C613E">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简要规格描述或项目基本概况介绍、用途：A分标为应急救援学院专业能力提升综合项目，</w:t>
      </w:r>
      <w:r>
        <w:rPr>
          <w:rFonts w:hint="eastAsia" w:ascii="宋体" w:hAnsi="宋体" w:cs="宋体"/>
          <w:color w:val="auto"/>
          <w:szCs w:val="21"/>
          <w:highlight w:val="none"/>
          <w:lang w:eastAsia="zh-CN"/>
        </w:rPr>
        <w:t>购置</w:t>
      </w:r>
      <w:r>
        <w:rPr>
          <w:rFonts w:hint="eastAsia" w:ascii="宋体" w:hAnsi="宋体" w:cs="宋体"/>
          <w:color w:val="auto"/>
          <w:szCs w:val="21"/>
          <w:highlight w:val="none"/>
        </w:rPr>
        <w:t>工业级无人机、机器狗、智能救援头盔及AI决策系统服务，构建实战化竞赛环境，支撑3-4个国赛赛项的服务。如需进一步了解详细内容，详见采购文件。</w:t>
      </w:r>
    </w:p>
    <w:p w14:paraId="4915655D">
      <w:pPr>
        <w:widowControl/>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最高限价（如有）：986096.00</w:t>
      </w:r>
      <w:r>
        <w:rPr>
          <w:rFonts w:hint="eastAsia" w:ascii="宋体" w:hAnsi="宋体" w:cs="宋体"/>
          <w:color w:val="auto"/>
          <w:szCs w:val="21"/>
          <w:highlight w:val="none"/>
          <w:lang w:eastAsia="zh-CN"/>
        </w:rPr>
        <w:t>元</w:t>
      </w:r>
    </w:p>
    <w:p w14:paraId="48D9DA3E">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合同履行期限：</w:t>
      </w:r>
      <w:r>
        <w:rPr>
          <w:rFonts w:hint="eastAsia" w:ascii="宋体" w:hAnsi="宋体" w:cs="宋体"/>
          <w:color w:val="auto"/>
          <w:szCs w:val="21"/>
          <w:highlight w:val="none"/>
          <w:lang w:val="en-US" w:eastAsia="zh-CN"/>
        </w:rPr>
        <w:t>服务周期为一年，自合同签订之日起3个月内完成交付并通过验收，正常投入使用</w:t>
      </w:r>
      <w:r>
        <w:rPr>
          <w:rFonts w:hint="eastAsia" w:ascii="宋体" w:hAnsi="宋体" w:cs="宋体"/>
          <w:color w:val="auto"/>
          <w:szCs w:val="21"/>
          <w:highlight w:val="none"/>
        </w:rPr>
        <w:t>。</w:t>
      </w:r>
    </w:p>
    <w:p w14:paraId="52CF3B46">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本标项（否）接受联合体投标。</w:t>
      </w:r>
    </w:p>
    <w:p w14:paraId="79B885E0">
      <w:pPr>
        <w:widowControl/>
        <w:wordWrap w:val="0"/>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标项二</w:t>
      </w:r>
      <w:r>
        <w:rPr>
          <w:rFonts w:hint="eastAsia" w:ascii="宋体" w:hAnsi="宋体" w:cs="宋体"/>
          <w:color w:val="auto"/>
          <w:szCs w:val="21"/>
          <w:highlight w:val="none"/>
        </w:rPr>
        <w:t> </w:t>
      </w:r>
    </w:p>
    <w:p w14:paraId="7120A936">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标项名称：省级学生技能比赛的承办项目</w:t>
      </w:r>
    </w:p>
    <w:p w14:paraId="25C407CD">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数量：1</w:t>
      </w:r>
    </w:p>
    <w:p w14:paraId="2286372A">
      <w:pPr>
        <w:widowControl/>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预算金额（元）：392862.00</w:t>
      </w:r>
      <w:r>
        <w:rPr>
          <w:rFonts w:hint="eastAsia" w:ascii="宋体" w:hAnsi="宋体" w:cs="宋体"/>
          <w:color w:val="auto"/>
          <w:szCs w:val="21"/>
          <w:highlight w:val="none"/>
          <w:lang w:eastAsia="zh-CN"/>
        </w:rPr>
        <w:t>元</w:t>
      </w:r>
    </w:p>
    <w:p w14:paraId="58B76FEC">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B分标为省级学生技能比赛的承办项目，购置2026年消防灭火系统安装与调试技能大赛和第五届广西大学生应急救援技术大赛竞赛承办服务。如需进一步了解详细内容，详见采购文件。</w:t>
      </w:r>
    </w:p>
    <w:p w14:paraId="173FB208">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最高限价（如有）：392862.00元</w:t>
      </w:r>
    </w:p>
    <w:p w14:paraId="349067FD">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合同履行期限：</w:t>
      </w:r>
      <w:r>
        <w:rPr>
          <w:rFonts w:hint="eastAsia" w:ascii="宋体" w:hAnsi="宋体" w:cs="宋体"/>
          <w:color w:val="auto"/>
          <w:szCs w:val="21"/>
          <w:highlight w:val="none"/>
          <w:lang w:val="en-US" w:eastAsia="zh-CN"/>
        </w:rPr>
        <w:t>服务期限6个月，具体以竞赛下发通知文件起至完成竞赛承办服务为止，签订合同后至项目验收完成（详见合同）</w:t>
      </w:r>
      <w:r>
        <w:rPr>
          <w:rFonts w:hint="eastAsia" w:ascii="宋体" w:hAnsi="宋体" w:cs="宋体"/>
          <w:color w:val="auto"/>
          <w:szCs w:val="21"/>
          <w:highlight w:val="none"/>
        </w:rPr>
        <w:t>。</w:t>
      </w:r>
    </w:p>
    <w:p w14:paraId="30A7B80B">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本标项（否）接受联合体投标。</w:t>
      </w:r>
    </w:p>
    <w:p w14:paraId="786ED6E1">
      <w:pPr>
        <w:widowControl/>
        <w:wordWrap w:val="0"/>
        <w:spacing w:line="360" w:lineRule="auto"/>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标项</w:t>
      </w:r>
      <w:r>
        <w:rPr>
          <w:rFonts w:hint="eastAsia" w:ascii="宋体" w:hAnsi="宋体" w:cs="宋体"/>
          <w:b/>
          <w:bCs/>
          <w:color w:val="auto"/>
          <w:szCs w:val="21"/>
          <w:highlight w:val="none"/>
          <w:lang w:eastAsia="zh-CN"/>
        </w:rPr>
        <w:t>三</w:t>
      </w:r>
      <w:r>
        <w:rPr>
          <w:rFonts w:hint="eastAsia" w:ascii="宋体" w:hAnsi="宋体" w:cs="宋体"/>
          <w:color w:val="auto"/>
          <w:szCs w:val="21"/>
          <w:highlight w:val="none"/>
        </w:rPr>
        <w:t> </w:t>
      </w:r>
    </w:p>
    <w:p w14:paraId="3E166F48">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标项名称：面向东盟职业教育资源培育项目</w:t>
      </w:r>
    </w:p>
    <w:p w14:paraId="1287A5A9">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数量：1</w:t>
      </w:r>
    </w:p>
    <w:p w14:paraId="4F9CE527">
      <w:pPr>
        <w:widowControl/>
        <w:wordWrap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预算金额（元）：75000.00</w:t>
      </w:r>
      <w:r>
        <w:rPr>
          <w:rFonts w:hint="eastAsia" w:ascii="宋体" w:hAnsi="宋体" w:cs="宋体"/>
          <w:color w:val="auto"/>
          <w:szCs w:val="21"/>
          <w:highlight w:val="none"/>
          <w:lang w:eastAsia="zh-CN"/>
        </w:rPr>
        <w:t>元</w:t>
      </w:r>
    </w:p>
    <w:p w14:paraId="14EBCAE3">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val="en-US" w:eastAsia="zh-CN"/>
        </w:rPr>
        <w:t>C</w:t>
      </w:r>
      <w:r>
        <w:rPr>
          <w:rFonts w:hint="eastAsia" w:ascii="宋体" w:hAnsi="宋体" w:cs="宋体"/>
          <w:color w:val="auto"/>
          <w:szCs w:val="21"/>
          <w:highlight w:val="none"/>
        </w:rPr>
        <w:t>分标为面向东盟职业教育资源培育项目，购置内容规范、图文标准、理实一体的《建筑防火设计》中英双语教材开发服务。如需进一步了解详细内容，详见采购文件。</w:t>
      </w:r>
    </w:p>
    <w:p w14:paraId="11483A5E">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最高限价（如有）：75000.00元</w:t>
      </w:r>
    </w:p>
    <w:p w14:paraId="3BF252CD">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合同履行期限：</w:t>
      </w:r>
      <w:r>
        <w:rPr>
          <w:rFonts w:hint="eastAsia" w:ascii="宋体" w:hAnsi="宋体" w:cs="宋体"/>
          <w:color w:val="auto"/>
          <w:szCs w:val="21"/>
          <w:highlight w:val="none"/>
          <w:lang w:val="en-US" w:eastAsia="zh-CN"/>
        </w:rPr>
        <w:t>服务期限为1年，签订合同后至项目验收完成（详见合同）</w:t>
      </w:r>
      <w:r>
        <w:rPr>
          <w:rFonts w:hint="eastAsia" w:ascii="宋体" w:hAnsi="宋体" w:cs="宋体"/>
          <w:color w:val="auto"/>
          <w:szCs w:val="21"/>
          <w:highlight w:val="none"/>
        </w:rPr>
        <w:t>。</w:t>
      </w:r>
    </w:p>
    <w:p w14:paraId="68B65746">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本标项（否）接受联合体投标。</w:t>
      </w:r>
    </w:p>
    <w:p w14:paraId="0D654C86">
      <w:pPr>
        <w:widowControl/>
        <w:wordWrap w:val="0"/>
        <w:spacing w:line="360" w:lineRule="auto"/>
        <w:ind w:firstLine="354" w:firstLineChars="147"/>
        <w:rPr>
          <w:rFonts w:hint="eastAsia" w:ascii="宋体" w:hAnsi="宋体" w:cs="宋体"/>
          <w:b/>
          <w:color w:val="auto"/>
          <w:sz w:val="24"/>
          <w:highlight w:val="none"/>
        </w:rPr>
      </w:pPr>
      <w:bookmarkStart w:id="11" w:name="_Toc35393630"/>
      <w:bookmarkStart w:id="12" w:name="_Toc28359090"/>
      <w:bookmarkStart w:id="13" w:name="_Toc44229879"/>
      <w:bookmarkStart w:id="14" w:name="_Toc71365906"/>
      <w:bookmarkStart w:id="15" w:name="_Toc28359013"/>
      <w:bookmarkStart w:id="16" w:name="_Toc35393799"/>
      <w:r>
        <w:rPr>
          <w:rFonts w:hint="eastAsia" w:ascii="宋体" w:hAnsi="宋体" w:cs="宋体"/>
          <w:b/>
          <w:color w:val="auto"/>
          <w:sz w:val="24"/>
          <w:highlight w:val="none"/>
        </w:rPr>
        <w:t>二、申请人的资格条件：</w:t>
      </w:r>
      <w:bookmarkEnd w:id="11"/>
      <w:bookmarkEnd w:id="12"/>
      <w:bookmarkEnd w:id="13"/>
      <w:bookmarkEnd w:id="14"/>
      <w:bookmarkEnd w:id="15"/>
      <w:bookmarkEnd w:id="16"/>
    </w:p>
    <w:p w14:paraId="687E2E03">
      <w:pPr>
        <w:widowControl/>
        <w:wordWrap w:val="0"/>
        <w:spacing w:line="360" w:lineRule="auto"/>
        <w:ind w:firstLine="420" w:firstLineChars="200"/>
        <w:rPr>
          <w:rFonts w:hint="eastAsia" w:ascii="宋体" w:hAnsi="宋体" w:cs="宋体"/>
          <w:color w:val="auto"/>
          <w:szCs w:val="21"/>
          <w:highlight w:val="none"/>
        </w:rPr>
      </w:pPr>
      <w:bookmarkStart w:id="17" w:name="_Toc35393800"/>
      <w:bookmarkStart w:id="18" w:name="_Toc28359014"/>
      <w:bookmarkStart w:id="19" w:name="_Toc35393631"/>
      <w:bookmarkStart w:id="20" w:name="_Toc44229880"/>
      <w:bookmarkStart w:id="21" w:name="_Toc28359091"/>
      <w:r>
        <w:rPr>
          <w:rFonts w:hint="eastAsia" w:ascii="宋体" w:hAnsi="宋体" w:cs="宋体"/>
          <w:color w:val="auto"/>
          <w:szCs w:val="21"/>
          <w:highlight w:val="none"/>
        </w:rPr>
        <w:t>1.满足《中华人民共和国政府采购法》第二十二条规定；</w:t>
      </w:r>
    </w:p>
    <w:p w14:paraId="62FFB247">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0AEBCA88">
      <w:pPr>
        <w:widowControl/>
        <w:wordWrap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专门面向中小企业采购的项目（供应商应为中小微企业、监狱企业、残疾人福利性单位</w:t>
      </w:r>
      <w:r>
        <w:rPr>
          <w:rFonts w:hint="eastAsia" w:ascii="宋体" w:hAnsi="宋体"/>
          <w:color w:val="auto"/>
          <w:szCs w:val="21"/>
          <w:highlight w:val="none"/>
          <w:lang w:eastAsia="zh-CN"/>
        </w:rPr>
        <w:t>）</w:t>
      </w:r>
    </w:p>
    <w:p w14:paraId="1DD1F3F3">
      <w:pPr>
        <w:widowControl/>
        <w:wordWrap w:val="0"/>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非专门面向中小企业采购的项目</w:t>
      </w:r>
    </w:p>
    <w:p w14:paraId="79260AFF">
      <w:pPr>
        <w:widowControl/>
        <w:numPr>
          <w:ilvl w:val="0"/>
          <w:numId w:val="3"/>
        </w:num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本项目的特定资格要求：无</w:t>
      </w:r>
    </w:p>
    <w:p w14:paraId="1464D38A">
      <w:pPr>
        <w:widowControl/>
        <w:numPr>
          <w:ilvl w:val="0"/>
          <w:numId w:val="0"/>
        </w:numPr>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4.本项目的特定条件：无。</w:t>
      </w:r>
    </w:p>
    <w:p w14:paraId="5C4D9F69">
      <w:pPr>
        <w:widowControl/>
        <w:wordWrap w:val="0"/>
        <w:spacing w:line="360" w:lineRule="auto"/>
        <w:ind w:firstLine="354" w:firstLineChars="147"/>
        <w:rPr>
          <w:rFonts w:hint="eastAsia" w:ascii="宋体" w:hAnsi="宋体" w:cs="宋体"/>
          <w:b/>
          <w:color w:val="auto"/>
          <w:sz w:val="24"/>
          <w:highlight w:val="none"/>
        </w:rPr>
      </w:pPr>
      <w:bookmarkStart w:id="22" w:name="_Toc71365907"/>
      <w:r>
        <w:rPr>
          <w:rFonts w:hint="eastAsia" w:ascii="宋体" w:hAnsi="宋体" w:cs="宋体"/>
          <w:b/>
          <w:color w:val="auto"/>
          <w:sz w:val="24"/>
          <w:highlight w:val="none"/>
        </w:rPr>
        <w:t>三、获取竞争性磋商文件</w:t>
      </w:r>
      <w:bookmarkEnd w:id="17"/>
      <w:bookmarkEnd w:id="18"/>
      <w:bookmarkEnd w:id="19"/>
      <w:bookmarkEnd w:id="20"/>
      <w:bookmarkEnd w:id="21"/>
      <w:bookmarkEnd w:id="22"/>
    </w:p>
    <w:p w14:paraId="0131C507">
      <w:pPr>
        <w:widowControl/>
        <w:wordWrap w:val="0"/>
        <w:spacing w:line="360" w:lineRule="auto"/>
        <w:ind w:firstLine="420" w:firstLineChars="200"/>
        <w:rPr>
          <w:rFonts w:hint="eastAsia" w:ascii="宋体" w:hAnsi="宋体" w:eastAsia="宋体" w:cs="宋体"/>
          <w:bCs/>
          <w:color w:val="auto"/>
          <w:kern w:val="0"/>
          <w:szCs w:val="21"/>
          <w:highlight w:val="none"/>
          <w:lang w:eastAsia="zh-CN"/>
        </w:rPr>
      </w:pPr>
      <w:bookmarkStart w:id="23" w:name="_Toc28359015"/>
      <w:bookmarkStart w:id="24" w:name="_Toc35393632"/>
      <w:bookmarkStart w:id="25" w:name="_Toc28359092"/>
      <w:bookmarkStart w:id="26" w:name="_Toc44229881"/>
      <w:bookmarkStart w:id="27" w:name="_Toc35393801"/>
      <w:r>
        <w:rPr>
          <w:rFonts w:hint="eastAsia" w:ascii="宋体" w:hAnsi="宋体" w:cs="宋体"/>
          <w:bCs/>
          <w:color w:val="auto"/>
          <w:kern w:val="0"/>
          <w:szCs w:val="21"/>
          <w:highlight w:val="none"/>
        </w:rPr>
        <w:t>时间：</w:t>
      </w:r>
      <w:r>
        <w:rPr>
          <w:rFonts w:hint="eastAsia" w:ascii="宋体" w:hAnsi="宋体" w:cs="宋体"/>
          <w:bCs/>
          <w:color w:val="auto"/>
          <w:szCs w:val="21"/>
          <w:highlight w:val="none"/>
          <w:u w:val="single"/>
        </w:rPr>
        <w:t>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8月24日</w:t>
      </w:r>
      <w:r>
        <w:rPr>
          <w:rFonts w:hint="eastAsia" w:ascii="宋体" w:hAnsi="宋体" w:cs="宋体"/>
          <w:bCs/>
          <w:color w:val="auto"/>
          <w:kern w:val="0"/>
          <w:szCs w:val="21"/>
          <w:highlight w:val="none"/>
        </w:rPr>
        <w:t>至</w:t>
      </w:r>
      <w:r>
        <w:rPr>
          <w:rFonts w:hint="eastAsia" w:ascii="宋体" w:hAnsi="宋体" w:cs="宋体"/>
          <w:bCs/>
          <w:color w:val="auto"/>
          <w:szCs w:val="21"/>
          <w:highlight w:val="none"/>
          <w:u w:val="single"/>
          <w:lang w:eastAsia="zh-CN"/>
        </w:rPr>
        <w:t>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lang w:eastAsia="zh-CN"/>
        </w:rPr>
        <w:t>年</w:t>
      </w:r>
      <w:r>
        <w:rPr>
          <w:rFonts w:hint="eastAsia" w:ascii="宋体" w:hAnsi="宋体" w:cs="宋体"/>
          <w:bCs/>
          <w:color w:val="auto"/>
          <w:szCs w:val="21"/>
          <w:highlight w:val="none"/>
          <w:u w:val="single"/>
          <w:lang w:val="en-US" w:eastAsia="zh-CN"/>
        </w:rPr>
        <w:t>8月31</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eastAsia="zh-CN"/>
        </w:rPr>
        <w:t>，</w:t>
      </w:r>
      <w:r>
        <w:rPr>
          <w:rFonts w:hint="eastAsia" w:ascii="宋体" w:hAnsi="宋体" w:cs="宋体"/>
          <w:bCs/>
          <w:color w:val="auto"/>
          <w:kern w:val="0"/>
          <w:szCs w:val="21"/>
          <w:highlight w:val="none"/>
        </w:rPr>
        <w:t>每天上午00:00至11:59，下午12:00至23:59（北京时间，法定节假日除外）</w:t>
      </w:r>
    </w:p>
    <w:p w14:paraId="54950C19">
      <w:pPr>
        <w:widowControl/>
        <w:wordWrap w:val="0"/>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rPr>
        <w:t>获取地点</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网址</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：“广西政府采购云”平台</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https://www.gcy.zfcg.gxzf.gov.cn/)</w:t>
      </w:r>
    </w:p>
    <w:p w14:paraId="0E9FA39C">
      <w:pPr>
        <w:widowControl/>
        <w:wordWrap w:val="0"/>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获取方式</w:t>
      </w:r>
      <w:r>
        <w:rPr>
          <w:rFonts w:hint="eastAsia" w:ascii="宋体" w:hAnsi="宋体" w:cs="宋体"/>
          <w:bCs/>
          <w:color w:val="auto"/>
          <w:kern w:val="0"/>
          <w:szCs w:val="21"/>
          <w:highlight w:val="none"/>
          <w:lang w:eastAsia="zh-CN"/>
        </w:rPr>
        <w:t>：</w:t>
      </w:r>
      <w:r>
        <w:rPr>
          <w:rFonts w:hint="eastAsia" w:ascii="宋体" w:hAnsi="宋体" w:eastAsia="宋体" w:cs="宋体"/>
          <w:bCs/>
          <w:color w:val="auto"/>
          <w:kern w:val="0"/>
          <w:szCs w:val="21"/>
          <w:highlight w:val="none"/>
        </w:rPr>
        <w:t>网上下载，供应商登录广西政府采购云平台（https://www.gcy.zfcg.gxzf.gov.cn/）在线申请获取采购文件（进入“项目采购”应用，在获取采购文件菜单中选择项目，申请获取采购文件）。</w:t>
      </w:r>
    </w:p>
    <w:p w14:paraId="0B974440">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kern w:val="0"/>
          <w:szCs w:val="21"/>
          <w:highlight w:val="none"/>
        </w:rPr>
        <w:t>售价（元）：0元。</w:t>
      </w:r>
    </w:p>
    <w:p w14:paraId="3AEB2A50">
      <w:pPr>
        <w:widowControl/>
        <w:wordWrap w:val="0"/>
        <w:spacing w:line="360" w:lineRule="auto"/>
        <w:ind w:firstLine="354" w:firstLineChars="147"/>
        <w:rPr>
          <w:rFonts w:hint="eastAsia" w:ascii="宋体" w:hAnsi="宋体" w:cs="宋体"/>
          <w:b/>
          <w:color w:val="auto"/>
          <w:sz w:val="24"/>
          <w:highlight w:val="none"/>
        </w:rPr>
      </w:pPr>
      <w:bookmarkStart w:id="28" w:name="_Toc71365908"/>
      <w:r>
        <w:rPr>
          <w:rFonts w:hint="eastAsia" w:ascii="宋体" w:hAnsi="宋体" w:cs="宋体"/>
          <w:b/>
          <w:color w:val="auto"/>
          <w:sz w:val="24"/>
          <w:highlight w:val="none"/>
        </w:rPr>
        <w:t>四、响应文件提交</w:t>
      </w:r>
      <w:bookmarkEnd w:id="23"/>
      <w:bookmarkEnd w:id="24"/>
      <w:bookmarkEnd w:id="25"/>
      <w:bookmarkEnd w:id="26"/>
      <w:bookmarkEnd w:id="27"/>
      <w:bookmarkEnd w:id="28"/>
    </w:p>
    <w:p w14:paraId="1C9DFA7A">
      <w:pPr>
        <w:widowControl/>
        <w:wordWrap w:val="0"/>
        <w:spacing w:line="360" w:lineRule="auto"/>
        <w:ind w:firstLine="420" w:firstLineChars="200"/>
        <w:rPr>
          <w:rFonts w:hint="eastAsia" w:ascii="宋体" w:hAnsi="宋体" w:cs="宋体"/>
          <w:color w:val="auto"/>
          <w:szCs w:val="21"/>
          <w:highlight w:val="none"/>
          <w:u w:val="single"/>
        </w:rPr>
      </w:pPr>
      <w:bookmarkStart w:id="29" w:name="_Toc35393633"/>
      <w:bookmarkStart w:id="30" w:name="_Toc35393802"/>
      <w:bookmarkStart w:id="31" w:name="_Toc28359016"/>
      <w:bookmarkStart w:id="32" w:name="_Toc44229882"/>
      <w:bookmarkStart w:id="33" w:name="_Toc28359093"/>
      <w:r>
        <w:rPr>
          <w:rFonts w:hint="eastAsia" w:ascii="宋体" w:hAnsi="宋体" w:cs="宋体"/>
          <w:color w:val="auto"/>
          <w:szCs w:val="21"/>
          <w:highlight w:val="none"/>
        </w:rPr>
        <w:t>截止时间：</w:t>
      </w:r>
      <w:r>
        <w:rPr>
          <w:rFonts w:hint="eastAsia" w:ascii="宋体" w:hAnsi="宋体" w:cs="宋体"/>
          <w:bCs/>
          <w:color w:val="auto"/>
          <w:szCs w:val="21"/>
          <w:highlight w:val="none"/>
          <w:u w:val="none"/>
          <w:lang w:eastAsia="zh-CN"/>
        </w:rPr>
        <w:t>202</w:t>
      </w:r>
      <w:r>
        <w:rPr>
          <w:rFonts w:hint="eastAsia" w:ascii="宋体" w:hAnsi="宋体" w:cs="宋体"/>
          <w:bCs/>
          <w:color w:val="auto"/>
          <w:szCs w:val="21"/>
          <w:highlight w:val="none"/>
          <w:u w:val="none"/>
          <w:lang w:val="en-US" w:eastAsia="zh-CN"/>
        </w:rPr>
        <w:t>6</w:t>
      </w:r>
      <w:r>
        <w:rPr>
          <w:rFonts w:hint="eastAsia" w:ascii="宋体" w:hAnsi="宋体" w:cs="宋体"/>
          <w:bCs/>
          <w:color w:val="auto"/>
          <w:szCs w:val="21"/>
          <w:highlight w:val="none"/>
          <w:u w:val="none"/>
          <w:lang w:eastAsia="zh-CN"/>
        </w:rPr>
        <w:t>年</w:t>
      </w:r>
      <w:r>
        <w:rPr>
          <w:rFonts w:hint="eastAsia" w:ascii="宋体" w:hAnsi="宋体" w:cs="宋体"/>
          <w:bCs/>
          <w:color w:val="auto"/>
          <w:szCs w:val="21"/>
          <w:highlight w:val="none"/>
          <w:u w:val="none"/>
          <w:lang w:val="en-US" w:eastAsia="zh-CN"/>
        </w:rPr>
        <w:t>9月4</w:t>
      </w:r>
      <w:r>
        <w:rPr>
          <w:rFonts w:hint="eastAsia" w:ascii="宋体" w:hAnsi="宋体" w:cs="宋体"/>
          <w:bCs/>
          <w:color w:val="auto"/>
          <w:szCs w:val="21"/>
          <w:highlight w:val="none"/>
          <w:u w:val="none"/>
        </w:rPr>
        <w:t>日9时</w:t>
      </w:r>
      <w:r>
        <w:rPr>
          <w:rFonts w:hint="eastAsia" w:ascii="宋体" w:hAnsi="宋体" w:cs="宋体"/>
          <w:bCs/>
          <w:color w:val="auto"/>
          <w:szCs w:val="21"/>
          <w:highlight w:val="none"/>
          <w:u w:val="none"/>
          <w:lang w:val="en-US" w:eastAsia="zh-CN"/>
        </w:rPr>
        <w:t>30</w:t>
      </w:r>
      <w:r>
        <w:rPr>
          <w:rFonts w:hint="eastAsia" w:ascii="宋体" w:hAnsi="宋体" w:cs="宋体"/>
          <w:bCs/>
          <w:color w:val="auto"/>
          <w:szCs w:val="21"/>
          <w:highlight w:val="none"/>
          <w:u w:val="none"/>
        </w:rPr>
        <w:t>分</w:t>
      </w:r>
      <w:r>
        <w:rPr>
          <w:rFonts w:hint="eastAsia" w:ascii="宋体" w:hAnsi="宋体" w:cs="宋体"/>
          <w:bCs/>
          <w:color w:val="auto"/>
          <w:szCs w:val="21"/>
          <w:highlight w:val="none"/>
        </w:rPr>
        <w:t>（北京时间）</w:t>
      </w:r>
    </w:p>
    <w:p w14:paraId="470A5117">
      <w:pPr>
        <w:widowControl/>
        <w:wordWrap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网址</w:t>
      </w:r>
      <w:r>
        <w:rPr>
          <w:rFonts w:hint="eastAsia" w:ascii="宋体" w:hAnsi="宋体" w:cs="宋体"/>
          <w:color w:val="auto"/>
          <w:szCs w:val="21"/>
          <w:highlight w:val="none"/>
          <w:lang w:eastAsia="zh-CN"/>
        </w:rPr>
        <w:t>）</w:t>
      </w:r>
      <w:r>
        <w:rPr>
          <w:rFonts w:hint="eastAsia" w:ascii="宋体" w:hAnsi="宋体" w:cs="宋体"/>
          <w:color w:val="auto"/>
          <w:szCs w:val="21"/>
          <w:highlight w:val="none"/>
        </w:rPr>
        <w:t>：广西政府采购云平台（https://www.gcy.zfcg.gxzf.gov.cn/）</w:t>
      </w:r>
    </w:p>
    <w:p w14:paraId="28B88506">
      <w:pPr>
        <w:widowControl/>
        <w:wordWrap w:val="0"/>
        <w:spacing w:line="360" w:lineRule="auto"/>
        <w:ind w:firstLine="354" w:firstLineChars="147"/>
        <w:rPr>
          <w:rFonts w:hint="eastAsia" w:ascii="宋体" w:hAnsi="宋体" w:cs="宋体"/>
          <w:b/>
          <w:color w:val="auto"/>
          <w:sz w:val="24"/>
          <w:highlight w:val="none"/>
        </w:rPr>
      </w:pPr>
      <w:bookmarkStart w:id="34" w:name="_Toc71365909"/>
      <w:r>
        <w:rPr>
          <w:rFonts w:hint="eastAsia" w:ascii="宋体" w:hAnsi="宋体" w:cs="宋体"/>
          <w:b/>
          <w:color w:val="auto"/>
          <w:sz w:val="24"/>
          <w:highlight w:val="none"/>
        </w:rPr>
        <w:t>五、响应文件开启</w:t>
      </w:r>
      <w:bookmarkEnd w:id="29"/>
      <w:bookmarkEnd w:id="30"/>
      <w:bookmarkEnd w:id="31"/>
      <w:bookmarkEnd w:id="32"/>
      <w:bookmarkEnd w:id="33"/>
      <w:bookmarkEnd w:id="34"/>
    </w:p>
    <w:p w14:paraId="1C302EC3">
      <w:pPr>
        <w:widowControl/>
        <w:wordWrap w:val="0"/>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1.时间：</w:t>
      </w:r>
      <w:r>
        <w:rPr>
          <w:rFonts w:hint="eastAsia" w:ascii="宋体" w:hAnsi="宋体" w:cs="宋体"/>
          <w:bCs/>
          <w:color w:val="auto"/>
          <w:szCs w:val="21"/>
          <w:highlight w:val="none"/>
          <w:u w:val="none"/>
          <w:lang w:eastAsia="zh-CN"/>
        </w:rPr>
        <w:t>202</w:t>
      </w:r>
      <w:r>
        <w:rPr>
          <w:rFonts w:hint="eastAsia" w:ascii="宋体" w:hAnsi="宋体" w:cs="宋体"/>
          <w:bCs/>
          <w:color w:val="auto"/>
          <w:szCs w:val="21"/>
          <w:highlight w:val="none"/>
          <w:u w:val="none"/>
          <w:lang w:val="en-US" w:eastAsia="zh-CN"/>
        </w:rPr>
        <w:t>6</w:t>
      </w:r>
      <w:r>
        <w:rPr>
          <w:rFonts w:hint="eastAsia" w:ascii="宋体" w:hAnsi="宋体" w:cs="宋体"/>
          <w:bCs/>
          <w:color w:val="auto"/>
          <w:szCs w:val="21"/>
          <w:highlight w:val="none"/>
          <w:u w:val="none"/>
          <w:lang w:eastAsia="zh-CN"/>
        </w:rPr>
        <w:t>年</w:t>
      </w:r>
      <w:r>
        <w:rPr>
          <w:rFonts w:hint="eastAsia" w:ascii="宋体" w:hAnsi="宋体" w:cs="宋体"/>
          <w:bCs/>
          <w:color w:val="auto"/>
          <w:szCs w:val="21"/>
          <w:highlight w:val="none"/>
          <w:u w:val="none"/>
          <w:lang w:val="en-US" w:eastAsia="zh-CN"/>
        </w:rPr>
        <w:t>9月4</w:t>
      </w:r>
      <w:r>
        <w:rPr>
          <w:rFonts w:hint="eastAsia" w:ascii="宋体" w:hAnsi="宋体" w:cs="宋体"/>
          <w:bCs/>
          <w:color w:val="auto"/>
          <w:szCs w:val="21"/>
          <w:highlight w:val="none"/>
          <w:u w:val="none"/>
        </w:rPr>
        <w:t>日9时</w:t>
      </w:r>
      <w:r>
        <w:rPr>
          <w:rFonts w:hint="eastAsia" w:ascii="宋体" w:hAnsi="宋体" w:cs="宋体"/>
          <w:bCs/>
          <w:color w:val="auto"/>
          <w:szCs w:val="21"/>
          <w:highlight w:val="none"/>
          <w:u w:val="none"/>
          <w:lang w:val="en-US" w:eastAsia="zh-CN"/>
        </w:rPr>
        <w:t>30</w:t>
      </w:r>
      <w:r>
        <w:rPr>
          <w:rFonts w:hint="eastAsia" w:ascii="宋体" w:hAnsi="宋体" w:cs="宋体"/>
          <w:bCs/>
          <w:color w:val="auto"/>
          <w:szCs w:val="21"/>
          <w:highlight w:val="none"/>
          <w:u w:val="none"/>
        </w:rPr>
        <w:t>分</w:t>
      </w:r>
      <w:r>
        <w:rPr>
          <w:rFonts w:hint="eastAsia" w:ascii="宋体" w:hAnsi="宋体" w:cs="宋体"/>
          <w:bCs/>
          <w:color w:val="auto"/>
          <w:szCs w:val="21"/>
          <w:highlight w:val="none"/>
        </w:rPr>
        <w:t>（北京时间）</w:t>
      </w:r>
    </w:p>
    <w:p w14:paraId="3E98EFF2">
      <w:pPr>
        <w:widowControl/>
        <w:wordWrap w:val="0"/>
        <w:spacing w:line="360" w:lineRule="auto"/>
        <w:ind w:firstLine="420" w:firstLineChars="200"/>
        <w:rPr>
          <w:rFonts w:hint="eastAsia" w:ascii="宋体" w:hAnsi="宋体" w:cs="宋体"/>
          <w:bCs/>
          <w:color w:val="auto"/>
          <w:szCs w:val="21"/>
          <w:highlight w:val="none"/>
          <w:u w:val="single"/>
        </w:rPr>
      </w:pPr>
      <w:r>
        <w:rPr>
          <w:rFonts w:hint="eastAsia" w:ascii="宋体" w:hAnsi="宋体" w:cs="宋体"/>
          <w:color w:val="auto"/>
          <w:szCs w:val="21"/>
          <w:highlight w:val="none"/>
        </w:rPr>
        <w:t>2.地点：</w:t>
      </w:r>
      <w:r>
        <w:rPr>
          <w:rFonts w:hint="eastAsia" w:ascii="宋体" w:hAnsi="宋体" w:cs="宋体"/>
          <w:bCs/>
          <w:color w:val="auto"/>
          <w:kern w:val="0"/>
          <w:szCs w:val="21"/>
          <w:highlight w:val="none"/>
        </w:rPr>
        <w:t>“广西政府采购云”平台</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https://www.gcy.zfcg.gxzf.gov.cn/)</w:t>
      </w:r>
    </w:p>
    <w:p w14:paraId="63CC045D">
      <w:pPr>
        <w:widowControl/>
        <w:wordWrap w:val="0"/>
        <w:spacing w:line="360" w:lineRule="auto"/>
        <w:ind w:firstLine="354" w:firstLineChars="147"/>
        <w:rPr>
          <w:rFonts w:hint="eastAsia" w:ascii="宋体" w:hAnsi="宋体" w:cs="宋体"/>
          <w:b/>
          <w:color w:val="auto"/>
          <w:sz w:val="24"/>
          <w:highlight w:val="none"/>
        </w:rPr>
      </w:pPr>
      <w:bookmarkStart w:id="35" w:name="_Toc28359017"/>
      <w:bookmarkStart w:id="36" w:name="_Toc28359094"/>
      <w:bookmarkStart w:id="37" w:name="_Toc35393803"/>
      <w:bookmarkStart w:id="38" w:name="_Toc71365910"/>
      <w:bookmarkStart w:id="39" w:name="_Toc44229883"/>
      <w:bookmarkStart w:id="40" w:name="_Toc35393634"/>
      <w:r>
        <w:rPr>
          <w:rFonts w:hint="eastAsia" w:ascii="宋体" w:hAnsi="宋体" w:cs="宋体"/>
          <w:b/>
          <w:color w:val="auto"/>
          <w:sz w:val="24"/>
          <w:highlight w:val="none"/>
        </w:rPr>
        <w:t>六、公告期限</w:t>
      </w:r>
      <w:bookmarkEnd w:id="35"/>
      <w:bookmarkEnd w:id="36"/>
      <w:bookmarkEnd w:id="37"/>
      <w:bookmarkEnd w:id="38"/>
      <w:bookmarkEnd w:id="39"/>
      <w:bookmarkEnd w:id="40"/>
    </w:p>
    <w:p w14:paraId="107C4694">
      <w:pPr>
        <w:widowControl/>
        <w:wordWrap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0B4D5ABC">
      <w:pPr>
        <w:widowControl/>
        <w:wordWrap w:val="0"/>
        <w:spacing w:line="360" w:lineRule="auto"/>
        <w:ind w:firstLine="354" w:firstLineChars="147"/>
        <w:rPr>
          <w:rFonts w:hint="eastAsia" w:ascii="宋体" w:hAnsi="宋体" w:cs="宋体"/>
          <w:b/>
          <w:color w:val="auto"/>
          <w:sz w:val="24"/>
          <w:highlight w:val="none"/>
        </w:rPr>
      </w:pPr>
      <w:bookmarkStart w:id="41" w:name="_Toc35393635"/>
      <w:bookmarkStart w:id="42" w:name="_Toc44229884"/>
      <w:bookmarkStart w:id="43" w:name="_Toc71365911"/>
      <w:bookmarkStart w:id="44" w:name="_Toc35393804"/>
      <w:r>
        <w:rPr>
          <w:rFonts w:hint="eastAsia" w:ascii="宋体" w:hAnsi="宋体" w:cs="宋体"/>
          <w:b/>
          <w:color w:val="auto"/>
          <w:sz w:val="24"/>
          <w:highlight w:val="none"/>
        </w:rPr>
        <w:t>七、其他补充事宜</w:t>
      </w:r>
      <w:bookmarkEnd w:id="41"/>
      <w:bookmarkEnd w:id="42"/>
      <w:bookmarkEnd w:id="43"/>
      <w:bookmarkEnd w:id="44"/>
    </w:p>
    <w:p w14:paraId="180E8924">
      <w:pPr>
        <w:widowControl/>
        <w:wordWrap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1.磋商保证金人民币</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A分标：9000.00元；B分标：3000.00元；C分标：700.00元</w:t>
      </w:r>
      <w:r>
        <w:rPr>
          <w:rFonts w:hint="eastAsia" w:ascii="宋体" w:hAnsi="宋体" w:cs="宋体"/>
          <w:color w:val="auto"/>
          <w:kern w:val="0"/>
          <w:szCs w:val="21"/>
          <w:highlight w:val="none"/>
        </w:rPr>
        <w:t>。</w:t>
      </w:r>
    </w:p>
    <w:p w14:paraId="2CED1A00">
      <w:pPr>
        <w:widowControl/>
        <w:wordWrap w:val="0"/>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2.网上查询地址：www.ccgp.gov.cn（中国政府采购网）、zfcg.gxzf.gov.cn（</w:t>
      </w:r>
      <w:r>
        <w:rPr>
          <w:rFonts w:hint="eastAsia" w:ascii="宋体" w:hAnsi="宋体" w:cs="宋体"/>
          <w:color w:val="auto"/>
          <w:kern w:val="0"/>
          <w:szCs w:val="21"/>
          <w:highlight w:val="none"/>
          <w:lang w:eastAsia="zh-CN"/>
        </w:rPr>
        <w:t>广西政府采购网</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bidi="ar"/>
        </w:rPr>
        <w:t>广西招标网（http://www.guangxibid.com.cn/）</w:t>
      </w:r>
      <w:r>
        <w:rPr>
          <w:rFonts w:hint="eastAsia" w:ascii="宋体" w:hAnsi="宋体" w:cs="宋体"/>
          <w:color w:val="auto"/>
          <w:kern w:val="0"/>
          <w:szCs w:val="21"/>
          <w:highlight w:val="none"/>
        </w:rPr>
        <w:t>。</w:t>
      </w:r>
    </w:p>
    <w:p w14:paraId="4B42710C">
      <w:pPr>
        <w:widowControl/>
        <w:wordWrap w:val="0"/>
        <w:spacing w:line="360" w:lineRule="auto"/>
        <w:ind w:firstLine="424" w:firstLineChars="202"/>
        <w:rPr>
          <w:rFonts w:hint="eastAsia" w:ascii="宋体" w:hAnsi="宋体" w:cs="宋体"/>
          <w:color w:val="auto"/>
          <w:kern w:val="0"/>
          <w:szCs w:val="21"/>
          <w:highlight w:val="none"/>
        </w:rPr>
      </w:pPr>
      <w:bookmarkStart w:id="45" w:name="_Hlk37429674"/>
      <w:bookmarkStart w:id="46" w:name="_Toc28359018"/>
      <w:bookmarkStart w:id="47" w:name="_Toc44229885"/>
      <w:bookmarkStart w:id="48" w:name="_Toc35393805"/>
      <w:bookmarkStart w:id="49" w:name="_Toc28359095"/>
      <w:bookmarkStart w:id="50" w:name="_Toc35393636"/>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p w14:paraId="457E848C">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E374093">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2BBB53BD">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0F642371">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11AFBD94">
      <w:pPr>
        <w:widowControl/>
        <w:wordWrap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bookmarkEnd w:id="45"/>
    <w:p w14:paraId="7CF1D137">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724B582">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3523CC8">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6.在线竞标的有关说明：</w:t>
      </w:r>
    </w:p>
    <w:p w14:paraId="23E233A2">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提交方式：本项目为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58EC578E">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（2）未进行网上注册并办理数字证书（CA认证）的供应商将无法参与本项目政府采购活动，潜在供应商应当在首次响应文件提交截止时间前，完成电子交易平台上的CA数字证书办理及响应文件的提交。</w:t>
      </w:r>
    </w:p>
    <w:p w14:paraId="736E4F88">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ABD1559">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文件提交截止时间前未完成上传、递交的，视为撤回响应文件。响应文件提交截止时间以后上传递交的响应文件的，广西政府采购云平台将予以拒收。</w:t>
      </w:r>
    </w:p>
    <w:p w14:paraId="1874AC67">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（4）CA证书在线解密：首次响应文件开启时，需要供应商携带制作响应文件时用来加密的有效数字证书（CA认证）登录广西政府采购云平台电子开标大厅现场按规定时间对加密的响应文件进行解密。</w:t>
      </w:r>
    </w:p>
    <w:p w14:paraId="6662740E">
      <w:pPr>
        <w:widowControl/>
        <w:wordWrap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（5）供应商需要在具备有摄像头及语音功能且互联网网络状况良好的电脑登录广西政府采购云平台远程开标大厅参与本次磋商，否则后果自负。</w:t>
      </w:r>
    </w:p>
    <w:p w14:paraId="401E6634">
      <w:pPr>
        <w:widowControl/>
        <w:wordWrap w:val="0"/>
        <w:spacing w:line="40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7.若对项目采购电子交易系统操作有疑问，可登录广西政府采购云平台（https://www.gcy.zfcg.gxzf.gov.cn/），点击右侧咨询小采，获取采小蜜智能服务管家帮助，或拨打广西政府采购云平台服务热线95763获取热线服务帮助</w:t>
      </w:r>
      <w:r>
        <w:rPr>
          <w:rFonts w:hint="eastAsia" w:ascii="宋体" w:hAnsi="宋体" w:cs="宋体"/>
          <w:bCs/>
          <w:color w:val="auto"/>
          <w:szCs w:val="21"/>
          <w:highlight w:val="none"/>
        </w:rPr>
        <w:t>。</w:t>
      </w:r>
    </w:p>
    <w:p w14:paraId="27A6F151">
      <w:pPr>
        <w:widowControl/>
        <w:wordWrap w:val="0"/>
        <w:spacing w:line="360" w:lineRule="auto"/>
        <w:ind w:firstLine="354" w:firstLineChars="147"/>
        <w:rPr>
          <w:rFonts w:hint="eastAsia"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46"/>
      <w:bookmarkEnd w:id="47"/>
      <w:bookmarkEnd w:id="48"/>
      <w:bookmarkEnd w:id="49"/>
      <w:bookmarkEnd w:id="50"/>
    </w:p>
    <w:p w14:paraId="40E055FD">
      <w:pPr>
        <w:widowControl/>
        <w:wordWrap w:val="0"/>
        <w:spacing w:line="360" w:lineRule="auto"/>
        <w:ind w:firstLine="420" w:firstLineChars="200"/>
        <w:rPr>
          <w:rFonts w:hint="eastAsia" w:ascii="宋体" w:hAnsi="宋体" w:eastAsia="宋体" w:cs="宋体"/>
          <w:color w:val="auto"/>
          <w:highlight w:val="none"/>
          <w:lang w:eastAsia="zh-CN"/>
        </w:rPr>
      </w:pPr>
      <w:bookmarkStart w:id="51" w:name="_Toc35393639"/>
      <w:bookmarkStart w:id="52" w:name="_Toc35393808"/>
      <w:bookmarkStart w:id="53" w:name="_Toc28359021"/>
      <w:bookmarkStart w:id="54" w:name="_Toc28359098"/>
      <w:bookmarkStart w:id="55" w:name="_Toc28359087"/>
      <w:bookmarkStart w:id="56" w:name="_Toc28359010"/>
      <w:r>
        <w:rPr>
          <w:rFonts w:hint="eastAsia" w:ascii="宋体" w:hAnsi="宋体" w:cs="宋体"/>
          <w:color w:val="auto"/>
          <w:highlight w:val="none"/>
        </w:rPr>
        <w:t>1.采购单位名称：</w:t>
      </w:r>
      <w:r>
        <w:rPr>
          <w:rFonts w:hint="eastAsia" w:ascii="宋体" w:hAnsi="宋体" w:cs="宋体"/>
          <w:bCs/>
          <w:color w:val="auto"/>
          <w:kern w:val="0"/>
          <w:highlight w:val="none"/>
          <w:lang w:eastAsia="zh-CN"/>
        </w:rPr>
        <w:t>广西安全工程职业技术学院</w:t>
      </w:r>
    </w:p>
    <w:p w14:paraId="5C2A8E1C">
      <w:pPr>
        <w:widowControl/>
        <w:wordWrap w:val="0"/>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联系地址：</w:t>
      </w:r>
      <w:r>
        <w:rPr>
          <w:rFonts w:hint="eastAsia" w:ascii="宋体" w:hAnsi="宋体" w:cs="宋体"/>
          <w:bCs/>
          <w:color w:val="auto"/>
          <w:kern w:val="0"/>
          <w:highlight w:val="none"/>
          <w:lang w:eastAsia="zh-CN"/>
        </w:rPr>
        <w:t>广西壮族自治区南宁市武鸣区城厢镇上河路9号</w:t>
      </w:r>
    </w:p>
    <w:p w14:paraId="6D1C699D">
      <w:pPr>
        <w:widowControl/>
        <w:wordWrap w:val="0"/>
        <w:spacing w:line="360" w:lineRule="auto"/>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rPr>
        <w:t>联系人：</w:t>
      </w:r>
      <w:r>
        <w:rPr>
          <w:rFonts w:hint="eastAsia" w:ascii="宋体" w:hAnsi="宋体" w:cs="宋体"/>
          <w:color w:val="auto"/>
          <w:highlight w:val="none"/>
          <w:lang w:eastAsia="zh-CN"/>
        </w:rPr>
        <w:t>梁老师</w:t>
      </w:r>
      <w:r>
        <w:rPr>
          <w:rFonts w:hint="eastAsia" w:ascii="宋体" w:hAnsi="宋体" w:cs="宋体"/>
          <w:color w:val="auto"/>
          <w:highlight w:val="none"/>
        </w:rPr>
        <w:t>；联系电话：0771-</w:t>
      </w:r>
      <w:r>
        <w:rPr>
          <w:rFonts w:hint="eastAsia" w:ascii="宋体" w:hAnsi="宋体" w:cs="宋体"/>
          <w:color w:val="auto"/>
          <w:highlight w:val="none"/>
          <w:lang w:val="en-US" w:eastAsia="zh-CN"/>
        </w:rPr>
        <w:t>6409255</w:t>
      </w:r>
    </w:p>
    <w:p w14:paraId="268BE998">
      <w:pPr>
        <w:widowControl/>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2.采购代理机构名称：广西建设工程机电设备招标中心有限公司</w:t>
      </w:r>
    </w:p>
    <w:p w14:paraId="791238E6">
      <w:pPr>
        <w:widowControl/>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地址：</w:t>
      </w:r>
      <w:r>
        <w:rPr>
          <w:rFonts w:hint="eastAsia" w:ascii="宋体" w:hAnsi="宋体" w:cs="宋体"/>
          <w:color w:val="auto"/>
          <w:highlight w:val="none"/>
          <w:lang w:eastAsia="zh-CN"/>
        </w:rPr>
        <w:t>南宁市青秀区枫林路18号广西国控集团（枫林路办公区）裙楼三层</w:t>
      </w:r>
    </w:p>
    <w:p w14:paraId="16AAD99C">
      <w:pPr>
        <w:widowControl/>
        <w:wordWrap w:val="0"/>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联系人：</w:t>
      </w:r>
      <w:r>
        <w:rPr>
          <w:rFonts w:hint="eastAsia" w:ascii="宋体" w:hAnsi="宋体" w:cs="宋体"/>
          <w:bCs/>
          <w:color w:val="auto"/>
          <w:kern w:val="0"/>
          <w:highlight w:val="none"/>
          <w:lang w:eastAsia="zh-CN"/>
        </w:rPr>
        <w:t>陈有弟、郭晋卿、庞雄庆</w:t>
      </w:r>
      <w:r>
        <w:rPr>
          <w:rFonts w:hint="eastAsia" w:ascii="宋体" w:hAnsi="宋体" w:cs="宋体"/>
          <w:color w:val="auto"/>
          <w:highlight w:val="none"/>
        </w:rPr>
        <w:t xml:space="preserve">       联系电话：</w:t>
      </w:r>
      <w:r>
        <w:rPr>
          <w:rFonts w:hint="eastAsia" w:ascii="宋体" w:hAnsi="宋体" w:cs="宋体"/>
          <w:color w:val="auto"/>
          <w:highlight w:val="none"/>
          <w:lang w:eastAsia="zh-CN"/>
        </w:rPr>
        <w:t>0771-2869912</w:t>
      </w:r>
    </w:p>
    <w:p w14:paraId="103CE9C6">
      <w:pPr>
        <w:widowControl/>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3.项目联系方式</w:t>
      </w:r>
      <w:bookmarkEnd w:id="51"/>
      <w:bookmarkEnd w:id="52"/>
      <w:bookmarkEnd w:id="53"/>
      <w:bookmarkEnd w:id="54"/>
    </w:p>
    <w:p w14:paraId="1FBF9FA7">
      <w:pPr>
        <w:widowControl/>
        <w:wordWrap w:val="0"/>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联系人：</w:t>
      </w:r>
      <w:r>
        <w:rPr>
          <w:rFonts w:hint="eastAsia" w:ascii="宋体" w:hAnsi="宋体" w:cs="宋体"/>
          <w:bCs/>
          <w:color w:val="auto"/>
          <w:kern w:val="0"/>
          <w:highlight w:val="none"/>
          <w:lang w:eastAsia="zh-CN"/>
        </w:rPr>
        <w:t>陈有弟、郭晋卿、庞雄庆</w:t>
      </w:r>
      <w:r>
        <w:rPr>
          <w:rFonts w:hint="eastAsia" w:ascii="宋体" w:hAnsi="宋体" w:cs="宋体"/>
          <w:color w:val="auto"/>
          <w:highlight w:val="none"/>
        </w:rPr>
        <w:t xml:space="preserve">       联系电话：</w:t>
      </w:r>
      <w:r>
        <w:rPr>
          <w:rFonts w:hint="eastAsia" w:ascii="宋体" w:hAnsi="宋体" w:cs="宋体"/>
          <w:color w:val="auto"/>
          <w:highlight w:val="none"/>
          <w:lang w:eastAsia="zh-CN"/>
        </w:rPr>
        <w:t>0771-2869912</w:t>
      </w:r>
    </w:p>
    <w:p w14:paraId="6BA06171">
      <w:pPr>
        <w:widowControl/>
        <w:wordWrap w:val="0"/>
        <w:spacing w:line="360" w:lineRule="auto"/>
        <w:ind w:firstLine="420" w:firstLineChars="200"/>
        <w:rPr>
          <w:rFonts w:hint="eastAsia" w:ascii="宋体" w:hAnsi="宋体" w:cs="宋体"/>
          <w:color w:val="auto"/>
          <w:highlight w:val="none"/>
        </w:rPr>
      </w:pPr>
    </w:p>
    <w:bookmarkEnd w:id="55"/>
    <w:bookmarkEnd w:id="56"/>
    <w:p w14:paraId="7D8FF4C2">
      <w:pPr>
        <w:widowControl/>
        <w:wordWrap w:val="0"/>
        <w:spacing w:line="360" w:lineRule="auto"/>
        <w:ind w:firstLine="420" w:firstLineChars="200"/>
        <w:rPr>
          <w:rFonts w:hint="eastAsia" w:ascii="宋体" w:hAnsi="宋体" w:cs="宋体"/>
          <w:color w:val="auto"/>
          <w:highlight w:val="none"/>
          <w:u w:val="single"/>
        </w:rPr>
      </w:pPr>
    </w:p>
    <w:p w14:paraId="6D696475">
      <w:pPr>
        <w:widowControl/>
        <w:wordWrap w:val="0"/>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rPr>
        <w:t>广西建设工程机电设备招标中心有限公司</w:t>
      </w:r>
    </w:p>
    <w:p w14:paraId="78207D4B">
      <w:pPr>
        <w:widowControl/>
        <w:wordWrap w:val="0"/>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8月24日</w:t>
      </w:r>
    </w:p>
    <w:p w14:paraId="677BB258">
      <w:pPr>
        <w:spacing w:line="360" w:lineRule="auto"/>
        <w:ind w:firstLine="420" w:firstLineChars="200"/>
        <w:jc w:val="right"/>
        <w:rPr>
          <w:rFonts w:hint="eastAsia" w:ascii="宋体" w:hAnsi="宋体" w:cs="宋体"/>
          <w:color w:val="auto"/>
          <w:szCs w:val="21"/>
          <w:highlight w:val="none"/>
          <w:u w:val="single"/>
        </w:rPr>
      </w:pPr>
    </w:p>
    <w:p w14:paraId="1AA6F92F">
      <w:pPr>
        <w:pStyle w:val="2"/>
        <w:numPr>
          <w:ilvl w:val="0"/>
          <w:numId w:val="2"/>
        </w:numPr>
        <w:spacing w:before="0" w:after="0" w:line="440" w:lineRule="exact"/>
        <w:ind w:left="0" w:leftChars="0" w:firstLine="0" w:firstLineChars="0"/>
        <w:jc w:val="center"/>
        <w:rPr>
          <w:rFonts w:hint="eastAsia" w:ascii="宋体" w:hAnsi="宋体" w:cs="宋体"/>
          <w:color w:val="auto"/>
          <w:highlight w:val="none"/>
        </w:rPr>
      </w:pPr>
      <w:r>
        <w:rPr>
          <w:rFonts w:hint="eastAsia" w:ascii="宋体" w:hAnsi="宋体" w:cs="宋体"/>
          <w:color w:val="auto"/>
          <w:szCs w:val="21"/>
          <w:highlight w:val="none"/>
          <w:u w:val="single"/>
        </w:rPr>
        <w:br w:type="page"/>
      </w:r>
      <w:bookmarkEnd w:id="4"/>
      <w:bookmarkStart w:id="57" w:name="_Toc763"/>
      <w:bookmarkStart w:id="58" w:name="_Toc74323457"/>
      <w:bookmarkStart w:id="59" w:name="_Toc15723"/>
      <w:r>
        <w:rPr>
          <w:rFonts w:hint="eastAsia" w:ascii="宋体" w:hAnsi="宋体" w:cs="宋体"/>
          <w:color w:val="auto"/>
          <w:highlight w:val="none"/>
        </w:rPr>
        <w:t>供应商须知</w:t>
      </w:r>
      <w:bookmarkEnd w:id="57"/>
      <w:bookmarkEnd w:id="58"/>
      <w:bookmarkEnd w:id="59"/>
    </w:p>
    <w:p w14:paraId="0FC7BFFC">
      <w:pPr>
        <w:numPr>
          <w:ilvl w:val="0"/>
          <w:numId w:val="0"/>
        </w:numPr>
        <w:ind w:leftChars="0"/>
        <w:rPr>
          <w:rFonts w:hint="eastAsia"/>
          <w:color w:val="auto"/>
          <w:highlight w:val="none"/>
        </w:rPr>
      </w:pPr>
    </w:p>
    <w:p w14:paraId="49A6C6EC">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20"/>
        <w:tblW w:w="97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2"/>
        <w:gridCol w:w="8637"/>
      </w:tblGrid>
      <w:tr w14:paraId="69C27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top"/>
          </w:tcPr>
          <w:p w14:paraId="73036EF0">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637" w:type="dxa"/>
            <w:noWrap w:val="0"/>
            <w:vAlign w:val="top"/>
          </w:tcPr>
          <w:p w14:paraId="17C4E3E7">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5F183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center"/>
          </w:tcPr>
          <w:p w14:paraId="106F51DD">
            <w:pPr>
              <w:spacing w:line="400" w:lineRule="exact"/>
              <w:jc w:val="center"/>
              <w:rPr>
                <w:rFonts w:hint="eastAsia" w:ascii="宋体" w:hAnsi="宋体" w:cs="宋体"/>
                <w:b/>
                <w:color w:val="auto"/>
                <w:szCs w:val="21"/>
                <w:highlight w:val="none"/>
              </w:rPr>
            </w:pPr>
            <w:r>
              <w:rPr>
                <w:rFonts w:hint="eastAsia" w:ascii="宋体" w:hAnsi="宋体" w:cs="宋体"/>
                <w:bCs/>
                <w:color w:val="auto"/>
                <w:szCs w:val="21"/>
                <w:highlight w:val="none"/>
              </w:rPr>
              <w:t>1</w:t>
            </w:r>
          </w:p>
        </w:tc>
        <w:tc>
          <w:tcPr>
            <w:tcW w:w="8637" w:type="dxa"/>
            <w:noWrap w:val="0"/>
            <w:vAlign w:val="top"/>
          </w:tcPr>
          <w:p w14:paraId="4E2C23EE">
            <w:pPr>
              <w:spacing w:line="400" w:lineRule="exact"/>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采购项目名称：</w:t>
            </w:r>
            <w:r>
              <w:rPr>
                <w:rFonts w:hint="eastAsia" w:ascii="宋体" w:hAnsi="宋体" w:cs="宋体"/>
                <w:color w:val="auto"/>
                <w:szCs w:val="21"/>
                <w:highlight w:val="none"/>
                <w:lang w:eastAsia="zh-CN"/>
              </w:rPr>
              <w:t>应急救援学院专业能力提升综合项目（重</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p>
          <w:p w14:paraId="689601CE">
            <w:pPr>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项目编号：GXZC2026-C3-002736-JGJD</w:t>
            </w:r>
          </w:p>
          <w:p w14:paraId="728F937B">
            <w:pPr>
              <w:spacing w:line="400" w:lineRule="exact"/>
              <w:rPr>
                <w:rFonts w:hint="eastAsia" w:ascii="宋体" w:hAnsi="宋体" w:eastAsia="宋体" w:cs="宋体"/>
                <w:b/>
                <w:color w:val="auto"/>
                <w:szCs w:val="21"/>
                <w:highlight w:val="none"/>
                <w:lang w:val="en-US" w:eastAsia="zh-CN"/>
              </w:rPr>
            </w:pPr>
            <w:r>
              <w:rPr>
                <w:rFonts w:hint="eastAsia" w:ascii="宋体" w:hAnsi="宋体" w:cs="宋体"/>
                <w:color w:val="auto"/>
                <w:szCs w:val="21"/>
                <w:highlight w:val="none"/>
              </w:rPr>
              <w:t>政府采购计划编号：广西政采[2026]11822号</w:t>
            </w:r>
          </w:p>
        </w:tc>
      </w:tr>
      <w:tr w14:paraId="4A5EB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center"/>
          </w:tcPr>
          <w:p w14:paraId="25222705">
            <w:pPr>
              <w:spacing w:line="400" w:lineRule="exact"/>
              <w:jc w:val="center"/>
              <w:rPr>
                <w:rFonts w:hint="eastAsia" w:ascii="宋体" w:hAnsi="宋体" w:cs="宋体"/>
                <w:b/>
                <w:color w:val="auto"/>
                <w:szCs w:val="21"/>
                <w:highlight w:val="none"/>
              </w:rPr>
            </w:pPr>
            <w:r>
              <w:rPr>
                <w:rFonts w:hint="eastAsia" w:ascii="宋体" w:hAnsi="宋体" w:cs="宋体"/>
                <w:color w:val="auto"/>
                <w:szCs w:val="21"/>
                <w:highlight w:val="none"/>
              </w:rPr>
              <w:t>2</w:t>
            </w:r>
          </w:p>
        </w:tc>
        <w:tc>
          <w:tcPr>
            <w:tcW w:w="8637" w:type="dxa"/>
            <w:noWrap w:val="0"/>
            <w:vAlign w:val="center"/>
          </w:tcPr>
          <w:p w14:paraId="01782394">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：详见竞争性磋商公告之“申请人的资格要求”。</w:t>
            </w:r>
          </w:p>
          <w:p w14:paraId="0492CAC4">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6E8449F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B30F25E">
            <w:pPr>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99FC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82" w:type="dxa"/>
            <w:noWrap w:val="0"/>
            <w:vAlign w:val="center"/>
          </w:tcPr>
          <w:p w14:paraId="093015E8">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8637" w:type="dxa"/>
            <w:noWrap w:val="0"/>
            <w:vAlign w:val="center"/>
          </w:tcPr>
          <w:p w14:paraId="465F53A7">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踏勘：否</w:t>
            </w:r>
          </w:p>
        </w:tc>
      </w:tr>
      <w:tr w14:paraId="5F8C2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759C8A80">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8637" w:type="dxa"/>
            <w:noWrap w:val="0"/>
            <w:vAlign w:val="center"/>
          </w:tcPr>
          <w:p w14:paraId="73075957">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78D28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2DE7637">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8637" w:type="dxa"/>
            <w:noWrap w:val="0"/>
            <w:vAlign w:val="center"/>
          </w:tcPr>
          <w:p w14:paraId="1645365B">
            <w:pPr>
              <w:pStyle w:val="9"/>
              <w:spacing w:line="36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0E30D8D3">
            <w:pPr>
              <w:pStyle w:val="9"/>
              <w:spacing w:line="360" w:lineRule="exact"/>
              <w:rPr>
                <w:rFonts w:hint="eastAsia" w:ascii="宋体" w:hAnsi="宋体" w:cs="宋体"/>
                <w:color w:val="auto"/>
                <w:szCs w:val="21"/>
                <w:highlight w:val="none"/>
              </w:rPr>
            </w:pPr>
            <w:r>
              <w:rPr>
                <w:rFonts w:hint="eastAsia" w:ascii="宋体" w:hAnsi="宋体" w:cs="宋体"/>
                <w:color w:val="auto"/>
                <w:szCs w:val="21"/>
                <w:highlight w:val="none"/>
              </w:rPr>
              <w:t>□允许分包</w:t>
            </w:r>
          </w:p>
          <w:p w14:paraId="0700FFD2">
            <w:pPr>
              <w:pStyle w:val="9"/>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w:t>
            </w:r>
          </w:p>
          <w:p w14:paraId="11F5A830">
            <w:pPr>
              <w:pStyle w:val="9"/>
              <w:spacing w:line="360" w:lineRule="exact"/>
              <w:rPr>
                <w:rFonts w:hint="eastAsia"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   。</w:t>
            </w:r>
          </w:p>
        </w:tc>
      </w:tr>
      <w:tr w14:paraId="291BE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4379198D">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8637" w:type="dxa"/>
            <w:noWrap w:val="0"/>
            <w:vAlign w:val="center"/>
          </w:tcPr>
          <w:p w14:paraId="375948C1">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1153812">
            <w:pPr>
              <w:pStyle w:val="9"/>
              <w:spacing w:line="360" w:lineRule="exact"/>
              <w:rPr>
                <w:rFonts w:hint="eastAsia"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C43E016">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竞标截止日期前半年内</w:t>
            </w:r>
            <w:r>
              <w:rPr>
                <w:rFonts w:hint="eastAsia" w:ascii="宋体" w:hAnsi="宋体" w:cs="宋体"/>
                <w:color w:val="auto"/>
                <w:szCs w:val="21"/>
                <w:highlight w:val="none"/>
              </w:rPr>
              <w:t>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EFEF749">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竞标截止日期前半年内连续3个月</w:t>
            </w:r>
            <w:r>
              <w:rPr>
                <w:rFonts w:hint="eastAsia" w:ascii="宋体" w:hAnsi="宋体" w:cs="宋体"/>
                <w:color w:val="auto"/>
                <w:szCs w:val="21"/>
                <w:highlight w:val="none"/>
              </w:rPr>
              <w:t>的依法缴纳社会保障资金的缴费凭证（专用收据或者社会保险缴纳清单）复印件；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5A35E0">
            <w:pPr>
              <w:spacing w:line="360" w:lineRule="exact"/>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4.供应商财务状况报告[</w:t>
            </w:r>
            <w:r>
              <w:rPr>
                <w:rFonts w:hint="eastAsia" w:ascii="宋体" w:hAnsi="宋体" w:cs="宋体"/>
                <w:b/>
                <w:bCs/>
                <w:color w:val="auto"/>
                <w:szCs w:val="21"/>
                <w:highlight w:val="none"/>
                <w:lang w:val="en-US" w:eastAsia="zh-CN"/>
              </w:rPr>
              <w:t>2024或2025年</w:t>
            </w:r>
            <w:r>
              <w:rPr>
                <w:rFonts w:hint="eastAsia" w:ascii="宋体" w:hAnsi="宋体" w:cs="宋体"/>
                <w:color w:val="auto"/>
                <w:szCs w:val="21"/>
                <w:highlight w:val="none"/>
                <w:lang w:val="en-US" w:eastAsia="zh-CN"/>
              </w:rPr>
              <w:t>度</w:t>
            </w:r>
            <w:r>
              <w:rPr>
                <w:rFonts w:hint="eastAsia" w:ascii="宋体" w:hAnsi="宋体" w:cs="宋体"/>
                <w:color w:val="auto"/>
                <w:szCs w:val="21"/>
                <w:highlight w:val="none"/>
              </w:rPr>
              <w:t>财务报表复印件，或者银行出具的资信证明，或者中国人民银行征信中心出具的信用报告（企业竞标的提供企业信用报告，自然人竞标的提供个人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7AFFF636">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AE80F13">
            <w:pPr>
              <w:spacing w:line="360" w:lineRule="exact"/>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6.竞标声明（格式后附）；（</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14:paraId="3A9E2FC0">
            <w:pPr>
              <w:spacing w:line="360" w:lineRule="exact"/>
              <w:contextualSpacing/>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7.本项目落实政府采购政策需满足的资格要求的证明文件：中小企业声明函(或监狱企业、残疾人福利企业声明函)。</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14:paraId="38D7304E">
            <w:pPr>
              <w:spacing w:line="360" w:lineRule="exact"/>
              <w:contextualSpacing/>
              <w:jc w:val="left"/>
              <w:rPr>
                <w:rFonts w:hint="eastAsia"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8</w:t>
            </w:r>
            <w:r>
              <w:rPr>
                <w:rFonts w:hint="eastAsia" w:ascii="宋体" w:hAnsi="宋体" w:eastAsia="宋体" w:cs="宋体"/>
                <w:color w:val="auto"/>
                <w:szCs w:val="21"/>
                <w:highlight w:val="none"/>
                <w:lang w:val="en-US" w:eastAsia="zh-CN"/>
              </w:rPr>
              <w:t>.除磋商文件规定必须提供以外，供应商认为需要提供的其他证明材料；</w:t>
            </w:r>
          </w:p>
          <w:p w14:paraId="21FE1772">
            <w:pPr>
              <w:spacing w:line="360" w:lineRule="exact"/>
              <w:contextualSpacing/>
              <w:jc w:val="left"/>
              <w:rPr>
                <w:rFonts w:hint="eastAsia" w:ascii="宋体" w:hAnsi="宋体" w:cs="宋体"/>
                <w:b/>
                <w:color w:val="auto"/>
                <w:szCs w:val="21"/>
                <w:highlight w:val="none"/>
              </w:rPr>
            </w:pPr>
            <w:r>
              <w:rPr>
                <w:rFonts w:hint="eastAsia" w:ascii="宋体" w:hAnsi="宋体" w:eastAsia="宋体" w:cs="宋体"/>
                <w:b/>
                <w:bCs/>
                <w:color w:val="auto"/>
                <w:szCs w:val="21"/>
                <w:highlight w:val="none"/>
                <w:lang w:val="en-US" w:eastAsia="zh-CN"/>
              </w:rPr>
              <w:t>注：1、以上标明“必须提供”的材料必须加盖供应商电子签章，必须提供的材料在第五章</w:t>
            </w:r>
            <w:r>
              <w:rPr>
                <w:rFonts w:hint="eastAsia" w:ascii="宋体" w:hAnsi="宋体" w:cs="Courier New"/>
                <w:b/>
                <w:color w:val="auto"/>
                <w:szCs w:val="21"/>
                <w:highlight w:val="none"/>
                <w:lang w:val="en-US" w:eastAsia="zh-CN"/>
              </w:rPr>
              <w:t>“响应文件格式”中有要求法定代表人或委托代理人签字的，必须由法定代表人或委托代理人签字</w:t>
            </w:r>
            <w:r>
              <w:rPr>
                <w:rFonts w:hint="eastAsia" w:ascii="宋体" w:hAnsi="宋体"/>
                <w:b/>
                <w:bCs/>
                <w:color w:val="auto"/>
                <w:szCs w:val="21"/>
                <w:highlight w:val="none"/>
                <w:lang w:val="en-US" w:eastAsia="zh-CN"/>
              </w:rPr>
              <w:t>（或者电子签名），</w:t>
            </w:r>
            <w:r>
              <w:rPr>
                <w:rFonts w:hint="eastAsia" w:ascii="宋体" w:hAnsi="宋体" w:cs="宋体"/>
                <w:b/>
                <w:color w:val="auto"/>
                <w:szCs w:val="21"/>
                <w:highlight w:val="none"/>
                <w:lang w:val="en-US" w:eastAsia="zh-CN"/>
              </w:rPr>
              <w:t>否则响应文件按无效处理。</w:t>
            </w:r>
          </w:p>
          <w:p w14:paraId="58A70139">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、分公司参加竞标的，应当取得总公司授权，否则响应文件按无效响应处理。</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注：分公司参加竞标的，总公司人员及业绩均予以认可</w:t>
            </w:r>
            <w:r>
              <w:rPr>
                <w:rFonts w:hint="eastAsia" w:ascii="宋体" w:hAnsi="宋体" w:cs="宋体"/>
                <w:b/>
                <w:color w:val="auto"/>
                <w:szCs w:val="21"/>
                <w:highlight w:val="none"/>
                <w:lang w:eastAsia="zh-CN"/>
              </w:rPr>
              <w:t>）</w:t>
            </w:r>
          </w:p>
        </w:tc>
      </w:tr>
      <w:tr w14:paraId="6025A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3E530F45">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8637" w:type="dxa"/>
            <w:noWrap w:val="0"/>
            <w:vAlign w:val="center"/>
          </w:tcPr>
          <w:p w14:paraId="7FAAA55E">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报价文件</w:t>
            </w:r>
          </w:p>
          <w:p w14:paraId="164134AA">
            <w:pPr>
              <w:numPr>
                <w:ilvl w:val="0"/>
                <w:numId w:val="4"/>
              </w:num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94175D8">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.中小企业声明函(或监狱企业、残疾人福利企业声明函)。</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rPr>
              <w:t>如有，请提供</w:t>
            </w:r>
            <w:r>
              <w:rPr>
                <w:rFonts w:hint="eastAsia" w:ascii="宋体" w:hAnsi="宋体" w:eastAsia="宋体" w:cs="宋体"/>
                <w:b/>
                <w:bCs/>
                <w:color w:val="auto"/>
                <w:szCs w:val="21"/>
                <w:highlight w:val="none"/>
                <w:lang w:val="en-US" w:eastAsia="zh-CN"/>
              </w:rPr>
              <w:t>）</w:t>
            </w:r>
          </w:p>
          <w:p w14:paraId="4E746AE7">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.供应商认为需要提供的其他有关资料。</w:t>
            </w:r>
          </w:p>
          <w:p w14:paraId="2C6E9F50">
            <w:pPr>
              <w:spacing w:line="360" w:lineRule="exact"/>
              <w:rPr>
                <w:rFonts w:hint="eastAsia" w:ascii="宋体" w:hAnsi="宋体" w:cs="宋体"/>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cs="宋体"/>
                <w:b/>
                <w:color w:val="auto"/>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否则响应文件按无效处理。</w:t>
            </w:r>
          </w:p>
        </w:tc>
      </w:tr>
      <w:tr w14:paraId="1262C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08B6683">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8637" w:type="dxa"/>
            <w:noWrap w:val="0"/>
            <w:vAlign w:val="center"/>
          </w:tcPr>
          <w:p w14:paraId="6F91676C">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5107155E">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F89957F">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6F4F51C">
            <w:pPr>
              <w:spacing w:line="360" w:lineRule="exact"/>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E809A72">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4.磋商保证金提交凭证；（</w:t>
            </w:r>
            <w:r>
              <w:rPr>
                <w:rFonts w:hint="eastAsia" w:ascii="宋体" w:hAnsi="宋体" w:cs="宋体"/>
                <w:b/>
                <w:bCs/>
                <w:color w:val="auto"/>
                <w:highlight w:val="none"/>
              </w:rPr>
              <w:t>必须提供</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24BF6F71">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616FAE9">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6.技术服务方案（格式自拟）； </w:t>
            </w:r>
          </w:p>
          <w:p w14:paraId="0F8679C8">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7.服务需求、技术需求偏离表（格式后附）；（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06FC619">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8.项目实施人员一览表（格式自拟）； </w:t>
            </w:r>
          </w:p>
          <w:p w14:paraId="106D9CC0">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9.对应采购需求的技术要求、商务要求提供的其他文件资料（格式自拟）；</w:t>
            </w:r>
          </w:p>
          <w:p w14:paraId="649D2855">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10.供应商认为需要提供的其他有关资料。</w:t>
            </w:r>
          </w:p>
          <w:p w14:paraId="08A9BDA9">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cs="宋体"/>
                <w:b/>
                <w:color w:val="auto"/>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否则响应文件按无效处理。</w:t>
            </w:r>
          </w:p>
        </w:tc>
      </w:tr>
      <w:tr w14:paraId="3BCB0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ECC157E">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8637" w:type="dxa"/>
            <w:noWrap w:val="0"/>
            <w:vAlign w:val="center"/>
          </w:tcPr>
          <w:p w14:paraId="380E8375">
            <w:pPr>
              <w:pStyle w:val="7"/>
              <w:widowControl w:val="0"/>
              <w:tabs>
                <w:tab w:val="left" w:pos="720"/>
                <w:tab w:val="left" w:pos="840"/>
              </w:tabs>
              <w:snapToGrid w:val="0"/>
              <w:spacing w:after="0" w:afterLines="0" w:line="360" w:lineRule="exact"/>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lang w:val="en-US" w:eastAsia="zh-CN"/>
              </w:rPr>
              <w:t>9</w:t>
            </w:r>
            <w:r>
              <w:rPr>
                <w:rFonts w:hint="eastAsia" w:ascii="宋体" w:hAnsi="宋体" w:cs="宋体"/>
                <w:color w:val="auto"/>
                <w:kern w:val="2"/>
                <w:sz w:val="21"/>
                <w:szCs w:val="21"/>
                <w:highlight w:val="none"/>
                <w:u w:val="single"/>
              </w:rPr>
              <w:t>0</w:t>
            </w:r>
            <w:r>
              <w:rPr>
                <w:rFonts w:hint="eastAsia" w:ascii="宋体" w:hAnsi="宋体" w:cs="宋体"/>
                <w:color w:val="auto"/>
                <w:kern w:val="2"/>
                <w:sz w:val="21"/>
                <w:szCs w:val="21"/>
                <w:highlight w:val="none"/>
              </w:rPr>
              <w:t>日。</w:t>
            </w:r>
          </w:p>
        </w:tc>
      </w:tr>
      <w:tr w14:paraId="265DF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325112E">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8637" w:type="dxa"/>
            <w:noWrap w:val="0"/>
            <w:vAlign w:val="center"/>
          </w:tcPr>
          <w:p w14:paraId="1FB0C357">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本项目不收取磋商保证金。</w:t>
            </w:r>
          </w:p>
          <w:p w14:paraId="7F3DFF8B">
            <w:pPr>
              <w:snapToGrid w:val="0"/>
              <w:spacing w:line="360" w:lineRule="exact"/>
              <w:rPr>
                <w:rFonts w:hint="eastAsia" w:ascii="宋体" w:hAnsi="宋体" w:cs="宋体"/>
                <w:color w:val="auto"/>
                <w:szCs w:val="21"/>
                <w:highlight w:val="none"/>
              </w:rPr>
            </w:pPr>
            <w:r>
              <w:rPr>
                <w:rFonts w:hint="eastAsia" w:hAnsi="宋体" w:cs="宋体"/>
                <w:b/>
                <w:bCs/>
                <w:color w:val="auto"/>
                <w:sz w:val="21"/>
                <w:highlight w:val="none"/>
              </w:rPr>
              <w:t>☑</w:t>
            </w:r>
            <w:r>
              <w:rPr>
                <w:rFonts w:hint="eastAsia" w:ascii="宋体" w:hAnsi="宋体" w:cs="宋体"/>
                <w:color w:val="auto"/>
                <w:szCs w:val="21"/>
                <w:highlight w:val="none"/>
              </w:rPr>
              <w:t>本项目收取磋商保证金，具体规定如下：</w:t>
            </w:r>
          </w:p>
          <w:p w14:paraId="7A34F848">
            <w:pPr>
              <w:spacing w:line="36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磋商保证金人民币</w:t>
            </w:r>
            <w:r>
              <w:rPr>
                <w:rFonts w:hint="eastAsia" w:ascii="宋体" w:hAnsi="宋体" w:cs="宋体"/>
                <w:color w:val="auto"/>
                <w:kern w:val="0"/>
                <w:szCs w:val="21"/>
                <w:highlight w:val="none"/>
                <w:lang w:eastAsia="zh-CN"/>
              </w:rPr>
              <w:t>：</w:t>
            </w:r>
            <w:r>
              <w:rPr>
                <w:rFonts w:hint="eastAsia" w:ascii="宋体" w:hAnsi="宋体"/>
                <w:b/>
                <w:bCs/>
                <w:color w:val="auto"/>
                <w:szCs w:val="21"/>
                <w:highlight w:val="none"/>
                <w:lang w:val="en-US" w:eastAsia="zh-CN"/>
              </w:rPr>
              <w:t>A分标：9000.00元；B分标：3000.00元；C分标：700.00元</w:t>
            </w:r>
            <w:r>
              <w:rPr>
                <w:rFonts w:hint="eastAsia" w:ascii="宋体" w:hAnsi="宋体" w:cs="宋体"/>
                <w:color w:val="auto"/>
                <w:kern w:val="0"/>
                <w:szCs w:val="21"/>
                <w:highlight w:val="none"/>
              </w:rPr>
              <w:t>。</w:t>
            </w:r>
          </w:p>
          <w:p w14:paraId="552E96B3">
            <w:pPr>
              <w:snapToGrid w:val="0"/>
              <w:spacing w:line="360" w:lineRule="exact"/>
              <w:rPr>
                <w:rFonts w:hint="eastAsia" w:ascii="宋体" w:hAnsi="宋体" w:cs="宋体"/>
                <w:color w:val="auto"/>
                <w:szCs w:val="21"/>
                <w:highlight w:val="none"/>
              </w:rPr>
            </w:pPr>
            <w:r>
              <w:rPr>
                <w:rFonts w:hint="eastAsia" w:ascii="宋体" w:hAnsi="宋体" w:cs="宋体"/>
                <w:color w:val="auto"/>
                <w:kern w:val="0"/>
                <w:szCs w:val="21"/>
                <w:highlight w:val="none"/>
              </w:rPr>
              <w:t>磋商保证金的交纳方式：竞</w:t>
            </w:r>
            <w:r>
              <w:rPr>
                <w:rFonts w:hint="eastAsia" w:ascii="宋体" w:hAnsi="宋体" w:cs="宋体"/>
                <w:color w:val="auto"/>
                <w:szCs w:val="21"/>
                <w:highlight w:val="none"/>
              </w:rPr>
              <w:t>标人应于竞标截止时间前将</w:t>
            </w:r>
            <w:r>
              <w:rPr>
                <w:rFonts w:hint="eastAsia" w:ascii="宋体" w:hAnsi="宋体" w:cs="宋体"/>
                <w:color w:val="auto"/>
                <w:kern w:val="0"/>
                <w:szCs w:val="21"/>
                <w:highlight w:val="none"/>
              </w:rPr>
              <w:t>磋商</w:t>
            </w:r>
            <w:r>
              <w:rPr>
                <w:rFonts w:hint="eastAsia" w:ascii="宋体" w:hAnsi="宋体" w:cs="宋体"/>
                <w:color w:val="auto"/>
                <w:szCs w:val="21"/>
                <w:highlight w:val="none"/>
              </w:rPr>
              <w:t>保证金从竞标人账户以</w:t>
            </w:r>
            <w:r>
              <w:rPr>
                <w:rFonts w:hint="eastAsia" w:ascii="宋体" w:hAnsi="宋体" w:cs="宋体"/>
                <w:color w:val="auto"/>
                <w:kern w:val="0"/>
                <w:szCs w:val="21"/>
                <w:highlight w:val="none"/>
              </w:rPr>
              <w:t>银行转账、支票、汇票、本票或者</w:t>
            </w:r>
            <w:r>
              <w:rPr>
                <w:rFonts w:hint="eastAsia" w:ascii="宋体" w:hAnsi="宋体" w:cs="宋体"/>
                <w:color w:val="auto"/>
                <w:kern w:val="0"/>
                <w:szCs w:val="21"/>
                <w:highlight w:val="none"/>
                <w:lang w:val="en-US" w:eastAsia="zh-CN"/>
              </w:rPr>
              <w:t>金融</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担保</w:t>
            </w:r>
            <w:r>
              <w:rPr>
                <w:rFonts w:hint="eastAsia" w:ascii="宋体" w:hAnsi="宋体" w:cs="宋体"/>
                <w:color w:val="auto"/>
                <w:kern w:val="0"/>
                <w:szCs w:val="21"/>
                <w:highlight w:val="none"/>
              </w:rPr>
              <w:t>机构出具的保函</w:t>
            </w:r>
            <w:r>
              <w:rPr>
                <w:rFonts w:hint="eastAsia" w:ascii="宋体" w:hAnsi="宋体" w:cs="宋体"/>
                <w:color w:val="auto"/>
                <w:szCs w:val="21"/>
                <w:highlight w:val="none"/>
              </w:rPr>
              <w:t>等非现金形式交至以下账户。（竞标人转账时，须在银行转账底单上备注项目标识如“项目名称或项目编号磋商保证金”，时间以银行确认的到达专用账户时间为准。）。</w:t>
            </w:r>
          </w:p>
          <w:p w14:paraId="08D782D9">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相关要求：</w:t>
            </w:r>
          </w:p>
          <w:p w14:paraId="46A3B901">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kern w:val="0"/>
                <w:szCs w:val="21"/>
                <w:highlight w:val="none"/>
              </w:rPr>
              <w:t>磋商</w:t>
            </w:r>
            <w:r>
              <w:rPr>
                <w:rFonts w:hint="eastAsia" w:ascii="宋体" w:hAnsi="宋体" w:cs="宋体"/>
                <w:color w:val="auto"/>
                <w:szCs w:val="21"/>
                <w:highlight w:val="none"/>
              </w:rPr>
              <w:t>保证金采用银行转账交纳方式的，在竞标截止时间前交至采购代理机构指定账户并且到账，竞标人应将银行转账底单的复印件作为</w:t>
            </w:r>
            <w:r>
              <w:rPr>
                <w:rFonts w:hint="eastAsia" w:ascii="宋体" w:hAnsi="宋体" w:cs="宋体"/>
                <w:color w:val="auto"/>
                <w:kern w:val="0"/>
                <w:szCs w:val="21"/>
                <w:highlight w:val="none"/>
              </w:rPr>
              <w:t>磋商</w:t>
            </w:r>
            <w:r>
              <w:rPr>
                <w:rFonts w:hint="eastAsia" w:ascii="宋体" w:hAnsi="宋体" w:cs="宋体"/>
                <w:color w:val="auto"/>
                <w:szCs w:val="21"/>
                <w:highlight w:val="none"/>
              </w:rPr>
              <w:t>保证金提交凭证，放置于商务技术文件中，</w:t>
            </w:r>
            <w:r>
              <w:rPr>
                <w:rFonts w:hint="eastAsia" w:ascii="宋体" w:hAnsi="宋体" w:cs="宋体"/>
                <w:b/>
                <w:color w:val="auto"/>
                <w:szCs w:val="21"/>
                <w:highlight w:val="none"/>
              </w:rPr>
              <w:t>否则</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无效。</w:t>
            </w:r>
          </w:p>
          <w:p w14:paraId="2BA2D9EA">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2、磋商保证金采用</w:t>
            </w:r>
            <w:r>
              <w:rPr>
                <w:rFonts w:hint="eastAsia" w:ascii="宋体" w:hAnsi="宋体" w:cs="宋体"/>
                <w:b/>
                <w:bCs/>
                <w:color w:val="auto"/>
                <w:szCs w:val="21"/>
                <w:highlight w:val="none"/>
              </w:rPr>
              <w:t>支票、汇票、本票或者金融、担保机构出具的保函交纳方式</w:t>
            </w:r>
            <w:r>
              <w:rPr>
                <w:rFonts w:hint="eastAsia" w:ascii="宋体" w:hAnsi="宋体" w:cs="宋体"/>
                <w:color w:val="auto"/>
                <w:szCs w:val="21"/>
                <w:highlight w:val="none"/>
              </w:rPr>
              <w:t>的，供应商应将支票、汇票、本票或者金融、担保机构出具的保函的复印件作为磋商保证金提交凭证，放置于商务技术文件中，</w:t>
            </w:r>
            <w:r>
              <w:rPr>
                <w:rFonts w:hint="eastAsia" w:ascii="宋体" w:hAnsi="宋体" w:cs="宋体"/>
                <w:b/>
                <w:color w:val="auto"/>
                <w:szCs w:val="21"/>
                <w:highlight w:val="none"/>
              </w:rPr>
              <w:t>否则</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无效</w:t>
            </w:r>
            <w:r>
              <w:rPr>
                <w:rFonts w:hint="eastAsia" w:ascii="宋体" w:hAnsi="宋体" w:cs="宋体"/>
                <w:color w:val="auto"/>
                <w:szCs w:val="21"/>
                <w:highlight w:val="none"/>
              </w:rPr>
              <w:t>。保函原件由竞标人于</w:t>
            </w:r>
            <w:r>
              <w:rPr>
                <w:rFonts w:hint="eastAsia" w:ascii="宋体" w:hAnsi="宋体" w:cs="宋体"/>
                <w:bCs/>
                <w:color w:val="auto"/>
                <w:szCs w:val="21"/>
                <w:highlight w:val="none"/>
              </w:rPr>
              <w:t>提交响应文件截止时间前1个小时递交到</w:t>
            </w:r>
            <w:r>
              <w:rPr>
                <w:rFonts w:hint="eastAsia" w:ascii="宋体" w:hAnsi="宋体" w:cs="宋体"/>
                <w:color w:val="auto"/>
                <w:szCs w:val="21"/>
                <w:highlight w:val="none"/>
              </w:rPr>
              <w:t xml:space="preserve">采购人或者采购代理机构，由采购人或者采购代理机构向竞标人出具回执，并妥善保管。 </w:t>
            </w:r>
          </w:p>
          <w:p w14:paraId="0E7FB2C9">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3、磋商保证金指定</w:t>
            </w:r>
            <w:r>
              <w:rPr>
                <w:rFonts w:hint="eastAsia" w:ascii="宋体" w:hAnsi="宋体" w:cs="宋体"/>
                <w:color w:val="auto"/>
                <w:szCs w:val="21"/>
                <w:highlight w:val="none"/>
                <w:lang w:eastAsia="zh-CN"/>
              </w:rPr>
              <w:t>账户</w:t>
            </w:r>
            <w:r>
              <w:rPr>
                <w:rFonts w:hint="eastAsia" w:ascii="宋体" w:hAnsi="宋体" w:cs="宋体"/>
                <w:color w:val="auto"/>
                <w:szCs w:val="21"/>
                <w:highlight w:val="none"/>
              </w:rPr>
              <w:t>：</w:t>
            </w:r>
          </w:p>
          <w:p w14:paraId="7AEB9D5F">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开户名称：广西建设工程机电设备招标中心有限公司</w:t>
            </w:r>
          </w:p>
          <w:p w14:paraId="6926C928">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开户银行：招商银行南宁分行营业部</w:t>
            </w:r>
          </w:p>
          <w:p w14:paraId="0D43244C">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账    号：7719  0142  3310  201；</w:t>
            </w:r>
          </w:p>
          <w:p w14:paraId="09DB8750">
            <w:pPr>
              <w:snapToGrid w:val="0"/>
              <w:spacing w:line="36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备注： </w:t>
            </w:r>
          </w:p>
          <w:p w14:paraId="05500574">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保证金在</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截止时间后提交的，或者不按规定交纳方式交纳的，或者未足额交纳的（包含保函额度不足的），视为无效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2B9FF9FE">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除外）转出</w:t>
            </w:r>
            <w:r>
              <w:rPr>
                <w:rFonts w:hint="eastAsia" w:ascii="宋体" w:hAnsi="宋体" w:cs="宋体"/>
                <w:b/>
                <w:bCs w:val="0"/>
                <w:color w:val="auto"/>
                <w:szCs w:val="21"/>
                <w:highlight w:val="none"/>
              </w:rPr>
              <w:t>的磋商</w:t>
            </w:r>
            <w:r>
              <w:rPr>
                <w:rFonts w:hint="eastAsia" w:ascii="宋体" w:hAnsi="宋体" w:cs="宋体"/>
                <w:b/>
                <w:color w:val="auto"/>
                <w:szCs w:val="21"/>
                <w:highlight w:val="none"/>
              </w:rPr>
              <w:t>保证金，视为无效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5995BDBB">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38560C51">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4、保函有效期低于</w:t>
            </w:r>
            <w:r>
              <w:rPr>
                <w:rFonts w:hint="eastAsia" w:ascii="宋体" w:hAnsi="宋体" w:cs="宋体"/>
                <w:b/>
                <w:color w:val="auto"/>
                <w:szCs w:val="21"/>
                <w:highlight w:val="none"/>
                <w:lang w:eastAsia="zh-CN"/>
              </w:rPr>
              <w:t>竞标</w:t>
            </w:r>
            <w:r>
              <w:rPr>
                <w:rFonts w:hint="eastAsia" w:ascii="宋体" w:hAnsi="宋体" w:cs="宋体"/>
                <w:b/>
                <w:color w:val="auto"/>
                <w:szCs w:val="21"/>
                <w:highlight w:val="none"/>
              </w:rPr>
              <w:t>有效期的，视为无效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4F06FEA9">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5、采用金融、担保机构出具保函的，必须为无条件保函，否则视为无效</w:t>
            </w:r>
            <w:r>
              <w:rPr>
                <w:rFonts w:hint="eastAsia" w:ascii="宋体" w:hAnsi="宋体" w:cs="宋体"/>
                <w:b/>
                <w:bCs/>
                <w:color w:val="auto"/>
                <w:szCs w:val="21"/>
                <w:highlight w:val="none"/>
              </w:rPr>
              <w:t>磋商</w:t>
            </w:r>
            <w:r>
              <w:rPr>
                <w:rFonts w:hint="eastAsia" w:ascii="宋体" w:hAnsi="宋体" w:cs="宋体"/>
                <w:b/>
                <w:color w:val="auto"/>
                <w:szCs w:val="21"/>
                <w:highlight w:val="none"/>
              </w:rPr>
              <w:t>保证金。</w:t>
            </w:r>
          </w:p>
          <w:p w14:paraId="3F638627">
            <w:pPr>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6.广西政府采购云平台暂未支持电子保函功能，故本项目暂不接受电子保函形式的保证金。</w:t>
            </w:r>
          </w:p>
        </w:tc>
      </w:tr>
      <w:tr w14:paraId="3D310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83FA202">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p>
        </w:tc>
        <w:tc>
          <w:tcPr>
            <w:tcW w:w="8637" w:type="dxa"/>
            <w:noWrap w:val="0"/>
            <w:vAlign w:val="center"/>
          </w:tcPr>
          <w:p w14:paraId="200726AE">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本项目不接受</w:t>
            </w:r>
            <w:r>
              <w:rPr>
                <w:rFonts w:hint="eastAsia" w:ascii="宋体" w:hAnsi="宋体" w:cs="宋体"/>
                <w:color w:val="auto"/>
                <w:highlight w:val="none"/>
              </w:rPr>
              <w:t>电子</w:t>
            </w:r>
            <w:r>
              <w:rPr>
                <w:rFonts w:hint="eastAsia" w:ascii="宋体" w:hAnsi="宋体" w:cs="宋体"/>
                <w:color w:val="auto"/>
                <w:szCs w:val="21"/>
                <w:highlight w:val="none"/>
              </w:rPr>
              <w:t>备份响应文件</w:t>
            </w:r>
          </w:p>
        </w:tc>
      </w:tr>
      <w:tr w14:paraId="2EAFB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7D47CC4">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8637" w:type="dxa"/>
            <w:noWrap w:val="0"/>
            <w:vAlign w:val="center"/>
          </w:tcPr>
          <w:p w14:paraId="67437965">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响应文件提交截止时间：详见竞争性磋商公告。</w:t>
            </w:r>
          </w:p>
          <w:p w14:paraId="07BA060B">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25DE4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3E02B2AF">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14</w:t>
            </w:r>
          </w:p>
        </w:tc>
        <w:tc>
          <w:tcPr>
            <w:tcW w:w="8637" w:type="dxa"/>
            <w:noWrap w:val="0"/>
            <w:vAlign w:val="center"/>
          </w:tcPr>
          <w:p w14:paraId="694EC6F0">
            <w:pPr>
              <w:snapToGrid w:val="0"/>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人或以上。</w:t>
            </w:r>
          </w:p>
        </w:tc>
      </w:tr>
      <w:tr w14:paraId="1898F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026BE189">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5</w:t>
            </w:r>
          </w:p>
        </w:tc>
        <w:tc>
          <w:tcPr>
            <w:tcW w:w="8637" w:type="dxa"/>
            <w:noWrap w:val="0"/>
            <w:vAlign w:val="center"/>
          </w:tcPr>
          <w:p w14:paraId="7A8C161D">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4E4AAD2C">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30</w:t>
            </w:r>
            <w:r>
              <w:rPr>
                <w:rFonts w:hint="eastAsia" w:ascii="宋体" w:hAnsi="宋体" w:cs="宋体"/>
                <w:color w:val="auto"/>
                <w:highlight w:val="none"/>
              </w:rPr>
              <w:t>分钟</w:t>
            </w:r>
          </w:p>
        </w:tc>
      </w:tr>
      <w:tr w14:paraId="561CB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70967DA7">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6</w:t>
            </w:r>
          </w:p>
        </w:tc>
        <w:tc>
          <w:tcPr>
            <w:tcW w:w="8637" w:type="dxa"/>
            <w:noWrap w:val="0"/>
            <w:vAlign w:val="center"/>
          </w:tcPr>
          <w:p w14:paraId="4B8EC80C">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75CB9C49">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0B259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0EAB1BFC">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8637" w:type="dxa"/>
            <w:noWrap w:val="0"/>
            <w:vAlign w:val="center"/>
          </w:tcPr>
          <w:p w14:paraId="28D1954D">
            <w:pPr>
              <w:autoSpaceDE w:val="0"/>
              <w:autoSpaceDN w:val="0"/>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b/>
                <w:bCs/>
                <w:color w:val="auto"/>
                <w:szCs w:val="21"/>
                <w:highlight w:val="none"/>
              </w:rPr>
              <w:t>本项目不收取履约保证金。</w:t>
            </w:r>
          </w:p>
          <w:p w14:paraId="2A53E14D">
            <w:pPr>
              <w:autoSpaceDE w:val="0"/>
              <w:autoSpaceDN w:val="0"/>
              <w:snapToGrid w:val="0"/>
              <w:spacing w:line="360" w:lineRule="auto"/>
              <w:textAlignment w:val="bottom"/>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本项目收取履约保证金，具体规定如下：</w:t>
            </w:r>
          </w:p>
          <w:p w14:paraId="0056CF28">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履约保证金金额：按成交金额的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hAnsi="宋体" w:cs="宋体"/>
                <w:color w:val="auto"/>
                <w:highlight w:val="none"/>
              </w:rPr>
              <w:t>成交供应商在合同签订前支付到采购人指定账户</w:t>
            </w:r>
            <w:r>
              <w:rPr>
                <w:rFonts w:hint="eastAsia" w:ascii="宋体" w:hAnsi="宋体" w:cs="宋体"/>
                <w:color w:val="auto"/>
                <w:szCs w:val="21"/>
                <w:highlight w:val="none"/>
              </w:rPr>
              <w:t>。</w:t>
            </w:r>
          </w:p>
          <w:p w14:paraId="041BAFFB">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履约保证金提交方式：银行转账、支票、汇票、本票或者银行、保险机构出具的保函等非现金方式（参照</w:t>
            </w:r>
            <w:r>
              <w:rPr>
                <w:rFonts w:hint="eastAsia" w:ascii="宋体" w:hAnsi="宋体" w:cs="宋体"/>
                <w:color w:val="auto"/>
                <w:szCs w:val="21"/>
                <w:highlight w:val="none"/>
                <w:lang w:eastAsia="zh-CN"/>
              </w:rPr>
              <w:t>磋商保证金</w:t>
            </w:r>
            <w:r>
              <w:rPr>
                <w:rFonts w:hint="eastAsia" w:ascii="宋体" w:hAnsi="宋体" w:cs="宋体"/>
                <w:color w:val="auto"/>
                <w:szCs w:val="21"/>
                <w:highlight w:val="none"/>
              </w:rPr>
              <w:t>）。</w:t>
            </w:r>
          </w:p>
          <w:p w14:paraId="7D26D6FA">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履约保证金退付方式、时间及条件：</w:t>
            </w:r>
            <w:r>
              <w:rPr>
                <w:rFonts w:hint="eastAsia" w:ascii="宋体" w:hAnsi="宋体" w:cs="宋体"/>
                <w:color w:val="auto"/>
                <w:szCs w:val="21"/>
                <w:highlight w:val="none"/>
                <w:u w:val="single"/>
              </w:rPr>
              <w:t>由成交供应商向履约保证金收取单位提供《广西壮族自治区政府采购项目合同验收书》（详见桂财采〔2015〕22号），保证金收取单位在收到合格材料后5个工作日内办理退还手续（不计利息）。</w:t>
            </w:r>
          </w:p>
          <w:p w14:paraId="2B7D8649">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履约保证金指定账户：</w:t>
            </w:r>
          </w:p>
          <w:p w14:paraId="077338A1">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开户名称：</w:t>
            </w:r>
          </w:p>
          <w:p w14:paraId="7A9A112F">
            <w:pPr>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银行账户：</w:t>
            </w:r>
          </w:p>
          <w:p w14:paraId="5C8E126C">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开户银行：</w:t>
            </w:r>
          </w:p>
          <w:p w14:paraId="3F7AFCBD">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行号：</w:t>
            </w:r>
          </w:p>
          <w:p w14:paraId="5CF224D9">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备注：</w:t>
            </w:r>
          </w:p>
          <w:p w14:paraId="6BBAA3DB">
            <w:pPr>
              <w:spacing w:line="400" w:lineRule="exact"/>
              <w:jc w:val="left"/>
              <w:rPr>
                <w:rFonts w:hint="eastAsia" w:ascii="宋体" w:hAnsi="宋体"/>
                <w:b/>
                <w:color w:val="auto"/>
                <w:szCs w:val="21"/>
                <w:highlight w:val="none"/>
              </w:rPr>
            </w:pPr>
            <w:r>
              <w:rPr>
                <w:rFonts w:hint="eastAsia" w:ascii="宋体" w:hAnsi="宋体"/>
                <w:b/>
                <w:color w:val="auto"/>
                <w:szCs w:val="21"/>
                <w:highlight w:val="none"/>
              </w:rPr>
              <w:t>1符合《广西壮族自治区财政厅关于进一步发挥政府采购政策功能促进企业发展的通知》桂财采〔2022〕30号 文件要求的，按照相关要求执行，</w:t>
            </w:r>
            <w:r>
              <w:rPr>
                <w:rFonts w:hint="eastAsia" w:ascii="宋体" w:hAnsi="宋体"/>
                <w:b/>
                <w:color w:val="auto"/>
                <w:szCs w:val="21"/>
                <w:highlight w:val="none"/>
                <w:lang w:eastAsia="zh-CN"/>
              </w:rPr>
              <w:t>成交</w:t>
            </w:r>
            <w:r>
              <w:rPr>
                <w:rFonts w:hint="eastAsia" w:ascii="宋体" w:hAnsi="宋体"/>
                <w:b/>
                <w:color w:val="auto"/>
                <w:szCs w:val="21"/>
                <w:highlight w:val="none"/>
              </w:rPr>
              <w:t>人在签订合同之前，足额提交履约保证金。未提交履约保证金的，不予签订合同。履约保证金自项目验收合格后，待</w:t>
            </w:r>
            <w:r>
              <w:rPr>
                <w:rFonts w:hint="eastAsia" w:ascii="宋体" w:hAnsi="宋体"/>
                <w:b/>
                <w:color w:val="auto"/>
                <w:szCs w:val="21"/>
                <w:highlight w:val="none"/>
                <w:lang w:eastAsia="zh-CN"/>
              </w:rPr>
              <w:t>成交</w:t>
            </w:r>
            <w:r>
              <w:rPr>
                <w:rFonts w:hint="eastAsia" w:ascii="宋体" w:hAnsi="宋体"/>
                <w:b/>
                <w:color w:val="auto"/>
                <w:szCs w:val="21"/>
                <w:highlight w:val="none"/>
              </w:rPr>
              <w:t>供应商履行完质保义务后无息退还。</w:t>
            </w:r>
          </w:p>
          <w:p w14:paraId="51A9BA70">
            <w:pPr>
              <w:spacing w:line="400" w:lineRule="exact"/>
              <w:jc w:val="left"/>
              <w:rPr>
                <w:rFonts w:hint="eastAsia" w:ascii="宋体" w:hAnsi="宋体"/>
                <w:b/>
                <w:color w:val="auto"/>
                <w:szCs w:val="21"/>
                <w:highlight w:val="none"/>
              </w:rPr>
            </w:pPr>
            <w:r>
              <w:rPr>
                <w:rFonts w:hint="eastAsia" w:ascii="宋体" w:hAnsi="宋体"/>
                <w:b/>
                <w:color w:val="auto"/>
                <w:szCs w:val="21"/>
                <w:highlight w:val="none"/>
              </w:rPr>
              <w:t>3</w:t>
            </w:r>
            <w:r>
              <w:rPr>
                <w:rFonts w:ascii="宋体" w:hAnsi="宋体"/>
                <w:b/>
                <w:color w:val="auto"/>
                <w:szCs w:val="21"/>
                <w:highlight w:val="none"/>
              </w:rPr>
              <w:t>.</w:t>
            </w:r>
            <w:r>
              <w:rPr>
                <w:rFonts w:hint="eastAsia" w:ascii="宋体" w:hAnsi="宋体"/>
                <w:color w:val="auto"/>
                <w:szCs w:val="21"/>
                <w:highlight w:val="none"/>
              </w:rPr>
              <w:t xml:space="preserve"> </w:t>
            </w:r>
            <w:r>
              <w:rPr>
                <w:rFonts w:hint="eastAsia" w:ascii="宋体" w:hAnsi="宋体"/>
                <w:b/>
                <w:color w:val="auto"/>
                <w:szCs w:val="21"/>
                <w:highlight w:val="none"/>
              </w:rPr>
              <w:t>履约保证金不足额缴纳的(包含保函额度不足的) ,或者不按规定提交方式提交的,或者保函有效期低于合同履行期限(即合同中规定的当事人履行自己的义务,如交付标的物、价款或者报酬，履行劳务、完成工作的时间界限)的,不予签订合同。</w:t>
            </w:r>
          </w:p>
          <w:p w14:paraId="1F7CC6EB">
            <w:pPr>
              <w:spacing w:line="400" w:lineRule="exact"/>
              <w:jc w:val="left"/>
              <w:rPr>
                <w:rFonts w:hint="eastAsia" w:ascii="宋体" w:hAnsi="宋体"/>
                <w:b/>
                <w:color w:val="auto"/>
                <w:szCs w:val="21"/>
                <w:highlight w:val="none"/>
              </w:rPr>
            </w:pPr>
            <w:r>
              <w:rPr>
                <w:rFonts w:hint="eastAsia" w:ascii="宋体" w:hAnsi="宋体"/>
                <w:b/>
                <w:color w:val="auto"/>
                <w:szCs w:val="21"/>
                <w:highlight w:val="none"/>
              </w:rPr>
              <w:t>4</w:t>
            </w:r>
            <w:r>
              <w:rPr>
                <w:rFonts w:ascii="宋体" w:hAnsi="宋体"/>
                <w:b/>
                <w:color w:val="auto"/>
                <w:szCs w:val="21"/>
                <w:highlight w:val="none"/>
              </w:rPr>
              <w:t>.</w:t>
            </w:r>
            <w:r>
              <w:rPr>
                <w:rFonts w:hint="eastAsia" w:ascii="宋体" w:hAnsi="宋体"/>
                <w:b/>
                <w:color w:val="auto"/>
                <w:szCs w:val="21"/>
                <w:highlight w:val="none"/>
              </w:rPr>
              <w:t>采用银行、保险机构出具的保函的,必须为无条件保函,否则不予签订合同</w:t>
            </w:r>
            <w:r>
              <w:rPr>
                <w:rFonts w:ascii="宋体" w:hAnsi="宋体"/>
                <w:b/>
                <w:color w:val="auto"/>
                <w:szCs w:val="21"/>
                <w:highlight w:val="none"/>
              </w:rPr>
              <w:t>。</w:t>
            </w:r>
          </w:p>
          <w:p w14:paraId="6D06C94F">
            <w:pPr>
              <w:snapToGrid w:val="0"/>
              <w:spacing w:line="360" w:lineRule="exact"/>
              <w:rPr>
                <w:rFonts w:hint="eastAsia" w:ascii="宋体" w:hAnsi="宋体" w:cs="宋体"/>
                <w:color w:val="auto"/>
                <w:szCs w:val="21"/>
                <w:highlight w:val="none"/>
              </w:rPr>
            </w:pPr>
            <w:r>
              <w:rPr>
                <w:rFonts w:hint="eastAsia" w:ascii="宋体" w:hAnsi="宋体"/>
                <w:b/>
                <w:color w:val="auto"/>
                <w:szCs w:val="21"/>
                <w:highlight w:val="none"/>
              </w:rPr>
              <w:t>5</w:t>
            </w:r>
            <w:r>
              <w:rPr>
                <w:rFonts w:ascii="宋体" w:hAnsi="宋体"/>
                <w:b/>
                <w:color w:val="auto"/>
                <w:szCs w:val="21"/>
                <w:highlight w:val="none"/>
              </w:rPr>
              <w:t>.</w:t>
            </w:r>
            <w:r>
              <w:rPr>
                <w:rFonts w:hint="eastAsia" w:ascii="宋体" w:hAnsi="宋体"/>
                <w:b/>
                <w:color w:val="auto"/>
                <w:szCs w:val="21"/>
                <w:highlight w:val="none"/>
                <w:lang w:eastAsia="zh-CN"/>
              </w:rPr>
              <w:t>竞标</w:t>
            </w:r>
            <w:r>
              <w:rPr>
                <w:rFonts w:hint="eastAsia" w:ascii="宋体" w:hAnsi="宋体"/>
                <w:b/>
                <w:color w:val="auto"/>
                <w:szCs w:val="21"/>
                <w:highlight w:val="none"/>
              </w:rPr>
              <w:t>人为联合体的，由联合体其中一方按规定提交的履约保证金，视为有效履约保证金。</w:t>
            </w:r>
          </w:p>
        </w:tc>
      </w:tr>
      <w:tr w14:paraId="6C5BA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4C0B3308">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8637" w:type="dxa"/>
            <w:noWrap w:val="0"/>
            <w:vAlign w:val="center"/>
          </w:tcPr>
          <w:p w14:paraId="027BA28C">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E631620">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53C57BD7">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10CD7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4D0AB804">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8637" w:type="dxa"/>
            <w:noWrap w:val="0"/>
            <w:vAlign w:val="center"/>
          </w:tcPr>
          <w:p w14:paraId="307FBD89">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339DCDAA">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质疑联系部门及联系方式：广西建设工程机电设备招标中心有限公司，联系电话：</w:t>
            </w:r>
            <w:r>
              <w:rPr>
                <w:rFonts w:hint="eastAsia" w:ascii="宋体" w:hAnsi="宋体" w:cs="宋体"/>
                <w:color w:val="auto"/>
                <w:szCs w:val="21"/>
                <w:highlight w:val="none"/>
                <w:lang w:eastAsia="zh-CN"/>
              </w:rPr>
              <w:t>0771-2869912</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南宁市青秀区枫林路18号广西国控集团（枫林路办公区）裙楼三层</w:t>
            </w:r>
            <w:r>
              <w:rPr>
                <w:rFonts w:hint="eastAsia" w:ascii="宋体" w:hAnsi="宋体" w:cs="宋体"/>
                <w:color w:val="auto"/>
                <w:szCs w:val="21"/>
                <w:highlight w:val="none"/>
              </w:rPr>
              <w:t>。</w:t>
            </w:r>
          </w:p>
          <w:p w14:paraId="7E5460D9">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现场提交质疑办理业务时间：每天9时00分到12时00分，15时00分到17时30分，业务时间以外、双休日和法定节假日不办理业务。</w:t>
            </w:r>
          </w:p>
        </w:tc>
      </w:tr>
      <w:tr w14:paraId="68754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D4C90D7">
            <w:pPr>
              <w:spacing w:line="36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8637" w:type="dxa"/>
            <w:noWrap w:val="0"/>
            <w:vAlign w:val="center"/>
          </w:tcPr>
          <w:p w14:paraId="7B13D98D">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1.采购代理费支付方式：</w:t>
            </w:r>
          </w:p>
          <w:p w14:paraId="2995BCE6">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☑本项目代理服务费由</w:t>
            </w:r>
            <w:r>
              <w:rPr>
                <w:rFonts w:hint="eastAsia" w:hAnsi="宋体" w:cs="宋体"/>
                <w:color w:val="auto"/>
                <w:sz w:val="21"/>
                <w:highlight w:val="none"/>
                <w:u w:val="single"/>
              </w:rPr>
              <w:t>成交供应商</w:t>
            </w:r>
            <w:r>
              <w:rPr>
                <w:rFonts w:hint="eastAsia" w:hAnsi="宋体" w:cs="宋体"/>
                <w:color w:val="auto"/>
                <w:sz w:val="21"/>
                <w:highlight w:val="none"/>
              </w:rPr>
              <w:t>领取成交通知书前，一次性向采购代理机构支付。</w:t>
            </w:r>
          </w:p>
          <w:p w14:paraId="19462CF9">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□采购人支付。</w:t>
            </w:r>
          </w:p>
          <w:p w14:paraId="1A127167">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2.采购代理费收取标准：</w:t>
            </w:r>
          </w:p>
          <w:p w14:paraId="121F8871">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rPr>
              <w:t>以</w:t>
            </w:r>
            <w:r>
              <w:rPr>
                <w:rFonts w:hint="eastAsia" w:hAnsi="宋体" w:cs="宋体"/>
                <w:color w:val="auto"/>
                <w:sz w:val="21"/>
                <w:highlight w:val="none"/>
                <w:lang w:val="en-US" w:eastAsia="zh-CN"/>
              </w:rPr>
              <w:t>项目</w:t>
            </w:r>
            <w:r>
              <w:rPr>
                <w:rFonts w:hint="eastAsia" w:hAnsi="宋体" w:cs="宋体"/>
                <w:color w:val="auto"/>
                <w:sz w:val="21"/>
                <w:highlight w:val="none"/>
              </w:rPr>
              <w:t>（☑成交金额/□采购预算/□暂定成交金额/□其他）为计费额，按本须知正文第32.2条规定的收费计算标准（□货物类/</w:t>
            </w:r>
            <w:r>
              <w:rPr>
                <w:rFonts w:hint="eastAsia" w:hAnsi="宋体" w:cs="宋体"/>
                <w:color w:val="auto"/>
                <w:highlight w:val="none"/>
              </w:rPr>
              <w:t xml:space="preserve"> </w:t>
            </w:r>
            <w:r>
              <w:rPr>
                <w:rFonts w:hint="eastAsia" w:hAnsi="宋体" w:cs="宋体"/>
                <w:color w:val="auto"/>
                <w:sz w:val="21"/>
                <w:highlight w:val="none"/>
              </w:rPr>
              <w:t>☑服务类/□工程类）采用差额定率累进法计算出收费基准价格，采购代理收费以（</w:t>
            </w:r>
            <w:r>
              <w:rPr>
                <w:rFonts w:hint="eastAsia" w:hAnsi="宋体" w:cs="宋体"/>
                <w:color w:val="auto"/>
                <w:sz w:val="21"/>
                <w:highlight w:val="none"/>
                <w:lang w:eastAsia="zh-CN"/>
              </w:rPr>
              <w:t>☑</w:t>
            </w:r>
            <w:r>
              <w:rPr>
                <w:rFonts w:hint="eastAsia" w:hAnsi="宋体" w:cs="宋体"/>
                <w:color w:val="auto"/>
                <w:sz w:val="21"/>
                <w:highlight w:val="none"/>
              </w:rPr>
              <w:t>收费基准价格/</w:t>
            </w:r>
            <w:r>
              <w:rPr>
                <w:rFonts w:hint="eastAsia" w:hAnsi="宋体" w:cs="宋体"/>
                <w:color w:val="auto"/>
                <w:sz w:val="21"/>
                <w:highlight w:val="none"/>
                <w:lang w:eastAsia="zh-CN"/>
              </w:rPr>
              <w:t>□</w:t>
            </w:r>
            <w:r>
              <w:rPr>
                <w:rFonts w:hint="eastAsia" w:hAnsi="宋体" w:cs="宋体"/>
                <w:color w:val="auto"/>
                <w:sz w:val="21"/>
                <w:highlight w:val="none"/>
              </w:rPr>
              <w:t>收费基准价格下浮</w:t>
            </w:r>
            <w:r>
              <w:rPr>
                <w:rFonts w:hint="eastAsia" w:hAnsi="宋体" w:cs="宋体"/>
                <w:color w:val="auto"/>
                <w:sz w:val="21"/>
                <w:highlight w:val="none"/>
                <w:u w:val="single"/>
              </w:rPr>
              <w:t xml:space="preserve"> </w:t>
            </w:r>
            <w:r>
              <w:rPr>
                <w:rFonts w:hint="eastAsia" w:hAnsi="宋体" w:cs="宋体"/>
                <w:color w:val="auto"/>
                <w:sz w:val="21"/>
                <w:highlight w:val="none"/>
                <w:u w:val="single"/>
                <w:lang w:val="en-US" w:eastAsia="zh-CN"/>
              </w:rPr>
              <w:t xml:space="preserve">   </w:t>
            </w:r>
            <w:r>
              <w:rPr>
                <w:rFonts w:hint="eastAsia" w:hAnsi="宋体" w:cs="宋体"/>
                <w:color w:val="auto"/>
                <w:sz w:val="21"/>
                <w:highlight w:val="none"/>
                <w:u w:val="single"/>
              </w:rPr>
              <w:t>%</w:t>
            </w:r>
            <w:r>
              <w:rPr>
                <w:rFonts w:hint="eastAsia" w:hAnsi="宋体" w:cs="宋体"/>
                <w:color w:val="auto"/>
                <w:sz w:val="21"/>
                <w:highlight w:val="none"/>
              </w:rPr>
              <w:t>/□收费基准价格上浮</w:t>
            </w:r>
            <w:r>
              <w:rPr>
                <w:rFonts w:hint="eastAsia" w:hAnsi="宋体" w:cs="宋体"/>
                <w:color w:val="auto"/>
                <w:sz w:val="21"/>
                <w:highlight w:val="none"/>
                <w:u w:val="single"/>
              </w:rPr>
              <w:t xml:space="preserve">   %</w:t>
            </w:r>
            <w:r>
              <w:rPr>
                <w:rFonts w:hint="eastAsia" w:hAnsi="宋体" w:cs="宋体"/>
                <w:color w:val="auto"/>
                <w:sz w:val="21"/>
                <w:highlight w:val="none"/>
              </w:rPr>
              <w:t>）收取。</w:t>
            </w:r>
          </w:p>
          <w:p w14:paraId="358601A3">
            <w:pPr>
              <w:pStyle w:val="15"/>
              <w:snapToGrid w:val="0"/>
              <w:spacing w:line="360" w:lineRule="exact"/>
              <w:rPr>
                <w:rFonts w:hint="eastAsia"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p>
          <w:p w14:paraId="747568EB">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3. 采购代理费收取银行账户</w:t>
            </w:r>
          </w:p>
          <w:p w14:paraId="56298022">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开户名称：广西建设工程机电设备招标中心有限公司</w:t>
            </w:r>
          </w:p>
          <w:p w14:paraId="5F2A498A">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开户银行：招商银行南宁分行营业部</w:t>
            </w:r>
          </w:p>
          <w:p w14:paraId="35F65DD7">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银行账号：7719</w:t>
            </w:r>
            <w:r>
              <w:rPr>
                <w:rFonts w:hint="eastAsia" w:hAnsi="宋体" w:cs="宋体"/>
                <w:color w:val="auto"/>
                <w:sz w:val="21"/>
                <w:highlight w:val="none"/>
                <w:lang w:val="en-US" w:eastAsia="zh-CN"/>
              </w:rPr>
              <w:t xml:space="preserve"> </w:t>
            </w:r>
            <w:r>
              <w:rPr>
                <w:rFonts w:hint="eastAsia" w:hAnsi="宋体" w:cs="宋体"/>
                <w:color w:val="auto"/>
                <w:sz w:val="21"/>
                <w:highlight w:val="none"/>
              </w:rPr>
              <w:t>0142</w:t>
            </w:r>
            <w:r>
              <w:rPr>
                <w:rFonts w:hint="eastAsia" w:hAnsi="宋体" w:cs="宋体"/>
                <w:color w:val="auto"/>
                <w:sz w:val="21"/>
                <w:highlight w:val="none"/>
                <w:lang w:val="en-US" w:eastAsia="zh-CN"/>
              </w:rPr>
              <w:t xml:space="preserve"> </w:t>
            </w:r>
            <w:r>
              <w:rPr>
                <w:rFonts w:hint="eastAsia" w:hAnsi="宋体" w:cs="宋体"/>
                <w:color w:val="auto"/>
                <w:sz w:val="21"/>
                <w:highlight w:val="none"/>
              </w:rPr>
              <w:t>3310</w:t>
            </w:r>
            <w:r>
              <w:rPr>
                <w:rFonts w:hint="eastAsia" w:hAnsi="宋体" w:cs="宋体"/>
                <w:color w:val="auto"/>
                <w:sz w:val="21"/>
                <w:highlight w:val="none"/>
                <w:lang w:val="en-US" w:eastAsia="zh-CN"/>
              </w:rPr>
              <w:t xml:space="preserve"> </w:t>
            </w:r>
            <w:r>
              <w:rPr>
                <w:rFonts w:hint="eastAsia" w:hAnsi="宋体" w:cs="宋体"/>
                <w:color w:val="auto"/>
                <w:sz w:val="21"/>
                <w:highlight w:val="none"/>
              </w:rPr>
              <w:t>201</w:t>
            </w:r>
          </w:p>
          <w:p w14:paraId="65816B97">
            <w:pPr>
              <w:rPr>
                <w:rFonts w:hint="eastAsia"/>
                <w:color w:val="auto"/>
                <w:highlight w:val="none"/>
              </w:rPr>
            </w:pPr>
            <w:r>
              <w:rPr>
                <w:rFonts w:hint="eastAsia" w:hAnsi="宋体" w:cs="宋体"/>
                <w:color w:val="auto"/>
                <w:sz w:val="21"/>
                <w:highlight w:val="none"/>
              </w:rPr>
              <w:t>备注信息：</w:t>
            </w:r>
            <w:r>
              <w:rPr>
                <w:rFonts w:hint="eastAsia" w:hAnsi="宋体" w:cs="宋体"/>
                <w:b w:val="0"/>
                <w:bCs w:val="0"/>
                <w:color w:val="auto"/>
                <w:sz w:val="21"/>
                <w:highlight w:val="none"/>
              </w:rPr>
              <w:t>（</w:t>
            </w:r>
            <w:r>
              <w:rPr>
                <w:rFonts w:hint="eastAsia" w:ascii="宋体" w:hAnsi="宋体" w:eastAsia="宋体" w:cs="宋体"/>
                <w:color w:val="auto"/>
                <w:kern w:val="0"/>
                <w:sz w:val="21"/>
                <w:szCs w:val="21"/>
                <w:highlight w:val="none"/>
                <w:lang w:val="en-US" w:eastAsia="zh-CN" w:bidi="ar-SA"/>
              </w:rPr>
              <w:t>GXZC2026-C3-002736-JGJD</w:t>
            </w:r>
            <w:r>
              <w:rPr>
                <w:rFonts w:hint="eastAsia" w:hAnsi="宋体" w:cs="宋体"/>
                <w:b w:val="0"/>
                <w:bCs w:val="0"/>
                <w:color w:val="auto"/>
                <w:sz w:val="21"/>
                <w:highlight w:val="none"/>
              </w:rPr>
              <w:t>）</w:t>
            </w:r>
            <w:r>
              <w:rPr>
                <w:rFonts w:hint="eastAsia" w:hAnsi="宋体" w:cs="宋体"/>
                <w:color w:val="auto"/>
                <w:sz w:val="21"/>
                <w:highlight w:val="none"/>
              </w:rPr>
              <w:t>服务费</w:t>
            </w:r>
          </w:p>
        </w:tc>
      </w:tr>
      <w:tr w14:paraId="2FC42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BE25D83">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w:t>
            </w:r>
          </w:p>
        </w:tc>
        <w:tc>
          <w:tcPr>
            <w:tcW w:w="8637" w:type="dxa"/>
            <w:noWrap w:val="0"/>
            <w:vAlign w:val="center"/>
          </w:tcPr>
          <w:p w14:paraId="55AADA5A">
            <w:pPr>
              <w:pStyle w:val="15"/>
              <w:snapToGrid w:val="0"/>
              <w:spacing w:line="360" w:lineRule="exact"/>
              <w:rPr>
                <w:rFonts w:hint="eastAsia" w:hAnsi="宋体" w:cs="宋体"/>
                <w:color w:val="auto"/>
                <w:kern w:val="2"/>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6600A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64514E2">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2</w:t>
            </w:r>
          </w:p>
        </w:tc>
        <w:tc>
          <w:tcPr>
            <w:tcW w:w="8637" w:type="dxa"/>
            <w:noWrap w:val="0"/>
            <w:vAlign w:val="center"/>
          </w:tcPr>
          <w:p w14:paraId="46CFEB9A">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w:t>
            </w:r>
            <w:r>
              <w:rPr>
                <w:rFonts w:hint="eastAsia" w:hAnsi="宋体" w:cs="宋体"/>
                <w:color w:val="auto"/>
                <w:sz w:val="21"/>
                <w:highlight w:val="none"/>
                <w:lang w:eastAsia="zh-CN"/>
              </w:rPr>
              <w:t>，使</w:t>
            </w:r>
            <w:r>
              <w:rPr>
                <w:rFonts w:hint="eastAsia" w:hAnsi="宋体" w:cs="宋体"/>
                <w:color w:val="auto"/>
                <w:sz w:val="21"/>
                <w:highlight w:val="none"/>
              </w:rPr>
              <w:t>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F6E0CA9">
            <w:pPr>
              <w:pStyle w:val="15"/>
              <w:snapToGrid w:val="0"/>
              <w:spacing w:line="360" w:lineRule="exact"/>
              <w:rPr>
                <w:rFonts w:hint="eastAsia" w:hAnsi="宋体" w:cs="宋体"/>
                <w:color w:val="auto"/>
                <w:sz w:val="21"/>
                <w:highlight w:val="none"/>
              </w:rPr>
            </w:pPr>
            <w:r>
              <w:rPr>
                <w:rFonts w:hint="eastAsia" w:hAnsi="宋体" w:cs="宋体"/>
                <w:bCs/>
                <w:color w:val="auto"/>
                <w:sz w:val="21"/>
                <w:highlight w:val="none"/>
              </w:rPr>
              <w:t>2.本磋商文件所称的“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332627DF">
            <w:pPr>
              <w:pStyle w:val="15"/>
              <w:snapToGrid w:val="0"/>
              <w:spacing w:line="360" w:lineRule="exact"/>
              <w:rPr>
                <w:rFonts w:hint="eastAsia" w:hAnsi="宋体" w:cs="宋体"/>
                <w:bCs/>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62A3280B">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69CEB349">
            <w:pPr>
              <w:pStyle w:val="15"/>
              <w:snapToGrid w:val="0"/>
              <w:spacing w:line="360" w:lineRule="exact"/>
              <w:rPr>
                <w:rFonts w:hint="eastAsia"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06BD2F29">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623570F6">
      <w:pPr>
        <w:spacing w:line="360" w:lineRule="auto"/>
        <w:jc w:val="center"/>
        <w:rPr>
          <w:rFonts w:hint="eastAsia" w:ascii="宋体" w:hAnsi="宋体" w:cs="宋体"/>
          <w:color w:val="auto"/>
          <w:szCs w:val="21"/>
          <w:highlight w:val="none"/>
        </w:rPr>
      </w:pPr>
      <w:r>
        <w:rPr>
          <w:rFonts w:hint="eastAsia" w:ascii="宋体" w:hAnsi="宋体" w:cs="宋体"/>
          <w:b/>
          <w:color w:val="auto"/>
          <w:sz w:val="32"/>
          <w:szCs w:val="32"/>
          <w:highlight w:val="none"/>
        </w:rPr>
        <w:t>一、总 则</w:t>
      </w:r>
    </w:p>
    <w:p w14:paraId="03D32909">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1.适用范围</w:t>
      </w:r>
    </w:p>
    <w:p w14:paraId="2CE809F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C21CC7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49B7155A">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2.定义</w:t>
      </w:r>
    </w:p>
    <w:p w14:paraId="2402091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w:t>
      </w:r>
      <w:r>
        <w:rPr>
          <w:rFonts w:hint="eastAsia" w:ascii="宋体" w:hAnsi="宋体" w:cs="宋体"/>
          <w:color w:val="auto"/>
          <w:szCs w:val="21"/>
          <w:highlight w:val="none"/>
          <w:lang w:eastAsia="zh-CN"/>
        </w:rPr>
        <w:t>广西安全工程职业技术学院</w:t>
      </w:r>
      <w:r>
        <w:rPr>
          <w:rFonts w:hint="eastAsia" w:ascii="宋体" w:hAnsi="宋体" w:cs="宋体"/>
          <w:color w:val="auto"/>
          <w:szCs w:val="21"/>
          <w:highlight w:val="none"/>
        </w:rPr>
        <w:t>。</w:t>
      </w:r>
    </w:p>
    <w:p w14:paraId="13FB3265">
      <w:pPr>
        <w:spacing w:line="4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2.2“采购代理机构”是指广西建设工程机电设备招标中心有限公司。</w:t>
      </w:r>
    </w:p>
    <w:p w14:paraId="4E229E0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2.3“成交供应商”是指向采购人提供货物、工程或者服务的法人、其他组织或者自然人。</w:t>
      </w:r>
    </w:p>
    <w:p w14:paraId="4092577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776BDD5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1FE20FD1">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7A81FAE4">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32001610">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559486EA">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33BB0D1A">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2.10“负偏离”，是指响应文件对磋商文件“采购需求”中有关条款作出的响应不满足条款要求，导致采购人要求不能得到满足的情形。</w:t>
      </w:r>
    </w:p>
    <w:p w14:paraId="636ED621">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2924430F">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68EFAB8E">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3.供应商的资格条件</w:t>
      </w:r>
    </w:p>
    <w:p w14:paraId="3540654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E082B17">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4.竞标费用</w:t>
      </w:r>
    </w:p>
    <w:p w14:paraId="00E58F4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39F4F2B1">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5.联合体竞标</w:t>
      </w:r>
    </w:p>
    <w:p w14:paraId="386E9A0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23B58B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5.2如接受联合体竞标，联合体竞标要求详见“供应商须知前附表”。</w:t>
      </w:r>
    </w:p>
    <w:p w14:paraId="38FADFA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60" w:name="_Hlk65857072"/>
      <w:r>
        <w:rPr>
          <w:rFonts w:hint="eastAsia" w:ascii="宋体" w:hAnsi="宋体" w:cs="宋体"/>
          <w:color w:val="auto"/>
          <w:szCs w:val="21"/>
          <w:highlight w:val="none"/>
        </w:rPr>
        <w:t>根据《政府采购促进中小企业发展管理办法》(财库</w:t>
      </w:r>
      <w:r>
        <w:rPr>
          <w:rFonts w:hint="eastAsia" w:ascii="宋体" w:hAnsi="宋体" w:cs="宋体"/>
          <w:color w:val="auto"/>
          <w:szCs w:val="21"/>
          <w:highlight w:val="none"/>
          <w:lang w:eastAsia="zh-CN"/>
        </w:rPr>
        <w:t>〔2020〕46号）</w:t>
      </w:r>
      <w:r>
        <w:rPr>
          <w:rFonts w:hint="eastAsia" w:ascii="宋体" w:hAnsi="宋体" w:cs="宋体"/>
          <w:color w:val="auto"/>
          <w:szCs w:val="21"/>
          <w:highlight w:val="none"/>
        </w:rPr>
        <w:t>第九条第二款及《广西壮族自治区财政厅关于进一步发挥政府采购政策功能促进企业发展的通知》</w:t>
      </w:r>
      <w:r>
        <w:rPr>
          <w:rFonts w:hint="eastAsia" w:ascii="宋体" w:hAnsi="宋体" w:cs="宋体"/>
          <w:color w:val="auto"/>
          <w:szCs w:val="21"/>
          <w:highlight w:val="none"/>
          <w:lang w:eastAsia="zh-CN"/>
        </w:rPr>
        <w:t>（</w:t>
      </w:r>
      <w:r>
        <w:rPr>
          <w:rFonts w:hint="eastAsia" w:ascii="宋体" w:hAnsi="宋体" w:cs="宋体"/>
          <w:color w:val="auto"/>
          <w:szCs w:val="21"/>
          <w:highlight w:val="none"/>
        </w:rPr>
        <w:t>桂财采</w:t>
      </w:r>
      <w:r>
        <w:rPr>
          <w:rFonts w:hint="eastAsia" w:ascii="宋体" w:hAnsi="宋体" w:cs="宋体"/>
          <w:color w:val="auto"/>
          <w:szCs w:val="21"/>
          <w:highlight w:val="none"/>
          <w:lang w:eastAsia="zh-CN"/>
        </w:rPr>
        <w:t>〔2022〕30号）</w:t>
      </w:r>
      <w:r>
        <w:rPr>
          <w:rFonts w:hint="eastAsia" w:ascii="宋体" w:hAnsi="宋体" w:cs="宋体"/>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w:t>
      </w:r>
      <w:r>
        <w:rPr>
          <w:rFonts w:hint="eastAsia" w:ascii="宋体" w:hAnsi="宋体" w:cs="宋体"/>
          <w:color w:val="auto"/>
          <w:szCs w:val="21"/>
          <w:highlight w:val="none"/>
          <w:lang w:val="en-US" w:eastAsia="zh-CN"/>
        </w:rPr>
        <w:t>以</w:t>
      </w:r>
      <w:r>
        <w:rPr>
          <w:rFonts w:hint="eastAsia" w:ascii="宋体" w:hAnsi="宋体" w:cs="宋体"/>
          <w:color w:val="auto"/>
          <w:szCs w:val="21"/>
          <w:highlight w:val="none"/>
        </w:rPr>
        <w:t>上的，采购人、采购代理机构应当对联合体或者大中型企业的报价给予4%-6%的扣除，用扣除后的价格参加评审。</w:t>
      </w:r>
      <w:bookmarkEnd w:id="60"/>
    </w:p>
    <w:p w14:paraId="4F51D235">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6.转包与分包             </w:t>
      </w:r>
    </w:p>
    <w:p w14:paraId="198FBF03">
      <w:pPr>
        <w:spacing w:line="400" w:lineRule="exact"/>
        <w:ind w:firstLine="420" w:firstLineChars="200"/>
        <w:outlineLvl w:val="9"/>
        <w:rPr>
          <w:rFonts w:hint="eastAsia" w:ascii="宋体" w:hAnsi="宋体" w:eastAsia="宋体" w:cs="宋体"/>
          <w:b w:val="0"/>
          <w:color w:val="auto"/>
          <w:sz w:val="21"/>
          <w:szCs w:val="21"/>
          <w:highlight w:val="none"/>
        </w:rPr>
      </w:pPr>
      <w:bookmarkStart w:id="61" w:name="_Toc254970673"/>
      <w:bookmarkStart w:id="62" w:name="_Toc254970532"/>
      <w:r>
        <w:rPr>
          <w:rFonts w:hint="eastAsia" w:ascii="宋体" w:hAnsi="宋体" w:eastAsia="宋体" w:cs="宋体"/>
          <w:b w:val="0"/>
          <w:color w:val="auto"/>
          <w:sz w:val="21"/>
          <w:szCs w:val="21"/>
          <w:highlight w:val="none"/>
        </w:rPr>
        <w:t>6.1本项目不允许转包。</w:t>
      </w:r>
    </w:p>
    <w:p w14:paraId="6E40C2A0">
      <w:pPr>
        <w:spacing w:line="400" w:lineRule="exact"/>
        <w:ind w:firstLine="420" w:firstLineChars="200"/>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6.2本项目是否允许分包详见“供应商须知前附表”，本项目不允许违法分包。允许分包的非主体、非关键性工作，根据法律法规规定承担该工作需要相应能力的，如该工作由供应商自行承担，供应商应具备相应的能力，如供应商不具备相应的能力必须采用分包的方式，但分包供应商应具备相应能力。</w:t>
      </w:r>
    </w:p>
    <w:p w14:paraId="23107216">
      <w:pPr>
        <w:spacing w:line="400" w:lineRule="exact"/>
        <w:ind w:firstLine="420" w:firstLineChars="200"/>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6.3供应商根据磋商文件的规定和采购项目的实际情况，拟在成交后将成交项目的非主体、非关键性工作分包的，应当在响应文件中载明分包承担主体，分包承担主体应当具备相应能力条件且不得再次分包。</w:t>
      </w:r>
    </w:p>
    <w:p w14:paraId="36B98B0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7.特别说明</w:t>
      </w:r>
      <w:bookmarkEnd w:id="61"/>
      <w:bookmarkEnd w:id="62"/>
    </w:p>
    <w:p w14:paraId="0FA1BD66">
      <w:pPr>
        <w:spacing w:line="400" w:lineRule="exact"/>
        <w:ind w:firstLine="420" w:firstLineChars="200"/>
        <w:rPr>
          <w:rFonts w:hint="eastAsia" w:ascii="宋体" w:hAnsi="宋体" w:cs="宋体"/>
          <w:color w:val="auto"/>
          <w:szCs w:val="21"/>
          <w:highlight w:val="none"/>
        </w:rPr>
      </w:pPr>
      <w:bookmarkStart w:id="63" w:name="_8.1提供相同品牌产品且通过资格审查、符合性审查的不同投标人参加同一合"/>
      <w:bookmarkEnd w:id="63"/>
      <w:r>
        <w:rPr>
          <w:rFonts w:hint="eastAsia" w:ascii="宋体" w:hAnsi="宋体" w:cs="宋体"/>
          <w:color w:val="auto"/>
          <w:szCs w:val="21"/>
          <w:highlight w:val="none"/>
        </w:rPr>
        <w:t>7.1</w:t>
      </w:r>
      <w:bookmarkStart w:id="64"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64"/>
    <w:p w14:paraId="54E0209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6C7E693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214EF58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4CB2C75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2E19D2A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8711B4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136DC6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CAC1BC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5093A10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38C3F8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1256D14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或者不同供应商报名的IP地址一致的</w:t>
      </w:r>
      <w:r>
        <w:rPr>
          <w:rFonts w:hint="eastAsia" w:ascii="宋体" w:hAnsi="宋体" w:cs="宋体"/>
          <w:color w:val="auto"/>
          <w:szCs w:val="21"/>
          <w:highlight w:val="none"/>
        </w:rPr>
        <w:t xml:space="preserve">； </w:t>
      </w:r>
    </w:p>
    <w:p w14:paraId="7D7F399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B1489E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04942FA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0180F98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020B4661">
      <w:pPr>
        <w:tabs>
          <w:tab w:val="left" w:pos="6931"/>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2260B95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420FB7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6AFAD7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8EACB0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1CB0BC7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284BD8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2FE2FC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490BFD8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2BDA9EE9">
      <w:pPr>
        <w:spacing w:line="400" w:lineRule="exact"/>
        <w:rPr>
          <w:rFonts w:hint="eastAsia" w:ascii="宋体" w:hAnsi="宋体" w:cs="宋体"/>
          <w:color w:val="auto"/>
          <w:szCs w:val="21"/>
          <w:highlight w:val="none"/>
        </w:rPr>
      </w:pPr>
      <w:bookmarkStart w:id="65" w:name="_Toc254970534"/>
      <w:bookmarkStart w:id="66" w:name="_Toc254970675"/>
    </w:p>
    <w:p w14:paraId="2DD708B3">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二、磋商文件</w:t>
      </w:r>
      <w:bookmarkEnd w:id="65"/>
      <w:bookmarkEnd w:id="66"/>
    </w:p>
    <w:p w14:paraId="0DB98A39">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8.磋商文件的构成</w:t>
      </w:r>
    </w:p>
    <w:p w14:paraId="5729ACA2">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159EF6D3">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1A1C62E">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42668EC">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6A9BBCA">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42D40A7A">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5742C087">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9.供应商的询问</w:t>
      </w:r>
    </w:p>
    <w:p w14:paraId="5320A7A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61F85465">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10.磋商文件的澄清和修改</w:t>
      </w:r>
    </w:p>
    <w:p w14:paraId="261C4D1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时间至少5个工作日前，以书面形式通知所有获取磋商文件的供应商，不足5日的，应当顺延提交首次响应文件截止之日。</w:t>
      </w:r>
    </w:p>
    <w:p w14:paraId="0331A1B5">
      <w:pPr>
        <w:spacing w:line="400" w:lineRule="exact"/>
        <w:rPr>
          <w:rFonts w:hint="eastAsia" w:ascii="宋体" w:hAnsi="宋体" w:cs="宋体"/>
          <w:color w:val="auto"/>
          <w:szCs w:val="21"/>
          <w:highlight w:val="none"/>
        </w:rPr>
      </w:pPr>
    </w:p>
    <w:p w14:paraId="3B7B08D8">
      <w:pPr>
        <w:spacing w:line="400" w:lineRule="exact"/>
        <w:jc w:val="center"/>
        <w:rPr>
          <w:rFonts w:hint="eastAsia" w:ascii="宋体" w:hAnsi="宋体" w:cs="宋体"/>
          <w:color w:val="auto"/>
          <w:szCs w:val="21"/>
          <w:highlight w:val="none"/>
        </w:rPr>
      </w:pPr>
      <w:r>
        <w:rPr>
          <w:rFonts w:hint="eastAsia" w:ascii="宋体" w:hAnsi="宋体" w:cs="宋体"/>
          <w:b/>
          <w:color w:val="auto"/>
          <w:sz w:val="32"/>
          <w:szCs w:val="32"/>
          <w:highlight w:val="none"/>
        </w:rPr>
        <w:t>三、响应文件的编制</w:t>
      </w:r>
    </w:p>
    <w:p w14:paraId="5A2FABA5">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11.响应文件的编制原则</w:t>
      </w:r>
    </w:p>
    <w:p w14:paraId="012EB15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23180D1E">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12.响应文件的组成</w:t>
      </w:r>
    </w:p>
    <w:p w14:paraId="15C28B1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5B1FC48F">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06CA22E4">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1BD4FE9C">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9E9F3AF">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13.计量单位</w:t>
      </w:r>
    </w:p>
    <w:p w14:paraId="6395A24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9D44BA2">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14.竞标的风险</w:t>
      </w:r>
    </w:p>
    <w:p w14:paraId="0516D63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17DB39C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15.竞标报价</w:t>
      </w:r>
    </w:p>
    <w:p w14:paraId="2FDC0788">
      <w:pPr>
        <w:tabs>
          <w:tab w:val="left" w:pos="2492"/>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308B3627">
      <w:pPr>
        <w:tabs>
          <w:tab w:val="left" w:pos="2492"/>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F3385FA">
      <w:pPr>
        <w:spacing w:line="400" w:lineRule="exact"/>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0D96BFF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14:paraId="59477E8E">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5A7FD96B">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08DED9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0DC271D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15.3.2竞标报价（包含首次报价、最后报价）超过所竞标分标规定的采购预算金额或者最高限价的，其响应文件将按无效处理。</w:t>
      </w:r>
    </w:p>
    <w:p w14:paraId="044290B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67" w:name="_Hlk42592874"/>
      <w:r>
        <w:rPr>
          <w:rFonts w:hint="eastAsia" w:ascii="宋体" w:hAnsi="宋体" w:cs="宋体"/>
          <w:color w:val="auto"/>
          <w:szCs w:val="21"/>
          <w:highlight w:val="none"/>
        </w:rPr>
        <w:t>竞标报价（包含首次报价、最后报价）超过分项采购预算金额或者最高限价的，其响应文件将按无效处理。</w:t>
      </w:r>
    </w:p>
    <w:bookmarkEnd w:id="67"/>
    <w:p w14:paraId="291E70B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16.竞标有效期</w:t>
      </w:r>
    </w:p>
    <w:p w14:paraId="23921D8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A99CC6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1AEA6F4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35EBCC1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17.磋商保证金</w:t>
      </w:r>
    </w:p>
    <w:p w14:paraId="045B8276">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6E67EBB3">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1216B5D9">
      <w:pPr>
        <w:spacing w:line="400" w:lineRule="exact"/>
        <w:ind w:firstLine="420" w:firstLineChars="200"/>
        <w:rPr>
          <w:rFonts w:hint="eastAsia" w:ascii="宋体" w:hAnsi="宋体" w:cs="宋体"/>
          <w:color w:val="auto"/>
          <w:szCs w:val="21"/>
          <w:highlight w:val="none"/>
        </w:rPr>
      </w:pPr>
      <w:bookmarkStart w:id="68"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w:t>
      </w:r>
      <w:r>
        <w:rPr>
          <w:rFonts w:hint="eastAsia" w:ascii="宋体" w:hAnsi="宋体" w:cs="宋体"/>
          <w:color w:val="auto"/>
          <w:spacing w:val="-6"/>
          <w:szCs w:val="21"/>
          <w:highlight w:val="none"/>
          <w:lang w:eastAsia="zh-CN"/>
        </w:rPr>
        <w:t>磋商保证金</w:t>
      </w:r>
      <w:r>
        <w:rPr>
          <w:rFonts w:hint="eastAsia" w:ascii="宋体" w:hAnsi="宋体" w:cs="宋体"/>
          <w:color w:val="auto"/>
          <w:spacing w:val="-6"/>
          <w:szCs w:val="21"/>
          <w:highlight w:val="none"/>
        </w:rPr>
        <w:t>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68"/>
      <w:r>
        <w:rPr>
          <w:rFonts w:hint="eastAsia" w:ascii="宋体" w:hAnsi="宋体" w:cs="宋体"/>
          <w:color w:val="auto"/>
          <w:szCs w:val="21"/>
          <w:highlight w:val="none"/>
        </w:rPr>
        <w:t xml:space="preserve"> </w:t>
      </w:r>
    </w:p>
    <w:p w14:paraId="13F9E7DB">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供应商有下列情形之一的，磋商保证金将不予退还： </w:t>
      </w:r>
    </w:p>
    <w:p w14:paraId="761449A7">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7798565B">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17F370AB">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1A3164A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04D7FDA7">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570845E8">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7FDBFDE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18.响应文件编制的要求</w:t>
      </w:r>
    </w:p>
    <w:p w14:paraId="333B219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18.1供应商应先安装“</w:t>
      </w:r>
      <w:r>
        <w:rPr>
          <w:rFonts w:hint="eastAsia" w:ascii="宋体" w:hAnsi="宋体" w:cs="宋体"/>
          <w:bCs/>
          <w:color w:val="auto"/>
          <w:kern w:val="0"/>
          <w:szCs w:val="21"/>
          <w:highlight w:val="none"/>
        </w:rPr>
        <w:t>广西政府采购云平台（https://www.gcy.zfcg.gxzf.gov.cn/）</w:t>
      </w:r>
      <w:r>
        <w:rPr>
          <w:rFonts w:hint="eastAsia" w:ascii="宋体" w:hAnsi="宋体" w:cs="宋体"/>
          <w:color w:val="auto"/>
          <w:szCs w:val="21"/>
          <w:highlight w:val="none"/>
        </w:rPr>
        <w:t>电子交易客户端”（请自行前往“</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”平台进行下载），并按照本项目磋商文件规定的格式和顺序和“</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”平台的要求编制并加密。响应文件内容不完整、编排混乱导致响应文件被误读、漏读或者查找不到相关内容的，由此引发的后果由供应商承担。</w:t>
      </w:r>
    </w:p>
    <w:p w14:paraId="395CA19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”平台的身份认证，确保在电子竞标过程中能够对相关数据电文进行加密和使用电子签章。</w:t>
      </w:r>
    </w:p>
    <w:p w14:paraId="158B87D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2EB0CA9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581DF02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5ECFE47D">
      <w:pPr>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19.电子</w:t>
      </w:r>
      <w:r>
        <w:rPr>
          <w:rFonts w:hint="eastAsia" w:ascii="宋体" w:hAnsi="宋体" w:cs="宋体"/>
          <w:b/>
          <w:color w:val="auto"/>
          <w:szCs w:val="21"/>
          <w:highlight w:val="none"/>
        </w:rPr>
        <w:t>备份响应文件</w:t>
      </w:r>
    </w:p>
    <w:p w14:paraId="2C6C11F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电子备份响应文件是指通过“</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电子投标客户端”在线编制生成且后缀名为“bfbs”的文件，是否接受电子备份响应文件</w:t>
      </w:r>
      <w:r>
        <w:rPr>
          <w:rFonts w:hint="eastAsia" w:ascii="宋体" w:hAnsi="宋体" w:cs="宋体"/>
          <w:color w:val="auto"/>
          <w:szCs w:val="21"/>
          <w:highlight w:val="none"/>
          <w:lang w:eastAsia="zh-CN"/>
        </w:rPr>
        <w:t>详见</w:t>
      </w:r>
      <w:r>
        <w:rPr>
          <w:rFonts w:hint="eastAsia" w:ascii="宋体" w:hAnsi="宋体" w:cs="宋体"/>
          <w:bCs/>
          <w:color w:val="auto"/>
          <w:szCs w:val="21"/>
          <w:highlight w:val="none"/>
        </w:rPr>
        <w:t>“供应商须知前附表”。</w:t>
      </w:r>
    </w:p>
    <w:p w14:paraId="195AC54A">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20.响应文件的提交</w:t>
      </w:r>
    </w:p>
    <w:p w14:paraId="5676E484">
      <w:pPr>
        <w:spacing w:line="400" w:lineRule="exact"/>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w:t>
      </w:r>
      <w:r>
        <w:rPr>
          <w:rFonts w:hint="eastAsia" w:ascii="宋体" w:hAnsi="宋体" w:cs="宋体"/>
          <w:bCs/>
          <w:color w:val="auto"/>
          <w:szCs w:val="21"/>
          <w:highlight w:val="none"/>
        </w:rPr>
        <w:t xml:space="preserve">。 </w:t>
      </w:r>
      <w:r>
        <w:rPr>
          <w:rFonts w:hint="eastAsia" w:ascii="宋体" w:hAnsi="宋体" w:cs="宋体"/>
          <w:b/>
          <w:color w:val="auto"/>
          <w:szCs w:val="21"/>
          <w:highlight w:val="none"/>
        </w:rPr>
        <w:t xml:space="preserve"> </w:t>
      </w:r>
    </w:p>
    <w:p w14:paraId="6BF50D8A">
      <w:pPr>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w:t>
      </w:r>
      <w:r>
        <w:rPr>
          <w:rFonts w:hint="eastAsia" w:ascii="宋体" w:hAnsi="宋体" w:cs="宋体"/>
          <w:bCs/>
          <w:color w:val="auto"/>
          <w:kern w:val="0"/>
          <w:szCs w:val="21"/>
          <w:highlight w:val="none"/>
        </w:rPr>
        <w:t>广西政府采购云</w:t>
      </w:r>
      <w:r>
        <w:rPr>
          <w:rFonts w:hint="eastAsia" w:ascii="宋体" w:hAnsi="宋体" w:cs="宋体"/>
          <w:b/>
          <w:color w:val="auto"/>
          <w:szCs w:val="21"/>
          <w:highlight w:val="none"/>
        </w:rPr>
        <w:t>”平台将拒收。</w:t>
      </w:r>
    </w:p>
    <w:p w14:paraId="0057C0D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21.首次响应文件的补充、修改与撤回</w:t>
      </w:r>
    </w:p>
    <w:p w14:paraId="3FCAF4C1">
      <w:pPr>
        <w:snapToGrid w:val="0"/>
        <w:spacing w:line="400" w:lineRule="exact"/>
        <w:ind w:firstLine="420"/>
        <w:jc w:val="left"/>
        <w:rPr>
          <w:rFonts w:hint="eastAsia" w:ascii="宋体" w:hAnsi="宋体" w:cs="宋体"/>
          <w:color w:val="auto"/>
          <w:szCs w:val="21"/>
          <w:highlight w:val="none"/>
        </w:rPr>
      </w:pPr>
      <w:bookmarkStart w:id="69" w:name="_Toc254970684"/>
      <w:bookmarkStart w:id="70"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bCs/>
          <w:color w:val="auto"/>
          <w:kern w:val="0"/>
          <w:szCs w:val="21"/>
          <w:highlight w:val="none"/>
        </w:rPr>
        <w:t>广西政府采购云</w:t>
      </w:r>
      <w:r>
        <w:rPr>
          <w:rFonts w:hint="eastAsia" w:ascii="宋体" w:hAnsi="宋体" w:cs="宋体"/>
          <w:bCs/>
          <w:color w:val="auto"/>
          <w:szCs w:val="21"/>
          <w:highlight w:val="none"/>
        </w:rPr>
        <w:t>”平台将予以拒收。</w:t>
      </w:r>
      <w:r>
        <w:rPr>
          <w:rFonts w:hint="eastAsia" w:ascii="宋体" w:hAnsi="宋体" w:cs="宋体"/>
          <w:color w:val="auto"/>
          <w:szCs w:val="21"/>
          <w:highlight w:val="none"/>
        </w:rPr>
        <w:t>（补充、修改或者撤回方式可登</w:t>
      </w:r>
      <w:r>
        <w:rPr>
          <w:rFonts w:hint="eastAsia" w:ascii="宋体" w:hAnsi="宋体" w:cs="宋体"/>
          <w:color w:val="auto"/>
          <w:szCs w:val="21"/>
          <w:highlight w:val="none"/>
          <w:lang w:val="en-US" w:eastAsia="zh-CN"/>
        </w:rPr>
        <w:t>录</w:t>
      </w:r>
      <w:r>
        <w:rPr>
          <w:rFonts w:hint="eastAsia" w:ascii="宋体" w:hAnsi="宋体" w:cs="宋体"/>
          <w:color w:val="auto"/>
          <w:kern w:val="0"/>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kern w:val="0"/>
          <w:szCs w:val="21"/>
          <w:highlight w:val="none"/>
        </w:rPr>
        <w:t>”平台，</w:t>
      </w:r>
      <w:r>
        <w:rPr>
          <w:rFonts w:hint="eastAsia" w:ascii="宋体" w:hAnsi="宋体" w:cs="宋体"/>
          <w:color w:val="auto"/>
          <w:szCs w:val="21"/>
          <w:highlight w:val="none"/>
        </w:rPr>
        <w:t>进入“服务中心”中查看 “电子投标文件制作与投送教程”）</w:t>
      </w:r>
    </w:p>
    <w:bookmarkEnd w:id="69"/>
    <w:bookmarkEnd w:id="70"/>
    <w:p w14:paraId="1490060F">
      <w:pPr>
        <w:pStyle w:val="22"/>
        <w:spacing w:before="0" w:line="400" w:lineRule="exact"/>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631C5B04">
      <w:pPr>
        <w:spacing w:line="400" w:lineRule="exact"/>
        <w:ind w:firstLine="422" w:firstLineChars="200"/>
        <w:rPr>
          <w:rFonts w:hint="eastAsia" w:ascii="宋体" w:hAnsi="宋体" w:cs="宋体"/>
          <w:b/>
          <w:bCs/>
          <w:color w:val="auto"/>
          <w:szCs w:val="21"/>
          <w:highlight w:val="none"/>
        </w:rPr>
      </w:pPr>
      <w:bookmarkStart w:id="71" w:name="_Hlk45702405"/>
      <w:r>
        <w:rPr>
          <w:rFonts w:hint="eastAsia" w:ascii="宋体" w:hAnsi="宋体" w:cs="宋体"/>
          <w:b/>
          <w:bCs/>
          <w:color w:val="auto"/>
          <w:szCs w:val="21"/>
          <w:highlight w:val="none"/>
        </w:rPr>
        <w:t>22.响应文件的退回</w:t>
      </w:r>
    </w:p>
    <w:p w14:paraId="79FBB42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4402032E">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23.截止时间后的撤回</w:t>
      </w:r>
    </w:p>
    <w:p w14:paraId="18CB25D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71"/>
    <w:p w14:paraId="0612BE4F">
      <w:pPr>
        <w:spacing w:line="400" w:lineRule="exact"/>
        <w:jc w:val="center"/>
        <w:rPr>
          <w:rFonts w:hint="eastAsia" w:ascii="宋体" w:hAnsi="宋体" w:cs="宋体"/>
          <w:b/>
          <w:color w:val="auto"/>
          <w:sz w:val="32"/>
          <w:szCs w:val="32"/>
          <w:highlight w:val="none"/>
        </w:rPr>
      </w:pPr>
    </w:p>
    <w:p w14:paraId="27197F0C">
      <w:pPr>
        <w:spacing w:line="400" w:lineRule="exact"/>
        <w:jc w:val="center"/>
        <w:rPr>
          <w:rFonts w:hint="eastAsia" w:ascii="宋体" w:hAnsi="宋体" w:cs="宋体"/>
          <w:color w:val="auto"/>
          <w:sz w:val="28"/>
          <w:szCs w:val="28"/>
          <w:highlight w:val="none"/>
        </w:rPr>
      </w:pPr>
      <w:r>
        <w:rPr>
          <w:rFonts w:hint="eastAsia" w:ascii="宋体" w:hAnsi="宋体" w:cs="宋体"/>
          <w:b/>
          <w:color w:val="auto"/>
          <w:sz w:val="28"/>
          <w:szCs w:val="28"/>
          <w:highlight w:val="none"/>
        </w:rPr>
        <w:t>四、评审及磋商</w:t>
      </w:r>
    </w:p>
    <w:p w14:paraId="15C30118">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24.磋商小组成立</w:t>
      </w:r>
    </w:p>
    <w:p w14:paraId="22132FC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90955A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11E636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ascii="宋体" w:hAnsi="宋体" w:cs="宋体"/>
          <w:bCs/>
          <w:color w:val="auto"/>
          <w:szCs w:val="21"/>
          <w:highlight w:val="none"/>
        </w:rPr>
        <w:t>采购代理机构应当基于“</w:t>
      </w:r>
      <w:r>
        <w:rPr>
          <w:rFonts w:hint="eastAsia" w:ascii="宋体" w:hAnsi="宋体" w:cs="宋体"/>
          <w:bCs/>
          <w:color w:val="auto"/>
          <w:kern w:val="0"/>
          <w:szCs w:val="21"/>
          <w:highlight w:val="none"/>
        </w:rPr>
        <w:t>广西政府采购云</w:t>
      </w:r>
      <w:r>
        <w:rPr>
          <w:rFonts w:hint="eastAsia" w:ascii="宋体" w:hAnsi="宋体" w:cs="宋体"/>
          <w:bCs/>
          <w:color w:val="auto"/>
          <w:szCs w:val="21"/>
          <w:highlight w:val="none"/>
        </w:rPr>
        <w:t>”平台抽（选）取评审专家。</w:t>
      </w:r>
    </w:p>
    <w:p w14:paraId="42DBDEA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25.首次响应文件的开启和解密</w:t>
      </w:r>
    </w:p>
    <w:p w14:paraId="7CA60687">
      <w:pPr>
        <w:spacing w:line="400" w:lineRule="exact"/>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采购代理机构将在“供应商须知前附表”规定的时</w:t>
      </w:r>
      <w:r>
        <w:rPr>
          <w:rFonts w:hint="eastAsia" w:ascii="宋体" w:hAnsi="宋体" w:cs="宋体"/>
          <w:color w:val="auto"/>
          <w:szCs w:val="21"/>
          <w:highlight w:val="none"/>
        </w:rPr>
        <w:t>间通过电子交易平台组织响应文件开启，供应商的法定代表人或其委托代理人须携带加密时所用的CA锁，按平台提示和磋商文件的规定登录到“</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”平台电子开标大厅签到，采购代理机构依托“</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”平台向各供应商发出电子加密响应文件【开始解密】通知，由供应商按</w:t>
      </w:r>
      <w:r>
        <w:rPr>
          <w:rFonts w:hint="eastAsia" w:ascii="宋体" w:hAnsi="宋体" w:cs="宋体"/>
          <w:bCs/>
          <w:color w:val="auto"/>
          <w:szCs w:val="21"/>
          <w:highlight w:val="none"/>
        </w:rPr>
        <w:t>“供应商须知前附表”</w:t>
      </w:r>
      <w:r>
        <w:rPr>
          <w:rFonts w:hint="eastAsia" w:ascii="宋体" w:hAnsi="宋体" w:cs="宋体"/>
          <w:color w:val="auto"/>
          <w:szCs w:val="21"/>
          <w:highlight w:val="none"/>
        </w:rPr>
        <w:t>规定的时间内自行进行响应文件解密。</w:t>
      </w:r>
      <w:r>
        <w:rPr>
          <w:rFonts w:hint="eastAsia" w:ascii="宋体" w:hAnsi="宋体" w:cs="宋体"/>
          <w:b/>
          <w:color w:val="auto"/>
          <w:szCs w:val="21"/>
          <w:highlight w:val="none"/>
        </w:rPr>
        <w:t>供应商未在规定的时间内解密响应文件或者解密失败的，供应商的响应文件作无效处理。</w:t>
      </w:r>
    </w:p>
    <w:p w14:paraId="0F51D19F">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26.评审程序、评审方法和评审标准</w:t>
      </w:r>
    </w:p>
    <w:p w14:paraId="6627844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3C00C51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03F9785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1356CD8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3D7B2B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26.5电子交易活动的中止。采购过程中出现以下情形，导致电子交易平台无法正常运行，或者无法保证电子交易的公平、公正和安全时，采购机构可中止电子交易活动：</w:t>
      </w:r>
    </w:p>
    <w:p w14:paraId="3BAE2D4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745C9A8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36D02DD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3A7CAD7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1C5C15E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（5）其他无法保证电子交易的公平、公正和安全的情况。</w:t>
      </w:r>
    </w:p>
    <w:p w14:paraId="29F8629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53AF0E1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27.确定成交供应商及结果公告</w:t>
      </w:r>
    </w:p>
    <w:p w14:paraId="25B83B0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162437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2"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72"/>
    </w:p>
    <w:p w14:paraId="25D202B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D0CB46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757D26D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51E35C3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078A1E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25DD2841">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28.履约保证金</w:t>
      </w:r>
    </w:p>
    <w:p w14:paraId="129BBFFC">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“供应商须知前附表”。成交供应商未按规定提交履约保证金的，视为拒绝与采购人签订合同。</w:t>
      </w:r>
    </w:p>
    <w:p w14:paraId="0EB20E0B">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w:t>
      </w:r>
      <w:r>
        <w:rPr>
          <w:rFonts w:hint="eastAsia" w:ascii="宋体" w:hAnsi="宋体" w:cs="宋体"/>
          <w:color w:val="auto"/>
          <w:szCs w:val="21"/>
          <w:highlight w:val="none"/>
          <w:lang w:eastAsia="zh-CN"/>
        </w:rPr>
        <w:t>账号</w:t>
      </w:r>
      <w:r>
        <w:rPr>
          <w:rFonts w:hint="eastAsia" w:ascii="宋体" w:hAnsi="宋体" w:cs="宋体"/>
          <w:color w:val="auto"/>
          <w:szCs w:val="21"/>
          <w:highlight w:val="none"/>
        </w:rPr>
        <w:t>有变动的，请以书面形式通知履约保证金收取单位，否则由此产生的后果由成交供应商自行承担。</w:t>
      </w:r>
    </w:p>
    <w:p w14:paraId="2EC4D61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29.签订合同</w:t>
      </w:r>
    </w:p>
    <w:p w14:paraId="5BA086A7">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439C9EBA">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48595185">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6FB2A195">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E0173CA">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CAE2A0B">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9C641A9">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3FFCA1F4">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07EA40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30.政府采购合同公告</w:t>
      </w:r>
    </w:p>
    <w:p w14:paraId="21CDA8C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F1CE735">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31. 询问、质疑和投诉</w:t>
      </w:r>
    </w:p>
    <w:p w14:paraId="4EEE5DDD">
      <w:pPr>
        <w:pStyle w:val="8"/>
        <w:spacing w:line="400" w:lineRule="exact"/>
        <w:rPr>
          <w:rFonts w:hint="eastAsia" w:ascii="宋体" w:hAnsi="宋体" w:cs="宋体"/>
          <w:color w:val="auto"/>
          <w:szCs w:val="21"/>
          <w:highlight w:val="none"/>
        </w:rPr>
      </w:pPr>
      <w:r>
        <w:rPr>
          <w:rFonts w:hint="eastAsia" w:ascii="宋体" w:hAnsi="宋体" w:cs="宋体"/>
          <w:color w:val="auto"/>
          <w:szCs w:val="21"/>
          <w:highlight w:val="none"/>
        </w:rPr>
        <w:t>31.1供应商对政府采购活动事项有疑问的，可以向采购人、采购代理机构提出询问，采购人或者采购代理机构应当在3个工作日内对供应商依法提出的询问作出答复，但答复的内容不得涉及商业秘密。</w:t>
      </w:r>
    </w:p>
    <w:p w14:paraId="1865F7C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Cs w:val="21"/>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“供应商须知前附表”。具体质疑起算时间如下：</w:t>
      </w:r>
    </w:p>
    <w:p w14:paraId="21DBEA6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（1）对可以质疑的磋商文件提出质疑的，为收到磋商文件之日或者竞争性磋商公告期限届满之日；</w:t>
      </w:r>
    </w:p>
    <w:p w14:paraId="44FA22D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20D79BB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（3）对成交结果提出质疑的，为成交结果公告期限届满之日。</w:t>
      </w:r>
    </w:p>
    <w:p w14:paraId="09661E5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3B56F5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Cs w:val="21"/>
          <w:highlight w:val="none"/>
        </w:rPr>
        <w:t>（质疑函格式后附）</w:t>
      </w:r>
      <w:r>
        <w:rPr>
          <w:rFonts w:hint="eastAsia" w:ascii="宋体" w:hAnsi="宋体" w:cs="宋体"/>
          <w:color w:val="auto"/>
          <w:szCs w:val="21"/>
          <w:highlight w:val="none"/>
        </w:rPr>
        <w:t>：</w:t>
      </w:r>
    </w:p>
    <w:p w14:paraId="37B58A1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（1）供应商的姓名或者名称、地址、邮编、联系人及联系电话；</w:t>
      </w:r>
    </w:p>
    <w:p w14:paraId="08035AC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（2）质疑项目的名称、编号；</w:t>
      </w:r>
    </w:p>
    <w:p w14:paraId="45B59E2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（3）具体、明确的质疑事项和与质疑事项相关的请求；</w:t>
      </w:r>
    </w:p>
    <w:p w14:paraId="611B95F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（4）事实依据；</w:t>
      </w:r>
    </w:p>
    <w:p w14:paraId="69AFE8A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（5）必要的法律依据；</w:t>
      </w:r>
    </w:p>
    <w:p w14:paraId="1379A21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（6）提出质疑的日期。</w:t>
      </w:r>
    </w:p>
    <w:p w14:paraId="5EDE7B7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供应商为自然人的，应当由本人签字；供应商为法人或者其他组织的，应当由法定代表人、主要负责人，或者其委托代理人签字或者盖章，并加盖公章。</w:t>
      </w:r>
    </w:p>
    <w:p w14:paraId="2199A68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7AAFA9C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（一）对采购文件提出的质疑，依法通过澄清或者修改可以继续开展采购活动的，澄清或者修改采购文件后继续开展采购活动；否则应当修改采购文件后重新开展采购活动。</w:t>
      </w:r>
    </w:p>
    <w:p w14:paraId="12E111C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56804EE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质疑答复导致成交结果改变的，采购人或者采购代理机构应当将有关情况书面报告本级财政部门。</w:t>
      </w:r>
    </w:p>
    <w:p w14:paraId="0C45F33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881B671">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32.其他内容</w:t>
      </w:r>
    </w:p>
    <w:p w14:paraId="712B264D">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32.1代理服务收取标准及缴费账户详见“供应商须知前附表”。</w:t>
      </w:r>
    </w:p>
    <w:p w14:paraId="112F2444">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32.2代理服务费收费计算标准：</w:t>
      </w: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4F48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6345552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46802190">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noWrap w:val="0"/>
            <w:vAlign w:val="center"/>
          </w:tcPr>
          <w:p w14:paraId="0EFAB560">
            <w:pPr>
              <w:spacing w:line="40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noWrap w:val="0"/>
            <w:vAlign w:val="center"/>
          </w:tcPr>
          <w:p w14:paraId="306C0FDD">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noWrap w:val="0"/>
            <w:vAlign w:val="center"/>
          </w:tcPr>
          <w:p w14:paraId="5DD18010">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13CB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2B9F38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noWrap w:val="0"/>
            <w:vAlign w:val="top"/>
          </w:tcPr>
          <w:p w14:paraId="51231864">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noWrap w:val="0"/>
            <w:vAlign w:val="top"/>
          </w:tcPr>
          <w:p w14:paraId="640E9F21">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noWrap w:val="0"/>
            <w:vAlign w:val="top"/>
          </w:tcPr>
          <w:p w14:paraId="7139E7B1">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03F8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BF7C73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noWrap w:val="0"/>
            <w:vAlign w:val="top"/>
          </w:tcPr>
          <w:p w14:paraId="09912493">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noWrap w:val="0"/>
            <w:vAlign w:val="top"/>
          </w:tcPr>
          <w:p w14:paraId="50F3FACA">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noWrap w:val="0"/>
            <w:vAlign w:val="top"/>
          </w:tcPr>
          <w:p w14:paraId="70C819F8">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1833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6809F5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noWrap w:val="0"/>
            <w:vAlign w:val="top"/>
          </w:tcPr>
          <w:p w14:paraId="18A97B05">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noWrap w:val="0"/>
            <w:vAlign w:val="top"/>
          </w:tcPr>
          <w:p w14:paraId="67B36FD5">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noWrap w:val="0"/>
            <w:vAlign w:val="top"/>
          </w:tcPr>
          <w:p w14:paraId="3B396138">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5EB6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F15E7C0">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noWrap w:val="0"/>
            <w:vAlign w:val="top"/>
          </w:tcPr>
          <w:p w14:paraId="22F1687C">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noWrap w:val="0"/>
            <w:vAlign w:val="top"/>
          </w:tcPr>
          <w:p w14:paraId="4CBB4C6C">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noWrap w:val="0"/>
            <w:vAlign w:val="top"/>
          </w:tcPr>
          <w:p w14:paraId="2B7C83BB">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070E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00D120F">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noWrap w:val="0"/>
            <w:vAlign w:val="top"/>
          </w:tcPr>
          <w:p w14:paraId="1F363375">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noWrap w:val="0"/>
            <w:vAlign w:val="top"/>
          </w:tcPr>
          <w:p w14:paraId="3E56FDAD">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noWrap w:val="0"/>
            <w:vAlign w:val="top"/>
          </w:tcPr>
          <w:p w14:paraId="1927BA03">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0BEB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1647382">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noWrap w:val="0"/>
            <w:vAlign w:val="top"/>
          </w:tcPr>
          <w:p w14:paraId="030D0590">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noWrap w:val="0"/>
            <w:vAlign w:val="top"/>
          </w:tcPr>
          <w:p w14:paraId="145B97A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noWrap w:val="0"/>
            <w:vAlign w:val="top"/>
          </w:tcPr>
          <w:p w14:paraId="7D95794B">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3221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E9AA59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noWrap w:val="0"/>
            <w:vAlign w:val="top"/>
          </w:tcPr>
          <w:p w14:paraId="4FA34111">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noWrap w:val="0"/>
            <w:vAlign w:val="top"/>
          </w:tcPr>
          <w:p w14:paraId="2369C994">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noWrap w:val="0"/>
            <w:vAlign w:val="top"/>
          </w:tcPr>
          <w:p w14:paraId="0172DC10">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14:paraId="2B06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F21DA45">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noWrap w:val="0"/>
            <w:vAlign w:val="top"/>
          </w:tcPr>
          <w:p w14:paraId="4142A141">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noWrap w:val="0"/>
            <w:vAlign w:val="top"/>
          </w:tcPr>
          <w:p w14:paraId="374E10CD">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noWrap w:val="0"/>
            <w:vAlign w:val="top"/>
          </w:tcPr>
          <w:p w14:paraId="5D2BC7C5">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14:paraId="5673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9444EED">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noWrap w:val="0"/>
            <w:vAlign w:val="top"/>
          </w:tcPr>
          <w:p w14:paraId="39FE23A0">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noWrap w:val="0"/>
            <w:vAlign w:val="top"/>
          </w:tcPr>
          <w:p w14:paraId="2FF1AFD1">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noWrap w:val="0"/>
            <w:vAlign w:val="top"/>
          </w:tcPr>
          <w:p w14:paraId="27A6CBF2">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14:paraId="4F2A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F4E1BE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w:t>
            </w:r>
            <w:r>
              <w:rPr>
                <w:rFonts w:hint="eastAsia" w:ascii="宋体" w:hAnsi="宋体" w:cs="宋体"/>
                <w:color w:val="auto"/>
                <w:szCs w:val="21"/>
                <w:highlight w:val="none"/>
                <w:lang w:eastAsia="zh-CN"/>
              </w:rPr>
              <w:t>亿元</w:t>
            </w:r>
            <w:r>
              <w:rPr>
                <w:rFonts w:hint="eastAsia" w:ascii="宋体" w:hAnsi="宋体" w:cs="宋体"/>
                <w:color w:val="auto"/>
                <w:szCs w:val="21"/>
                <w:highlight w:val="none"/>
              </w:rPr>
              <w:t>以上</w:t>
            </w:r>
          </w:p>
        </w:tc>
        <w:tc>
          <w:tcPr>
            <w:tcW w:w="1659" w:type="dxa"/>
            <w:noWrap w:val="0"/>
            <w:vAlign w:val="top"/>
          </w:tcPr>
          <w:p w14:paraId="61D27C4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noWrap w:val="0"/>
            <w:vAlign w:val="top"/>
          </w:tcPr>
          <w:p w14:paraId="365C9BA5">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noWrap w:val="0"/>
            <w:vAlign w:val="top"/>
          </w:tcPr>
          <w:p w14:paraId="17EFCEEF">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4A749B0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0439703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1AAC18A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70145C7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例如：某服务采购代理业务成交金额或者暂定价为150万元，计算采购代理收费额如下：</w:t>
      </w:r>
    </w:p>
    <w:p w14:paraId="3EF91EF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100 万元 ×l.5 %＝ 1.5 万元</w:t>
      </w:r>
    </w:p>
    <w:p w14:paraId="652BEEF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150 － 100 ）万元 ×0.8%＝ 0.4万元</w:t>
      </w:r>
    </w:p>
    <w:p w14:paraId="2E17543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合计收费＝ 1.5 ＋ 0.4＝ 1.9 万元</w:t>
      </w:r>
    </w:p>
    <w:p w14:paraId="76F37FFA">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33.需要补充的其他内容</w:t>
      </w:r>
    </w:p>
    <w:p w14:paraId="53E8E935">
      <w:pPr>
        <w:pStyle w:val="15"/>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33.1本磋商文件解释规则详见“供应商须知前附表”。</w:t>
      </w:r>
    </w:p>
    <w:p w14:paraId="407A7016">
      <w:pPr>
        <w:pStyle w:val="15"/>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33.2 其他事项详见“供应商须知前附表”。</w:t>
      </w:r>
    </w:p>
    <w:p w14:paraId="26888068">
      <w:pPr>
        <w:pStyle w:val="15"/>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F144BAD">
      <w:pPr>
        <w:pStyle w:val="15"/>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590B70CD">
      <w:pPr>
        <w:pStyle w:val="15"/>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2FF0A532">
      <w:pPr>
        <w:pStyle w:val="15"/>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46746A2">
      <w:pPr>
        <w:pStyle w:val="15"/>
        <w:spacing w:line="400" w:lineRule="exact"/>
        <w:ind w:firstLine="420" w:firstLineChars="200"/>
        <w:contextualSpacing/>
        <w:jc w:val="left"/>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65DADE30">
      <w:pPr>
        <w:pStyle w:val="15"/>
        <w:spacing w:line="400" w:lineRule="exact"/>
        <w:ind w:firstLine="420" w:firstLineChars="200"/>
        <w:contextualSpacing/>
        <w:jc w:val="left"/>
        <w:rPr>
          <w:rFonts w:hint="eastAsia" w:hAnsi="宋体" w:cs="宋体"/>
          <w:color w:val="auto"/>
          <w:sz w:val="21"/>
          <w:highlight w:val="none"/>
        </w:rPr>
      </w:pPr>
      <w:r>
        <w:rPr>
          <w:rFonts w:hint="eastAsia" w:hAnsi="宋体" w:cs="宋体"/>
          <w:color w:val="auto"/>
          <w:sz w:val="21"/>
          <w:highlight w:val="none"/>
        </w:rPr>
        <w:t>依据本磋商文件规定享受扶持政策获得政府采购合同的，小微企业不得将合同分包给大中型企业，中型企业不得将合同分包给大型企业。</w:t>
      </w:r>
    </w:p>
    <w:p w14:paraId="3CA5119B">
      <w:pPr>
        <w:ind w:firstLine="420" w:firstLineChars="200"/>
        <w:rPr>
          <w:rFonts w:hint="eastAsia" w:ascii="宋体" w:hAnsi="宋体" w:cs="宋体"/>
          <w:color w:val="auto"/>
          <w:highlight w:val="none"/>
        </w:rPr>
      </w:pPr>
    </w:p>
    <w:p w14:paraId="7F2483F5">
      <w:pPr>
        <w:pStyle w:val="23"/>
        <w:rPr>
          <w:rFonts w:hint="eastAsia" w:hAnsi="宋体"/>
          <w:color w:val="auto"/>
          <w:highlight w:val="none"/>
        </w:rPr>
      </w:pPr>
    </w:p>
    <w:p w14:paraId="35DA6D49">
      <w:pPr>
        <w:spacing w:line="360" w:lineRule="auto"/>
        <w:jc w:val="center"/>
        <w:outlineLvl w:val="0"/>
        <w:rPr>
          <w:rFonts w:hint="eastAsia" w:ascii="宋体" w:hAnsi="宋体" w:cs="宋体"/>
          <w:color w:val="auto"/>
          <w:highlight w:val="none"/>
        </w:rPr>
      </w:pPr>
      <w:r>
        <w:rPr>
          <w:rFonts w:hint="eastAsia" w:ascii="宋体" w:hAnsi="宋体" w:cs="宋体"/>
          <w:color w:val="auto"/>
          <w:highlight w:val="none"/>
        </w:rPr>
        <w:br w:type="page"/>
      </w:r>
      <w:bookmarkStart w:id="73" w:name="_Toc74322607"/>
      <w:bookmarkStart w:id="74" w:name="_Toc19914"/>
      <w:bookmarkStart w:id="75" w:name="_Toc3481"/>
      <w:bookmarkStart w:id="76" w:name="_Toc74323459"/>
      <w:r>
        <w:rPr>
          <w:rFonts w:hint="eastAsia"/>
          <w:color w:val="auto"/>
          <w:sz w:val="44"/>
          <w:szCs w:val="44"/>
          <w:highlight w:val="none"/>
        </w:rPr>
        <w:t>第三章</w:t>
      </w:r>
      <w:bookmarkEnd w:id="73"/>
      <w:bookmarkStart w:id="77" w:name="_Toc43713408"/>
      <w:bookmarkStart w:id="78" w:name="_Toc71627555"/>
      <w:r>
        <w:rPr>
          <w:rFonts w:hint="eastAsia"/>
          <w:color w:val="auto"/>
          <w:sz w:val="44"/>
          <w:szCs w:val="44"/>
          <w:highlight w:val="none"/>
        </w:rPr>
        <w:t>采购需求</w:t>
      </w:r>
      <w:bookmarkEnd w:id="74"/>
      <w:bookmarkEnd w:id="75"/>
      <w:bookmarkEnd w:id="77"/>
      <w:bookmarkEnd w:id="78"/>
    </w:p>
    <w:p w14:paraId="459A9B19">
      <w:pPr>
        <w:spacing w:line="24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采购项目技术规格、参数及要求</w:t>
      </w:r>
    </w:p>
    <w:p w14:paraId="30102EB7">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134F5D10">
      <w:pPr>
        <w:spacing w:line="360" w:lineRule="auto"/>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4F3E073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（1）本竞争性磋商采购文件所称中小企业必须符合《政府采购促进中小企业发展管理办法》（财库〔2020〕46号）的规定。</w:t>
      </w:r>
    </w:p>
    <w:p w14:paraId="7CE86BF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2.“实质性要求”是指采购需求中带“▲”的条款或者不能负偏离的条款或者已经指明不满足按响应文件按无效处理的条款。</w:t>
      </w:r>
    </w:p>
    <w:p w14:paraId="6A1F5788">
      <w:pPr>
        <w:spacing w:line="360" w:lineRule="auto"/>
        <w:ind w:firstLine="424" w:firstLineChars="202"/>
        <w:jc w:val="left"/>
        <w:rPr>
          <w:rFonts w:hint="eastAsia"/>
          <w:color w:val="auto"/>
          <w:highlight w:val="none"/>
        </w:rPr>
      </w:pPr>
      <w:r>
        <w:rPr>
          <w:rFonts w:hint="eastAsia" w:ascii="宋体" w:hAnsi="宋体" w:cs="宋体"/>
          <w:color w:val="auto"/>
          <w:szCs w:val="21"/>
          <w:highlight w:val="none"/>
        </w:rPr>
        <w:t>3.</w:t>
      </w:r>
      <w:bookmarkStart w:id="79" w:name="_Hlk54774389"/>
      <w:r>
        <w:rPr>
          <w:rFonts w:hint="eastAsia" w:ascii="宋体" w:hAnsi="宋体" w:cs="宋体"/>
          <w:color w:val="auto"/>
          <w:szCs w:val="21"/>
          <w:highlight w:val="none"/>
        </w:rPr>
        <w:t>服务项目中伴随货物的，</w:t>
      </w:r>
      <w:bookmarkEnd w:id="79"/>
      <w:r>
        <w:rPr>
          <w:rFonts w:hint="eastAsia" w:ascii="宋体" w:hAnsi="宋体" w:cs="宋体"/>
          <w:color w:val="auto"/>
          <w:szCs w:val="21"/>
          <w:highlight w:val="none"/>
        </w:rPr>
        <w:t>采购需求中出现的品牌、型号或者生产厂家仅起参考作用，不属于指定品牌、型号或者生产厂家的情形。</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人可参照或者选用其他相当的品牌、型号或者生产厂家替代，但选用的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产品参数性能必须满足实质性要求</w:t>
      </w:r>
      <w:r>
        <w:rPr>
          <w:rFonts w:hint="eastAsia"/>
          <w:color w:val="auto"/>
          <w:highlight w:val="none"/>
        </w:rPr>
        <w:t>。</w:t>
      </w:r>
    </w:p>
    <w:p w14:paraId="0EC0CA95">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4.供应商必须自行为其竞标产品侵犯他人的知识产权或者专利成果的行为承担相应法律责任。</w:t>
      </w:r>
    </w:p>
    <w:p w14:paraId="02245F48">
      <w:pPr>
        <w:spacing w:line="360" w:lineRule="auto"/>
        <w:ind w:firstLine="424" w:firstLineChars="202"/>
        <w:jc w:val="left"/>
        <w:rPr>
          <w:rFonts w:hint="eastAsia" w:ascii="宋体" w:hAnsi="宋体" w:cs="宋体"/>
          <w:color w:val="000000"/>
          <w:szCs w:val="21"/>
          <w:highlight w:val="none"/>
        </w:rPr>
      </w:pPr>
      <w:r>
        <w:rPr>
          <w:rFonts w:hint="eastAsia" w:ascii="宋体" w:hAnsi="宋体" w:cs="宋体"/>
          <w:color w:val="000000"/>
          <w:szCs w:val="21"/>
          <w:highlight w:val="none"/>
        </w:rPr>
        <w:t>5.本项目采购标的对应的中小企业划分标准所属行业为：</w:t>
      </w:r>
    </w:p>
    <w:p w14:paraId="1A2046A3">
      <w:pPr>
        <w:spacing w:line="360" w:lineRule="auto"/>
        <w:ind w:firstLine="424" w:firstLineChars="202"/>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A分标：</w:t>
      </w:r>
      <w:r>
        <w:rPr>
          <w:rFonts w:hint="eastAsia" w:ascii="宋体" w:hAnsi="宋体" w:cs="宋体"/>
          <w:color w:val="000000"/>
          <w:szCs w:val="21"/>
          <w:highlight w:val="none"/>
        </w:rPr>
        <w:t>其他未列明行业</w:t>
      </w:r>
      <w:r>
        <w:rPr>
          <w:rFonts w:hint="eastAsia" w:ascii="宋体" w:hAnsi="宋体" w:cs="宋体"/>
          <w:color w:val="000000"/>
          <w:szCs w:val="21"/>
          <w:highlight w:val="none"/>
          <w:lang w:eastAsia="zh-CN"/>
        </w:rPr>
        <w:t>；</w:t>
      </w:r>
    </w:p>
    <w:p w14:paraId="04586BBE">
      <w:pPr>
        <w:spacing w:line="360" w:lineRule="auto"/>
        <w:ind w:firstLine="424" w:firstLineChars="202"/>
        <w:jc w:val="left"/>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B分标：租赁和商务服务业；</w:t>
      </w:r>
    </w:p>
    <w:p w14:paraId="4373CE0C">
      <w:pPr>
        <w:spacing w:line="360" w:lineRule="auto"/>
        <w:ind w:firstLine="424" w:firstLineChars="202"/>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C分标：其他未列明行业</w:t>
      </w:r>
    </w:p>
    <w:p w14:paraId="1AFA45F7">
      <w:pPr>
        <w:spacing w:line="360" w:lineRule="auto"/>
        <w:ind w:firstLine="424" w:firstLineChars="202"/>
        <w:jc w:val="left"/>
        <w:rPr>
          <w:rFonts w:hint="eastAsia" w:ascii="宋体" w:hAnsi="宋体" w:cs="宋体"/>
          <w:color w:val="000000"/>
          <w:szCs w:val="21"/>
          <w:highlight w:val="none"/>
          <w:lang w:val="en-US" w:eastAsia="zh-CN"/>
        </w:rPr>
      </w:pPr>
    </w:p>
    <w:p w14:paraId="586557AA">
      <w:pPr>
        <w:rPr>
          <w:rFonts w:hint="eastAsia"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br w:type="page"/>
      </w:r>
    </w:p>
    <w:p w14:paraId="1318F43F">
      <w:pPr>
        <w:pStyle w:val="3"/>
        <w:bidi w:val="0"/>
        <w:rPr>
          <w:rFonts w:hint="default" w:ascii="宋体" w:hAnsi="宋体" w:eastAsia="宋体" w:cs="宋体"/>
          <w:b/>
          <w:bCs/>
          <w:color w:val="0000FF"/>
          <w:szCs w:val="21"/>
          <w:highlight w:val="none"/>
          <w:lang w:val="en-US" w:eastAsia="zh-CN"/>
        </w:rPr>
      </w:pPr>
      <w:r>
        <w:rPr>
          <w:rFonts w:hint="eastAsia"/>
          <w:lang w:val="en-US" w:eastAsia="zh-CN"/>
        </w:rPr>
        <w:t>A分标：应急救援学院专业能力提升项目</w:t>
      </w:r>
    </w:p>
    <w:tbl>
      <w:tblPr>
        <w:tblStyle w:val="20"/>
        <w:tblW w:w="8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903"/>
        <w:gridCol w:w="3"/>
        <w:gridCol w:w="994"/>
        <w:gridCol w:w="6533"/>
      </w:tblGrid>
      <w:tr w14:paraId="065B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08" w:type="dxa"/>
            <w:gridSpan w:val="5"/>
            <w:tcBorders>
              <w:top w:val="single" w:color="auto" w:sz="4" w:space="0"/>
              <w:left w:val="single" w:color="auto" w:sz="4" w:space="0"/>
              <w:bottom w:val="single" w:color="auto" w:sz="4" w:space="0"/>
              <w:right w:val="single" w:color="auto" w:sz="4" w:space="0"/>
            </w:tcBorders>
            <w:noWrap w:val="0"/>
            <w:vAlign w:val="center"/>
          </w:tcPr>
          <w:p w14:paraId="0B5CA3F0">
            <w:pPr>
              <w:pStyle w:val="15"/>
              <w:spacing w:line="340" w:lineRule="exact"/>
              <w:jc w:val="center"/>
              <w:rPr>
                <w:rFonts w:hint="default" w:hAnsi="宋体" w:eastAsia="宋体"/>
                <w:b/>
                <w:color w:val="auto"/>
                <w:sz w:val="21"/>
                <w:szCs w:val="21"/>
                <w:highlight w:val="none"/>
                <w:lang w:val="en-US" w:eastAsia="zh-CN"/>
              </w:rPr>
            </w:pPr>
            <w:r>
              <w:rPr>
                <w:rFonts w:hint="eastAsia" w:hAnsi="宋体"/>
                <w:b/>
                <w:color w:val="auto"/>
                <w:sz w:val="21"/>
                <w:szCs w:val="21"/>
                <w:highlight w:val="none"/>
                <w:lang w:val="en-US" w:eastAsia="zh-CN"/>
              </w:rPr>
              <w:t>服务概述</w:t>
            </w:r>
          </w:p>
        </w:tc>
      </w:tr>
      <w:tr w14:paraId="7C35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08" w:type="dxa"/>
            <w:gridSpan w:val="5"/>
            <w:tcBorders>
              <w:top w:val="single" w:color="auto" w:sz="4" w:space="0"/>
              <w:left w:val="single" w:color="auto" w:sz="4" w:space="0"/>
              <w:bottom w:val="single" w:color="auto" w:sz="4" w:space="0"/>
              <w:right w:val="single" w:color="auto" w:sz="4" w:space="0"/>
            </w:tcBorders>
            <w:noWrap w:val="0"/>
            <w:vAlign w:val="center"/>
          </w:tcPr>
          <w:p w14:paraId="3E998F17">
            <w:pPr>
              <w:pStyle w:val="6"/>
              <w:spacing w:before="0" w:after="0" w:line="360" w:lineRule="auto"/>
              <w:ind w:firstLine="420" w:firstLineChars="200"/>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通过采购、租赁等方式，引入工业级无人机、机器狗、智能救援头盔及AI决策系统，构建“真场景、真设备、真数据”的实战化竞赛项目环境，使学生在竞赛项目中即可操作行业最前沿装备，实现竞赛内容与行业发展的无缝对接，对标世界职业院校技能大赛相关赛道的技术要求，具备支撑至少3-4个相关赛项的备赛能力，具体赛道以当年大赛通知为准。具体包括：</w:t>
            </w:r>
          </w:p>
          <w:p w14:paraId="0DD1656C">
            <w:pPr>
              <w:pStyle w:val="6"/>
              <w:spacing w:before="0" w:after="0" w:line="360" w:lineRule="auto"/>
              <w:ind w:firstLine="420" w:firstLineChars="200"/>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1.引入先进的消防报警联动系统、BIM数字孪生平台、智能救援装备（无人机、机器狗、智能头盔）等，将前沿技术引入竞赛，使竞赛内容与行业最新发展同步，显著提升学生的专业素养、实践能力和创新意识。</w:t>
            </w:r>
          </w:p>
          <w:p w14:paraId="6AC73B98">
            <w:pPr>
              <w:pStyle w:val="6"/>
              <w:spacing w:before="0" w:after="0" w:line="360" w:lineRule="auto"/>
              <w:ind w:firstLine="420" w:firstLineChars="200"/>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2.依托定制化的化工受限空间实训平台、压缩空气泡沫灭火装置等实体设备，模拟真实灾害场景，强化学生在有限空间救援、危险环境侦察、高效灭火、应急救护等方面的竞赛技能，培养高素质技术技能人才。</w:t>
            </w:r>
          </w:p>
          <w:p w14:paraId="3E983937">
            <w:pPr>
              <w:pStyle w:val="6"/>
              <w:spacing w:before="0" w:after="0" w:line="360" w:lineRule="auto"/>
              <w:ind w:firstLine="420" w:firstLineChars="200"/>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3.对标世界职业院校技能大赛标准，配置竞赛专用设备，为师生参加各类技能大赛提供强有力的硬件支持和内容保障，力争在国家级、行业级竞赛中取得优异成绩。</w:t>
            </w:r>
          </w:p>
          <w:p w14:paraId="0E83FF5A">
            <w:pPr>
              <w:pStyle w:val="6"/>
              <w:spacing w:before="0" w:after="0" w:line="360" w:lineRule="auto"/>
              <w:ind w:firstLine="420" w:firstLineChars="200"/>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4.通过定制化AI决策侦察系统、三维建模软件、智慧消防软件平台等，推动竞赛项目从传统模式向数字化、智能化、可视化方向转型升级，构建数字化竞赛与教学项目库，提升专业学生的核心竞争力。</w:t>
            </w:r>
          </w:p>
          <w:p w14:paraId="701FD597">
            <w:pPr>
              <w:pStyle w:val="6"/>
              <w:spacing w:before="0" w:after="0" w:line="360" w:lineRule="auto"/>
              <w:ind w:firstLine="420" w:firstLineChars="200"/>
              <w:jc w:val="both"/>
              <w:rPr>
                <w:rFonts w:hint="eastAsia"/>
                <w:sz w:val="21"/>
                <w:szCs w:val="21"/>
              </w:rPr>
            </w:pPr>
            <w:r>
              <w:rPr>
                <w:rFonts w:hint="eastAsia" w:ascii="宋体" w:hAnsi="宋体" w:eastAsia="宋体" w:cs="宋体"/>
                <w:b w:val="0"/>
                <w:bCs w:val="0"/>
                <w:color w:val="auto"/>
                <w:kern w:val="2"/>
                <w:sz w:val="21"/>
                <w:szCs w:val="21"/>
                <w:highlight w:val="none"/>
                <w:lang w:val="en-US" w:eastAsia="zh-CN" w:bidi="ar-SA"/>
              </w:rPr>
              <w:t>5.以基地为依托，与行业头部企业深度合作，开展技术研发、标准制定、社会培训等服务，提升学院在应急救援领域的社会影响力和行业贡献度。</w:t>
            </w:r>
          </w:p>
        </w:tc>
      </w:tr>
      <w:tr w14:paraId="610D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29D3F82">
            <w:pPr>
              <w:pStyle w:val="15"/>
              <w:spacing w:line="340" w:lineRule="exact"/>
              <w:jc w:val="center"/>
              <w:rPr>
                <w:rFonts w:hint="eastAsia" w:hAnsi="宋体"/>
                <w:b/>
                <w:color w:val="auto"/>
                <w:sz w:val="21"/>
                <w:szCs w:val="21"/>
                <w:highlight w:val="none"/>
              </w:rPr>
            </w:pPr>
            <w:r>
              <w:rPr>
                <w:rFonts w:hint="eastAsia" w:hAnsi="宋体"/>
                <w:b/>
                <w:color w:val="auto"/>
                <w:sz w:val="21"/>
                <w:szCs w:val="21"/>
                <w:highlight w:val="none"/>
              </w:rPr>
              <w:t>序号</w:t>
            </w:r>
          </w:p>
        </w:tc>
        <w:tc>
          <w:tcPr>
            <w:tcW w:w="903" w:type="dxa"/>
            <w:tcBorders>
              <w:top w:val="single" w:color="auto" w:sz="4" w:space="0"/>
              <w:left w:val="single" w:color="auto" w:sz="4" w:space="0"/>
              <w:bottom w:val="single" w:color="auto" w:sz="4" w:space="0"/>
              <w:right w:val="single" w:color="auto" w:sz="4" w:space="0"/>
            </w:tcBorders>
            <w:noWrap w:val="0"/>
            <w:vAlign w:val="center"/>
          </w:tcPr>
          <w:p w14:paraId="32DD45F1">
            <w:pPr>
              <w:pStyle w:val="15"/>
              <w:spacing w:line="340" w:lineRule="exact"/>
              <w:jc w:val="center"/>
              <w:rPr>
                <w:rFonts w:hint="eastAsia" w:hAnsi="宋体"/>
                <w:b/>
                <w:color w:val="auto"/>
                <w:sz w:val="21"/>
                <w:szCs w:val="21"/>
                <w:highlight w:val="none"/>
                <w:lang w:eastAsia="zh-CN"/>
              </w:rPr>
            </w:pPr>
            <w:r>
              <w:rPr>
                <w:rFonts w:hint="eastAsia" w:hAnsi="宋体"/>
                <w:b/>
                <w:color w:val="auto"/>
                <w:sz w:val="21"/>
                <w:szCs w:val="21"/>
                <w:highlight w:val="none"/>
                <w:lang w:eastAsia="zh-CN"/>
              </w:rPr>
              <w:t>采购项目</w:t>
            </w:r>
          </w:p>
        </w:tc>
        <w:tc>
          <w:tcPr>
            <w:tcW w:w="997" w:type="dxa"/>
            <w:gridSpan w:val="2"/>
            <w:tcBorders>
              <w:top w:val="single" w:color="auto" w:sz="4" w:space="0"/>
              <w:left w:val="single" w:color="auto" w:sz="4" w:space="0"/>
              <w:bottom w:val="single" w:color="auto" w:sz="4" w:space="0"/>
              <w:right w:val="single" w:color="auto" w:sz="4" w:space="0"/>
            </w:tcBorders>
            <w:noWrap w:val="0"/>
            <w:vAlign w:val="center"/>
          </w:tcPr>
          <w:p w14:paraId="35308069">
            <w:pPr>
              <w:pStyle w:val="15"/>
              <w:spacing w:line="340" w:lineRule="exact"/>
              <w:jc w:val="center"/>
              <w:rPr>
                <w:rFonts w:hint="eastAsia" w:hAnsi="宋体"/>
                <w:b/>
                <w:color w:val="auto"/>
                <w:sz w:val="21"/>
                <w:szCs w:val="21"/>
                <w:highlight w:val="none"/>
              </w:rPr>
            </w:pPr>
            <w:r>
              <w:rPr>
                <w:rFonts w:hint="eastAsia" w:hAnsi="宋体"/>
                <w:b/>
                <w:color w:val="auto"/>
                <w:sz w:val="21"/>
                <w:szCs w:val="21"/>
                <w:highlight w:val="none"/>
              </w:rPr>
              <w:t>数量</w:t>
            </w:r>
            <w:r>
              <w:rPr>
                <w:rFonts w:hint="eastAsia" w:hAnsi="宋体"/>
                <w:b/>
                <w:color w:val="auto"/>
                <w:sz w:val="21"/>
                <w:szCs w:val="21"/>
                <w:highlight w:val="none"/>
                <w:lang w:val="en-US" w:eastAsia="zh-CN"/>
              </w:rPr>
              <w:t>及单位</w:t>
            </w:r>
          </w:p>
        </w:tc>
        <w:tc>
          <w:tcPr>
            <w:tcW w:w="6533" w:type="dxa"/>
            <w:tcBorders>
              <w:top w:val="single" w:color="auto" w:sz="4" w:space="0"/>
              <w:left w:val="single" w:color="auto" w:sz="4" w:space="0"/>
              <w:bottom w:val="single" w:color="auto" w:sz="4" w:space="0"/>
              <w:right w:val="single" w:color="auto" w:sz="4" w:space="0"/>
            </w:tcBorders>
            <w:noWrap w:val="0"/>
            <w:vAlign w:val="center"/>
          </w:tcPr>
          <w:p w14:paraId="286A37F1">
            <w:pPr>
              <w:pStyle w:val="15"/>
              <w:spacing w:line="340" w:lineRule="exact"/>
              <w:jc w:val="center"/>
              <w:rPr>
                <w:rFonts w:hint="eastAsia" w:ascii="宋体" w:hAnsi="宋体" w:eastAsia="宋体" w:cs="宋体"/>
                <w:b w:val="0"/>
                <w:bCs w:val="0"/>
                <w:color w:val="auto"/>
                <w:kern w:val="2"/>
                <w:sz w:val="21"/>
                <w:szCs w:val="21"/>
                <w:highlight w:val="none"/>
                <w:lang w:val="en-US" w:eastAsia="zh-CN" w:bidi="ar-SA"/>
              </w:rPr>
            </w:pPr>
            <w:r>
              <w:rPr>
                <w:rFonts w:hint="eastAsia" w:hAnsi="宋体"/>
                <w:b/>
                <w:color w:val="auto"/>
                <w:sz w:val="21"/>
                <w:szCs w:val="21"/>
                <w:highlight w:val="none"/>
              </w:rPr>
              <w:t>服务内容和要求</w:t>
            </w:r>
          </w:p>
        </w:tc>
      </w:tr>
      <w:tr w14:paraId="3824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E773C9B">
            <w:pPr>
              <w:pStyle w:val="16"/>
              <w:numPr>
                <w:ilvl w:val="0"/>
                <w:numId w:val="0"/>
              </w:numPr>
              <w:ind w:left="0" w:leftChars="0" w:firstLine="0" w:firstLineChars="0"/>
              <w:jc w:val="center"/>
              <w:rPr>
                <w:rFonts w:hint="eastAsia" w:hAnsi="宋体" w:eastAsia="宋体"/>
                <w:b/>
                <w:color w:val="auto"/>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903" w:type="dxa"/>
            <w:tcBorders>
              <w:top w:val="single" w:color="auto" w:sz="4" w:space="0"/>
              <w:left w:val="single" w:color="auto" w:sz="4" w:space="0"/>
              <w:right w:val="single" w:color="auto" w:sz="4" w:space="0"/>
            </w:tcBorders>
            <w:noWrap w:val="0"/>
            <w:vAlign w:val="center"/>
          </w:tcPr>
          <w:p w14:paraId="7BF92489">
            <w:pPr>
              <w:spacing w:line="340" w:lineRule="exact"/>
              <w:jc w:val="center"/>
              <w:rPr>
                <w:rFonts w:hint="eastAsia" w:hAnsi="宋体"/>
                <w:b/>
                <w:color w:val="auto"/>
                <w:sz w:val="21"/>
                <w:szCs w:val="21"/>
                <w:highlight w:val="none"/>
              </w:rPr>
            </w:pPr>
            <w:r>
              <w:rPr>
                <w:rFonts w:hint="eastAsia"/>
                <w:color w:val="auto"/>
                <w:sz w:val="21"/>
                <w:szCs w:val="21"/>
                <w:highlight w:val="none"/>
                <w:lang w:eastAsia="zh-CN"/>
              </w:rPr>
              <w:t>机器人租赁服务</w:t>
            </w:r>
          </w:p>
        </w:tc>
        <w:tc>
          <w:tcPr>
            <w:tcW w:w="997" w:type="dxa"/>
            <w:gridSpan w:val="2"/>
            <w:tcBorders>
              <w:top w:val="single" w:color="auto" w:sz="4" w:space="0"/>
              <w:left w:val="single" w:color="auto" w:sz="4" w:space="0"/>
              <w:right w:val="single" w:color="auto" w:sz="4" w:space="0"/>
            </w:tcBorders>
            <w:noWrap w:val="0"/>
            <w:vAlign w:val="center"/>
          </w:tcPr>
          <w:p w14:paraId="2AB5D19A">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rPr>
            </w:pPr>
            <w:r>
              <w:rPr>
                <w:rFonts w:hint="eastAsia" w:ascii="仿宋" w:hAnsi="仿宋" w:eastAsia="仿宋" w:cs="仿宋"/>
                <w:i w:val="0"/>
                <w:iCs w:val="0"/>
                <w:color w:val="000000"/>
                <w:kern w:val="0"/>
                <w:sz w:val="21"/>
                <w:szCs w:val="21"/>
                <w:u w:val="none"/>
                <w:lang w:val="en-US" w:eastAsia="zh-CN" w:bidi="ar"/>
              </w:rPr>
              <w:t>2个</w:t>
            </w:r>
          </w:p>
        </w:tc>
        <w:tc>
          <w:tcPr>
            <w:tcW w:w="6533" w:type="dxa"/>
            <w:tcBorders>
              <w:top w:val="single" w:color="auto" w:sz="4" w:space="0"/>
              <w:left w:val="single" w:color="auto" w:sz="4" w:space="0"/>
              <w:right w:val="single" w:color="auto" w:sz="4" w:space="0"/>
            </w:tcBorders>
            <w:noWrap w:val="0"/>
            <w:vAlign w:val="center"/>
          </w:tcPr>
          <w:p w14:paraId="66F7D376">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1.1功能说明</w:t>
            </w:r>
          </w:p>
          <w:p w14:paraId="652BB7A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尺寸长约660mm、宽约538mm。</w:t>
            </w:r>
          </w:p>
          <w:p w14:paraId="6F0A2D5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车体采用坚固耐用的中碳钢材质，并配备了10组弹性挂簧，以实现减震效果，确保在各种地形上都能平稳运行。</w:t>
            </w:r>
          </w:p>
          <w:p w14:paraId="489658F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软件系统控制模块：可配套软件实现用户管理、任务设置及远程操作机器人投送、摄像及灭火任务。支持远程控制灭火器水平/垂直方向调整，支持远程灭火器启动与关闭控制喷射，支持救援物资投放控制。</w:t>
            </w:r>
          </w:p>
          <w:p w14:paraId="3098EFD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视频与图像采集功能参数：支持软件界面对摄像机的上下、左右转动控制，支持远近景调节（光学变焦/数字变焦），支持实时视频监控，支持画面截图与图像保存。</w:t>
            </w:r>
          </w:p>
          <w:p w14:paraId="60F9923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环境监测功能参数：支持实时测距显示，支持实时一氧化碳（CO）浓度检测数值显示与超标报警，支持氧气（O₂）浓度检测实时数值显示，支持甲烷（CH₄）浓度检测实时数值显示与预警功能，支持实时温度显示，支持实时湿度显示。</w:t>
            </w:r>
          </w:p>
          <w:p w14:paraId="014613F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数据与交互功能参数：所有监测参数实时刷新显示。</w:t>
            </w:r>
          </w:p>
          <w:p w14:paraId="184AA67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侦察机器人硬件包含驱动行走模块、弹射模块、摄像模块、灭火模块和图传模块，可实现侦察图像传输与拍摄，CO、CH4和O2气体浓度的检测，前方距离的测量，以及物品的投放。</w:t>
            </w:r>
          </w:p>
          <w:p w14:paraId="1319670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驱动模块：橡胶履带，采用直流有刷电机驱动，可按指令控制小车前进、后退、转弯等。</w:t>
            </w:r>
          </w:p>
          <w:p w14:paraId="0C766E5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弹射模块：配备弹簧、蜗轮蜗杆电机和机械结构，蜗轮蜗杆电机旋转带动机械装置压缩弹簧，旋转到一定位置释放弹簧，从而实现弹射功能。</w:t>
            </w:r>
          </w:p>
          <w:p w14:paraId="7449716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灭火模块：采用干粉灭火器灭火，有效喷射时间达12s，有效喷射距离大于1m，线性电机控制灭火器阀门开关和灭火器喷射高度。</w:t>
            </w:r>
          </w:p>
          <w:p w14:paraId="5856B62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图传模块：搭载网口和串口，实现传输图像、视频与指令。</w:t>
            </w:r>
          </w:p>
          <w:p w14:paraId="1E161FE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电源模块：主要负责电源管理功能，包括主电池组供电、电压转换以及电量显示，确保设备稳定运行并提供电源状态可视化。</w:t>
            </w:r>
          </w:p>
          <w:p w14:paraId="3E08C3B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1.2主要器件参数：</w:t>
            </w:r>
          </w:p>
          <w:p w14:paraId="7A187E1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1.电源模块</w:t>
            </w:r>
          </w:p>
          <w:p w14:paraId="3796600E">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主电池组电压：24V</w:t>
            </w:r>
          </w:p>
          <w:p w14:paraId="4CA253E5">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输入电压：5—40V</w:t>
            </w:r>
          </w:p>
          <w:p w14:paraId="572033EA">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输出电压：1.23—30V</w:t>
            </w:r>
          </w:p>
          <w:p w14:paraId="2664107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2.摄像头</w:t>
            </w:r>
          </w:p>
          <w:p w14:paraId="717CC9E5">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摄像头：200万像素23倍变焦</w:t>
            </w:r>
          </w:p>
          <w:p w14:paraId="0FF0295B">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云台：可控制摄像头水平360°，垂直-20到90°转动。</w:t>
            </w:r>
          </w:p>
          <w:p w14:paraId="2E8F42B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3.驱动装置</w:t>
            </w:r>
          </w:p>
          <w:p w14:paraId="3811DEC2">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驱动电机：直流有刷电机，额定功率150W*2</w:t>
            </w:r>
          </w:p>
          <w:p w14:paraId="3B0D570B">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履带：宽80mm橡胶履带</w:t>
            </w:r>
          </w:p>
          <w:p w14:paraId="0527767A">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运行速度：运行速度0-1.2M/S</w:t>
            </w:r>
          </w:p>
          <w:p w14:paraId="15BC9E6A">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控制方式：遥控控制，可按指令控制小车前进、后退、转弯等。</w:t>
            </w:r>
          </w:p>
          <w:p w14:paraId="4E95465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4.图传</w:t>
            </w:r>
          </w:p>
          <w:p w14:paraId="25D03308">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串口：搭载网口和串口</w:t>
            </w:r>
          </w:p>
          <w:p w14:paraId="7EB48FBF">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尺寸：移动端49*34*15mm、基站端94*64*23mm</w:t>
            </w:r>
          </w:p>
          <w:p w14:paraId="0AC985E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5.传感器</w:t>
            </w:r>
          </w:p>
          <w:p w14:paraId="342C6A6D">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）温</w:t>
            </w:r>
            <w:r>
              <w:rPr>
                <w:rFonts w:hint="eastAsia" w:ascii="宋体" w:hAnsi="宋体" w:eastAsia="宋体" w:cs="宋体"/>
                <w:color w:val="auto"/>
                <w:sz w:val="21"/>
                <w:szCs w:val="21"/>
                <w:highlight w:val="none"/>
              </w:rPr>
              <w:t>度传感器：温度传感器量程-40到125摄氏度，精度±0.3摄氏度</w:t>
            </w:r>
          </w:p>
          <w:p w14:paraId="3FFF5F6F">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气体检测传感器：可检测CO气体浓度，测量范围0-1000ppm；可检测CH4气体浓度，测量范围0—100%；可检测O2气体浓度，测量范围0—30%</w:t>
            </w:r>
          </w:p>
          <w:p w14:paraId="1EA921FE">
            <w:pPr>
              <w:pStyle w:val="8"/>
              <w:widowControl/>
              <w:topLinePunct/>
              <w:adjustRightInd w:val="0"/>
              <w:snapToGrid w:val="0"/>
              <w:spacing w:before="60" w:after="60" w:line="312" w:lineRule="auto"/>
              <w:ind w:left="0" w:leftChars="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测距传感器：激光测距探测范围0.2m—8m，准度±6cm，测量频率100hz</w:t>
            </w:r>
          </w:p>
          <w:p w14:paraId="4DC44DEB">
            <w:pPr>
              <w:pStyle w:val="8"/>
              <w:widowControl/>
              <w:topLinePunct/>
              <w:adjustRightInd w:val="0"/>
              <w:snapToGrid w:val="0"/>
              <w:spacing w:before="60" w:after="60" w:line="312" w:lineRule="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6.租赁期限为合同签订日起1年内。</w:t>
            </w:r>
          </w:p>
        </w:tc>
      </w:tr>
      <w:tr w14:paraId="0A6F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70DB43D">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val="0"/>
                <w:bCs/>
                <w:color w:val="auto"/>
                <w:sz w:val="21"/>
                <w:szCs w:val="21"/>
                <w:highlight w:val="none"/>
                <w:lang w:val="en-US" w:eastAsia="zh-CN"/>
              </w:rPr>
              <w:t>2</w:t>
            </w:r>
          </w:p>
        </w:tc>
        <w:tc>
          <w:tcPr>
            <w:tcW w:w="903" w:type="dxa"/>
            <w:tcBorders>
              <w:top w:val="single" w:color="auto" w:sz="4" w:space="0"/>
              <w:left w:val="single" w:color="auto" w:sz="4" w:space="0"/>
              <w:right w:val="single" w:color="auto" w:sz="4" w:space="0"/>
            </w:tcBorders>
            <w:noWrap w:val="0"/>
            <w:vAlign w:val="center"/>
          </w:tcPr>
          <w:p w14:paraId="08EB9570">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视觉位移监测设备租赁服务费</w:t>
            </w:r>
          </w:p>
        </w:tc>
        <w:tc>
          <w:tcPr>
            <w:tcW w:w="997" w:type="dxa"/>
            <w:gridSpan w:val="2"/>
            <w:tcBorders>
              <w:top w:val="single" w:color="auto" w:sz="4" w:space="0"/>
              <w:left w:val="single" w:color="auto" w:sz="4" w:space="0"/>
              <w:right w:val="single" w:color="auto" w:sz="4" w:space="0"/>
            </w:tcBorders>
            <w:noWrap w:val="0"/>
            <w:vAlign w:val="center"/>
          </w:tcPr>
          <w:p w14:paraId="4A15A5FD">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项</w:t>
            </w:r>
          </w:p>
        </w:tc>
        <w:tc>
          <w:tcPr>
            <w:tcW w:w="6533" w:type="dxa"/>
            <w:tcBorders>
              <w:top w:val="single" w:color="auto" w:sz="4" w:space="0"/>
              <w:left w:val="single" w:color="auto" w:sz="4" w:space="0"/>
              <w:right w:val="single" w:color="auto" w:sz="4" w:space="0"/>
            </w:tcBorders>
            <w:noWrap w:val="0"/>
            <w:vAlign w:val="center"/>
          </w:tcPr>
          <w:p w14:paraId="0F5C4E1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监测距离：0-500m；</w:t>
            </w:r>
          </w:p>
          <w:p w14:paraId="37B2D1C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同时监测点数：任意设定可见即可测；</w:t>
            </w:r>
          </w:p>
          <w:p w14:paraId="2F7A7A5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位移分辨率：0.01像素实际值（mm）与镜头焦距、监测距离以及传感器像元大小有关；</w:t>
            </w:r>
          </w:p>
          <w:p w14:paraId="1258FC0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测量精度：±0.2mm （距离50m）；</w:t>
            </w:r>
          </w:p>
          <w:p w14:paraId="6BC892D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采集频率：30Hz；</w:t>
            </w:r>
          </w:p>
          <w:p w14:paraId="3D15CEA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标靶波长：850nm/无源；</w:t>
            </w:r>
          </w:p>
          <w:p w14:paraId="3CFFF60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供电方式：市电交流220V /太阳能；</w:t>
            </w:r>
          </w:p>
          <w:p w14:paraId="17D001A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主机功耗：5W ；</w:t>
            </w:r>
          </w:p>
          <w:p w14:paraId="5A0AC7D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标靶功耗：3W/15W ；</w:t>
            </w:r>
          </w:p>
          <w:p w14:paraId="1FBDC02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防护等级：IP67；</w:t>
            </w:r>
          </w:p>
          <w:p w14:paraId="4F2510E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工作温度：－40-+85C</w:t>
            </w:r>
          </w:p>
          <w:p w14:paraId="5ED52DE1">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12.租赁期限为合同签订日起1年内。</w:t>
            </w:r>
          </w:p>
        </w:tc>
      </w:tr>
      <w:tr w14:paraId="69A0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9F39F70">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w:t>
            </w:r>
          </w:p>
        </w:tc>
        <w:tc>
          <w:tcPr>
            <w:tcW w:w="903" w:type="dxa"/>
            <w:tcBorders>
              <w:top w:val="single" w:color="auto" w:sz="4" w:space="0"/>
              <w:left w:val="single" w:color="auto" w:sz="4" w:space="0"/>
              <w:right w:val="single" w:color="auto" w:sz="4" w:space="0"/>
            </w:tcBorders>
            <w:noWrap w:val="0"/>
            <w:vAlign w:val="center"/>
          </w:tcPr>
          <w:p w14:paraId="4F3FAD81">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火灾自动报警与联动控制系统及二次开发服务</w:t>
            </w:r>
          </w:p>
        </w:tc>
        <w:tc>
          <w:tcPr>
            <w:tcW w:w="997" w:type="dxa"/>
            <w:gridSpan w:val="2"/>
            <w:tcBorders>
              <w:top w:val="single" w:color="auto" w:sz="4" w:space="0"/>
              <w:left w:val="single" w:color="auto" w:sz="4" w:space="0"/>
              <w:right w:val="single" w:color="auto" w:sz="4" w:space="0"/>
            </w:tcBorders>
            <w:noWrap w:val="0"/>
            <w:vAlign w:val="center"/>
          </w:tcPr>
          <w:p w14:paraId="2DCD6C4E">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套</w:t>
            </w:r>
          </w:p>
        </w:tc>
        <w:tc>
          <w:tcPr>
            <w:tcW w:w="6533" w:type="dxa"/>
            <w:tcBorders>
              <w:top w:val="single" w:color="auto" w:sz="4" w:space="0"/>
              <w:left w:val="single" w:color="auto" w:sz="4" w:space="0"/>
              <w:right w:val="single" w:color="auto" w:sz="4" w:space="0"/>
            </w:tcBorders>
            <w:noWrap w:val="0"/>
            <w:vAlign w:val="center"/>
          </w:tcPr>
          <w:p w14:paraId="6DBD9BB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1.火灾自动报警与联动控制系统操作展示台</w:t>
            </w:r>
          </w:p>
          <w:p w14:paraId="1A58ACB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（1）展台材质：铝合金板材、喷防锈漆；</w:t>
            </w:r>
          </w:p>
          <w:p w14:paraId="36E5651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（2）外部开槽及内部综合布线自主研发与设计。</w:t>
            </w:r>
          </w:p>
          <w:p w14:paraId="573E521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展台内部嵌入以下设备及部件：</w:t>
            </w:r>
          </w:p>
          <w:p w14:paraId="7D5FB89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2.火灾报警控制主机，1台；</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安装形式：壁挂式，工作电压：220V，符合国家标准，可与主流消防品牌设备兼容或具备同等功能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388A3C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3.直流24V直流电源，1台；</w:t>
            </w:r>
          </w:p>
          <w:p w14:paraId="4B7A699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4.8口以太网交换机，1台；</w:t>
            </w:r>
          </w:p>
          <w:p w14:paraId="4C27A09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5.MCGS组态触控屏，1块；</w:t>
            </w:r>
          </w:p>
          <w:p w14:paraId="316D926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6.摄像头，2台；</w:t>
            </w:r>
          </w:p>
          <w:p w14:paraId="2F50ED2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（1）有效像素：400万</w:t>
            </w:r>
          </w:p>
          <w:p w14:paraId="1408010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）镜头参数：4mm</w:t>
            </w:r>
          </w:p>
          <w:p w14:paraId="20F7E71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）分辨率：2560x1440</w:t>
            </w:r>
          </w:p>
          <w:p w14:paraId="13DFEC2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）压缩格式：H.265</w:t>
            </w:r>
          </w:p>
          <w:p w14:paraId="36EFB12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）视频帧率：25fps</w:t>
            </w:r>
          </w:p>
          <w:p w14:paraId="789D643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7.PLC控制器，1台：集成以太网接口与RS485通信端口，支持Modbus RTU、USS等协议及多设备组网</w:t>
            </w:r>
          </w:p>
          <w:p w14:paraId="26962BA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8.通信协议卡，1块：</w:t>
            </w:r>
          </w:p>
          <w:p w14:paraId="6B15416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（1）通信接口：RS485 (RTU485)</w:t>
            </w:r>
          </w:p>
          <w:p w14:paraId="0D6E9BB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）通信协议：MODBUS-RTU</w:t>
            </w:r>
          </w:p>
          <w:p w14:paraId="414127B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）通信速率：9600bps</w:t>
            </w:r>
          </w:p>
          <w:p w14:paraId="2D37652C">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9.服务期限为合同签订日起1年内。</w:t>
            </w:r>
          </w:p>
        </w:tc>
      </w:tr>
      <w:tr w14:paraId="6376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AB2DFAA">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w:t>
            </w:r>
          </w:p>
        </w:tc>
        <w:tc>
          <w:tcPr>
            <w:tcW w:w="903" w:type="dxa"/>
            <w:tcBorders>
              <w:top w:val="single" w:color="auto" w:sz="4" w:space="0"/>
              <w:left w:val="single" w:color="auto" w:sz="4" w:space="0"/>
              <w:right w:val="single" w:color="auto" w:sz="4" w:space="0"/>
            </w:tcBorders>
            <w:noWrap w:val="0"/>
            <w:vAlign w:val="center"/>
          </w:tcPr>
          <w:p w14:paraId="381602A1">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BIM机电建模+数字孪生智慧消防系统平台服务</w:t>
            </w:r>
          </w:p>
        </w:tc>
        <w:tc>
          <w:tcPr>
            <w:tcW w:w="997" w:type="dxa"/>
            <w:gridSpan w:val="2"/>
            <w:tcBorders>
              <w:top w:val="single" w:color="auto" w:sz="4" w:space="0"/>
              <w:left w:val="single" w:color="auto" w:sz="4" w:space="0"/>
              <w:right w:val="single" w:color="auto" w:sz="4" w:space="0"/>
            </w:tcBorders>
            <w:noWrap w:val="0"/>
            <w:vAlign w:val="center"/>
          </w:tcPr>
          <w:p w14:paraId="4EAD639C">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c>
          <w:tcPr>
            <w:tcW w:w="6533" w:type="dxa"/>
            <w:tcBorders>
              <w:top w:val="single" w:color="auto" w:sz="4" w:space="0"/>
              <w:left w:val="single" w:color="auto" w:sz="4" w:space="0"/>
              <w:right w:val="single" w:color="auto" w:sz="4" w:space="0"/>
            </w:tcBorders>
            <w:noWrap w:val="0"/>
            <w:vAlign w:val="center"/>
          </w:tcPr>
          <w:p w14:paraId="386B69D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1.支持MODBUS TCP RTU；</w:t>
            </w:r>
          </w:p>
          <w:p w14:paraId="0A0B9D0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2.支持MQTT/COAP/IP/TCP通讯协议；</w:t>
            </w:r>
          </w:p>
          <w:p w14:paraId="4861104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3.支持BIM数字孪生功能/BIM模型导入功能；</w:t>
            </w:r>
          </w:p>
          <w:p w14:paraId="54E0F06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4.支持GST/泰和安/青鸟等数据融合；</w:t>
            </w:r>
          </w:p>
          <w:p w14:paraId="0818F80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5.兼容视频流数据传输与交互；</w:t>
            </w:r>
          </w:p>
          <w:p w14:paraId="7F8CCFC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6.运行电脑配置：CPU i5-12代及以上、显卡：3060及以上、内存：8G及以上。</w:t>
            </w:r>
          </w:p>
          <w:p w14:paraId="06633EF4">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7.服务期限为合同签订日起1年内。</w:t>
            </w:r>
          </w:p>
        </w:tc>
      </w:tr>
      <w:tr w14:paraId="4C5F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8BF67E3">
            <w:pPr>
              <w:pStyle w:val="16"/>
              <w:numPr>
                <w:ilvl w:val="0"/>
                <w:numId w:val="0"/>
              </w:numPr>
              <w:ind w:left="0" w:leftChars="0" w:firstLine="0" w:firstLineChars="0"/>
              <w:jc w:val="center"/>
              <w:rPr>
                <w:rFonts w:hint="eastAsia" w:hAnsi="宋体"/>
                <w:b/>
                <w:color w:val="auto"/>
                <w:sz w:val="21"/>
                <w:szCs w:val="21"/>
                <w:highlight w:val="none"/>
                <w:lang w:val="en-US" w:eastAsia="zh-CN"/>
              </w:rPr>
            </w:pPr>
            <w:r>
              <w:rPr>
                <w:rFonts w:hint="eastAsia"/>
                <w:sz w:val="21"/>
                <w:szCs w:val="21"/>
              </w:rPr>
              <w:t>5</w:t>
            </w:r>
            <w:r>
              <w:rPr>
                <w:rFonts w:hint="eastAsia"/>
                <w:sz w:val="21"/>
                <w:szCs w:val="21"/>
              </w:rPr>
              <w:tab/>
            </w:r>
            <w:r>
              <w:rPr>
                <w:rFonts w:hint="eastAsia"/>
                <w:sz w:val="21"/>
                <w:szCs w:val="21"/>
              </w:rPr>
              <w:t>定制化ai服务</w:t>
            </w:r>
          </w:p>
        </w:tc>
        <w:tc>
          <w:tcPr>
            <w:tcW w:w="903" w:type="dxa"/>
            <w:tcBorders>
              <w:top w:val="single" w:color="auto" w:sz="4" w:space="0"/>
              <w:left w:val="single" w:color="auto" w:sz="4" w:space="0"/>
              <w:right w:val="single" w:color="auto" w:sz="4" w:space="0"/>
            </w:tcBorders>
            <w:noWrap w:val="0"/>
            <w:vAlign w:val="center"/>
          </w:tcPr>
          <w:p w14:paraId="4ECD8032">
            <w:pPr>
              <w:spacing w:line="340" w:lineRule="exact"/>
              <w:jc w:val="center"/>
              <w:rPr>
                <w:rFonts w:hint="eastAsia"/>
                <w:color w:val="auto"/>
                <w:sz w:val="21"/>
                <w:szCs w:val="21"/>
                <w:highlight w:val="none"/>
                <w:lang w:eastAsia="zh-CN"/>
              </w:rPr>
            </w:pPr>
            <w:r>
              <w:rPr>
                <w:rFonts w:hint="eastAsia"/>
                <w:sz w:val="21"/>
                <w:szCs w:val="21"/>
              </w:rPr>
              <w:t>定制化ai服务</w:t>
            </w:r>
          </w:p>
        </w:tc>
        <w:tc>
          <w:tcPr>
            <w:tcW w:w="997" w:type="dxa"/>
            <w:gridSpan w:val="2"/>
            <w:tcBorders>
              <w:top w:val="single" w:color="auto" w:sz="4" w:space="0"/>
              <w:left w:val="single" w:color="auto" w:sz="4" w:space="0"/>
              <w:right w:val="single" w:color="auto" w:sz="4" w:space="0"/>
            </w:tcBorders>
            <w:noWrap w:val="0"/>
            <w:vAlign w:val="center"/>
          </w:tcPr>
          <w:p w14:paraId="1C234C0F">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1项</w:t>
            </w:r>
          </w:p>
        </w:tc>
        <w:tc>
          <w:tcPr>
            <w:tcW w:w="6533" w:type="dxa"/>
            <w:tcBorders>
              <w:top w:val="single" w:color="auto" w:sz="4" w:space="0"/>
              <w:left w:val="single" w:color="auto" w:sz="4" w:space="0"/>
              <w:right w:val="single" w:color="auto" w:sz="4" w:space="0"/>
            </w:tcBorders>
            <w:noWrap w:val="0"/>
            <w:vAlign w:val="center"/>
          </w:tcPr>
          <w:p w14:paraId="08909B1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系统总体技术要求</w:t>
            </w:r>
          </w:p>
          <w:p w14:paraId="4DDCDCA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1.系统定位：专为消防应急、有限空间救援场景定制开发的专用 AI 决策侦察系统，采用 “本地化部署 + 云端协同” 双架构，支持断网离线模式下核心功能正常运行，满足灾害现场无公网环境的应急使用需求。</w:t>
            </w:r>
          </w:p>
          <w:p w14:paraId="0928818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系统性能：支持≥50 路前端侦察设备同时并发接入，数据端到端处理延迟≤200ms；核心功能模块响应时间≤1s，7×24 小时稳定运行，全年在线率≥99.9%。</w:t>
            </w:r>
          </w:p>
          <w:p w14:paraId="0134FA3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安全合规：符合《网络安全等级保护 2.0》三级标准，具备完善的权限管理、数据加密、操作日志留存、数据备份恢复功能；支持国产化适配，可兼容麒麟、统信等国产化操作系统，达梦、人大金仓等国产化数据库。</w:t>
            </w:r>
          </w:p>
          <w:p w14:paraId="4545ED4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4.AI 算力要求：内置应急救援专用算法模型库，支持模型在线迭代、自定义训练，可适配灾害现场场景化需求优化算法；AI 推理算力可扩展，单节点算力≥16TOPS INT8。</w:t>
            </w:r>
          </w:p>
          <w:p w14:paraId="24381D2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5.部署方式：支持指挥中心服务器集群部署、现场便携一体机部署两种模式，可实现指挥中心与救援现场数据双向同步、实时联动。</w:t>
            </w:r>
          </w:p>
          <w:p w14:paraId="412C254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核心功能模块技术参数</w:t>
            </w:r>
          </w:p>
          <w:p w14:paraId="4C8DF2C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（一）多源侦察数据实时接入与 AI 融合处理模块</w:t>
            </w:r>
          </w:p>
          <w:p w14:paraId="370B9A6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设备接入兼容性：可无缝对接本次采购的行业级无人机、四足机器狗、智能救援头盔等前端设备，同时兼容气体检测仪、红外热成像仪、环境传感器、单兵执法仪、视频监控平台等各类侦察终端，无协议壁垒。</w:t>
            </w:r>
          </w:p>
          <w:p w14:paraId="481A70E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数据类型支持：可同步接入视频流数据、激光雷达点云数据、定位坐标数据、环境监测数据、生命体征数据、设备状态数据六大类核心数据，支持 RTSP/RTMP/GB28181 标准视频协议、MQTT 传感器协议、标准 SDK/API 接口接入。</w:t>
            </w:r>
          </w:p>
          <w:p w14:paraId="0700C3A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3.AI 数据预处理：内置数据降噪、畸变校正、时空对齐、多源数据融合算法，可对不同设备、不同维度的侦察数据进行统一标准化处理，消除数据偏差，为后续 AI 决策提供精准数据支撑。</w:t>
            </w:r>
          </w:p>
          <w:p w14:paraId="2EF16BF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4.数据存储管理：支持侦察数据实时本地存储 + 云端异地备份，原始数据留存时长≥180 天，支持按时间、设备、事件类型快速检索调取，支持数据一键导出、溯源。</w:t>
            </w:r>
          </w:p>
          <w:p w14:paraId="3E4702F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（二）灾害风险 AI 可视化与分级管控模块</w:t>
            </w:r>
          </w:p>
          <w:p w14:paraId="3FF7870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风险分区地图可视化：支持基于实时侦察数据与二维 / 三维 GIS 地图，自动生成红 / 黄 / 绿三色风险分区地图，其中红色为危险区、黄色为警戒区、绿色为安全区；地图动态更新频率≤1s，支持图层叠加、缩放平移、风险点位标注、历史轨迹回溯功能。</w:t>
            </w:r>
          </w:p>
          <w:p w14:paraId="0BA9C96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爆炸下限（LEL）实时计算：内置可燃气体爆炸极限计算模型，可基于现场气体传感器实时数据，自动计算多组分混合气体的爆炸下限 LEL 值，计算精度≤±1% LEL，支持 LEL 值实时曲线展示、阈值超标自动声光报警。</w:t>
            </w:r>
          </w:p>
          <w:p w14:paraId="6CA9007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风险等级智能判定：内置应急救援风险分级模型，可综合环境参数、气体浓度、地形结构、灾害类型等多维度数据，自动完成现场风险等级判定，风险等级划分不低于 5 级，判定结果同步展示在指挥大屏，支持风险等级变化自动预警。</w:t>
            </w:r>
          </w:p>
          <w:p w14:paraId="3215B1C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4.风险预警管理：支持风险阈值自定义配置，可针对不同灾害类型、不同场景设置分级预警规则；预警信息可通过弹窗、高亮、声光、短信等多渠道同步推送至指挥中心与现场救援终端。</w:t>
            </w:r>
          </w:p>
          <w:p w14:paraId="4F8B159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（三）被困人员 AI 精准识别与管控模块</w:t>
            </w:r>
          </w:p>
          <w:p w14:paraId="5F390A8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多源数据融合识别：内置人体目标识别专用 AI 算法，可融合无人机、机器狗、热成像仪采集的红外热成像数据、可见光视频数据、激光雷达点云数据，自动识别、锁定被困人员目标，人体目标识别准确率≥99%，浓烟 / 黑暗 / 遮挡环境下红外热源识别率≥98%。</w:t>
            </w:r>
          </w:p>
          <w:p w14:paraId="409384D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人员状态智能分类：可基于人员姿态、动作、生命体征数据，自动判定被困人员生命状态，以绿色标识意识清醒人员、红色标识昏迷人员，状态分类准确率≥95%，状态更新频率≤1s。</w:t>
            </w:r>
          </w:p>
          <w:p w14:paraId="6E0E4B6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人员信息全维度展示：可自动标注被困人员精准位置，定位精度≤±10cm；支持鼠标悬停即可查看人员全维度详情，包括但不限于距管道 / 入口直线距离、人员姿态（站立 / 坐 / 躺）、生命体征状态（心率、呼吸、体温）、所在区域风险等级。</w:t>
            </w:r>
          </w:p>
          <w:p w14:paraId="26813B5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救援优先级智能排序：内置救援优先级评估模型，可综合被困人员生命状态、受伤程度、所处环境风险、救援难度等多维度指标，自动生成被困人员救援优先级排序，排序响应时间≤500ms，支持评估维度、权重自定义配置。</w:t>
            </w:r>
          </w:p>
          <w:p w14:paraId="4CFF416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5.目标持续跟踪：支持对锁定的被困人员目标进行持续动态跟踪，位置、状态信息实时同步更新，支持目标丢失自动找回、异常状态自动报警。</w:t>
            </w:r>
          </w:p>
          <w:p w14:paraId="07F430B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（四）应急救援智能预案 AI 自动生成模块</w:t>
            </w:r>
          </w:p>
          <w:p w14:paraId="2F49359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预案智能生成能力：可综合现场全量侦察数据、风险分区、人员位置、环境参数、装备资源等信息，自动生成完整可落地的应急救援预案，预案生成响应时间≤1s，支持预案一键导出、打印、下发至现场救援终端。</w:t>
            </w:r>
          </w:p>
          <w:p w14:paraId="3C6D0A5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通风排险专项方案生成：内置有限空间通风计算模型，可基于管道结构、空间尺寸、气体浓度、介质类型，自动生成标准化通风排险方案，明确风机最优布设点位、风管铺设路径、所需设计风量、通风时长，风量计算精度≤±5%，支持方案动态调整。</w:t>
            </w:r>
          </w:p>
          <w:p w14:paraId="251D79D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现场救援专项方案生成：可基于现场风险等级、被困人员状态、救援环境，智能推荐最优救援实施方式（含正压式消防空气呼吸器 SCBA 进入救援、绳索提拉救援等），自动规划规避高风险区的最优救援路线，同步生成匹配救援场景的配套装备配置清单，清单可自定义编辑。</w:t>
            </w:r>
          </w:p>
          <w:p w14:paraId="5E719D7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救护转运路线智能规划：可基于被困人员位置、风险分区地图、现场洗消点布设，自动规划从被困点位到洗消帐篷的最优救护转运路径，路径遵循 “风险最低、距离最短、通行最顺畅” 原则，支持现场环境变化后路径动态更新。</w:t>
            </w:r>
          </w:p>
          <w:p w14:paraId="1686DF6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5.预案管理功能：内置多场景应急救援预案模板库，支持模板自定义编辑、版本管理、历史预案回溯比对，可根据演练 / 实战场景需求定制化开发专项预案模板。</w:t>
            </w:r>
          </w:p>
          <w:p w14:paraId="4A508DF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指挥大屏可视化联动技术参数</w:t>
            </w:r>
          </w:p>
          <w:p w14:paraId="01E6FC8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大屏适配能力：支持任意尺寸、任意分辨率指挥大屏适配，支持单屏、多屏拼接、分布式大屏部署，最大支持 32 屏拼接同步显示，画面无撕裂、无卡顿、无延迟。</w:t>
            </w:r>
          </w:p>
          <w:p w14:paraId="5BACEF7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2.多画面分屏展示：支持≥16 分屏同步展示，可同时呈现风险分区地图、前端设备第一视角画面、实时监测数据、被困人员信息、智能救援预案、设备状态六大类核心内容，支持画面一键切换、全屏放大、拖拽布局。</w:t>
            </w:r>
          </w:p>
          <w:p w14:paraId="080FE36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3.实时联动控制：支持大屏端与前端设备双向联动，可通过大屏远程操控无人机、机器狗、前端传感器，一键调取目标设备画面、下发作业指令，指令响应时间≤300ms。</w:t>
            </w:r>
          </w:p>
          <w:p w14:paraId="40B8E1B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4.多终端同步展示：支持指挥大屏、后端 PC 端、现场平板 / 手机端、便携指挥箱多终端数据实时同步，所有终端画面、数据保持一致，同步延迟≤200ms。</w:t>
            </w:r>
          </w:p>
          <w:p w14:paraId="067F900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5.应急展示功能：支持报警信息弹窗高亮、重点目标突出标注、救援流程动态推演、历史事件复盘回放，适配应急指挥、演练汇报全场景使用需求。</w:t>
            </w:r>
          </w:p>
          <w:p w14:paraId="340F1C1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四、系统兼容性与接口技术参数</w:t>
            </w:r>
          </w:p>
          <w:p w14:paraId="3391241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1.开放接口：提供全功能标准化 SDK/API 接口，支持与采购方现有应急指挥平台、GIS 地理信息系统、视频融合平台、数据中台无缝对接，无接口使用限制，免费提供接口开发技术支持。</w:t>
            </w:r>
          </w:p>
          <w:p w14:paraId="60B0B91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2.数据格式兼容：支持行业通用数据格式，可兼容 LAS/LAZ 点云数据、JPG/MP4 音视频数据、Excel/CSV 结构化数据、JSON 通用数据格式，支持数据无壁垒导入导出。</w:t>
            </w:r>
          </w:p>
          <w:p w14:paraId="1F47E9E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3.前端设备兼容：可兼容市面主流品牌的行业无人机、四足机器人、热成像设备、气体检测设备、智能穿戴设备，无需额外开发即可实现数据接入与联动。</w:t>
            </w:r>
          </w:p>
          <w:p w14:paraId="5FC0961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扩展能力：支持功能模块、接入设备数量、算力资源灵活扩展，可根据采购方后续业务需求免费新增场景化功能模块。</w:t>
            </w:r>
          </w:p>
          <w:p w14:paraId="65057F6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五、配套服务与质保要求</w:t>
            </w:r>
          </w:p>
          <w:p w14:paraId="5A52FC4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1.标配服务：包含系统本地化部署、前端设备对接调试、现有系统适配联调全流程实施服务，确保系统与所有前端设备、现有指挥平台无缝联动，功能完整落地。</w:t>
            </w:r>
          </w:p>
          <w:p w14:paraId="1697763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2.质保服务：整机系统提供≥1 年原厂免费质保，质保期内提供免费系统升级、功能迭代、故障维修、bug 修复服务；提供 7×24 小时技术支持服务，故障响应时间≤2 小时，重大故障现场处置时间≤24 小时。</w:t>
            </w:r>
          </w:p>
          <w:p w14:paraId="6AB029F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培训服务：提供免费现场操作培训，培训内容涵盖系统操作、功能使用、预案配置、设备对接、日常运维全流程，确保指挥人员、操作人员可独立完成系统全功能操作；同步提供配套操作手册、应急处置流程指南、培训视频课件。</w:t>
            </w:r>
          </w:p>
          <w:p w14:paraId="3CDDCB1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4.定制化服务：可根据采购方应急救援演练流程、实战场景需求，提供免费定制化开发服务，适配采购方专属业务流程，无额外定制费用。</w:t>
            </w:r>
          </w:p>
          <w:p w14:paraId="3FEB525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5.售后运维：质保期结束后，提供终身成本价运维服务，持续提供系统升级、技术支持服务，确保系统长期稳定可用。</w:t>
            </w:r>
          </w:p>
          <w:p w14:paraId="7A39587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六、服务期限为合同签订日起1年内。</w:t>
            </w:r>
          </w:p>
        </w:tc>
      </w:tr>
      <w:tr w14:paraId="47FB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4B478C2">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6</w:t>
            </w:r>
          </w:p>
        </w:tc>
        <w:tc>
          <w:tcPr>
            <w:tcW w:w="903" w:type="dxa"/>
            <w:tcBorders>
              <w:top w:val="single" w:color="auto" w:sz="4" w:space="0"/>
              <w:left w:val="single" w:color="auto" w:sz="4" w:space="0"/>
              <w:right w:val="single" w:color="auto" w:sz="4" w:space="0"/>
            </w:tcBorders>
            <w:noWrap w:val="0"/>
            <w:vAlign w:val="center"/>
          </w:tcPr>
          <w:p w14:paraId="00ACB529">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定制化实训平台服务</w:t>
            </w:r>
          </w:p>
        </w:tc>
        <w:tc>
          <w:tcPr>
            <w:tcW w:w="997" w:type="dxa"/>
            <w:gridSpan w:val="2"/>
            <w:tcBorders>
              <w:top w:val="single" w:color="auto" w:sz="4" w:space="0"/>
              <w:left w:val="single" w:color="auto" w:sz="4" w:space="0"/>
              <w:right w:val="single" w:color="auto" w:sz="4" w:space="0"/>
            </w:tcBorders>
            <w:noWrap w:val="0"/>
            <w:vAlign w:val="center"/>
          </w:tcPr>
          <w:p w14:paraId="73BF2876">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1个</w:t>
            </w:r>
          </w:p>
        </w:tc>
        <w:tc>
          <w:tcPr>
            <w:tcW w:w="6533" w:type="dxa"/>
            <w:tcBorders>
              <w:top w:val="single" w:color="auto" w:sz="4" w:space="0"/>
              <w:left w:val="single" w:color="auto" w:sz="4" w:space="0"/>
              <w:right w:val="single" w:color="auto" w:sz="4" w:space="0"/>
            </w:tcBorders>
            <w:noWrap w:val="0"/>
            <w:vAlign w:val="center"/>
          </w:tcPr>
          <w:p w14:paraId="4EE15BD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1.结构形式：碳钢焊接实体密闭容器，1:1 还原工业储罐、反应釜的真实内部结构与受限出入口。</w:t>
            </w:r>
          </w:p>
          <w:p w14:paraId="4337FF4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2.基础规格：包含卧式储罐模型（直径≥1200mm，长度≥4m）、立式储罐模型（直径≥1500mm，高度≥3m），可定制反应釜、槽车罐型等非标结构。</w:t>
            </w:r>
          </w:p>
          <w:p w14:paraId="6148CB3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3.现场还原细节：设置标准人孔、手孔、物料口等受限出入口（最小口径≥400mm），内部设置实体隔板、内置搅拌构件、物料堆积障碍、管线遮挡结构，1:1 还原密闭容器内多遮挡、无自然采光、狭小作业面的真实环境；可实现全遮光处理，模拟黑暗密闭作业环境。</w:t>
            </w:r>
          </w:p>
          <w:p w14:paraId="03AE601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4.实训适配设计：罐体预留不同类型的泄漏点位，适配容器堵漏实训；内置多处标准化救援锚点，适配容器内部救援、人员提拉转运实训；预留标准化通风接口，适配受限空间通风排险实操。</w:t>
            </w:r>
          </w:p>
          <w:p w14:paraId="277B40F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5.适配实训科目：密闭容器进出安全规范、容器内狭小空间搜救、受限空间堵漏、通风排险实操、被困人员转运。</w:t>
            </w:r>
          </w:p>
          <w:p w14:paraId="7392865D">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6.服务期限为合同签订日起1年内。</w:t>
            </w:r>
          </w:p>
        </w:tc>
      </w:tr>
      <w:tr w14:paraId="233E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AC3270A">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7</w:t>
            </w:r>
          </w:p>
        </w:tc>
        <w:tc>
          <w:tcPr>
            <w:tcW w:w="903" w:type="dxa"/>
            <w:tcBorders>
              <w:top w:val="single" w:color="auto" w:sz="4" w:space="0"/>
              <w:left w:val="single" w:color="auto" w:sz="4" w:space="0"/>
              <w:right w:val="single" w:color="auto" w:sz="4" w:space="0"/>
            </w:tcBorders>
            <w:noWrap w:val="0"/>
            <w:vAlign w:val="center"/>
          </w:tcPr>
          <w:p w14:paraId="38329505">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PPT美化和视频拍摄服务</w:t>
            </w:r>
          </w:p>
        </w:tc>
        <w:tc>
          <w:tcPr>
            <w:tcW w:w="997" w:type="dxa"/>
            <w:gridSpan w:val="2"/>
            <w:tcBorders>
              <w:top w:val="single" w:color="auto" w:sz="4" w:space="0"/>
              <w:left w:val="single" w:color="auto" w:sz="4" w:space="0"/>
              <w:right w:val="single" w:color="auto" w:sz="4" w:space="0"/>
            </w:tcBorders>
            <w:noWrap w:val="0"/>
            <w:vAlign w:val="center"/>
          </w:tcPr>
          <w:p w14:paraId="684F217A">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c>
          <w:tcPr>
            <w:tcW w:w="6533" w:type="dxa"/>
            <w:tcBorders>
              <w:top w:val="single" w:color="auto" w:sz="4" w:space="0"/>
              <w:left w:val="single" w:color="auto" w:sz="4" w:space="0"/>
              <w:right w:val="single" w:color="auto" w:sz="4" w:space="0"/>
            </w:tcBorders>
            <w:noWrap w:val="0"/>
            <w:vAlign w:val="center"/>
          </w:tcPr>
          <w:p w14:paraId="31C10A3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一、总体服务要求</w:t>
            </w:r>
          </w:p>
          <w:p w14:paraId="72D2AA9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本项目服务包含参赛竞赛专用 PPT 全案内容优化、逻辑重构、视觉高端美化+参赛项目专属展示宣传视频策划、拍摄、剪辑、包装合成一体化定制服务，需贴合行业赛事评审标准、竞赛调性、展示场景（线上路演 / 线下答辩 / 大屏投屏）定制化输出。</w:t>
            </w:r>
          </w:p>
          <w:p w14:paraId="092C304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服务团队需配备专职文案策划、平面设计师、影视编导、摄像师、后期剪辑师，全程一对一专属对接，根据采购人参赛赛道、项目亮点、受众评审群体精准定制。</w:t>
            </w:r>
          </w:p>
          <w:p w14:paraId="7C8EA6F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所有成品无版权纠纷，提供商用 / 赛事展示正版授权，免费终身基础修改微调。</w:t>
            </w:r>
          </w:p>
          <w:p w14:paraId="786F03C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二、参赛 PPT 内容优化及美化核心技术参数</w:t>
            </w:r>
          </w:p>
          <w:p w14:paraId="0344468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（一）内容文案专业优化参数</w:t>
            </w:r>
          </w:p>
          <w:p w14:paraId="5AEA8F4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全文逻辑架构重组：梳理项目背景、痛点、解决方案、核心优势、技术创新、商业模式、落地成果、规划展望八大核心模块，重构叙事逻辑，适配 3-8 分钟路演答辩节奏。</w:t>
            </w:r>
          </w:p>
          <w:p w14:paraId="039687B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专业文案精修润色：精简冗余文字、修正语病错别字、专业术语标准化统一，突出项目核心亮点、硬核技术、差异化竞争力，语言精练高端，符合政企 / 科创 / 双创赛事行文规范。</w:t>
            </w:r>
          </w:p>
          <w:p w14:paraId="0F05D58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数据内容优化：原始数据梳理、数据校核纠错，重点盈利、产能、成效、专利、资质等核心数据可视化提炼放大，强化说服力。</w:t>
            </w:r>
          </w:p>
          <w:p w14:paraId="33B00E4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重点内容定制强化：根据参赛评分标准，针对性拔高创新点、社会效益、技术壁垒、落地价值板块内容占比与表达层级。</w:t>
            </w:r>
          </w:p>
          <w:p w14:paraId="3AB527D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（二）视觉高端美化设计参数</w:t>
            </w:r>
          </w:p>
          <w:p w14:paraId="0492671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版式规范：统一标准化母版、页眉页脚、页码排版，模块化黄金分割版式，每页留白合理，层级分明，杜绝杂乱拥挤；适配 16:9 标准赛事大屏通用比例。</w:t>
            </w:r>
          </w:p>
          <w:p w14:paraId="56052A9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色彩体系：结合赛事主题、企业 / 项目 VI 体系定制专属配色，色彩和谐高级、商务简约 / 科创潮流双风格可选，无刺眼撞色、低饱和度护眼设计。</w:t>
            </w:r>
          </w:p>
          <w:p w14:paraId="4DD541A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图形素材：正版商用扁平化图标、矢量插画、场景配图替换原图，高清无损无水印；专利、设备、场景、流程采用定制化信息图表、流程图、架构图展示。</w:t>
            </w:r>
          </w:p>
          <w:p w14:paraId="388EABE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特效动画：定制轻量化分页进场动画、重点内容高亮强调动画、切换转场特效，动画流畅不花哨，适配现场路演播放，无卡顿、无特效冲突。</w:t>
            </w:r>
          </w:p>
          <w:p w14:paraId="4C91C65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细节处理：字体全局统一（标题 / 正文层级区分）、图文精准对齐、底纹装饰极简高级；图片高清精修、抠图合成、光影优化。</w:t>
            </w:r>
          </w:p>
          <w:p w14:paraId="0221D27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（三）交付文件规格</w:t>
            </w:r>
          </w:p>
          <w:p w14:paraId="5DE4A04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提供可编辑源文件：PPTX 原版、PDF 高清印刷版、图片高清合集；</w:t>
            </w:r>
          </w:p>
          <w:p w14:paraId="0DDAD65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支持手机、电脑、投影仪、LED 大屏全终端完美兼容播放；</w:t>
            </w:r>
          </w:p>
          <w:p w14:paraId="042E0CF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免费提供 2 轮大范围内容修改、不限次数细节微调校对。</w:t>
            </w:r>
          </w:p>
          <w:p w14:paraId="428EF5D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三、参赛项目展示视频拍摄制作技术参数</w:t>
            </w:r>
          </w:p>
          <w:p w14:paraId="42D47EF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（一）前期策划脚本定制</w:t>
            </w:r>
          </w:p>
          <w:p w14:paraId="26EADDC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专属编导一对一调研项目全貌，定制赛事专属解说脚本 + 分镜头脚本，贴合答辩逻辑，突出项目核心优势；</w:t>
            </w:r>
          </w:p>
          <w:p w14:paraId="42A335A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脚本时长适配：常规路演视频 60s/90s/120s/180s 多版本定制，满足不同赛事限时展示要求。</w:t>
            </w:r>
          </w:p>
          <w:p w14:paraId="286A139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（二）拍摄硬件及画面技术标准</w:t>
            </w:r>
          </w:p>
          <w:p w14:paraId="19DDA05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拍摄设备：专业 4K 超高清电影级摄影机、防抖云台、专业补光灯、领夹收音麦克风、外景航拍无人机（按需选配）；</w:t>
            </w:r>
          </w:p>
          <w:p w14:paraId="1A4148F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画面标准：分辨率不低于 3840×2160（4K），帧率≥25fps，画面防抖、无噪点、无暗角，实景实拍 + 产品 / 系统录屏结合拍摄；</w:t>
            </w:r>
          </w:p>
          <w:p w14:paraId="3021642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场景覆盖：项目场地实景、设备实操、团队展示、成果实景、流程演示全维度取景。</w:t>
            </w:r>
          </w:p>
          <w:p w14:paraId="3F2E9AB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（三）后期剪辑包装合成参数</w:t>
            </w:r>
          </w:p>
          <w:p w14:paraId="7FC819B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精剪调色：专业一级校色、画面统一色调、降噪美颜、镜头卡点剪辑，节奏紧凑不拖沓；</w:t>
            </w:r>
          </w:p>
          <w:p w14:paraId="35F3CBA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字幕配音：标准普通话专业播音级男声 / 女声配音（可选），同步动态精准双语字幕，重点亮点高亮弹窗字幕；</w:t>
            </w:r>
          </w:p>
          <w:p w14:paraId="70746BB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特效包装：定制赛事专属片头片尾、LOGO 演绎、动态数据图表、科技动态粒子特效、转场动画；背景音乐选用正版无版权商用纯音乐，音量分层不压过人声；</w:t>
            </w:r>
          </w:p>
          <w:p w14:paraId="281A8E2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内容适配：同步融合 PPT 核心精华、项目技术原理、落地案例、荣誉资质动态展示。</w:t>
            </w:r>
          </w:p>
          <w:p w14:paraId="3D11091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（四）成品交付规格</w:t>
            </w:r>
          </w:p>
          <w:p w14:paraId="2574DCF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输出格式：MP4 通用高清格式、MOV 无损源文件；</w:t>
            </w:r>
          </w:p>
          <w:p w14:paraId="0FFE162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适配场景：线上报名上传、线下大屏投屏、抖音 / 视频号展播、评审传阅全适配；</w:t>
            </w:r>
          </w:p>
          <w:p w14:paraId="2DB6C37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包含 2 轮全片修改、配音 / 字幕 / 画面免费微调优化。</w:t>
            </w:r>
          </w:p>
          <w:p w14:paraId="2DF3AA4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四、版权与合规技术要求</w:t>
            </w:r>
          </w:p>
          <w:p w14:paraId="605F0BA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所有设计素材、字体、图片、音乐、配音、特效均提供正版商用授权证书，杜绝网络盗版素材，若产生版权纠纷由服务商全权承担责任；</w:t>
            </w:r>
          </w:p>
          <w:p w14:paraId="2E6F485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严格保密参赛项目涉密技术、商业数据、核心方案，签订保密协议，禁止外泄、二次商用。</w:t>
            </w:r>
          </w:p>
          <w:p w14:paraId="6434A29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五、交付周期与现场保障</w:t>
            </w:r>
          </w:p>
          <w:p w14:paraId="3E6217B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合同签订及素材确认后：PPT 优化美化 3 个工作日内初稿交付，展示视频 5 个工作日内初稿交付；</w:t>
            </w:r>
          </w:p>
          <w:p w14:paraId="104050A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赛事彩排 / 答辩当日，提供线上远程技术保障，解决播放兼容、特效卡顿、格式适配等突发问题。</w:t>
            </w:r>
          </w:p>
          <w:p w14:paraId="0EA23A4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六、服务期限为合同签订日起1年内。</w:t>
            </w:r>
          </w:p>
        </w:tc>
      </w:tr>
      <w:tr w14:paraId="03BE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8B50859">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8</w:t>
            </w:r>
          </w:p>
        </w:tc>
        <w:tc>
          <w:tcPr>
            <w:tcW w:w="903" w:type="dxa"/>
            <w:tcBorders>
              <w:top w:val="single" w:color="auto" w:sz="4" w:space="0"/>
              <w:left w:val="single" w:color="auto" w:sz="4" w:space="0"/>
              <w:right w:val="single" w:color="auto" w:sz="4" w:space="0"/>
            </w:tcBorders>
            <w:noWrap w:val="0"/>
            <w:vAlign w:val="center"/>
          </w:tcPr>
          <w:p w14:paraId="3314A1D7">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安装调试服务</w:t>
            </w:r>
          </w:p>
        </w:tc>
        <w:tc>
          <w:tcPr>
            <w:tcW w:w="997" w:type="dxa"/>
            <w:gridSpan w:val="2"/>
            <w:tcBorders>
              <w:top w:val="single" w:color="auto" w:sz="4" w:space="0"/>
              <w:left w:val="single" w:color="auto" w:sz="4" w:space="0"/>
              <w:right w:val="single" w:color="auto" w:sz="4" w:space="0"/>
            </w:tcBorders>
            <w:noWrap w:val="0"/>
            <w:vAlign w:val="center"/>
          </w:tcPr>
          <w:p w14:paraId="47A16FBA">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1项</w:t>
            </w:r>
          </w:p>
        </w:tc>
        <w:tc>
          <w:tcPr>
            <w:tcW w:w="6533" w:type="dxa"/>
            <w:tcBorders>
              <w:top w:val="single" w:color="auto" w:sz="4" w:space="0"/>
              <w:left w:val="single" w:color="auto" w:sz="4" w:space="0"/>
              <w:right w:val="single" w:color="auto" w:sz="4" w:space="0"/>
            </w:tcBorders>
            <w:noWrap w:val="0"/>
            <w:vAlign w:val="center"/>
          </w:tcPr>
          <w:p w14:paraId="2E560C7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安装调试服务费用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核心工作内容：设备购买后的整体组装；基础安装部署</w:t>
            </w:r>
          </w:p>
          <w:p w14:paraId="1818257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全流程调试与系统联调；全设备最终检测，确保运行无故障。</w:t>
            </w:r>
          </w:p>
          <w:p w14:paraId="1B0131B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服务天数：安装调试完毕为止，不少于10天。</w:t>
            </w:r>
          </w:p>
          <w:p w14:paraId="2033A694">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交付标准：所有设备组装完毕、参数配置正确、系统运行稳定，通过最终验收检查。</w:t>
            </w:r>
          </w:p>
        </w:tc>
      </w:tr>
      <w:tr w14:paraId="4654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5F853D7">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9</w:t>
            </w:r>
          </w:p>
        </w:tc>
        <w:tc>
          <w:tcPr>
            <w:tcW w:w="903" w:type="dxa"/>
            <w:tcBorders>
              <w:top w:val="single" w:color="auto" w:sz="4" w:space="0"/>
              <w:left w:val="single" w:color="auto" w:sz="4" w:space="0"/>
              <w:right w:val="single" w:color="auto" w:sz="4" w:space="0"/>
            </w:tcBorders>
            <w:noWrap w:val="0"/>
            <w:vAlign w:val="center"/>
          </w:tcPr>
          <w:p w14:paraId="7AFAA388">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物联网平台培训服务</w:t>
            </w:r>
          </w:p>
        </w:tc>
        <w:tc>
          <w:tcPr>
            <w:tcW w:w="997" w:type="dxa"/>
            <w:gridSpan w:val="2"/>
            <w:tcBorders>
              <w:top w:val="single" w:color="auto" w:sz="4" w:space="0"/>
              <w:left w:val="single" w:color="auto" w:sz="4" w:space="0"/>
              <w:right w:val="single" w:color="auto" w:sz="4" w:space="0"/>
            </w:tcBorders>
            <w:noWrap w:val="0"/>
            <w:vAlign w:val="center"/>
          </w:tcPr>
          <w:p w14:paraId="6B75F246">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8天</w:t>
            </w:r>
          </w:p>
        </w:tc>
        <w:tc>
          <w:tcPr>
            <w:tcW w:w="6533" w:type="dxa"/>
            <w:tcBorders>
              <w:top w:val="single" w:color="auto" w:sz="4" w:space="0"/>
              <w:left w:val="single" w:color="auto" w:sz="4" w:space="0"/>
              <w:right w:val="single" w:color="auto" w:sz="4" w:space="0"/>
            </w:tcBorders>
            <w:noWrap w:val="0"/>
            <w:vAlign w:val="center"/>
          </w:tcPr>
          <w:p w14:paraId="716C504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培训对象：学生、教师</w:t>
            </w:r>
          </w:p>
          <w:p w14:paraId="71E6745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培训平台：设备配套物联网平台</w:t>
            </w:r>
          </w:p>
          <w:p w14:paraId="0C68E82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核心培训内容：</w:t>
            </w:r>
          </w:p>
          <w:p w14:paraId="193F07B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设备接入物联网平台的操作流程</w:t>
            </w:r>
          </w:p>
          <w:p w14:paraId="77CCF39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物联网设备的基础使用方法</w:t>
            </w:r>
          </w:p>
          <w:p w14:paraId="59A891E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常见故障排查与调试技巧</w:t>
            </w:r>
          </w:p>
          <w:p w14:paraId="10E6DA0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培训阶段规划：</w:t>
            </w:r>
          </w:p>
          <w:p w14:paraId="555C998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基础操作：2 天，平台接入、设备基础交互</w:t>
            </w:r>
          </w:p>
          <w:p w14:paraId="1857ACD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高级应用：3 天，深度挖掘平台亮点</w:t>
            </w:r>
          </w:p>
          <w:p w14:paraId="038B9AE0">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二次开发：3天，根据现场设备情况调整平台模块</w:t>
            </w:r>
          </w:p>
        </w:tc>
      </w:tr>
      <w:tr w14:paraId="16F0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5E0960D">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10</w:t>
            </w:r>
          </w:p>
        </w:tc>
        <w:tc>
          <w:tcPr>
            <w:tcW w:w="903" w:type="dxa"/>
            <w:tcBorders>
              <w:top w:val="single" w:color="auto" w:sz="4" w:space="0"/>
              <w:left w:val="single" w:color="auto" w:sz="4" w:space="0"/>
              <w:right w:val="single" w:color="auto" w:sz="4" w:space="0"/>
            </w:tcBorders>
            <w:noWrap w:val="0"/>
            <w:vAlign w:val="center"/>
          </w:tcPr>
          <w:p w14:paraId="40FDBF71">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消防系统培训服务</w:t>
            </w:r>
          </w:p>
        </w:tc>
        <w:tc>
          <w:tcPr>
            <w:tcW w:w="997" w:type="dxa"/>
            <w:gridSpan w:val="2"/>
            <w:tcBorders>
              <w:top w:val="single" w:color="auto" w:sz="4" w:space="0"/>
              <w:left w:val="single" w:color="auto" w:sz="4" w:space="0"/>
              <w:right w:val="single" w:color="auto" w:sz="4" w:space="0"/>
            </w:tcBorders>
            <w:noWrap w:val="0"/>
            <w:vAlign w:val="center"/>
          </w:tcPr>
          <w:p w14:paraId="42FC9549">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8天</w:t>
            </w:r>
          </w:p>
        </w:tc>
        <w:tc>
          <w:tcPr>
            <w:tcW w:w="6533" w:type="dxa"/>
            <w:tcBorders>
              <w:top w:val="single" w:color="auto" w:sz="4" w:space="0"/>
              <w:left w:val="single" w:color="auto" w:sz="4" w:space="0"/>
              <w:right w:val="single" w:color="auto" w:sz="4" w:space="0"/>
            </w:tcBorders>
            <w:noWrap w:val="0"/>
            <w:vAlign w:val="center"/>
          </w:tcPr>
          <w:p w14:paraId="609856D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培训分为基础操作、高级应用两个阶段，其中基础操作阶段为期4天，核心内容涵盖消防设备认知、基础安装步骤，帮助学生掌握消防设备的安装流程；高级应用阶段为期4天，重点围绕系统联调、复杂故障排除，确保学生能够独立完成整套消防系统的安装与调试全流程操作。</w:t>
            </w:r>
          </w:p>
        </w:tc>
      </w:tr>
      <w:tr w14:paraId="5FEBD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F519FD5">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11</w:t>
            </w:r>
          </w:p>
        </w:tc>
        <w:tc>
          <w:tcPr>
            <w:tcW w:w="903" w:type="dxa"/>
            <w:tcBorders>
              <w:top w:val="single" w:color="auto" w:sz="4" w:space="0"/>
              <w:left w:val="single" w:color="auto" w:sz="4" w:space="0"/>
              <w:right w:val="single" w:color="auto" w:sz="4" w:space="0"/>
            </w:tcBorders>
            <w:noWrap w:val="0"/>
            <w:vAlign w:val="center"/>
          </w:tcPr>
          <w:p w14:paraId="1A9F24C2">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消防AI智能体应用平台</w:t>
            </w:r>
            <w:r>
              <w:rPr>
                <w:rFonts w:hint="eastAsia"/>
                <w:color w:val="auto"/>
                <w:sz w:val="21"/>
                <w:szCs w:val="21"/>
                <w:highlight w:val="none"/>
                <w:lang w:val="en-US" w:eastAsia="zh-CN"/>
              </w:rPr>
              <w:t>租赁</w:t>
            </w:r>
            <w:r>
              <w:rPr>
                <w:rFonts w:hint="eastAsia"/>
                <w:color w:val="auto"/>
                <w:sz w:val="21"/>
                <w:szCs w:val="21"/>
                <w:highlight w:val="none"/>
                <w:lang w:eastAsia="zh-CN"/>
              </w:rPr>
              <w:t>服务</w:t>
            </w:r>
          </w:p>
        </w:tc>
        <w:tc>
          <w:tcPr>
            <w:tcW w:w="997" w:type="dxa"/>
            <w:gridSpan w:val="2"/>
            <w:tcBorders>
              <w:top w:val="single" w:color="auto" w:sz="4" w:space="0"/>
              <w:left w:val="single" w:color="auto" w:sz="4" w:space="0"/>
              <w:right w:val="single" w:color="auto" w:sz="4" w:space="0"/>
            </w:tcBorders>
            <w:noWrap w:val="0"/>
            <w:vAlign w:val="center"/>
          </w:tcPr>
          <w:p w14:paraId="7BBA8834">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1个</w:t>
            </w:r>
          </w:p>
        </w:tc>
        <w:tc>
          <w:tcPr>
            <w:tcW w:w="6533" w:type="dxa"/>
            <w:tcBorders>
              <w:top w:val="single" w:color="auto" w:sz="4" w:space="0"/>
              <w:left w:val="single" w:color="auto" w:sz="4" w:space="0"/>
              <w:right w:val="single" w:color="auto" w:sz="4" w:space="0"/>
            </w:tcBorders>
            <w:noWrap w:val="0"/>
            <w:vAlign w:val="center"/>
          </w:tcPr>
          <w:p w14:paraId="75D77EC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消防AI智能体是面向消防领域的垂直专业智能体，核心参数配置如下：底层采用支持多模态解析的消防专用增强大模型，上下文窗口长度不低于128k，极致降低随机性、彻底消除AI幻觉；内置全量现行消防法律法规、国家/行业标准规范（含GB 50016、GB 50116、GB 50974等核心规范）作为唯一知识源，所有输出强制引用规范名称、编号及具体条文，无依据内容直接拒答；核心功能覆盖消防法规智能问答与CAD图纸一键审图两大模块，支持.dwg/.dxf格式CAD图纸、PDF图纸、图片等多格式输入，可自动对照规范完成设备选型、联动逻辑、安装参数、合规性等全维度审图，输出结构化问题清单、对应规范依据及整改建议；同时配置文档查验功能，可对消防专项方案、报审资料进行合规性校验，全程保持专业严谨、可追溯的输出风格，为消防设计、审图、报审全流程提供合规性支撑。</w:t>
            </w:r>
            <w:r>
              <w:rPr>
                <w:rFonts w:hint="eastAsia" w:ascii="宋体" w:hAnsi="宋体" w:cs="宋体"/>
                <w:color w:val="auto"/>
                <w:sz w:val="21"/>
                <w:szCs w:val="21"/>
                <w:highlight w:val="none"/>
                <w:lang w:val="en-US" w:eastAsia="zh-CN"/>
              </w:rPr>
              <w:t>服务期限为合同签订日起1年内。</w:t>
            </w:r>
          </w:p>
        </w:tc>
      </w:tr>
      <w:tr w14:paraId="1A69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F247835">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12</w:t>
            </w:r>
          </w:p>
        </w:tc>
        <w:tc>
          <w:tcPr>
            <w:tcW w:w="903" w:type="dxa"/>
            <w:tcBorders>
              <w:top w:val="single" w:color="auto" w:sz="4" w:space="0"/>
              <w:left w:val="single" w:color="auto" w:sz="4" w:space="0"/>
              <w:right w:val="single" w:color="auto" w:sz="4" w:space="0"/>
            </w:tcBorders>
            <w:noWrap w:val="0"/>
            <w:vAlign w:val="center"/>
          </w:tcPr>
          <w:p w14:paraId="6B07D492">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智能体软件租赁服务</w:t>
            </w:r>
          </w:p>
        </w:tc>
        <w:tc>
          <w:tcPr>
            <w:tcW w:w="997" w:type="dxa"/>
            <w:gridSpan w:val="2"/>
            <w:tcBorders>
              <w:top w:val="single" w:color="auto" w:sz="4" w:space="0"/>
              <w:left w:val="single" w:color="auto" w:sz="4" w:space="0"/>
              <w:right w:val="single" w:color="auto" w:sz="4" w:space="0"/>
            </w:tcBorders>
            <w:noWrap w:val="0"/>
            <w:vAlign w:val="center"/>
          </w:tcPr>
          <w:p w14:paraId="7A3FE621">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1项</w:t>
            </w:r>
          </w:p>
        </w:tc>
        <w:tc>
          <w:tcPr>
            <w:tcW w:w="6533" w:type="dxa"/>
            <w:tcBorders>
              <w:top w:val="single" w:color="auto" w:sz="4" w:space="0"/>
              <w:left w:val="single" w:color="auto" w:sz="4" w:space="0"/>
              <w:right w:val="single" w:color="auto" w:sz="4" w:space="0"/>
            </w:tcBorders>
            <w:noWrap w:val="0"/>
            <w:vAlign w:val="center"/>
          </w:tcPr>
          <w:p w14:paraId="34950EE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根据消防设施规范，定制开发审图功能</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服务期限为合同签订日起1年内。</w:t>
            </w:r>
          </w:p>
        </w:tc>
      </w:tr>
      <w:tr w14:paraId="77E5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A08DEAD">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13</w:t>
            </w:r>
          </w:p>
        </w:tc>
        <w:tc>
          <w:tcPr>
            <w:tcW w:w="903" w:type="dxa"/>
            <w:tcBorders>
              <w:top w:val="single" w:color="auto" w:sz="4" w:space="0"/>
              <w:left w:val="single" w:color="auto" w:sz="4" w:space="0"/>
              <w:right w:val="single" w:color="auto" w:sz="4" w:space="0"/>
            </w:tcBorders>
            <w:noWrap w:val="0"/>
            <w:vAlign w:val="center"/>
          </w:tcPr>
          <w:p w14:paraId="4AF92877">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智能体培训服务</w:t>
            </w:r>
          </w:p>
        </w:tc>
        <w:tc>
          <w:tcPr>
            <w:tcW w:w="997" w:type="dxa"/>
            <w:gridSpan w:val="2"/>
            <w:tcBorders>
              <w:top w:val="single" w:color="auto" w:sz="4" w:space="0"/>
              <w:left w:val="single" w:color="auto" w:sz="4" w:space="0"/>
              <w:right w:val="single" w:color="auto" w:sz="4" w:space="0"/>
            </w:tcBorders>
            <w:noWrap w:val="0"/>
            <w:vAlign w:val="center"/>
          </w:tcPr>
          <w:p w14:paraId="3AA81D9F">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6天</w:t>
            </w:r>
          </w:p>
        </w:tc>
        <w:tc>
          <w:tcPr>
            <w:tcW w:w="6533" w:type="dxa"/>
            <w:tcBorders>
              <w:top w:val="single" w:color="auto" w:sz="4" w:space="0"/>
              <w:left w:val="single" w:color="auto" w:sz="4" w:space="0"/>
              <w:right w:val="single" w:color="auto" w:sz="4" w:space="0"/>
            </w:tcBorders>
            <w:noWrap w:val="0"/>
            <w:vAlign w:val="center"/>
          </w:tcPr>
          <w:p w14:paraId="7611E10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围绕学生备赛需求分阶段开展高规格培训。基础操作阶段（2 天）强化 AI 工具熟练应用与智能体日常操作，夯实参赛基础；高级应用阶段（ 4 天）聚焦智能体定制开发、性能调优与模拟实战。通过高密度实操，确保学生具备独立应对比赛的全流程开发能力。</w:t>
            </w:r>
          </w:p>
        </w:tc>
      </w:tr>
      <w:tr w14:paraId="24F8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4F8302F">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14</w:t>
            </w:r>
          </w:p>
        </w:tc>
        <w:tc>
          <w:tcPr>
            <w:tcW w:w="903" w:type="dxa"/>
            <w:tcBorders>
              <w:top w:val="single" w:color="auto" w:sz="4" w:space="0"/>
              <w:left w:val="single" w:color="auto" w:sz="4" w:space="0"/>
              <w:right w:val="single" w:color="auto" w:sz="4" w:space="0"/>
            </w:tcBorders>
            <w:noWrap w:val="0"/>
            <w:vAlign w:val="center"/>
          </w:tcPr>
          <w:p w14:paraId="77B4A03A">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地图建模、电子档案制作服务</w:t>
            </w:r>
          </w:p>
        </w:tc>
        <w:tc>
          <w:tcPr>
            <w:tcW w:w="997" w:type="dxa"/>
            <w:gridSpan w:val="2"/>
            <w:tcBorders>
              <w:top w:val="single" w:color="auto" w:sz="4" w:space="0"/>
              <w:left w:val="single" w:color="auto" w:sz="4" w:space="0"/>
              <w:right w:val="single" w:color="auto" w:sz="4" w:space="0"/>
            </w:tcBorders>
            <w:noWrap w:val="0"/>
            <w:vAlign w:val="center"/>
          </w:tcPr>
          <w:p w14:paraId="21A63780">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1项</w:t>
            </w:r>
          </w:p>
        </w:tc>
        <w:tc>
          <w:tcPr>
            <w:tcW w:w="6533" w:type="dxa"/>
            <w:tcBorders>
              <w:top w:val="single" w:color="auto" w:sz="4" w:space="0"/>
              <w:left w:val="single" w:color="auto" w:sz="4" w:space="0"/>
              <w:right w:val="single" w:color="auto" w:sz="4" w:space="0"/>
            </w:tcBorders>
            <w:noWrap w:val="0"/>
            <w:vAlign w:val="center"/>
          </w:tcPr>
          <w:p w14:paraId="7C2B5CB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完成项目总平面图与所有楼栋2.5D室内模型构建，并录入设备点位信息。</w:t>
            </w:r>
            <w:r>
              <w:rPr>
                <w:rFonts w:hint="eastAsia" w:ascii="宋体" w:hAnsi="宋体" w:cs="宋体"/>
                <w:color w:val="auto"/>
                <w:sz w:val="21"/>
                <w:szCs w:val="21"/>
                <w:highlight w:val="none"/>
                <w:lang w:val="en-US" w:eastAsia="zh-CN"/>
              </w:rPr>
              <w:t>服务期限为合同签订日起1年内。</w:t>
            </w:r>
          </w:p>
        </w:tc>
      </w:tr>
      <w:tr w14:paraId="5936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D2CC88E">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15</w:t>
            </w:r>
          </w:p>
        </w:tc>
        <w:tc>
          <w:tcPr>
            <w:tcW w:w="903" w:type="dxa"/>
            <w:tcBorders>
              <w:top w:val="single" w:color="auto" w:sz="4" w:space="0"/>
              <w:left w:val="single" w:color="auto" w:sz="4" w:space="0"/>
              <w:right w:val="single" w:color="auto" w:sz="4" w:space="0"/>
            </w:tcBorders>
            <w:noWrap w:val="0"/>
            <w:vAlign w:val="center"/>
          </w:tcPr>
          <w:p w14:paraId="1CF578BE">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光学瓦斯鉴定器</w:t>
            </w:r>
          </w:p>
        </w:tc>
        <w:tc>
          <w:tcPr>
            <w:tcW w:w="997" w:type="dxa"/>
            <w:gridSpan w:val="2"/>
            <w:tcBorders>
              <w:top w:val="single" w:color="auto" w:sz="4" w:space="0"/>
              <w:left w:val="single" w:color="auto" w:sz="4" w:space="0"/>
              <w:right w:val="single" w:color="auto" w:sz="4" w:space="0"/>
            </w:tcBorders>
            <w:noWrap w:val="0"/>
            <w:vAlign w:val="center"/>
          </w:tcPr>
          <w:p w14:paraId="2DFB0256">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3个</w:t>
            </w:r>
          </w:p>
        </w:tc>
        <w:tc>
          <w:tcPr>
            <w:tcW w:w="6533" w:type="dxa"/>
            <w:tcBorders>
              <w:top w:val="single" w:color="auto" w:sz="4" w:space="0"/>
              <w:left w:val="single" w:color="auto" w:sz="4" w:space="0"/>
              <w:right w:val="single" w:color="auto" w:sz="4" w:space="0"/>
            </w:tcBorders>
            <w:noWrap w:val="0"/>
            <w:vAlign w:val="center"/>
          </w:tcPr>
          <w:p w14:paraId="662B634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1.测量范围：0—10%允许误差： ±0.05%；±0.1%；±0.2%；±0.3%（对应CH4浓度范围 0—1%；1%—4%；4%—7%；7%—10%）</w:t>
            </w:r>
          </w:p>
          <w:p w14:paraId="25FEEE8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2.目镜组中的分划板小分划值：0.5%CH4。</w:t>
            </w:r>
          </w:p>
          <w:p w14:paraId="20EEB13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3.测微器测量范围：0—1%CH4。测微器中的刻度盘小分划值0.02%CH4。</w:t>
            </w:r>
          </w:p>
          <w:p w14:paraId="623A3DD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4.电源电压：DC1.5V（1号普通干电池）。</w:t>
            </w:r>
          </w:p>
          <w:p w14:paraId="67DD144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5.额定工作电流：≦1.15A</w:t>
            </w:r>
          </w:p>
          <w:p w14:paraId="24667F3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6.重量：约1.7kg</w:t>
            </w:r>
          </w:p>
          <w:p w14:paraId="0CDF160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7.仪器外形尺寸：220×122×64毫米</w:t>
            </w:r>
          </w:p>
          <w:p w14:paraId="26CECE6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8.防护等级：IP54</w:t>
            </w:r>
          </w:p>
          <w:p w14:paraId="377DEDE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9.仪器防爆型式：矿用本质安全型</w:t>
            </w:r>
          </w:p>
          <w:p w14:paraId="1FBFC719">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10.质保服务期限为合同签订日起1年内。</w:t>
            </w:r>
          </w:p>
        </w:tc>
      </w:tr>
      <w:tr w14:paraId="45B6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60F50626">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16</w:t>
            </w:r>
          </w:p>
        </w:tc>
        <w:tc>
          <w:tcPr>
            <w:tcW w:w="903" w:type="dxa"/>
            <w:tcBorders>
              <w:top w:val="single" w:color="auto" w:sz="4" w:space="0"/>
              <w:left w:val="single" w:color="auto" w:sz="4" w:space="0"/>
              <w:right w:val="single" w:color="auto" w:sz="4" w:space="0"/>
            </w:tcBorders>
            <w:noWrap w:val="0"/>
            <w:vAlign w:val="center"/>
          </w:tcPr>
          <w:p w14:paraId="7AE4D47C">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气体采样器</w:t>
            </w:r>
          </w:p>
        </w:tc>
        <w:tc>
          <w:tcPr>
            <w:tcW w:w="997" w:type="dxa"/>
            <w:gridSpan w:val="2"/>
            <w:tcBorders>
              <w:top w:val="single" w:color="auto" w:sz="4" w:space="0"/>
              <w:left w:val="single" w:color="auto" w:sz="4" w:space="0"/>
              <w:right w:val="single" w:color="auto" w:sz="4" w:space="0"/>
            </w:tcBorders>
            <w:noWrap w:val="0"/>
            <w:vAlign w:val="center"/>
          </w:tcPr>
          <w:p w14:paraId="434BE3E9">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3个</w:t>
            </w:r>
          </w:p>
        </w:tc>
        <w:tc>
          <w:tcPr>
            <w:tcW w:w="6533" w:type="dxa"/>
            <w:tcBorders>
              <w:top w:val="single" w:color="auto" w:sz="4" w:space="0"/>
              <w:left w:val="single" w:color="auto" w:sz="4" w:space="0"/>
              <w:right w:val="single" w:color="auto" w:sz="4" w:space="0"/>
            </w:tcBorders>
            <w:noWrap w:val="0"/>
            <w:vAlign w:val="center"/>
          </w:tcPr>
          <w:p w14:paraId="29C39BC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1.可进行气样抽取</w:t>
            </w:r>
          </w:p>
          <w:p w14:paraId="61EE588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2.具备清洗气室和抽气推器功能；</w:t>
            </w:r>
          </w:p>
          <w:p w14:paraId="5BCDD5C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3.抽气最大容量不小于50mL。</w:t>
            </w:r>
          </w:p>
          <w:p w14:paraId="146E46E9">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4.质量保证期限为合同签订日起1年内。</w:t>
            </w:r>
          </w:p>
        </w:tc>
      </w:tr>
      <w:tr w14:paraId="3F310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AA222ED">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17</w:t>
            </w:r>
          </w:p>
        </w:tc>
        <w:tc>
          <w:tcPr>
            <w:tcW w:w="903" w:type="dxa"/>
            <w:tcBorders>
              <w:top w:val="single" w:color="auto" w:sz="4" w:space="0"/>
              <w:left w:val="single" w:color="auto" w:sz="4" w:space="0"/>
              <w:right w:val="single" w:color="auto" w:sz="4" w:space="0"/>
            </w:tcBorders>
            <w:noWrap w:val="0"/>
            <w:vAlign w:val="center"/>
          </w:tcPr>
          <w:p w14:paraId="1B893464">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参赛服装</w:t>
            </w:r>
          </w:p>
        </w:tc>
        <w:tc>
          <w:tcPr>
            <w:tcW w:w="997" w:type="dxa"/>
            <w:gridSpan w:val="2"/>
            <w:tcBorders>
              <w:top w:val="single" w:color="auto" w:sz="4" w:space="0"/>
              <w:left w:val="single" w:color="auto" w:sz="4" w:space="0"/>
              <w:right w:val="single" w:color="auto" w:sz="4" w:space="0"/>
            </w:tcBorders>
            <w:noWrap w:val="0"/>
            <w:vAlign w:val="center"/>
          </w:tcPr>
          <w:p w14:paraId="6136B726">
            <w:pPr>
              <w:pStyle w:val="8"/>
              <w:widowControl/>
              <w:topLinePunct/>
              <w:adjustRightInd w:val="0"/>
              <w:snapToGrid w:val="0"/>
              <w:spacing w:before="60" w:after="60" w:line="312" w:lineRule="auto"/>
              <w:ind w:left="0" w:leftChars="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12套</w:t>
            </w:r>
          </w:p>
        </w:tc>
        <w:tc>
          <w:tcPr>
            <w:tcW w:w="6533" w:type="dxa"/>
            <w:tcBorders>
              <w:top w:val="single" w:color="auto" w:sz="4" w:space="0"/>
              <w:left w:val="single" w:color="auto" w:sz="4" w:space="0"/>
              <w:right w:val="single" w:color="auto" w:sz="4" w:space="0"/>
            </w:tcBorders>
            <w:noWrap w:val="0"/>
            <w:vAlign w:val="center"/>
          </w:tcPr>
          <w:p w14:paraId="6C65910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1.每套包含上下服、安全帽、腰带、矿灯、鞋子；</w:t>
            </w:r>
          </w:p>
          <w:p w14:paraId="500EDE6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2.上下服均为棉质防静电服装；</w:t>
            </w:r>
          </w:p>
          <w:p w14:paraId="2232370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3.安全帽规格质量符合GB 2811-2019标准；</w:t>
            </w:r>
          </w:p>
          <w:p w14:paraId="78A2E84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4.矿灯为井下使用防爆型矿灯；产品防爆型式：本质安全型</w:t>
            </w:r>
          </w:p>
          <w:p w14:paraId="2DD2941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5.鞋子符合消防作训战斗靴标准</w:t>
            </w:r>
          </w:p>
          <w:p w14:paraId="5407BF77">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6.质保服务期限为合同签订日起1年内。</w:t>
            </w:r>
          </w:p>
        </w:tc>
      </w:tr>
      <w:tr w14:paraId="528E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65F3013C">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18</w:t>
            </w:r>
          </w:p>
        </w:tc>
        <w:tc>
          <w:tcPr>
            <w:tcW w:w="903" w:type="dxa"/>
            <w:tcBorders>
              <w:top w:val="single" w:color="auto" w:sz="4" w:space="0"/>
              <w:left w:val="single" w:color="auto" w:sz="4" w:space="0"/>
              <w:right w:val="single" w:color="auto" w:sz="4" w:space="0"/>
            </w:tcBorders>
            <w:noWrap w:val="0"/>
            <w:vAlign w:val="center"/>
          </w:tcPr>
          <w:p w14:paraId="412BFA18">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应急救护耗材</w:t>
            </w:r>
          </w:p>
        </w:tc>
        <w:tc>
          <w:tcPr>
            <w:tcW w:w="997" w:type="dxa"/>
            <w:gridSpan w:val="2"/>
            <w:tcBorders>
              <w:top w:val="single" w:color="auto" w:sz="4" w:space="0"/>
              <w:left w:val="single" w:color="auto" w:sz="4" w:space="0"/>
              <w:right w:val="single" w:color="auto" w:sz="4" w:space="0"/>
            </w:tcBorders>
            <w:noWrap w:val="0"/>
            <w:vAlign w:val="top"/>
          </w:tcPr>
          <w:p w14:paraId="43041DEC">
            <w:pPr>
              <w:pStyle w:val="8"/>
              <w:widowControl/>
              <w:topLinePunct/>
              <w:adjustRightInd w:val="0"/>
              <w:snapToGrid w:val="0"/>
              <w:spacing w:before="60" w:after="60" w:line="312" w:lineRule="auto"/>
              <w:ind w:left="0" w:leftChars="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10套</w:t>
            </w:r>
          </w:p>
        </w:tc>
        <w:tc>
          <w:tcPr>
            <w:tcW w:w="6533" w:type="dxa"/>
            <w:tcBorders>
              <w:top w:val="single" w:color="auto" w:sz="4" w:space="0"/>
              <w:left w:val="single" w:color="auto" w:sz="4" w:space="0"/>
              <w:right w:val="single" w:color="auto" w:sz="4" w:space="0"/>
            </w:tcBorders>
            <w:noWrap w:val="0"/>
            <w:vAlign w:val="center"/>
          </w:tcPr>
          <w:p w14:paraId="39508EC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酒精、棉签、绷带、骨折固定夹板等</w:t>
            </w:r>
          </w:p>
        </w:tc>
      </w:tr>
      <w:tr w14:paraId="31B5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9815B3D">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19</w:t>
            </w:r>
          </w:p>
        </w:tc>
        <w:tc>
          <w:tcPr>
            <w:tcW w:w="903" w:type="dxa"/>
            <w:tcBorders>
              <w:top w:val="single" w:color="auto" w:sz="4" w:space="0"/>
              <w:left w:val="single" w:color="auto" w:sz="4" w:space="0"/>
              <w:right w:val="single" w:color="auto" w:sz="4" w:space="0"/>
            </w:tcBorders>
            <w:noWrap w:val="0"/>
            <w:vAlign w:val="center"/>
          </w:tcPr>
          <w:p w14:paraId="13D37A5E">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PLC控制器</w:t>
            </w:r>
          </w:p>
        </w:tc>
        <w:tc>
          <w:tcPr>
            <w:tcW w:w="997" w:type="dxa"/>
            <w:gridSpan w:val="2"/>
            <w:tcBorders>
              <w:top w:val="single" w:color="auto" w:sz="4" w:space="0"/>
              <w:left w:val="single" w:color="auto" w:sz="4" w:space="0"/>
              <w:right w:val="single" w:color="auto" w:sz="4" w:space="0"/>
            </w:tcBorders>
            <w:noWrap w:val="0"/>
            <w:vAlign w:val="top"/>
          </w:tcPr>
          <w:p w14:paraId="5B7EDCB4">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FF0E3C6">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c>
          <w:tcPr>
            <w:tcW w:w="6533" w:type="dxa"/>
            <w:tcBorders>
              <w:top w:val="single" w:color="auto" w:sz="4" w:space="0"/>
              <w:left w:val="single" w:color="auto" w:sz="4" w:space="0"/>
              <w:right w:val="single" w:color="auto" w:sz="4" w:space="0"/>
            </w:tcBorders>
            <w:noWrap w:val="0"/>
            <w:vAlign w:val="center"/>
          </w:tcPr>
          <w:p w14:paraId="2358BB7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1.通信接口：1个以太网口（PROFINET, TCP/IP, Modbus等）</w:t>
            </w:r>
          </w:p>
          <w:p w14:paraId="27DB63F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2.电源电压：AC220V；</w:t>
            </w:r>
          </w:p>
          <w:p w14:paraId="640CFBE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3.网口：RS485通信、网络接口。</w:t>
            </w:r>
          </w:p>
          <w:p w14:paraId="215DF9E9">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4.质保服务期限为合同签订日起1年内。</w:t>
            </w:r>
          </w:p>
        </w:tc>
      </w:tr>
      <w:tr w14:paraId="377A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1E01AE8">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20</w:t>
            </w:r>
          </w:p>
        </w:tc>
        <w:tc>
          <w:tcPr>
            <w:tcW w:w="903" w:type="dxa"/>
            <w:tcBorders>
              <w:top w:val="single" w:color="auto" w:sz="4" w:space="0"/>
              <w:left w:val="single" w:color="auto" w:sz="4" w:space="0"/>
              <w:right w:val="single" w:color="auto" w:sz="4" w:space="0"/>
            </w:tcBorders>
            <w:noWrap w:val="0"/>
            <w:vAlign w:val="center"/>
          </w:tcPr>
          <w:p w14:paraId="67C7C922">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AGV智能小车搭载气体灭火系统和细水雾自动喷水灭火系统服务</w:t>
            </w:r>
          </w:p>
        </w:tc>
        <w:tc>
          <w:tcPr>
            <w:tcW w:w="997" w:type="dxa"/>
            <w:gridSpan w:val="2"/>
            <w:tcBorders>
              <w:top w:val="single" w:color="auto" w:sz="4" w:space="0"/>
              <w:left w:val="single" w:color="auto" w:sz="4" w:space="0"/>
              <w:right w:val="single" w:color="auto" w:sz="4" w:space="0"/>
            </w:tcBorders>
            <w:noWrap w:val="0"/>
            <w:vAlign w:val="top"/>
          </w:tcPr>
          <w:p w14:paraId="124F7D6E">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514A901A">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0DCB191A">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53491EFD">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2EE7E29B">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c>
          <w:tcPr>
            <w:tcW w:w="6533" w:type="dxa"/>
            <w:tcBorders>
              <w:top w:val="single" w:color="auto" w:sz="4" w:space="0"/>
              <w:left w:val="single" w:color="auto" w:sz="4" w:space="0"/>
              <w:right w:val="single" w:color="auto" w:sz="4" w:space="0"/>
            </w:tcBorders>
            <w:noWrap w:val="0"/>
            <w:vAlign w:val="center"/>
          </w:tcPr>
          <w:p w14:paraId="24EE5BF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1.输出功率180W×2</w:t>
            </w:r>
          </w:p>
          <w:p w14:paraId="3E0B949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2.最大扭矩12Nm</w:t>
            </w:r>
          </w:p>
          <w:p w14:paraId="018F726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3.额定电压：DC24V</w:t>
            </w:r>
          </w:p>
          <w:p w14:paraId="3EB9107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4.负载重量≤100Kg</w:t>
            </w:r>
          </w:p>
          <w:p w14:paraId="54C6903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5.运行速度：0.5-4KM/h</w:t>
            </w:r>
          </w:p>
          <w:p w14:paraId="3714E3C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6.满载运行时间≥4h</w:t>
            </w:r>
          </w:p>
          <w:p w14:paraId="6273319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7.车体尺寸≥L760mm×W530mm×H1210mm</w:t>
            </w:r>
          </w:p>
          <w:p w14:paraId="32209C3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8.内置预制式气体灭火系统或细水雾自动喷水灭火系统</w:t>
            </w:r>
          </w:p>
          <w:p w14:paraId="102E9065">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9.服务期限为合同签订日起1年内。</w:t>
            </w:r>
          </w:p>
        </w:tc>
      </w:tr>
      <w:tr w14:paraId="40734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6E28061">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21</w:t>
            </w:r>
          </w:p>
        </w:tc>
        <w:tc>
          <w:tcPr>
            <w:tcW w:w="903" w:type="dxa"/>
            <w:tcBorders>
              <w:top w:val="single" w:color="auto" w:sz="4" w:space="0"/>
              <w:left w:val="single" w:color="auto" w:sz="4" w:space="0"/>
              <w:right w:val="single" w:color="auto" w:sz="4" w:space="0"/>
            </w:tcBorders>
            <w:noWrap w:val="0"/>
            <w:vAlign w:val="center"/>
          </w:tcPr>
          <w:p w14:paraId="63864D4E">
            <w:pPr>
              <w:spacing w:line="340" w:lineRule="exact"/>
              <w:jc w:val="center"/>
              <w:rPr>
                <w:rFonts w:hint="eastAsia"/>
                <w:color w:val="auto"/>
                <w:sz w:val="21"/>
                <w:szCs w:val="21"/>
                <w:highlight w:val="none"/>
                <w:lang w:eastAsia="zh-CN"/>
              </w:rPr>
            </w:pPr>
            <w:r>
              <w:rPr>
                <w:rFonts w:hint="eastAsia"/>
                <w:color w:val="auto"/>
                <w:sz w:val="21"/>
                <w:szCs w:val="21"/>
                <w:highlight w:val="none"/>
                <w:lang w:val="en-US" w:eastAsia="zh-CN"/>
              </w:rPr>
              <w:t>租赁</w:t>
            </w:r>
            <w:r>
              <w:rPr>
                <w:rFonts w:hint="eastAsia"/>
                <w:color w:val="auto"/>
                <w:sz w:val="21"/>
                <w:szCs w:val="21"/>
                <w:highlight w:val="none"/>
                <w:lang w:eastAsia="zh-CN"/>
              </w:rPr>
              <w:t>边缘计算服务器</w:t>
            </w:r>
          </w:p>
        </w:tc>
        <w:tc>
          <w:tcPr>
            <w:tcW w:w="997" w:type="dxa"/>
            <w:gridSpan w:val="2"/>
            <w:tcBorders>
              <w:top w:val="single" w:color="auto" w:sz="4" w:space="0"/>
              <w:left w:val="single" w:color="auto" w:sz="4" w:space="0"/>
              <w:right w:val="single" w:color="auto" w:sz="4" w:space="0"/>
            </w:tcBorders>
            <w:noWrap w:val="0"/>
            <w:vAlign w:val="top"/>
          </w:tcPr>
          <w:p w14:paraId="34491A63">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089D819">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32C0866D">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91954F0">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236ECBF">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c>
          <w:tcPr>
            <w:tcW w:w="6533" w:type="dxa"/>
            <w:tcBorders>
              <w:top w:val="single" w:color="auto" w:sz="4" w:space="0"/>
              <w:left w:val="single" w:color="auto" w:sz="4" w:space="0"/>
              <w:right w:val="single" w:color="auto" w:sz="4" w:space="0"/>
            </w:tcBorders>
            <w:noWrap w:val="0"/>
            <w:vAlign w:val="center"/>
          </w:tcPr>
          <w:p w14:paraId="1A5AF99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参高性能GPU服务器，含环境部署，租赁半年，</w:t>
            </w:r>
            <w:r>
              <w:rPr>
                <w:rFonts w:hint="eastAsia" w:ascii="宋体" w:hAnsi="宋体" w:cs="宋体"/>
                <w:color w:val="auto"/>
                <w:sz w:val="21"/>
                <w:szCs w:val="21"/>
                <w:highlight w:val="none"/>
                <w:lang w:val="en-US" w:eastAsia="zh-CN"/>
              </w:rPr>
              <w:t>合同签订起算，</w:t>
            </w:r>
            <w:r>
              <w:rPr>
                <w:rFonts w:hint="eastAsia" w:ascii="宋体" w:hAnsi="宋体" w:eastAsia="宋体" w:cs="宋体"/>
                <w:color w:val="auto"/>
                <w:sz w:val="21"/>
                <w:szCs w:val="21"/>
                <w:highlight w:val="none"/>
              </w:rPr>
              <w:t>赛后回收（管理服务器：</w:t>
            </w:r>
            <w:r>
              <w:rPr>
                <w:rFonts w:hint="eastAsia" w:ascii="宋体" w:hAnsi="宋体" w:cs="宋体"/>
                <w:color w:val="auto"/>
                <w:sz w:val="21"/>
                <w:szCs w:val="21"/>
                <w:highlight w:val="none"/>
                <w:lang w:eastAsia="zh-CN"/>
              </w:rPr>
              <w:t>）</w:t>
            </w:r>
          </w:p>
          <w:p w14:paraId="3140C2F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1、尺寸：≥2U机架式服务器机箱</w:t>
            </w:r>
          </w:p>
          <w:p w14:paraId="7FDB5FB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2、处理器：≥1颗国产化CPU，≥24核，主频≥2.5GHz</w:t>
            </w:r>
          </w:p>
          <w:p w14:paraId="56DBF10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3、内存：配置≥64G内存，≥4个DDR4 DIMM插槽</w:t>
            </w:r>
          </w:p>
          <w:p w14:paraId="4E5709C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4、硬盘：≥2块4T及以上热插拔硬盘，支持≥8块硬盘</w:t>
            </w:r>
          </w:p>
          <w:p w14:paraId="2D7910C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5、电源：≥2个900W交流电源模块，支持1+1冗余；</w:t>
            </w:r>
          </w:p>
          <w:p w14:paraId="1B3ADB3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6、风扇：≥4个热拔插风扇，支持N+1冗余</w:t>
            </w:r>
          </w:p>
          <w:p w14:paraId="0BF153E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7、RAID卡：SAS3408无缓存，支持RAID 0,1,10）</w:t>
            </w:r>
          </w:p>
        </w:tc>
      </w:tr>
      <w:tr w14:paraId="3CA6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63954E37">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22</w:t>
            </w:r>
          </w:p>
        </w:tc>
        <w:tc>
          <w:tcPr>
            <w:tcW w:w="903" w:type="dxa"/>
            <w:tcBorders>
              <w:top w:val="single" w:color="auto" w:sz="4" w:space="0"/>
              <w:left w:val="single" w:color="auto" w:sz="4" w:space="0"/>
              <w:right w:val="single" w:color="auto" w:sz="4" w:space="0"/>
            </w:tcBorders>
            <w:noWrap w:val="0"/>
            <w:vAlign w:val="center"/>
          </w:tcPr>
          <w:p w14:paraId="751A588F">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智能救援头盔</w:t>
            </w:r>
          </w:p>
        </w:tc>
        <w:tc>
          <w:tcPr>
            <w:tcW w:w="997" w:type="dxa"/>
            <w:gridSpan w:val="2"/>
            <w:tcBorders>
              <w:top w:val="single" w:color="auto" w:sz="4" w:space="0"/>
              <w:left w:val="single" w:color="auto" w:sz="4" w:space="0"/>
              <w:right w:val="single" w:color="auto" w:sz="4" w:space="0"/>
            </w:tcBorders>
            <w:noWrap w:val="0"/>
            <w:vAlign w:val="top"/>
          </w:tcPr>
          <w:p w14:paraId="6803A730">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5F722950">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63F64F2">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51969467">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7CAEC92C">
            <w:pPr>
              <w:pStyle w:val="8"/>
              <w:widowControl/>
              <w:topLinePunct/>
              <w:adjustRightInd w:val="0"/>
              <w:snapToGrid w:val="0"/>
              <w:spacing w:before="60" w:after="60" w:line="312" w:lineRule="auto"/>
              <w:ind w:left="0" w:leftChars="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4个</w:t>
            </w:r>
          </w:p>
        </w:tc>
        <w:tc>
          <w:tcPr>
            <w:tcW w:w="6533" w:type="dxa"/>
            <w:tcBorders>
              <w:top w:val="single" w:color="auto" w:sz="4" w:space="0"/>
              <w:left w:val="single" w:color="auto" w:sz="4" w:space="0"/>
              <w:right w:val="single" w:color="auto" w:sz="4" w:space="0"/>
            </w:tcBorders>
            <w:noWrap w:val="0"/>
            <w:vAlign w:val="center"/>
          </w:tcPr>
          <w:p w14:paraId="421ED80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整机平台核心技术要求</w:t>
            </w:r>
          </w:p>
          <w:p w14:paraId="163CC3D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设备定位：专为消防应急、有限空间救援场景定制的工业级智能救援头盔，集成视频采集、AR 显示、双向通信、定位导航功能于一体，适配救援人员全套防护装备佩戴使用。</w:t>
            </w:r>
          </w:p>
          <w:p w14:paraId="0712B7B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安全合规：符合 GA 44-2015《消防头盔》、GB 811-2022《摩托车、电动自行车乘员头盔》国家强制安全标准，具备防冲击、防穿刺、阻燃、耐高温性能，可抵御救援现场飞溅物、撞击带来的伤害。</w:t>
            </w:r>
          </w:p>
          <w:p w14:paraId="1CFF4BD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机身规格与佩戴适配：整机含标配电池重量≤1.8kg，采用人体工学重心平衡设计，长时间佩戴无明显下坠感；可兼容正压式消防空气呼吸器（SCBA）面罩、防化护目镜、降噪耳罩等救援防护装备，佩戴无干涉、无遮挡。</w:t>
            </w:r>
          </w:p>
          <w:p w14:paraId="477DC9F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防护等级与环境适应性：整机防护等级≥IP66，可完全抵御粉尘侵入、承受高压水流喷射，工作温度覆盖 - 20℃~55℃，可在积水、高粉尘、浓烟、高低温等有限空间恶劣工况下稳定运行。</w:t>
            </w:r>
          </w:p>
          <w:p w14:paraId="7F8B594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材质工艺：盔体采用高强度芳纶 + 碳纤维复合材质，具备轻量化、高强度、阻燃特性；核心模组采用防震密封设计，可抵御破拆作业带来的持续震动冲击。</w:t>
            </w:r>
          </w:p>
          <w:p w14:paraId="581812F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第一视角视频采集与回传模块</w:t>
            </w:r>
          </w:p>
          <w:p w14:paraId="72BE6A3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核心摄像参数：内置头盔正前方第一视角一体化摄像模组，采用 4K 超高清星光级传感器，有效像素≥800 万，水平视场角≥120°，支持≥10 倍光学变焦、≥100 倍数字变焦，视频编码支持 H.264/H.265，最高支持 4K@30fps、1080P@60fps 视频录制与回传。</w:t>
            </w:r>
          </w:p>
          <w:p w14:paraId="1095997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2.防抖与环境适配：内置 3 轴机械防抖 + 电子防抖双重防抖机制，破拆作业震动环境下画面无明显抖动、无拖影；具备强光抑制、逆光补偿、电子去雾、星光级夜视功能，最低照度≤0.005Lux，可在有限空间低光、浓烟、强光逆光等极端环境下采集清晰画面。</w:t>
            </w:r>
          </w:p>
          <w:p w14:paraId="16355C8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3.实时回传能力：视频流可实时同步回传至应急救援指挥大屏与 AI 决策系统，端到端传输延迟≤150ms，画面无卡顿、无丢包、无花屏；支持本地存储 + 云端双备份，本地存储容量≥256GB，可连续存储≥48 小时高清视频，支持按时间、事件一键检索调取。</w:t>
            </w:r>
          </w:p>
          <w:p w14:paraId="0F8DEB2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4.辅助拍摄功能：支持一键拍照、紧急录像、视频抓拍，支持离线语音控制拍摄操作，解放救援人员双手，适配破拆作业场景使用需求。</w:t>
            </w:r>
          </w:p>
          <w:p w14:paraId="742DA2A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AR 虚实融合显示核心模组</w:t>
            </w:r>
          </w:p>
          <w:p w14:paraId="66C60CB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显示方案：采用双目衍射光波导 AR 显示模组，非入眼直射式设计，不遮挡救援人员正常视线，人眼透光率≥85%，避免眩晕、视觉疲劳，适配长时间救援作业。</w:t>
            </w:r>
          </w:p>
          <w:p w14:paraId="20B3E0E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显示性能：单目分辨率≥1920×1080，视场角≥40°，对比度≥1000:1，亮度≥1200nit，阳光下、强光环境下虚拟信息清晰可见，支持亮度自动调节。</w:t>
            </w:r>
          </w:p>
          <w:p w14:paraId="307512D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虚实叠加能力：内置空间定位与场景匹配算法，虚拟信息与现实场景叠加定位精度≤±5cm，无漂移、无重影，延迟≤80ms；可实时接收应急救援 AI 决策系统下发的指令数据，精准叠加显示蓝色破拆线、红色危险区边界、绿色安全撤离路径、被困人员精准位置四大核心虚拟标注信息。</w:t>
            </w:r>
          </w:p>
          <w:p w14:paraId="5E58084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3.信息显示拓展：支持同步显示救援人员实时位置、距入口距离、现场环境气体参数、剩余氧气量、被困人员生命体征、指挥中心下发的文字 / 语音指令等辅助信息，显示界面可自定义布局，支持一键切换显示模式。</w:t>
            </w:r>
          </w:p>
          <w:p w14:paraId="150FF00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操控方式：支持离线语音控制、头部姿态控制两种免手动操控方式，救援人员可在双手持破拆工具的状态下，完成 AR 界面切换、信息调取、指令确认等操作，无需手动触摸设备。</w:t>
            </w:r>
          </w:p>
          <w:p w14:paraId="63A331F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通信与双向交互模块</w:t>
            </w:r>
          </w:p>
          <w:p w14:paraId="1C34E76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通信链路：采用无线自组网 + 4G/5G 双链路冗余备份设计，支持多跳中继，有限空间 / 隧道内无公网环境下，自组网单点传输距离≥800m，最大中继传输距离≥3km；公网环境下全网通覆盖，传输无死角。</w:t>
            </w:r>
          </w:p>
          <w:p w14:paraId="42D22E9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2.传输性能：端到端数据传输延迟≤150ms，支持 1080P 高清视频流实时上行、AR 指令数据实时下行，可同时传输视频画面、语音对讲、定位坐标、环境参数多类数据，传输稳定无丢包。</w:t>
            </w:r>
          </w:p>
          <w:p w14:paraId="6F14416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双向语音对讲：内置全双工降噪对讲模组，支持降噪深度≥30dB，可屏蔽破拆噪声、环境风噪，实现救援人员与指挥中心、现场队员之间的双向清晰通话；支持群组对讲、一对一私聊、指挥中心广播多种通话模式。</w:t>
            </w:r>
          </w:p>
          <w:p w14:paraId="3971A07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4.应急联动：支持一键紧急报警功能，报警信息可同步推送至指挥大屏与 AI 决策系统，自动联动显示报警人员位置、第一视角画面、生命状态信息，适配应急突发场景。</w:t>
            </w:r>
          </w:p>
          <w:p w14:paraId="580C8E7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五、辅助功能与传感器模块</w:t>
            </w:r>
          </w:p>
          <w:p w14:paraId="73CE8F5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1.定位导航：内置 GPS / 北斗双模定位 + 惯导融合定位模块，在室内 / 有限空间无卫星信号环境下，定位精度≤±30cm，可实时记录救援人员行进轨迹，轨迹同步回传指挥大屏，支持 AI 系统规划路径的 AR 导航指引。</w:t>
            </w:r>
          </w:p>
          <w:p w14:paraId="6CCBEE3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2.环境与生命监测：可拓展接入气体传感器、心率监测模块，实时监测现场有毒有害气体浓度、氧气含量、环境温度，以及救援人员心率、运动状态，数据超标自动声光预警，预警信息同步推送至指挥中心。</w:t>
            </w:r>
          </w:p>
          <w:p w14:paraId="79B896F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音频录制：内置双麦克风，支持现场环境音频同步录制，与视频画面同步存储，可完整留存救援全流程音视频资料。</w:t>
            </w:r>
          </w:p>
          <w:p w14:paraId="6BEBE70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六、供电与续航要求</w:t>
            </w:r>
          </w:p>
          <w:p w14:paraId="0EE44AE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续航能力：标配大容量可充电锂电池，标准工况下（视频回传 + AR 显示 + 对讲全开）连续工作时间≥4 小时，待机时间≥12 小时；支持电池热插拔更换，更换电池无需关机重启，可实现不间断作业。</w:t>
            </w:r>
          </w:p>
          <w:p w14:paraId="6D3957A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2.电池性能：电池采用阻燃防爆设计，符合 GB 31241-2014《便携式电子产品用锂离子电池和电池组 安全要求》，支持 - 20℃低温环境正常放电，配备电池过充、过放、短路、过热多重保护机制。</w:t>
            </w:r>
          </w:p>
          <w:p w14:paraId="3ADC629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3.充电适配：支持快充功能，充满电时间≤2 小时，标配车载充电器、座充双充电模式，适配救援现场车载供电、指挥中心充电多场景使用需求。</w:t>
            </w:r>
          </w:p>
          <w:p w14:paraId="7E31EF9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七、系统兼容性与对接要求</w:t>
            </w:r>
          </w:p>
          <w:p w14:paraId="3A59067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系统联动：可无缝对接本次采购的应急救援 AI 决策系统、指挥大屏，可实时将第一视角视频画面、救援人员位置、现场采集数据回传至系统与大屏；同时可实时接收 AI 系统下发的风险分区、救援路径、破拆指引、被困人员位置、应急指令等数据，实现双向实时联动。</w:t>
            </w:r>
          </w:p>
          <w:p w14:paraId="4EE0718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2.协议兼容：支持 GB28181 标准视频协议、ONVIF 协议、MQTT 传感器数据协议，提供标准化 SDK/API 开放接口，可与采购方现有应急指挥平台、视频融合平台、GIS 地图系统无缝对接，无接口使用限制。</w:t>
            </w:r>
          </w:p>
          <w:p w14:paraId="74FA366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3.系统适配：支持国产化操作系统适配，可兼容麒麟、统信等国产化系统，支持 Windows、Android、iOS 多终端管理平台访问。</w:t>
            </w:r>
          </w:p>
          <w:p w14:paraId="24AF249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4.软件升级：支持设备固件、系统软件远程 OTA 升级，无需返厂即可完成功能迭代与 bug 修复。</w:t>
            </w:r>
          </w:p>
          <w:p w14:paraId="7F95693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八、配套配件与服务要求</w:t>
            </w:r>
          </w:p>
          <w:p w14:paraId="2ED1FF3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1.标配配件：须包含智能救援头盔主机 1 台、AR 显示模组 1 套、标配锂电池≥4 块、专用充电器 2 台、车载充电器 1 台、数据传输线 1 套、备用防护配件 1 套、安全防护运输箱 1 套。</w:t>
            </w:r>
          </w:p>
          <w:p w14:paraId="2C1ED3F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2.质保服务：整机及所有原厂模组提供≥1 年原厂免费质保，电池提供≥6 个月原厂质保；质保期内提供免费维修、更换、固件升级、bug 修复服务，提供 7×24 小时技术支持服务，故障响应时间≤2 小时。</w:t>
            </w:r>
          </w:p>
          <w:p w14:paraId="32A1CFD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3.培训服务：提供免费现场操作培训，培训内容涵盖设备佩戴、功能操作、AR 指引使用、应急处置、日常运维全流程，确保救援人员、指挥人员可独立完成全功能操作；同步提供配套操作手册、应急处置流程指南、培训视频课件。</w:t>
            </w:r>
          </w:p>
          <w:p w14:paraId="7973003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4.定制化服务：可根据采购方有限空间救援演练流程、实战场景需求，免费定制 AR 显示界面、标注样式、联动规则，适配采购方专属救援业务流程，无额外定制费用。</w:t>
            </w:r>
          </w:p>
        </w:tc>
      </w:tr>
      <w:tr w14:paraId="7F627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5930FC7">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23</w:t>
            </w:r>
          </w:p>
        </w:tc>
        <w:tc>
          <w:tcPr>
            <w:tcW w:w="903" w:type="dxa"/>
            <w:tcBorders>
              <w:top w:val="single" w:color="auto" w:sz="4" w:space="0"/>
              <w:left w:val="single" w:color="auto" w:sz="4" w:space="0"/>
              <w:right w:val="single" w:color="auto" w:sz="4" w:space="0"/>
            </w:tcBorders>
            <w:noWrap w:val="0"/>
            <w:vAlign w:val="center"/>
          </w:tcPr>
          <w:p w14:paraId="7AE917B8">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救援无人机</w:t>
            </w:r>
          </w:p>
        </w:tc>
        <w:tc>
          <w:tcPr>
            <w:tcW w:w="997" w:type="dxa"/>
            <w:gridSpan w:val="2"/>
            <w:tcBorders>
              <w:top w:val="single" w:color="auto" w:sz="4" w:space="0"/>
              <w:left w:val="single" w:color="auto" w:sz="4" w:space="0"/>
              <w:right w:val="single" w:color="auto" w:sz="4" w:space="0"/>
            </w:tcBorders>
            <w:noWrap w:val="0"/>
            <w:vAlign w:val="top"/>
          </w:tcPr>
          <w:p w14:paraId="1D07689B">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46171095">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72DA9553">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47B90CB9">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c>
          <w:tcPr>
            <w:tcW w:w="6533" w:type="dxa"/>
            <w:tcBorders>
              <w:top w:val="single" w:color="auto" w:sz="4" w:space="0"/>
              <w:left w:val="single" w:color="auto" w:sz="4" w:space="0"/>
              <w:right w:val="single" w:color="auto" w:sz="4" w:space="0"/>
            </w:tcBorders>
            <w:noWrap w:val="0"/>
            <w:vAlign w:val="center"/>
          </w:tcPr>
          <w:p w14:paraId="178CCDD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飞行平台核心技术要求</w:t>
            </w:r>
          </w:p>
          <w:p w14:paraId="265B5F8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1.飞行器类型：须为六旋翼行业级飞行平台，采用碳纤维一体化机身设计，支持快速折叠部署，满足应急救援场景快速转场、快速起降的使用需求。</w:t>
            </w:r>
          </w:p>
          <w:p w14:paraId="384406F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2.机身规格：折叠状态（含桨叶）尺寸≤430mm×420mm×430mm，对称电机轴距≤900mm；空机重量（含双电池）≤6.5kg，最大起飞重量≥9kg。</w:t>
            </w:r>
          </w:p>
          <w:p w14:paraId="1635B24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3.续航能力：标准负载工况下，最长续航时间≥55 分钟；支持电池热替换功能，可实现不间断连续作业，无需停机重启设备。</w:t>
            </w:r>
          </w:p>
          <w:p w14:paraId="1F37901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4.飞行性能：最大水平飞行速度≥23m/s，最大上升速度≥6m/s，最大下降速度≥4m/s；最大抗风能力≥12m/s（6 级风），最高起飞海拔≥7000m，可适配高海拔、大风等复杂作业环境。</w:t>
            </w:r>
          </w:p>
          <w:p w14:paraId="4A48EBF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5.环境适应性：工作温度范围覆盖 - 20℃~50℃；飞行平台整机防护等级≥IP55，折叠状态防护等级≥IP54，可在中雨、扬尘、降雪等恶劣灾害环境下稳定作业。</w:t>
            </w:r>
          </w:p>
          <w:p w14:paraId="365A5CC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定位与定高精度：支持 GPS / 北斗 / GLONASS/Galileo 四模卫星定位；RTK 差分定位模式下，悬停精度垂直≤±0.1m、水平≤±0.1m；支持激光打点定位功能，目标坐标输出精度≤10cm，可精准标注灾害点位、被困人员位置。</w:t>
            </w:r>
          </w:p>
          <w:p w14:paraId="1913BF2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7.避障系统：配备六向双目视觉 + 红外传感器全向环境感知系统，搭配 360° 环扫毫米波雷达，可识别直径≥5mm 的线状障碍物，有效探测距离≥30m，可实现全向自主避障，适配复杂建筑、有限空间周边等复杂作业场景。</w:t>
            </w:r>
          </w:p>
          <w:p w14:paraId="1C3BD8A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8.飞控冗余设计：飞控系统采用三冗余设计，配备 3 套独立 IMU 传感器，采用双电池冗余供电机制；具备断桨保护、失控返航、低电量自动返航、一键悬停等多重安全机制，保障极端工况下的飞行安全。</w:t>
            </w:r>
          </w:p>
          <w:p w14:paraId="5B3302E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9.负载能力：支持三云台同时挂载（下置双云台 + 上置单云台），最大有效载重≥2.7kg；具备标准化快拆接口与开放 E-Port 拓展接口，支持热插拔更换负载，无需重启设备即可完成功能切换，适配应急救援多场景快速切换作业需求。</w:t>
            </w:r>
          </w:p>
          <w:p w14:paraId="2334716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10.电池性能：标配智能飞行锂电池，单块容量≥5800mAh，能量≥260Wh，循环充放寿命≥400 次；支持 - 20℃低温环境自加热功能，配备智能电池管理系统，可实时监控电池健康状态、剩余电量、循环次数等核心参数。（二）二、核心功能负载技术要求</w:t>
            </w:r>
          </w:p>
          <w:p w14:paraId="65DF018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（一）人员搜救模块：四光一体化光电吊舱</w:t>
            </w:r>
          </w:p>
          <w:p w14:paraId="5C24A35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1.整体规格：采用 3 轴增稳云台设计，角度抖动量≤±0.004°；整机防护等级≥IP54，工作温度覆盖 - 20℃~50℃，整机重量≤950g，支持快拆安装，可快速部署。</w:t>
            </w:r>
          </w:p>
          <w:p w14:paraId="100D399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2.可见光变焦相机：采用 1/1.8 英寸 CMOS 传感器，有效像素≥4000 万；支持≥34 倍光学变焦、≥400 倍数字变焦；视频分辨率最高支持 4K@30fps，具备电子去雾、前景增稳功能，可远距离清晰识别灾害现场细节、被困人员状态。</w:t>
            </w:r>
          </w:p>
          <w:p w14:paraId="1C04F7B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3.广角相机：采用 1/1.3 英寸 CMOS 传感器，有效像素≥4800 万，等效焦距 24mm，视场角≥82°，可实现灾区全域大范围态势实时回传，满足广域侦察需求。</w:t>
            </w:r>
          </w:p>
          <w:p w14:paraId="1DE9FCB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红外热成像相机：采用非制冷氧化钒（VOx）微测热辐射计，原生分辨率≥1280×1024@30fps，像元间距≤12μm，噪声等效温差（NETD）≤50mK；支持≥32 倍红外数字变焦，测温范围覆盖 - 20℃~1600℃，可穿透烟雾、黑暗、植被遮挡，精准识别被困人员人体热源，满足浓烟、夜间等极端搜救场景需求。</w:t>
            </w:r>
          </w:p>
          <w:p w14:paraId="4E30B45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5.激光测距模块：采用人眼安全 Class 1 激光，测量范围 3m～3000m，测距精度≤±1m（500m 以上量程）；可实时测量被困人员与入口距离、目标海拔、GPS 坐标，所有数据可同步至应急指挥系统。</w:t>
            </w:r>
          </w:p>
          <w:p w14:paraId="730352E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6.智能功能：支持 AI 智能目标识别、人体 / 高温热源自动捕捉与报警、双光画面联动比对功能；可自动锁定被困人员位置，持续跟踪目标，适配夜间、浓烟等极端搜救场景。</w:t>
            </w:r>
          </w:p>
          <w:p w14:paraId="722ADDA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（二）应急喊话模块：机载应急喊话器</w:t>
            </w:r>
          </w:p>
          <w:p w14:paraId="064331F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1.核心声学性能：最大声压级≥130dB，正前方有效喊话距离≥300m，语音清晰度≥90%，可穿透建筑、植被遮挡，覆盖灾害现场大范围区域，满足应急疏导、逃生指引需求。</w:t>
            </w:r>
          </w:p>
          <w:p w14:paraId="165B5BD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2.功能支持：支持实时双向对讲喊话、离线音频循环播放、文字转语音（TTS）功能；内置应急疏散、逃生指引、情绪安抚等多场景标准话术模板；支持云台俯仰控制，可定向对准被困区域精准喊话。</w:t>
            </w:r>
          </w:p>
          <w:p w14:paraId="3B4090F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3.适配性：整机防护等级≥IP54，工作温度覆盖 - 20℃~50℃，支持快拆安装，与飞行平台无缝兼容，可与光电吊舱同步联动作业。</w:t>
            </w:r>
          </w:p>
          <w:p w14:paraId="0194D19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（三）场景建模模块：机载激光雷达负载</w:t>
            </w:r>
          </w:p>
          <w:p w14:paraId="13A2772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1.整体规格：采用激光雷达、测绘相机、高精度惯导一体化集成设计；整机防护等级≥IP54，工作温度覆盖 - 20℃~50℃，整机重量≤950g，支持快拆安装。</w:t>
            </w:r>
          </w:p>
          <w:p w14:paraId="65FBF34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激光雷达核心参数：配备 3 组激光发射器，激光测量频率≥240000 点 / 秒，支持 3 次回波；测距范围 0.5m～190m，测距精度≤±2cm；水平视场角 360°，垂直视场角 ±45°，可穿透植被、遮挡物，精准还原灾害现场结构。</w:t>
            </w:r>
          </w:p>
          <w:p w14:paraId="5553EFC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3.测绘相机：采用 1 英寸 CMOS 传感器，有效像素≥2000 万，配备机械全局快门，可同步获取实景影像，与点云数据精准匹配。</w:t>
            </w:r>
          </w:p>
          <w:p w14:paraId="606A986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4.建模能力：搭配高精度惯导与 RTK 定位系统，支持仿地飞行、自主航线规划；15 分钟内可完成≥5 平方公里区域的激光扫描，可生成厘米级数字表面模型（DSM）、三维点云模型，精准还原灾区地形、建筑结构、障碍物分布。</w:t>
            </w:r>
          </w:p>
          <w:p w14:paraId="420ED19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5.数据输出：支持标准点云格式、影像数据输出，可无缝对接应急救援 AI 决策系统，为风险分区、救援路径规划、撤离通道设计提供精准空间数据支撑。</w:t>
            </w:r>
          </w:p>
          <w:p w14:paraId="21FCD08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三、图传与地面控制系统技术要求</w:t>
            </w:r>
          </w:p>
          <w:p w14:paraId="6A26F53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1.图传系统：采用数字图传 + 4G 增强双链路备份设计，最大图传距离≥20km，端到端延迟≤120ms；支持三路 1080P 高清视频流同时回传，可同步传输飞行状态、环境参数、目标坐标数据，传输过程无卡顿、无丢包，满足应急指挥实时回传需求。</w:t>
            </w:r>
          </w:p>
          <w:p w14:paraId="538DE72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2.地面遥控器：标配工业级遥控器，配备≥7 英寸高亮显示屏，屏幕亮度≥1200nit，阳光下清晰可见；内置双电池，续航时间≥6 小时；支持双控模式（主副操控），具备丰富自定义快捷按键，适配应急救援场景快速操作需求。</w:t>
            </w:r>
          </w:p>
          <w:p w14:paraId="6E18D38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地面站软件：内置专业飞行控制与任务管理软件，支持自主航线规划、网格搜救航线预设、仿地飞行、任务4、自动化执行；可实时显示飞行状态、负载画面、目标位置、环境参数，支持一键返航、紧急悬停等应急操作。</w:t>
            </w:r>
          </w:p>
          <w:p w14:paraId="5E38B4A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四、数据对接与系统兼容性要求</w:t>
            </w:r>
          </w:p>
          <w:p w14:paraId="3BADB39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所有飞行数据、视频画面、目标坐标、环境参数、建模数据，可通过标准 SDK/API 接口，实时接入应急救援 AI 决策系统与指挥大屏，实现数据同步展示、联动分析，无协议壁垒。</w:t>
            </w:r>
          </w:p>
          <w:p w14:paraId="175D6C9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支持被困人员位置、热成像数据、激光雷达建模数据与应急救援预案系统无缝对接，可自动同步目标距离、人员状态、空间结构等核心数据至 AI 决策平台。</w:t>
            </w:r>
          </w:p>
          <w:p w14:paraId="3BFA33E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支持多终端协同指挥，可同时向指挥中心、现场救援终端同步数据，支持视频流 RTSP/RTMP 标准协议推流，适配指挥大屏多画面展示需求。</w:t>
            </w:r>
          </w:p>
          <w:p w14:paraId="019DDBA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五、配套配件与服务要求</w:t>
            </w:r>
          </w:p>
          <w:p w14:paraId="0E3E4F9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1.标配配件：须包含飞行平台 1 台、四光光电吊舱 1 套、应急喊话器 1 套、激光雷达建模负载 1 套、智能飞行电池≥6 块、智能电池充电箱 1 台、地面遥控器 2 台、配套数据线 / 储存卡 / 备用桨叶等易损配件 1 套、安全运输箱 2 套。</w:t>
            </w:r>
          </w:p>
          <w:p w14:paraId="63FBED8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2.质保服务：整机及所有原厂负载提供≥1 年原厂质保，电池提供≥6 个月原厂质保；质保期内提供免费维修、更换及固件升级服务；提供 7×24 小时技术支持服务，故障响应时间≤2 小时。</w:t>
            </w:r>
          </w:p>
          <w:p w14:paraId="6839093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3.培训服务：提供免费现场操作培训，培训内容涵盖飞行操控、负载使用、应急处置、数据处理全流程，确保操作人员可独立完成应急救援全流程作业；同步提供配套操作手册、应急处置预案模板。</w:t>
            </w:r>
          </w:p>
          <w:p w14:paraId="0AA3803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4.数据服务：免费提供配套建模数据处理软件，支持三维模型生成、数据导出、格式转换，无年度使用费用与节点限制。</w:t>
            </w:r>
          </w:p>
        </w:tc>
      </w:tr>
      <w:tr w14:paraId="76C3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526D4B3">
            <w:pPr>
              <w:pStyle w:val="16"/>
              <w:numPr>
                <w:ilvl w:val="0"/>
                <w:numId w:val="0"/>
              </w:numPr>
              <w:ind w:left="0" w:leftChars="0" w:firstLine="0" w:firstLineChars="0"/>
              <w:jc w:val="center"/>
              <w:rPr>
                <w:rFonts w:hint="eastAsia" w:hAnsi="宋体"/>
                <w:b/>
                <w:color w:val="auto"/>
                <w:sz w:val="21"/>
                <w:szCs w:val="21"/>
                <w:highlight w:val="none"/>
                <w:lang w:val="en-US" w:eastAsia="zh-CN"/>
              </w:rPr>
            </w:pPr>
            <w:r>
              <w:rPr>
                <w:rFonts w:hint="eastAsia" w:hAnsi="宋体"/>
                <w:b/>
                <w:color w:val="auto"/>
                <w:sz w:val="21"/>
                <w:szCs w:val="21"/>
                <w:highlight w:val="none"/>
                <w:lang w:val="en-US" w:eastAsia="zh-CN"/>
              </w:rPr>
              <w:t>24</w:t>
            </w:r>
          </w:p>
        </w:tc>
        <w:tc>
          <w:tcPr>
            <w:tcW w:w="903" w:type="dxa"/>
            <w:tcBorders>
              <w:top w:val="single" w:color="auto" w:sz="4" w:space="0"/>
              <w:left w:val="single" w:color="auto" w:sz="4" w:space="0"/>
              <w:right w:val="single" w:color="auto" w:sz="4" w:space="0"/>
            </w:tcBorders>
            <w:noWrap w:val="0"/>
            <w:vAlign w:val="center"/>
          </w:tcPr>
          <w:p w14:paraId="462CB11B">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机器狗</w:t>
            </w:r>
          </w:p>
        </w:tc>
        <w:tc>
          <w:tcPr>
            <w:tcW w:w="997" w:type="dxa"/>
            <w:gridSpan w:val="2"/>
            <w:tcBorders>
              <w:top w:val="single" w:color="auto" w:sz="4" w:space="0"/>
              <w:left w:val="single" w:color="auto" w:sz="4" w:space="0"/>
              <w:right w:val="single" w:color="auto" w:sz="4" w:space="0"/>
            </w:tcBorders>
            <w:noWrap w:val="0"/>
            <w:vAlign w:val="top"/>
          </w:tcPr>
          <w:p w14:paraId="5902A7DF">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28B5A76D">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477FC2D">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68D4520B">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B4B885F">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331F769D">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68B467F0">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81CA3AE">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E7E9C3C">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65E1E6E1">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2488C984">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4040756">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8D15515">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D2FF245">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594BA900">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ED7F90B">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3F256E32">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c>
          <w:tcPr>
            <w:tcW w:w="6533" w:type="dxa"/>
            <w:tcBorders>
              <w:top w:val="single" w:color="auto" w:sz="4" w:space="0"/>
              <w:left w:val="single" w:color="auto" w:sz="4" w:space="0"/>
              <w:right w:val="single" w:color="auto" w:sz="4" w:space="0"/>
            </w:tcBorders>
            <w:noWrap w:val="0"/>
            <w:vAlign w:val="center"/>
          </w:tcPr>
          <w:p w14:paraId="7921001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整机平台核心技术参数</w:t>
            </w:r>
          </w:p>
          <w:p w14:paraId="6649155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1.设备类型：工业级四足仿生机器人（机器狗），专为有限空间、管道救援、灾害现场侦察场景设计，采用高强度铝合金 + 工程塑料一体化机身设计。</w:t>
            </w:r>
          </w:p>
          <w:p w14:paraId="64F3FA1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机身规格：机身长度≤850mm、宽度≤450mm、高度≤550mm，整机自重≤35kg，最大负载能力≥10kg，可适配管道内狭小空间通行需求，可自主进入内径≥DN600 的圆形管道及同等截面尺寸的异形管道开展作业。</w:t>
            </w:r>
          </w:p>
          <w:p w14:paraId="7F4408B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防护等级：整机防护等级不低于 IP67，可完全抵御粉尘侵入，可承受短时浸泡，工作温度覆盖 - 20℃~55℃，可在管道内积水、泥泞、高粉尘、高低温等恶劣工况下稳定运行。</w:t>
            </w:r>
          </w:p>
          <w:p w14:paraId="6653750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运动性能：最大爬坡角度≥35°，可稳定完成管道内坡道攀爬动作；最大越障高度≥200mm，可跨越管道内焊缝、凸起、杂物等障碍物；最大涉水深度≥150mm，可应对管道内积水场景；平地最大行走速度≥2.5m/s，支持原地转向、蟹行、匍匐前进等多种运动模式，可完成管段连续穿越、弯道通行、变径管段适配等动作。</w:t>
            </w:r>
          </w:p>
          <w:p w14:paraId="3491A7E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自主导航与避障：内置六向环境感知模组，搭配 360° 环绕激光雷达与深度视觉传感器，最小障碍物识别精度≤5mm，有效探测距离 0.05m～20m，可实现全向自主避障、自主路径规划、自主导航通行，无需人工远程操控即可自主完成管道内进入、穿行、返航全流程作业。</w:t>
            </w:r>
          </w:p>
          <w:p w14:paraId="18B5801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供电与安全机制：整机采用双电池冗余供电设计，标准负载下续航时间≥2.5 小时，支持电池热替换，可实现不间断连续作业；配备断联自动返航、低电量自动返航、姿态异常保护、紧急急停等多重安全机制，保障极端工况下的设备安全。</w:t>
            </w:r>
          </w:p>
          <w:p w14:paraId="6B6FA9E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核心功能负载技术参数</w:t>
            </w:r>
          </w:p>
          <w:p w14:paraId="248AC4C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所有负载须与机器人本体原厂原装适配，支持无缝联动、即插即用，所有采集数据可实时同步传输。</w:t>
            </w:r>
          </w:p>
          <w:p w14:paraId="58AD997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（一）第一视角视觉侦察模组</w:t>
            </w:r>
          </w:p>
          <w:p w14:paraId="6552F4C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作为机器人第一视角采集单元，采用 4K 超高清可见光相机，有效像素≥800 万，视场角≥120°，支持≥10 倍光学变焦、≥100 倍数字变焦。</w:t>
            </w:r>
          </w:p>
          <w:p w14:paraId="32F6CA3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2.具备强光抑制、电子去雾、低照度夜视功能，可在管道内低光环境下采集清晰画面，实时回传机器人第一视角高清影像。</w:t>
            </w:r>
          </w:p>
          <w:p w14:paraId="1C0F71E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（二）管道三维建模专用激光雷达模组</w:t>
            </w:r>
          </w:p>
          <w:p w14:paraId="271798B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激光测量频率≥300000 点 / 秒，测距范围 0.1m～30m，测距精度≤±2cm，水平视场角 360°，垂直视场角 ±90°，支持 3 次回波。</w:t>
            </w:r>
          </w:p>
          <w:p w14:paraId="5867799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2.可精准扫描管道内部结构、焊缝缺陷、内壁形变、障碍物分布，实时生成厘米级管道内壁状态三维模型，建模数据可实时导出并对接应急救援 AI 决策系统。</w:t>
            </w:r>
          </w:p>
          <w:p w14:paraId="16F080F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（三）音视频探测与红外热成像一体化搜救模组</w:t>
            </w:r>
          </w:p>
          <w:p w14:paraId="1F3D092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1.音视频探测单元配备辅助高清相机，有效像素≥500 万，支持 360° 云台旋转，可无死角采集管道内部高清画面；支持双向语音对讲，可实时与管道内被困人员通话、开展逃生指引。</w:t>
            </w:r>
          </w:p>
          <w:p w14:paraId="512AE05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红外热成像单元采用非制冷氧化钒探测器，原生分辨率≥640×512@30fps，像元间距≤12μm，噪声等效温差（NETD）≤50mK，测温范围 - 20℃~150℃。</w:t>
            </w:r>
          </w:p>
          <w:p w14:paraId="2F5A0CD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3.可穿透管道内烟雾、黑暗环境精准识别人体热源，自动锁定被困人员位置，实时测算并标注被困人员与管道入口的直线距离、水平距离，定位精度≤±10cm，所有数据可同步输出。</w:t>
            </w:r>
          </w:p>
          <w:p w14:paraId="62BCF46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三、图传与指挥系统联动技术参数</w:t>
            </w:r>
          </w:p>
          <w:p w14:paraId="6FFB764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传输模式：采用数字图传 + 无线自组网双链路备份传输模式，最大无线图传距离≥1.5km（管道内复杂环境），端到端延迟≤150ms。</w:t>
            </w:r>
          </w:p>
          <w:p w14:paraId="32C8CF4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2.传输能力：支持 1080P 高清视频流、机器人运动状态数据、环境参数、定位数据、建模数据同步实时回传，传输过程无卡顿、无丢包。</w:t>
            </w:r>
          </w:p>
          <w:p w14:paraId="2D6264E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3.大屏联动：可无缝对接采购方现有应急救援指挥大屏与 AI 决策系统，可实时同步显示机器人第一视角画面、实时运动状态（含行进速度、机身姿态、剩余电量、所在位置）、管道内环境参数、被困人员位置与距离信息、三维建模动态画面。</w:t>
            </w:r>
          </w:p>
          <w:p w14:paraId="20620C7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4.远程控制：支持指挥中心与现场终端双端双向控制，可远程下达作业指令、调整机器人运动路径、切换负载采集模式。</w:t>
            </w:r>
          </w:p>
          <w:p w14:paraId="3E30FDF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5.地面控制终端：配备≥10 英寸高亮工业级显示屏，屏幕亮度≥1000nit，阳光下清晰可见；内置双电池续航时间≥4 小时，支持一键返航、紧急急停、模式切换等快捷操作；可实时显示所有回传数据与画面，支持本地存储与云端同步备份，存储容量≥1TB，可完整留存作业全流程视频、数据与建模文件。</w:t>
            </w:r>
          </w:p>
          <w:p w14:paraId="05AE78B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四、配套配件与服务要求</w:t>
            </w:r>
          </w:p>
          <w:p w14:paraId="3B252D5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1.标配配件：须包含四足机器人主机 1 台、一体化主视觉侦察模组 1 套、管道建模专用激光雷达 1 套、音视频与红外热成像搜救模组 1 套、地面控制终端 1 台、智能锂电池≥4 块、专用电池充电器 2 台、配套数据线 / 储存卡 / 易损备件 1 套、安全防护运输箱 1 套。</w:t>
            </w:r>
          </w:p>
          <w:p w14:paraId="0E885C5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2.质保服务：整机及所有原厂负载提供≥1 年原厂质保，电池提供≥6 个月原厂质保；质保期内提供免费维修、更换及固件升级服务，提供 7×24 小时技术支持服务，故障响应时间≤2 小时。</w:t>
            </w:r>
          </w:p>
          <w:p w14:paraId="482172F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培训服务：提供免费现场操作培训，培训内容涵盖设备操控、负载使用、应急处置、数据处理与建模全流程，确保操作人员可独立完成管道救援、侦察建模全流程作业；同步提供配套操作手册、应急处置预案模板。</w:t>
            </w:r>
          </w:p>
          <w:p w14:paraId="4A46267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4.数据服务：免费提供配套三维建模数据处理软件，支持管道模型生成、数据导出、格式转换、缺陷标注功能，无年度使用费用与节点限制，可无缝对接采购方现有应急救援 AI 决策系统。16、含配套支架和电源适配器</w:t>
            </w:r>
          </w:p>
        </w:tc>
      </w:tr>
      <w:tr w14:paraId="41D7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AAA5222">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25</w:t>
            </w:r>
          </w:p>
        </w:tc>
        <w:tc>
          <w:tcPr>
            <w:tcW w:w="903" w:type="dxa"/>
            <w:tcBorders>
              <w:top w:val="single" w:color="auto" w:sz="4" w:space="0"/>
              <w:left w:val="single" w:color="auto" w:sz="4" w:space="0"/>
              <w:right w:val="single" w:color="auto" w:sz="4" w:space="0"/>
            </w:tcBorders>
            <w:noWrap w:val="0"/>
            <w:vAlign w:val="center"/>
          </w:tcPr>
          <w:p w14:paraId="58C8EDA2">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三维建模及软件</w:t>
            </w:r>
          </w:p>
        </w:tc>
        <w:tc>
          <w:tcPr>
            <w:tcW w:w="997" w:type="dxa"/>
            <w:gridSpan w:val="2"/>
            <w:tcBorders>
              <w:top w:val="single" w:color="auto" w:sz="4" w:space="0"/>
              <w:left w:val="single" w:color="auto" w:sz="4" w:space="0"/>
              <w:right w:val="single" w:color="auto" w:sz="4" w:space="0"/>
            </w:tcBorders>
            <w:noWrap w:val="0"/>
            <w:vAlign w:val="top"/>
          </w:tcPr>
          <w:p w14:paraId="2D0FE2A6">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36EA0D6">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B61FDF6">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3EA694E0">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ACBF461">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285047F">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0E1287D">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6A0C82C">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51F11B27">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709DAC42">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C2328CF">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278F8247">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3A2A40F5">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71AB8E14">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1个</w:t>
            </w:r>
          </w:p>
        </w:tc>
        <w:tc>
          <w:tcPr>
            <w:tcW w:w="6533" w:type="dxa"/>
            <w:tcBorders>
              <w:top w:val="single" w:color="auto" w:sz="4" w:space="0"/>
              <w:left w:val="single" w:color="auto" w:sz="4" w:space="0"/>
              <w:right w:val="single" w:color="auto" w:sz="4" w:space="0"/>
            </w:tcBorders>
            <w:noWrap w:val="0"/>
            <w:vAlign w:val="center"/>
          </w:tcPr>
          <w:p w14:paraId="7C0E85D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交付形式：纯三维数字化模型，不含任何实体设备、硬件、软件系统，仅提供可直接导入Unity、Unreal、3ds Max、Blender等主流三维引擎的源文件及可编辑工程文件。</w:t>
            </w:r>
          </w:p>
          <w:p w14:paraId="61E1525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比例与还原要求：1:1等比例还原，核心贴合化工企业真实场景，管道及配套场景与化工企业实际管道、储罐、管廊结构、工况完全匹配，整体还原精度≥99%。</w:t>
            </w:r>
          </w:p>
          <w:p w14:paraId="1C018AE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格式要求：必须提供通用导入格式（FBX、OBJ、STL），同时提供可编辑源文件（如MAX、Maya、Blender工程文件），材质贴图单独打包交付，确保可二次编辑、场景拓展。</w:t>
            </w:r>
          </w:p>
          <w:p w14:paraId="3640566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场景适配性：专为化工企业定制，覆盖化工企业核心受限空间场景，可满足化工管道巡检、储罐搜救、管廊侦察等实训演示、教学推演需求，贴合化工企业安全实训规范。</w:t>
            </w:r>
          </w:p>
          <w:p w14:paraId="2620185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化工场景三维数字模型技术参数</w:t>
            </w:r>
          </w:p>
          <w:p w14:paraId="4BCEEE3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聚焦化工企业典型场景，1:1还原真实化工管道、储罐、管廊等受限空间结构及工况，贴合化工企业救援实训需求，细节还原化工生产环境特征。</w:t>
            </w:r>
          </w:p>
          <w:p w14:paraId="04A268A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核心场景覆盖：必须包含化工企业3类核心实训场景，可根据采购方实际厂区布局定制调整，场景可单独拆分、组合编辑</w:t>
            </w:r>
          </w:p>
          <w:p w14:paraId="0D0BAA4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化工管道场景：覆盖DN600-DN1500化工介质输送管道，包含水平直管段、垂直管段、90°/180°弯头、变径段、爬坡/下坡段、三通分支段，还原化工管道法兰连接、阀门布局、管线走向，贴合化工企业管道实际安装规范。</w:t>
            </w:r>
          </w:p>
          <w:p w14:paraId="2772AB6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化工储罐场景：包含卧式化工储罐、立式化工储罐、反应釜模拟模型，还原储罐罐体结构、人孔、进料口、出料口、液位计、防护围栏等细节，贴合化工储罐实际尺寸与布局。</w:t>
            </w:r>
          </w:p>
          <w:p w14:paraId="6F51348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化工管廊场景：还原化工企业地下/地下综合管廊，包含电缆桥架、管道支架、检修通道、通风口、积水坑，还原管廊内多管道并行、管线交叉等真实结构。</w:t>
            </w:r>
          </w:p>
          <w:p w14:paraId="2C0BA0C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化工工况细节还原：</w:t>
            </w:r>
          </w:p>
          <w:p w14:paraId="77FDDC4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管道内壁：还原化工管道内壁焊缝、锈蚀、结垢、轻微变形、杂物堆积等真实工况，可模拟管道轻微泄漏（无危险介质，仅可视化模拟泄漏痕迹）。</w:t>
            </w:r>
          </w:p>
          <w:p w14:paraId="7D14D86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场景环境：还原化工企业实训所需环境细节，可模拟低照度、浓烟、管内积水等场景，贴合化工灾害现场环境；还原厂区地面、防护设施、警示标识等配套细节。</w:t>
            </w:r>
          </w:p>
          <w:p w14:paraId="0A32516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附属设施：还原化工管道、储罐、管廊配套的阀门、压力表、流量计、支架、爬梯等附属构件，尺寸、安装位置与化工企业实际一致。</w:t>
            </w:r>
          </w:p>
          <w:p w14:paraId="57B6A8C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模型精度要求：</w:t>
            </w:r>
          </w:p>
          <w:p w14:paraId="1C08990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单场景模型多边形面数≥100万面，整体场景（含管道、储罐、管廊）面数≥300万面，无破面、无锯齿、无结构缺失，渲染流畅。</w:t>
            </w:r>
          </w:p>
          <w:p w14:paraId="14412BB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纹理分辨率≥4K，材质质感贴合化工场景，准确还原金属管道锈蚀、储罐防腐涂层、管廊混凝土/钢结构肌理，光线渲染贴合化工受限空间黑暗、低照度环境，支持光影实时调整。</w:t>
            </w:r>
          </w:p>
          <w:p w14:paraId="2C5CEDFE">
            <w:pPr>
              <w:pStyle w:val="8"/>
              <w:widowControl/>
              <w:numPr>
                <w:ilvl w:val="0"/>
                <w:numId w:val="3"/>
              </w:numPr>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场景拓展性：支持自定义添加化工场景障碍（管道堵塞、坍塌块、模拟泄漏点）、被困人员模型、救援装备模型，可调整管道长度、管径、储罐尺寸、管廊布局，适配不同难度的化工救援实训场景模拟需求。</w:t>
            </w:r>
          </w:p>
          <w:p w14:paraId="61DB38F8">
            <w:pPr>
              <w:pStyle w:val="8"/>
              <w:widowControl/>
              <w:numPr>
                <w:ilvl w:val="0"/>
                <w:numId w:val="3"/>
              </w:numPr>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服务期限为合同签订日起1年内。</w:t>
            </w:r>
          </w:p>
        </w:tc>
      </w:tr>
      <w:tr w14:paraId="27B9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4365BB6">
            <w:pPr>
              <w:pStyle w:val="16"/>
              <w:numPr>
                <w:ilvl w:val="0"/>
                <w:numId w:val="0"/>
              </w:numPr>
              <w:ind w:left="0" w:leftChars="0" w:firstLine="0" w:firstLineChars="0"/>
              <w:jc w:val="center"/>
              <w:rPr>
                <w:rFonts w:hint="eastAsia" w:hAnsi="宋体"/>
                <w:b/>
                <w:color w:val="auto"/>
                <w:sz w:val="21"/>
                <w:szCs w:val="21"/>
                <w:highlight w:val="none"/>
                <w:lang w:val="en-US" w:eastAsia="zh-CN"/>
              </w:rPr>
            </w:pPr>
            <w:r>
              <w:rPr>
                <w:rFonts w:hint="eastAsia" w:hAnsi="宋体"/>
                <w:b/>
                <w:color w:val="auto"/>
                <w:sz w:val="21"/>
                <w:szCs w:val="21"/>
                <w:highlight w:val="none"/>
                <w:lang w:val="en-US" w:eastAsia="zh-CN"/>
              </w:rPr>
              <w:t>26</w:t>
            </w:r>
          </w:p>
        </w:tc>
        <w:tc>
          <w:tcPr>
            <w:tcW w:w="903" w:type="dxa"/>
            <w:tcBorders>
              <w:top w:val="single" w:color="auto" w:sz="4" w:space="0"/>
              <w:left w:val="single" w:color="auto" w:sz="4" w:space="0"/>
              <w:right w:val="single" w:color="auto" w:sz="4" w:space="0"/>
            </w:tcBorders>
            <w:noWrap w:val="0"/>
            <w:vAlign w:val="center"/>
          </w:tcPr>
          <w:p w14:paraId="67F43604">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物联网智能通信终端</w:t>
            </w:r>
          </w:p>
        </w:tc>
        <w:tc>
          <w:tcPr>
            <w:tcW w:w="997" w:type="dxa"/>
            <w:gridSpan w:val="2"/>
            <w:tcBorders>
              <w:top w:val="single" w:color="auto" w:sz="4" w:space="0"/>
              <w:left w:val="single" w:color="auto" w:sz="4" w:space="0"/>
              <w:right w:val="single" w:color="auto" w:sz="4" w:space="0"/>
            </w:tcBorders>
            <w:noWrap w:val="0"/>
            <w:vAlign w:val="top"/>
          </w:tcPr>
          <w:p w14:paraId="4154E910">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5F6BF0E">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2只</w:t>
            </w:r>
          </w:p>
        </w:tc>
        <w:tc>
          <w:tcPr>
            <w:tcW w:w="6533" w:type="dxa"/>
            <w:tcBorders>
              <w:top w:val="single" w:color="auto" w:sz="4" w:space="0"/>
              <w:left w:val="single" w:color="auto" w:sz="4" w:space="0"/>
              <w:right w:val="single" w:color="auto" w:sz="4" w:space="0"/>
            </w:tcBorders>
            <w:noWrap w:val="0"/>
            <w:vAlign w:val="center"/>
          </w:tcPr>
          <w:p w14:paraId="4C81877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具备广泛的消防报警主机兼容性，可实现报警信息至及时雨智慧消防平台的无缝上传，并支持平台对消防主机的远程双向控制，包括复位、消音及设备启停。</w:t>
            </w:r>
            <w:r>
              <w:rPr>
                <w:rFonts w:hint="eastAsia" w:ascii="宋体" w:hAnsi="宋体" w:cs="宋体"/>
                <w:color w:val="auto"/>
                <w:sz w:val="21"/>
                <w:szCs w:val="21"/>
                <w:highlight w:val="none"/>
                <w:lang w:val="en-US" w:eastAsia="zh-CN"/>
              </w:rPr>
              <w:t>质保服务期限为合同签订日起1年内。</w:t>
            </w:r>
          </w:p>
        </w:tc>
      </w:tr>
      <w:tr w14:paraId="6A40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AE1BB4B">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27</w:t>
            </w:r>
          </w:p>
        </w:tc>
        <w:tc>
          <w:tcPr>
            <w:tcW w:w="903" w:type="dxa"/>
            <w:tcBorders>
              <w:top w:val="single" w:color="auto" w:sz="4" w:space="0"/>
              <w:left w:val="single" w:color="auto" w:sz="4" w:space="0"/>
              <w:right w:val="single" w:color="auto" w:sz="4" w:space="0"/>
            </w:tcBorders>
            <w:noWrap w:val="0"/>
            <w:vAlign w:val="center"/>
          </w:tcPr>
          <w:p w14:paraId="7060E20B">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接口转换板</w:t>
            </w:r>
          </w:p>
        </w:tc>
        <w:tc>
          <w:tcPr>
            <w:tcW w:w="997" w:type="dxa"/>
            <w:gridSpan w:val="2"/>
            <w:tcBorders>
              <w:top w:val="single" w:color="auto" w:sz="4" w:space="0"/>
              <w:left w:val="single" w:color="auto" w:sz="4" w:space="0"/>
              <w:right w:val="single" w:color="auto" w:sz="4" w:space="0"/>
            </w:tcBorders>
            <w:noWrap w:val="0"/>
            <w:vAlign w:val="top"/>
          </w:tcPr>
          <w:p w14:paraId="59565AB6">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1块</w:t>
            </w:r>
          </w:p>
        </w:tc>
        <w:tc>
          <w:tcPr>
            <w:tcW w:w="6533" w:type="dxa"/>
            <w:tcBorders>
              <w:top w:val="single" w:color="auto" w:sz="4" w:space="0"/>
              <w:left w:val="single" w:color="auto" w:sz="4" w:space="0"/>
              <w:right w:val="single" w:color="auto" w:sz="4" w:space="0"/>
            </w:tcBorders>
            <w:noWrap w:val="0"/>
            <w:vAlign w:val="center"/>
          </w:tcPr>
          <w:p w14:paraId="7180364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接口转换板提供一路光电隔离的标准的CAN接口，用于实现控制器之间的联网。</w:t>
            </w:r>
            <w:r>
              <w:rPr>
                <w:rFonts w:hint="eastAsia" w:ascii="宋体" w:hAnsi="宋体" w:cs="宋体"/>
                <w:color w:val="auto"/>
                <w:sz w:val="21"/>
                <w:szCs w:val="21"/>
                <w:highlight w:val="none"/>
                <w:lang w:val="en-US" w:eastAsia="zh-CN"/>
              </w:rPr>
              <w:t>质保服务期限为合同签订日起1年内。</w:t>
            </w:r>
          </w:p>
        </w:tc>
      </w:tr>
      <w:tr w14:paraId="4F31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2AD5138">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28</w:t>
            </w:r>
          </w:p>
        </w:tc>
        <w:tc>
          <w:tcPr>
            <w:tcW w:w="903" w:type="dxa"/>
            <w:tcBorders>
              <w:top w:val="single" w:color="auto" w:sz="4" w:space="0"/>
              <w:left w:val="single" w:color="auto" w:sz="4" w:space="0"/>
              <w:right w:val="single" w:color="auto" w:sz="4" w:space="0"/>
            </w:tcBorders>
            <w:noWrap w:val="0"/>
            <w:vAlign w:val="center"/>
          </w:tcPr>
          <w:p w14:paraId="42004A34">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接口及设备调试服务</w:t>
            </w:r>
          </w:p>
        </w:tc>
        <w:tc>
          <w:tcPr>
            <w:tcW w:w="997" w:type="dxa"/>
            <w:gridSpan w:val="2"/>
            <w:tcBorders>
              <w:top w:val="single" w:color="auto" w:sz="4" w:space="0"/>
              <w:left w:val="single" w:color="auto" w:sz="4" w:space="0"/>
              <w:right w:val="single" w:color="auto" w:sz="4" w:space="0"/>
            </w:tcBorders>
            <w:noWrap w:val="0"/>
            <w:vAlign w:val="top"/>
          </w:tcPr>
          <w:p w14:paraId="1BB654C2">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1项</w:t>
            </w:r>
          </w:p>
        </w:tc>
        <w:tc>
          <w:tcPr>
            <w:tcW w:w="6533" w:type="dxa"/>
            <w:tcBorders>
              <w:top w:val="single" w:color="auto" w:sz="4" w:space="0"/>
              <w:left w:val="single" w:color="auto" w:sz="4" w:space="0"/>
              <w:right w:val="single" w:color="auto" w:sz="4" w:space="0"/>
            </w:tcBorders>
            <w:noWrap w:val="0"/>
            <w:vAlign w:val="center"/>
          </w:tcPr>
          <w:p w14:paraId="2951722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负责火灾自动报警系统主机的接口程序设计、通信协议解析及现场部署调试</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服务期限为合同签订日起1年内。</w:t>
            </w:r>
          </w:p>
        </w:tc>
      </w:tr>
      <w:tr w14:paraId="2E8C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FC46210">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29</w:t>
            </w:r>
          </w:p>
        </w:tc>
        <w:tc>
          <w:tcPr>
            <w:tcW w:w="903" w:type="dxa"/>
            <w:tcBorders>
              <w:top w:val="single" w:color="auto" w:sz="4" w:space="0"/>
              <w:left w:val="single" w:color="auto" w:sz="4" w:space="0"/>
              <w:right w:val="single" w:color="auto" w:sz="4" w:space="0"/>
            </w:tcBorders>
            <w:noWrap w:val="0"/>
            <w:vAlign w:val="center"/>
          </w:tcPr>
          <w:p w14:paraId="65FA62D3">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智慧消防软件 （SAAS服务）</w:t>
            </w:r>
          </w:p>
        </w:tc>
        <w:tc>
          <w:tcPr>
            <w:tcW w:w="997" w:type="dxa"/>
            <w:gridSpan w:val="2"/>
            <w:tcBorders>
              <w:top w:val="single" w:color="auto" w:sz="4" w:space="0"/>
              <w:left w:val="single" w:color="auto" w:sz="4" w:space="0"/>
              <w:right w:val="single" w:color="auto" w:sz="4" w:space="0"/>
            </w:tcBorders>
            <w:noWrap w:val="0"/>
            <w:vAlign w:val="top"/>
          </w:tcPr>
          <w:p w14:paraId="36C39AD2">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1年</w:t>
            </w:r>
          </w:p>
        </w:tc>
        <w:tc>
          <w:tcPr>
            <w:tcW w:w="6533" w:type="dxa"/>
            <w:tcBorders>
              <w:top w:val="single" w:color="auto" w:sz="4" w:space="0"/>
              <w:left w:val="single" w:color="auto" w:sz="4" w:space="0"/>
              <w:right w:val="single" w:color="auto" w:sz="4" w:space="0"/>
            </w:tcBorders>
            <w:noWrap w:val="0"/>
            <w:vAlign w:val="center"/>
          </w:tcPr>
          <w:p w14:paraId="291691F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智慧消防软件包括首页展示、消防实时监测与预警、消防安全监管、消防巡检、远程控制、安消联动、机器视觉AI分析、工单处理等子模块</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服务期限为合同签订日起1年内。</w:t>
            </w:r>
          </w:p>
        </w:tc>
      </w:tr>
      <w:tr w14:paraId="412AB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05BD18E">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30</w:t>
            </w:r>
          </w:p>
        </w:tc>
        <w:tc>
          <w:tcPr>
            <w:tcW w:w="903" w:type="dxa"/>
            <w:tcBorders>
              <w:top w:val="single" w:color="auto" w:sz="4" w:space="0"/>
              <w:left w:val="single" w:color="auto" w:sz="4" w:space="0"/>
              <w:right w:val="single" w:color="auto" w:sz="4" w:space="0"/>
            </w:tcBorders>
            <w:noWrap w:val="0"/>
            <w:vAlign w:val="center"/>
          </w:tcPr>
          <w:p w14:paraId="2BF4E38E">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无线路由器</w:t>
            </w:r>
          </w:p>
        </w:tc>
        <w:tc>
          <w:tcPr>
            <w:tcW w:w="997" w:type="dxa"/>
            <w:gridSpan w:val="2"/>
            <w:tcBorders>
              <w:top w:val="single" w:color="auto" w:sz="4" w:space="0"/>
              <w:left w:val="single" w:color="auto" w:sz="4" w:space="0"/>
              <w:right w:val="single" w:color="auto" w:sz="4" w:space="0"/>
            </w:tcBorders>
            <w:noWrap w:val="0"/>
            <w:vAlign w:val="top"/>
          </w:tcPr>
          <w:p w14:paraId="1046C3F7">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c>
          <w:tcPr>
            <w:tcW w:w="6533" w:type="dxa"/>
            <w:tcBorders>
              <w:top w:val="single" w:color="auto" w:sz="4" w:space="0"/>
              <w:left w:val="single" w:color="auto" w:sz="4" w:space="0"/>
              <w:right w:val="single" w:color="auto" w:sz="4" w:space="0"/>
            </w:tcBorders>
            <w:noWrap w:val="0"/>
            <w:vAlign w:val="center"/>
          </w:tcPr>
          <w:p w14:paraId="2E02856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Wi-Fi6 5G双频+ 4个全千兆网口</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质保服务期限为合同签订日起1年内。</w:t>
            </w:r>
          </w:p>
        </w:tc>
      </w:tr>
      <w:tr w14:paraId="6FCC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12EE119">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31</w:t>
            </w:r>
          </w:p>
        </w:tc>
        <w:tc>
          <w:tcPr>
            <w:tcW w:w="903" w:type="dxa"/>
            <w:tcBorders>
              <w:top w:val="single" w:color="auto" w:sz="4" w:space="0"/>
              <w:left w:val="single" w:color="auto" w:sz="4" w:space="0"/>
              <w:right w:val="single" w:color="auto" w:sz="4" w:space="0"/>
            </w:tcBorders>
            <w:noWrap w:val="0"/>
            <w:vAlign w:val="center"/>
          </w:tcPr>
          <w:p w14:paraId="7D2A8DAA">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音视频边缘网关</w:t>
            </w:r>
          </w:p>
        </w:tc>
        <w:tc>
          <w:tcPr>
            <w:tcW w:w="997" w:type="dxa"/>
            <w:gridSpan w:val="2"/>
            <w:tcBorders>
              <w:top w:val="single" w:color="auto" w:sz="4" w:space="0"/>
              <w:left w:val="single" w:color="auto" w:sz="4" w:space="0"/>
              <w:right w:val="single" w:color="auto" w:sz="4" w:space="0"/>
            </w:tcBorders>
            <w:noWrap w:val="0"/>
            <w:vAlign w:val="top"/>
          </w:tcPr>
          <w:p w14:paraId="45CCFFAA">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c>
          <w:tcPr>
            <w:tcW w:w="6533" w:type="dxa"/>
            <w:tcBorders>
              <w:top w:val="single" w:color="auto" w:sz="4" w:space="0"/>
              <w:left w:val="single" w:color="auto" w:sz="4" w:space="0"/>
              <w:right w:val="single" w:color="auto" w:sz="4" w:space="0"/>
            </w:tcBorders>
            <w:noWrap w:val="0"/>
            <w:vAlign w:val="center"/>
          </w:tcPr>
          <w:p w14:paraId="65FF25D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电源输入：DC 输入电压220V；运算资源： i5 8GB内存 ；协议标准： IEEE 802.3；内置视频流处理服务</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质保服务期限为合同签订日起1年内。</w:t>
            </w:r>
          </w:p>
        </w:tc>
      </w:tr>
      <w:tr w14:paraId="2778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D129606">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32</w:t>
            </w:r>
          </w:p>
        </w:tc>
        <w:tc>
          <w:tcPr>
            <w:tcW w:w="903" w:type="dxa"/>
            <w:tcBorders>
              <w:top w:val="single" w:color="auto" w:sz="4" w:space="0"/>
              <w:left w:val="single" w:color="auto" w:sz="4" w:space="0"/>
              <w:right w:val="single" w:color="auto" w:sz="4" w:space="0"/>
            </w:tcBorders>
            <w:noWrap w:val="0"/>
            <w:vAlign w:val="center"/>
          </w:tcPr>
          <w:p w14:paraId="15712AA9">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交换机</w:t>
            </w:r>
          </w:p>
        </w:tc>
        <w:tc>
          <w:tcPr>
            <w:tcW w:w="997" w:type="dxa"/>
            <w:gridSpan w:val="2"/>
            <w:tcBorders>
              <w:top w:val="single" w:color="auto" w:sz="4" w:space="0"/>
              <w:left w:val="single" w:color="auto" w:sz="4" w:space="0"/>
              <w:right w:val="single" w:color="auto" w:sz="4" w:space="0"/>
            </w:tcBorders>
            <w:noWrap w:val="0"/>
            <w:vAlign w:val="top"/>
          </w:tcPr>
          <w:p w14:paraId="455E2526">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1台</w:t>
            </w:r>
          </w:p>
        </w:tc>
        <w:tc>
          <w:tcPr>
            <w:tcW w:w="6533" w:type="dxa"/>
            <w:tcBorders>
              <w:top w:val="single" w:color="auto" w:sz="4" w:space="0"/>
              <w:left w:val="single" w:color="auto" w:sz="4" w:space="0"/>
              <w:right w:val="single" w:color="auto" w:sz="4" w:space="0"/>
            </w:tcBorders>
            <w:noWrap w:val="0"/>
            <w:vAlign w:val="center"/>
          </w:tcPr>
          <w:p w14:paraId="607CD0A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8口交换机</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质保服务期限为合同签订日起1年内。</w:t>
            </w:r>
          </w:p>
        </w:tc>
      </w:tr>
      <w:tr w14:paraId="7A1B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5A07911">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33</w:t>
            </w:r>
          </w:p>
        </w:tc>
        <w:tc>
          <w:tcPr>
            <w:tcW w:w="903" w:type="dxa"/>
            <w:tcBorders>
              <w:top w:val="single" w:color="auto" w:sz="4" w:space="0"/>
              <w:left w:val="single" w:color="auto" w:sz="4" w:space="0"/>
              <w:right w:val="single" w:color="auto" w:sz="4" w:space="0"/>
            </w:tcBorders>
            <w:noWrap w:val="0"/>
            <w:vAlign w:val="center"/>
          </w:tcPr>
          <w:p w14:paraId="338858E8">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防爆感烟探测器</w:t>
            </w:r>
          </w:p>
        </w:tc>
        <w:tc>
          <w:tcPr>
            <w:tcW w:w="997" w:type="dxa"/>
            <w:gridSpan w:val="2"/>
            <w:tcBorders>
              <w:top w:val="single" w:color="auto" w:sz="4" w:space="0"/>
              <w:left w:val="single" w:color="auto" w:sz="4" w:space="0"/>
              <w:right w:val="single" w:color="auto" w:sz="4" w:space="0"/>
            </w:tcBorders>
            <w:noWrap w:val="0"/>
            <w:vAlign w:val="top"/>
          </w:tcPr>
          <w:p w14:paraId="45EF481C">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7E54BB0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工作电压：信号总线 24V（16V～28V）</w:t>
            </w:r>
          </w:p>
          <w:p w14:paraId="643197D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工作电流：监视 ≤0.3mA，报警 ≤1.0mA</w:t>
            </w:r>
          </w:p>
          <w:p w14:paraId="09A590B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防爆标志：Ex ib IIC T6 Gb</w:t>
            </w:r>
          </w:p>
          <w:p w14:paraId="05C782E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线制：无极性二总线</w:t>
            </w:r>
          </w:p>
          <w:p w14:paraId="093E1C6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编码方式：电子编码（BMQ-2 编码器）</w:t>
            </w:r>
          </w:p>
          <w:p w14:paraId="5115CDB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保护面积：6m 以下 60㎡，6–12m 80㎡</w:t>
            </w:r>
          </w:p>
          <w:p w14:paraId="411D780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使用环境：-40℃～+55℃，≤95% RH（不凝露）</w:t>
            </w:r>
          </w:p>
          <w:p w14:paraId="6E6D80C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防护等级：IP65（底座）/IP54（探头）</w:t>
            </w:r>
          </w:p>
          <w:p w14:paraId="7596C834">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9.质保服务期限为合同签订日起1年内。</w:t>
            </w:r>
          </w:p>
        </w:tc>
      </w:tr>
      <w:tr w14:paraId="1759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68060F48">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34</w:t>
            </w:r>
          </w:p>
        </w:tc>
        <w:tc>
          <w:tcPr>
            <w:tcW w:w="903" w:type="dxa"/>
            <w:tcBorders>
              <w:top w:val="single" w:color="auto" w:sz="4" w:space="0"/>
              <w:left w:val="single" w:color="auto" w:sz="4" w:space="0"/>
              <w:right w:val="single" w:color="auto" w:sz="4" w:space="0"/>
            </w:tcBorders>
            <w:noWrap w:val="0"/>
            <w:vAlign w:val="center"/>
          </w:tcPr>
          <w:p w14:paraId="2386E48F">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防爆感温探测器</w:t>
            </w:r>
          </w:p>
        </w:tc>
        <w:tc>
          <w:tcPr>
            <w:tcW w:w="997" w:type="dxa"/>
            <w:gridSpan w:val="2"/>
            <w:tcBorders>
              <w:top w:val="single" w:color="auto" w:sz="4" w:space="0"/>
              <w:left w:val="single" w:color="auto" w:sz="4" w:space="0"/>
              <w:right w:val="single" w:color="auto" w:sz="4" w:space="0"/>
            </w:tcBorders>
            <w:noWrap w:val="0"/>
            <w:vAlign w:val="top"/>
          </w:tcPr>
          <w:p w14:paraId="19D21EB5">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0904EAC">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3E2C54F">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F5EF7FA">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6CF6BC74">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2E731D7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探测器类别：A2R 型</w:t>
            </w:r>
          </w:p>
          <w:p w14:paraId="722BEA3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工作电压：信号总线 24V（16V～28V）</w:t>
            </w:r>
          </w:p>
          <w:p w14:paraId="711819F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工作电流：监视 ≤0.3mA，报警 ≤1.0mA</w:t>
            </w:r>
          </w:p>
          <w:p w14:paraId="5FBBBCE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防爆标志：Ex ib IIC T6 Gb</w:t>
            </w:r>
          </w:p>
          <w:p w14:paraId="3C7ADE4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线制：无极性二总线</w:t>
            </w:r>
          </w:p>
          <w:p w14:paraId="096593F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编码方式：电子编码</w:t>
            </w:r>
          </w:p>
          <w:p w14:paraId="442CD1F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使用环境：-40℃～+50℃，≤95% RH（不凝露）</w:t>
            </w:r>
          </w:p>
          <w:p w14:paraId="338C3CE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防护等级：IP65（底座）/IP54（探头）</w:t>
            </w:r>
          </w:p>
          <w:p w14:paraId="035B4EFD">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9.质保服务期限为合同签订日起1年内。</w:t>
            </w:r>
          </w:p>
        </w:tc>
      </w:tr>
      <w:tr w14:paraId="7F5C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81DE8B0">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35</w:t>
            </w:r>
          </w:p>
        </w:tc>
        <w:tc>
          <w:tcPr>
            <w:tcW w:w="903" w:type="dxa"/>
            <w:tcBorders>
              <w:top w:val="single" w:color="auto" w:sz="4" w:space="0"/>
              <w:left w:val="single" w:color="auto" w:sz="4" w:space="0"/>
              <w:right w:val="single" w:color="auto" w:sz="4" w:space="0"/>
            </w:tcBorders>
            <w:noWrap w:val="0"/>
            <w:vAlign w:val="center"/>
          </w:tcPr>
          <w:p w14:paraId="3861DDE4">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防爆编码型声光</w:t>
            </w:r>
          </w:p>
        </w:tc>
        <w:tc>
          <w:tcPr>
            <w:tcW w:w="997" w:type="dxa"/>
            <w:gridSpan w:val="2"/>
            <w:tcBorders>
              <w:top w:val="single" w:color="auto" w:sz="4" w:space="0"/>
              <w:left w:val="single" w:color="auto" w:sz="4" w:space="0"/>
              <w:right w:val="single" w:color="auto" w:sz="4" w:space="0"/>
            </w:tcBorders>
            <w:noWrap w:val="0"/>
            <w:vAlign w:val="top"/>
          </w:tcPr>
          <w:p w14:paraId="7E81D9D0">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A16A7E7">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7FDF5A3A">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2FCE752F">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4421021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工作电压：总线 24V（16V～28V）；电源 DC24V（20V～28V）</w:t>
            </w:r>
          </w:p>
          <w:p w14:paraId="3FE52BA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工作电流：总线监视 ≤0.3mA，动作 ≤1.5mA；电源监视 ≤1mA，动作 ≤15mA</w:t>
            </w:r>
          </w:p>
          <w:p w14:paraId="262AB92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声压级：75dB～115dB（3m 处，A 计权）</w:t>
            </w:r>
          </w:p>
          <w:p w14:paraId="5072D2E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闪光频率：1.12Hz～1.68Hz</w:t>
            </w:r>
          </w:p>
          <w:p w14:paraId="0AAD68E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防爆标志：Ex ib IIC T6 Gb</w:t>
            </w:r>
          </w:p>
          <w:p w14:paraId="3C26C32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线制：四线制（信号二总线 + 电源二总线）</w:t>
            </w:r>
          </w:p>
          <w:p w14:paraId="76EDB3D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编码方式：电子编码</w:t>
            </w:r>
          </w:p>
          <w:p w14:paraId="12F84D42">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8.质保服务期限为合同签订日起1年内。</w:t>
            </w:r>
          </w:p>
        </w:tc>
      </w:tr>
      <w:tr w14:paraId="6EAC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D1305DA">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36</w:t>
            </w:r>
          </w:p>
        </w:tc>
        <w:tc>
          <w:tcPr>
            <w:tcW w:w="903" w:type="dxa"/>
            <w:tcBorders>
              <w:top w:val="single" w:color="auto" w:sz="4" w:space="0"/>
              <w:left w:val="single" w:color="auto" w:sz="4" w:space="0"/>
              <w:right w:val="single" w:color="auto" w:sz="4" w:space="0"/>
            </w:tcBorders>
            <w:noWrap w:val="0"/>
            <w:vAlign w:val="center"/>
          </w:tcPr>
          <w:p w14:paraId="52E5CB7D">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输入输出模块</w:t>
            </w:r>
          </w:p>
        </w:tc>
        <w:tc>
          <w:tcPr>
            <w:tcW w:w="997" w:type="dxa"/>
            <w:gridSpan w:val="2"/>
            <w:tcBorders>
              <w:top w:val="single" w:color="auto" w:sz="4" w:space="0"/>
              <w:left w:val="single" w:color="auto" w:sz="4" w:space="0"/>
              <w:right w:val="single" w:color="auto" w:sz="4" w:space="0"/>
            </w:tcBorders>
            <w:noWrap w:val="0"/>
            <w:vAlign w:val="top"/>
          </w:tcPr>
          <w:p w14:paraId="0D655BF5">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312F0DC6">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36354E42">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BA93CFB">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7DB2E377">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43C9AE7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工作电压：总线 24V（16V～28V）；电源 DC24V（20V～28V）</w:t>
            </w:r>
          </w:p>
          <w:p w14:paraId="229605A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工作电流：总线监视 ≤1mA，动作 ≤3mA；电源监视 ≤5mA，动作 ≤20mA</w:t>
            </w:r>
          </w:p>
          <w:p w14:paraId="0E31323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输出触点：无源 DC24V/2A；有源 DC24V/1A</w:t>
            </w:r>
          </w:p>
          <w:p w14:paraId="6B286D6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控制方式：电平 / 脉冲（脉冲 10s）</w:t>
            </w:r>
          </w:p>
          <w:p w14:paraId="3F77BD8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线制：无极性信号二总线 + 无极性电源二总线</w:t>
            </w:r>
          </w:p>
          <w:p w14:paraId="35D6CA9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使用环境：-10℃～+55℃，≤95% RH（不凝露）</w:t>
            </w:r>
          </w:p>
          <w:p w14:paraId="13E260C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防护等级：IP30</w:t>
            </w:r>
          </w:p>
          <w:p w14:paraId="35C15E44">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8.质保服务期限为合同签订日起1年内。</w:t>
            </w:r>
          </w:p>
        </w:tc>
      </w:tr>
      <w:tr w14:paraId="5707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402A97A">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37</w:t>
            </w:r>
          </w:p>
        </w:tc>
        <w:tc>
          <w:tcPr>
            <w:tcW w:w="903" w:type="dxa"/>
            <w:tcBorders>
              <w:top w:val="single" w:color="auto" w:sz="4" w:space="0"/>
              <w:left w:val="single" w:color="auto" w:sz="4" w:space="0"/>
              <w:right w:val="single" w:color="auto" w:sz="4" w:space="0"/>
            </w:tcBorders>
            <w:noWrap w:val="0"/>
            <w:vAlign w:val="center"/>
          </w:tcPr>
          <w:p w14:paraId="32C3DD21">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放气灯</w:t>
            </w:r>
          </w:p>
        </w:tc>
        <w:tc>
          <w:tcPr>
            <w:tcW w:w="997" w:type="dxa"/>
            <w:gridSpan w:val="2"/>
            <w:tcBorders>
              <w:top w:val="single" w:color="auto" w:sz="4" w:space="0"/>
              <w:left w:val="single" w:color="auto" w:sz="4" w:space="0"/>
              <w:right w:val="single" w:color="auto" w:sz="4" w:space="0"/>
            </w:tcBorders>
            <w:noWrap w:val="0"/>
            <w:vAlign w:val="top"/>
          </w:tcPr>
          <w:p w14:paraId="2B959B88">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358E1FF8">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0E73239E">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11D58A3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工作电压：总线 24V（16V～28V）；电源 DC24V（20V～28V）</w:t>
            </w:r>
          </w:p>
          <w:p w14:paraId="56051A9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工作电流：总线监视 ≤1mA，动作 ≤2mA；电源监视 ≤2mA，动作 ≤30mA</w:t>
            </w:r>
          </w:p>
          <w:p w14:paraId="258EBD9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闪光频率：1.3Hz±20%（约 45 次 / 分钟）</w:t>
            </w:r>
          </w:p>
          <w:p w14:paraId="7585487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编码范围：11～20</w:t>
            </w:r>
          </w:p>
          <w:p w14:paraId="1E27B5F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线制：四线制（信号二总线 + 电源二总线）</w:t>
            </w:r>
          </w:p>
          <w:p w14:paraId="76F43F0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使用环境：-10℃～+50℃，≤95% RH（不凝露）</w:t>
            </w:r>
          </w:p>
          <w:p w14:paraId="1305A6C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外形尺寸：315.5×113.5×39.4mm（带底壳）</w:t>
            </w:r>
          </w:p>
          <w:p w14:paraId="58BF0B0A">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8.质保服务期限为合同签订日起1年内。</w:t>
            </w:r>
          </w:p>
        </w:tc>
      </w:tr>
      <w:tr w14:paraId="1771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314FAC14">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38</w:t>
            </w:r>
          </w:p>
        </w:tc>
        <w:tc>
          <w:tcPr>
            <w:tcW w:w="903" w:type="dxa"/>
            <w:tcBorders>
              <w:top w:val="single" w:color="auto" w:sz="4" w:space="0"/>
              <w:left w:val="single" w:color="auto" w:sz="4" w:space="0"/>
              <w:right w:val="single" w:color="auto" w:sz="4" w:space="0"/>
            </w:tcBorders>
            <w:noWrap w:val="0"/>
            <w:vAlign w:val="center"/>
          </w:tcPr>
          <w:p w14:paraId="4CA116EF">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现场启停按钮</w:t>
            </w:r>
          </w:p>
        </w:tc>
        <w:tc>
          <w:tcPr>
            <w:tcW w:w="997" w:type="dxa"/>
            <w:gridSpan w:val="2"/>
            <w:tcBorders>
              <w:top w:val="single" w:color="auto" w:sz="4" w:space="0"/>
              <w:left w:val="single" w:color="auto" w:sz="4" w:space="0"/>
              <w:right w:val="single" w:color="auto" w:sz="4" w:space="0"/>
            </w:tcBorders>
            <w:noWrap w:val="0"/>
            <w:vAlign w:val="top"/>
          </w:tcPr>
          <w:p w14:paraId="6CC6C3B7">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5615B2F3">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3D6D02C6">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2D2137F5">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63F52160">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6D29007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工作电压：总线 24V（16V～28V）</w:t>
            </w:r>
          </w:p>
          <w:p w14:paraId="686762B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工作电流：监视 ≤0.8mA，报警 ≤10mA</w:t>
            </w:r>
          </w:p>
          <w:p w14:paraId="41741AB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输出触点：DC60V/0.1A（常开）</w:t>
            </w:r>
          </w:p>
          <w:p w14:paraId="49CD2A8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编码范围：21～30</w:t>
            </w:r>
          </w:p>
          <w:p w14:paraId="391F5CD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线制：无极性二总线</w:t>
            </w:r>
          </w:p>
          <w:p w14:paraId="603EE6A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使用环境：-10℃～+55℃，≤95% RH（不凝露）</w:t>
            </w:r>
          </w:p>
          <w:p w14:paraId="12DE767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防护等级：IP33</w:t>
            </w:r>
          </w:p>
          <w:p w14:paraId="549DB16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外形尺寸：112×133×65mm</w:t>
            </w:r>
          </w:p>
          <w:p w14:paraId="22170BAD">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9.质保服务期限为合同签订日起1年内。</w:t>
            </w:r>
          </w:p>
        </w:tc>
      </w:tr>
      <w:tr w14:paraId="7B07C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AFD1051">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39</w:t>
            </w:r>
          </w:p>
        </w:tc>
        <w:tc>
          <w:tcPr>
            <w:tcW w:w="903" w:type="dxa"/>
            <w:tcBorders>
              <w:top w:val="single" w:color="auto" w:sz="4" w:space="0"/>
              <w:left w:val="single" w:color="auto" w:sz="4" w:space="0"/>
              <w:right w:val="single" w:color="auto" w:sz="4" w:space="0"/>
            </w:tcBorders>
            <w:noWrap w:val="0"/>
            <w:vAlign w:val="center"/>
          </w:tcPr>
          <w:p w14:paraId="2157B26A">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总线隔离式安全栅</w:t>
            </w:r>
          </w:p>
        </w:tc>
        <w:tc>
          <w:tcPr>
            <w:tcW w:w="997" w:type="dxa"/>
            <w:gridSpan w:val="2"/>
            <w:tcBorders>
              <w:top w:val="single" w:color="auto" w:sz="4" w:space="0"/>
              <w:left w:val="single" w:color="auto" w:sz="4" w:space="0"/>
              <w:right w:val="single" w:color="auto" w:sz="4" w:space="0"/>
            </w:tcBorders>
            <w:noWrap w:val="0"/>
            <w:vAlign w:val="top"/>
          </w:tcPr>
          <w:p w14:paraId="0397DA08">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320953A1">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3只</w:t>
            </w:r>
          </w:p>
        </w:tc>
        <w:tc>
          <w:tcPr>
            <w:tcW w:w="6533" w:type="dxa"/>
            <w:tcBorders>
              <w:top w:val="single" w:color="auto" w:sz="4" w:space="0"/>
              <w:left w:val="single" w:color="auto" w:sz="4" w:space="0"/>
              <w:right w:val="single" w:color="auto" w:sz="4" w:space="0"/>
            </w:tcBorders>
            <w:noWrap w:val="0"/>
            <w:vAlign w:val="center"/>
          </w:tcPr>
          <w:p w14:paraId="55A89AD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工作电压：总线 24V（16V～28V）；电源 DC24V（20V～28V）</w:t>
            </w:r>
          </w:p>
          <w:p w14:paraId="468FBBA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工作电流：总线 &lt;2.5mA；电源 &lt;150mA</w:t>
            </w:r>
          </w:p>
          <w:p w14:paraId="18C8F65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设备容量：最多 32 只本安编码设备</w:t>
            </w:r>
          </w:p>
          <w:p w14:paraId="3856BF3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本安参数：Um=250V，Uo=28V，Io=115mA，Po=0.8W，Co=0.083μF，Lo=4mH</w:t>
            </w:r>
          </w:p>
          <w:p w14:paraId="0EF3C7D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使用环境：-10℃～+55℃，≤95% RH（不凝露）</w:t>
            </w:r>
          </w:p>
          <w:p w14:paraId="1B84C48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防护等级：IP30</w:t>
            </w:r>
          </w:p>
          <w:p w14:paraId="5CB33E0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外形尺寸：150×97×36mm与防爆设备配接</w:t>
            </w:r>
          </w:p>
          <w:p w14:paraId="4E886FC5">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8.质保服务期限为合同签订日起1年内。</w:t>
            </w:r>
          </w:p>
        </w:tc>
      </w:tr>
      <w:tr w14:paraId="5F7A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BC4D2F3">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40</w:t>
            </w:r>
          </w:p>
        </w:tc>
        <w:tc>
          <w:tcPr>
            <w:tcW w:w="903" w:type="dxa"/>
            <w:tcBorders>
              <w:top w:val="single" w:color="auto" w:sz="4" w:space="0"/>
              <w:left w:val="single" w:color="auto" w:sz="4" w:space="0"/>
              <w:right w:val="single" w:color="auto" w:sz="4" w:space="0"/>
            </w:tcBorders>
            <w:noWrap w:val="0"/>
            <w:vAlign w:val="center"/>
          </w:tcPr>
          <w:p w14:paraId="69F7DB3C">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电源安全栅</w:t>
            </w:r>
          </w:p>
        </w:tc>
        <w:tc>
          <w:tcPr>
            <w:tcW w:w="997" w:type="dxa"/>
            <w:gridSpan w:val="2"/>
            <w:tcBorders>
              <w:top w:val="single" w:color="auto" w:sz="4" w:space="0"/>
              <w:left w:val="single" w:color="auto" w:sz="4" w:space="0"/>
              <w:right w:val="single" w:color="auto" w:sz="4" w:space="0"/>
            </w:tcBorders>
            <w:noWrap w:val="0"/>
            <w:vAlign w:val="top"/>
          </w:tcPr>
          <w:p w14:paraId="78031736">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66AFEFC">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5D16E25F">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33EBED1">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7CD31044">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4只</w:t>
            </w:r>
          </w:p>
        </w:tc>
        <w:tc>
          <w:tcPr>
            <w:tcW w:w="6533" w:type="dxa"/>
            <w:tcBorders>
              <w:top w:val="single" w:color="auto" w:sz="4" w:space="0"/>
              <w:left w:val="single" w:color="auto" w:sz="4" w:space="0"/>
              <w:right w:val="single" w:color="auto" w:sz="4" w:space="0"/>
            </w:tcBorders>
            <w:noWrap w:val="0"/>
            <w:vAlign w:val="center"/>
          </w:tcPr>
          <w:p w14:paraId="58298BD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工作电压：DC24V（20V～28V）</w:t>
            </w:r>
          </w:p>
          <w:p w14:paraId="0CA1977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工作电流：&lt;150mA</w:t>
            </w:r>
          </w:p>
          <w:p w14:paraId="151FBC0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设备容量：最多 2 只</w:t>
            </w:r>
          </w:p>
          <w:p w14:paraId="6871FC4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本安参数：Um=250V，Uo=28V，Io=115mA，Po=0.8W，Co=0.083μF，Lo=4mH</w:t>
            </w:r>
          </w:p>
          <w:p w14:paraId="29D005D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使用环境：-10℃～+55℃，≤95% RH（不凝露）</w:t>
            </w:r>
          </w:p>
          <w:p w14:paraId="5149CC8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防护等级：IP30</w:t>
            </w:r>
          </w:p>
          <w:p w14:paraId="3DC199C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外形尺寸：150×97×36mm与防爆设备配接</w:t>
            </w:r>
          </w:p>
          <w:p w14:paraId="079C6E5E">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8.质保服务期限为合同签订日起1年内。</w:t>
            </w:r>
          </w:p>
        </w:tc>
      </w:tr>
      <w:tr w14:paraId="4E8DC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FCF707A">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41</w:t>
            </w:r>
          </w:p>
        </w:tc>
        <w:tc>
          <w:tcPr>
            <w:tcW w:w="903" w:type="dxa"/>
            <w:tcBorders>
              <w:top w:val="single" w:color="auto" w:sz="4" w:space="0"/>
              <w:left w:val="single" w:color="auto" w:sz="4" w:space="0"/>
              <w:right w:val="single" w:color="auto" w:sz="4" w:space="0"/>
            </w:tcBorders>
            <w:noWrap w:val="0"/>
            <w:vAlign w:val="center"/>
          </w:tcPr>
          <w:p w14:paraId="785CFC5E">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气体灭火系统模拟</w:t>
            </w:r>
          </w:p>
        </w:tc>
        <w:tc>
          <w:tcPr>
            <w:tcW w:w="997" w:type="dxa"/>
            <w:gridSpan w:val="2"/>
            <w:tcBorders>
              <w:top w:val="single" w:color="auto" w:sz="4" w:space="0"/>
              <w:left w:val="single" w:color="auto" w:sz="4" w:space="0"/>
              <w:right w:val="single" w:color="auto" w:sz="4" w:space="0"/>
            </w:tcBorders>
            <w:noWrap w:val="0"/>
            <w:vAlign w:val="top"/>
          </w:tcPr>
          <w:p w14:paraId="4726D592">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2FAA910">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744F9FD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拟功能：模拟气体灭火系统启动流程，验证控制逻辑</w:t>
            </w:r>
          </w:p>
          <w:p w14:paraId="71D7E10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启动方式：电气手动 / 自动 / 机械应急</w:t>
            </w:r>
          </w:p>
          <w:p w14:paraId="7213829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工作电源：DC24V</w:t>
            </w:r>
          </w:p>
          <w:p w14:paraId="4672AC6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环境温度：-10℃～+55℃</w:t>
            </w:r>
          </w:p>
          <w:p w14:paraId="51552F2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充装压力：启动瓶氮气 6.0±1.0MPa（20℃）</w:t>
            </w:r>
          </w:p>
          <w:p w14:paraId="46DC0BDA">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6.质保服务期限为合同签订日起1年内。</w:t>
            </w:r>
          </w:p>
        </w:tc>
      </w:tr>
      <w:tr w14:paraId="70EE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7CFBD57">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42</w:t>
            </w:r>
          </w:p>
        </w:tc>
        <w:tc>
          <w:tcPr>
            <w:tcW w:w="903" w:type="dxa"/>
            <w:tcBorders>
              <w:top w:val="single" w:color="auto" w:sz="4" w:space="0"/>
              <w:left w:val="single" w:color="auto" w:sz="4" w:space="0"/>
              <w:right w:val="single" w:color="auto" w:sz="4" w:space="0"/>
            </w:tcBorders>
            <w:noWrap w:val="0"/>
            <w:vAlign w:val="center"/>
          </w:tcPr>
          <w:p w14:paraId="6D15471C">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气体灭火控制盘</w:t>
            </w:r>
          </w:p>
        </w:tc>
        <w:tc>
          <w:tcPr>
            <w:tcW w:w="997" w:type="dxa"/>
            <w:gridSpan w:val="2"/>
            <w:tcBorders>
              <w:top w:val="single" w:color="auto" w:sz="4" w:space="0"/>
              <w:left w:val="single" w:color="auto" w:sz="4" w:space="0"/>
              <w:right w:val="single" w:color="auto" w:sz="4" w:space="0"/>
            </w:tcBorders>
            <w:noWrap w:val="0"/>
            <w:vAlign w:val="top"/>
          </w:tcPr>
          <w:p w14:paraId="0F3DA3BA">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75BE8313">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7C586E3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工作电压：AC220V 50Hz（187V～242V）</w:t>
            </w:r>
          </w:p>
          <w:p w14:paraId="091A4D8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功耗：监视 ≤30W，最大 ≤260W</w:t>
            </w:r>
          </w:p>
          <w:p w14:paraId="4E88D6C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备用电源：2×DC12V/7Ah 铅酸电池</w:t>
            </w:r>
          </w:p>
          <w:p w14:paraId="184F971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控制容量：2 个防护区</w:t>
            </w:r>
          </w:p>
          <w:p w14:paraId="6CB07C2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喷洒输出：DC24V/3A（脉冲 / 持续可调）</w:t>
            </w:r>
          </w:p>
          <w:p w14:paraId="1A2BB50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显示：128×64 液晶屏（32 汉字）</w:t>
            </w:r>
          </w:p>
          <w:p w14:paraId="3538FDC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使用环境：0℃～40℃，≤95% RH（不凝露）</w:t>
            </w:r>
          </w:p>
          <w:p w14:paraId="1895047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外形尺寸：420×200×590mm</w:t>
            </w:r>
          </w:p>
          <w:p w14:paraId="62E8E5CF">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9.质保服务期限为合同签订日起1年内。</w:t>
            </w:r>
          </w:p>
        </w:tc>
      </w:tr>
      <w:tr w14:paraId="3B6A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E9FD45D">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43</w:t>
            </w:r>
          </w:p>
        </w:tc>
        <w:tc>
          <w:tcPr>
            <w:tcW w:w="903" w:type="dxa"/>
            <w:tcBorders>
              <w:top w:val="single" w:color="auto" w:sz="4" w:space="0"/>
              <w:left w:val="single" w:color="auto" w:sz="4" w:space="0"/>
              <w:right w:val="single" w:color="auto" w:sz="4" w:space="0"/>
            </w:tcBorders>
            <w:noWrap w:val="0"/>
            <w:vAlign w:val="center"/>
          </w:tcPr>
          <w:p w14:paraId="72E26D52">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安消智能摄像机（烟火识别）</w:t>
            </w:r>
          </w:p>
        </w:tc>
        <w:tc>
          <w:tcPr>
            <w:tcW w:w="997" w:type="dxa"/>
            <w:gridSpan w:val="2"/>
            <w:tcBorders>
              <w:top w:val="single" w:color="auto" w:sz="4" w:space="0"/>
              <w:left w:val="single" w:color="auto" w:sz="4" w:space="0"/>
              <w:right w:val="single" w:color="auto" w:sz="4" w:space="0"/>
            </w:tcBorders>
            <w:noWrap w:val="0"/>
            <w:vAlign w:val="top"/>
          </w:tcPr>
          <w:p w14:paraId="62AB5B4E">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69861D5F">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414B3061">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625A9C4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传感器：1/2.7" CMOS，最大 2560×1440@25fps</w:t>
            </w:r>
          </w:p>
          <w:p w14:paraId="6875B1F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镜头：2.8mm，水平视场角 97°</w:t>
            </w:r>
          </w:p>
          <w:p w14:paraId="38D0E90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最小照度：彩色 0.015Lux（F1.6，AGC ON）</w:t>
            </w:r>
          </w:p>
          <w:p w14:paraId="7B65B8D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功能：烟火识别、语音对讲、报警输入 / 输出</w:t>
            </w:r>
          </w:p>
          <w:p w14:paraId="678A320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电源：DC12V±25%</w:t>
            </w:r>
          </w:p>
          <w:p w14:paraId="487DEB0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使用环境：-10℃～+40℃，≤95% RH（不凝露）</w:t>
            </w:r>
          </w:p>
          <w:p w14:paraId="64E8595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外形尺寸：Φ130×H105mm，裸机 456g</w:t>
            </w:r>
          </w:p>
          <w:p w14:paraId="74EEFF47">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8.质保服务期限为合同签订日起1年内。</w:t>
            </w:r>
          </w:p>
        </w:tc>
      </w:tr>
      <w:tr w14:paraId="4959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4B28658">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44</w:t>
            </w:r>
          </w:p>
        </w:tc>
        <w:tc>
          <w:tcPr>
            <w:tcW w:w="903" w:type="dxa"/>
            <w:tcBorders>
              <w:top w:val="single" w:color="auto" w:sz="4" w:space="0"/>
              <w:left w:val="single" w:color="auto" w:sz="4" w:space="0"/>
              <w:right w:val="single" w:color="auto" w:sz="4" w:space="0"/>
            </w:tcBorders>
            <w:noWrap w:val="0"/>
            <w:vAlign w:val="center"/>
          </w:tcPr>
          <w:p w14:paraId="326152F9">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智慧用电在线监测装置</w:t>
            </w:r>
          </w:p>
        </w:tc>
        <w:tc>
          <w:tcPr>
            <w:tcW w:w="997" w:type="dxa"/>
            <w:gridSpan w:val="2"/>
            <w:tcBorders>
              <w:top w:val="single" w:color="auto" w:sz="4" w:space="0"/>
              <w:left w:val="single" w:color="auto" w:sz="4" w:space="0"/>
              <w:right w:val="single" w:color="auto" w:sz="4" w:space="0"/>
            </w:tcBorders>
            <w:noWrap w:val="0"/>
            <w:vAlign w:val="top"/>
          </w:tcPr>
          <w:p w14:paraId="4F31CD77">
            <w:pPr>
              <w:pStyle w:val="8"/>
              <w:widowControl/>
              <w:topLinePunct/>
              <w:adjustRightInd w:val="0"/>
              <w:snapToGrid w:val="0"/>
              <w:spacing w:before="60" w:after="60" w:line="312" w:lineRule="auto"/>
              <w:ind w:left="0" w:leftChars="0" w:firstLine="0" w:firstLineChars="0"/>
              <w:jc w:val="both"/>
              <w:rPr>
                <w:rFonts w:hint="eastAsia" w:ascii="宋体" w:hAnsi="宋体" w:cs="宋体"/>
                <w:color w:val="auto"/>
                <w:sz w:val="21"/>
                <w:szCs w:val="21"/>
                <w:highlight w:val="none"/>
                <w:lang w:val="en-US" w:eastAsia="zh-CN"/>
              </w:rPr>
            </w:pPr>
          </w:p>
          <w:p w14:paraId="2A032AEF">
            <w:pPr>
              <w:pStyle w:val="8"/>
              <w:widowControl/>
              <w:topLinePunct/>
              <w:adjustRightInd w:val="0"/>
              <w:snapToGrid w:val="0"/>
              <w:spacing w:before="60" w:after="60" w:line="312" w:lineRule="auto"/>
              <w:ind w:left="0" w:leftChars="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39CF8E7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支持1路剩余电流和4路温度检测；</w:t>
            </w:r>
          </w:p>
          <w:p w14:paraId="25B9F39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三相电压、电流、频率、功率和电能等电参量检测；</w:t>
            </w:r>
          </w:p>
          <w:p w14:paraId="54939DD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具有漏电、超温、过欠压、过流等多种保护功能；</w:t>
            </w:r>
          </w:p>
          <w:p w14:paraId="20017B1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支持本地485通讯，可选配4G/NB无线上传功能；</w:t>
            </w:r>
          </w:p>
          <w:p w14:paraId="09698D4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导轨式安装，LCD液晶显示，声光报警。</w:t>
            </w:r>
          </w:p>
          <w:p w14:paraId="42E4E23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一般设置在低压柜出线回路和楼层配电箱内包含配件：</w:t>
            </w:r>
          </w:p>
          <w:p w14:paraId="3AC2F2C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剩余电流互感器： 1 个</w:t>
            </w:r>
          </w:p>
          <w:p w14:paraId="1F376DF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AKH-0.66 L45K,1000mA/0.5mA</w:t>
            </w:r>
          </w:p>
          <w:p w14:paraId="2B8876C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电流互感器： 3 个</w:t>
            </w:r>
          </w:p>
          <w:p w14:paraId="54DEB9D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AKH-0.66 K-φ 16,100A/40mA（2米红黑线+端子）</w:t>
            </w:r>
          </w:p>
          <w:p w14:paraId="4007B2E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AKH-0.66 K-φ 16,100A/40mA（2米黄黑线+端子）</w:t>
            </w:r>
          </w:p>
          <w:p w14:paraId="1DBA812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AKH-0.66 K-φ 16,100A/40mA（2米绿黑线+端子）</w:t>
            </w:r>
          </w:p>
          <w:p w14:paraId="3138003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温度传感器： （4 个）</w:t>
            </w:r>
          </w:p>
          <w:p w14:paraId="1DEDB85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ARCM-NTC</w:t>
            </w:r>
          </w:p>
          <w:p w14:paraId="3788D2DE">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10.质保服务期限为合同签订日起1年内。</w:t>
            </w:r>
          </w:p>
        </w:tc>
      </w:tr>
      <w:tr w14:paraId="3E8F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7224F41">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45</w:t>
            </w:r>
          </w:p>
        </w:tc>
        <w:tc>
          <w:tcPr>
            <w:tcW w:w="903" w:type="dxa"/>
            <w:tcBorders>
              <w:top w:val="single" w:color="auto" w:sz="4" w:space="0"/>
              <w:left w:val="single" w:color="auto" w:sz="4" w:space="0"/>
              <w:right w:val="single" w:color="auto" w:sz="4" w:space="0"/>
            </w:tcBorders>
            <w:noWrap w:val="0"/>
            <w:vAlign w:val="center"/>
          </w:tcPr>
          <w:p w14:paraId="2C5483A6">
            <w:pPr>
              <w:spacing w:line="340" w:lineRule="exact"/>
              <w:jc w:val="center"/>
              <w:rPr>
                <w:rFonts w:hint="eastAsia"/>
                <w:color w:val="auto"/>
                <w:sz w:val="21"/>
                <w:szCs w:val="21"/>
                <w:highlight w:val="none"/>
                <w:lang w:eastAsia="zh-CN"/>
              </w:rPr>
            </w:pPr>
          </w:p>
          <w:p w14:paraId="6AFA4F9B">
            <w:pPr>
              <w:spacing w:line="340" w:lineRule="exact"/>
              <w:jc w:val="center"/>
              <w:rPr>
                <w:rFonts w:hint="eastAsia"/>
                <w:color w:val="auto"/>
                <w:sz w:val="21"/>
                <w:szCs w:val="21"/>
                <w:highlight w:val="none"/>
                <w:lang w:eastAsia="zh-CN"/>
              </w:rPr>
            </w:pPr>
          </w:p>
          <w:p w14:paraId="5BF59C53">
            <w:pPr>
              <w:spacing w:line="340" w:lineRule="exact"/>
              <w:jc w:val="center"/>
              <w:rPr>
                <w:rFonts w:hint="eastAsia"/>
                <w:color w:val="auto"/>
                <w:sz w:val="21"/>
                <w:szCs w:val="21"/>
                <w:highlight w:val="none"/>
                <w:lang w:eastAsia="zh-CN"/>
              </w:rPr>
            </w:pPr>
          </w:p>
          <w:p w14:paraId="354DB0F8">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可视化热成像感温型火灾探测器</w:t>
            </w:r>
          </w:p>
        </w:tc>
        <w:tc>
          <w:tcPr>
            <w:tcW w:w="997" w:type="dxa"/>
            <w:gridSpan w:val="2"/>
            <w:tcBorders>
              <w:top w:val="single" w:color="auto" w:sz="4" w:space="0"/>
              <w:left w:val="single" w:color="auto" w:sz="4" w:space="0"/>
              <w:right w:val="single" w:color="auto" w:sz="4" w:space="0"/>
            </w:tcBorders>
            <w:noWrap w:val="0"/>
            <w:vAlign w:val="top"/>
          </w:tcPr>
          <w:p w14:paraId="461B38D4">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2A03D513">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62624BC7">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14817D3">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4A16592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电梯危险品检测（电瓶车、煤气罐）、危险行为检测（抽烟、打电话）、灭火器检测、呼救识别、区域入侵侦测、越界侦测</w:t>
            </w:r>
          </w:p>
          <w:p w14:paraId="785C642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支持协议：TCP/IP, HTTP, HTTPS, DHCP, DNS, RTP, RTSP, RTCP, NTP, IPv4, UDP</w:t>
            </w:r>
          </w:p>
          <w:p w14:paraId="0037101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接口协议：ONVIF(PROFILE S, PROFILE G), ISAPI, EZVIZ, ISUP, SDK, GB28181</w:t>
            </w:r>
          </w:p>
          <w:p w14:paraId="3A94825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通用功能：防闪烁，心跳，镜像，密码保护，视频遮盖</w:t>
            </w:r>
          </w:p>
          <w:p w14:paraId="42A11B8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存储功能：支持MicroSD/MicroSDHC/MicroSDXC卡（最大支持512 GB），断网本地存储</w:t>
            </w:r>
          </w:p>
          <w:p w14:paraId="52CFB3B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异常侦测：移动侦测，遮挡报警，硬盘满，硬盘错误，网络断开，IP地址冲突，非法访问，子系统异常，外设故障</w:t>
            </w:r>
          </w:p>
          <w:p w14:paraId="58A48A9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WEB配置：支持web预览、配置、参数导入/导出</w:t>
            </w:r>
          </w:p>
          <w:p w14:paraId="288D948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最远补光距离：红外补光最远30米</w:t>
            </w:r>
          </w:p>
          <w:p w14:paraId="7010975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白色补光最远10米</w:t>
            </w:r>
          </w:p>
          <w:p w14:paraId="6E940D7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最大图像尺寸：分辨率256 × 192</w:t>
            </w:r>
          </w:p>
          <w:p w14:paraId="5331B52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传感器类型：氧化钒（VOx）微测辐射热计</w:t>
            </w:r>
          </w:p>
          <w:p w14:paraId="0C8C83F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像元尺寸：12 μm</w:t>
            </w:r>
          </w:p>
          <w:p w14:paraId="4A26CA2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响应波段：8~14 μm</w:t>
            </w:r>
          </w:p>
          <w:p w14:paraId="64168C8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热成像镜头焦距：3.2 mm</w:t>
            </w:r>
          </w:p>
          <w:p w14:paraId="4A289BB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热成像视场角：视场角：56.2° ×42.2°</w:t>
            </w:r>
          </w:p>
          <w:p w14:paraId="332FE8D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伪彩模式：支持白热、黑热、融合1、彩虹、融合2、铁红1、铁红2等15种模式</w:t>
            </w:r>
          </w:p>
          <w:p w14:paraId="401DC13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温度异常检测：支持</w:t>
            </w:r>
          </w:p>
          <w:p w14:paraId="054C12B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测温范围：-20 °C~550 °C</w:t>
            </w:r>
          </w:p>
          <w:p w14:paraId="47AB3A3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测温精度：±2 °C或者读数的±2%（取最大值） （距离设备0.5~2.5 m范围内）</w:t>
            </w:r>
          </w:p>
          <w:p w14:paraId="18DB08F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NETD（噪声等效温差）：≤50 mK(@25 °C,F1.0)</w:t>
            </w:r>
          </w:p>
          <w:p w14:paraId="5B1C8A3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感温方式：支持非接触式感温</w:t>
            </w:r>
          </w:p>
          <w:p w14:paraId="0517A75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高温报警：支持</w:t>
            </w:r>
          </w:p>
          <w:p w14:paraId="209589B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辅助电源接口：支持DC12V输出，功率1W</w:t>
            </w:r>
          </w:p>
          <w:p w14:paraId="54D7960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报警接口：2路报警输入（Alarm in）， 2路报警输出（Alarm out, 最大支持DC 30 V/2 A或AC 125 V/0.5 A）</w:t>
            </w:r>
          </w:p>
          <w:p w14:paraId="22E0AAC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通讯接口：1个RJ45 10/100M自适应以太网口</w:t>
            </w:r>
          </w:p>
          <w:p w14:paraId="20BFD25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音频接口：1路音频输入（Line in）， 1 路音频输出（Line out），1路内置麦克风，1路内置扬声器</w:t>
            </w:r>
          </w:p>
          <w:p w14:paraId="3B05A79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烟雾检测：支持</w:t>
            </w:r>
          </w:p>
          <w:p w14:paraId="129D792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防护等级：IP67</w:t>
            </w:r>
          </w:p>
          <w:p w14:paraId="4FD027C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安装高度：室内：高于2.5米</w:t>
            </w:r>
          </w:p>
          <w:p w14:paraId="15A6DB9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室外：高于3.5米</w:t>
            </w:r>
          </w:p>
          <w:p w14:paraId="2A63011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电源接口类型：3pin工业端子，3.81间距</w:t>
            </w:r>
          </w:p>
          <w:p w14:paraId="23EF8CC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电源：DC 9V ~ DC 30V，24W MAX；PoE: 802.3at，CLASS 4（产品不带电源适配器，需要自行配置）</w:t>
            </w:r>
          </w:p>
          <w:p w14:paraId="16A18B9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工作温度：-20~60°C</w:t>
            </w:r>
          </w:p>
          <w:p w14:paraId="4E2CDFD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工作湿度：＜95% RH</w:t>
            </w:r>
          </w:p>
          <w:p w14:paraId="2316091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外形尺寸（直径×高）：Φ 130 × H 101 mm</w:t>
            </w:r>
          </w:p>
          <w:p w14:paraId="5695D89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产品执行标准：Q/HKD 054-2024</w:t>
            </w:r>
          </w:p>
          <w:p w14:paraId="68F3C88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重量：677g</w:t>
            </w:r>
          </w:p>
          <w:p w14:paraId="002859CD">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8.质保服务期限为合同签订日起1年内。</w:t>
            </w:r>
          </w:p>
        </w:tc>
      </w:tr>
      <w:tr w14:paraId="00C8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E3DB920">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46</w:t>
            </w:r>
          </w:p>
        </w:tc>
        <w:tc>
          <w:tcPr>
            <w:tcW w:w="903" w:type="dxa"/>
            <w:tcBorders>
              <w:top w:val="single" w:color="auto" w:sz="4" w:space="0"/>
              <w:left w:val="single" w:color="auto" w:sz="4" w:space="0"/>
              <w:right w:val="single" w:color="auto" w:sz="4" w:space="0"/>
            </w:tcBorders>
            <w:noWrap w:val="0"/>
            <w:vAlign w:val="center"/>
          </w:tcPr>
          <w:p w14:paraId="49D57362">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全氟己酮气体灭火系统服务</w:t>
            </w:r>
          </w:p>
        </w:tc>
        <w:tc>
          <w:tcPr>
            <w:tcW w:w="997" w:type="dxa"/>
            <w:gridSpan w:val="2"/>
            <w:tcBorders>
              <w:top w:val="single" w:color="auto" w:sz="4" w:space="0"/>
              <w:left w:val="single" w:color="auto" w:sz="4" w:space="0"/>
              <w:right w:val="single" w:color="auto" w:sz="4" w:space="0"/>
            </w:tcBorders>
            <w:noWrap w:val="0"/>
            <w:vAlign w:val="top"/>
          </w:tcPr>
          <w:p w14:paraId="2A4528A4">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5898DC2F">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c>
          <w:tcPr>
            <w:tcW w:w="6533" w:type="dxa"/>
            <w:tcBorders>
              <w:top w:val="single" w:color="auto" w:sz="4" w:space="0"/>
              <w:left w:val="single" w:color="auto" w:sz="4" w:space="0"/>
              <w:right w:val="single" w:color="auto" w:sz="4" w:space="0"/>
            </w:tcBorders>
            <w:noWrap w:val="0"/>
            <w:vAlign w:val="center"/>
          </w:tcPr>
          <w:p w14:paraId="1277A40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全氟己酮气体灭火系统，含感温及感烟探测</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服务期限为合同签订日起1年内。</w:t>
            </w:r>
          </w:p>
        </w:tc>
      </w:tr>
      <w:tr w14:paraId="252F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5F2C508">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47</w:t>
            </w:r>
          </w:p>
        </w:tc>
        <w:tc>
          <w:tcPr>
            <w:tcW w:w="903" w:type="dxa"/>
            <w:tcBorders>
              <w:top w:val="single" w:color="auto" w:sz="4" w:space="0"/>
              <w:left w:val="single" w:color="auto" w:sz="4" w:space="0"/>
              <w:right w:val="single" w:color="auto" w:sz="4" w:space="0"/>
            </w:tcBorders>
            <w:noWrap w:val="0"/>
            <w:vAlign w:val="center"/>
          </w:tcPr>
          <w:p w14:paraId="13F91157">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物联网智能采集装置</w:t>
            </w:r>
          </w:p>
        </w:tc>
        <w:tc>
          <w:tcPr>
            <w:tcW w:w="997" w:type="dxa"/>
            <w:gridSpan w:val="2"/>
            <w:tcBorders>
              <w:top w:val="single" w:color="auto" w:sz="4" w:space="0"/>
              <w:left w:val="single" w:color="auto" w:sz="4" w:space="0"/>
              <w:right w:val="single" w:color="auto" w:sz="4" w:space="0"/>
            </w:tcBorders>
            <w:noWrap w:val="0"/>
            <w:vAlign w:val="top"/>
          </w:tcPr>
          <w:p w14:paraId="65350FF5">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34AB210">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2只</w:t>
            </w:r>
          </w:p>
        </w:tc>
        <w:tc>
          <w:tcPr>
            <w:tcW w:w="6533" w:type="dxa"/>
            <w:tcBorders>
              <w:top w:val="single" w:color="auto" w:sz="4" w:space="0"/>
              <w:left w:val="single" w:color="auto" w:sz="4" w:space="0"/>
              <w:right w:val="single" w:color="auto" w:sz="4" w:space="0"/>
            </w:tcBorders>
            <w:noWrap w:val="0"/>
            <w:vAlign w:val="center"/>
          </w:tcPr>
          <w:p w14:paraId="268441F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采集配电柜内烟雾和温度</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质保服务期限为合同签订日起1年内。</w:t>
            </w:r>
          </w:p>
        </w:tc>
      </w:tr>
      <w:tr w14:paraId="3E1D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1B993A11">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48</w:t>
            </w:r>
          </w:p>
        </w:tc>
        <w:tc>
          <w:tcPr>
            <w:tcW w:w="903" w:type="dxa"/>
            <w:tcBorders>
              <w:top w:val="single" w:color="auto" w:sz="4" w:space="0"/>
              <w:left w:val="single" w:color="auto" w:sz="4" w:space="0"/>
              <w:right w:val="single" w:color="auto" w:sz="4" w:space="0"/>
            </w:tcBorders>
            <w:noWrap w:val="0"/>
            <w:vAlign w:val="center"/>
          </w:tcPr>
          <w:p w14:paraId="026C2528">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细水雾水泵模拟</w:t>
            </w:r>
          </w:p>
        </w:tc>
        <w:tc>
          <w:tcPr>
            <w:tcW w:w="997" w:type="dxa"/>
            <w:gridSpan w:val="2"/>
            <w:tcBorders>
              <w:top w:val="single" w:color="auto" w:sz="4" w:space="0"/>
              <w:left w:val="single" w:color="auto" w:sz="4" w:space="0"/>
              <w:right w:val="single" w:color="auto" w:sz="4" w:space="0"/>
            </w:tcBorders>
            <w:noWrap w:val="0"/>
            <w:vAlign w:val="top"/>
          </w:tcPr>
          <w:p w14:paraId="528E14C5">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2C38A9B">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40ADD6E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模拟水泵</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质保服务期限为合同签订日起1年内。</w:t>
            </w:r>
          </w:p>
        </w:tc>
      </w:tr>
      <w:tr w14:paraId="2341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3EFEE93">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49</w:t>
            </w:r>
          </w:p>
        </w:tc>
        <w:tc>
          <w:tcPr>
            <w:tcW w:w="903" w:type="dxa"/>
            <w:tcBorders>
              <w:top w:val="single" w:color="auto" w:sz="4" w:space="0"/>
              <w:left w:val="single" w:color="auto" w:sz="4" w:space="0"/>
              <w:right w:val="single" w:color="auto" w:sz="4" w:space="0"/>
            </w:tcBorders>
            <w:noWrap w:val="0"/>
            <w:vAlign w:val="center"/>
          </w:tcPr>
          <w:p w14:paraId="13379B01">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电磁阀</w:t>
            </w:r>
          </w:p>
        </w:tc>
        <w:tc>
          <w:tcPr>
            <w:tcW w:w="997" w:type="dxa"/>
            <w:gridSpan w:val="2"/>
            <w:tcBorders>
              <w:top w:val="single" w:color="auto" w:sz="4" w:space="0"/>
              <w:left w:val="single" w:color="auto" w:sz="4" w:space="0"/>
              <w:right w:val="single" w:color="auto" w:sz="4" w:space="0"/>
            </w:tcBorders>
            <w:noWrap w:val="0"/>
            <w:vAlign w:val="top"/>
          </w:tcPr>
          <w:p w14:paraId="0D1A63E7">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0F7A1AB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24V，常闭型</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质保服务期限为合同签订日起1年内。</w:t>
            </w:r>
          </w:p>
        </w:tc>
      </w:tr>
      <w:tr w14:paraId="1871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105D71E">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50</w:t>
            </w:r>
          </w:p>
        </w:tc>
        <w:tc>
          <w:tcPr>
            <w:tcW w:w="903" w:type="dxa"/>
            <w:tcBorders>
              <w:top w:val="single" w:color="auto" w:sz="4" w:space="0"/>
              <w:left w:val="single" w:color="auto" w:sz="4" w:space="0"/>
              <w:right w:val="single" w:color="auto" w:sz="4" w:space="0"/>
            </w:tcBorders>
            <w:noWrap w:val="0"/>
            <w:vAlign w:val="center"/>
          </w:tcPr>
          <w:p w14:paraId="19CFB9C4">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水雾喷头及相关管材</w:t>
            </w:r>
          </w:p>
        </w:tc>
        <w:tc>
          <w:tcPr>
            <w:tcW w:w="997" w:type="dxa"/>
            <w:gridSpan w:val="2"/>
            <w:tcBorders>
              <w:top w:val="single" w:color="auto" w:sz="4" w:space="0"/>
              <w:left w:val="single" w:color="auto" w:sz="4" w:space="0"/>
              <w:right w:val="single" w:color="auto" w:sz="4" w:space="0"/>
            </w:tcBorders>
            <w:noWrap w:val="0"/>
            <w:vAlign w:val="top"/>
          </w:tcPr>
          <w:p w14:paraId="762500AC">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676188E7">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1项</w:t>
            </w:r>
          </w:p>
        </w:tc>
        <w:tc>
          <w:tcPr>
            <w:tcW w:w="6533" w:type="dxa"/>
            <w:tcBorders>
              <w:top w:val="single" w:color="auto" w:sz="4" w:space="0"/>
              <w:left w:val="single" w:color="auto" w:sz="4" w:space="0"/>
              <w:right w:val="single" w:color="auto" w:sz="4" w:space="0"/>
            </w:tcBorders>
            <w:noWrap w:val="0"/>
            <w:vAlign w:val="center"/>
          </w:tcPr>
          <w:p w14:paraId="12153BC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水雾喷头、不锈钢管等辅材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质保服务期限为合同签订日起1年内。</w:t>
            </w:r>
          </w:p>
        </w:tc>
      </w:tr>
      <w:tr w14:paraId="4348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46A3B3A">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51</w:t>
            </w:r>
          </w:p>
        </w:tc>
        <w:tc>
          <w:tcPr>
            <w:tcW w:w="903" w:type="dxa"/>
            <w:tcBorders>
              <w:top w:val="single" w:color="auto" w:sz="4" w:space="0"/>
              <w:left w:val="single" w:color="auto" w:sz="4" w:space="0"/>
              <w:right w:val="single" w:color="auto" w:sz="4" w:space="0"/>
            </w:tcBorders>
            <w:noWrap w:val="0"/>
            <w:vAlign w:val="center"/>
          </w:tcPr>
          <w:p w14:paraId="720431BD">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智能摄像机（离岗监测）（玩手机监测）</w:t>
            </w:r>
          </w:p>
        </w:tc>
        <w:tc>
          <w:tcPr>
            <w:tcW w:w="997" w:type="dxa"/>
            <w:gridSpan w:val="2"/>
            <w:tcBorders>
              <w:top w:val="single" w:color="auto" w:sz="4" w:space="0"/>
              <w:left w:val="single" w:color="auto" w:sz="4" w:space="0"/>
              <w:right w:val="single" w:color="auto" w:sz="4" w:space="0"/>
            </w:tcBorders>
            <w:noWrap w:val="0"/>
            <w:vAlign w:val="top"/>
          </w:tcPr>
          <w:p w14:paraId="62EBA7F3">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DB066D1">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1F98650">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2A08A1A8">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4B8AEC03">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09F9F279">
            <w:pPr>
              <w:pStyle w:val="8"/>
              <w:widowControl/>
              <w:topLinePunct/>
              <w:adjustRightInd w:val="0"/>
              <w:snapToGrid w:val="0"/>
              <w:spacing w:before="60" w:after="60" w:line="312" w:lineRule="auto"/>
              <w:ind w:left="0" w:leftChars="0" w:firstLine="0" w:firstLineChars="0"/>
              <w:jc w:val="center"/>
              <w:rPr>
                <w:rFonts w:hint="eastAsia" w:ascii="宋体" w:hAnsi="宋体" w:cs="宋体"/>
                <w:color w:val="auto"/>
                <w:sz w:val="21"/>
                <w:szCs w:val="21"/>
                <w:highlight w:val="none"/>
                <w:lang w:val="en-US" w:eastAsia="zh-CN"/>
              </w:rPr>
            </w:pPr>
          </w:p>
          <w:p w14:paraId="1A17977D">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1只</w:t>
            </w:r>
          </w:p>
        </w:tc>
        <w:tc>
          <w:tcPr>
            <w:tcW w:w="6533" w:type="dxa"/>
            <w:tcBorders>
              <w:top w:val="single" w:color="auto" w:sz="4" w:space="0"/>
              <w:left w:val="single" w:color="auto" w:sz="4" w:space="0"/>
              <w:right w:val="single" w:color="auto" w:sz="4" w:space="0"/>
            </w:tcBorders>
            <w:noWrap w:val="0"/>
            <w:vAlign w:val="center"/>
          </w:tcPr>
          <w:p w14:paraId="02C53ED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智能分析功能：支持人员在离岗检测，室内消防通道占用检测，电动自行车进电梯检测功能（三选一）</w:t>
            </w:r>
          </w:p>
          <w:p w14:paraId="64601F6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报警屏蔽区域： 可自定义配置4个矩形区域</w:t>
            </w:r>
          </w:p>
          <w:p w14:paraId="5117F62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报警探测区域： 可见光2.8mm镜头104°，感温范围水平90°</w:t>
            </w:r>
          </w:p>
          <w:p w14:paraId="761D6D7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远程消音： 支持远程消音</w:t>
            </w:r>
          </w:p>
          <w:p w14:paraId="51DF7E9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语音播报： 支持语音播报功能，3米处声压约为65dB （电动车报警：禁止电动车进入电梯，请及时离开）</w:t>
            </w:r>
          </w:p>
          <w:p w14:paraId="219698A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报警指示灯： 1个，红色：报警；故障：黄色；绿色：正常；</w:t>
            </w:r>
          </w:p>
          <w:p w14:paraId="655CD6A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防遮挡报警： 支持镜头正前方（夹角小于30°）50cm内，有较大物体遮挡检测。</w:t>
            </w:r>
          </w:p>
          <w:p w14:paraId="7AF10AA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防移动报警： 支持当设备带电拆卸、被改变探测视场方向、被移动时需要产生报警</w:t>
            </w:r>
          </w:p>
          <w:p w14:paraId="5913672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报警事件OSD： 支持报警事件录像画面叠加显示</w:t>
            </w:r>
          </w:p>
          <w:p w14:paraId="634C869C">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报警联动： 支持报警事件联动抓图、录像</w:t>
            </w:r>
          </w:p>
          <w:p w14:paraId="2BB7AAF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动态温度补偿 支持</w:t>
            </w:r>
          </w:p>
          <w:p w14:paraId="7DE63B7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智能报警： 区域入侵、越界侦测、进入区域侦测、离开区域侦测、场景变更侦测</w:t>
            </w:r>
          </w:p>
          <w:p w14:paraId="5D74540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13.</w:t>
            </w:r>
            <w:r>
              <w:rPr>
                <w:rFonts w:hint="eastAsia" w:ascii="宋体" w:hAnsi="宋体" w:eastAsia="宋体" w:cs="宋体"/>
                <w:color w:val="auto"/>
                <w:sz w:val="21"/>
                <w:szCs w:val="21"/>
                <w:highlight w:val="none"/>
              </w:rPr>
              <w:t>SVC： 编码 H.264, H.265 支持</w:t>
            </w:r>
          </w:p>
          <w:p w14:paraId="3982081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14.</w:t>
            </w:r>
            <w:r>
              <w:rPr>
                <w:rFonts w:hint="eastAsia" w:ascii="宋体" w:hAnsi="宋体" w:eastAsia="宋体" w:cs="宋体"/>
                <w:color w:val="auto"/>
                <w:sz w:val="21"/>
                <w:szCs w:val="21"/>
                <w:highlight w:val="none"/>
              </w:rPr>
              <w:t>视频压缩标准： 主码流： H.265/H.264</w:t>
            </w:r>
          </w:p>
          <w:p w14:paraId="4394830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rPr>
              <w:t>子码流： H.265/H.264/MJPEG</w:t>
            </w:r>
          </w:p>
          <w:p w14:paraId="0BFCCC7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16.</w:t>
            </w:r>
            <w:r>
              <w:rPr>
                <w:rFonts w:hint="eastAsia" w:ascii="宋体" w:hAnsi="宋体" w:eastAsia="宋体" w:cs="宋体"/>
                <w:color w:val="auto"/>
                <w:sz w:val="21"/>
                <w:szCs w:val="21"/>
                <w:highlight w:val="none"/>
              </w:rPr>
              <w:t>H.265编码类型： Main Profile</w:t>
            </w:r>
          </w:p>
          <w:p w14:paraId="5C35CE6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17.</w:t>
            </w:r>
            <w:r>
              <w:rPr>
                <w:rFonts w:hint="eastAsia" w:ascii="宋体" w:hAnsi="宋体" w:eastAsia="宋体" w:cs="宋体"/>
                <w:color w:val="auto"/>
                <w:sz w:val="21"/>
                <w:szCs w:val="21"/>
                <w:highlight w:val="none"/>
              </w:rPr>
              <w:t>H.264编码类型： Main Profile/High Profile</w:t>
            </w:r>
          </w:p>
          <w:p w14:paraId="15A3BD1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rPr>
              <w:t>视频压缩码率： 32 Kbps ~ 16 Mbps</w:t>
            </w:r>
          </w:p>
          <w:p w14:paraId="0C52EF5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19.</w:t>
            </w:r>
            <w:r>
              <w:rPr>
                <w:rFonts w:hint="eastAsia" w:ascii="宋体" w:hAnsi="宋体" w:eastAsia="宋体" w:cs="宋体"/>
                <w:color w:val="auto"/>
                <w:sz w:val="21"/>
                <w:szCs w:val="21"/>
                <w:highlight w:val="none"/>
              </w:rPr>
              <w:t>支持协议： TCP/IP, ICMP, HTTP, HTTPS, FTP, DHCP, DNS, DDNS, RTP, RTSP, RTCP,</w:t>
            </w:r>
          </w:p>
          <w:p w14:paraId="113DB4A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PPPoE, NTP, UPnP, SMTP, SNMP, IGMP, 802.1X, QoS, IPv6, UDP, Bonjour</w:t>
            </w:r>
          </w:p>
          <w:p w14:paraId="50B8CEE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rPr>
              <w:t>接口协议： ONVIF(PROFILE S, PROFILE G), ISAPI, GB28181</w:t>
            </w:r>
          </w:p>
          <w:p w14:paraId="24FBA8F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rPr>
              <w:t>通用功能： 一键恢复， 防闪烁， 心跳， 镜像， 密码保护， 视频遮盖， 水印技术， IP 地址过滤</w:t>
            </w:r>
          </w:p>
          <w:p w14:paraId="45721B8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存储功能： 支持Micro SD/SDHC/SDXC 卡（128G）断网本地存储及断网续传， NAS(NFS, SMB/CIFS 均支持)</w:t>
            </w:r>
          </w:p>
          <w:p w14:paraId="0FE62EB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异常侦测： 移动侦测， 遮挡报警， 网线断， IP 地址冲突， 非法登录， 存储器满， 存储器错</w:t>
            </w:r>
          </w:p>
          <w:p w14:paraId="6B88E46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25.</w:t>
            </w:r>
            <w:r>
              <w:rPr>
                <w:rFonts w:hint="eastAsia" w:ascii="宋体" w:hAnsi="宋体" w:eastAsia="宋体" w:cs="宋体"/>
                <w:color w:val="auto"/>
                <w:sz w:val="21"/>
                <w:szCs w:val="21"/>
                <w:highlight w:val="none"/>
              </w:rPr>
              <w:t>WEB参数配置： 支持web 预览、配置、参数导入/导出</w:t>
            </w:r>
          </w:p>
          <w:p w14:paraId="4A741C55">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rPr>
              <w:t>报警接口： 1 路报警输入（Alarm in）， 1 路报警输出（Alarm out 最大支持DC24 V, 1 A 或AC24 V, 1 A）</w:t>
            </w:r>
          </w:p>
          <w:p w14:paraId="1429B68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27.</w:t>
            </w:r>
            <w:r>
              <w:rPr>
                <w:rFonts w:hint="eastAsia" w:ascii="宋体" w:hAnsi="宋体" w:eastAsia="宋体" w:cs="宋体"/>
                <w:color w:val="auto"/>
                <w:sz w:val="21"/>
                <w:szCs w:val="21"/>
                <w:highlight w:val="none"/>
              </w:rPr>
              <w:t>通讯接口： 1 个RJ45 10 M/100 M 自适应以太网口</w:t>
            </w:r>
          </w:p>
          <w:p w14:paraId="5E74D6B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28.</w:t>
            </w:r>
            <w:r>
              <w:rPr>
                <w:rFonts w:hint="eastAsia" w:ascii="宋体" w:hAnsi="宋体" w:eastAsia="宋体" w:cs="宋体"/>
                <w:color w:val="auto"/>
                <w:sz w:val="21"/>
                <w:szCs w:val="21"/>
                <w:highlight w:val="none"/>
              </w:rPr>
              <w:t>RS-485接口： 1个RS-485</w:t>
            </w:r>
          </w:p>
          <w:p w14:paraId="2557C71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29.</w:t>
            </w:r>
            <w:r>
              <w:rPr>
                <w:rFonts w:hint="eastAsia" w:ascii="宋体" w:hAnsi="宋体" w:eastAsia="宋体" w:cs="宋体"/>
                <w:color w:val="auto"/>
                <w:sz w:val="21"/>
                <w:szCs w:val="21"/>
                <w:highlight w:val="none"/>
              </w:rPr>
              <w:t>含适配器，电源供应： DC12 V ± 25%</w:t>
            </w:r>
          </w:p>
          <w:p w14:paraId="31E8778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工作温度和湿度： -10 ℃ ~ 40 ℃, 湿度小于95%（无凝结）</w:t>
            </w:r>
          </w:p>
          <w:p w14:paraId="5019319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功耗：5W MAX</w:t>
            </w:r>
          </w:p>
          <w:p w14:paraId="16067393">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32.</w:t>
            </w:r>
            <w:r>
              <w:rPr>
                <w:rFonts w:hint="eastAsia" w:ascii="宋体" w:hAnsi="宋体" w:eastAsia="宋体" w:cs="宋体"/>
                <w:color w:val="auto"/>
                <w:sz w:val="21"/>
                <w:szCs w:val="21"/>
                <w:highlight w:val="none"/>
              </w:rPr>
              <w:t>重量 裸机：450g 带包装： 650 g</w:t>
            </w:r>
          </w:p>
          <w:p w14:paraId="6AB90A0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33.</w:t>
            </w:r>
            <w:r>
              <w:rPr>
                <w:rFonts w:hint="eastAsia" w:ascii="宋体" w:hAnsi="宋体" w:eastAsia="宋体" w:cs="宋体"/>
                <w:color w:val="auto"/>
                <w:sz w:val="21"/>
                <w:szCs w:val="21"/>
                <w:highlight w:val="none"/>
              </w:rPr>
              <w:t>产品尺寸：Φ130 × 105 mm</w:t>
            </w:r>
          </w:p>
          <w:p w14:paraId="57F0A76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34.</w:t>
            </w:r>
            <w:r>
              <w:rPr>
                <w:rFonts w:hint="eastAsia" w:ascii="宋体" w:hAnsi="宋体" w:eastAsia="宋体" w:cs="宋体"/>
                <w:color w:val="auto"/>
                <w:sz w:val="21"/>
                <w:szCs w:val="21"/>
                <w:highlight w:val="none"/>
              </w:rPr>
              <w:t>最远补光距离： 15m</w:t>
            </w:r>
          </w:p>
          <w:p w14:paraId="68155E0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35.</w:t>
            </w:r>
            <w:r>
              <w:rPr>
                <w:rFonts w:hint="eastAsia" w:ascii="宋体" w:hAnsi="宋体" w:eastAsia="宋体" w:cs="宋体"/>
                <w:color w:val="auto"/>
                <w:sz w:val="21"/>
                <w:szCs w:val="21"/>
                <w:highlight w:val="none"/>
              </w:rPr>
              <w:t>安装高度： 建议壁装2.4～2.8m，吊顶3.3m～6m</w:t>
            </w:r>
          </w:p>
          <w:p w14:paraId="031E315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36.</w:t>
            </w:r>
            <w:r>
              <w:rPr>
                <w:rFonts w:hint="eastAsia" w:ascii="宋体" w:hAnsi="宋体" w:eastAsia="宋体" w:cs="宋体"/>
                <w:color w:val="auto"/>
                <w:sz w:val="21"/>
                <w:szCs w:val="21"/>
                <w:highlight w:val="none"/>
              </w:rPr>
              <w:t>安装方式： 壁装、吊顶、斜底座安装</w:t>
            </w:r>
          </w:p>
          <w:p w14:paraId="2DDDB1DD">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37.</w:t>
            </w:r>
            <w:r>
              <w:rPr>
                <w:rFonts w:hint="eastAsia" w:ascii="宋体" w:hAnsi="宋体" w:eastAsia="宋体" w:cs="宋体"/>
                <w:color w:val="auto"/>
                <w:sz w:val="21"/>
                <w:szCs w:val="21"/>
                <w:highlight w:val="none"/>
              </w:rPr>
              <w:t>支架类型： 壁装支架、吊装支架、斜底座支架</w:t>
            </w:r>
          </w:p>
          <w:p w14:paraId="51D9D74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38.</w:t>
            </w:r>
            <w:r>
              <w:rPr>
                <w:rFonts w:hint="eastAsia" w:ascii="宋体" w:hAnsi="宋体" w:eastAsia="宋体" w:cs="宋体"/>
                <w:color w:val="auto"/>
                <w:sz w:val="21"/>
                <w:szCs w:val="21"/>
                <w:highlight w:val="none"/>
              </w:rPr>
              <w:t>安消智能摄像机（离岗监测）须支持如下功能：</w:t>
            </w:r>
          </w:p>
          <w:p w14:paraId="1350D21B">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39.</w:t>
            </w:r>
            <w:r>
              <w:rPr>
                <w:rFonts w:hint="eastAsia" w:ascii="宋体" w:hAnsi="宋体" w:eastAsia="宋体" w:cs="宋体"/>
                <w:color w:val="auto"/>
                <w:sz w:val="21"/>
                <w:szCs w:val="21"/>
                <w:highlight w:val="none"/>
              </w:rPr>
              <w:t xml:space="preserve"> 支持人员在离岗检测功能，当人员离开设定的监控区域，且时间达到设定值时，触发离岗告警，并上传现场抓拍照片，支持报警录像。</w:t>
            </w:r>
          </w:p>
          <w:p w14:paraId="44EFD4C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40.</w:t>
            </w:r>
            <w:r>
              <w:rPr>
                <w:rFonts w:hint="eastAsia" w:ascii="宋体" w:hAnsi="宋体" w:eastAsia="宋体" w:cs="宋体"/>
                <w:color w:val="auto"/>
                <w:sz w:val="21"/>
                <w:szCs w:val="21"/>
                <w:highlight w:val="none"/>
              </w:rPr>
              <w:t>支持非接触式感温报警功能。</w:t>
            </w:r>
          </w:p>
          <w:p w14:paraId="002781F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41.</w:t>
            </w:r>
            <w:r>
              <w:rPr>
                <w:rFonts w:hint="eastAsia" w:ascii="宋体" w:hAnsi="宋体" w:eastAsia="宋体" w:cs="宋体"/>
                <w:color w:val="auto"/>
                <w:sz w:val="21"/>
                <w:szCs w:val="21"/>
                <w:highlight w:val="none"/>
              </w:rPr>
              <w:t>支持火点及高温物品点位识别，并在视频画面中标出位置。</w:t>
            </w:r>
          </w:p>
          <w:p w14:paraId="74AD7950">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.42.质保服务期限为合同签订日起1年内。</w:t>
            </w:r>
          </w:p>
        </w:tc>
      </w:tr>
      <w:tr w14:paraId="64FE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32230E4">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52</w:t>
            </w:r>
          </w:p>
        </w:tc>
        <w:tc>
          <w:tcPr>
            <w:tcW w:w="903" w:type="dxa"/>
            <w:tcBorders>
              <w:top w:val="single" w:color="auto" w:sz="4" w:space="0"/>
              <w:left w:val="single" w:color="auto" w:sz="4" w:space="0"/>
              <w:right w:val="single" w:color="auto" w:sz="4" w:space="0"/>
            </w:tcBorders>
            <w:noWrap w:val="0"/>
            <w:vAlign w:val="center"/>
          </w:tcPr>
          <w:p w14:paraId="749C06A0">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设备展架</w:t>
            </w:r>
          </w:p>
        </w:tc>
        <w:tc>
          <w:tcPr>
            <w:tcW w:w="997" w:type="dxa"/>
            <w:gridSpan w:val="2"/>
            <w:tcBorders>
              <w:top w:val="single" w:color="auto" w:sz="4" w:space="0"/>
              <w:left w:val="single" w:color="auto" w:sz="4" w:space="0"/>
              <w:right w:val="single" w:color="auto" w:sz="4" w:space="0"/>
            </w:tcBorders>
            <w:noWrap w:val="0"/>
            <w:vAlign w:val="top"/>
          </w:tcPr>
          <w:p w14:paraId="1A6685E8">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2套</w:t>
            </w:r>
          </w:p>
        </w:tc>
        <w:tc>
          <w:tcPr>
            <w:tcW w:w="6533" w:type="dxa"/>
            <w:tcBorders>
              <w:top w:val="single" w:color="auto" w:sz="4" w:space="0"/>
              <w:left w:val="single" w:color="auto" w:sz="4" w:space="0"/>
              <w:right w:val="single" w:color="auto" w:sz="4" w:space="0"/>
            </w:tcBorders>
            <w:noWrap w:val="0"/>
            <w:vAlign w:val="center"/>
          </w:tcPr>
          <w:p w14:paraId="75180091">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高1.8米，宽1.2米</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质保服务期限为合同签订日起1年内。</w:t>
            </w:r>
          </w:p>
        </w:tc>
      </w:tr>
      <w:tr w14:paraId="7C68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D740DE7">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53</w:t>
            </w:r>
          </w:p>
        </w:tc>
        <w:tc>
          <w:tcPr>
            <w:tcW w:w="903" w:type="dxa"/>
            <w:tcBorders>
              <w:top w:val="single" w:color="auto" w:sz="4" w:space="0"/>
              <w:left w:val="single" w:color="auto" w:sz="4" w:space="0"/>
              <w:right w:val="single" w:color="auto" w:sz="4" w:space="0"/>
            </w:tcBorders>
            <w:noWrap w:val="0"/>
            <w:vAlign w:val="center"/>
          </w:tcPr>
          <w:p w14:paraId="157B96AC">
            <w:pPr>
              <w:spacing w:line="340" w:lineRule="exact"/>
              <w:jc w:val="center"/>
              <w:rPr>
                <w:rFonts w:hint="eastAsia"/>
                <w:color w:val="auto"/>
                <w:sz w:val="21"/>
                <w:szCs w:val="21"/>
                <w:highlight w:val="none"/>
                <w:lang w:eastAsia="zh-CN"/>
              </w:rPr>
            </w:pPr>
            <w:r>
              <w:rPr>
                <w:rFonts w:hint="eastAsia"/>
                <w:color w:val="auto"/>
                <w:sz w:val="21"/>
                <w:szCs w:val="21"/>
                <w:highlight w:val="none"/>
                <w:lang w:eastAsia="zh-CN"/>
              </w:rPr>
              <w:t>压缩空气驱动泡沫灭火装置</w:t>
            </w:r>
          </w:p>
        </w:tc>
        <w:tc>
          <w:tcPr>
            <w:tcW w:w="997" w:type="dxa"/>
            <w:gridSpan w:val="2"/>
            <w:tcBorders>
              <w:top w:val="single" w:color="auto" w:sz="4" w:space="0"/>
              <w:left w:val="single" w:color="auto" w:sz="4" w:space="0"/>
              <w:right w:val="single" w:color="auto" w:sz="4" w:space="0"/>
            </w:tcBorders>
            <w:noWrap w:val="0"/>
            <w:vAlign w:val="top"/>
          </w:tcPr>
          <w:p w14:paraId="4A447CBD">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1套</w:t>
            </w:r>
          </w:p>
        </w:tc>
        <w:tc>
          <w:tcPr>
            <w:tcW w:w="6533" w:type="dxa"/>
            <w:tcBorders>
              <w:top w:val="single" w:color="auto" w:sz="4" w:space="0"/>
              <w:left w:val="single" w:color="auto" w:sz="4" w:space="0"/>
              <w:right w:val="single" w:color="auto" w:sz="4" w:space="0"/>
            </w:tcBorders>
            <w:noWrap w:val="0"/>
            <w:vAlign w:val="center"/>
          </w:tcPr>
          <w:p w14:paraId="72D6096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装置采用泡沫分离技术，实现泡沫灭火剂与水的独立储存，确保泡沫灭火剂长时间不失效，从根本上提升灭火效率。压缩空气泡沫灭火技术通过向混合液中正压注入空气产生泡沫，具有泡沫均匀细腻、析液时间长、稳定性好、灭火效能高、抗复燃能力强的特点。该装置可用1%—6%浓度的A、B类（含抗溶性泡沫灭火剂）泡沫灭火剂。    </w:t>
            </w:r>
          </w:p>
          <w:p w14:paraId="2DAA29C7">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一、外形尺寸</w:t>
            </w:r>
          </w:p>
          <w:p w14:paraId="3FA5653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1.装置尺寸：960mm x500mm x1160mm；</w:t>
            </w:r>
          </w:p>
          <w:p w14:paraId="37F025C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2.空载质量：≤125 kg；</w:t>
            </w:r>
          </w:p>
          <w:p w14:paraId="1C0DCBE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二、基本参数</w:t>
            </w:r>
          </w:p>
          <w:p w14:paraId="40F14254">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1.喷射压力：0.4 MPa</w:t>
            </w:r>
          </w:p>
          <w:p w14:paraId="329913A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2.气瓶充装压力：30 MPa</w:t>
            </w:r>
          </w:p>
          <w:p w14:paraId="02911F2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3.气瓶容积：6.8 L</w:t>
            </w:r>
          </w:p>
          <w:p w14:paraId="0CA0CFB9">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4.泡沫液罐容积：≥5 L</w:t>
            </w:r>
          </w:p>
          <w:p w14:paraId="0F14DEF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5.水罐贮罐容积：≥60 L；</w:t>
            </w:r>
          </w:p>
          <w:p w14:paraId="56275452">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6.枪口喷射流量（升/每分钟）：A类泡沫≥15L/min，B类泡沫≥16L/min；</w:t>
            </w:r>
          </w:p>
          <w:p w14:paraId="00BC6D18">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7.最大喷射距离（米）：A类泡沫≥13m，B类泡沫≥13m；</w:t>
            </w:r>
          </w:p>
          <w:p w14:paraId="17B401C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8.最大喷射时长（秒）：A类泡沫≥255s，B类泡沫≥252s；</w:t>
            </w:r>
          </w:p>
          <w:p w14:paraId="1C45D4BA">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9.灭火等级：15A/297B（燃油火）/89B（异丙醇火）；</w:t>
            </w:r>
          </w:p>
          <w:p w14:paraId="4B943011">
            <w:pPr>
              <w:pStyle w:val="8"/>
              <w:widowControl/>
              <w:topLinePunct/>
              <w:adjustRightInd w:val="0"/>
              <w:snapToGrid w:val="0"/>
              <w:spacing w:before="60" w:after="60" w:line="312"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10.质保服务期限为合同签订日起1年内。</w:t>
            </w:r>
          </w:p>
        </w:tc>
      </w:tr>
      <w:tr w14:paraId="274A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908" w:type="dxa"/>
            <w:gridSpan w:val="5"/>
            <w:tcBorders>
              <w:top w:val="single" w:color="auto" w:sz="4" w:space="0"/>
              <w:left w:val="single" w:color="auto" w:sz="4" w:space="0"/>
              <w:bottom w:val="single" w:color="auto" w:sz="4" w:space="0"/>
              <w:right w:val="single" w:color="auto" w:sz="4" w:space="0"/>
            </w:tcBorders>
            <w:noWrap w:val="0"/>
            <w:vAlign w:val="center"/>
          </w:tcPr>
          <w:p w14:paraId="4B971F0B">
            <w:pPr>
              <w:pStyle w:val="15"/>
              <w:spacing w:line="340" w:lineRule="exact"/>
              <w:ind w:firstLine="0"/>
              <w:jc w:val="both"/>
              <w:rPr>
                <w:rFonts w:hint="eastAsia" w:ascii="宋体" w:hAnsi="宋体" w:eastAsia="宋体" w:cs="宋体"/>
                <w:color w:val="auto"/>
                <w:sz w:val="21"/>
                <w:szCs w:val="21"/>
                <w:highlight w:val="none"/>
                <w:lang w:bidi="ar"/>
              </w:rPr>
            </w:pP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lang w:bidi="ar"/>
              </w:rPr>
              <w:t>商务要求表</w:t>
            </w:r>
          </w:p>
        </w:tc>
      </w:tr>
      <w:tr w14:paraId="00777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32F5A444">
            <w:pPr>
              <w:tabs>
                <w:tab w:val="left" w:pos="180"/>
                <w:tab w:val="left" w:pos="1620"/>
              </w:tabs>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服务地点及服务期</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21D09E9F">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服务地点：广西壮族自治区内采购人指定地点。</w:t>
            </w:r>
          </w:p>
          <w:p w14:paraId="12FFE34A">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服务期：</w:t>
            </w:r>
            <w:r>
              <w:rPr>
                <w:rFonts w:hint="eastAsia"/>
                <w:sz w:val="21"/>
                <w:szCs w:val="21"/>
              </w:rPr>
              <w:t>服务周期为</w:t>
            </w:r>
            <w:r>
              <w:rPr>
                <w:rFonts w:hint="eastAsia"/>
                <w:sz w:val="21"/>
                <w:szCs w:val="21"/>
                <w:lang w:val="en-US" w:eastAsia="zh-CN"/>
              </w:rPr>
              <w:t>一</w:t>
            </w:r>
            <w:r>
              <w:rPr>
                <w:rFonts w:hint="eastAsia"/>
                <w:sz w:val="21"/>
                <w:szCs w:val="21"/>
              </w:rPr>
              <w:t>年，自合同签订之日起</w:t>
            </w:r>
            <w:r>
              <w:rPr>
                <w:rFonts w:hint="eastAsia"/>
                <w:sz w:val="21"/>
                <w:szCs w:val="21"/>
                <w:lang w:val="en-US" w:eastAsia="zh-CN"/>
              </w:rPr>
              <w:t>3</w:t>
            </w:r>
            <w:r>
              <w:rPr>
                <w:rFonts w:hint="eastAsia"/>
                <w:sz w:val="21"/>
                <w:szCs w:val="21"/>
              </w:rPr>
              <w:t>个月内完成交付并通过验收，正常投入使用。</w:t>
            </w:r>
          </w:p>
        </w:tc>
      </w:tr>
      <w:tr w14:paraId="2BEB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0A5DB8D1">
            <w:pPr>
              <w:tabs>
                <w:tab w:val="left" w:pos="180"/>
                <w:tab w:val="left" w:pos="1620"/>
              </w:tabs>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合同签订期</w:t>
            </w:r>
          </w:p>
        </w:tc>
        <w:tc>
          <w:tcPr>
            <w:tcW w:w="7527" w:type="dxa"/>
            <w:gridSpan w:val="2"/>
            <w:tcBorders>
              <w:top w:val="single" w:color="auto" w:sz="4" w:space="0"/>
              <w:left w:val="single" w:color="auto" w:sz="4" w:space="0"/>
              <w:bottom w:val="single" w:color="auto" w:sz="4" w:space="0"/>
              <w:right w:val="single" w:color="auto" w:sz="4" w:space="0"/>
            </w:tcBorders>
            <w:noWrap w:val="0"/>
            <w:vAlign w:val="bottom"/>
          </w:tcPr>
          <w:p w14:paraId="57C8746E">
            <w:pPr>
              <w:pStyle w:val="8"/>
              <w:widowControl/>
              <w:topLinePunct/>
              <w:adjustRightInd w:val="0"/>
              <w:snapToGrid w:val="0"/>
              <w:spacing w:before="60" w:after="60" w:line="312"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通知书发出之日起2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个工作日</w:t>
            </w:r>
            <w:r>
              <w:rPr>
                <w:rFonts w:hint="eastAsia" w:ascii="宋体" w:hAnsi="宋体" w:eastAsia="宋体" w:cs="宋体"/>
                <w:color w:val="auto"/>
                <w:sz w:val="21"/>
                <w:szCs w:val="21"/>
                <w:highlight w:val="none"/>
              </w:rPr>
              <w:t>内。</w:t>
            </w:r>
          </w:p>
        </w:tc>
      </w:tr>
      <w:tr w14:paraId="1C1B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2D7D4A2A">
            <w:pPr>
              <w:tabs>
                <w:tab w:val="left" w:pos="180"/>
                <w:tab w:val="left" w:pos="1620"/>
              </w:tabs>
              <w:spacing w:line="40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报价</w:t>
            </w:r>
            <w:r>
              <w:rPr>
                <w:rFonts w:hint="eastAsia" w:ascii="宋体" w:hAnsi="宋体" w:cs="宋体"/>
                <w:color w:val="auto"/>
                <w:sz w:val="21"/>
                <w:szCs w:val="21"/>
                <w:highlight w:val="none"/>
                <w:lang w:eastAsia="zh-CN"/>
              </w:rPr>
              <w:t>要求</w:t>
            </w:r>
          </w:p>
        </w:tc>
        <w:tc>
          <w:tcPr>
            <w:tcW w:w="7527" w:type="dxa"/>
            <w:gridSpan w:val="2"/>
            <w:tcBorders>
              <w:top w:val="single" w:color="auto" w:sz="4" w:space="0"/>
              <w:left w:val="single" w:color="auto" w:sz="4" w:space="0"/>
              <w:bottom w:val="single" w:color="auto" w:sz="4" w:space="0"/>
              <w:right w:val="single" w:color="auto" w:sz="4" w:space="0"/>
            </w:tcBorders>
            <w:noWrap w:val="0"/>
            <w:vAlign w:val="bottom"/>
          </w:tcPr>
          <w:p w14:paraId="09C6FD65">
            <w:pPr>
              <w:pStyle w:val="8"/>
              <w:widowControl/>
              <w:topLinePunct/>
              <w:adjustRightInd w:val="0"/>
              <w:snapToGrid w:val="0"/>
              <w:spacing w:before="60" w:after="60" w:line="312"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应当包含满足本次竞标全部采购需求所应提供的服务，以及伴随的货物和工程（如有）的价格；包括但不限于服务的内容、安装调试费、验收费、服务的标准附件、专用工具（含软件工具）的价格、人工费、差旅、住宿、调试、培训、技术支持、售后服务、更新升级费、采购代理服务费、保险费和各项税金及其它所有成本费用的总和及其他所有可能发生的一切费用。合同履行期间采购人不再支付任何费用。</w:t>
            </w:r>
          </w:p>
        </w:tc>
      </w:tr>
      <w:tr w14:paraId="78F3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44800EC1">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付款条件</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533523C5">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1.合同签订</w:t>
            </w:r>
            <w:r>
              <w:rPr>
                <w:rFonts w:hint="eastAsia" w:ascii="宋体" w:hAnsi="宋体" w:eastAsia="宋体" w:cs="宋体"/>
                <w:color w:val="auto"/>
                <w:sz w:val="21"/>
                <w:szCs w:val="21"/>
                <w:highlight w:val="none"/>
                <w:lang w:val="en-US" w:eastAsia="zh-CN"/>
              </w:rPr>
              <w:t>后</w:t>
            </w: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日内，由采购人支付成交供应商合同总金额的</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0%。</w:t>
            </w:r>
          </w:p>
          <w:p w14:paraId="46162970">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2.供应商向采购人交付成果后并经采购人验收合格后1</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日内，采购人支付成交供应商合同金额的</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0%。</w:t>
            </w:r>
          </w:p>
          <w:p w14:paraId="5E2FC4CD">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3.成交人在收到采购人支付的每笔款项前，应按国家相关规定向采购人开具相应金额的正式发票。</w:t>
            </w:r>
          </w:p>
        </w:tc>
      </w:tr>
      <w:tr w14:paraId="3F0D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500D88D1">
            <w:pPr>
              <w:spacing w:line="400" w:lineRule="exact"/>
              <w:jc w:val="center"/>
              <w:rPr>
                <w:rFonts w:hint="eastAsia" w:ascii="宋体" w:hAnsi="宋体" w:eastAsia="宋体" w:cs="宋体"/>
                <w:color w:val="auto"/>
                <w:sz w:val="21"/>
                <w:szCs w:val="21"/>
                <w:highlight w:val="none"/>
              </w:rPr>
            </w:pPr>
            <w:r>
              <w:rPr>
                <w:rFonts w:hint="eastAsia" w:ascii="宋体" w:hAnsi="宋体" w:cs="宋体"/>
                <w:color w:val="auto"/>
                <w:kern w:val="0"/>
                <w:sz w:val="21"/>
                <w:szCs w:val="21"/>
                <w:highlight w:val="none"/>
              </w:rPr>
              <w:t>质保期</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09642274">
            <w:pPr>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Times New Roman"/>
                <w:color w:val="auto"/>
                <w:kern w:val="2"/>
                <w:sz w:val="21"/>
                <w:szCs w:val="21"/>
                <w:highlight w:val="none"/>
              </w:rPr>
              <w:t>免费送货上门，免费安装调试合格，按国家有关规定实行产品“三包”，除采购需求表规定的质保期，其余设备质保期不少于</w:t>
            </w:r>
            <w:r>
              <w:rPr>
                <w:rFonts w:hint="eastAsia" w:ascii="宋体" w:hAnsi="宋体" w:cs="Times New Roman"/>
                <w:color w:val="auto"/>
                <w:kern w:val="2"/>
                <w:sz w:val="21"/>
                <w:szCs w:val="21"/>
                <w:highlight w:val="none"/>
                <w:lang w:val="en-US" w:eastAsia="zh-CN"/>
              </w:rPr>
              <w:t>一</w:t>
            </w:r>
            <w:r>
              <w:rPr>
                <w:rFonts w:hint="eastAsia" w:ascii="宋体" w:hAnsi="宋体" w:eastAsia="宋体" w:cs="Times New Roman"/>
                <w:color w:val="auto"/>
                <w:kern w:val="2"/>
                <w:sz w:val="21"/>
                <w:szCs w:val="21"/>
                <w:highlight w:val="none"/>
              </w:rPr>
              <w:t>年，质保期内处理设备问题不另外收费。厂家承诺超出此期限的，按厂家承诺；(“采购项目技术规格、参数及要求”中有特殊要求的，按其要求执行）</w:t>
            </w:r>
          </w:p>
        </w:tc>
      </w:tr>
      <w:tr w14:paraId="5A92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607C9D72">
            <w:pPr>
              <w:spacing w:line="40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验收标准</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7EC1801F">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1、设备符合国家相关标准及制造厂家合格产品的出厂质量标准。</w:t>
            </w:r>
          </w:p>
          <w:p w14:paraId="0DF767F6">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2、验收条件及标准：设备需全新、完好、无破损，按照技术要求的各项指标进行验收。</w:t>
            </w:r>
          </w:p>
          <w:p w14:paraId="3C9ECF2E">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3、验收方法及方案：设备开机试运行，测试设备的技术性能指标，确认各项功能正常运行，同时检查随机文件应齐全。</w:t>
            </w:r>
          </w:p>
          <w:p w14:paraId="4132D6E0">
            <w:pPr>
              <w:pStyle w:val="8"/>
              <w:widowControl/>
              <w:topLinePunct/>
              <w:adjustRightInd w:val="0"/>
              <w:snapToGrid w:val="0"/>
              <w:spacing w:before="60" w:after="60" w:line="312"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于响应文件中必须对所有产品的技术参数要求作出真实、有效的响应和承诺。所提供的产品必须为原装正品的、全新的、符合国家有关质量标准的产品。验收前，采购人现场根据竞争性谈判文件要求及响应文件承诺对各项参数逐条对应进行核验，核验或检测数据不符合采购人要求及响应文件承诺的指标的，采购人有权终止合同执行并全部退货，由此造成采购人经济损失的由成交供应商负责承担全部赔偿责任并向采购人支付合同金额的30%违约赔偿金。如有异议，将交由国家认可并具有检验检测资质的第三方机构进行检验，若核验结果的各项参数指标不满足采购人要求及响应文件承诺的指标要求，所有产生的费用由成交供应商承担，并承担政府采购虚假竞标的相关法律责任。</w:t>
            </w:r>
          </w:p>
        </w:tc>
      </w:tr>
      <w:tr w14:paraId="4705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613DE98B">
            <w:pPr>
              <w:spacing w:line="400" w:lineRule="exact"/>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售后服务要求</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47238C84">
            <w:pPr>
              <w:adjustRightInd/>
              <w:spacing w:line="400" w:lineRule="exact"/>
              <w:ind w:firstLine="420" w:firstLineChars="200"/>
              <w:textAlignment w:val="auto"/>
              <w:rPr>
                <w:rFonts w:hint="eastAsia"/>
                <w:color w:val="auto"/>
                <w:sz w:val="21"/>
                <w:szCs w:val="21"/>
                <w:highlight w:val="none"/>
              </w:rPr>
            </w:pPr>
            <w:r>
              <w:rPr>
                <w:rFonts w:hint="eastAsia"/>
                <w:color w:val="auto"/>
                <w:sz w:val="21"/>
                <w:szCs w:val="21"/>
                <w:highlight w:val="none"/>
              </w:rPr>
              <w:t>1、成交人必须负责项目系统设备送货、建设、安装调试与培训，免费提供设备操作培训，提供全套说明书；免费现场培训 2～3 名相关人员至掌握设备操作及日常维护。</w:t>
            </w:r>
          </w:p>
          <w:p w14:paraId="487AA3BF">
            <w:pPr>
              <w:adjustRightInd/>
              <w:spacing w:line="400" w:lineRule="exact"/>
              <w:ind w:firstLine="420" w:firstLineChars="200"/>
              <w:textAlignment w:val="auto"/>
              <w:rPr>
                <w:rFonts w:hint="eastAsia"/>
                <w:color w:val="auto"/>
                <w:sz w:val="21"/>
                <w:szCs w:val="21"/>
                <w:highlight w:val="none"/>
              </w:rPr>
            </w:pPr>
            <w:r>
              <w:rPr>
                <w:rFonts w:hint="eastAsia"/>
                <w:color w:val="auto"/>
                <w:sz w:val="21"/>
                <w:szCs w:val="21"/>
                <w:highlight w:val="none"/>
              </w:rPr>
              <w:t>2、设备如出现故障在接到用户通知后在1小时内响应，24小时内解决故障；未能在规定时间内排除故障的，必须在接到用户通知后48小时内提供同档次的备用机并提交故障解决处理方案。</w:t>
            </w:r>
          </w:p>
          <w:p w14:paraId="3BD1365B">
            <w:pPr>
              <w:adjustRightInd/>
              <w:spacing w:line="400" w:lineRule="exact"/>
              <w:ind w:firstLine="420" w:firstLineChars="200"/>
              <w:textAlignment w:val="auto"/>
              <w:rPr>
                <w:rFonts w:hint="eastAsia"/>
                <w:color w:val="auto"/>
                <w:sz w:val="21"/>
                <w:szCs w:val="21"/>
                <w:highlight w:val="none"/>
              </w:rPr>
            </w:pPr>
            <w:r>
              <w:rPr>
                <w:rFonts w:hint="eastAsia"/>
                <w:color w:val="auto"/>
                <w:sz w:val="21"/>
                <w:szCs w:val="21"/>
                <w:highlight w:val="none"/>
              </w:rPr>
              <w:t>3、质保期内所有货物提供免费上门维修服务、免费更换零部件；质保期过后提供免费电话咨询服务，免费维护期满后为有偿维护，维护费收取标准由竞标人或者竞标产品生产厂商根据具体情况提出方案后报业主审核，经双方协商后确认收费标准。</w:t>
            </w:r>
          </w:p>
          <w:p w14:paraId="11B3E6AA">
            <w:pPr>
              <w:adjustRightInd/>
              <w:spacing w:line="400" w:lineRule="exact"/>
              <w:ind w:firstLine="420" w:firstLineChars="200"/>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4、售后服务要求严格按照双方约定的合同条款执行。</w:t>
            </w:r>
          </w:p>
        </w:tc>
      </w:tr>
      <w:tr w14:paraId="784E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69EB7D94">
            <w:pPr>
              <w:spacing w:line="40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知识产权</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325033D7">
            <w:pPr>
              <w:pStyle w:val="8"/>
              <w:widowControl/>
              <w:topLinePunct/>
              <w:adjustRightInd w:val="0"/>
              <w:snapToGrid w:val="0"/>
              <w:spacing w:before="60" w:after="60" w:line="312" w:lineRule="auto"/>
              <w:ind w:firstLine="0" w:firstLineChars="0"/>
              <w:rPr>
                <w:rFonts w:hint="eastAsia"/>
                <w:color w:val="auto"/>
                <w:sz w:val="21"/>
                <w:szCs w:val="21"/>
                <w:highlight w:val="none"/>
              </w:rPr>
            </w:pPr>
            <w:r>
              <w:rPr>
                <w:rFonts w:hint="eastAsia"/>
                <w:color w:val="auto"/>
                <w:sz w:val="21"/>
                <w:szCs w:val="21"/>
                <w:highlight w:val="none"/>
              </w:rPr>
              <w:t>1、成交人必须负责项目系统设备送货、建设、安装调试与培训，免费提供设备操作培训，提供全套说明书；免费现场培训 2～3 名相关人员至掌握设备操作及日常维护。</w:t>
            </w:r>
          </w:p>
          <w:p w14:paraId="5BB3D8F9">
            <w:pPr>
              <w:pStyle w:val="8"/>
              <w:widowControl/>
              <w:topLinePunct/>
              <w:adjustRightInd w:val="0"/>
              <w:snapToGrid w:val="0"/>
              <w:spacing w:before="60" w:after="60" w:line="312" w:lineRule="auto"/>
              <w:ind w:firstLine="0" w:firstLineChars="0"/>
              <w:rPr>
                <w:rFonts w:hint="eastAsia"/>
                <w:color w:val="auto"/>
                <w:sz w:val="21"/>
                <w:szCs w:val="21"/>
                <w:highlight w:val="none"/>
              </w:rPr>
            </w:pPr>
            <w:r>
              <w:rPr>
                <w:rFonts w:hint="eastAsia"/>
                <w:color w:val="auto"/>
                <w:sz w:val="21"/>
                <w:szCs w:val="21"/>
                <w:highlight w:val="none"/>
              </w:rPr>
              <w:t>2、设备如出现故障在接到用户通知后在1小时内响应，24小时内解决故障；未能在规定时间内排除故障的，必须在接到用户通知后48小时内提供同档次的备用机并提交故障解决处理方案。</w:t>
            </w:r>
          </w:p>
          <w:p w14:paraId="67281999">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color w:val="auto"/>
                <w:sz w:val="21"/>
                <w:szCs w:val="21"/>
                <w:highlight w:val="none"/>
              </w:rPr>
              <w:t>3、质保期内所有货物提供免费上门维修服务、免费更换零部件；质保期过后提供免费电话咨询服务，免费维护期满后为有偿维护，维护费收取标准由竞标人或者竞标产品生产厂商根据具体情况提出方案后报业主审核，经双方协商后确认收费标准。</w:t>
            </w:r>
          </w:p>
        </w:tc>
      </w:tr>
    </w:tbl>
    <w:p w14:paraId="129003F0">
      <w:pPr>
        <w:spacing w:line="360" w:lineRule="auto"/>
        <w:rPr>
          <w:rFonts w:hint="eastAsia" w:ascii="宋体" w:hAnsi="宋体"/>
          <w:color w:val="auto"/>
          <w:szCs w:val="21"/>
          <w:highlight w:val="none"/>
        </w:rPr>
      </w:pPr>
    </w:p>
    <w:p w14:paraId="101DCF85">
      <w:pPr>
        <w:rPr>
          <w:rFonts w:hint="eastAsia" w:ascii="宋体" w:hAnsi="宋体"/>
          <w:color w:val="auto"/>
          <w:szCs w:val="21"/>
          <w:highlight w:val="none"/>
        </w:rPr>
      </w:pPr>
      <w:r>
        <w:rPr>
          <w:rFonts w:hint="eastAsia" w:ascii="宋体" w:hAnsi="宋体"/>
          <w:color w:val="auto"/>
          <w:szCs w:val="21"/>
          <w:highlight w:val="none"/>
        </w:rPr>
        <w:br w:type="page"/>
      </w:r>
    </w:p>
    <w:p w14:paraId="69C5D55B">
      <w:pPr>
        <w:pStyle w:val="3"/>
        <w:bidi w:val="0"/>
        <w:rPr>
          <w:rFonts w:hint="eastAsia" w:ascii="宋体" w:hAnsi="宋体"/>
          <w:b/>
          <w:bCs/>
          <w:color w:val="auto"/>
          <w:szCs w:val="21"/>
          <w:highlight w:val="none"/>
          <w:lang w:val="en-US" w:eastAsia="zh-CN"/>
        </w:rPr>
      </w:pPr>
      <w:r>
        <w:rPr>
          <w:rFonts w:hint="eastAsia"/>
          <w:lang w:val="en-US" w:eastAsia="zh-CN"/>
        </w:rPr>
        <w:t>B分标：省级学生技能比赛的承办项目</w:t>
      </w:r>
    </w:p>
    <w:tbl>
      <w:tblPr>
        <w:tblStyle w:val="20"/>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857"/>
        <w:gridCol w:w="830"/>
        <w:gridCol w:w="1400"/>
        <w:gridCol w:w="5599"/>
      </w:tblGrid>
      <w:tr w14:paraId="4B13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210" w:type="dxa"/>
            <w:gridSpan w:val="5"/>
            <w:tcBorders>
              <w:top w:val="single" w:color="auto" w:sz="4" w:space="0"/>
              <w:left w:val="single" w:color="auto" w:sz="4" w:space="0"/>
              <w:bottom w:val="single" w:color="auto" w:sz="4" w:space="0"/>
              <w:right w:val="single" w:color="auto" w:sz="4" w:space="0"/>
            </w:tcBorders>
            <w:noWrap w:val="0"/>
            <w:vAlign w:val="center"/>
          </w:tcPr>
          <w:p w14:paraId="58628D17">
            <w:pPr>
              <w:pStyle w:val="15"/>
              <w:spacing w:line="340" w:lineRule="exact"/>
              <w:jc w:val="center"/>
              <w:rPr>
                <w:rFonts w:hint="default" w:hAnsi="宋体" w:eastAsia="宋体"/>
                <w:b/>
                <w:color w:val="auto"/>
                <w:sz w:val="21"/>
                <w:szCs w:val="21"/>
                <w:highlight w:val="none"/>
                <w:lang w:val="en-US" w:eastAsia="zh-CN"/>
              </w:rPr>
            </w:pPr>
            <w:bookmarkStart w:id="80" w:name="OLE_LINK2" w:colFirst="0" w:colLast="3"/>
            <w:r>
              <w:rPr>
                <w:rFonts w:hint="eastAsia" w:hAnsi="宋体"/>
                <w:b/>
                <w:color w:val="auto"/>
                <w:sz w:val="21"/>
                <w:szCs w:val="21"/>
                <w:highlight w:val="none"/>
                <w:lang w:val="en-US" w:eastAsia="zh-CN"/>
              </w:rPr>
              <w:t>服务概述</w:t>
            </w:r>
          </w:p>
        </w:tc>
      </w:tr>
      <w:tr w14:paraId="3A96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9210" w:type="dxa"/>
            <w:gridSpan w:val="5"/>
            <w:tcBorders>
              <w:top w:val="single" w:color="auto" w:sz="4" w:space="0"/>
              <w:left w:val="single" w:color="auto" w:sz="4" w:space="0"/>
              <w:bottom w:val="single" w:color="auto" w:sz="4" w:space="0"/>
              <w:right w:val="single" w:color="auto" w:sz="4" w:space="0"/>
            </w:tcBorders>
            <w:noWrap w:val="0"/>
            <w:vAlign w:val="center"/>
          </w:tcPr>
          <w:p w14:paraId="09D52662">
            <w:pPr>
              <w:pStyle w:val="15"/>
              <w:spacing w:line="34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省级技能大赛承办综合服务</w:t>
            </w:r>
          </w:p>
          <w:p w14:paraId="494210D9">
            <w:pPr>
              <w:pStyle w:val="15"/>
              <w:spacing w:line="34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1.2026 广西大学生消防灭火系统安装与调试技能大赛承办服务，包括赛场布置、设备耗材、裁判劳务、人员食宿交通、宣传物料、安全保障、开闭幕式、成绩评定等。</w:t>
            </w:r>
          </w:p>
          <w:p w14:paraId="18AC7A71">
            <w:pPr>
              <w:pStyle w:val="15"/>
              <w:spacing w:line="340" w:lineRule="exact"/>
              <w:ind w:firstLine="420" w:firstLineChars="200"/>
              <w:jc w:val="left"/>
              <w:rPr>
                <w:rFonts w:hint="eastAsia" w:hAnsi="宋体"/>
                <w:b/>
                <w:color w:val="auto"/>
                <w:sz w:val="21"/>
                <w:szCs w:val="21"/>
                <w:highlight w:val="none"/>
              </w:rPr>
            </w:pPr>
            <w:r>
              <w:rPr>
                <w:rFonts w:hint="eastAsia" w:ascii="宋体" w:hAnsi="宋体" w:eastAsia="宋体" w:cs="宋体"/>
                <w:color w:val="auto"/>
                <w:kern w:val="2"/>
                <w:sz w:val="21"/>
                <w:szCs w:val="21"/>
                <w:highlight w:val="none"/>
                <w:lang w:val="en-US" w:eastAsia="zh-CN" w:bidi="ar-SA"/>
              </w:rPr>
              <w:t>2.2026第五届广西大学生应急救援技术大赛承办服务，包括赛场搭建、设备租赁、裁判专家、考务组织、餐饮住宿、交通保障、物料制作、奖项颁发、应急安全保障等。</w:t>
            </w:r>
          </w:p>
        </w:tc>
      </w:tr>
      <w:tr w14:paraId="4375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524" w:type="dxa"/>
            <w:tcBorders>
              <w:top w:val="single" w:color="auto" w:sz="4" w:space="0"/>
              <w:left w:val="single" w:color="auto" w:sz="4" w:space="0"/>
              <w:bottom w:val="single" w:color="auto" w:sz="4" w:space="0"/>
              <w:right w:val="single" w:color="auto" w:sz="4" w:space="0"/>
            </w:tcBorders>
            <w:noWrap w:val="0"/>
            <w:vAlign w:val="center"/>
          </w:tcPr>
          <w:p w14:paraId="5AA6C132">
            <w:pPr>
              <w:pStyle w:val="15"/>
              <w:spacing w:line="340" w:lineRule="exact"/>
              <w:jc w:val="center"/>
              <w:rPr>
                <w:rFonts w:hAnsi="宋体"/>
                <w:b/>
                <w:color w:val="auto"/>
                <w:sz w:val="21"/>
                <w:szCs w:val="21"/>
                <w:highlight w:val="none"/>
              </w:rPr>
            </w:pPr>
            <w:r>
              <w:rPr>
                <w:rFonts w:hint="eastAsia" w:hAnsi="宋体"/>
                <w:b/>
                <w:color w:val="auto"/>
                <w:sz w:val="21"/>
                <w:szCs w:val="21"/>
                <w:highlight w:val="none"/>
              </w:rPr>
              <w:t>序号</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2B88379E">
            <w:pPr>
              <w:pStyle w:val="15"/>
              <w:spacing w:line="340" w:lineRule="exact"/>
              <w:jc w:val="center"/>
              <w:rPr>
                <w:rFonts w:hint="eastAsia" w:hAnsi="宋体" w:eastAsia="宋体"/>
                <w:b/>
                <w:color w:val="auto"/>
                <w:sz w:val="21"/>
                <w:szCs w:val="21"/>
                <w:highlight w:val="none"/>
                <w:lang w:eastAsia="zh-CN"/>
              </w:rPr>
            </w:pPr>
            <w:r>
              <w:rPr>
                <w:rFonts w:hint="eastAsia" w:hAnsi="宋体"/>
                <w:b/>
                <w:color w:val="auto"/>
                <w:sz w:val="21"/>
                <w:szCs w:val="21"/>
                <w:highlight w:val="none"/>
                <w:lang w:eastAsia="zh-CN"/>
              </w:rPr>
              <w:t>采购项</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50F6F82">
            <w:pPr>
              <w:pStyle w:val="15"/>
              <w:spacing w:line="340" w:lineRule="exact"/>
              <w:jc w:val="center"/>
              <w:rPr>
                <w:rFonts w:hint="eastAsia" w:hAnsi="宋体" w:eastAsia="宋体"/>
                <w:b/>
                <w:color w:val="auto"/>
                <w:sz w:val="21"/>
                <w:szCs w:val="21"/>
                <w:highlight w:val="none"/>
                <w:lang w:val="en-US" w:eastAsia="zh-CN"/>
              </w:rPr>
            </w:pPr>
            <w:r>
              <w:rPr>
                <w:rFonts w:hint="eastAsia" w:hAnsi="宋体"/>
                <w:b/>
                <w:color w:val="auto"/>
                <w:sz w:val="21"/>
                <w:szCs w:val="21"/>
                <w:highlight w:val="none"/>
              </w:rPr>
              <w:t>数量</w:t>
            </w:r>
            <w:r>
              <w:rPr>
                <w:rFonts w:hint="eastAsia" w:hAnsi="宋体"/>
                <w:b/>
                <w:color w:val="auto"/>
                <w:sz w:val="21"/>
                <w:szCs w:val="21"/>
                <w:highlight w:val="none"/>
                <w:lang w:val="en-US" w:eastAsia="zh-CN"/>
              </w:rPr>
              <w:t>及单位</w:t>
            </w:r>
          </w:p>
        </w:tc>
        <w:tc>
          <w:tcPr>
            <w:tcW w:w="5599" w:type="dxa"/>
            <w:tcBorders>
              <w:top w:val="single" w:color="auto" w:sz="4" w:space="0"/>
              <w:left w:val="single" w:color="auto" w:sz="4" w:space="0"/>
              <w:bottom w:val="single" w:color="auto" w:sz="4" w:space="0"/>
              <w:right w:val="single" w:color="auto" w:sz="4" w:space="0"/>
            </w:tcBorders>
            <w:noWrap w:val="0"/>
            <w:vAlign w:val="center"/>
          </w:tcPr>
          <w:p w14:paraId="513A951C">
            <w:pPr>
              <w:pStyle w:val="15"/>
              <w:spacing w:line="340" w:lineRule="exact"/>
              <w:jc w:val="center"/>
              <w:rPr>
                <w:rFonts w:hint="eastAsia" w:hAnsi="宋体"/>
                <w:b/>
                <w:color w:val="auto"/>
                <w:sz w:val="21"/>
                <w:szCs w:val="21"/>
                <w:highlight w:val="none"/>
              </w:rPr>
            </w:pPr>
            <w:r>
              <w:rPr>
                <w:rFonts w:hint="eastAsia" w:hAnsi="宋体"/>
                <w:b/>
                <w:color w:val="auto"/>
                <w:sz w:val="21"/>
                <w:szCs w:val="21"/>
                <w:highlight w:val="none"/>
              </w:rPr>
              <w:t>服务内容和要求</w:t>
            </w:r>
          </w:p>
        </w:tc>
      </w:tr>
      <w:tr w14:paraId="5BC5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restart"/>
            <w:tcBorders>
              <w:top w:val="single" w:color="auto" w:sz="4" w:space="0"/>
              <w:left w:val="single" w:color="auto" w:sz="4" w:space="0"/>
              <w:right w:val="single" w:color="auto" w:sz="4" w:space="0"/>
            </w:tcBorders>
            <w:noWrap w:val="0"/>
            <w:vAlign w:val="center"/>
          </w:tcPr>
          <w:p w14:paraId="003702A2">
            <w:pPr>
              <w:pStyle w:val="16"/>
              <w:numPr>
                <w:ilvl w:val="0"/>
                <w:numId w:val="0"/>
              </w:numPr>
              <w:ind w:left="0" w:leftChars="0" w:firstLine="0" w:firstLineChars="0"/>
              <w:jc w:val="center"/>
              <w:rPr>
                <w:rFonts w:hint="eastAsia" w:hAnsi="宋体" w:eastAsia="宋体"/>
                <w:b/>
                <w:color w:val="auto"/>
                <w:sz w:val="21"/>
                <w:szCs w:val="21"/>
                <w:highlight w:val="none"/>
                <w:lang w:val="en-US" w:eastAsia="zh-CN"/>
              </w:rPr>
            </w:pPr>
            <w:r>
              <w:rPr>
                <w:rFonts w:hint="eastAsia" w:ascii="仿宋" w:hAnsi="仿宋" w:eastAsia="仿宋" w:cs="仿宋"/>
                <w:i w:val="0"/>
                <w:iCs w:val="0"/>
                <w:color w:val="000000"/>
                <w:kern w:val="0"/>
                <w:sz w:val="21"/>
                <w:szCs w:val="21"/>
                <w:u w:val="none"/>
                <w:lang w:val="en-US" w:eastAsia="zh-CN" w:bidi="ar"/>
              </w:rPr>
              <w:t>1</w:t>
            </w:r>
          </w:p>
        </w:tc>
        <w:tc>
          <w:tcPr>
            <w:tcW w:w="1687" w:type="dxa"/>
            <w:gridSpan w:val="2"/>
            <w:vMerge w:val="restart"/>
            <w:tcBorders>
              <w:top w:val="single" w:color="auto" w:sz="4" w:space="0"/>
              <w:left w:val="single" w:color="auto" w:sz="4" w:space="0"/>
              <w:right w:val="single" w:color="auto" w:sz="4" w:space="0"/>
            </w:tcBorders>
            <w:noWrap w:val="0"/>
            <w:vAlign w:val="center"/>
          </w:tcPr>
          <w:p w14:paraId="1381DD7A">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人员费用（第五届应急救援技术大赛）</w:t>
            </w:r>
          </w:p>
        </w:tc>
        <w:tc>
          <w:tcPr>
            <w:tcW w:w="1400" w:type="dxa"/>
            <w:tcBorders>
              <w:top w:val="single" w:color="auto" w:sz="4" w:space="0"/>
              <w:left w:val="single" w:color="auto" w:sz="4" w:space="0"/>
              <w:right w:val="single" w:color="auto" w:sz="4" w:space="0"/>
            </w:tcBorders>
            <w:noWrap w:val="0"/>
            <w:vAlign w:val="center"/>
          </w:tcPr>
          <w:p w14:paraId="5BF4F943">
            <w:pPr>
              <w:spacing w:line="340" w:lineRule="exact"/>
              <w:jc w:val="center"/>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1人</w:t>
            </w:r>
          </w:p>
        </w:tc>
        <w:tc>
          <w:tcPr>
            <w:tcW w:w="5599" w:type="dxa"/>
            <w:tcBorders>
              <w:top w:val="single" w:color="auto" w:sz="4" w:space="0"/>
              <w:left w:val="single" w:color="auto" w:sz="4" w:space="0"/>
              <w:right w:val="single" w:color="auto" w:sz="4" w:space="0"/>
            </w:tcBorders>
            <w:noWrap w:val="0"/>
            <w:vAlign w:val="top"/>
          </w:tcPr>
          <w:p w14:paraId="3E63D221">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lang w:val="en-US" w:eastAsia="zh-CN"/>
              </w:rPr>
              <w:t>主裁劳务费（预计三天，含税）</w:t>
            </w:r>
          </w:p>
        </w:tc>
      </w:tr>
      <w:tr w14:paraId="7740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54169487">
            <w:pPr>
              <w:pStyle w:val="16"/>
              <w:numPr>
                <w:ilvl w:val="0"/>
                <w:numId w:val="0"/>
              </w:numPr>
              <w:ind w:left="0" w:leftChars="0" w:firstLine="0" w:firstLineChars="0"/>
              <w:jc w:val="center"/>
              <w:rPr>
                <w:rFonts w:hint="default"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15E2A857">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right w:val="single" w:color="auto" w:sz="4" w:space="0"/>
            </w:tcBorders>
            <w:noWrap w:val="0"/>
            <w:vAlign w:val="center"/>
          </w:tcPr>
          <w:p w14:paraId="7B2E5F35">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8人</w:t>
            </w:r>
          </w:p>
        </w:tc>
        <w:tc>
          <w:tcPr>
            <w:tcW w:w="5599" w:type="dxa"/>
            <w:tcBorders>
              <w:top w:val="single" w:color="auto" w:sz="4" w:space="0"/>
              <w:left w:val="single" w:color="auto" w:sz="4" w:space="0"/>
              <w:right w:val="single" w:color="auto" w:sz="4" w:space="0"/>
            </w:tcBorders>
            <w:noWrap w:val="0"/>
            <w:vAlign w:val="top"/>
          </w:tcPr>
          <w:p w14:paraId="59E0C4EA">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lang w:val="en-US" w:eastAsia="zh-CN"/>
              </w:rPr>
              <w:t>裁判员、专家劳务费（预计三天，含税）</w:t>
            </w:r>
          </w:p>
        </w:tc>
      </w:tr>
      <w:tr w14:paraId="5FD7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056AC2C6">
            <w:pPr>
              <w:pStyle w:val="16"/>
              <w:numPr>
                <w:ilvl w:val="0"/>
                <w:numId w:val="0"/>
              </w:numPr>
              <w:ind w:left="0" w:leftChars="0" w:firstLine="0" w:firstLineChars="0"/>
              <w:jc w:val="center"/>
              <w:rPr>
                <w:rFonts w:hint="default"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0345481A">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ECEF650">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9人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54061068">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裁判员往返交通费</w:t>
            </w:r>
            <w:r>
              <w:rPr>
                <w:rFonts w:hint="eastAsia" w:ascii="Times New Roman" w:hAnsi="宋体" w:cs="Times New Roman"/>
                <w:b w:val="0"/>
                <w:bCs/>
                <w:color w:val="auto"/>
                <w:sz w:val="21"/>
                <w:szCs w:val="21"/>
                <w:highlight w:val="none"/>
                <w:lang w:eastAsia="zh-CN"/>
              </w:rPr>
              <w:t>（承担相关交通费）</w:t>
            </w:r>
          </w:p>
        </w:tc>
      </w:tr>
      <w:tr w14:paraId="2C97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1A59816E">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6879A583">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9305CF1">
            <w:pPr>
              <w:spacing w:line="340" w:lineRule="exact"/>
              <w:jc w:val="center"/>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30人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26B9557E">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工作人员劳务费</w:t>
            </w:r>
            <w:r>
              <w:rPr>
                <w:rFonts w:hint="eastAsia" w:ascii="Times New Roman" w:hAnsi="宋体" w:cs="Times New Roman"/>
                <w:b w:val="0"/>
                <w:bCs/>
                <w:color w:val="auto"/>
                <w:sz w:val="21"/>
                <w:szCs w:val="21"/>
                <w:highlight w:val="none"/>
                <w:lang w:eastAsia="zh-CN"/>
              </w:rPr>
              <w:t>（按照4天计）</w:t>
            </w:r>
          </w:p>
        </w:tc>
      </w:tr>
      <w:tr w14:paraId="6D01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008470DE">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7941FAE6">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B1BE4D5">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30人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5E53EC9A">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志愿者</w:t>
            </w:r>
            <w:r>
              <w:rPr>
                <w:rFonts w:hint="eastAsia" w:ascii="Times New Roman" w:hAnsi="宋体" w:cs="Times New Roman"/>
                <w:b w:val="0"/>
                <w:bCs/>
                <w:color w:val="auto"/>
                <w:sz w:val="21"/>
                <w:szCs w:val="21"/>
                <w:highlight w:val="none"/>
                <w:lang w:eastAsia="zh-CN"/>
              </w:rPr>
              <w:t>（提供二课学分和餐票）</w:t>
            </w:r>
          </w:p>
        </w:tc>
      </w:tr>
      <w:tr w14:paraId="380B8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bottom w:val="single" w:color="auto" w:sz="4" w:space="0"/>
              <w:right w:val="single" w:color="auto" w:sz="4" w:space="0"/>
            </w:tcBorders>
            <w:noWrap w:val="0"/>
            <w:vAlign w:val="center"/>
          </w:tcPr>
          <w:p w14:paraId="03F1978C">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bottom w:val="single" w:color="auto" w:sz="4" w:space="0"/>
              <w:right w:val="single" w:color="auto" w:sz="4" w:space="0"/>
            </w:tcBorders>
            <w:noWrap w:val="0"/>
            <w:vAlign w:val="center"/>
          </w:tcPr>
          <w:p w14:paraId="137F3C42">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6A7446F">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30件</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4A81D466">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志愿者服装</w:t>
            </w:r>
            <w:r>
              <w:rPr>
                <w:rFonts w:hint="eastAsia" w:ascii="Times New Roman" w:hAnsi="宋体" w:cs="Times New Roman"/>
                <w:b w:val="0"/>
                <w:bCs/>
                <w:color w:val="auto"/>
                <w:sz w:val="21"/>
                <w:szCs w:val="21"/>
                <w:highlight w:val="none"/>
                <w:lang w:eastAsia="zh-CN"/>
              </w:rPr>
              <w:t>（使用系部或团委原有衣服）</w:t>
            </w:r>
          </w:p>
        </w:tc>
      </w:tr>
      <w:tr w14:paraId="5A76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restart"/>
            <w:tcBorders>
              <w:top w:val="single" w:color="auto" w:sz="4" w:space="0"/>
              <w:left w:val="single" w:color="auto" w:sz="4" w:space="0"/>
              <w:right w:val="single" w:color="auto" w:sz="4" w:space="0"/>
            </w:tcBorders>
            <w:noWrap w:val="0"/>
            <w:vAlign w:val="center"/>
          </w:tcPr>
          <w:p w14:paraId="36D26595">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2</w:t>
            </w:r>
          </w:p>
        </w:tc>
        <w:tc>
          <w:tcPr>
            <w:tcW w:w="1687" w:type="dxa"/>
            <w:gridSpan w:val="2"/>
            <w:vMerge w:val="restart"/>
            <w:tcBorders>
              <w:top w:val="single" w:color="auto" w:sz="4" w:space="0"/>
              <w:left w:val="single" w:color="auto" w:sz="4" w:space="0"/>
              <w:right w:val="single" w:color="auto" w:sz="4" w:space="0"/>
            </w:tcBorders>
            <w:noWrap w:val="0"/>
            <w:vAlign w:val="center"/>
          </w:tcPr>
          <w:p w14:paraId="33CAA5B4">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餐饮费（第五届应急救援技术大赛）</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A2713E0">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9人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6D94E913">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lang w:eastAsia="zh-CN"/>
              </w:rPr>
              <w:t>裁判、专家、技术员餐饮费（提供3天中晚餐订餐与参赛队分开就餐）</w:t>
            </w:r>
          </w:p>
        </w:tc>
      </w:tr>
      <w:tr w14:paraId="4AB9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471ABD25">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17615D3F">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843DDFE">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165</w:t>
            </w:r>
            <w:r>
              <w:rPr>
                <w:rFonts w:hint="eastAsia" w:ascii="Times New Roman" w:hAnsi="宋体" w:cs="Times New Roman"/>
                <w:b w:val="0"/>
                <w:bCs/>
                <w:color w:val="auto"/>
                <w:sz w:val="21"/>
                <w:szCs w:val="21"/>
                <w:highlight w:val="none"/>
                <w:lang w:val="en-US" w:eastAsia="zh-CN"/>
              </w:rPr>
              <w:t>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54B923C0">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rPr>
              <w:t>领队、指导老师、选手餐饮费</w:t>
            </w:r>
            <w:r>
              <w:rPr>
                <w:rFonts w:hint="eastAsia" w:ascii="Times New Roman" w:hAnsi="宋体" w:cs="Times New Roman"/>
                <w:b w:val="0"/>
                <w:bCs/>
                <w:color w:val="auto"/>
                <w:sz w:val="21"/>
                <w:szCs w:val="21"/>
                <w:highlight w:val="none"/>
                <w:lang w:val="en-US" w:eastAsia="zh-CN"/>
              </w:rPr>
              <w:t>（</w:t>
            </w:r>
            <w:r>
              <w:rPr>
                <w:rFonts w:hint="eastAsia" w:ascii="Times New Roman" w:hAnsi="宋体" w:cs="Times New Roman"/>
                <w:b w:val="0"/>
                <w:bCs/>
                <w:color w:val="auto"/>
                <w:sz w:val="21"/>
                <w:szCs w:val="21"/>
                <w:highlight w:val="none"/>
              </w:rPr>
              <w:t>提供3天中晚餐，学校任意食堂窗口，凭票取</w:t>
            </w:r>
            <w:r>
              <w:rPr>
                <w:rFonts w:hint="eastAsia" w:ascii="Times New Roman" w:hAnsi="宋体" w:cs="Times New Roman"/>
                <w:b w:val="0"/>
                <w:bCs/>
                <w:color w:val="auto"/>
                <w:sz w:val="21"/>
                <w:szCs w:val="21"/>
                <w:highlight w:val="none"/>
                <w:lang w:eastAsia="zh-CN"/>
              </w:rPr>
              <w:t>）</w:t>
            </w:r>
          </w:p>
        </w:tc>
      </w:tr>
      <w:tr w14:paraId="421C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17D6E40F">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7F47ECBA">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DACDA56">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60</w:t>
            </w:r>
            <w:r>
              <w:rPr>
                <w:rFonts w:hint="eastAsia" w:ascii="Times New Roman" w:hAnsi="宋体" w:cs="Times New Roman"/>
                <w:b w:val="0"/>
                <w:bCs/>
                <w:color w:val="auto"/>
                <w:sz w:val="21"/>
                <w:szCs w:val="21"/>
                <w:highlight w:val="none"/>
                <w:lang w:val="en-US" w:eastAsia="zh-CN"/>
              </w:rPr>
              <w:t>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24FE4CC8">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rPr>
              <w:t>工作人员、志愿者餐饮费</w:t>
            </w:r>
            <w:r>
              <w:rPr>
                <w:rFonts w:hint="eastAsia" w:ascii="Times New Roman" w:hAnsi="宋体" w:cs="Times New Roman"/>
                <w:b w:val="0"/>
                <w:bCs/>
                <w:color w:val="auto"/>
                <w:sz w:val="21"/>
                <w:szCs w:val="21"/>
                <w:highlight w:val="none"/>
                <w:lang w:eastAsia="zh-CN"/>
              </w:rPr>
              <w:t>（提供4天中晚餐，学校任意食堂窗口，凭票取餐）</w:t>
            </w:r>
          </w:p>
        </w:tc>
      </w:tr>
      <w:tr w14:paraId="5BBB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bottom w:val="single" w:color="auto" w:sz="4" w:space="0"/>
              <w:right w:val="single" w:color="auto" w:sz="4" w:space="0"/>
            </w:tcBorders>
            <w:noWrap w:val="0"/>
            <w:vAlign w:val="center"/>
          </w:tcPr>
          <w:p w14:paraId="0650589D">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bottom w:val="single" w:color="auto" w:sz="4" w:space="0"/>
              <w:right w:val="single" w:color="auto" w:sz="4" w:space="0"/>
            </w:tcBorders>
            <w:noWrap w:val="0"/>
            <w:vAlign w:val="center"/>
          </w:tcPr>
          <w:p w14:paraId="45231808">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41BC6D1">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0CCDEA62">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在赛项现场提供瓶装水（不低于1500瓶）等</w:t>
            </w:r>
          </w:p>
        </w:tc>
      </w:tr>
      <w:tr w14:paraId="3339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tcBorders>
              <w:top w:val="single" w:color="auto" w:sz="4" w:space="0"/>
              <w:left w:val="single" w:color="auto" w:sz="4" w:space="0"/>
              <w:bottom w:val="single" w:color="auto" w:sz="4" w:space="0"/>
              <w:right w:val="single" w:color="auto" w:sz="4" w:space="0"/>
            </w:tcBorders>
            <w:noWrap w:val="0"/>
            <w:vAlign w:val="center"/>
          </w:tcPr>
          <w:p w14:paraId="0EA15BB4">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3</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29D4D67C">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住宿费（第五届应急救援技术大赛）</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D2605D1">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9人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74DC6A68">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拟安排裁判专家入住武鸣区酒店，11日入住，14号退房，共3晚。</w:t>
            </w:r>
          </w:p>
        </w:tc>
      </w:tr>
      <w:tr w14:paraId="7D3A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restart"/>
            <w:tcBorders>
              <w:top w:val="single" w:color="auto" w:sz="4" w:space="0"/>
              <w:left w:val="single" w:color="auto" w:sz="4" w:space="0"/>
              <w:right w:val="single" w:color="auto" w:sz="4" w:space="0"/>
            </w:tcBorders>
            <w:noWrap w:val="0"/>
            <w:vAlign w:val="center"/>
          </w:tcPr>
          <w:p w14:paraId="4ECFA06B">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4</w:t>
            </w:r>
          </w:p>
        </w:tc>
        <w:tc>
          <w:tcPr>
            <w:tcW w:w="1687" w:type="dxa"/>
            <w:gridSpan w:val="2"/>
            <w:vMerge w:val="restart"/>
            <w:tcBorders>
              <w:top w:val="single" w:color="auto" w:sz="4" w:space="0"/>
              <w:left w:val="single" w:color="auto" w:sz="4" w:space="0"/>
              <w:right w:val="single" w:color="auto" w:sz="4" w:space="0"/>
            </w:tcBorders>
            <w:noWrap w:val="0"/>
            <w:vAlign w:val="center"/>
          </w:tcPr>
          <w:p w14:paraId="5004D433">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场地物料布置（第五届应急救援技术大赛）</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43D97B8">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61平方</w:t>
            </w:r>
            <w:r>
              <w:rPr>
                <w:rFonts w:hint="eastAsia" w:ascii="Times New Roman" w:hAnsi="宋体" w:cs="Times New Roman"/>
                <w:b w:val="0"/>
                <w:bCs/>
                <w:color w:val="auto"/>
                <w:sz w:val="21"/>
                <w:szCs w:val="21"/>
                <w:highlight w:val="none"/>
                <w:lang w:val="en-US" w:eastAsia="zh-CN"/>
              </w:rPr>
              <w:t>米</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41DE4D6E">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南大门口桁架背景【1米+9米+1米】X高（4.5米+1米）</w:t>
            </w:r>
          </w:p>
        </w:tc>
      </w:tr>
      <w:tr w14:paraId="717A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09708632">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46A29390">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6C72D62">
            <w:pPr>
              <w:spacing w:line="340" w:lineRule="exact"/>
              <w:jc w:val="center"/>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val="en-US" w:eastAsia="zh-CN"/>
              </w:rPr>
              <w:t>50</w:t>
            </w:r>
            <w:r>
              <w:rPr>
                <w:rFonts w:hint="eastAsia" w:ascii="Times New Roman" w:hAnsi="宋体" w:cs="Times New Roman"/>
                <w:b w:val="0"/>
                <w:bCs/>
                <w:color w:val="auto"/>
                <w:sz w:val="21"/>
                <w:szCs w:val="21"/>
                <w:highlight w:val="none"/>
                <w:lang w:eastAsia="zh-CN"/>
              </w:rPr>
              <w:t>平方</w:t>
            </w:r>
            <w:r>
              <w:rPr>
                <w:rFonts w:hint="eastAsia" w:ascii="Times New Roman" w:hAnsi="宋体" w:cs="Times New Roman"/>
                <w:b w:val="0"/>
                <w:bCs/>
                <w:color w:val="auto"/>
                <w:sz w:val="21"/>
                <w:szCs w:val="21"/>
                <w:highlight w:val="none"/>
                <w:lang w:val="en-US" w:eastAsia="zh-CN"/>
              </w:rPr>
              <w:t>米</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5362C004">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教学楼桁架背景【1米+8米+1米】X高（4米+1米）</w:t>
            </w:r>
          </w:p>
        </w:tc>
      </w:tr>
      <w:tr w14:paraId="3CF4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66051134">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6E07A262">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EB792FE">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20块</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33303A77">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指引牌、立牌80*60</w:t>
            </w:r>
          </w:p>
        </w:tc>
      </w:tr>
      <w:tr w14:paraId="735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2203B891">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4A08EFBA">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A714D7B">
            <w:pPr>
              <w:spacing w:line="340" w:lineRule="exact"/>
              <w:jc w:val="center"/>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50幅</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22084E9D">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道旗画面（旗帜布印制1.2*3.5米）</w:t>
            </w:r>
          </w:p>
        </w:tc>
      </w:tr>
      <w:tr w14:paraId="10DE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6A37A613">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40CF602B">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7EEE729">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200</w:t>
            </w:r>
            <w:r>
              <w:rPr>
                <w:rFonts w:hint="eastAsia" w:ascii="Times New Roman" w:hAnsi="宋体" w:cs="Times New Roman"/>
                <w:b w:val="0"/>
                <w:bCs/>
                <w:color w:val="auto"/>
                <w:sz w:val="21"/>
                <w:szCs w:val="21"/>
                <w:highlight w:val="none"/>
                <w:lang w:val="en-US" w:eastAsia="zh-CN"/>
              </w:rPr>
              <w:t>米</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4A429A59">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lang w:eastAsia="zh-CN"/>
              </w:rPr>
              <w:t>旗帜布横幅</w:t>
            </w:r>
          </w:p>
        </w:tc>
      </w:tr>
      <w:tr w14:paraId="0EA9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1C5DDDDB">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4E4E0771">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63B1A9E">
            <w:pPr>
              <w:spacing w:line="340" w:lineRule="exact"/>
              <w:jc w:val="center"/>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130张</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2F839B2E">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参赛52、领队8、指导老师444、裁判6、工作人员20吊牌（双面）</w:t>
            </w:r>
          </w:p>
        </w:tc>
      </w:tr>
      <w:tr w14:paraId="4100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5EC5F5D3">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67235EED">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AF2F6D4">
            <w:pPr>
              <w:spacing w:line="340" w:lineRule="exact"/>
              <w:jc w:val="center"/>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130套</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1CEE7B8F">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工作牌+绳子</w:t>
            </w:r>
          </w:p>
        </w:tc>
      </w:tr>
      <w:tr w14:paraId="69D2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4B006427">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3C3465ED">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545752D">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40</w:t>
            </w:r>
            <w:r>
              <w:rPr>
                <w:rFonts w:hint="eastAsia" w:ascii="Times New Roman" w:hAnsi="宋体" w:cs="Times New Roman"/>
                <w:b w:val="0"/>
                <w:bCs/>
                <w:color w:val="auto"/>
                <w:sz w:val="21"/>
                <w:szCs w:val="21"/>
                <w:highlight w:val="none"/>
                <w:lang w:val="en-US" w:eastAsia="zh-CN"/>
              </w:rPr>
              <w:t>份</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34ECE1EF">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赛项指南打印（彩2+黑白21）</w:t>
            </w:r>
          </w:p>
        </w:tc>
      </w:tr>
      <w:tr w14:paraId="1539C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309B6E2E">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30988D40">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EB68E17">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40</w:t>
            </w:r>
            <w:r>
              <w:rPr>
                <w:rFonts w:hint="eastAsia" w:ascii="Times New Roman" w:hAnsi="宋体" w:cs="Times New Roman"/>
                <w:b w:val="0"/>
                <w:bCs/>
                <w:color w:val="auto"/>
                <w:sz w:val="21"/>
                <w:szCs w:val="21"/>
                <w:highlight w:val="none"/>
                <w:lang w:val="en-US" w:eastAsia="zh-CN"/>
              </w:rPr>
              <w:t>本</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055D599E">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铜片纸彩印+胶装</w:t>
            </w:r>
          </w:p>
        </w:tc>
      </w:tr>
      <w:tr w14:paraId="5A20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43F1FBB8">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64E6FE51">
            <w:pPr>
              <w:spacing w:line="340" w:lineRule="exact"/>
              <w:jc w:val="left"/>
              <w:rPr>
                <w:rFonts w:hint="eastAsia" w:ascii="Times New Roman" w:hAnsi="宋体" w:cs="Times New Roman"/>
                <w:b w:val="0"/>
                <w:bCs/>
                <w:color w:val="auto"/>
                <w:sz w:val="21"/>
                <w:szCs w:val="21"/>
                <w:highlight w:val="none"/>
                <w:lang w:eastAsia="zh-CN"/>
              </w:rPr>
            </w:pPr>
          </w:p>
        </w:tc>
        <w:tc>
          <w:tcPr>
            <w:tcW w:w="1400" w:type="dxa"/>
            <w:vMerge w:val="restart"/>
            <w:tcBorders>
              <w:top w:val="single" w:color="auto" w:sz="4" w:space="0"/>
              <w:left w:val="single" w:color="auto" w:sz="4" w:space="0"/>
              <w:right w:val="single" w:color="auto" w:sz="4" w:space="0"/>
            </w:tcBorders>
            <w:noWrap w:val="0"/>
            <w:vAlign w:val="center"/>
          </w:tcPr>
          <w:p w14:paraId="151B2EB9">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136</w:t>
            </w:r>
            <w:r>
              <w:rPr>
                <w:rFonts w:hint="eastAsia" w:ascii="Times New Roman" w:hAnsi="宋体" w:cs="Times New Roman"/>
                <w:b w:val="0"/>
                <w:bCs/>
                <w:color w:val="auto"/>
                <w:sz w:val="21"/>
                <w:szCs w:val="21"/>
                <w:highlight w:val="none"/>
                <w:lang w:val="en-US" w:eastAsia="zh-CN"/>
              </w:rPr>
              <w:t>份</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0DEEE016">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号码牌A1-A14  B1-B36  1-14、 1-36</w:t>
            </w:r>
          </w:p>
        </w:tc>
      </w:tr>
      <w:tr w14:paraId="3A32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6A584B12">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6E7090D0">
            <w:pPr>
              <w:spacing w:line="340" w:lineRule="exact"/>
              <w:jc w:val="left"/>
              <w:rPr>
                <w:rFonts w:hint="eastAsia" w:ascii="Times New Roman" w:hAnsi="宋体" w:cs="Times New Roman"/>
                <w:b w:val="0"/>
                <w:bCs/>
                <w:color w:val="auto"/>
                <w:sz w:val="21"/>
                <w:szCs w:val="21"/>
                <w:highlight w:val="none"/>
                <w:lang w:eastAsia="zh-CN"/>
              </w:rPr>
            </w:pPr>
          </w:p>
        </w:tc>
        <w:tc>
          <w:tcPr>
            <w:tcW w:w="1400" w:type="dxa"/>
            <w:vMerge w:val="continue"/>
            <w:tcBorders>
              <w:left w:val="single" w:color="auto" w:sz="4" w:space="0"/>
              <w:right w:val="single" w:color="auto" w:sz="4" w:space="0"/>
            </w:tcBorders>
            <w:noWrap w:val="0"/>
            <w:vAlign w:val="center"/>
          </w:tcPr>
          <w:p w14:paraId="3C102EC1">
            <w:pPr>
              <w:spacing w:line="340" w:lineRule="exact"/>
              <w:jc w:val="center"/>
              <w:rPr>
                <w:rFonts w:hint="eastAsia" w:ascii="Times New Roman" w:hAnsi="宋体" w:cs="Times New Roman"/>
                <w:b w:val="0"/>
                <w:bCs/>
                <w:color w:val="auto"/>
                <w:sz w:val="21"/>
                <w:szCs w:val="21"/>
                <w:highlight w:val="none"/>
                <w:lang w:eastAsia="zh-CN"/>
              </w:rPr>
            </w:pPr>
          </w:p>
        </w:tc>
        <w:tc>
          <w:tcPr>
            <w:tcW w:w="5599" w:type="dxa"/>
            <w:tcBorders>
              <w:top w:val="single" w:color="auto" w:sz="4" w:space="0"/>
              <w:left w:val="single" w:color="auto" w:sz="4" w:space="0"/>
              <w:bottom w:val="single" w:color="auto" w:sz="4" w:space="0"/>
              <w:right w:val="single" w:color="auto" w:sz="4" w:space="0"/>
            </w:tcBorders>
            <w:noWrap w:val="0"/>
            <w:vAlign w:val="top"/>
          </w:tcPr>
          <w:p w14:paraId="0AFC1A84">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1-6（3组）5公分蓝底白字</w:t>
            </w:r>
          </w:p>
        </w:tc>
      </w:tr>
      <w:tr w14:paraId="315B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1662B23C">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71D7DD98">
            <w:pPr>
              <w:spacing w:line="340" w:lineRule="exact"/>
              <w:jc w:val="left"/>
              <w:rPr>
                <w:rFonts w:hint="eastAsia" w:ascii="Times New Roman" w:hAnsi="宋体" w:cs="Times New Roman"/>
                <w:b w:val="0"/>
                <w:bCs/>
                <w:color w:val="auto"/>
                <w:sz w:val="21"/>
                <w:szCs w:val="21"/>
                <w:highlight w:val="none"/>
                <w:lang w:eastAsia="zh-CN"/>
              </w:rPr>
            </w:pPr>
          </w:p>
        </w:tc>
        <w:tc>
          <w:tcPr>
            <w:tcW w:w="1400" w:type="dxa"/>
            <w:vMerge w:val="continue"/>
            <w:tcBorders>
              <w:left w:val="single" w:color="auto" w:sz="4" w:space="0"/>
              <w:bottom w:val="single" w:color="auto" w:sz="4" w:space="0"/>
              <w:right w:val="single" w:color="auto" w:sz="4" w:space="0"/>
            </w:tcBorders>
            <w:noWrap w:val="0"/>
            <w:vAlign w:val="center"/>
          </w:tcPr>
          <w:p w14:paraId="4B889CF3">
            <w:pPr>
              <w:spacing w:line="340" w:lineRule="exact"/>
              <w:jc w:val="center"/>
              <w:rPr>
                <w:rFonts w:hint="eastAsia" w:ascii="Times New Roman" w:hAnsi="宋体" w:cs="Times New Roman"/>
                <w:b w:val="0"/>
                <w:bCs/>
                <w:color w:val="auto"/>
                <w:sz w:val="21"/>
                <w:szCs w:val="21"/>
                <w:highlight w:val="none"/>
                <w:lang w:eastAsia="zh-CN"/>
              </w:rPr>
            </w:pPr>
          </w:p>
        </w:tc>
        <w:tc>
          <w:tcPr>
            <w:tcW w:w="5599" w:type="dxa"/>
            <w:tcBorders>
              <w:top w:val="single" w:color="auto" w:sz="4" w:space="0"/>
              <w:left w:val="single" w:color="auto" w:sz="4" w:space="0"/>
              <w:bottom w:val="single" w:color="auto" w:sz="4" w:space="0"/>
              <w:right w:val="single" w:color="auto" w:sz="4" w:space="0"/>
            </w:tcBorders>
            <w:noWrap w:val="0"/>
            <w:vAlign w:val="top"/>
          </w:tcPr>
          <w:p w14:paraId="5750BD1F">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1-6（3组）5公分黄底蓝字</w:t>
            </w:r>
          </w:p>
        </w:tc>
      </w:tr>
      <w:tr w14:paraId="02FD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1ED4D472">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55C6A9E9">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E7FDDE3">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2</w:t>
            </w:r>
            <w:r>
              <w:rPr>
                <w:rFonts w:hint="eastAsia" w:ascii="Times New Roman" w:hAnsi="宋体" w:cs="Times New Roman"/>
                <w:b w:val="0"/>
                <w:bCs/>
                <w:color w:val="auto"/>
                <w:sz w:val="21"/>
                <w:szCs w:val="21"/>
                <w:highlight w:val="none"/>
                <w:lang w:val="en-US" w:eastAsia="zh-CN"/>
              </w:rPr>
              <w:t>个</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774BBABB">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抽签箱</w:t>
            </w:r>
          </w:p>
        </w:tc>
      </w:tr>
      <w:tr w14:paraId="2970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79071DBA">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32F66747">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1AA1B4E">
            <w:pPr>
              <w:spacing w:line="340" w:lineRule="exact"/>
              <w:jc w:val="center"/>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1块</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0EFCFFF8">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发言台围KT板</w:t>
            </w:r>
          </w:p>
        </w:tc>
      </w:tr>
      <w:tr w14:paraId="5FBE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15C43BF3">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2318DBA0">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1226720">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2</w:t>
            </w:r>
            <w:r>
              <w:rPr>
                <w:rFonts w:hint="eastAsia" w:ascii="Times New Roman" w:hAnsi="宋体" w:cs="Times New Roman"/>
                <w:b w:val="0"/>
                <w:bCs/>
                <w:color w:val="auto"/>
                <w:sz w:val="21"/>
                <w:szCs w:val="21"/>
                <w:highlight w:val="none"/>
                <w:lang w:val="en-US" w:eastAsia="zh-CN"/>
              </w:rPr>
              <w:t>张</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54F80B02">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理论考场（A赛场)(B赛场）</w:t>
            </w:r>
          </w:p>
        </w:tc>
      </w:tr>
      <w:tr w14:paraId="43CC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057FDB7C">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35255FFF">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207161E">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110</w:t>
            </w:r>
            <w:r>
              <w:rPr>
                <w:rFonts w:hint="eastAsia" w:ascii="Times New Roman" w:hAnsi="宋体" w:cs="Times New Roman"/>
                <w:b w:val="0"/>
                <w:bCs/>
                <w:color w:val="auto"/>
                <w:sz w:val="21"/>
                <w:szCs w:val="21"/>
                <w:highlight w:val="none"/>
                <w:lang w:val="en-US" w:eastAsia="zh-CN"/>
              </w:rPr>
              <w:t>个</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5A62153D">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手提袋</w:t>
            </w:r>
          </w:p>
        </w:tc>
      </w:tr>
      <w:tr w14:paraId="368B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0C236AF7">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314A48C9">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B7F2E1B">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20</w:t>
            </w:r>
            <w:r>
              <w:rPr>
                <w:rFonts w:hint="eastAsia" w:ascii="Times New Roman" w:hAnsi="宋体" w:cs="Times New Roman"/>
                <w:b w:val="0"/>
                <w:bCs/>
                <w:color w:val="auto"/>
                <w:sz w:val="21"/>
                <w:szCs w:val="21"/>
                <w:highlight w:val="none"/>
                <w:lang w:val="en-US" w:eastAsia="zh-CN"/>
              </w:rPr>
              <w:t>本</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2822AAF9">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奖状</w:t>
            </w:r>
          </w:p>
        </w:tc>
      </w:tr>
      <w:tr w14:paraId="045E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263E30FE">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77B7558D">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C7B2E94">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50</w:t>
            </w:r>
            <w:r>
              <w:rPr>
                <w:rFonts w:hint="eastAsia" w:ascii="Times New Roman" w:hAnsi="宋体" w:cs="Times New Roman"/>
                <w:b w:val="0"/>
                <w:bCs/>
                <w:color w:val="auto"/>
                <w:sz w:val="21"/>
                <w:szCs w:val="21"/>
                <w:highlight w:val="none"/>
                <w:lang w:val="en-US" w:eastAsia="zh-CN"/>
              </w:rPr>
              <w:t>支</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17300152">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水性笔</w:t>
            </w:r>
          </w:p>
        </w:tc>
      </w:tr>
      <w:tr w14:paraId="66FC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bottom w:val="single" w:color="auto" w:sz="4" w:space="0"/>
              <w:right w:val="single" w:color="auto" w:sz="4" w:space="0"/>
            </w:tcBorders>
            <w:noWrap w:val="0"/>
            <w:vAlign w:val="center"/>
          </w:tcPr>
          <w:p w14:paraId="745F196B">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bottom w:val="single" w:color="auto" w:sz="4" w:space="0"/>
              <w:right w:val="single" w:color="auto" w:sz="4" w:space="0"/>
            </w:tcBorders>
            <w:noWrap w:val="0"/>
            <w:vAlign w:val="center"/>
          </w:tcPr>
          <w:p w14:paraId="796BDE82">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A56E709">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20</w:t>
            </w:r>
            <w:r>
              <w:rPr>
                <w:rFonts w:hint="eastAsia" w:ascii="Times New Roman" w:hAnsi="宋体" w:cs="Times New Roman"/>
                <w:b w:val="0"/>
                <w:bCs/>
                <w:color w:val="auto"/>
                <w:sz w:val="21"/>
                <w:szCs w:val="21"/>
                <w:highlight w:val="none"/>
                <w:lang w:val="en-US" w:eastAsia="zh-CN"/>
              </w:rPr>
              <w:t>本</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23734F10">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笔记本</w:t>
            </w:r>
          </w:p>
        </w:tc>
      </w:tr>
      <w:tr w14:paraId="41B2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tcBorders>
              <w:top w:val="single" w:color="auto" w:sz="4" w:space="0"/>
              <w:left w:val="single" w:color="auto" w:sz="4" w:space="0"/>
              <w:bottom w:val="single" w:color="auto" w:sz="4" w:space="0"/>
              <w:right w:val="single" w:color="auto" w:sz="4" w:space="0"/>
            </w:tcBorders>
            <w:noWrap w:val="0"/>
            <w:vAlign w:val="center"/>
          </w:tcPr>
          <w:p w14:paraId="3B2D0439">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5</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287BC346">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服装（第五届应急救援技术大赛）</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0D9EF806">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50</w:t>
            </w:r>
            <w:r>
              <w:rPr>
                <w:rFonts w:hint="eastAsia" w:ascii="Times New Roman" w:hAnsi="宋体" w:cs="Times New Roman"/>
                <w:b w:val="0"/>
                <w:bCs/>
                <w:color w:val="auto"/>
                <w:sz w:val="21"/>
                <w:szCs w:val="21"/>
                <w:highlight w:val="none"/>
                <w:lang w:val="en-US" w:eastAsia="zh-CN"/>
              </w:rPr>
              <w:t>件</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1F7A88E1">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服装：聚酯纤维，短袖，印制赛事LOGO标志，预估数量不少于50件。</w:t>
            </w:r>
            <w:r>
              <w:rPr>
                <w:rFonts w:hint="eastAsia" w:ascii="Times New Roman" w:hAnsi="宋体" w:cs="Times New Roman"/>
                <w:b w:val="0"/>
                <w:bCs/>
                <w:color w:val="auto"/>
                <w:sz w:val="21"/>
                <w:szCs w:val="21"/>
                <w:highlight w:val="none"/>
                <w:lang w:eastAsia="zh-CN"/>
              </w:rPr>
              <w:t>（裁判员、工作人员等）</w:t>
            </w:r>
          </w:p>
        </w:tc>
      </w:tr>
      <w:tr w14:paraId="3BDD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tcBorders>
              <w:top w:val="single" w:color="auto" w:sz="4" w:space="0"/>
              <w:left w:val="single" w:color="auto" w:sz="4" w:space="0"/>
              <w:bottom w:val="single" w:color="auto" w:sz="4" w:space="0"/>
              <w:right w:val="single" w:color="auto" w:sz="4" w:space="0"/>
            </w:tcBorders>
            <w:noWrap w:val="0"/>
            <w:vAlign w:val="center"/>
          </w:tcPr>
          <w:p w14:paraId="5C3D8DE5">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6</w:t>
            </w:r>
          </w:p>
        </w:tc>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1C426AAC">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竞赛用车（第五届应急救援技术大赛）</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6C5F8AD4">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2台</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6B8317D4">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租赁2台35座位以上大巴接送参赛队伍，2天早晚各一趟</w:t>
            </w:r>
          </w:p>
        </w:tc>
      </w:tr>
      <w:tr w14:paraId="11B9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restart"/>
            <w:tcBorders>
              <w:top w:val="single" w:color="auto" w:sz="4" w:space="0"/>
              <w:left w:val="single" w:color="auto" w:sz="4" w:space="0"/>
              <w:right w:val="single" w:color="auto" w:sz="4" w:space="0"/>
            </w:tcBorders>
            <w:noWrap w:val="0"/>
            <w:vAlign w:val="center"/>
          </w:tcPr>
          <w:p w14:paraId="07AA76E3">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7</w:t>
            </w:r>
          </w:p>
        </w:tc>
        <w:tc>
          <w:tcPr>
            <w:tcW w:w="1687" w:type="dxa"/>
            <w:gridSpan w:val="2"/>
            <w:vMerge w:val="restart"/>
            <w:tcBorders>
              <w:top w:val="single" w:color="auto" w:sz="4" w:space="0"/>
              <w:left w:val="single" w:color="auto" w:sz="4" w:space="0"/>
              <w:right w:val="single" w:color="auto" w:sz="4" w:space="0"/>
            </w:tcBorders>
            <w:noWrap w:val="0"/>
            <w:vAlign w:val="center"/>
          </w:tcPr>
          <w:p w14:paraId="7E7838B5">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人员费用（消防灭火系统调试与安装赛项）</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7978486">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306C734A">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主裁劳务费</w:t>
            </w:r>
            <w:r>
              <w:rPr>
                <w:rFonts w:hint="eastAsia" w:ascii="Times New Roman" w:hAnsi="宋体" w:cs="Times New Roman"/>
                <w:b w:val="0"/>
                <w:bCs/>
                <w:color w:val="auto"/>
                <w:sz w:val="21"/>
                <w:szCs w:val="21"/>
                <w:highlight w:val="none"/>
                <w:lang w:eastAsia="zh-CN"/>
              </w:rPr>
              <w:t>（按3天工作量计算预计10月23日至25日比赛，具体以正式比赛文件通知为准）</w:t>
            </w:r>
          </w:p>
        </w:tc>
      </w:tr>
      <w:tr w14:paraId="2693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6E0338F7">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1D56A587">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A15953A">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6人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1DB3268E">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裁判员、专家劳务费</w:t>
            </w:r>
            <w:r>
              <w:rPr>
                <w:rFonts w:hint="eastAsia" w:ascii="Times New Roman" w:hAnsi="宋体" w:cs="Times New Roman"/>
                <w:b w:val="0"/>
                <w:bCs/>
                <w:color w:val="auto"/>
                <w:sz w:val="21"/>
                <w:szCs w:val="21"/>
                <w:highlight w:val="none"/>
                <w:lang w:eastAsia="zh-CN"/>
              </w:rPr>
              <w:t>（</w:t>
            </w:r>
            <w:r>
              <w:rPr>
                <w:rFonts w:hint="eastAsia" w:ascii="Times New Roman" w:hAnsi="宋体" w:cs="Times New Roman"/>
                <w:b w:val="0"/>
                <w:bCs/>
                <w:color w:val="auto"/>
                <w:sz w:val="21"/>
                <w:szCs w:val="21"/>
                <w:highlight w:val="none"/>
              </w:rPr>
              <w:t>按3天工作量计算预计10月23日至25日比赛，具体以正式比赛文件通知为准）</w:t>
            </w:r>
          </w:p>
        </w:tc>
      </w:tr>
      <w:tr w14:paraId="427D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1002A88E">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2B93D183">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B2D7282">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7人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4009A022">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裁判员往返交通费</w:t>
            </w:r>
            <w:r>
              <w:rPr>
                <w:rFonts w:hint="eastAsia" w:ascii="Times New Roman" w:hAnsi="宋体" w:cs="Times New Roman"/>
                <w:b w:val="0"/>
                <w:bCs/>
                <w:color w:val="auto"/>
                <w:sz w:val="21"/>
                <w:szCs w:val="21"/>
                <w:highlight w:val="none"/>
                <w:lang w:eastAsia="zh-CN"/>
              </w:rPr>
              <w:t>（承担相关交通费）</w:t>
            </w:r>
          </w:p>
        </w:tc>
      </w:tr>
      <w:tr w14:paraId="4A43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5BC8D71B">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5F4676A9">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CE560A2">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30人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21C4FDE5">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工作人员劳务费</w:t>
            </w:r>
            <w:r>
              <w:rPr>
                <w:rFonts w:hint="eastAsia" w:ascii="Times New Roman" w:hAnsi="宋体" w:cs="Times New Roman"/>
                <w:b w:val="0"/>
                <w:bCs/>
                <w:color w:val="auto"/>
                <w:sz w:val="21"/>
                <w:szCs w:val="21"/>
                <w:highlight w:val="none"/>
                <w:lang w:eastAsia="zh-CN"/>
              </w:rPr>
              <w:t>（按照4天计）</w:t>
            </w:r>
          </w:p>
        </w:tc>
      </w:tr>
      <w:tr w14:paraId="3533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3FE0BB14">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0A8435E5">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C277927">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30人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1FFBF4FB">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志愿者</w:t>
            </w:r>
            <w:r>
              <w:rPr>
                <w:rFonts w:hint="eastAsia" w:ascii="Times New Roman" w:hAnsi="宋体" w:cs="Times New Roman"/>
                <w:b w:val="0"/>
                <w:bCs/>
                <w:color w:val="auto"/>
                <w:sz w:val="21"/>
                <w:szCs w:val="21"/>
                <w:highlight w:val="none"/>
                <w:lang w:eastAsia="zh-CN"/>
              </w:rPr>
              <w:t>（提供二课学分和餐票）</w:t>
            </w:r>
          </w:p>
        </w:tc>
      </w:tr>
      <w:tr w14:paraId="3A35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5695FA71">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1B6A4A37">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4CE63577">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30件</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5DB06C16">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志愿者服装</w:t>
            </w:r>
            <w:r>
              <w:rPr>
                <w:rFonts w:hint="eastAsia" w:ascii="Times New Roman" w:hAnsi="宋体" w:cs="Times New Roman"/>
                <w:b w:val="0"/>
                <w:bCs/>
                <w:color w:val="auto"/>
                <w:sz w:val="21"/>
                <w:szCs w:val="21"/>
                <w:highlight w:val="none"/>
                <w:lang w:eastAsia="zh-CN"/>
              </w:rPr>
              <w:t>（使用系部或团委原有衣服）</w:t>
            </w:r>
          </w:p>
        </w:tc>
      </w:tr>
      <w:tr w14:paraId="0D24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restart"/>
            <w:tcBorders>
              <w:left w:val="single" w:color="auto" w:sz="4" w:space="0"/>
              <w:right w:val="single" w:color="auto" w:sz="4" w:space="0"/>
            </w:tcBorders>
            <w:noWrap w:val="0"/>
            <w:vAlign w:val="center"/>
          </w:tcPr>
          <w:p w14:paraId="4BB063B8">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8</w:t>
            </w:r>
          </w:p>
        </w:tc>
        <w:tc>
          <w:tcPr>
            <w:tcW w:w="1687" w:type="dxa"/>
            <w:gridSpan w:val="2"/>
            <w:vMerge w:val="restart"/>
            <w:tcBorders>
              <w:left w:val="single" w:color="auto" w:sz="4" w:space="0"/>
              <w:right w:val="single" w:color="auto" w:sz="4" w:space="0"/>
            </w:tcBorders>
            <w:noWrap w:val="0"/>
            <w:vAlign w:val="center"/>
          </w:tcPr>
          <w:p w14:paraId="3F783F55">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餐饮费人员费用（消防灭火系统调试与安装赛项）</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1E75A4DF">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7人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0301CB9F">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裁判、专家、技术员餐饮费</w:t>
            </w:r>
            <w:r>
              <w:rPr>
                <w:rFonts w:hint="eastAsia" w:ascii="Times New Roman" w:hAnsi="宋体" w:cs="Times New Roman"/>
                <w:b w:val="0"/>
                <w:bCs/>
                <w:color w:val="auto"/>
                <w:sz w:val="21"/>
                <w:szCs w:val="21"/>
                <w:highlight w:val="none"/>
                <w:lang w:eastAsia="zh-CN"/>
              </w:rPr>
              <w:t>（提供3天中晚餐与参赛单位分开就餐）</w:t>
            </w:r>
          </w:p>
        </w:tc>
      </w:tr>
      <w:tr w14:paraId="7AAB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2A763529">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3D659C76">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5863B39A">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150人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2353F77F">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领队、指导老师、选手餐饮费</w:t>
            </w:r>
            <w:r>
              <w:rPr>
                <w:rFonts w:hint="eastAsia" w:ascii="Times New Roman" w:hAnsi="宋体" w:cs="Times New Roman"/>
                <w:b w:val="0"/>
                <w:bCs/>
                <w:color w:val="auto"/>
                <w:sz w:val="21"/>
                <w:szCs w:val="21"/>
                <w:highlight w:val="none"/>
                <w:lang w:eastAsia="zh-CN"/>
              </w:rPr>
              <w:t>（提供3天中晚餐，定点食堂窗口，凭票取餐）</w:t>
            </w:r>
          </w:p>
        </w:tc>
      </w:tr>
      <w:tr w14:paraId="61E0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6703B4F6">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099D53FD">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393FFCA3">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60人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4846D82D">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rPr>
              <w:t>工作人员、志愿者餐饮费</w:t>
            </w:r>
            <w:r>
              <w:rPr>
                <w:rFonts w:hint="eastAsia" w:ascii="Times New Roman" w:hAnsi="宋体" w:cs="Times New Roman"/>
                <w:b w:val="0"/>
                <w:bCs/>
                <w:color w:val="auto"/>
                <w:sz w:val="21"/>
                <w:szCs w:val="21"/>
                <w:highlight w:val="none"/>
                <w:lang w:eastAsia="zh-CN"/>
              </w:rPr>
              <w:t>（提供3天中晚餐，定点食堂窗口，凭票取餐）</w:t>
            </w:r>
          </w:p>
        </w:tc>
      </w:tr>
      <w:tr w14:paraId="65AA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26F4EB0F">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4F6828F1">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top w:val="single" w:color="auto" w:sz="4" w:space="0"/>
              <w:left w:val="single" w:color="auto" w:sz="4" w:space="0"/>
              <w:bottom w:val="single" w:color="auto" w:sz="4" w:space="0"/>
              <w:right w:val="single" w:color="auto" w:sz="4" w:space="0"/>
            </w:tcBorders>
            <w:noWrap w:val="0"/>
            <w:vAlign w:val="center"/>
          </w:tcPr>
          <w:p w14:paraId="211DA078">
            <w:pPr>
              <w:spacing w:line="340" w:lineRule="exact"/>
              <w:jc w:val="center"/>
              <w:rPr>
                <w:rFonts w:hint="eastAsia" w:ascii="Times New Roman" w:hAnsi="宋体" w:cs="Times New Roman"/>
                <w:b w:val="0"/>
                <w:bCs/>
                <w:color w:val="auto"/>
                <w:sz w:val="21"/>
                <w:szCs w:val="21"/>
                <w:highlight w:val="none"/>
                <w:lang w:val="en-US" w:eastAsia="zh-CN"/>
              </w:rPr>
            </w:pPr>
          </w:p>
        </w:tc>
        <w:tc>
          <w:tcPr>
            <w:tcW w:w="5599" w:type="dxa"/>
            <w:tcBorders>
              <w:top w:val="single" w:color="auto" w:sz="4" w:space="0"/>
              <w:left w:val="single" w:color="auto" w:sz="4" w:space="0"/>
              <w:bottom w:val="single" w:color="auto" w:sz="4" w:space="0"/>
              <w:right w:val="single" w:color="auto" w:sz="4" w:space="0"/>
            </w:tcBorders>
            <w:noWrap w:val="0"/>
            <w:vAlign w:val="top"/>
          </w:tcPr>
          <w:p w14:paraId="77D84FA2">
            <w:pPr>
              <w:spacing w:line="340" w:lineRule="exact"/>
              <w:jc w:val="left"/>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rPr>
              <w:t>提供矿泉水等</w:t>
            </w:r>
            <w:r>
              <w:rPr>
                <w:rFonts w:hint="eastAsia" w:ascii="Times New Roman" w:hAnsi="宋体" w:cs="Times New Roman"/>
                <w:b w:val="0"/>
                <w:bCs/>
                <w:color w:val="auto"/>
                <w:sz w:val="21"/>
                <w:szCs w:val="21"/>
                <w:highlight w:val="none"/>
                <w:lang w:eastAsia="zh-CN"/>
              </w:rPr>
              <w:t>（活动、赛事现场提供桶装水或瓶装水等</w:t>
            </w:r>
            <w:r>
              <w:rPr>
                <w:rFonts w:hint="eastAsia" w:ascii="Times New Roman" w:hAnsi="宋体" w:cs="Times New Roman"/>
                <w:b w:val="0"/>
                <w:bCs/>
                <w:color w:val="auto"/>
                <w:sz w:val="21"/>
                <w:szCs w:val="21"/>
                <w:highlight w:val="none"/>
                <w:lang w:val="en-US" w:eastAsia="zh-CN"/>
              </w:rPr>
              <w:t>)</w:t>
            </w:r>
          </w:p>
        </w:tc>
      </w:tr>
      <w:tr w14:paraId="392A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tcBorders>
              <w:left w:val="single" w:color="auto" w:sz="4" w:space="0"/>
              <w:right w:val="single" w:color="auto" w:sz="4" w:space="0"/>
            </w:tcBorders>
            <w:noWrap w:val="0"/>
            <w:vAlign w:val="center"/>
          </w:tcPr>
          <w:p w14:paraId="3C438F3F">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9</w:t>
            </w:r>
          </w:p>
        </w:tc>
        <w:tc>
          <w:tcPr>
            <w:tcW w:w="1687" w:type="dxa"/>
            <w:gridSpan w:val="2"/>
            <w:tcBorders>
              <w:left w:val="single" w:color="auto" w:sz="4" w:space="0"/>
              <w:right w:val="single" w:color="auto" w:sz="4" w:space="0"/>
            </w:tcBorders>
            <w:noWrap w:val="0"/>
            <w:vAlign w:val="center"/>
          </w:tcPr>
          <w:p w14:paraId="72F93520">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val="en-US" w:eastAsia="zh-CN"/>
              </w:rPr>
              <w:t>住宿费人员费用（消防灭火系统调试与安装赛项）</w:t>
            </w:r>
          </w:p>
        </w:tc>
        <w:tc>
          <w:tcPr>
            <w:tcW w:w="1400" w:type="dxa"/>
            <w:tcBorders>
              <w:top w:val="single" w:color="auto" w:sz="4" w:space="0"/>
              <w:left w:val="single" w:color="auto" w:sz="4" w:space="0"/>
              <w:bottom w:val="single" w:color="auto" w:sz="4" w:space="0"/>
              <w:right w:val="single" w:color="auto" w:sz="4" w:space="0"/>
            </w:tcBorders>
            <w:noWrap w:val="0"/>
            <w:vAlign w:val="center"/>
          </w:tcPr>
          <w:p w14:paraId="79085B91">
            <w:pPr>
              <w:spacing w:line="340" w:lineRule="exact"/>
              <w:jc w:val="center"/>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eastAsia="zh-CN"/>
              </w:rPr>
              <w:t>7</w:t>
            </w:r>
            <w:r>
              <w:rPr>
                <w:rFonts w:hint="eastAsia" w:ascii="Times New Roman" w:hAnsi="宋体" w:cs="Times New Roman"/>
                <w:b w:val="0"/>
                <w:bCs/>
                <w:color w:val="auto"/>
                <w:sz w:val="21"/>
                <w:szCs w:val="21"/>
                <w:highlight w:val="none"/>
                <w:lang w:val="en-US" w:eastAsia="zh-CN"/>
              </w:rPr>
              <w:t>人</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48ED9E8D">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7</w:t>
            </w:r>
            <w:r>
              <w:rPr>
                <w:rFonts w:hint="eastAsia" w:ascii="Times New Roman" w:hAnsi="宋体" w:cs="Times New Roman"/>
                <w:b w:val="0"/>
                <w:bCs/>
                <w:color w:val="auto"/>
                <w:sz w:val="21"/>
                <w:szCs w:val="21"/>
                <w:highlight w:val="none"/>
                <w:lang w:val="en-US" w:eastAsia="zh-CN"/>
              </w:rPr>
              <w:t>人</w:t>
            </w:r>
            <w:r>
              <w:rPr>
                <w:rFonts w:hint="eastAsia" w:ascii="Times New Roman" w:hAnsi="宋体" w:cs="Times New Roman"/>
                <w:b w:val="0"/>
                <w:bCs/>
                <w:color w:val="auto"/>
                <w:sz w:val="21"/>
                <w:szCs w:val="21"/>
                <w:highlight w:val="none"/>
              </w:rPr>
              <w:t>南宁市武鸣区酒店（预计12月22日入住26日退房，计4晚）</w:t>
            </w:r>
          </w:p>
        </w:tc>
      </w:tr>
      <w:tr w14:paraId="2E20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restart"/>
            <w:tcBorders>
              <w:left w:val="single" w:color="auto" w:sz="4" w:space="0"/>
              <w:right w:val="single" w:color="auto" w:sz="4" w:space="0"/>
            </w:tcBorders>
            <w:noWrap w:val="0"/>
            <w:vAlign w:val="center"/>
          </w:tcPr>
          <w:p w14:paraId="2055832D">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10</w:t>
            </w:r>
          </w:p>
        </w:tc>
        <w:tc>
          <w:tcPr>
            <w:tcW w:w="1687" w:type="dxa"/>
            <w:gridSpan w:val="2"/>
            <w:vMerge w:val="restart"/>
            <w:tcBorders>
              <w:left w:val="single" w:color="auto" w:sz="4" w:space="0"/>
              <w:right w:val="single" w:color="auto" w:sz="4" w:space="0"/>
            </w:tcBorders>
            <w:noWrap w:val="0"/>
            <w:vAlign w:val="center"/>
          </w:tcPr>
          <w:p w14:paraId="7CF04F9B">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场地物料布置人员费用（消防灭火系统调试与安装赛项）</w:t>
            </w:r>
          </w:p>
        </w:tc>
        <w:tc>
          <w:tcPr>
            <w:tcW w:w="1400" w:type="dxa"/>
            <w:vMerge w:val="restart"/>
            <w:tcBorders>
              <w:top w:val="single" w:color="auto" w:sz="4" w:space="0"/>
              <w:left w:val="single" w:color="auto" w:sz="4" w:space="0"/>
              <w:right w:val="single" w:color="auto" w:sz="4" w:space="0"/>
            </w:tcBorders>
            <w:noWrap w:val="0"/>
            <w:vAlign w:val="center"/>
          </w:tcPr>
          <w:p w14:paraId="191688EC">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72平方米</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2E55839A">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南大门口桁架背景</w:t>
            </w:r>
          </w:p>
        </w:tc>
      </w:tr>
      <w:tr w14:paraId="779F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5AFDBB92">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7FD24F41">
            <w:pPr>
              <w:spacing w:line="340" w:lineRule="exact"/>
              <w:jc w:val="left"/>
              <w:rPr>
                <w:rFonts w:hint="eastAsia" w:ascii="Times New Roman" w:hAnsi="宋体" w:cs="Times New Roman"/>
                <w:b w:val="0"/>
                <w:bCs/>
                <w:color w:val="auto"/>
                <w:sz w:val="21"/>
                <w:szCs w:val="21"/>
                <w:highlight w:val="none"/>
                <w:lang w:eastAsia="zh-CN"/>
              </w:rPr>
            </w:pPr>
          </w:p>
        </w:tc>
        <w:tc>
          <w:tcPr>
            <w:tcW w:w="1400" w:type="dxa"/>
            <w:vMerge w:val="continue"/>
            <w:tcBorders>
              <w:left w:val="single" w:color="auto" w:sz="4" w:space="0"/>
              <w:right w:val="single" w:color="auto" w:sz="4" w:space="0"/>
            </w:tcBorders>
            <w:noWrap w:val="0"/>
            <w:vAlign w:val="center"/>
          </w:tcPr>
          <w:p w14:paraId="0AF2B7C0">
            <w:pPr>
              <w:spacing w:line="340" w:lineRule="exact"/>
              <w:jc w:val="center"/>
              <w:rPr>
                <w:rFonts w:hint="eastAsia" w:ascii="Times New Roman" w:hAnsi="宋体" w:cs="Times New Roman"/>
                <w:b w:val="0"/>
                <w:bCs/>
                <w:color w:val="auto"/>
                <w:sz w:val="21"/>
                <w:szCs w:val="21"/>
                <w:highlight w:val="none"/>
                <w:lang w:val="en-US" w:eastAsia="zh-CN"/>
              </w:rPr>
            </w:pPr>
          </w:p>
        </w:tc>
        <w:tc>
          <w:tcPr>
            <w:tcW w:w="5599" w:type="dxa"/>
            <w:tcBorders>
              <w:top w:val="single" w:color="auto" w:sz="4" w:space="0"/>
              <w:left w:val="single" w:color="auto" w:sz="4" w:space="0"/>
              <w:bottom w:val="single" w:color="auto" w:sz="4" w:space="0"/>
              <w:right w:val="single" w:color="auto" w:sz="4" w:space="0"/>
            </w:tcBorders>
            <w:noWrap w:val="0"/>
            <w:vAlign w:val="top"/>
          </w:tcPr>
          <w:p w14:paraId="5521E88B">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【1米+10米+1米】X高（5米+1米）</w:t>
            </w:r>
          </w:p>
        </w:tc>
      </w:tr>
      <w:tr w14:paraId="6F8E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397865C2">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53E1F61A">
            <w:pPr>
              <w:spacing w:line="340" w:lineRule="exact"/>
              <w:jc w:val="left"/>
              <w:rPr>
                <w:rFonts w:hint="eastAsia" w:ascii="Times New Roman" w:hAnsi="宋体" w:cs="Times New Roman"/>
                <w:b w:val="0"/>
                <w:bCs/>
                <w:color w:val="auto"/>
                <w:sz w:val="21"/>
                <w:szCs w:val="21"/>
                <w:highlight w:val="none"/>
                <w:lang w:eastAsia="zh-CN"/>
              </w:rPr>
            </w:pPr>
          </w:p>
        </w:tc>
        <w:tc>
          <w:tcPr>
            <w:tcW w:w="1400" w:type="dxa"/>
            <w:vMerge w:val="restart"/>
            <w:tcBorders>
              <w:left w:val="single" w:color="auto" w:sz="4" w:space="0"/>
              <w:right w:val="single" w:color="auto" w:sz="4" w:space="0"/>
            </w:tcBorders>
            <w:noWrap w:val="0"/>
            <w:vAlign w:val="center"/>
          </w:tcPr>
          <w:p w14:paraId="0F4EF73B">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50平方米</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06D5332B">
            <w:pPr>
              <w:spacing w:line="340" w:lineRule="exact"/>
              <w:jc w:val="left"/>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lang w:val="en-US" w:eastAsia="zh-CN"/>
              </w:rPr>
              <w:t>实训现场桁架背景</w:t>
            </w:r>
          </w:p>
        </w:tc>
      </w:tr>
      <w:tr w14:paraId="35C2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43693E26">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0793946B">
            <w:pPr>
              <w:spacing w:line="340" w:lineRule="exact"/>
              <w:jc w:val="left"/>
              <w:rPr>
                <w:rFonts w:hint="eastAsia" w:ascii="Times New Roman" w:hAnsi="宋体" w:cs="Times New Roman"/>
                <w:b w:val="0"/>
                <w:bCs/>
                <w:color w:val="auto"/>
                <w:sz w:val="21"/>
                <w:szCs w:val="21"/>
                <w:highlight w:val="none"/>
                <w:lang w:eastAsia="zh-CN"/>
              </w:rPr>
            </w:pPr>
          </w:p>
        </w:tc>
        <w:tc>
          <w:tcPr>
            <w:tcW w:w="1400" w:type="dxa"/>
            <w:vMerge w:val="continue"/>
            <w:tcBorders>
              <w:left w:val="single" w:color="auto" w:sz="4" w:space="0"/>
              <w:right w:val="single" w:color="auto" w:sz="4" w:space="0"/>
            </w:tcBorders>
            <w:noWrap w:val="0"/>
            <w:vAlign w:val="center"/>
          </w:tcPr>
          <w:p w14:paraId="7651CFBB">
            <w:pPr>
              <w:spacing w:line="340" w:lineRule="exact"/>
              <w:jc w:val="center"/>
              <w:rPr>
                <w:rFonts w:hint="eastAsia" w:ascii="Times New Roman" w:hAnsi="宋体" w:cs="Times New Roman"/>
                <w:b w:val="0"/>
                <w:bCs/>
                <w:color w:val="auto"/>
                <w:sz w:val="21"/>
                <w:szCs w:val="21"/>
                <w:highlight w:val="none"/>
                <w:lang w:val="en-US" w:eastAsia="zh-CN"/>
              </w:rPr>
            </w:pPr>
          </w:p>
        </w:tc>
        <w:tc>
          <w:tcPr>
            <w:tcW w:w="5599" w:type="dxa"/>
            <w:tcBorders>
              <w:top w:val="single" w:color="auto" w:sz="4" w:space="0"/>
              <w:left w:val="single" w:color="auto" w:sz="4" w:space="0"/>
              <w:bottom w:val="single" w:color="auto" w:sz="4" w:space="0"/>
              <w:right w:val="single" w:color="auto" w:sz="4" w:space="0"/>
            </w:tcBorders>
            <w:noWrap w:val="0"/>
            <w:vAlign w:val="top"/>
          </w:tcPr>
          <w:p w14:paraId="3F75B71D">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【（1米+8米+1米）X高4米+1米】</w:t>
            </w:r>
          </w:p>
        </w:tc>
      </w:tr>
      <w:tr w14:paraId="7DFA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1FA89841">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7FAF122D">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2C515AE6">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10个</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32D8EC7C">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指引牌架子（回收）</w:t>
            </w:r>
          </w:p>
        </w:tc>
      </w:tr>
      <w:tr w14:paraId="05DF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665A68C9">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67A4A9F7">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33FDBE8D">
            <w:pPr>
              <w:spacing w:line="340" w:lineRule="exact"/>
              <w:jc w:val="center"/>
              <w:rPr>
                <w:rFonts w:hint="eastAsia" w:ascii="Times New Roman" w:hAnsi="宋体" w:cs="Times New Roman"/>
                <w:b w:val="0"/>
                <w:bCs/>
                <w:color w:val="auto"/>
                <w:sz w:val="21"/>
                <w:szCs w:val="21"/>
                <w:highlight w:val="none"/>
                <w:lang w:val="en-US" w:eastAsia="zh-CN"/>
              </w:rPr>
            </w:pPr>
          </w:p>
        </w:tc>
        <w:tc>
          <w:tcPr>
            <w:tcW w:w="5599" w:type="dxa"/>
            <w:tcBorders>
              <w:top w:val="single" w:color="auto" w:sz="4" w:space="0"/>
              <w:left w:val="single" w:color="auto" w:sz="4" w:space="0"/>
              <w:bottom w:val="single" w:color="auto" w:sz="4" w:space="0"/>
              <w:right w:val="single" w:color="auto" w:sz="4" w:space="0"/>
            </w:tcBorders>
            <w:noWrap w:val="0"/>
            <w:vAlign w:val="top"/>
          </w:tcPr>
          <w:p w14:paraId="376A3B62">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指引牌画面</w:t>
            </w:r>
          </w:p>
        </w:tc>
      </w:tr>
      <w:tr w14:paraId="537C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32551870">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0904EEDE">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6876E7F3">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50套</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6AA76B29">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道旗画面（旗帜布印制1.2*3.5米）</w:t>
            </w:r>
          </w:p>
        </w:tc>
      </w:tr>
      <w:tr w14:paraId="22E37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1C6C3867">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2944F71D">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6A6D1A9A">
            <w:pPr>
              <w:spacing w:line="340" w:lineRule="exact"/>
              <w:jc w:val="center"/>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187套</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32768373">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参赛选手、领队、指导老师150、裁判长1、裁判6，工作人员30（双面）</w:t>
            </w:r>
          </w:p>
        </w:tc>
      </w:tr>
      <w:tr w14:paraId="2480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3AAD4FD0">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3B3E5AFB">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0C48193F">
            <w:pPr>
              <w:spacing w:line="340" w:lineRule="exact"/>
              <w:jc w:val="center"/>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187套</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19EF496E">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工作牌+绳子</w:t>
            </w:r>
          </w:p>
        </w:tc>
      </w:tr>
      <w:tr w14:paraId="7604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4ED3B610">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2473F621">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3774967B">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50本</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513D7CD6">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赛项指南打印，铜版纸彩色双面大A3+胶装成本</w:t>
            </w:r>
          </w:p>
        </w:tc>
      </w:tr>
      <w:tr w14:paraId="74C6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70C9305D">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5C471DAE">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27F3B4AF">
            <w:pPr>
              <w:spacing w:line="340" w:lineRule="exact"/>
              <w:jc w:val="center"/>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100个</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73C3974B">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手提纸袋</w:t>
            </w:r>
          </w:p>
        </w:tc>
      </w:tr>
      <w:tr w14:paraId="22DE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5993EA18">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03EE9446">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5FC3BFEB">
            <w:pPr>
              <w:spacing w:line="340" w:lineRule="exact"/>
              <w:jc w:val="center"/>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20个</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1B5F297D">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警戒线</w:t>
            </w:r>
          </w:p>
        </w:tc>
      </w:tr>
      <w:tr w14:paraId="5818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5D423A12">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6DC8DD04">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27468E05">
            <w:pPr>
              <w:spacing w:line="340" w:lineRule="exact"/>
              <w:jc w:val="center"/>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10个</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5863B18A">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黄黑胶带</w:t>
            </w:r>
          </w:p>
        </w:tc>
      </w:tr>
      <w:tr w14:paraId="6861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39455A09">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2C1AB3A2">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03D6402C">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2个</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349880F6">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抽签箱</w:t>
            </w:r>
          </w:p>
        </w:tc>
      </w:tr>
      <w:tr w14:paraId="6935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Merge w:val="continue"/>
            <w:tcBorders>
              <w:left w:val="single" w:color="auto" w:sz="4" w:space="0"/>
              <w:right w:val="single" w:color="auto" w:sz="4" w:space="0"/>
            </w:tcBorders>
            <w:noWrap w:val="0"/>
            <w:vAlign w:val="center"/>
          </w:tcPr>
          <w:p w14:paraId="6F817F84">
            <w:pPr>
              <w:pStyle w:val="16"/>
              <w:numPr>
                <w:ilvl w:val="0"/>
                <w:numId w:val="0"/>
              </w:numPr>
              <w:ind w:left="0" w:leftChars="0" w:firstLine="0" w:firstLineChars="0"/>
              <w:jc w:val="center"/>
              <w:rPr>
                <w:rFonts w:hint="eastAsia" w:hAnsi="宋体"/>
                <w:b/>
                <w:color w:val="auto"/>
                <w:sz w:val="21"/>
                <w:szCs w:val="21"/>
                <w:highlight w:val="none"/>
                <w:lang w:val="en-US" w:eastAsia="zh-CN"/>
              </w:rPr>
            </w:pPr>
          </w:p>
        </w:tc>
        <w:tc>
          <w:tcPr>
            <w:tcW w:w="1687" w:type="dxa"/>
            <w:gridSpan w:val="2"/>
            <w:vMerge w:val="continue"/>
            <w:tcBorders>
              <w:left w:val="single" w:color="auto" w:sz="4" w:space="0"/>
              <w:right w:val="single" w:color="auto" w:sz="4" w:space="0"/>
            </w:tcBorders>
            <w:noWrap w:val="0"/>
            <w:vAlign w:val="center"/>
          </w:tcPr>
          <w:p w14:paraId="1C4F0A26">
            <w:pPr>
              <w:spacing w:line="340" w:lineRule="exact"/>
              <w:jc w:val="left"/>
              <w:rPr>
                <w:rFonts w:hint="eastAsia" w:ascii="Times New Roman" w:hAnsi="宋体" w:cs="Times New Roman"/>
                <w:b w:val="0"/>
                <w:bCs/>
                <w:color w:val="auto"/>
                <w:sz w:val="21"/>
                <w:szCs w:val="21"/>
                <w:highlight w:val="none"/>
                <w:lang w:eastAsia="zh-CN"/>
              </w:rPr>
            </w:pPr>
          </w:p>
        </w:tc>
        <w:tc>
          <w:tcPr>
            <w:tcW w:w="1400" w:type="dxa"/>
            <w:tcBorders>
              <w:left w:val="single" w:color="auto" w:sz="4" w:space="0"/>
              <w:right w:val="single" w:color="auto" w:sz="4" w:space="0"/>
            </w:tcBorders>
            <w:noWrap w:val="0"/>
            <w:vAlign w:val="center"/>
          </w:tcPr>
          <w:p w14:paraId="337C758B">
            <w:pPr>
              <w:spacing w:line="340" w:lineRule="exact"/>
              <w:jc w:val="center"/>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200米</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4E59CD25">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横幅90公分宽</w:t>
            </w:r>
          </w:p>
        </w:tc>
      </w:tr>
      <w:tr w14:paraId="6DFF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tcBorders>
              <w:left w:val="single" w:color="auto" w:sz="4" w:space="0"/>
              <w:right w:val="single" w:color="auto" w:sz="4" w:space="0"/>
            </w:tcBorders>
            <w:noWrap w:val="0"/>
            <w:vAlign w:val="center"/>
          </w:tcPr>
          <w:p w14:paraId="6ABA0591">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11</w:t>
            </w:r>
          </w:p>
        </w:tc>
        <w:tc>
          <w:tcPr>
            <w:tcW w:w="1687" w:type="dxa"/>
            <w:gridSpan w:val="2"/>
            <w:tcBorders>
              <w:left w:val="single" w:color="auto" w:sz="4" w:space="0"/>
              <w:right w:val="single" w:color="auto" w:sz="4" w:space="0"/>
            </w:tcBorders>
            <w:noWrap w:val="0"/>
            <w:vAlign w:val="center"/>
          </w:tcPr>
          <w:p w14:paraId="2A71EDF8">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服装人员费用（消防灭火系统调试与安装赛项）</w:t>
            </w:r>
          </w:p>
        </w:tc>
        <w:tc>
          <w:tcPr>
            <w:tcW w:w="1400" w:type="dxa"/>
            <w:tcBorders>
              <w:left w:val="single" w:color="auto" w:sz="4" w:space="0"/>
              <w:right w:val="single" w:color="auto" w:sz="4" w:space="0"/>
            </w:tcBorders>
            <w:noWrap w:val="0"/>
            <w:vAlign w:val="center"/>
          </w:tcPr>
          <w:p w14:paraId="1810F662">
            <w:pPr>
              <w:spacing w:line="340" w:lineRule="exact"/>
              <w:jc w:val="center"/>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163件</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1459E82A">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服装：聚酯纤维，短袖，印制赛事LOGO标志，预估数量不少于163件。（裁判员、指导教师、领队、参赛选手等）</w:t>
            </w:r>
          </w:p>
        </w:tc>
      </w:tr>
      <w:tr w14:paraId="4584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tcBorders>
              <w:left w:val="single" w:color="auto" w:sz="4" w:space="0"/>
              <w:right w:val="single" w:color="auto" w:sz="4" w:space="0"/>
            </w:tcBorders>
            <w:noWrap w:val="0"/>
            <w:vAlign w:val="center"/>
          </w:tcPr>
          <w:p w14:paraId="7C160110">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12</w:t>
            </w:r>
          </w:p>
        </w:tc>
        <w:tc>
          <w:tcPr>
            <w:tcW w:w="1687" w:type="dxa"/>
            <w:gridSpan w:val="2"/>
            <w:tcBorders>
              <w:left w:val="single" w:color="auto" w:sz="4" w:space="0"/>
              <w:right w:val="single" w:color="auto" w:sz="4" w:space="0"/>
            </w:tcBorders>
            <w:noWrap w:val="0"/>
            <w:vAlign w:val="center"/>
          </w:tcPr>
          <w:p w14:paraId="7F37994F">
            <w:pPr>
              <w:spacing w:line="340" w:lineRule="exact"/>
              <w:jc w:val="left"/>
              <w:rPr>
                <w:rFonts w:hint="eastAsia" w:ascii="Times New Roman" w:hAnsi="宋体" w:cs="Times New Roman"/>
                <w:b w:val="0"/>
                <w:bCs/>
                <w:color w:val="auto"/>
                <w:sz w:val="21"/>
                <w:szCs w:val="21"/>
                <w:highlight w:val="none"/>
                <w:lang w:eastAsia="zh-CN"/>
              </w:rPr>
            </w:pPr>
            <w:r>
              <w:rPr>
                <w:rFonts w:hint="eastAsia" w:ascii="Times New Roman" w:hAnsi="宋体" w:cs="Times New Roman"/>
                <w:b w:val="0"/>
                <w:bCs/>
                <w:color w:val="auto"/>
                <w:sz w:val="21"/>
                <w:szCs w:val="21"/>
                <w:highlight w:val="none"/>
                <w:lang w:eastAsia="zh-CN"/>
              </w:rPr>
              <w:t>竞赛用车人员费用（消防灭火系统调试与安装赛项）</w:t>
            </w:r>
          </w:p>
        </w:tc>
        <w:tc>
          <w:tcPr>
            <w:tcW w:w="1400" w:type="dxa"/>
            <w:tcBorders>
              <w:left w:val="single" w:color="auto" w:sz="4" w:space="0"/>
              <w:right w:val="single" w:color="auto" w:sz="4" w:space="0"/>
            </w:tcBorders>
            <w:noWrap w:val="0"/>
            <w:vAlign w:val="center"/>
          </w:tcPr>
          <w:p w14:paraId="05E55544">
            <w:pPr>
              <w:spacing w:line="340" w:lineRule="exact"/>
              <w:jc w:val="center"/>
              <w:rPr>
                <w:rFonts w:hint="default"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2台</w:t>
            </w:r>
          </w:p>
        </w:tc>
        <w:tc>
          <w:tcPr>
            <w:tcW w:w="5599" w:type="dxa"/>
            <w:tcBorders>
              <w:top w:val="single" w:color="auto" w:sz="4" w:space="0"/>
              <w:left w:val="single" w:color="auto" w:sz="4" w:space="0"/>
              <w:bottom w:val="single" w:color="auto" w:sz="4" w:space="0"/>
              <w:right w:val="single" w:color="auto" w:sz="4" w:space="0"/>
            </w:tcBorders>
            <w:noWrap w:val="0"/>
            <w:vAlign w:val="top"/>
          </w:tcPr>
          <w:p w14:paraId="732223C3">
            <w:pPr>
              <w:spacing w:line="340" w:lineRule="exact"/>
              <w:jc w:val="left"/>
              <w:rPr>
                <w:rFonts w:hint="eastAsia" w:ascii="Times New Roman" w:hAnsi="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租赁2辆35座位以上大巴接送参赛队伍，2天早晚各一趟</w:t>
            </w:r>
          </w:p>
        </w:tc>
      </w:tr>
      <w:bookmarkEnd w:id="80"/>
      <w:tr w14:paraId="18E5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10" w:type="dxa"/>
            <w:gridSpan w:val="5"/>
            <w:tcBorders>
              <w:top w:val="single" w:color="auto" w:sz="4" w:space="0"/>
              <w:left w:val="single" w:color="auto" w:sz="4" w:space="0"/>
              <w:bottom w:val="single" w:color="auto" w:sz="4" w:space="0"/>
              <w:right w:val="single" w:color="auto" w:sz="4" w:space="0"/>
            </w:tcBorders>
            <w:noWrap w:val="0"/>
            <w:vAlign w:val="center"/>
          </w:tcPr>
          <w:p w14:paraId="1DD2626E">
            <w:pPr>
              <w:pStyle w:val="15"/>
              <w:spacing w:line="340" w:lineRule="exact"/>
              <w:ind w:firstLine="0"/>
              <w:jc w:val="both"/>
              <w:rPr>
                <w:rFonts w:hint="eastAsia" w:ascii="宋体" w:hAnsi="宋体" w:eastAsia="宋体" w:cs="宋体"/>
                <w:color w:val="auto"/>
                <w:sz w:val="21"/>
                <w:szCs w:val="21"/>
                <w:highlight w:val="none"/>
                <w:lang w:bidi="ar"/>
              </w:rPr>
            </w:pP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lang w:bidi="ar"/>
              </w:rPr>
              <w:t>商务要求表</w:t>
            </w:r>
          </w:p>
        </w:tc>
      </w:tr>
      <w:tr w14:paraId="13AF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2"/>
            <w:tcBorders>
              <w:top w:val="single" w:color="auto" w:sz="4" w:space="0"/>
              <w:left w:val="single" w:color="auto" w:sz="4" w:space="0"/>
              <w:bottom w:val="single" w:color="auto" w:sz="4" w:space="0"/>
              <w:right w:val="single" w:color="auto" w:sz="4" w:space="0"/>
            </w:tcBorders>
            <w:noWrap w:val="0"/>
            <w:vAlign w:val="center"/>
          </w:tcPr>
          <w:p w14:paraId="7F4B6AF2">
            <w:pPr>
              <w:tabs>
                <w:tab w:val="left" w:pos="180"/>
                <w:tab w:val="left" w:pos="1620"/>
              </w:tabs>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服务地点及服务期</w:t>
            </w:r>
          </w:p>
        </w:tc>
        <w:tc>
          <w:tcPr>
            <w:tcW w:w="7829" w:type="dxa"/>
            <w:gridSpan w:val="3"/>
            <w:tcBorders>
              <w:top w:val="single" w:color="auto" w:sz="4" w:space="0"/>
              <w:left w:val="single" w:color="auto" w:sz="4" w:space="0"/>
              <w:bottom w:val="single" w:color="auto" w:sz="4" w:space="0"/>
              <w:right w:val="single" w:color="auto" w:sz="4" w:space="0"/>
            </w:tcBorders>
            <w:noWrap w:val="0"/>
            <w:vAlign w:val="center"/>
          </w:tcPr>
          <w:p w14:paraId="4D8C3668">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服务地点：广西壮族自治区内采购人指定地点。</w:t>
            </w:r>
          </w:p>
          <w:p w14:paraId="23C1C4EB">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服务期：</w:t>
            </w:r>
            <w:r>
              <w:rPr>
                <w:rFonts w:hint="eastAsia" w:ascii="宋体" w:hAnsi="宋体" w:cs="宋体"/>
                <w:color w:val="auto"/>
                <w:szCs w:val="21"/>
                <w:highlight w:val="none"/>
                <w:lang w:val="en-US" w:eastAsia="zh-CN"/>
              </w:rPr>
              <w:t>服务期限6个月，具体以竞赛下发通知文件起至完成竞赛承办服务为止，签订合同后至项目验收完成（详见合同）</w:t>
            </w:r>
            <w:r>
              <w:rPr>
                <w:rFonts w:hint="eastAsia"/>
                <w:color w:val="auto"/>
                <w:sz w:val="21"/>
                <w:szCs w:val="21"/>
                <w:highlight w:val="none"/>
              </w:rPr>
              <w:t>。</w:t>
            </w:r>
          </w:p>
        </w:tc>
      </w:tr>
      <w:tr w14:paraId="0DD3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1" w:type="dxa"/>
            <w:gridSpan w:val="2"/>
            <w:tcBorders>
              <w:top w:val="single" w:color="auto" w:sz="4" w:space="0"/>
              <w:left w:val="single" w:color="auto" w:sz="4" w:space="0"/>
              <w:bottom w:val="single" w:color="auto" w:sz="4" w:space="0"/>
              <w:right w:val="single" w:color="auto" w:sz="4" w:space="0"/>
            </w:tcBorders>
            <w:noWrap w:val="0"/>
            <w:vAlign w:val="center"/>
          </w:tcPr>
          <w:p w14:paraId="503120F2">
            <w:pPr>
              <w:tabs>
                <w:tab w:val="left" w:pos="180"/>
                <w:tab w:val="left" w:pos="1620"/>
              </w:tabs>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合同签订期</w:t>
            </w:r>
          </w:p>
        </w:tc>
        <w:tc>
          <w:tcPr>
            <w:tcW w:w="7829" w:type="dxa"/>
            <w:gridSpan w:val="3"/>
            <w:tcBorders>
              <w:top w:val="single" w:color="auto" w:sz="4" w:space="0"/>
              <w:left w:val="single" w:color="auto" w:sz="4" w:space="0"/>
              <w:bottom w:val="single" w:color="auto" w:sz="4" w:space="0"/>
              <w:right w:val="single" w:color="auto" w:sz="4" w:space="0"/>
            </w:tcBorders>
            <w:noWrap w:val="0"/>
            <w:vAlign w:val="bottom"/>
          </w:tcPr>
          <w:p w14:paraId="271B2A5E">
            <w:pPr>
              <w:pStyle w:val="8"/>
              <w:widowControl/>
              <w:topLinePunct/>
              <w:adjustRightInd w:val="0"/>
              <w:snapToGrid w:val="0"/>
              <w:spacing w:before="60" w:after="60" w:line="312"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通知书发出之日起2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个工作日</w:t>
            </w:r>
            <w:r>
              <w:rPr>
                <w:rFonts w:hint="eastAsia" w:ascii="宋体" w:hAnsi="宋体" w:eastAsia="宋体" w:cs="宋体"/>
                <w:color w:val="auto"/>
                <w:sz w:val="21"/>
                <w:szCs w:val="21"/>
                <w:highlight w:val="none"/>
              </w:rPr>
              <w:t>内。</w:t>
            </w:r>
          </w:p>
        </w:tc>
      </w:tr>
      <w:tr w14:paraId="0F5B3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1" w:type="dxa"/>
            <w:gridSpan w:val="2"/>
            <w:tcBorders>
              <w:top w:val="single" w:color="auto" w:sz="4" w:space="0"/>
              <w:left w:val="single" w:color="auto" w:sz="4" w:space="0"/>
              <w:bottom w:val="single" w:color="auto" w:sz="4" w:space="0"/>
              <w:right w:val="single" w:color="auto" w:sz="4" w:space="0"/>
            </w:tcBorders>
            <w:noWrap w:val="0"/>
            <w:vAlign w:val="center"/>
          </w:tcPr>
          <w:p w14:paraId="786C8ADA">
            <w:pPr>
              <w:tabs>
                <w:tab w:val="left" w:pos="180"/>
                <w:tab w:val="left" w:pos="1620"/>
              </w:tabs>
              <w:spacing w:line="40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报价</w:t>
            </w:r>
            <w:r>
              <w:rPr>
                <w:rFonts w:hint="eastAsia" w:ascii="宋体" w:hAnsi="宋体" w:cs="宋体"/>
                <w:color w:val="auto"/>
                <w:sz w:val="21"/>
                <w:szCs w:val="21"/>
                <w:highlight w:val="none"/>
                <w:lang w:eastAsia="zh-CN"/>
              </w:rPr>
              <w:t>要求</w:t>
            </w:r>
          </w:p>
        </w:tc>
        <w:tc>
          <w:tcPr>
            <w:tcW w:w="7829" w:type="dxa"/>
            <w:gridSpan w:val="3"/>
            <w:tcBorders>
              <w:top w:val="single" w:color="auto" w:sz="4" w:space="0"/>
              <w:left w:val="single" w:color="auto" w:sz="4" w:space="0"/>
              <w:bottom w:val="single" w:color="auto" w:sz="4" w:space="0"/>
              <w:right w:val="single" w:color="auto" w:sz="4" w:space="0"/>
            </w:tcBorders>
            <w:noWrap w:val="0"/>
            <w:vAlign w:val="bottom"/>
          </w:tcPr>
          <w:p w14:paraId="198CEA0D">
            <w:pPr>
              <w:pStyle w:val="8"/>
              <w:widowControl/>
              <w:topLinePunct/>
              <w:adjustRightInd w:val="0"/>
              <w:snapToGrid w:val="0"/>
              <w:spacing w:before="60" w:after="60" w:line="312"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指包括实施和完成本项目全部服务内容所需的资料与图纸、调查、设计人员工资、成果编印、劳务费及其他附属服务的服务费用、技术服务费、设备、交通、通讯、保险、税费、利润、后续技术指导等一切与相关费用与完成本项目有关的可预见或不可预见的一切成本、费用的总和。</w:t>
            </w:r>
          </w:p>
        </w:tc>
      </w:tr>
      <w:tr w14:paraId="32E6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1" w:type="dxa"/>
            <w:gridSpan w:val="2"/>
            <w:tcBorders>
              <w:top w:val="single" w:color="auto" w:sz="4" w:space="0"/>
              <w:left w:val="single" w:color="auto" w:sz="4" w:space="0"/>
              <w:bottom w:val="single" w:color="auto" w:sz="4" w:space="0"/>
              <w:right w:val="single" w:color="auto" w:sz="4" w:space="0"/>
            </w:tcBorders>
            <w:noWrap w:val="0"/>
            <w:vAlign w:val="center"/>
          </w:tcPr>
          <w:p w14:paraId="0328C959">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付款条件</w:t>
            </w:r>
          </w:p>
        </w:tc>
        <w:tc>
          <w:tcPr>
            <w:tcW w:w="7829" w:type="dxa"/>
            <w:gridSpan w:val="3"/>
            <w:tcBorders>
              <w:top w:val="single" w:color="auto" w:sz="4" w:space="0"/>
              <w:left w:val="single" w:color="auto" w:sz="4" w:space="0"/>
              <w:bottom w:val="single" w:color="auto" w:sz="4" w:space="0"/>
              <w:right w:val="single" w:color="auto" w:sz="4" w:space="0"/>
            </w:tcBorders>
            <w:noWrap w:val="0"/>
            <w:vAlign w:val="center"/>
          </w:tcPr>
          <w:p w14:paraId="7598F77E">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1.合同签订后10个工作日内，采购人支付合同总金额的</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0%</w:t>
            </w:r>
            <w:r>
              <w:rPr>
                <w:rFonts w:hint="eastAsia" w:ascii="宋体" w:hAnsi="宋体" w:cs="宋体"/>
                <w:color w:val="auto"/>
                <w:sz w:val="21"/>
                <w:szCs w:val="21"/>
                <w:highlight w:val="none"/>
                <w:lang w:val="en-US" w:eastAsia="zh-CN"/>
              </w:rPr>
              <w:t>作为预付款</w:t>
            </w:r>
            <w:r>
              <w:rPr>
                <w:rFonts w:hint="eastAsia" w:ascii="宋体" w:hAnsi="宋体" w:eastAsia="宋体" w:cs="宋体"/>
                <w:color w:val="auto"/>
                <w:sz w:val="21"/>
                <w:szCs w:val="21"/>
                <w:highlight w:val="none"/>
              </w:rPr>
              <w:t xml:space="preserve">，项目验收合格后十五个工作日内，采购人支付至合同总金额的100%。  </w:t>
            </w:r>
          </w:p>
          <w:p w14:paraId="2A1317E4">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人在收到采购人支付的每笔款项</w:t>
            </w:r>
            <w:r>
              <w:rPr>
                <w:rFonts w:hint="eastAsia" w:ascii="宋体" w:hAnsi="宋体" w:cs="宋体"/>
                <w:color w:val="auto"/>
                <w:sz w:val="21"/>
                <w:szCs w:val="21"/>
                <w:highlight w:val="none"/>
                <w:lang w:val="en-US" w:eastAsia="zh-CN"/>
              </w:rPr>
              <w:t>前，</w:t>
            </w:r>
            <w:r>
              <w:rPr>
                <w:rFonts w:hint="eastAsia" w:ascii="宋体" w:hAnsi="宋体" w:eastAsia="宋体" w:cs="宋体"/>
                <w:color w:val="auto"/>
                <w:sz w:val="21"/>
                <w:szCs w:val="21"/>
                <w:highlight w:val="none"/>
              </w:rPr>
              <w:t>应按国家相关规定向采购人开具相应金额的正式发票。</w:t>
            </w:r>
          </w:p>
        </w:tc>
      </w:tr>
      <w:tr w14:paraId="05C8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2"/>
            <w:tcBorders>
              <w:top w:val="single" w:color="auto" w:sz="4" w:space="0"/>
              <w:left w:val="single" w:color="auto" w:sz="4" w:space="0"/>
              <w:bottom w:val="single" w:color="auto" w:sz="4" w:space="0"/>
              <w:right w:val="single" w:color="auto" w:sz="4" w:space="0"/>
            </w:tcBorders>
            <w:noWrap w:val="0"/>
            <w:vAlign w:val="center"/>
          </w:tcPr>
          <w:p w14:paraId="26C648C4">
            <w:pPr>
              <w:spacing w:line="40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验收标准</w:t>
            </w:r>
          </w:p>
        </w:tc>
        <w:tc>
          <w:tcPr>
            <w:tcW w:w="7829" w:type="dxa"/>
            <w:gridSpan w:val="3"/>
            <w:tcBorders>
              <w:top w:val="single" w:color="auto" w:sz="4" w:space="0"/>
              <w:left w:val="single" w:color="auto" w:sz="4" w:space="0"/>
              <w:bottom w:val="single" w:color="auto" w:sz="4" w:space="0"/>
              <w:right w:val="single" w:color="auto" w:sz="4" w:space="0"/>
            </w:tcBorders>
            <w:noWrap w:val="0"/>
            <w:vAlign w:val="center"/>
          </w:tcPr>
          <w:p w14:paraId="169DD2F5">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1.本项目成果质量按照竞争性磋商文件提出的要求及所签订合同的约定进行，并经采购人有关部门审查通过后（如有），提交成果材料（具体成果文件份数按采购人实际需要提供）给采购人进行验收。</w:t>
            </w:r>
          </w:p>
          <w:p w14:paraId="65E2A5C5">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2.验收过程中所产生的一切费用均由</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人承担，报价时应考虑相关费用。</w:t>
            </w:r>
          </w:p>
        </w:tc>
      </w:tr>
      <w:tr w14:paraId="768C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2"/>
            <w:tcBorders>
              <w:top w:val="single" w:color="auto" w:sz="4" w:space="0"/>
              <w:left w:val="single" w:color="auto" w:sz="4" w:space="0"/>
              <w:bottom w:val="single" w:color="auto" w:sz="4" w:space="0"/>
              <w:right w:val="single" w:color="auto" w:sz="4" w:space="0"/>
            </w:tcBorders>
            <w:noWrap w:val="0"/>
            <w:vAlign w:val="center"/>
          </w:tcPr>
          <w:p w14:paraId="7D0B68F4">
            <w:pPr>
              <w:spacing w:line="40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知识产权</w:t>
            </w:r>
          </w:p>
        </w:tc>
        <w:tc>
          <w:tcPr>
            <w:tcW w:w="7829" w:type="dxa"/>
            <w:gridSpan w:val="3"/>
            <w:tcBorders>
              <w:top w:val="single" w:color="auto" w:sz="4" w:space="0"/>
              <w:left w:val="single" w:color="auto" w:sz="4" w:space="0"/>
              <w:bottom w:val="single" w:color="auto" w:sz="4" w:space="0"/>
              <w:right w:val="single" w:color="auto" w:sz="4" w:space="0"/>
            </w:tcBorders>
            <w:noWrap w:val="0"/>
            <w:vAlign w:val="center"/>
          </w:tcPr>
          <w:p w14:paraId="718D9CC2">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采购人在中华人民共和国境内使用成交供应商提供的产品及服务时免受第三方提出的侵犯其专利权或其它知识产权的起诉。如果第三方提出侵权指控，成交供应商应承担由此而引起的一切法律责任和费用。</w:t>
            </w:r>
          </w:p>
        </w:tc>
      </w:tr>
    </w:tbl>
    <w:p w14:paraId="531FD23F">
      <w:pPr>
        <w:spacing w:line="360" w:lineRule="auto"/>
        <w:rPr>
          <w:rFonts w:hint="eastAsia" w:ascii="宋体" w:hAnsi="宋体" w:cs="宋体"/>
          <w:color w:val="auto"/>
          <w:highlight w:val="none"/>
        </w:rPr>
      </w:pPr>
    </w:p>
    <w:p w14:paraId="75F81A52">
      <w:pPr>
        <w:spacing w:line="360" w:lineRule="auto"/>
        <w:rPr>
          <w:rFonts w:hint="eastAsia" w:ascii="宋体" w:hAnsi="宋体" w:cs="宋体"/>
          <w:color w:val="auto"/>
          <w:highlight w:val="none"/>
        </w:rPr>
      </w:pPr>
    </w:p>
    <w:p w14:paraId="2D7776B8">
      <w:pPr>
        <w:pStyle w:val="3"/>
        <w:bidi w:val="0"/>
        <w:rPr>
          <w:rFonts w:hint="default" w:ascii="宋体" w:hAnsi="宋体" w:eastAsia="宋体" w:cs="宋体"/>
          <w:b/>
          <w:bCs/>
          <w:color w:val="0000FF"/>
          <w:szCs w:val="21"/>
          <w:highlight w:val="none"/>
          <w:lang w:val="en-US" w:eastAsia="zh-CN"/>
        </w:rPr>
      </w:pPr>
      <w:r>
        <w:rPr>
          <w:rFonts w:hint="eastAsia"/>
          <w:lang w:val="en-US" w:eastAsia="zh-CN"/>
        </w:rPr>
        <w:t>C分标：面向东盟职业教育资源培育项目</w:t>
      </w:r>
    </w:p>
    <w:tbl>
      <w:tblPr>
        <w:tblStyle w:val="20"/>
        <w:tblW w:w="89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903"/>
        <w:gridCol w:w="3"/>
        <w:gridCol w:w="994"/>
        <w:gridCol w:w="6533"/>
      </w:tblGrid>
      <w:tr w14:paraId="2DBD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08" w:type="dxa"/>
            <w:gridSpan w:val="5"/>
            <w:tcBorders>
              <w:top w:val="single" w:color="auto" w:sz="4" w:space="0"/>
              <w:left w:val="single" w:color="auto" w:sz="4" w:space="0"/>
              <w:bottom w:val="single" w:color="auto" w:sz="4" w:space="0"/>
              <w:right w:val="single" w:color="auto" w:sz="4" w:space="0"/>
            </w:tcBorders>
            <w:noWrap w:val="0"/>
            <w:vAlign w:val="center"/>
          </w:tcPr>
          <w:p w14:paraId="40F6C0DC">
            <w:pPr>
              <w:pStyle w:val="15"/>
              <w:spacing w:line="340" w:lineRule="exact"/>
              <w:jc w:val="center"/>
              <w:rPr>
                <w:rFonts w:hint="default" w:hAnsi="宋体" w:eastAsia="宋体"/>
                <w:b/>
                <w:color w:val="auto"/>
                <w:sz w:val="21"/>
                <w:szCs w:val="21"/>
                <w:highlight w:val="none"/>
                <w:lang w:val="en-US" w:eastAsia="zh-CN"/>
              </w:rPr>
            </w:pPr>
            <w:bookmarkStart w:id="81" w:name="OLE_LINK1" w:colFirst="0" w:colLast="3"/>
            <w:r>
              <w:rPr>
                <w:rFonts w:hint="eastAsia" w:hAnsi="宋体"/>
                <w:b/>
                <w:color w:val="auto"/>
                <w:sz w:val="21"/>
                <w:szCs w:val="21"/>
                <w:highlight w:val="none"/>
                <w:lang w:val="en-US" w:eastAsia="zh-CN"/>
              </w:rPr>
              <w:t>项目建设内容</w:t>
            </w:r>
          </w:p>
        </w:tc>
      </w:tr>
      <w:tr w14:paraId="42FC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908" w:type="dxa"/>
            <w:gridSpan w:val="5"/>
            <w:tcBorders>
              <w:top w:val="single" w:color="auto" w:sz="4" w:space="0"/>
              <w:left w:val="single" w:color="auto" w:sz="4" w:space="0"/>
              <w:bottom w:val="single" w:color="auto" w:sz="4" w:space="0"/>
              <w:right w:val="single" w:color="auto" w:sz="4" w:space="0"/>
            </w:tcBorders>
            <w:noWrap w:val="0"/>
            <w:vAlign w:val="center"/>
          </w:tcPr>
          <w:p w14:paraId="67C65593">
            <w:pPr>
              <w:pStyle w:val="15"/>
              <w:spacing w:line="340" w:lineRule="exact"/>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《建筑防火设计》中英双语教材建设</w:t>
            </w:r>
            <w:r>
              <w:rPr>
                <w:rFonts w:hint="eastAsia" w:hAnsi="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完成全面对标《建筑防火通用规范》GB55037</w:t>
            </w:r>
          </w:p>
          <w:p w14:paraId="45EB98AA">
            <w:pPr>
              <w:pStyle w:val="15"/>
              <w:spacing w:line="340" w:lineRule="exact"/>
              <w:jc w:val="left"/>
              <w:rPr>
                <w:rFonts w:hint="eastAsia" w:hAnsi="宋体"/>
                <w:b/>
                <w:color w:val="auto"/>
                <w:sz w:val="21"/>
                <w:szCs w:val="21"/>
                <w:highlight w:val="none"/>
              </w:rPr>
            </w:pPr>
            <w:r>
              <w:rPr>
                <w:rFonts w:hint="eastAsia" w:ascii="宋体" w:hAnsi="宋体" w:eastAsia="宋体" w:cs="Times New Roman"/>
                <w:kern w:val="2"/>
                <w:sz w:val="21"/>
                <w:szCs w:val="21"/>
                <w:lang w:val="en-US" w:eastAsia="zh-CN" w:bidi="ar-SA"/>
              </w:rPr>
              <w:t>-2022等最新国家标准完成中文内容修订，内容涵盖建筑防火基础、总平面布局、安全疏散等7个核心项目，嵌入微课视频等课程教学资源；提供专业英文翻译与双语对照，建立消防专业术语表，确保翻译准确规范；教材体例与出版格式规范化，达到正式出版标准；组织消防工程、建筑设计、专业英语三类专家论证评审；完成出版筹备，对接出版社、申请书号、制作样书。</w:t>
            </w:r>
          </w:p>
        </w:tc>
      </w:tr>
      <w:tr w14:paraId="1C8E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3342C97">
            <w:pPr>
              <w:pStyle w:val="15"/>
              <w:spacing w:line="340" w:lineRule="exact"/>
              <w:jc w:val="center"/>
              <w:rPr>
                <w:rFonts w:hAnsi="宋体"/>
                <w:b/>
                <w:color w:val="auto"/>
                <w:sz w:val="21"/>
                <w:szCs w:val="21"/>
                <w:highlight w:val="none"/>
              </w:rPr>
            </w:pPr>
            <w:r>
              <w:rPr>
                <w:rFonts w:hint="eastAsia" w:hAnsi="宋体"/>
                <w:b/>
                <w:color w:val="auto"/>
                <w:sz w:val="21"/>
                <w:szCs w:val="21"/>
                <w:highlight w:val="none"/>
              </w:rPr>
              <w:t>序号</w:t>
            </w:r>
          </w:p>
        </w:tc>
        <w:tc>
          <w:tcPr>
            <w:tcW w:w="903" w:type="dxa"/>
            <w:tcBorders>
              <w:top w:val="single" w:color="auto" w:sz="4" w:space="0"/>
              <w:left w:val="single" w:color="auto" w:sz="4" w:space="0"/>
              <w:bottom w:val="single" w:color="auto" w:sz="4" w:space="0"/>
              <w:right w:val="single" w:color="auto" w:sz="4" w:space="0"/>
            </w:tcBorders>
            <w:noWrap w:val="0"/>
            <w:vAlign w:val="center"/>
          </w:tcPr>
          <w:p w14:paraId="33F4C2A4">
            <w:pPr>
              <w:pStyle w:val="15"/>
              <w:spacing w:line="340" w:lineRule="exact"/>
              <w:jc w:val="center"/>
              <w:rPr>
                <w:rFonts w:hint="eastAsia" w:hAnsi="宋体" w:eastAsia="宋体"/>
                <w:b/>
                <w:color w:val="auto"/>
                <w:sz w:val="21"/>
                <w:szCs w:val="21"/>
                <w:highlight w:val="none"/>
                <w:lang w:eastAsia="zh-CN"/>
              </w:rPr>
            </w:pPr>
            <w:r>
              <w:rPr>
                <w:rFonts w:hint="eastAsia" w:hAnsi="宋体"/>
                <w:b/>
                <w:color w:val="auto"/>
                <w:sz w:val="21"/>
                <w:szCs w:val="21"/>
                <w:highlight w:val="none"/>
                <w:lang w:eastAsia="zh-CN"/>
              </w:rPr>
              <w:t>采购项目</w:t>
            </w:r>
          </w:p>
        </w:tc>
        <w:tc>
          <w:tcPr>
            <w:tcW w:w="997" w:type="dxa"/>
            <w:gridSpan w:val="2"/>
            <w:tcBorders>
              <w:top w:val="single" w:color="auto" w:sz="4" w:space="0"/>
              <w:left w:val="single" w:color="auto" w:sz="4" w:space="0"/>
              <w:bottom w:val="single" w:color="auto" w:sz="4" w:space="0"/>
              <w:right w:val="single" w:color="auto" w:sz="4" w:space="0"/>
            </w:tcBorders>
            <w:noWrap w:val="0"/>
            <w:vAlign w:val="center"/>
          </w:tcPr>
          <w:p w14:paraId="13602E8F">
            <w:pPr>
              <w:pStyle w:val="15"/>
              <w:spacing w:line="340" w:lineRule="exact"/>
              <w:jc w:val="center"/>
              <w:rPr>
                <w:rFonts w:hint="eastAsia" w:hAnsi="宋体" w:eastAsia="宋体"/>
                <w:b/>
                <w:color w:val="auto"/>
                <w:sz w:val="21"/>
                <w:szCs w:val="21"/>
                <w:highlight w:val="none"/>
                <w:lang w:val="en-US" w:eastAsia="zh-CN"/>
              </w:rPr>
            </w:pPr>
            <w:r>
              <w:rPr>
                <w:rFonts w:hint="eastAsia" w:hAnsi="宋体"/>
                <w:b/>
                <w:color w:val="auto"/>
                <w:sz w:val="21"/>
                <w:szCs w:val="21"/>
                <w:highlight w:val="none"/>
              </w:rPr>
              <w:t>数量</w:t>
            </w:r>
            <w:r>
              <w:rPr>
                <w:rFonts w:hint="eastAsia" w:hAnsi="宋体"/>
                <w:b/>
                <w:color w:val="auto"/>
                <w:sz w:val="21"/>
                <w:szCs w:val="21"/>
                <w:highlight w:val="none"/>
                <w:lang w:val="en-US" w:eastAsia="zh-CN"/>
              </w:rPr>
              <w:t>及单位</w:t>
            </w:r>
          </w:p>
        </w:tc>
        <w:tc>
          <w:tcPr>
            <w:tcW w:w="6533" w:type="dxa"/>
            <w:tcBorders>
              <w:top w:val="single" w:color="auto" w:sz="4" w:space="0"/>
              <w:left w:val="single" w:color="auto" w:sz="4" w:space="0"/>
              <w:bottom w:val="single" w:color="auto" w:sz="4" w:space="0"/>
              <w:right w:val="single" w:color="auto" w:sz="4" w:space="0"/>
            </w:tcBorders>
            <w:noWrap w:val="0"/>
            <w:vAlign w:val="center"/>
          </w:tcPr>
          <w:p w14:paraId="70CD8CE5">
            <w:pPr>
              <w:pStyle w:val="15"/>
              <w:spacing w:line="340" w:lineRule="exact"/>
              <w:jc w:val="center"/>
              <w:rPr>
                <w:rFonts w:hint="eastAsia" w:hAnsi="宋体"/>
                <w:b/>
                <w:color w:val="auto"/>
                <w:sz w:val="21"/>
                <w:szCs w:val="21"/>
                <w:highlight w:val="none"/>
              </w:rPr>
            </w:pPr>
            <w:r>
              <w:rPr>
                <w:rFonts w:hint="eastAsia" w:hAnsi="宋体"/>
                <w:b/>
                <w:color w:val="auto"/>
                <w:sz w:val="21"/>
                <w:szCs w:val="21"/>
                <w:highlight w:val="none"/>
              </w:rPr>
              <w:t>服务内容和要求</w:t>
            </w:r>
          </w:p>
        </w:tc>
      </w:tr>
      <w:tr w14:paraId="623CC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42433DF7">
            <w:pPr>
              <w:pStyle w:val="15"/>
              <w:spacing w:line="340" w:lineRule="exact"/>
              <w:jc w:val="center"/>
              <w:rPr>
                <w:rFonts w:hint="eastAsia" w:hAnsi="宋体" w:eastAsia="宋体"/>
                <w:b/>
                <w:color w:val="auto"/>
                <w:sz w:val="21"/>
                <w:szCs w:val="21"/>
                <w:highlight w:val="none"/>
                <w:lang w:val="en-US" w:eastAsia="zh-CN"/>
              </w:rPr>
            </w:pPr>
            <w:r>
              <w:rPr>
                <w:rFonts w:hint="eastAsia" w:hAnsi="宋体"/>
                <w:b/>
                <w:color w:val="auto"/>
                <w:sz w:val="21"/>
                <w:szCs w:val="21"/>
                <w:highlight w:val="none"/>
                <w:lang w:val="en-US" w:eastAsia="zh-CN"/>
              </w:rPr>
              <w:t>1</w:t>
            </w:r>
          </w:p>
        </w:tc>
        <w:tc>
          <w:tcPr>
            <w:tcW w:w="903" w:type="dxa"/>
            <w:tcBorders>
              <w:top w:val="single" w:color="auto" w:sz="4" w:space="0"/>
              <w:left w:val="single" w:color="auto" w:sz="4" w:space="0"/>
              <w:bottom w:val="single" w:color="auto" w:sz="4" w:space="0"/>
              <w:right w:val="single" w:color="auto" w:sz="4" w:space="0"/>
            </w:tcBorders>
            <w:noWrap w:val="0"/>
            <w:vAlign w:val="center"/>
          </w:tcPr>
          <w:p w14:paraId="6E348C8D">
            <w:pPr>
              <w:pStyle w:val="15"/>
              <w:spacing w:line="340" w:lineRule="exact"/>
              <w:jc w:val="center"/>
              <w:rPr>
                <w:rFonts w:hint="eastAsia" w:hAnsi="宋体"/>
                <w:b/>
                <w:color w:val="auto"/>
                <w:sz w:val="21"/>
                <w:szCs w:val="21"/>
                <w:highlight w:val="none"/>
                <w:lang w:eastAsia="zh-CN"/>
              </w:rPr>
            </w:pPr>
            <w:r>
              <w:rPr>
                <w:rFonts w:hint="eastAsia" w:hAnsi="宋体"/>
                <w:b w:val="0"/>
                <w:bCs/>
                <w:color w:val="auto"/>
                <w:sz w:val="21"/>
                <w:szCs w:val="21"/>
                <w:highlight w:val="none"/>
                <w:lang w:eastAsia="zh-CN"/>
              </w:rPr>
              <w:t>专家论证评审费</w:t>
            </w:r>
          </w:p>
        </w:tc>
        <w:tc>
          <w:tcPr>
            <w:tcW w:w="997" w:type="dxa"/>
            <w:gridSpan w:val="2"/>
            <w:tcBorders>
              <w:top w:val="single" w:color="auto" w:sz="4" w:space="0"/>
              <w:left w:val="single" w:color="auto" w:sz="4" w:space="0"/>
              <w:bottom w:val="single" w:color="auto" w:sz="4" w:space="0"/>
              <w:right w:val="single" w:color="auto" w:sz="4" w:space="0"/>
            </w:tcBorders>
            <w:noWrap w:val="0"/>
            <w:vAlign w:val="center"/>
          </w:tcPr>
          <w:p w14:paraId="2B04457F">
            <w:pPr>
              <w:pStyle w:val="15"/>
              <w:spacing w:line="340" w:lineRule="exact"/>
              <w:jc w:val="center"/>
              <w:rPr>
                <w:rFonts w:hint="eastAsia" w:hAnsi="宋体" w:eastAsia="宋体"/>
                <w:b/>
                <w:color w:val="auto"/>
                <w:sz w:val="21"/>
                <w:szCs w:val="21"/>
                <w:highlight w:val="none"/>
                <w:lang w:val="en-US" w:eastAsia="zh-CN"/>
              </w:rPr>
            </w:pPr>
            <w:r>
              <w:rPr>
                <w:rFonts w:hint="eastAsia" w:hAnsi="宋体"/>
                <w:b w:val="0"/>
                <w:bCs/>
                <w:color w:val="auto"/>
                <w:sz w:val="21"/>
                <w:szCs w:val="21"/>
                <w:highlight w:val="none"/>
                <w:lang w:val="en-US" w:eastAsia="zh-CN"/>
              </w:rPr>
              <w:t>1项</w:t>
            </w:r>
          </w:p>
        </w:tc>
        <w:tc>
          <w:tcPr>
            <w:tcW w:w="6533" w:type="dxa"/>
            <w:tcBorders>
              <w:top w:val="single" w:color="auto" w:sz="4" w:space="0"/>
              <w:left w:val="single" w:color="auto" w:sz="4" w:space="0"/>
              <w:bottom w:val="single" w:color="auto" w:sz="4" w:space="0"/>
              <w:right w:val="single" w:color="auto" w:sz="4" w:space="0"/>
            </w:tcBorders>
            <w:noWrap w:val="0"/>
            <w:vAlign w:val="center"/>
          </w:tcPr>
          <w:p w14:paraId="521550E7">
            <w:pPr>
              <w:pStyle w:val="19"/>
              <w:keepNext w:val="0"/>
              <w:keepLines w:val="0"/>
              <w:widowControl/>
              <w:suppressLineNumbers w:val="0"/>
              <w:spacing w:before="0" w:beforeAutospacing="0" w:after="0" w:afterAutospacing="0"/>
              <w:ind w:left="0" w:right="0"/>
              <w:jc w:val="left"/>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1.专家人数：3–5 人</w:t>
            </w:r>
            <w:r>
              <w:rPr>
                <w:rFonts w:hint="eastAsia" w:ascii="宋体" w:hAnsi="宋体" w:cs="Times New Roman"/>
                <w:b w:val="0"/>
                <w:bCs/>
                <w:color w:val="auto"/>
                <w:kern w:val="0"/>
                <w:sz w:val="21"/>
                <w:szCs w:val="21"/>
                <w:highlight w:val="none"/>
                <w:lang w:val="en-US" w:eastAsia="zh-CN" w:bidi="ar-SA"/>
              </w:rPr>
              <w:t>；</w:t>
            </w:r>
          </w:p>
          <w:p w14:paraId="5DAEF191">
            <w:pPr>
              <w:pStyle w:val="19"/>
              <w:keepNext w:val="0"/>
              <w:keepLines w:val="0"/>
              <w:widowControl/>
              <w:suppressLineNumbers w:val="0"/>
              <w:spacing w:before="0" w:beforeAutospacing="0" w:after="0" w:afterAutospacing="0"/>
              <w:ind w:left="0" w:right="0"/>
              <w:jc w:val="left"/>
              <w:rPr>
                <w:rFonts w:hint="default"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2.</w:t>
            </w:r>
            <w:r>
              <w:rPr>
                <w:rFonts w:hint="default" w:ascii="宋体" w:hAnsi="宋体" w:eastAsia="宋体" w:cs="Times New Roman"/>
                <w:b w:val="0"/>
                <w:bCs/>
                <w:color w:val="auto"/>
                <w:kern w:val="0"/>
                <w:sz w:val="21"/>
                <w:szCs w:val="21"/>
                <w:highlight w:val="none"/>
                <w:lang w:val="en-US" w:eastAsia="zh-CN" w:bidi="ar-SA"/>
              </w:rPr>
              <w:t>专家资质：副高及以上职称，或具有双语教材编写/审定经验</w:t>
            </w:r>
            <w:r>
              <w:rPr>
                <w:rFonts w:hint="eastAsia" w:ascii="宋体" w:hAnsi="宋体" w:cs="Times New Roman"/>
                <w:b w:val="0"/>
                <w:bCs/>
                <w:color w:val="auto"/>
                <w:kern w:val="0"/>
                <w:sz w:val="21"/>
                <w:szCs w:val="21"/>
                <w:highlight w:val="none"/>
                <w:lang w:val="en-US" w:eastAsia="zh-CN" w:bidi="ar-SA"/>
              </w:rPr>
              <w:t>；</w:t>
            </w:r>
          </w:p>
          <w:p w14:paraId="4FE1C8F3">
            <w:pPr>
              <w:pStyle w:val="19"/>
              <w:keepNext w:val="0"/>
              <w:keepLines w:val="0"/>
              <w:widowControl/>
              <w:suppressLineNumbers w:val="0"/>
              <w:spacing w:before="0" w:beforeAutospacing="0" w:after="0" w:afterAutospacing="0"/>
              <w:ind w:left="0" w:right="0"/>
              <w:jc w:val="left"/>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3.评审轮次：1–2 轮</w:t>
            </w:r>
            <w:r>
              <w:rPr>
                <w:rFonts w:hint="eastAsia" w:ascii="宋体" w:hAnsi="宋体" w:cs="Times New Roman"/>
                <w:b w:val="0"/>
                <w:bCs/>
                <w:color w:val="auto"/>
                <w:kern w:val="0"/>
                <w:sz w:val="21"/>
                <w:szCs w:val="21"/>
                <w:highlight w:val="none"/>
                <w:lang w:val="en-US" w:eastAsia="zh-CN" w:bidi="ar-SA"/>
              </w:rPr>
              <w:t>。</w:t>
            </w:r>
          </w:p>
        </w:tc>
      </w:tr>
      <w:tr w14:paraId="3FB3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C475812">
            <w:pPr>
              <w:pStyle w:val="16"/>
              <w:numPr>
                <w:ilvl w:val="0"/>
                <w:numId w:val="0"/>
              </w:numPr>
              <w:ind w:left="0" w:leftChars="0" w:firstLine="0" w:firstLineChars="0"/>
              <w:jc w:val="center"/>
              <w:rPr>
                <w:rFonts w:hint="default" w:hAnsi="宋体" w:eastAsia="宋体"/>
                <w:b/>
                <w:color w:val="auto"/>
                <w:sz w:val="21"/>
                <w:szCs w:val="21"/>
                <w:highlight w:val="none"/>
                <w:lang w:val="en-US" w:eastAsia="zh-CN"/>
              </w:rPr>
            </w:pPr>
            <w:r>
              <w:rPr>
                <w:rFonts w:hint="eastAsia" w:hAnsi="宋体"/>
                <w:b/>
                <w:color w:val="auto"/>
                <w:sz w:val="21"/>
                <w:szCs w:val="21"/>
                <w:highlight w:val="none"/>
                <w:lang w:val="en-US" w:eastAsia="zh-CN"/>
              </w:rPr>
              <w:t>2</w:t>
            </w:r>
          </w:p>
        </w:tc>
        <w:tc>
          <w:tcPr>
            <w:tcW w:w="903" w:type="dxa"/>
            <w:tcBorders>
              <w:top w:val="single" w:color="auto" w:sz="4" w:space="0"/>
              <w:left w:val="single" w:color="auto" w:sz="4" w:space="0"/>
              <w:right w:val="single" w:color="auto" w:sz="4" w:space="0"/>
            </w:tcBorders>
            <w:noWrap w:val="0"/>
            <w:vAlign w:val="center"/>
          </w:tcPr>
          <w:p w14:paraId="2F91D016">
            <w:pPr>
              <w:spacing w:line="340" w:lineRule="exact"/>
              <w:jc w:val="center"/>
              <w:rPr>
                <w:rFonts w:hint="eastAsia" w:hAnsi="宋体"/>
                <w:b/>
                <w:color w:val="auto"/>
                <w:sz w:val="21"/>
                <w:szCs w:val="21"/>
                <w:highlight w:val="none"/>
              </w:rPr>
            </w:pPr>
            <w:r>
              <w:rPr>
                <w:rFonts w:hint="eastAsia" w:hAnsi="宋体"/>
                <w:b w:val="0"/>
                <w:bCs/>
                <w:color w:val="auto"/>
                <w:sz w:val="21"/>
                <w:szCs w:val="21"/>
                <w:highlight w:val="none"/>
              </w:rPr>
              <w:t>专业翻译与审校费</w:t>
            </w:r>
          </w:p>
        </w:tc>
        <w:tc>
          <w:tcPr>
            <w:tcW w:w="997" w:type="dxa"/>
            <w:gridSpan w:val="2"/>
            <w:tcBorders>
              <w:top w:val="single" w:color="auto" w:sz="4" w:space="0"/>
              <w:left w:val="single" w:color="auto" w:sz="4" w:space="0"/>
              <w:right w:val="single" w:color="auto" w:sz="4" w:space="0"/>
            </w:tcBorders>
            <w:noWrap w:val="0"/>
            <w:vAlign w:val="center"/>
          </w:tcPr>
          <w:p w14:paraId="3DF00AAF">
            <w:pPr>
              <w:pStyle w:val="8"/>
              <w:widowControl/>
              <w:topLinePunct/>
              <w:adjustRightInd w:val="0"/>
              <w:snapToGrid w:val="0"/>
              <w:spacing w:before="60" w:after="60" w:line="312" w:lineRule="auto"/>
              <w:ind w:left="0" w:leftChars="0" w:firstLine="0" w:firstLineChars="0"/>
              <w:jc w:val="center"/>
              <w:rPr>
                <w:rFonts w:hint="eastAsia" w:ascii="Times New Roman" w:hAnsi="宋体" w:eastAsia="宋体" w:cs="Times New Roman"/>
                <w:b w:val="0"/>
                <w:bCs/>
                <w:color w:val="auto"/>
                <w:kern w:val="2"/>
                <w:sz w:val="21"/>
                <w:szCs w:val="21"/>
                <w:highlight w:val="none"/>
                <w:lang w:val="en-US" w:eastAsia="zh-CN" w:bidi="ar-SA"/>
              </w:rPr>
            </w:pPr>
            <w:r>
              <w:rPr>
                <w:rFonts w:hint="eastAsia" w:ascii="Times New Roman" w:hAnsi="宋体" w:eastAsia="宋体" w:cs="Times New Roman"/>
                <w:b w:val="0"/>
                <w:bCs/>
                <w:color w:val="auto"/>
                <w:kern w:val="2"/>
                <w:sz w:val="21"/>
                <w:szCs w:val="21"/>
                <w:highlight w:val="none"/>
                <w:lang w:val="en-US" w:eastAsia="zh-CN" w:bidi="ar-SA"/>
              </w:rPr>
              <w:t>1项</w:t>
            </w:r>
          </w:p>
        </w:tc>
        <w:tc>
          <w:tcPr>
            <w:tcW w:w="6533" w:type="dxa"/>
            <w:tcBorders>
              <w:top w:val="single" w:color="auto" w:sz="4" w:space="0"/>
              <w:left w:val="single" w:color="auto" w:sz="4" w:space="0"/>
              <w:right w:val="single" w:color="auto" w:sz="4" w:space="0"/>
            </w:tcBorders>
            <w:noWrap w:val="0"/>
            <w:vAlign w:val="center"/>
          </w:tcPr>
          <w:p w14:paraId="7CEC8FFA">
            <w:pPr>
              <w:pStyle w:val="8"/>
              <w:widowControl/>
              <w:topLinePunct/>
              <w:adjustRightInd w:val="0"/>
              <w:snapToGrid w:val="0"/>
              <w:spacing w:before="60" w:after="60" w:line="312" w:lineRule="auto"/>
              <w:ind w:left="0" w:leftChars="0" w:firstLine="0" w:firstLineChars="0"/>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1.翻译量：以中文原文字数计（不少于100千字）</w:t>
            </w:r>
            <w:r>
              <w:rPr>
                <w:rFonts w:hint="eastAsia" w:ascii="宋体" w:hAnsi="宋体" w:cs="Times New Roman"/>
                <w:b w:val="0"/>
                <w:bCs/>
                <w:color w:val="auto"/>
                <w:kern w:val="0"/>
                <w:sz w:val="21"/>
                <w:szCs w:val="21"/>
                <w:highlight w:val="none"/>
                <w:lang w:val="en-US" w:eastAsia="zh-CN" w:bidi="ar-SA"/>
              </w:rPr>
              <w:t>；</w:t>
            </w:r>
          </w:p>
          <w:p w14:paraId="69C8826B">
            <w:pPr>
              <w:pStyle w:val="8"/>
              <w:widowControl/>
              <w:topLinePunct/>
              <w:adjustRightInd w:val="0"/>
              <w:snapToGrid w:val="0"/>
              <w:spacing w:before="60" w:after="60" w:line="312" w:lineRule="auto"/>
              <w:ind w:left="0" w:leftChars="0" w:firstLine="0" w:firstLineChars="0"/>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2.校审错误率：终稿每千字严重错误（术语、语法、漏译）≤1处；一般错误（标点、格式）≤3处</w:t>
            </w:r>
            <w:r>
              <w:rPr>
                <w:rFonts w:hint="eastAsia" w:ascii="宋体" w:hAnsi="宋体" w:cs="Times New Roman"/>
                <w:b w:val="0"/>
                <w:bCs/>
                <w:color w:val="auto"/>
                <w:kern w:val="0"/>
                <w:sz w:val="21"/>
                <w:szCs w:val="21"/>
                <w:highlight w:val="none"/>
                <w:lang w:val="en-US" w:eastAsia="zh-CN" w:bidi="ar-SA"/>
              </w:rPr>
              <w:t>。</w:t>
            </w:r>
          </w:p>
        </w:tc>
      </w:tr>
      <w:tr w14:paraId="2A30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7446E14E">
            <w:pPr>
              <w:pStyle w:val="16"/>
              <w:numPr>
                <w:ilvl w:val="0"/>
                <w:numId w:val="0"/>
              </w:numPr>
              <w:ind w:left="0" w:leftChars="0" w:firstLine="0" w:firstLineChars="0"/>
              <w:jc w:val="center"/>
              <w:rPr>
                <w:rFonts w:hint="default" w:hAnsi="宋体" w:eastAsia="宋体"/>
                <w:b/>
                <w:color w:val="auto"/>
                <w:sz w:val="21"/>
                <w:szCs w:val="21"/>
                <w:highlight w:val="none"/>
                <w:lang w:val="en-US" w:eastAsia="zh-CN"/>
              </w:rPr>
            </w:pPr>
            <w:r>
              <w:rPr>
                <w:rFonts w:hint="eastAsia" w:hAnsi="宋体"/>
                <w:b/>
                <w:color w:val="auto"/>
                <w:sz w:val="21"/>
                <w:szCs w:val="21"/>
                <w:highlight w:val="none"/>
                <w:lang w:val="en-US" w:eastAsia="zh-CN"/>
              </w:rPr>
              <w:t>3</w:t>
            </w:r>
          </w:p>
        </w:tc>
        <w:tc>
          <w:tcPr>
            <w:tcW w:w="903" w:type="dxa"/>
            <w:tcBorders>
              <w:top w:val="single" w:color="auto" w:sz="4" w:space="0"/>
              <w:left w:val="single" w:color="auto" w:sz="4" w:space="0"/>
              <w:right w:val="single" w:color="auto" w:sz="4" w:space="0"/>
            </w:tcBorders>
            <w:noWrap w:val="0"/>
            <w:vAlign w:val="center"/>
          </w:tcPr>
          <w:p w14:paraId="626D1773">
            <w:pPr>
              <w:spacing w:line="340" w:lineRule="exact"/>
              <w:jc w:val="center"/>
              <w:rPr>
                <w:rFonts w:hint="eastAsia" w:ascii="Times New Roman" w:hAnsi="宋体" w:cs="Times New Roman"/>
                <w:b w:val="0"/>
                <w:bCs/>
                <w:color w:val="auto"/>
                <w:sz w:val="21"/>
                <w:szCs w:val="21"/>
                <w:highlight w:val="none"/>
              </w:rPr>
            </w:pPr>
            <w:r>
              <w:rPr>
                <w:rFonts w:hint="eastAsia" w:ascii="Times New Roman" w:hAnsi="宋体" w:cs="Times New Roman"/>
                <w:b w:val="0"/>
                <w:bCs/>
                <w:color w:val="auto"/>
                <w:sz w:val="21"/>
                <w:szCs w:val="21"/>
                <w:highlight w:val="none"/>
              </w:rPr>
              <w:t>修订排版与图文优化</w:t>
            </w:r>
          </w:p>
        </w:tc>
        <w:tc>
          <w:tcPr>
            <w:tcW w:w="997" w:type="dxa"/>
            <w:gridSpan w:val="2"/>
            <w:tcBorders>
              <w:top w:val="single" w:color="auto" w:sz="4" w:space="0"/>
              <w:left w:val="single" w:color="auto" w:sz="4" w:space="0"/>
              <w:right w:val="single" w:color="auto" w:sz="4" w:space="0"/>
            </w:tcBorders>
            <w:noWrap w:val="0"/>
            <w:vAlign w:val="center"/>
          </w:tcPr>
          <w:p w14:paraId="597BC686">
            <w:pPr>
              <w:spacing w:line="340" w:lineRule="exact"/>
              <w:jc w:val="center"/>
              <w:rPr>
                <w:rFonts w:hint="eastAsia" w:ascii="Times New Roman" w:hAnsi="宋体" w:eastAsia="宋体" w:cs="Times New Roman"/>
                <w:b w:val="0"/>
                <w:bCs/>
                <w:color w:val="auto"/>
                <w:sz w:val="21"/>
                <w:szCs w:val="21"/>
                <w:highlight w:val="none"/>
                <w:lang w:val="en-US" w:eastAsia="zh-CN"/>
              </w:rPr>
            </w:pPr>
            <w:r>
              <w:rPr>
                <w:rFonts w:hint="eastAsia" w:ascii="Times New Roman" w:hAnsi="宋体" w:cs="Times New Roman"/>
                <w:b w:val="0"/>
                <w:bCs/>
                <w:color w:val="auto"/>
                <w:sz w:val="21"/>
                <w:szCs w:val="21"/>
                <w:highlight w:val="none"/>
                <w:lang w:val="en-US" w:eastAsia="zh-CN"/>
              </w:rPr>
              <w:t>1项</w:t>
            </w:r>
          </w:p>
        </w:tc>
        <w:tc>
          <w:tcPr>
            <w:tcW w:w="6533" w:type="dxa"/>
            <w:tcBorders>
              <w:top w:val="single" w:color="auto" w:sz="4" w:space="0"/>
              <w:left w:val="single" w:color="auto" w:sz="4" w:space="0"/>
              <w:right w:val="single" w:color="auto" w:sz="4" w:space="0"/>
            </w:tcBorders>
            <w:noWrap w:val="0"/>
            <w:vAlign w:val="center"/>
          </w:tcPr>
          <w:p w14:paraId="3C98AFEB">
            <w:pPr>
              <w:pStyle w:val="8"/>
              <w:widowControl/>
              <w:topLinePunct/>
              <w:adjustRightInd w:val="0"/>
              <w:snapToGrid w:val="0"/>
              <w:spacing w:before="60" w:after="60" w:line="312" w:lineRule="auto"/>
              <w:ind w:left="0" w:leftChars="0" w:firstLine="0" w:firstLineChars="0"/>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1.中英文字体：中文：思源宋体/黑体或方正书宋；英文：Times New Roman / Arial；需嵌入字体，无缺字风险</w:t>
            </w:r>
            <w:r>
              <w:rPr>
                <w:rFonts w:hint="eastAsia" w:ascii="宋体" w:hAnsi="宋体" w:cs="Times New Roman"/>
                <w:b w:val="0"/>
                <w:bCs/>
                <w:color w:val="auto"/>
                <w:kern w:val="0"/>
                <w:sz w:val="21"/>
                <w:szCs w:val="21"/>
                <w:highlight w:val="none"/>
                <w:lang w:val="en-US" w:eastAsia="zh-CN" w:bidi="ar-SA"/>
              </w:rPr>
              <w:t>；</w:t>
            </w:r>
          </w:p>
          <w:p w14:paraId="2DB673C4">
            <w:pPr>
              <w:pStyle w:val="8"/>
              <w:widowControl/>
              <w:topLinePunct/>
              <w:adjustRightInd w:val="0"/>
              <w:snapToGrid w:val="0"/>
              <w:spacing w:before="60" w:after="60" w:line="312" w:lineRule="auto"/>
              <w:ind w:left="0" w:leftChars="0" w:firstLine="0" w:firstLineChars="0"/>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2.图文分辨率：位图 ≥300 DPI，矢量图提供 .ai/.eps 源文件；灰度图 ≥600 DPI</w:t>
            </w:r>
            <w:r>
              <w:rPr>
                <w:rFonts w:hint="eastAsia" w:ascii="宋体" w:hAnsi="宋体" w:cs="Times New Roman"/>
                <w:b w:val="0"/>
                <w:bCs/>
                <w:color w:val="auto"/>
                <w:kern w:val="0"/>
                <w:sz w:val="21"/>
                <w:szCs w:val="21"/>
                <w:highlight w:val="none"/>
                <w:lang w:val="en-US" w:eastAsia="zh-CN" w:bidi="ar-SA"/>
              </w:rPr>
              <w:t>；</w:t>
            </w:r>
          </w:p>
          <w:p w14:paraId="43D94308">
            <w:pPr>
              <w:pStyle w:val="8"/>
              <w:widowControl/>
              <w:topLinePunct/>
              <w:adjustRightInd w:val="0"/>
              <w:snapToGrid w:val="0"/>
              <w:spacing w:before="60" w:after="60" w:line="312" w:lineRule="auto"/>
              <w:ind w:left="0" w:leftChars="0" w:firstLine="0" w:firstLineChars="0"/>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3.图表双语标注：所有图号、表号、标题均需中英文对照；图中文字需独立图层或可编辑</w:t>
            </w:r>
            <w:r>
              <w:rPr>
                <w:rFonts w:hint="eastAsia" w:ascii="宋体" w:hAnsi="宋体" w:cs="Times New Roman"/>
                <w:b w:val="0"/>
                <w:bCs/>
                <w:color w:val="auto"/>
                <w:kern w:val="0"/>
                <w:sz w:val="21"/>
                <w:szCs w:val="21"/>
                <w:highlight w:val="none"/>
                <w:lang w:val="en-US" w:eastAsia="zh-CN" w:bidi="ar-SA"/>
              </w:rPr>
              <w:t>。</w:t>
            </w:r>
          </w:p>
        </w:tc>
      </w:tr>
      <w:tr w14:paraId="1ABD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5C116C69">
            <w:pPr>
              <w:pStyle w:val="16"/>
              <w:numPr>
                <w:ilvl w:val="0"/>
                <w:numId w:val="0"/>
              </w:numPr>
              <w:ind w:left="0" w:leftChars="0" w:firstLine="0" w:firstLineChars="0"/>
              <w:jc w:val="center"/>
              <w:rPr>
                <w:rFonts w:hint="default" w:hAnsi="宋体" w:eastAsia="宋体"/>
                <w:b/>
                <w:color w:val="auto"/>
                <w:sz w:val="21"/>
                <w:szCs w:val="21"/>
                <w:highlight w:val="none"/>
                <w:lang w:val="en-US" w:eastAsia="zh-CN"/>
              </w:rPr>
            </w:pPr>
            <w:r>
              <w:rPr>
                <w:rFonts w:hint="eastAsia" w:hAnsi="宋体"/>
                <w:b/>
                <w:color w:val="auto"/>
                <w:sz w:val="21"/>
                <w:szCs w:val="21"/>
                <w:highlight w:val="none"/>
                <w:lang w:val="en-US" w:eastAsia="zh-CN"/>
              </w:rPr>
              <w:t>4</w:t>
            </w:r>
          </w:p>
        </w:tc>
        <w:tc>
          <w:tcPr>
            <w:tcW w:w="903" w:type="dxa"/>
            <w:tcBorders>
              <w:top w:val="single" w:color="auto" w:sz="4" w:space="0"/>
              <w:left w:val="single" w:color="auto" w:sz="4" w:space="0"/>
              <w:right w:val="single" w:color="auto" w:sz="4" w:space="0"/>
            </w:tcBorders>
            <w:noWrap w:val="0"/>
            <w:vAlign w:val="center"/>
          </w:tcPr>
          <w:p w14:paraId="47FBD392">
            <w:pPr>
              <w:spacing w:line="340" w:lineRule="exact"/>
              <w:jc w:val="center"/>
              <w:rPr>
                <w:rFonts w:hint="eastAsia" w:hAnsi="宋体"/>
                <w:b/>
                <w:color w:val="auto"/>
                <w:sz w:val="21"/>
                <w:szCs w:val="21"/>
                <w:highlight w:val="none"/>
              </w:rPr>
            </w:pPr>
            <w:r>
              <w:rPr>
                <w:rFonts w:hint="eastAsia" w:hAnsi="宋体"/>
                <w:b w:val="0"/>
                <w:bCs/>
                <w:color w:val="auto"/>
                <w:sz w:val="21"/>
                <w:szCs w:val="21"/>
                <w:highlight w:val="none"/>
              </w:rPr>
              <w:t>出版筹备与服务费</w:t>
            </w:r>
          </w:p>
        </w:tc>
        <w:tc>
          <w:tcPr>
            <w:tcW w:w="997" w:type="dxa"/>
            <w:gridSpan w:val="2"/>
            <w:tcBorders>
              <w:top w:val="single" w:color="auto" w:sz="4" w:space="0"/>
              <w:left w:val="single" w:color="auto" w:sz="4" w:space="0"/>
              <w:right w:val="single" w:color="auto" w:sz="4" w:space="0"/>
            </w:tcBorders>
            <w:noWrap w:val="0"/>
            <w:vAlign w:val="center"/>
          </w:tcPr>
          <w:p w14:paraId="78A8EF3A">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1项</w:t>
            </w:r>
          </w:p>
        </w:tc>
        <w:tc>
          <w:tcPr>
            <w:tcW w:w="6533" w:type="dxa"/>
            <w:tcBorders>
              <w:top w:val="single" w:color="auto" w:sz="4" w:space="0"/>
              <w:left w:val="single" w:color="auto" w:sz="4" w:space="0"/>
              <w:right w:val="single" w:color="auto" w:sz="4" w:space="0"/>
            </w:tcBorders>
            <w:noWrap w:val="0"/>
            <w:vAlign w:val="center"/>
          </w:tcPr>
          <w:p w14:paraId="569D8EF8">
            <w:pPr>
              <w:pStyle w:val="8"/>
              <w:widowControl/>
              <w:topLinePunct/>
              <w:adjustRightInd w:val="0"/>
              <w:snapToGrid w:val="0"/>
              <w:spacing w:before="60" w:after="60" w:line="312" w:lineRule="auto"/>
              <w:ind w:left="0" w:leftChars="0" w:firstLine="0" w:firstLineChars="0"/>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1.书号规范：必须是中国大陆正规ISBN（13位），可查询CIP</w:t>
            </w:r>
            <w:r>
              <w:rPr>
                <w:rFonts w:hint="eastAsia" w:ascii="宋体" w:hAnsi="宋体" w:cs="Times New Roman"/>
                <w:b w:val="0"/>
                <w:bCs/>
                <w:color w:val="auto"/>
                <w:kern w:val="0"/>
                <w:sz w:val="21"/>
                <w:szCs w:val="21"/>
                <w:highlight w:val="none"/>
                <w:lang w:val="en-US" w:eastAsia="zh-CN" w:bidi="ar-SA"/>
              </w:rPr>
              <w:t>；</w:t>
            </w:r>
          </w:p>
          <w:p w14:paraId="3656C33A">
            <w:pPr>
              <w:pStyle w:val="8"/>
              <w:widowControl/>
              <w:topLinePunct/>
              <w:adjustRightInd w:val="0"/>
              <w:snapToGrid w:val="0"/>
              <w:spacing w:before="60" w:after="60" w:line="312" w:lineRule="auto"/>
              <w:ind w:left="0" w:leftChars="0" w:firstLine="0" w:firstLineChars="0"/>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2.三校三审服务：保留每一审次的红稿或修改痕迹PDF，至少三轮</w:t>
            </w:r>
            <w:r>
              <w:rPr>
                <w:rFonts w:hint="eastAsia" w:ascii="宋体" w:hAnsi="宋体" w:cs="Times New Roman"/>
                <w:b w:val="0"/>
                <w:bCs/>
                <w:color w:val="auto"/>
                <w:kern w:val="0"/>
                <w:sz w:val="21"/>
                <w:szCs w:val="21"/>
                <w:highlight w:val="none"/>
                <w:lang w:val="en-US" w:eastAsia="zh-CN" w:bidi="ar-SA"/>
              </w:rPr>
              <w:t>；</w:t>
            </w:r>
          </w:p>
          <w:p w14:paraId="03419616">
            <w:pPr>
              <w:pStyle w:val="8"/>
              <w:widowControl/>
              <w:topLinePunct/>
              <w:adjustRightInd w:val="0"/>
              <w:snapToGrid w:val="0"/>
              <w:spacing w:before="60" w:after="60" w:line="312" w:lineRule="auto"/>
              <w:ind w:left="0" w:leftChars="0" w:firstLine="0" w:firstLineChars="0"/>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3.版权页信息包括：著译者、责任编辑、封面设计、版次、印次、开本、印张、字数、定价</w:t>
            </w:r>
            <w:r>
              <w:rPr>
                <w:rFonts w:hint="eastAsia" w:ascii="宋体" w:hAnsi="宋体" w:cs="Times New Roman"/>
                <w:b w:val="0"/>
                <w:bCs/>
                <w:color w:val="auto"/>
                <w:kern w:val="0"/>
                <w:sz w:val="21"/>
                <w:szCs w:val="21"/>
                <w:highlight w:val="none"/>
                <w:lang w:val="en-US" w:eastAsia="zh-CN" w:bidi="ar-SA"/>
              </w:rPr>
              <w:t>。</w:t>
            </w:r>
          </w:p>
        </w:tc>
      </w:tr>
      <w:tr w14:paraId="1AE8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264A533D">
            <w:pPr>
              <w:pStyle w:val="16"/>
              <w:numPr>
                <w:ilvl w:val="0"/>
                <w:numId w:val="0"/>
              </w:numPr>
              <w:ind w:left="0" w:leftChars="0" w:firstLine="0" w:firstLineChars="0"/>
              <w:jc w:val="center"/>
              <w:rPr>
                <w:rFonts w:hint="default" w:hAnsi="宋体"/>
                <w:b/>
                <w:color w:val="auto"/>
                <w:sz w:val="21"/>
                <w:szCs w:val="21"/>
                <w:highlight w:val="none"/>
                <w:lang w:val="en-US" w:eastAsia="zh-CN"/>
              </w:rPr>
            </w:pPr>
            <w:r>
              <w:rPr>
                <w:rFonts w:hint="eastAsia" w:hAnsi="宋体"/>
                <w:b/>
                <w:color w:val="auto"/>
                <w:sz w:val="21"/>
                <w:szCs w:val="21"/>
                <w:highlight w:val="none"/>
                <w:lang w:val="en-US" w:eastAsia="zh-CN"/>
              </w:rPr>
              <w:t>5</w:t>
            </w:r>
          </w:p>
        </w:tc>
        <w:tc>
          <w:tcPr>
            <w:tcW w:w="903" w:type="dxa"/>
            <w:tcBorders>
              <w:top w:val="single" w:color="auto" w:sz="4" w:space="0"/>
              <w:left w:val="single" w:color="auto" w:sz="4" w:space="0"/>
              <w:right w:val="single" w:color="auto" w:sz="4" w:space="0"/>
            </w:tcBorders>
            <w:noWrap w:val="0"/>
            <w:vAlign w:val="center"/>
          </w:tcPr>
          <w:p w14:paraId="60E2495E">
            <w:pPr>
              <w:spacing w:line="340" w:lineRule="exact"/>
              <w:jc w:val="center"/>
              <w:rPr>
                <w:rFonts w:hint="eastAsia" w:hAnsi="宋体"/>
                <w:b/>
                <w:color w:val="auto"/>
                <w:sz w:val="21"/>
                <w:szCs w:val="21"/>
                <w:highlight w:val="none"/>
              </w:rPr>
            </w:pPr>
            <w:r>
              <w:rPr>
                <w:rFonts w:hint="eastAsia" w:hAnsi="宋体"/>
                <w:b w:val="0"/>
                <w:bCs/>
                <w:color w:val="auto"/>
                <w:sz w:val="21"/>
                <w:szCs w:val="21"/>
                <w:highlight w:val="none"/>
              </w:rPr>
              <w:t>其他费</w:t>
            </w:r>
          </w:p>
        </w:tc>
        <w:tc>
          <w:tcPr>
            <w:tcW w:w="997" w:type="dxa"/>
            <w:gridSpan w:val="2"/>
            <w:tcBorders>
              <w:top w:val="single" w:color="auto" w:sz="4" w:space="0"/>
              <w:left w:val="single" w:color="auto" w:sz="4" w:space="0"/>
              <w:right w:val="single" w:color="auto" w:sz="4" w:space="0"/>
            </w:tcBorders>
            <w:noWrap w:val="0"/>
            <w:vAlign w:val="center"/>
          </w:tcPr>
          <w:p w14:paraId="4E082E24">
            <w:pPr>
              <w:pStyle w:val="8"/>
              <w:widowControl/>
              <w:topLinePunct/>
              <w:adjustRightInd w:val="0"/>
              <w:snapToGrid w:val="0"/>
              <w:spacing w:before="60" w:after="60" w:line="312" w:lineRule="auto"/>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1项</w:t>
            </w:r>
          </w:p>
        </w:tc>
        <w:tc>
          <w:tcPr>
            <w:tcW w:w="6533" w:type="dxa"/>
            <w:tcBorders>
              <w:top w:val="single" w:color="auto" w:sz="4" w:space="0"/>
              <w:left w:val="single" w:color="auto" w:sz="4" w:space="0"/>
              <w:right w:val="single" w:color="auto" w:sz="4" w:space="0"/>
            </w:tcBorders>
            <w:noWrap w:val="0"/>
            <w:vAlign w:val="center"/>
          </w:tcPr>
          <w:p w14:paraId="32D8CEE2">
            <w:pPr>
              <w:pStyle w:val="8"/>
              <w:widowControl/>
              <w:topLinePunct/>
              <w:adjustRightInd w:val="0"/>
              <w:snapToGrid w:val="0"/>
              <w:spacing w:before="60" w:after="60" w:line="312" w:lineRule="auto"/>
              <w:ind w:left="0" w:leftChars="0" w:firstLine="0" w:firstLineChars="0"/>
              <w:rPr>
                <w:rFonts w:hint="eastAsia" w:ascii="宋体" w:hAnsi="宋体" w:eastAsia="宋体" w:cs="Times New Roman"/>
                <w:b w:val="0"/>
                <w:bCs/>
                <w:color w:val="auto"/>
                <w:kern w:val="0"/>
                <w:sz w:val="21"/>
                <w:szCs w:val="21"/>
                <w:highlight w:val="none"/>
                <w:lang w:val="en-US" w:eastAsia="zh-CN" w:bidi="ar-SA"/>
              </w:rPr>
            </w:pPr>
            <w:r>
              <w:rPr>
                <w:rFonts w:hint="eastAsia" w:ascii="宋体" w:hAnsi="宋体" w:eastAsia="宋体" w:cs="Times New Roman"/>
                <w:b w:val="0"/>
                <w:bCs/>
                <w:color w:val="auto"/>
                <w:kern w:val="0"/>
                <w:sz w:val="21"/>
                <w:szCs w:val="21"/>
                <w:highlight w:val="none"/>
                <w:lang w:val="en-US" w:eastAsia="zh-CN" w:bidi="ar-SA"/>
              </w:rPr>
              <w:t>教材内附微课二维码：二维码链接必须永久有效（建议使用出版社自建短链平台）</w:t>
            </w:r>
          </w:p>
        </w:tc>
      </w:tr>
      <w:bookmarkEnd w:id="81"/>
      <w:tr w14:paraId="33B06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908" w:type="dxa"/>
            <w:gridSpan w:val="5"/>
            <w:tcBorders>
              <w:top w:val="single" w:color="auto" w:sz="4" w:space="0"/>
              <w:left w:val="single" w:color="auto" w:sz="4" w:space="0"/>
              <w:bottom w:val="single" w:color="auto" w:sz="4" w:space="0"/>
              <w:right w:val="single" w:color="auto" w:sz="4" w:space="0"/>
            </w:tcBorders>
            <w:noWrap w:val="0"/>
            <w:vAlign w:val="center"/>
          </w:tcPr>
          <w:p w14:paraId="4C8C991F">
            <w:pPr>
              <w:pStyle w:val="15"/>
              <w:spacing w:line="340" w:lineRule="exact"/>
              <w:ind w:firstLine="0"/>
              <w:jc w:val="both"/>
              <w:rPr>
                <w:rFonts w:hint="eastAsia" w:ascii="宋体" w:hAnsi="宋体" w:eastAsia="宋体" w:cs="宋体"/>
                <w:color w:val="auto"/>
                <w:sz w:val="21"/>
                <w:szCs w:val="21"/>
                <w:highlight w:val="none"/>
                <w:lang w:bidi="ar"/>
              </w:rPr>
            </w:pP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lang w:bidi="ar"/>
              </w:rPr>
              <w:t>商务要求表</w:t>
            </w:r>
          </w:p>
        </w:tc>
      </w:tr>
      <w:tr w14:paraId="1BA5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1B7A81B6">
            <w:pPr>
              <w:tabs>
                <w:tab w:val="left" w:pos="180"/>
                <w:tab w:val="left" w:pos="1620"/>
              </w:tabs>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服务地点及服务期</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2DA71964">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服务地点：广西壮族自治区内采购人指定地点。</w:t>
            </w:r>
          </w:p>
          <w:p w14:paraId="7EAF0816">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服务期：</w:t>
            </w:r>
            <w:r>
              <w:rPr>
                <w:rFonts w:hint="eastAsia" w:ascii="宋体" w:hAnsi="宋体" w:cs="宋体"/>
                <w:color w:val="auto"/>
                <w:szCs w:val="21"/>
                <w:highlight w:val="none"/>
                <w:lang w:val="en-US" w:eastAsia="zh-CN"/>
              </w:rPr>
              <w:t>服务期限为一年，签订合同后至项目验收完成（详见合同）</w:t>
            </w:r>
            <w:r>
              <w:rPr>
                <w:rFonts w:hint="eastAsia" w:ascii="宋体" w:hAnsi="宋体" w:cs="宋体"/>
                <w:color w:val="auto"/>
                <w:szCs w:val="21"/>
                <w:highlight w:val="none"/>
              </w:rPr>
              <w:t>。</w:t>
            </w:r>
          </w:p>
        </w:tc>
      </w:tr>
      <w:tr w14:paraId="48AD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58282F82">
            <w:pPr>
              <w:tabs>
                <w:tab w:val="left" w:pos="180"/>
                <w:tab w:val="left" w:pos="1620"/>
              </w:tabs>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合同签订期</w:t>
            </w:r>
          </w:p>
        </w:tc>
        <w:tc>
          <w:tcPr>
            <w:tcW w:w="7527" w:type="dxa"/>
            <w:gridSpan w:val="2"/>
            <w:tcBorders>
              <w:top w:val="single" w:color="auto" w:sz="4" w:space="0"/>
              <w:left w:val="single" w:color="auto" w:sz="4" w:space="0"/>
              <w:bottom w:val="single" w:color="auto" w:sz="4" w:space="0"/>
              <w:right w:val="single" w:color="auto" w:sz="4" w:space="0"/>
            </w:tcBorders>
            <w:noWrap w:val="0"/>
            <w:vAlign w:val="bottom"/>
          </w:tcPr>
          <w:p w14:paraId="3981BFC6">
            <w:pPr>
              <w:pStyle w:val="8"/>
              <w:widowControl/>
              <w:topLinePunct/>
              <w:adjustRightInd w:val="0"/>
              <w:snapToGrid w:val="0"/>
              <w:spacing w:before="60" w:after="60" w:line="312" w:lineRule="auto"/>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w:t>
            </w:r>
            <w:r>
              <w:rPr>
                <w:rFonts w:hint="eastAsia" w:ascii="宋体" w:hAnsi="宋体" w:cs="宋体"/>
                <w:color w:val="auto"/>
                <w:sz w:val="21"/>
                <w:szCs w:val="21"/>
                <w:highlight w:val="none"/>
                <w:lang w:eastAsia="zh-CN"/>
              </w:rPr>
              <w:t>成交</w:t>
            </w:r>
            <w:r>
              <w:rPr>
                <w:rFonts w:hint="eastAsia" w:ascii="宋体" w:hAnsi="宋体" w:eastAsia="宋体" w:cs="宋体"/>
                <w:color w:val="auto"/>
                <w:sz w:val="21"/>
                <w:szCs w:val="21"/>
                <w:highlight w:val="none"/>
              </w:rPr>
              <w:t>通知书发出之日起2</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个工作日</w:t>
            </w:r>
            <w:r>
              <w:rPr>
                <w:rFonts w:hint="eastAsia" w:ascii="宋体" w:hAnsi="宋体" w:eastAsia="宋体" w:cs="宋体"/>
                <w:color w:val="auto"/>
                <w:sz w:val="21"/>
                <w:szCs w:val="21"/>
                <w:highlight w:val="none"/>
              </w:rPr>
              <w:t>内。</w:t>
            </w:r>
          </w:p>
        </w:tc>
      </w:tr>
      <w:tr w14:paraId="5079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1B9800FC">
            <w:pPr>
              <w:tabs>
                <w:tab w:val="left" w:pos="180"/>
                <w:tab w:val="left" w:pos="1620"/>
              </w:tabs>
              <w:spacing w:line="40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报价</w:t>
            </w:r>
            <w:r>
              <w:rPr>
                <w:rFonts w:hint="eastAsia" w:ascii="宋体" w:hAnsi="宋体" w:cs="宋体"/>
                <w:color w:val="auto"/>
                <w:sz w:val="21"/>
                <w:szCs w:val="21"/>
                <w:highlight w:val="none"/>
                <w:lang w:eastAsia="zh-CN"/>
              </w:rPr>
              <w:t>要求</w:t>
            </w:r>
          </w:p>
        </w:tc>
        <w:tc>
          <w:tcPr>
            <w:tcW w:w="7527" w:type="dxa"/>
            <w:gridSpan w:val="2"/>
            <w:tcBorders>
              <w:top w:val="single" w:color="auto" w:sz="4" w:space="0"/>
              <w:left w:val="single" w:color="auto" w:sz="4" w:space="0"/>
              <w:bottom w:val="single" w:color="auto" w:sz="4" w:space="0"/>
              <w:right w:val="single" w:color="auto" w:sz="4" w:space="0"/>
            </w:tcBorders>
            <w:noWrap w:val="0"/>
            <w:vAlign w:val="bottom"/>
          </w:tcPr>
          <w:p w14:paraId="715E5574">
            <w:pPr>
              <w:pStyle w:val="8"/>
              <w:widowControl/>
              <w:topLinePunct/>
              <w:adjustRightInd w:val="0"/>
              <w:snapToGrid w:val="0"/>
              <w:spacing w:before="60" w:after="60" w:line="312" w:lineRule="auto"/>
              <w:ind w:firstLine="0" w:firstLineChars="0"/>
              <w:jc w:val="left"/>
              <w:rPr>
                <w:rFonts w:hint="eastAsia" w:ascii="宋体" w:hAnsi="宋体" w:eastAsia="宋体" w:cs="宋体"/>
                <w:color w:val="auto"/>
                <w:sz w:val="21"/>
                <w:szCs w:val="21"/>
                <w:highlight w:val="none"/>
              </w:rPr>
            </w:pPr>
            <w:r>
              <w:rPr>
                <w:rFonts w:hint="eastAsia" w:eastAsia="宋体"/>
                <w:lang w:val="en-US" w:eastAsia="zh-CN"/>
              </w:rPr>
              <w:t>本项目投标报价为人民币含税全包价，涵盖教材出版全流程所有服务及物料、运输、税费等全部成本，采购人不再支付任何额外费用</w:t>
            </w:r>
          </w:p>
        </w:tc>
      </w:tr>
      <w:tr w14:paraId="047E4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39ACFD99">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付款条件</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5F0482E4">
            <w:pPr>
              <w:pStyle w:val="8"/>
              <w:widowControl/>
              <w:numPr>
                <w:ilvl w:val="0"/>
                <w:numId w:val="5"/>
              </w:numPr>
              <w:topLinePunct/>
              <w:adjustRightInd w:val="0"/>
              <w:snapToGrid w:val="0"/>
              <w:spacing w:before="60" w:after="60" w:line="312" w:lineRule="auto"/>
              <w:ind w:firstLine="0" w:firstLineChars="0"/>
              <w:rPr>
                <w:rFonts w:hint="eastAsia"/>
                <w:color w:val="auto"/>
                <w:lang w:eastAsia="zh-CN"/>
              </w:rPr>
            </w:pPr>
            <w:r>
              <w:rPr>
                <w:rFonts w:hint="eastAsia"/>
                <w:color w:val="auto"/>
                <w:lang w:eastAsia="zh-CN"/>
              </w:rPr>
              <w:t>采购人完成教材全部书稿定稿、达到出版送审标准（成书定稿）后</w:t>
            </w:r>
            <w:r>
              <w:rPr>
                <w:rFonts w:hint="eastAsia"/>
                <w:color w:val="auto"/>
                <w:lang w:val="en-US" w:eastAsia="zh-CN"/>
              </w:rPr>
              <w:t>10</w:t>
            </w:r>
            <w:r>
              <w:rPr>
                <w:rFonts w:hint="eastAsia"/>
                <w:color w:val="auto"/>
                <w:lang w:eastAsia="zh-CN"/>
              </w:rPr>
              <w:t>个工作日内，采购人支付总费用的 50%，图书正式出版印刷完成后</w:t>
            </w:r>
            <w:r>
              <w:rPr>
                <w:rFonts w:hint="eastAsia"/>
                <w:color w:val="auto"/>
                <w:lang w:val="en-US" w:eastAsia="zh-CN"/>
              </w:rPr>
              <w:t>10</w:t>
            </w:r>
            <w:r>
              <w:rPr>
                <w:rFonts w:hint="eastAsia"/>
                <w:color w:val="auto"/>
                <w:lang w:eastAsia="zh-CN"/>
              </w:rPr>
              <w:t xml:space="preserve"> 个工作日内，采购人支付剩余 50% 款项。</w:t>
            </w:r>
          </w:p>
          <w:p w14:paraId="1D51B4C8">
            <w:pPr>
              <w:pStyle w:val="8"/>
              <w:widowControl/>
              <w:numPr>
                <w:ilvl w:val="0"/>
                <w:numId w:val="5"/>
              </w:numPr>
              <w:topLinePunct/>
              <w:adjustRightInd w:val="0"/>
              <w:snapToGrid w:val="0"/>
              <w:spacing w:before="60" w:after="60" w:line="312" w:lineRule="auto"/>
              <w:ind w:firstLine="0" w:firstLineChars="0"/>
              <w:rPr>
                <w:rFonts w:hint="eastAsia"/>
                <w:color w:val="auto"/>
                <w:lang w:eastAsia="zh-CN"/>
              </w:rPr>
            </w:pPr>
            <w:r>
              <w:rPr>
                <w:rFonts w:hint="eastAsia"/>
                <w:color w:val="auto"/>
                <w:lang w:eastAsia="zh-CN"/>
              </w:rPr>
              <w:t>成交人在收到采购人支付的每笔款项前，应按国家相关规定向采购人开具相应金额的正式发票。</w:t>
            </w:r>
          </w:p>
        </w:tc>
      </w:tr>
      <w:tr w14:paraId="743B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445BFDE0">
            <w:pPr>
              <w:spacing w:line="400" w:lineRule="exact"/>
              <w:jc w:val="center"/>
              <w:rPr>
                <w:rFonts w:hint="eastAsia" w:ascii="宋体" w:hAnsi="宋体" w:eastAsia="宋体" w:cs="宋体"/>
                <w:color w:val="auto"/>
                <w:sz w:val="21"/>
                <w:szCs w:val="21"/>
                <w:highlight w:val="none"/>
              </w:rPr>
            </w:pPr>
            <w:r>
              <w:rPr>
                <w:rFonts w:hint="eastAsia" w:ascii="宋体" w:hAnsi="宋体" w:cs="宋体"/>
                <w:kern w:val="0"/>
                <w:sz w:val="21"/>
                <w:szCs w:val="21"/>
              </w:rPr>
              <w:t>质保期</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7D35691C">
            <w:pPr>
              <w:adjustRightIn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cs="Times New Roman"/>
                <w:kern w:val="2"/>
                <w:sz w:val="21"/>
                <w:szCs w:val="21"/>
                <w:lang w:val="en-US" w:eastAsia="zh-CN"/>
              </w:rPr>
              <w:t>1年</w:t>
            </w:r>
          </w:p>
        </w:tc>
      </w:tr>
      <w:tr w14:paraId="4321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05F021F5">
            <w:pPr>
              <w:spacing w:line="40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验收标准</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1BA79566">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1.本项目成果质量按照竞争性磋商文件提出的要求及所签订合同的约定进行，并经采购人有关部门审查通过后（如有），提交成果材料（具体成果文件份数按采购人实际需要提供）给采购人进行验收。</w:t>
            </w:r>
          </w:p>
          <w:p w14:paraId="22812E30">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2.验收过程中所产生的一切费用均由成交人承担，报价时应考虑相关费用。</w:t>
            </w:r>
          </w:p>
        </w:tc>
      </w:tr>
      <w:tr w14:paraId="5C19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3E216848">
            <w:pPr>
              <w:spacing w:line="400" w:lineRule="exact"/>
              <w:jc w:val="center"/>
              <w:rPr>
                <w:rFonts w:hint="eastAsia" w:ascii="宋体" w:hAnsi="宋体" w:cs="宋体"/>
                <w:kern w:val="0"/>
                <w:sz w:val="21"/>
                <w:szCs w:val="21"/>
              </w:rPr>
            </w:pPr>
            <w:r>
              <w:rPr>
                <w:rFonts w:hint="eastAsia" w:ascii="宋体" w:hAnsi="宋体" w:cs="宋体"/>
                <w:kern w:val="0"/>
                <w:sz w:val="21"/>
                <w:szCs w:val="21"/>
              </w:rPr>
              <w:t>售后服务要求</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0CF14CFC">
            <w:pPr>
              <w:pStyle w:val="24"/>
              <w:tabs>
                <w:tab w:val="left" w:pos="1244"/>
              </w:tabs>
              <w:spacing w:before="3" w:line="360" w:lineRule="auto"/>
              <w:ind w:left="210" w:leftChars="100" w:firstLine="420" w:firstLineChars="200"/>
              <w:rPr>
                <w:rFonts w:hint="eastAsia"/>
                <w:b w:val="0"/>
                <w:spacing w:val="-8"/>
                <w:sz w:val="21"/>
                <w:szCs w:val="21"/>
              </w:rPr>
            </w:pPr>
            <w:r>
              <w:rPr>
                <w:rFonts w:hint="eastAsia"/>
                <w:b w:val="0"/>
                <w:sz w:val="21"/>
                <w:szCs w:val="21"/>
              </w:rPr>
              <w:t>（1）</w:t>
            </w:r>
            <w:r>
              <w:rPr>
                <w:rFonts w:hint="eastAsia"/>
                <w:b w:val="0"/>
                <w:spacing w:val="-1"/>
                <w:sz w:val="21"/>
                <w:szCs w:val="21"/>
              </w:rPr>
              <w:t>产品的内容质量、编校质量、设计质量、印制质量达到出版行业合格标准。若出现产品本身质量问题，接到采购</w:t>
            </w:r>
            <w:r>
              <w:rPr>
                <w:rFonts w:hint="eastAsia"/>
                <w:b w:val="0"/>
                <w:spacing w:val="-1"/>
                <w:sz w:val="21"/>
                <w:szCs w:val="21"/>
                <w:lang w:eastAsia="zh-CN"/>
              </w:rPr>
              <w:t>人</w:t>
            </w:r>
            <w:r>
              <w:rPr>
                <w:rFonts w:hint="eastAsia"/>
                <w:b w:val="0"/>
                <w:spacing w:val="-1"/>
                <w:sz w:val="21"/>
                <w:szCs w:val="21"/>
              </w:rPr>
              <w:t xml:space="preserve">处理问题或相关通知后 </w:t>
            </w:r>
            <w:r>
              <w:rPr>
                <w:rFonts w:hint="eastAsia"/>
                <w:b w:val="0"/>
                <w:sz w:val="21"/>
                <w:szCs w:val="21"/>
              </w:rPr>
              <w:t>24 小时内响应并到达现场处理，3</w:t>
            </w:r>
            <w:r>
              <w:rPr>
                <w:rFonts w:hint="eastAsia"/>
                <w:b w:val="0"/>
                <w:spacing w:val="-8"/>
                <w:sz w:val="21"/>
                <w:szCs w:val="21"/>
              </w:rPr>
              <w:t xml:space="preserve"> 日内免费更换有质量问题的图书。</w:t>
            </w:r>
          </w:p>
          <w:p w14:paraId="14184121">
            <w:pPr>
              <w:pStyle w:val="24"/>
              <w:tabs>
                <w:tab w:val="left" w:pos="1244"/>
              </w:tabs>
              <w:spacing w:before="3" w:line="360" w:lineRule="auto"/>
              <w:ind w:left="210" w:leftChars="100" w:firstLine="408" w:firstLineChars="200"/>
              <w:rPr>
                <w:rFonts w:hint="eastAsia" w:ascii="宋体" w:hAnsi="宋体" w:eastAsia="宋体" w:cs="Times New Roman"/>
                <w:kern w:val="2"/>
                <w:sz w:val="21"/>
                <w:szCs w:val="21"/>
              </w:rPr>
            </w:pPr>
            <w:r>
              <w:rPr>
                <w:rFonts w:hint="eastAsia"/>
                <w:b w:val="0"/>
                <w:spacing w:val="-3"/>
                <w:sz w:val="21"/>
                <w:szCs w:val="21"/>
              </w:rPr>
              <w:t>（2）</w:t>
            </w:r>
            <w:r>
              <w:rPr>
                <w:rFonts w:hint="eastAsia"/>
                <w:b w:val="0"/>
                <w:spacing w:val="-3"/>
                <w:sz w:val="21"/>
                <w:szCs w:val="21"/>
                <w:lang w:eastAsia="zh-CN"/>
              </w:rPr>
              <w:t>供应商</w:t>
            </w:r>
            <w:r>
              <w:rPr>
                <w:rFonts w:hint="eastAsia"/>
                <w:b w:val="0"/>
                <w:spacing w:val="-3"/>
                <w:sz w:val="21"/>
                <w:szCs w:val="21"/>
              </w:rPr>
              <w:t>承担产品质量缺陷责任。产品质量保证</w:t>
            </w:r>
            <w:r>
              <w:rPr>
                <w:rFonts w:hint="eastAsia"/>
                <w:b w:val="0"/>
                <w:spacing w:val="-3"/>
                <w:sz w:val="21"/>
                <w:szCs w:val="21"/>
                <w:lang w:eastAsia="zh-CN"/>
              </w:rPr>
              <w:t>期为</w:t>
            </w:r>
            <w:r>
              <w:rPr>
                <w:rFonts w:hint="eastAsia"/>
                <w:b w:val="0"/>
                <w:spacing w:val="-3"/>
                <w:sz w:val="21"/>
                <w:szCs w:val="21"/>
              </w:rPr>
              <w:t xml:space="preserve"> </w:t>
            </w:r>
            <w:r>
              <w:rPr>
                <w:rFonts w:hint="eastAsia"/>
                <w:b w:val="0"/>
                <w:sz w:val="21"/>
                <w:szCs w:val="21"/>
              </w:rPr>
              <w:t>1</w:t>
            </w:r>
            <w:r>
              <w:rPr>
                <w:rFonts w:hint="eastAsia"/>
                <w:b w:val="0"/>
                <w:spacing w:val="-25"/>
                <w:sz w:val="21"/>
                <w:szCs w:val="21"/>
              </w:rPr>
              <w:t xml:space="preserve"> 年</w:t>
            </w:r>
            <w:r>
              <w:rPr>
                <w:rFonts w:hint="eastAsia"/>
                <w:b w:val="0"/>
                <w:sz w:val="21"/>
                <w:szCs w:val="21"/>
              </w:rPr>
              <w:t>（</w:t>
            </w:r>
            <w:r>
              <w:rPr>
                <w:rFonts w:hint="eastAsia"/>
                <w:b w:val="0"/>
                <w:spacing w:val="-3"/>
                <w:sz w:val="21"/>
                <w:szCs w:val="21"/>
              </w:rPr>
              <w:t>自交货并验</w:t>
            </w:r>
            <w:r>
              <w:rPr>
                <w:rFonts w:hint="eastAsia"/>
                <w:b w:val="0"/>
                <w:sz w:val="21"/>
                <w:szCs w:val="21"/>
              </w:rPr>
              <w:t>收合格之日起计</w:t>
            </w:r>
            <w:r>
              <w:rPr>
                <w:rFonts w:hint="eastAsia"/>
                <w:b w:val="0"/>
                <w:spacing w:val="-120"/>
                <w:sz w:val="21"/>
                <w:szCs w:val="21"/>
              </w:rPr>
              <w:t>）</w:t>
            </w:r>
            <w:r>
              <w:rPr>
                <w:rFonts w:hint="eastAsia"/>
                <w:b w:val="0"/>
                <w:spacing w:val="-1"/>
                <w:sz w:val="21"/>
                <w:szCs w:val="21"/>
              </w:rPr>
              <w:t>，使用期为永久。在质量保证期内，采购</w:t>
            </w:r>
            <w:r>
              <w:rPr>
                <w:rFonts w:hint="eastAsia"/>
                <w:b w:val="0"/>
                <w:spacing w:val="-1"/>
                <w:sz w:val="21"/>
                <w:szCs w:val="21"/>
                <w:lang w:eastAsia="zh-CN"/>
              </w:rPr>
              <w:t>人</w:t>
            </w:r>
            <w:r>
              <w:rPr>
                <w:rFonts w:hint="eastAsia"/>
                <w:b w:val="0"/>
                <w:spacing w:val="-1"/>
                <w:sz w:val="21"/>
                <w:szCs w:val="21"/>
              </w:rPr>
              <w:t>如果发现产品的质</w:t>
            </w:r>
            <w:r>
              <w:rPr>
                <w:rFonts w:hint="eastAsia"/>
                <w:b w:val="0"/>
                <w:spacing w:val="-11"/>
                <w:sz w:val="21"/>
                <w:szCs w:val="21"/>
              </w:rPr>
              <w:t>量、规格与合同不符，有漏页、缺页、破页，印刷字迹不清等不符合要求的情况</w:t>
            </w:r>
            <w:r>
              <w:rPr>
                <w:rFonts w:hint="eastAsia"/>
                <w:b w:val="0"/>
                <w:sz w:val="21"/>
                <w:szCs w:val="21"/>
              </w:rPr>
              <w:t>（人为因素除外</w:t>
            </w:r>
            <w:r>
              <w:rPr>
                <w:rFonts w:hint="eastAsia"/>
                <w:b w:val="0"/>
                <w:spacing w:val="-120"/>
                <w:sz w:val="21"/>
                <w:szCs w:val="21"/>
              </w:rPr>
              <w:t>）</w:t>
            </w:r>
            <w:r>
              <w:rPr>
                <w:rFonts w:hint="eastAsia"/>
                <w:b w:val="0"/>
                <w:sz w:val="21"/>
                <w:szCs w:val="21"/>
              </w:rPr>
              <w:t>，</w:t>
            </w:r>
            <w:r>
              <w:rPr>
                <w:rFonts w:hint="eastAsia"/>
                <w:b w:val="0"/>
                <w:sz w:val="21"/>
                <w:szCs w:val="21"/>
                <w:lang w:eastAsia="zh-CN"/>
              </w:rPr>
              <w:t>供应商</w:t>
            </w:r>
            <w:r>
              <w:rPr>
                <w:rFonts w:hint="eastAsia"/>
                <w:b w:val="0"/>
                <w:sz w:val="21"/>
                <w:szCs w:val="21"/>
              </w:rPr>
              <w:t>负责免费更换，采购</w:t>
            </w:r>
            <w:r>
              <w:rPr>
                <w:rFonts w:hint="eastAsia"/>
                <w:b w:val="0"/>
                <w:sz w:val="21"/>
                <w:szCs w:val="21"/>
                <w:lang w:eastAsia="zh-CN"/>
              </w:rPr>
              <w:t>人</w:t>
            </w:r>
            <w:r>
              <w:rPr>
                <w:rFonts w:hint="eastAsia"/>
                <w:b w:val="0"/>
                <w:sz w:val="21"/>
                <w:szCs w:val="21"/>
              </w:rPr>
              <w:t>对此无须承担任何费用。</w:t>
            </w:r>
          </w:p>
        </w:tc>
      </w:tr>
      <w:tr w14:paraId="58D0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3FAD5487">
            <w:pPr>
              <w:spacing w:line="40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知识产权</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6CF003DF">
            <w:pPr>
              <w:pStyle w:val="8"/>
              <w:widowControl/>
              <w:topLinePunct/>
              <w:adjustRightInd w:val="0"/>
              <w:snapToGrid w:val="0"/>
              <w:spacing w:before="60" w:after="60" w:line="312"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采购人在中华人民共和国境内使用成交供应商提供的产品及服务时免受第三方提出的侵犯其专利权或其它知识产权的起诉。如果第三方提出侵权指控，成交供应商应承担由此而引起的一切法律责任和费用。</w:t>
            </w:r>
          </w:p>
        </w:tc>
      </w:tr>
    </w:tbl>
    <w:p w14:paraId="68E119D4">
      <w:pPr>
        <w:spacing w:line="360" w:lineRule="auto"/>
        <w:rPr>
          <w:rFonts w:hint="eastAsia" w:ascii="宋体" w:hAnsi="宋体" w:cs="宋体"/>
          <w:b/>
          <w:color w:val="auto"/>
          <w:szCs w:val="21"/>
          <w:highlight w:val="none"/>
        </w:rPr>
      </w:pPr>
      <w:r>
        <w:rPr>
          <w:rFonts w:hint="eastAsia" w:ascii="宋体" w:hAnsi="宋体" w:cs="宋体"/>
          <w:color w:val="auto"/>
          <w:highlight w:val="none"/>
        </w:rPr>
        <w:br w:type="page"/>
      </w:r>
      <w:r>
        <w:rPr>
          <w:rFonts w:hint="eastAsia" w:ascii="宋体" w:hAnsi="宋体" w:cs="宋体"/>
          <w:color w:val="auto"/>
          <w:sz w:val="32"/>
          <w:szCs w:val="32"/>
          <w:highlight w:val="none"/>
        </w:rPr>
        <w:t>附件1：</w:t>
      </w:r>
    </w:p>
    <w:p w14:paraId="6F3E78AE">
      <w:pPr>
        <w:spacing w:line="528" w:lineRule="exact"/>
        <w:ind w:left="1871"/>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0"/>
        <w:tblW w:w="8745" w:type="dxa"/>
        <w:tblInd w:w="250" w:type="dxa"/>
        <w:tblLayout w:type="fixed"/>
        <w:tblCellMar>
          <w:top w:w="0" w:type="dxa"/>
          <w:left w:w="108" w:type="dxa"/>
          <w:bottom w:w="0" w:type="dxa"/>
          <w:right w:w="108" w:type="dxa"/>
        </w:tblCellMar>
      </w:tblPr>
      <w:tblGrid>
        <w:gridCol w:w="1829"/>
        <w:gridCol w:w="1827"/>
        <w:gridCol w:w="783"/>
        <w:gridCol w:w="1696"/>
        <w:gridCol w:w="1566"/>
        <w:gridCol w:w="1044"/>
      </w:tblGrid>
      <w:tr w14:paraId="66D8442F">
        <w:tblPrEx>
          <w:tblCellMar>
            <w:top w:w="0" w:type="dxa"/>
            <w:left w:w="108" w:type="dxa"/>
            <w:bottom w:w="0" w:type="dxa"/>
            <w:right w:w="108" w:type="dxa"/>
          </w:tblCellMar>
        </w:tblPrEx>
        <w:trPr>
          <w:trHeight w:val="283" w:hRule="atLeast"/>
        </w:trPr>
        <w:tc>
          <w:tcPr>
            <w:tcW w:w="1828" w:type="dxa"/>
            <w:tcBorders>
              <w:top w:val="single" w:color="auto" w:sz="4" w:space="0"/>
              <w:left w:val="single" w:color="auto" w:sz="4" w:space="0"/>
              <w:bottom w:val="single" w:color="auto" w:sz="4" w:space="0"/>
              <w:right w:val="single" w:color="auto" w:sz="4" w:space="0"/>
            </w:tcBorders>
            <w:noWrap w:val="0"/>
            <w:vAlign w:val="center"/>
          </w:tcPr>
          <w:p w14:paraId="29E83CFE">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827" w:type="dxa"/>
            <w:tcBorders>
              <w:top w:val="single" w:color="auto" w:sz="4" w:space="0"/>
              <w:left w:val="nil"/>
              <w:bottom w:val="single" w:color="auto" w:sz="4" w:space="0"/>
              <w:right w:val="single" w:color="auto" w:sz="4" w:space="0"/>
            </w:tcBorders>
            <w:noWrap w:val="0"/>
            <w:vAlign w:val="center"/>
          </w:tcPr>
          <w:p w14:paraId="38E52A98">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783" w:type="dxa"/>
            <w:tcBorders>
              <w:top w:val="single" w:color="auto" w:sz="4" w:space="0"/>
              <w:left w:val="nil"/>
              <w:bottom w:val="single" w:color="auto" w:sz="4" w:space="0"/>
              <w:right w:val="single" w:color="auto" w:sz="4" w:space="0"/>
            </w:tcBorders>
            <w:noWrap w:val="0"/>
            <w:vAlign w:val="center"/>
          </w:tcPr>
          <w:p w14:paraId="0DFA0A2E">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696" w:type="dxa"/>
            <w:tcBorders>
              <w:top w:val="single" w:color="auto" w:sz="4" w:space="0"/>
              <w:left w:val="nil"/>
              <w:bottom w:val="single" w:color="auto" w:sz="4" w:space="0"/>
              <w:right w:val="single" w:color="auto" w:sz="4" w:space="0"/>
            </w:tcBorders>
            <w:noWrap w:val="0"/>
            <w:vAlign w:val="center"/>
          </w:tcPr>
          <w:p w14:paraId="68893897">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566" w:type="dxa"/>
            <w:tcBorders>
              <w:top w:val="single" w:color="auto" w:sz="4" w:space="0"/>
              <w:left w:val="nil"/>
              <w:bottom w:val="single" w:color="auto" w:sz="4" w:space="0"/>
              <w:right w:val="single" w:color="auto" w:sz="4" w:space="0"/>
            </w:tcBorders>
            <w:noWrap w:val="0"/>
            <w:vAlign w:val="center"/>
          </w:tcPr>
          <w:p w14:paraId="4CFBA7E1">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044" w:type="dxa"/>
            <w:tcBorders>
              <w:top w:val="single" w:color="auto" w:sz="4" w:space="0"/>
              <w:left w:val="nil"/>
              <w:bottom w:val="single" w:color="auto" w:sz="4" w:space="0"/>
              <w:right w:val="single" w:color="auto" w:sz="4" w:space="0"/>
            </w:tcBorders>
            <w:noWrap w:val="0"/>
            <w:vAlign w:val="center"/>
          </w:tcPr>
          <w:p w14:paraId="7FEA34A7">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290383A8">
        <w:tblPrEx>
          <w:tblCellMar>
            <w:top w:w="0" w:type="dxa"/>
            <w:left w:w="108" w:type="dxa"/>
            <w:bottom w:w="0" w:type="dxa"/>
            <w:right w:w="108" w:type="dxa"/>
          </w:tblCellMar>
        </w:tblPrEx>
        <w:trPr>
          <w:trHeight w:val="224" w:hRule="atLeast"/>
        </w:trPr>
        <w:tc>
          <w:tcPr>
            <w:tcW w:w="1828" w:type="dxa"/>
            <w:tcBorders>
              <w:top w:val="nil"/>
              <w:left w:val="single" w:color="auto" w:sz="4" w:space="0"/>
              <w:bottom w:val="single" w:color="auto" w:sz="4" w:space="0"/>
              <w:right w:val="single" w:color="auto" w:sz="4" w:space="0"/>
            </w:tcBorders>
            <w:noWrap w:val="0"/>
            <w:vAlign w:val="center"/>
          </w:tcPr>
          <w:p w14:paraId="00040D15">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827" w:type="dxa"/>
            <w:tcBorders>
              <w:top w:val="nil"/>
              <w:left w:val="nil"/>
              <w:bottom w:val="single" w:color="auto" w:sz="4" w:space="0"/>
              <w:right w:val="single" w:color="auto" w:sz="4" w:space="0"/>
            </w:tcBorders>
            <w:noWrap w:val="0"/>
            <w:vAlign w:val="center"/>
          </w:tcPr>
          <w:p w14:paraId="3872D91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25A8DEB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2B8CE4A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66" w:type="dxa"/>
            <w:tcBorders>
              <w:top w:val="nil"/>
              <w:left w:val="nil"/>
              <w:bottom w:val="single" w:color="auto" w:sz="4" w:space="0"/>
              <w:right w:val="single" w:color="auto" w:sz="4" w:space="0"/>
            </w:tcBorders>
            <w:noWrap w:val="0"/>
            <w:vAlign w:val="center"/>
          </w:tcPr>
          <w:p w14:paraId="4F81FAE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044" w:type="dxa"/>
            <w:tcBorders>
              <w:top w:val="nil"/>
              <w:left w:val="nil"/>
              <w:bottom w:val="single" w:color="auto" w:sz="4" w:space="0"/>
              <w:right w:val="single" w:color="auto" w:sz="4" w:space="0"/>
            </w:tcBorders>
            <w:noWrap w:val="0"/>
            <w:vAlign w:val="center"/>
          </w:tcPr>
          <w:p w14:paraId="61E2F7B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00591C95">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2C2F3A1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827" w:type="dxa"/>
            <w:tcBorders>
              <w:top w:val="nil"/>
              <w:left w:val="nil"/>
              <w:bottom w:val="single" w:color="auto" w:sz="4" w:space="0"/>
              <w:right w:val="single" w:color="auto" w:sz="4" w:space="0"/>
            </w:tcBorders>
            <w:noWrap w:val="0"/>
            <w:vAlign w:val="center"/>
          </w:tcPr>
          <w:p w14:paraId="53C95AA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6D332BF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17BE83D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noWrap w:val="0"/>
            <w:vAlign w:val="center"/>
          </w:tcPr>
          <w:p w14:paraId="3DC34E4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4" w:type="dxa"/>
            <w:tcBorders>
              <w:top w:val="nil"/>
              <w:left w:val="nil"/>
              <w:bottom w:val="single" w:color="auto" w:sz="4" w:space="0"/>
              <w:right w:val="single" w:color="auto" w:sz="4" w:space="0"/>
            </w:tcBorders>
            <w:noWrap w:val="0"/>
            <w:vAlign w:val="center"/>
          </w:tcPr>
          <w:p w14:paraId="386E80B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AF0930B">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07D7638D">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477BF90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2D50EF6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6A01D70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566" w:type="dxa"/>
            <w:tcBorders>
              <w:top w:val="nil"/>
              <w:left w:val="nil"/>
              <w:bottom w:val="single" w:color="auto" w:sz="4" w:space="0"/>
              <w:right w:val="single" w:color="auto" w:sz="4" w:space="0"/>
            </w:tcBorders>
            <w:noWrap w:val="0"/>
            <w:vAlign w:val="center"/>
          </w:tcPr>
          <w:p w14:paraId="72045AA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044" w:type="dxa"/>
            <w:tcBorders>
              <w:top w:val="nil"/>
              <w:left w:val="nil"/>
              <w:bottom w:val="single" w:color="auto" w:sz="4" w:space="0"/>
              <w:right w:val="single" w:color="auto" w:sz="4" w:space="0"/>
            </w:tcBorders>
            <w:noWrap w:val="0"/>
            <w:vAlign w:val="center"/>
          </w:tcPr>
          <w:p w14:paraId="42E59FD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24241471">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52BDB3B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827" w:type="dxa"/>
            <w:tcBorders>
              <w:top w:val="nil"/>
              <w:left w:val="nil"/>
              <w:bottom w:val="single" w:color="auto" w:sz="4" w:space="0"/>
              <w:right w:val="single" w:color="auto" w:sz="4" w:space="0"/>
            </w:tcBorders>
            <w:noWrap w:val="0"/>
            <w:vAlign w:val="center"/>
          </w:tcPr>
          <w:p w14:paraId="7B1A6E0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20DF350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00F8157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566" w:type="dxa"/>
            <w:tcBorders>
              <w:top w:val="nil"/>
              <w:left w:val="nil"/>
              <w:bottom w:val="single" w:color="auto" w:sz="4" w:space="0"/>
              <w:right w:val="single" w:color="auto" w:sz="4" w:space="0"/>
            </w:tcBorders>
            <w:noWrap w:val="0"/>
            <w:vAlign w:val="center"/>
          </w:tcPr>
          <w:p w14:paraId="6768B9E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044" w:type="dxa"/>
            <w:tcBorders>
              <w:top w:val="nil"/>
              <w:left w:val="nil"/>
              <w:bottom w:val="single" w:color="auto" w:sz="4" w:space="0"/>
              <w:right w:val="single" w:color="auto" w:sz="4" w:space="0"/>
            </w:tcBorders>
            <w:noWrap w:val="0"/>
            <w:vAlign w:val="center"/>
          </w:tcPr>
          <w:p w14:paraId="178A370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0EED2193">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30D550DC">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2082FD6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83" w:type="dxa"/>
            <w:tcBorders>
              <w:top w:val="nil"/>
              <w:left w:val="nil"/>
              <w:bottom w:val="single" w:color="auto" w:sz="4" w:space="0"/>
              <w:right w:val="single" w:color="auto" w:sz="4" w:space="0"/>
            </w:tcBorders>
            <w:noWrap w:val="0"/>
            <w:vAlign w:val="center"/>
          </w:tcPr>
          <w:p w14:paraId="4B886CB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0431C86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566" w:type="dxa"/>
            <w:tcBorders>
              <w:top w:val="nil"/>
              <w:left w:val="nil"/>
              <w:bottom w:val="single" w:color="auto" w:sz="4" w:space="0"/>
              <w:right w:val="single" w:color="auto" w:sz="4" w:space="0"/>
            </w:tcBorders>
            <w:noWrap w:val="0"/>
            <w:vAlign w:val="center"/>
          </w:tcPr>
          <w:p w14:paraId="768CA15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044" w:type="dxa"/>
            <w:tcBorders>
              <w:top w:val="nil"/>
              <w:left w:val="nil"/>
              <w:bottom w:val="single" w:color="auto" w:sz="4" w:space="0"/>
              <w:right w:val="single" w:color="auto" w:sz="4" w:space="0"/>
            </w:tcBorders>
            <w:noWrap w:val="0"/>
            <w:vAlign w:val="center"/>
          </w:tcPr>
          <w:p w14:paraId="1C58199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623B039D">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0E7A37CC">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827" w:type="dxa"/>
            <w:tcBorders>
              <w:top w:val="nil"/>
              <w:left w:val="nil"/>
              <w:bottom w:val="single" w:color="auto" w:sz="4" w:space="0"/>
              <w:right w:val="single" w:color="auto" w:sz="4" w:space="0"/>
            </w:tcBorders>
            <w:noWrap w:val="0"/>
            <w:vAlign w:val="center"/>
          </w:tcPr>
          <w:p w14:paraId="62D1B3D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3353C76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73AF9FB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566" w:type="dxa"/>
            <w:tcBorders>
              <w:top w:val="nil"/>
              <w:left w:val="nil"/>
              <w:bottom w:val="single" w:color="auto" w:sz="4" w:space="0"/>
              <w:right w:val="single" w:color="auto" w:sz="4" w:space="0"/>
            </w:tcBorders>
            <w:noWrap w:val="0"/>
            <w:vAlign w:val="center"/>
          </w:tcPr>
          <w:p w14:paraId="362E893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044" w:type="dxa"/>
            <w:tcBorders>
              <w:top w:val="nil"/>
              <w:left w:val="nil"/>
              <w:bottom w:val="single" w:color="auto" w:sz="4" w:space="0"/>
              <w:right w:val="single" w:color="auto" w:sz="4" w:space="0"/>
            </w:tcBorders>
            <w:noWrap w:val="0"/>
            <w:vAlign w:val="center"/>
          </w:tcPr>
          <w:p w14:paraId="4EB85DD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6B35C6AD">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25624209">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0ADA8CF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60FB74C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7C136A3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566" w:type="dxa"/>
            <w:tcBorders>
              <w:top w:val="nil"/>
              <w:left w:val="nil"/>
              <w:bottom w:val="single" w:color="auto" w:sz="4" w:space="0"/>
              <w:right w:val="single" w:color="auto" w:sz="4" w:space="0"/>
            </w:tcBorders>
            <w:noWrap w:val="0"/>
            <w:vAlign w:val="center"/>
          </w:tcPr>
          <w:p w14:paraId="151925C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044" w:type="dxa"/>
            <w:tcBorders>
              <w:top w:val="nil"/>
              <w:left w:val="nil"/>
              <w:bottom w:val="single" w:color="auto" w:sz="4" w:space="0"/>
              <w:right w:val="single" w:color="auto" w:sz="4" w:space="0"/>
            </w:tcBorders>
            <w:noWrap w:val="0"/>
            <w:vAlign w:val="center"/>
          </w:tcPr>
          <w:p w14:paraId="7FBD354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608038B5">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63458D6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827" w:type="dxa"/>
            <w:tcBorders>
              <w:top w:val="nil"/>
              <w:left w:val="nil"/>
              <w:bottom w:val="single" w:color="auto" w:sz="4" w:space="0"/>
              <w:right w:val="single" w:color="auto" w:sz="4" w:space="0"/>
            </w:tcBorders>
            <w:noWrap w:val="0"/>
            <w:vAlign w:val="center"/>
          </w:tcPr>
          <w:p w14:paraId="17EF76C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78201E8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4D7E6FA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566" w:type="dxa"/>
            <w:tcBorders>
              <w:top w:val="nil"/>
              <w:left w:val="nil"/>
              <w:bottom w:val="single" w:color="auto" w:sz="4" w:space="0"/>
              <w:right w:val="single" w:color="auto" w:sz="4" w:space="0"/>
            </w:tcBorders>
            <w:noWrap w:val="0"/>
            <w:vAlign w:val="center"/>
          </w:tcPr>
          <w:p w14:paraId="0E94795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044" w:type="dxa"/>
            <w:tcBorders>
              <w:top w:val="nil"/>
              <w:left w:val="nil"/>
              <w:bottom w:val="single" w:color="auto" w:sz="4" w:space="0"/>
              <w:right w:val="single" w:color="auto" w:sz="4" w:space="0"/>
            </w:tcBorders>
            <w:noWrap w:val="0"/>
            <w:vAlign w:val="center"/>
          </w:tcPr>
          <w:p w14:paraId="40CDFF5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B1A58EF">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0B096F77">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3683084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253C168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27B4312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66" w:type="dxa"/>
            <w:tcBorders>
              <w:top w:val="nil"/>
              <w:left w:val="nil"/>
              <w:bottom w:val="single" w:color="auto" w:sz="4" w:space="0"/>
              <w:right w:val="single" w:color="auto" w:sz="4" w:space="0"/>
            </w:tcBorders>
            <w:noWrap w:val="0"/>
            <w:vAlign w:val="center"/>
          </w:tcPr>
          <w:p w14:paraId="1D2DEC0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044" w:type="dxa"/>
            <w:tcBorders>
              <w:top w:val="nil"/>
              <w:left w:val="nil"/>
              <w:bottom w:val="single" w:color="auto" w:sz="4" w:space="0"/>
              <w:right w:val="single" w:color="auto" w:sz="4" w:space="0"/>
            </w:tcBorders>
            <w:noWrap w:val="0"/>
            <w:vAlign w:val="center"/>
          </w:tcPr>
          <w:p w14:paraId="7FB283B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CE574DF">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0B1C0C1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827" w:type="dxa"/>
            <w:tcBorders>
              <w:top w:val="nil"/>
              <w:left w:val="nil"/>
              <w:bottom w:val="single" w:color="auto" w:sz="4" w:space="0"/>
              <w:right w:val="single" w:color="auto" w:sz="4" w:space="0"/>
            </w:tcBorders>
            <w:noWrap w:val="0"/>
            <w:vAlign w:val="center"/>
          </w:tcPr>
          <w:p w14:paraId="5CC0F3E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4F6E6CD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6C597F6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noWrap w:val="0"/>
            <w:vAlign w:val="center"/>
          </w:tcPr>
          <w:p w14:paraId="0C47C3A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4" w:type="dxa"/>
            <w:tcBorders>
              <w:top w:val="nil"/>
              <w:left w:val="nil"/>
              <w:bottom w:val="single" w:color="auto" w:sz="4" w:space="0"/>
              <w:right w:val="single" w:color="auto" w:sz="4" w:space="0"/>
            </w:tcBorders>
            <w:noWrap w:val="0"/>
            <w:vAlign w:val="center"/>
          </w:tcPr>
          <w:p w14:paraId="0FCBB59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3603156">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738E206A">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2A0BE53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626041D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055416E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566" w:type="dxa"/>
            <w:tcBorders>
              <w:top w:val="nil"/>
              <w:left w:val="nil"/>
              <w:bottom w:val="single" w:color="auto" w:sz="4" w:space="0"/>
              <w:right w:val="single" w:color="auto" w:sz="4" w:space="0"/>
            </w:tcBorders>
            <w:noWrap w:val="0"/>
            <w:vAlign w:val="center"/>
          </w:tcPr>
          <w:p w14:paraId="0A8F486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044" w:type="dxa"/>
            <w:tcBorders>
              <w:top w:val="nil"/>
              <w:left w:val="nil"/>
              <w:bottom w:val="single" w:color="auto" w:sz="4" w:space="0"/>
              <w:right w:val="single" w:color="auto" w:sz="4" w:space="0"/>
            </w:tcBorders>
            <w:noWrap w:val="0"/>
            <w:vAlign w:val="center"/>
          </w:tcPr>
          <w:p w14:paraId="2F251BC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21A9EEA9">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6686BF38">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827" w:type="dxa"/>
            <w:tcBorders>
              <w:top w:val="nil"/>
              <w:left w:val="nil"/>
              <w:bottom w:val="single" w:color="auto" w:sz="4" w:space="0"/>
              <w:right w:val="single" w:color="auto" w:sz="4" w:space="0"/>
            </w:tcBorders>
            <w:noWrap w:val="0"/>
            <w:vAlign w:val="center"/>
          </w:tcPr>
          <w:p w14:paraId="4BE7B58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3AF3F5D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559BB7F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566" w:type="dxa"/>
            <w:tcBorders>
              <w:top w:val="nil"/>
              <w:left w:val="nil"/>
              <w:bottom w:val="single" w:color="auto" w:sz="4" w:space="0"/>
              <w:right w:val="single" w:color="auto" w:sz="4" w:space="0"/>
            </w:tcBorders>
            <w:noWrap w:val="0"/>
            <w:vAlign w:val="center"/>
          </w:tcPr>
          <w:p w14:paraId="0516C06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044" w:type="dxa"/>
            <w:tcBorders>
              <w:top w:val="nil"/>
              <w:left w:val="nil"/>
              <w:bottom w:val="single" w:color="auto" w:sz="4" w:space="0"/>
              <w:right w:val="single" w:color="auto" w:sz="4" w:space="0"/>
            </w:tcBorders>
            <w:noWrap w:val="0"/>
            <w:vAlign w:val="center"/>
          </w:tcPr>
          <w:p w14:paraId="44870A4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744DF39F">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3EFB5453">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299F4D3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4C8BA38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765F573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566" w:type="dxa"/>
            <w:tcBorders>
              <w:top w:val="nil"/>
              <w:left w:val="nil"/>
              <w:bottom w:val="single" w:color="auto" w:sz="4" w:space="0"/>
              <w:right w:val="single" w:color="auto" w:sz="4" w:space="0"/>
            </w:tcBorders>
            <w:noWrap w:val="0"/>
            <w:vAlign w:val="center"/>
          </w:tcPr>
          <w:p w14:paraId="1379C35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4" w:type="dxa"/>
            <w:tcBorders>
              <w:top w:val="nil"/>
              <w:left w:val="nil"/>
              <w:bottom w:val="single" w:color="auto" w:sz="4" w:space="0"/>
              <w:right w:val="single" w:color="auto" w:sz="4" w:space="0"/>
            </w:tcBorders>
            <w:noWrap w:val="0"/>
            <w:vAlign w:val="center"/>
          </w:tcPr>
          <w:p w14:paraId="3D01BA1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0146690">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4202F722">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827" w:type="dxa"/>
            <w:tcBorders>
              <w:top w:val="nil"/>
              <w:left w:val="nil"/>
              <w:bottom w:val="single" w:color="auto" w:sz="4" w:space="0"/>
              <w:right w:val="single" w:color="auto" w:sz="4" w:space="0"/>
            </w:tcBorders>
            <w:noWrap w:val="0"/>
            <w:vAlign w:val="center"/>
          </w:tcPr>
          <w:p w14:paraId="71AA14C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7925895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0749CDE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noWrap w:val="0"/>
            <w:vAlign w:val="center"/>
          </w:tcPr>
          <w:p w14:paraId="0D1D806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4" w:type="dxa"/>
            <w:tcBorders>
              <w:top w:val="nil"/>
              <w:left w:val="nil"/>
              <w:bottom w:val="single" w:color="auto" w:sz="4" w:space="0"/>
              <w:right w:val="single" w:color="auto" w:sz="4" w:space="0"/>
            </w:tcBorders>
            <w:noWrap w:val="0"/>
            <w:vAlign w:val="center"/>
          </w:tcPr>
          <w:p w14:paraId="66E1991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30C5427">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63EA0A20">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7051864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640DCE5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7F6A99A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566" w:type="dxa"/>
            <w:tcBorders>
              <w:top w:val="nil"/>
              <w:left w:val="nil"/>
              <w:bottom w:val="single" w:color="auto" w:sz="4" w:space="0"/>
              <w:right w:val="single" w:color="auto" w:sz="4" w:space="0"/>
            </w:tcBorders>
            <w:noWrap w:val="0"/>
            <w:vAlign w:val="center"/>
          </w:tcPr>
          <w:p w14:paraId="51EB2F0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4" w:type="dxa"/>
            <w:tcBorders>
              <w:top w:val="nil"/>
              <w:left w:val="nil"/>
              <w:bottom w:val="single" w:color="auto" w:sz="4" w:space="0"/>
              <w:right w:val="single" w:color="auto" w:sz="4" w:space="0"/>
            </w:tcBorders>
            <w:noWrap w:val="0"/>
            <w:vAlign w:val="center"/>
          </w:tcPr>
          <w:p w14:paraId="21CAE4B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B1B313A">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398797F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827" w:type="dxa"/>
            <w:tcBorders>
              <w:top w:val="nil"/>
              <w:left w:val="nil"/>
              <w:bottom w:val="single" w:color="auto" w:sz="4" w:space="0"/>
              <w:right w:val="single" w:color="auto" w:sz="4" w:space="0"/>
            </w:tcBorders>
            <w:noWrap w:val="0"/>
            <w:vAlign w:val="center"/>
          </w:tcPr>
          <w:p w14:paraId="20152C8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42EEA12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194F13B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14:paraId="4906C40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14:paraId="62C272C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86B1601">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1E05C801">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17DF62A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73577BD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431FEA1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66" w:type="dxa"/>
            <w:tcBorders>
              <w:top w:val="nil"/>
              <w:left w:val="nil"/>
              <w:bottom w:val="single" w:color="auto" w:sz="4" w:space="0"/>
              <w:right w:val="single" w:color="auto" w:sz="4" w:space="0"/>
            </w:tcBorders>
            <w:noWrap w:val="0"/>
            <w:vAlign w:val="center"/>
          </w:tcPr>
          <w:p w14:paraId="634FCAB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4" w:type="dxa"/>
            <w:tcBorders>
              <w:top w:val="nil"/>
              <w:left w:val="nil"/>
              <w:bottom w:val="single" w:color="auto" w:sz="4" w:space="0"/>
              <w:right w:val="single" w:color="auto" w:sz="4" w:space="0"/>
            </w:tcBorders>
            <w:noWrap w:val="0"/>
            <w:vAlign w:val="center"/>
          </w:tcPr>
          <w:p w14:paraId="5F8E708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F711867">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0A993018">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827" w:type="dxa"/>
            <w:tcBorders>
              <w:top w:val="nil"/>
              <w:left w:val="nil"/>
              <w:bottom w:val="single" w:color="auto" w:sz="4" w:space="0"/>
              <w:right w:val="single" w:color="auto" w:sz="4" w:space="0"/>
            </w:tcBorders>
            <w:noWrap w:val="0"/>
            <w:vAlign w:val="center"/>
          </w:tcPr>
          <w:p w14:paraId="2EF573E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08E098B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77631AC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14:paraId="51FAB79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14:paraId="7C94FE4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B63316D">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18ADEBE6">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1351169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0DE4257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442D01D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66" w:type="dxa"/>
            <w:tcBorders>
              <w:top w:val="nil"/>
              <w:left w:val="nil"/>
              <w:bottom w:val="single" w:color="auto" w:sz="4" w:space="0"/>
              <w:right w:val="single" w:color="auto" w:sz="4" w:space="0"/>
            </w:tcBorders>
            <w:noWrap w:val="0"/>
            <w:vAlign w:val="center"/>
          </w:tcPr>
          <w:p w14:paraId="6C376E7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4" w:type="dxa"/>
            <w:tcBorders>
              <w:top w:val="nil"/>
              <w:left w:val="nil"/>
              <w:bottom w:val="single" w:color="auto" w:sz="4" w:space="0"/>
              <w:right w:val="single" w:color="auto" w:sz="4" w:space="0"/>
            </w:tcBorders>
            <w:noWrap w:val="0"/>
            <w:vAlign w:val="center"/>
          </w:tcPr>
          <w:p w14:paraId="0015B77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215AE22">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1FFD8FFD">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827" w:type="dxa"/>
            <w:tcBorders>
              <w:top w:val="nil"/>
              <w:left w:val="nil"/>
              <w:bottom w:val="single" w:color="auto" w:sz="4" w:space="0"/>
              <w:right w:val="single" w:color="auto" w:sz="4" w:space="0"/>
            </w:tcBorders>
            <w:noWrap w:val="0"/>
            <w:vAlign w:val="center"/>
          </w:tcPr>
          <w:p w14:paraId="42A913F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079CC4F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79FDACA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566" w:type="dxa"/>
            <w:tcBorders>
              <w:top w:val="nil"/>
              <w:left w:val="nil"/>
              <w:bottom w:val="single" w:color="auto" w:sz="4" w:space="0"/>
              <w:right w:val="single" w:color="auto" w:sz="4" w:space="0"/>
            </w:tcBorders>
            <w:noWrap w:val="0"/>
            <w:vAlign w:val="center"/>
          </w:tcPr>
          <w:p w14:paraId="7D9645B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14:paraId="0A86173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878EF74">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196A5E50">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26C6E0A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271A577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1F5D4DF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566" w:type="dxa"/>
            <w:tcBorders>
              <w:top w:val="nil"/>
              <w:left w:val="nil"/>
              <w:bottom w:val="single" w:color="auto" w:sz="4" w:space="0"/>
              <w:right w:val="single" w:color="auto" w:sz="4" w:space="0"/>
            </w:tcBorders>
            <w:noWrap w:val="0"/>
            <w:vAlign w:val="center"/>
          </w:tcPr>
          <w:p w14:paraId="0402C14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4" w:type="dxa"/>
            <w:tcBorders>
              <w:top w:val="nil"/>
              <w:left w:val="nil"/>
              <w:bottom w:val="single" w:color="auto" w:sz="4" w:space="0"/>
              <w:right w:val="single" w:color="auto" w:sz="4" w:space="0"/>
            </w:tcBorders>
            <w:noWrap w:val="0"/>
            <w:vAlign w:val="center"/>
          </w:tcPr>
          <w:p w14:paraId="11CFEF6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9A06D72">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5CE34232">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827" w:type="dxa"/>
            <w:tcBorders>
              <w:top w:val="nil"/>
              <w:left w:val="nil"/>
              <w:bottom w:val="single" w:color="auto" w:sz="4" w:space="0"/>
              <w:right w:val="single" w:color="auto" w:sz="4" w:space="0"/>
            </w:tcBorders>
            <w:noWrap w:val="0"/>
            <w:vAlign w:val="center"/>
          </w:tcPr>
          <w:p w14:paraId="26EAD69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7007025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06FFDDB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14:paraId="7430499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14:paraId="368ABCC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FCF3555">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7472F449">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45441B4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3C2F9A7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5AF8D0B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566" w:type="dxa"/>
            <w:tcBorders>
              <w:top w:val="nil"/>
              <w:left w:val="nil"/>
              <w:bottom w:val="single" w:color="auto" w:sz="4" w:space="0"/>
              <w:right w:val="single" w:color="auto" w:sz="4" w:space="0"/>
            </w:tcBorders>
            <w:noWrap w:val="0"/>
            <w:vAlign w:val="center"/>
          </w:tcPr>
          <w:p w14:paraId="177B4EF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044" w:type="dxa"/>
            <w:tcBorders>
              <w:top w:val="nil"/>
              <w:left w:val="nil"/>
              <w:bottom w:val="single" w:color="auto" w:sz="4" w:space="0"/>
              <w:right w:val="single" w:color="auto" w:sz="4" w:space="0"/>
            </w:tcBorders>
            <w:noWrap w:val="0"/>
            <w:vAlign w:val="center"/>
          </w:tcPr>
          <w:p w14:paraId="3F594B6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6C643297">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15A58E1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827" w:type="dxa"/>
            <w:tcBorders>
              <w:top w:val="nil"/>
              <w:left w:val="nil"/>
              <w:bottom w:val="single" w:color="auto" w:sz="4" w:space="0"/>
              <w:right w:val="single" w:color="auto" w:sz="4" w:space="0"/>
            </w:tcBorders>
            <w:noWrap w:val="0"/>
            <w:vAlign w:val="center"/>
          </w:tcPr>
          <w:p w14:paraId="185F575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7711B76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04D7ADE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566" w:type="dxa"/>
            <w:tcBorders>
              <w:top w:val="nil"/>
              <w:left w:val="nil"/>
              <w:bottom w:val="single" w:color="auto" w:sz="4" w:space="0"/>
              <w:right w:val="single" w:color="auto" w:sz="4" w:space="0"/>
            </w:tcBorders>
            <w:noWrap w:val="0"/>
            <w:vAlign w:val="center"/>
          </w:tcPr>
          <w:p w14:paraId="08A164B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044" w:type="dxa"/>
            <w:tcBorders>
              <w:top w:val="nil"/>
              <w:left w:val="nil"/>
              <w:bottom w:val="single" w:color="auto" w:sz="4" w:space="0"/>
              <w:right w:val="single" w:color="auto" w:sz="4" w:space="0"/>
            </w:tcBorders>
            <w:noWrap w:val="0"/>
            <w:vAlign w:val="center"/>
          </w:tcPr>
          <w:p w14:paraId="4C19CC2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75F5AB40">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6C060B0E">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58A2E64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83" w:type="dxa"/>
            <w:tcBorders>
              <w:top w:val="nil"/>
              <w:left w:val="nil"/>
              <w:bottom w:val="single" w:color="auto" w:sz="4" w:space="0"/>
              <w:right w:val="single" w:color="auto" w:sz="4" w:space="0"/>
            </w:tcBorders>
            <w:noWrap w:val="0"/>
            <w:vAlign w:val="center"/>
          </w:tcPr>
          <w:p w14:paraId="33DA82E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0176125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566" w:type="dxa"/>
            <w:tcBorders>
              <w:top w:val="nil"/>
              <w:left w:val="nil"/>
              <w:bottom w:val="single" w:color="auto" w:sz="4" w:space="0"/>
              <w:right w:val="single" w:color="auto" w:sz="4" w:space="0"/>
            </w:tcBorders>
            <w:noWrap w:val="0"/>
            <w:vAlign w:val="center"/>
          </w:tcPr>
          <w:p w14:paraId="20052B2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044" w:type="dxa"/>
            <w:tcBorders>
              <w:top w:val="nil"/>
              <w:left w:val="nil"/>
              <w:bottom w:val="single" w:color="auto" w:sz="4" w:space="0"/>
              <w:right w:val="single" w:color="auto" w:sz="4" w:space="0"/>
            </w:tcBorders>
            <w:noWrap w:val="0"/>
            <w:vAlign w:val="center"/>
          </w:tcPr>
          <w:p w14:paraId="1872DFA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33382EC1">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5FADF98C">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827" w:type="dxa"/>
            <w:tcBorders>
              <w:top w:val="nil"/>
              <w:left w:val="nil"/>
              <w:bottom w:val="single" w:color="auto" w:sz="4" w:space="0"/>
              <w:right w:val="single" w:color="auto" w:sz="4" w:space="0"/>
            </w:tcBorders>
            <w:noWrap w:val="0"/>
            <w:vAlign w:val="center"/>
          </w:tcPr>
          <w:p w14:paraId="70C81F3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22E901A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1477EDC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noWrap w:val="0"/>
            <w:vAlign w:val="center"/>
          </w:tcPr>
          <w:p w14:paraId="062541C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044" w:type="dxa"/>
            <w:tcBorders>
              <w:top w:val="nil"/>
              <w:left w:val="nil"/>
              <w:bottom w:val="single" w:color="auto" w:sz="4" w:space="0"/>
              <w:right w:val="single" w:color="auto" w:sz="4" w:space="0"/>
            </w:tcBorders>
            <w:noWrap w:val="0"/>
            <w:vAlign w:val="center"/>
          </w:tcPr>
          <w:p w14:paraId="2B142B8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177CF4FC">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2EC00840">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5F5A3ED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noWrap w:val="0"/>
            <w:vAlign w:val="center"/>
          </w:tcPr>
          <w:p w14:paraId="027F49F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0F0928A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566" w:type="dxa"/>
            <w:tcBorders>
              <w:top w:val="nil"/>
              <w:left w:val="nil"/>
              <w:bottom w:val="single" w:color="auto" w:sz="4" w:space="0"/>
              <w:right w:val="single" w:color="auto" w:sz="4" w:space="0"/>
            </w:tcBorders>
            <w:noWrap w:val="0"/>
            <w:vAlign w:val="center"/>
          </w:tcPr>
          <w:p w14:paraId="57A11D8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044" w:type="dxa"/>
            <w:tcBorders>
              <w:top w:val="nil"/>
              <w:left w:val="nil"/>
              <w:bottom w:val="single" w:color="auto" w:sz="4" w:space="0"/>
              <w:right w:val="single" w:color="auto" w:sz="4" w:space="0"/>
            </w:tcBorders>
            <w:noWrap w:val="0"/>
            <w:vAlign w:val="center"/>
          </w:tcPr>
          <w:p w14:paraId="560ACFA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69CD90C9">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72B2A0AF">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827" w:type="dxa"/>
            <w:tcBorders>
              <w:top w:val="nil"/>
              <w:left w:val="nil"/>
              <w:bottom w:val="single" w:color="auto" w:sz="4" w:space="0"/>
              <w:right w:val="single" w:color="auto" w:sz="4" w:space="0"/>
            </w:tcBorders>
            <w:noWrap w:val="0"/>
            <w:vAlign w:val="center"/>
          </w:tcPr>
          <w:p w14:paraId="436F0F8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361052C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2125D62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14:paraId="1328D09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14:paraId="59E9429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A9AD8EF">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039A6284">
            <w:pPr>
              <w:widowControl/>
              <w:jc w:val="center"/>
              <w:rPr>
                <w:rFonts w:hint="eastAsia" w:ascii="宋体" w:hAnsi="宋体" w:cs="宋体"/>
                <w:b/>
                <w:bCs/>
                <w:color w:val="auto"/>
                <w:kern w:val="0"/>
                <w:sz w:val="18"/>
                <w:szCs w:val="18"/>
                <w:highlight w:val="none"/>
              </w:rPr>
            </w:pPr>
          </w:p>
        </w:tc>
        <w:tc>
          <w:tcPr>
            <w:tcW w:w="1827" w:type="dxa"/>
            <w:tcBorders>
              <w:top w:val="nil"/>
              <w:left w:val="nil"/>
              <w:bottom w:val="single" w:color="auto" w:sz="4" w:space="0"/>
              <w:right w:val="single" w:color="auto" w:sz="4" w:space="0"/>
            </w:tcBorders>
            <w:noWrap w:val="0"/>
            <w:vAlign w:val="center"/>
          </w:tcPr>
          <w:p w14:paraId="4C69ACF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83" w:type="dxa"/>
            <w:tcBorders>
              <w:top w:val="nil"/>
              <w:left w:val="nil"/>
              <w:bottom w:val="single" w:color="auto" w:sz="4" w:space="0"/>
              <w:right w:val="single" w:color="auto" w:sz="4" w:space="0"/>
            </w:tcBorders>
            <w:noWrap w:val="0"/>
            <w:vAlign w:val="center"/>
          </w:tcPr>
          <w:p w14:paraId="051BFCF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noWrap w:val="0"/>
            <w:vAlign w:val="center"/>
          </w:tcPr>
          <w:p w14:paraId="65751D5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566" w:type="dxa"/>
            <w:tcBorders>
              <w:top w:val="nil"/>
              <w:left w:val="nil"/>
              <w:bottom w:val="single" w:color="auto" w:sz="4" w:space="0"/>
              <w:right w:val="single" w:color="auto" w:sz="4" w:space="0"/>
            </w:tcBorders>
            <w:noWrap w:val="0"/>
            <w:vAlign w:val="center"/>
          </w:tcPr>
          <w:p w14:paraId="448A814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044" w:type="dxa"/>
            <w:tcBorders>
              <w:top w:val="nil"/>
              <w:left w:val="nil"/>
              <w:bottom w:val="single" w:color="auto" w:sz="4" w:space="0"/>
              <w:right w:val="single" w:color="auto" w:sz="4" w:space="0"/>
            </w:tcBorders>
            <w:noWrap w:val="0"/>
            <w:vAlign w:val="center"/>
          </w:tcPr>
          <w:p w14:paraId="3E96AD3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24225C1F">
        <w:tblPrEx>
          <w:tblCellMar>
            <w:top w:w="0" w:type="dxa"/>
            <w:left w:w="108" w:type="dxa"/>
            <w:bottom w:w="0" w:type="dxa"/>
            <w:right w:w="108" w:type="dxa"/>
          </w:tblCellMar>
        </w:tblPrEx>
        <w:trPr>
          <w:trHeight w:val="224" w:hRule="atLeast"/>
        </w:trPr>
        <w:tc>
          <w:tcPr>
            <w:tcW w:w="1828" w:type="dxa"/>
            <w:tcBorders>
              <w:top w:val="nil"/>
              <w:left w:val="single" w:color="auto" w:sz="4" w:space="0"/>
              <w:bottom w:val="single" w:color="auto" w:sz="4" w:space="0"/>
              <w:right w:val="single" w:color="auto" w:sz="4" w:space="0"/>
            </w:tcBorders>
            <w:noWrap w:val="0"/>
            <w:vAlign w:val="center"/>
          </w:tcPr>
          <w:p w14:paraId="4E93614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827" w:type="dxa"/>
            <w:tcBorders>
              <w:top w:val="nil"/>
              <w:left w:val="nil"/>
              <w:bottom w:val="single" w:color="auto" w:sz="4" w:space="0"/>
              <w:right w:val="single" w:color="auto" w:sz="4" w:space="0"/>
            </w:tcBorders>
            <w:noWrap w:val="0"/>
            <w:vAlign w:val="center"/>
          </w:tcPr>
          <w:p w14:paraId="6E8C642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noWrap w:val="0"/>
            <w:vAlign w:val="center"/>
          </w:tcPr>
          <w:p w14:paraId="4251786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noWrap w:val="0"/>
            <w:vAlign w:val="center"/>
          </w:tcPr>
          <w:p w14:paraId="1FF4686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noWrap w:val="0"/>
            <w:vAlign w:val="center"/>
          </w:tcPr>
          <w:p w14:paraId="72CE090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noWrap w:val="0"/>
            <w:vAlign w:val="center"/>
          </w:tcPr>
          <w:p w14:paraId="4761505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5BDFCF4F">
      <w:pPr>
        <w:spacing w:line="360" w:lineRule="auto"/>
        <w:ind w:firstLine="210" w:firstLineChars="100"/>
        <w:jc w:val="left"/>
        <w:rPr>
          <w:rFonts w:hint="eastAsia" w:ascii="宋体" w:hAnsi="宋体" w:cs="宋体"/>
          <w:color w:val="auto"/>
          <w:szCs w:val="21"/>
          <w:highlight w:val="none"/>
        </w:rPr>
      </w:pPr>
    </w:p>
    <w:p w14:paraId="5446DE42">
      <w:pPr>
        <w:spacing w:line="360" w:lineRule="auto"/>
        <w:ind w:firstLine="0" w:firstLineChars="0"/>
        <w:jc w:val="left"/>
        <w:rPr>
          <w:rFonts w:hint="eastAsia" w:ascii="宋体" w:hAnsi="宋体" w:cs="宋体"/>
          <w:color w:val="auto"/>
          <w:highlight w:val="none"/>
        </w:rPr>
      </w:pPr>
      <w:r>
        <w:rPr>
          <w:rFonts w:hint="eastAsia" w:ascii="宋体" w:hAnsi="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cs="宋体"/>
          <w:color w:val="auto"/>
          <w:szCs w:val="21"/>
          <w:highlight w:val="none"/>
        </w:rPr>
        <w:t>），大型、中型和小型企业须同时满足所列指标的下限，否则下划一档；微型企业只须满足所列指标中的一项即可。</w:t>
      </w:r>
    </w:p>
    <w:p w14:paraId="0C11366C">
      <w:pPr>
        <w:spacing w:line="360" w:lineRule="auto"/>
        <w:jc w:val="left"/>
        <w:rPr>
          <w:rFonts w:hint="eastAsia" w:ascii="宋体" w:hAnsi="宋体" w:cs="宋体"/>
          <w:color w:val="auto"/>
          <w:highlight w:val="none"/>
        </w:rPr>
      </w:pPr>
    </w:p>
    <w:p w14:paraId="03A28091">
      <w:pPr>
        <w:spacing w:line="360" w:lineRule="auto"/>
        <w:jc w:val="left"/>
        <w:rPr>
          <w:rFonts w:hint="eastAsia" w:ascii="宋体" w:hAnsi="宋体" w:cs="宋体"/>
          <w:color w:val="auto"/>
          <w:highlight w:val="none"/>
        </w:rPr>
      </w:pPr>
      <w:r>
        <w:rPr>
          <w:rFonts w:hint="eastAsia" w:ascii="宋体" w:hAnsi="宋体" w:cs="宋体"/>
          <w:color w:val="auto"/>
          <w:highlight w:val="none"/>
        </w:rPr>
        <w:br w:type="page"/>
      </w:r>
    </w:p>
    <w:p w14:paraId="61BD3E78">
      <w:pPr>
        <w:pStyle w:val="2"/>
        <w:numPr>
          <w:ilvl w:val="0"/>
          <w:numId w:val="0"/>
        </w:numPr>
        <w:spacing w:before="0" w:after="0" w:line="240" w:lineRule="auto"/>
        <w:ind w:leftChars="0"/>
        <w:jc w:val="center"/>
        <w:rPr>
          <w:rFonts w:hint="eastAsia" w:ascii="宋体" w:hAnsi="宋体" w:cs="宋体"/>
          <w:color w:val="auto"/>
          <w:highlight w:val="none"/>
        </w:rPr>
      </w:pPr>
      <w:bookmarkStart w:id="82" w:name="_Toc9193"/>
      <w:bookmarkStart w:id="83" w:name="_Toc15828"/>
      <w:r>
        <w:rPr>
          <w:rFonts w:hint="eastAsia" w:ascii="宋体" w:hAnsi="宋体" w:cs="宋体"/>
          <w:color w:val="auto"/>
          <w:highlight w:val="none"/>
          <w:lang w:eastAsia="zh-CN"/>
        </w:rPr>
        <w:t>第四章</w:t>
      </w:r>
      <w:r>
        <w:rPr>
          <w:rFonts w:hint="eastAsia" w:ascii="宋体" w:hAnsi="宋体" w:cs="宋体"/>
          <w:color w:val="auto"/>
          <w:highlight w:val="none"/>
        </w:rPr>
        <w:t xml:space="preserve"> 评审程序、评审方法和评审标准</w:t>
      </w:r>
      <w:bookmarkEnd w:id="76"/>
      <w:bookmarkEnd w:id="82"/>
      <w:bookmarkEnd w:id="83"/>
    </w:p>
    <w:p w14:paraId="77FD938A">
      <w:pPr>
        <w:spacing w:line="360" w:lineRule="auto"/>
        <w:ind w:firstLine="562" w:firstLineChars="200"/>
        <w:jc w:val="center"/>
        <w:rPr>
          <w:rFonts w:hint="eastAsia" w:ascii="宋体" w:hAnsi="宋体" w:cs="宋体"/>
          <w:b/>
          <w:bCs/>
          <w:color w:val="auto"/>
          <w:sz w:val="28"/>
          <w:szCs w:val="28"/>
          <w:highlight w:val="none"/>
        </w:rPr>
      </w:pPr>
    </w:p>
    <w:p w14:paraId="20AC8D2F">
      <w:pPr>
        <w:pStyle w:val="4"/>
        <w:bidi w:val="0"/>
        <w:jc w:val="center"/>
        <w:rPr>
          <w:rFonts w:hint="eastAsia" w:ascii="宋体" w:hAnsi="宋体" w:cs="宋体"/>
          <w:b/>
          <w:bCs/>
          <w:color w:val="auto"/>
          <w:highlight w:val="none"/>
        </w:rPr>
      </w:pPr>
      <w:r>
        <w:rPr>
          <w:rFonts w:hint="eastAsia"/>
          <w:sz w:val="28"/>
          <w:szCs w:val="28"/>
        </w:rPr>
        <w:t>（A分标、B分标、C分标）</w:t>
      </w:r>
    </w:p>
    <w:p w14:paraId="49143BC2">
      <w:pPr>
        <w:bidi w:val="0"/>
        <w:rPr>
          <w:rFonts w:hint="eastAsia"/>
        </w:rPr>
      </w:pPr>
    </w:p>
    <w:p w14:paraId="165BC695">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2607B250">
      <w:pPr>
        <w:spacing w:line="360" w:lineRule="auto"/>
        <w:ind w:firstLine="482" w:firstLineChars="200"/>
        <w:jc w:val="center"/>
        <w:rPr>
          <w:rFonts w:hint="eastAsia" w:ascii="宋体" w:hAnsi="宋体" w:cs="宋体"/>
          <w:b/>
          <w:bCs/>
          <w:color w:val="auto"/>
          <w:sz w:val="24"/>
          <w:highlight w:val="none"/>
        </w:rPr>
      </w:pPr>
    </w:p>
    <w:p w14:paraId="5C80F324">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1.资格审查</w:t>
      </w:r>
    </w:p>
    <w:p w14:paraId="12109674">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73711BD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highlight w:val="none"/>
        </w:rPr>
        <w:t>磋商小组</w:t>
      </w:r>
      <w:r>
        <w:rPr>
          <w:rFonts w:hint="eastAsia" w:ascii="宋体" w:hAnsi="宋体" w:cs="宋体"/>
          <w:color w:val="auto"/>
          <w:szCs w:val="21"/>
          <w:highlight w:val="none"/>
        </w:rPr>
        <w:t>在资格审查结束前，对供应商进行信用查询。</w:t>
      </w:r>
    </w:p>
    <w:p w14:paraId="4347CBF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（1）查询渠道：“信用中国”网站(www.creditchina.gov.cn)、中国政府采购网(www.ccgp.gov.cn)链接入口。</w:t>
      </w:r>
    </w:p>
    <w:p w14:paraId="7749062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806D62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3269909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14:paraId="6E785A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430251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6EFFD9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1533F5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6A7108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20A287C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161D044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4BBDC53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14:paraId="633CE628">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2.符合性审查</w:t>
      </w:r>
    </w:p>
    <w:p w14:paraId="5A35F8F5">
      <w:pPr>
        <w:spacing w:line="360" w:lineRule="auto"/>
        <w:ind w:firstLine="420" w:firstLineChars="200"/>
        <w:rPr>
          <w:rFonts w:hint="eastAsia" w:ascii="宋体" w:hAnsi="宋体" w:cs="宋体"/>
          <w:color w:val="auto"/>
          <w:szCs w:val="21"/>
          <w:highlight w:val="none"/>
        </w:rPr>
      </w:pPr>
      <w:bookmarkStart w:id="84" w:name="_Hlk42528882"/>
      <w:r>
        <w:rPr>
          <w:rFonts w:hint="eastAsia" w:ascii="宋体" w:hAnsi="宋体" w:cs="宋体"/>
          <w:color w:val="auto"/>
          <w:szCs w:val="21"/>
          <w:highlight w:val="none"/>
        </w:rPr>
        <w:t>2.1由磋商小组对通过资格审查的合格供应商的响应文件的竞标报价、商务、技术等实质性要求进行符合性审查，以确定其是否满足磋商文件的实质性要求。</w:t>
      </w:r>
    </w:p>
    <w:bookmarkEnd w:id="84"/>
    <w:p w14:paraId="50134A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C56978D">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auto"/>
          <w:highlight w:val="none"/>
        </w:rPr>
        <w:t>签章</w:t>
      </w:r>
      <w:r>
        <w:rPr>
          <w:rFonts w:hint="eastAsia" w:ascii="宋体" w:hAnsi="宋体" w:cs="宋体"/>
          <w:color w:val="auto"/>
          <w:spacing w:val="-6"/>
          <w:szCs w:val="21"/>
          <w:highlight w:val="none"/>
        </w:rPr>
        <w:t>。</w:t>
      </w:r>
    </w:p>
    <w:p w14:paraId="49628CD9">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186B6033">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44D6A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ACF86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20640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22A2E2F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23DB18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029A627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2.5商务技术报价评审</w:t>
      </w:r>
    </w:p>
    <w:p w14:paraId="6C006B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21023EA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4932FA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6E7060B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373CC7A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1DB7C1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80EB6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314082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588218B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20190FA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7199493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2E29E5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10）属于“供应商须知正文”第7.5条情形；</w:t>
      </w:r>
    </w:p>
    <w:p w14:paraId="0F2F600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11）技术要求允许负偏离的条款数超过“供应商须知前附表”规定项数；</w:t>
      </w:r>
    </w:p>
    <w:p w14:paraId="1B34DE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4BA949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bookmarkStart w:id="85"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85"/>
    </w:p>
    <w:p w14:paraId="5AD9A23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14:paraId="4DDF5AC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b/>
          <w:color w:val="auto"/>
          <w:szCs w:val="21"/>
          <w:highlight w:val="none"/>
        </w:rPr>
        <w:t>竞争性磋商文件明确不允许分包，响应文件拟分包的；</w:t>
      </w:r>
    </w:p>
    <w:p w14:paraId="6C00424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16）未响应磋商文件实质性要求；</w:t>
      </w:r>
    </w:p>
    <w:p w14:paraId="36C7BA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和磋商文件规定的其他无效情形。</w:t>
      </w:r>
    </w:p>
    <w:p w14:paraId="58EEF9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（2）报价评审</w:t>
      </w:r>
    </w:p>
    <w:p w14:paraId="18658D1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响应文件未提供“供应商须知前附表” 报价文件中规定的“竞标报价表”；</w:t>
      </w:r>
    </w:p>
    <w:p w14:paraId="11A5057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2BFE93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020139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86" w:name="_Hlk42596405"/>
      <w:r>
        <w:rPr>
          <w:rFonts w:hint="eastAsia" w:ascii="宋体" w:hAnsi="宋体" w:cs="宋体"/>
          <w:color w:val="auto"/>
          <w:szCs w:val="21"/>
          <w:highlight w:val="none"/>
        </w:rPr>
        <w:t>竞标报价（包含首次报价、最后报价）</w:t>
      </w:r>
      <w:bookmarkEnd w:id="86"/>
      <w:bookmarkStart w:id="87" w:name="_Hlk42596276"/>
      <w:r>
        <w:rPr>
          <w:rFonts w:hint="eastAsia" w:ascii="宋体" w:hAnsi="宋体" w:cs="宋体"/>
          <w:color w:val="auto"/>
          <w:szCs w:val="21"/>
          <w:highlight w:val="none"/>
        </w:rPr>
        <w:t>超过磋商文件分项采购预算金额或者最高限价的</w:t>
      </w:r>
      <w:bookmarkEnd w:id="87"/>
      <w:r>
        <w:rPr>
          <w:rFonts w:hint="eastAsia" w:ascii="宋体" w:hAnsi="宋体" w:cs="宋体"/>
          <w:color w:val="auto"/>
          <w:szCs w:val="21"/>
          <w:highlight w:val="none"/>
        </w:rPr>
        <w:t>（如本项目公布了最高限价）；</w:t>
      </w:r>
    </w:p>
    <w:p w14:paraId="131B04B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3B2B7B2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34C5FB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64FC09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2.7通过符合性审查的合格供应商不足3家的，不得进入磋商环节，采购人或者采购代理机构应当重新开展采购活动。</w:t>
      </w:r>
    </w:p>
    <w:p w14:paraId="59AB8E6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3.磋商程序</w:t>
      </w:r>
    </w:p>
    <w:p w14:paraId="6B3B488A">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3.1磋商小组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1444E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F6779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3.3对磋商文件作出的实质性变动是磋商文件的有效组成部分，由磋商小组及时以电子澄清函形式同时通知所有参加磋商的供应商。</w:t>
      </w:r>
    </w:p>
    <w:p w14:paraId="468C2EC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61B71D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14:paraId="0590E103">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3.6采购代理机构对磋商过程和重要磋商内容进行记录。</w:t>
      </w:r>
    </w:p>
    <w:p w14:paraId="150D8E3A">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3.7</w:t>
      </w:r>
      <w:r>
        <w:rPr>
          <w:rFonts w:hint="eastAsia" w:ascii="宋体" w:hAnsi="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4690E7AF">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3.8除</w:t>
      </w:r>
      <w:r>
        <w:rPr>
          <w:rFonts w:hint="eastAsia" w:ascii="宋体" w:hAnsi="宋体" w:cs="宋体"/>
          <w:color w:val="auto"/>
          <w:highlight w:val="none"/>
        </w:rPr>
        <w:t>本章第3.7条情形外，</w:t>
      </w:r>
      <w:r>
        <w:rPr>
          <w:rFonts w:hint="eastAsia" w:ascii="宋体" w:hAnsi="宋体" w:cs="宋体"/>
          <w:color w:val="auto"/>
          <w:szCs w:val="21"/>
          <w:highlight w:val="none"/>
        </w:rPr>
        <w:t>对磋商过程提交的响应文件进行有效性、完整性和响应程度审查，通过审查的合格供应商不足3家的，采购人或者采购代理机构应当重新开展采购活动。</w:t>
      </w:r>
    </w:p>
    <w:p w14:paraId="5E8AFDE6">
      <w:pPr>
        <w:spacing w:line="360" w:lineRule="auto"/>
        <w:ind w:firstLine="482" w:firstLineChars="200"/>
        <w:rPr>
          <w:rFonts w:hint="eastAsia" w:ascii="宋体" w:hAnsi="宋体" w:cs="宋体"/>
          <w:color w:val="auto"/>
          <w:szCs w:val="21"/>
          <w:highlight w:val="none"/>
        </w:rPr>
      </w:pPr>
      <w:r>
        <w:rPr>
          <w:rFonts w:hint="eastAsia" w:ascii="宋体" w:hAnsi="宋体" w:cs="宋体"/>
          <w:b/>
          <w:bCs/>
          <w:color w:val="auto"/>
          <w:sz w:val="24"/>
          <w:highlight w:val="none"/>
        </w:rPr>
        <w:t>4. 最后报价</w:t>
      </w:r>
    </w:p>
    <w:p w14:paraId="69384C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202E07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500025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本章第3.7条情形的，</w:t>
      </w:r>
      <w:r>
        <w:rPr>
          <w:rFonts w:hint="eastAsia" w:ascii="宋体" w:hAnsi="宋体" w:cs="宋体"/>
          <w:color w:val="auto"/>
          <w:szCs w:val="21"/>
          <w:highlight w:val="none"/>
        </w:rPr>
        <w:t>提交最后报价的供应商可以为2家。</w:t>
      </w:r>
    </w:p>
    <w:p w14:paraId="497E6D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1E0BD4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4.5供应商未在规定时间内提交最后报价的，视同退出磋商，其响应文件按无效处理。</w:t>
      </w:r>
    </w:p>
    <w:p w14:paraId="1B2EBC9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4.6最后报价统一开启后，磋商小组对最后报价进行有效性、完整性和响应程度的审查。</w:t>
      </w:r>
    </w:p>
    <w:p w14:paraId="2239653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4.7最后报价出现前后不一致的，按照本章第2.4条的规定修正。 </w:t>
      </w:r>
    </w:p>
    <w:p w14:paraId="0356BDB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4.8修正后的报价出现下列情形的，按无效响应处理：</w:t>
      </w:r>
    </w:p>
    <w:p w14:paraId="7F27053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1D15E9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39B13E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C2AB40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4.9经供应商确认修正后的最后报价作为评审及签订合同的依据。</w:t>
      </w:r>
    </w:p>
    <w:p w14:paraId="46CC4A7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7659EA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4.11最后报价结束后，磋商小组不得再与供应商进行任何形式的商谈。</w:t>
      </w:r>
    </w:p>
    <w:p w14:paraId="57DFC079">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5.比较与评价</w:t>
      </w:r>
    </w:p>
    <w:p w14:paraId="087041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5.1评审方法：综合评分法。</w:t>
      </w:r>
    </w:p>
    <w:p w14:paraId="3BB2F1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39AF68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7D30B01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36E9165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16DD9C9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2024B3A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rPr>
        <w:t>5.5由磋商小组根据综合评分情况，按照评审得分由高到低顺序推荐3名以上成交候选供应商，并编写评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6434954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FA245C9">
      <w:pPr>
        <w:shd w:val="clear" w:color="auto" w:fill="auto"/>
        <w:snapToGrid w:val="0"/>
        <w:spacing w:line="360" w:lineRule="auto"/>
        <w:ind w:firstLine="422" w:firstLineChars="200"/>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5.7根据财政部《关于推动解决政府采购异常低价问题的通知》（财库〔2026〕2号），政府采购评审中出现下列情形之一的，磋商小组应当启动异常低价投标审查程序：</w:t>
      </w:r>
    </w:p>
    <w:p w14:paraId="4B48A306">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①最后报价低于全部通过符合性审查供应商最后报价平均值50%的，即最后报价&lt;全部通过符合性审查供应商最后报价平均值×50%； </w:t>
      </w:r>
    </w:p>
    <w:p w14:paraId="16A3C1B5">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②最后报价低于通过符合性审查的次低报价供应商最后报价50%的，即最后报价&lt;通过符合性审查的次低报价供应商最后报价×50%； </w:t>
      </w:r>
    </w:p>
    <w:p w14:paraId="09A08448">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③最后报价低于采购项目最高限价50%的，即最后报价&lt;采购项目最高限价×50%； </w:t>
      </w:r>
    </w:p>
    <w:p w14:paraId="2E301B12">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④磋商小组基于专业判断，认为供应商报价过低，有可能影响产品质量或者不能诚信履约的其他情形。 </w:t>
      </w:r>
    </w:p>
    <w:p w14:paraId="5F5221DB">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相关法律法规对供应商报价有规定的，从其规定。 </w:t>
      </w:r>
    </w:p>
    <w:p w14:paraId="4D26EFF9">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磋商小组启动异常低价投标审查后，属于前述第①项至第④项情形的，应当要求相关供应商在评审现场合理的时间内对磋商报价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在评审现场可不再重复提交。 </w:t>
      </w:r>
    </w:p>
    <w:p w14:paraId="54769F60">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磋商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lang w:val="en-US" w:eastAsia="zh-CN"/>
        </w:rPr>
        <w:t>处理。 </w:t>
      </w:r>
    </w:p>
    <w:p w14:paraId="46C67860">
      <w:pPr>
        <w:shd w:val="clear" w:color="auto" w:fill="auto"/>
        <w:snapToGrid w:val="0"/>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采购人、采购代理机构应当为磋商小组在评审现场及时获取同类项目中标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484BA6C8">
      <w:pPr>
        <w:spacing w:line="360" w:lineRule="auto"/>
        <w:ind w:firstLine="420" w:firstLineChars="200"/>
        <w:rPr>
          <w:rFonts w:hint="eastAsia" w:ascii="宋体" w:hAnsi="宋体" w:cs="宋体"/>
          <w:color w:val="auto"/>
          <w:kern w:val="0"/>
          <w:szCs w:val="21"/>
          <w:highlight w:val="none"/>
        </w:rPr>
      </w:pPr>
      <w:r>
        <w:rPr>
          <w:rFonts w:hint="eastAsia" w:ascii="宋体" w:hAnsi="宋体" w:eastAsia="宋体" w:cs="宋体"/>
          <w:color w:val="auto"/>
          <w:szCs w:val="21"/>
          <w:highlight w:val="none"/>
          <w:lang w:val="en-US" w:eastAsia="zh-CN"/>
        </w:rPr>
        <w:t>异常低价投标审查的启动原因、审查意见和审查结果应当在评审报告中记录，并随供应商提供的相关书面说明及证明材料，以及磋商小组有关互联网浏览、查询历史一并归档。</w:t>
      </w:r>
    </w:p>
    <w:p w14:paraId="15D7A9F5">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二、评审标准</w:t>
      </w:r>
    </w:p>
    <w:p w14:paraId="72B59FF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p w14:paraId="7A7DA614">
      <w:pPr>
        <w:pStyle w:val="4"/>
        <w:bidi w:val="0"/>
        <w:rPr>
          <w:rFonts w:hint="eastAsia"/>
        </w:rPr>
      </w:pPr>
      <w:r>
        <w:rPr>
          <w:rFonts w:hint="eastAsia"/>
          <w:lang w:val="en-US" w:eastAsia="zh-CN"/>
        </w:rPr>
        <w:tab/>
      </w:r>
      <w:r>
        <w:rPr>
          <w:rFonts w:hint="eastAsia"/>
          <w:lang w:val="en-US" w:eastAsia="zh-CN"/>
        </w:rPr>
        <w:t>A</w:t>
      </w:r>
      <w:r>
        <w:rPr>
          <w:rFonts w:hint="eastAsia"/>
        </w:rPr>
        <w:t>分标评标标准</w:t>
      </w:r>
    </w:p>
    <w:tbl>
      <w:tblPr>
        <w:tblStyle w:val="20"/>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750"/>
        <w:gridCol w:w="6517"/>
        <w:gridCol w:w="700"/>
      </w:tblGrid>
      <w:tr w14:paraId="14EC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07F2C41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750" w:type="dxa"/>
            <w:noWrap w:val="0"/>
            <w:vAlign w:val="center"/>
          </w:tcPr>
          <w:p w14:paraId="2269E343">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517" w:type="dxa"/>
            <w:noWrap w:val="0"/>
            <w:vAlign w:val="center"/>
          </w:tcPr>
          <w:p w14:paraId="62967747">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700" w:type="dxa"/>
            <w:noWrap w:val="0"/>
            <w:vAlign w:val="center"/>
          </w:tcPr>
          <w:p w14:paraId="22106F23">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1E36D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53FD1DAA">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w:t>
            </w:r>
          </w:p>
        </w:tc>
        <w:tc>
          <w:tcPr>
            <w:tcW w:w="1750" w:type="dxa"/>
            <w:noWrap w:val="0"/>
            <w:vAlign w:val="center"/>
          </w:tcPr>
          <w:p w14:paraId="0C5317AD">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价格分</w:t>
            </w:r>
          </w:p>
          <w:p w14:paraId="22E25805">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（满分</w:t>
            </w:r>
            <w:r>
              <w:rPr>
                <w:rFonts w:hint="eastAsia" w:ascii="宋体" w:hAnsi="宋体" w:cs="宋体"/>
                <w:b/>
                <w:bCs/>
                <w:color w:val="auto"/>
                <w:szCs w:val="21"/>
                <w:highlight w:val="none"/>
                <w:lang w:val="en-US" w:eastAsia="zh-CN"/>
              </w:rPr>
              <w:t>30</w:t>
            </w:r>
            <w:r>
              <w:rPr>
                <w:rFonts w:hint="eastAsia" w:ascii="宋体" w:hAnsi="宋体" w:eastAsia="宋体" w:cs="宋体"/>
                <w:b/>
                <w:bCs/>
                <w:color w:val="auto"/>
                <w:szCs w:val="21"/>
                <w:highlight w:val="none"/>
              </w:rPr>
              <w:t>分）</w:t>
            </w:r>
          </w:p>
        </w:tc>
        <w:tc>
          <w:tcPr>
            <w:tcW w:w="6517" w:type="dxa"/>
            <w:noWrap w:val="0"/>
            <w:vAlign w:val="top"/>
          </w:tcPr>
          <w:p w14:paraId="39070B3D">
            <w:pPr>
              <w:pStyle w:val="8"/>
              <w:topLinePunct/>
              <w:adjustRightInd w:val="0"/>
              <w:snapToGrid w:val="0"/>
              <w:spacing w:before="60" w:after="60" w:line="312" w:lineRule="auto"/>
              <w:ind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本项目属于</w:t>
            </w:r>
            <w:r>
              <w:rPr>
                <w:rFonts w:hint="eastAsia" w:ascii="宋体" w:hAnsi="宋体" w:eastAsia="宋体" w:cs="宋体"/>
                <w:b/>
                <w:bCs/>
                <w:color w:val="auto"/>
                <w:highlight w:val="none"/>
              </w:rPr>
              <w:t>专门面向</w:t>
            </w:r>
            <w:r>
              <w:rPr>
                <w:rFonts w:hint="eastAsia" w:ascii="宋体" w:hAnsi="宋体" w:eastAsia="宋体" w:cs="宋体"/>
                <w:b/>
                <w:bCs/>
                <w:color w:val="auto"/>
                <w:highlight w:val="none"/>
                <w:lang w:eastAsia="zh-CN"/>
              </w:rPr>
              <w:t>中小</w:t>
            </w:r>
            <w:r>
              <w:rPr>
                <w:rFonts w:hint="eastAsia" w:ascii="宋体" w:hAnsi="宋体" w:eastAsia="宋体" w:cs="宋体"/>
                <w:b/>
                <w:bCs/>
                <w:color w:val="auto"/>
                <w:highlight w:val="none"/>
              </w:rPr>
              <w:t>企业采购的项目，不再执行价格评审优惠的扶持政策。</w:t>
            </w:r>
          </w:p>
          <w:p w14:paraId="069FFCEC">
            <w:pPr>
              <w:pStyle w:val="8"/>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报价分采用低价优先法计算，满足磋商文件要求且评标价最低的有效供应商的评标价为评标基准价，其报价分为满分。</w:t>
            </w:r>
          </w:p>
          <w:p w14:paraId="33FB754B">
            <w:pPr>
              <w:pStyle w:val="8"/>
              <w:topLinePunct/>
              <w:adjustRightInd w:val="0"/>
              <w:snapToGrid w:val="0"/>
              <w:spacing w:before="60" w:after="60" w:line="312" w:lineRule="auto"/>
              <w:ind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其他供应商的价格分统一按照下列公式计算：某有效供应商的报价分=（评标基准价／某有效供应商评标价）×</w:t>
            </w:r>
            <w:r>
              <w:rPr>
                <w:rFonts w:hint="eastAsia" w:ascii="宋体" w:hAnsi="宋体" w:cs="宋体"/>
                <w:color w:val="auto"/>
                <w:highlight w:val="none"/>
                <w:lang w:val="en-US" w:eastAsia="zh-CN"/>
              </w:rPr>
              <w:t>30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70301D07">
            <w:pPr>
              <w:pStyle w:val="8"/>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备注：磋商小组认为供应商的报价明显低于其他通过符合性审查响应人的报价，有可能影响产品质量或者不能诚信履约的，应当要求其在评标现场合理的时间内提供书面说明，必要时提交相关证明材料；供应商不能证明其报价合理性的，磋商小组应当将其作为无效响应处理。</w:t>
            </w:r>
          </w:p>
        </w:tc>
        <w:tc>
          <w:tcPr>
            <w:tcW w:w="700" w:type="dxa"/>
            <w:noWrap w:val="0"/>
            <w:vAlign w:val="center"/>
          </w:tcPr>
          <w:p w14:paraId="424386A9">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30</w:t>
            </w:r>
            <w:r>
              <w:rPr>
                <w:rFonts w:hint="eastAsia" w:ascii="宋体" w:hAnsi="宋体" w:eastAsia="宋体" w:cs="宋体"/>
                <w:b/>
                <w:bCs/>
                <w:color w:val="auto"/>
                <w:kern w:val="0"/>
                <w:szCs w:val="21"/>
                <w:highlight w:val="none"/>
              </w:rPr>
              <w:t>分</w:t>
            </w:r>
          </w:p>
        </w:tc>
      </w:tr>
      <w:tr w14:paraId="4855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5660B34D">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p>
        </w:tc>
        <w:tc>
          <w:tcPr>
            <w:tcW w:w="1750" w:type="dxa"/>
            <w:noWrap w:val="0"/>
            <w:vAlign w:val="center"/>
          </w:tcPr>
          <w:p w14:paraId="1B29A78D">
            <w:pPr>
              <w:widowControl/>
              <w:spacing w:line="360" w:lineRule="auto"/>
              <w:jc w:val="center"/>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技术分</w:t>
            </w: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69分）</w:t>
            </w:r>
          </w:p>
        </w:tc>
        <w:tc>
          <w:tcPr>
            <w:tcW w:w="7217" w:type="dxa"/>
            <w:gridSpan w:val="2"/>
            <w:noWrap w:val="0"/>
            <w:vAlign w:val="top"/>
          </w:tcPr>
          <w:p w14:paraId="7AFD7DA5">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r>
      <w:tr w14:paraId="3AEE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7EDBF687">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w:t>
            </w:r>
          </w:p>
        </w:tc>
        <w:tc>
          <w:tcPr>
            <w:tcW w:w="1750" w:type="dxa"/>
            <w:noWrap w:val="0"/>
            <w:vAlign w:val="center"/>
          </w:tcPr>
          <w:p w14:paraId="31915534">
            <w:pPr>
              <w:widowControl/>
              <w:spacing w:line="360" w:lineRule="auto"/>
              <w:jc w:val="center"/>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项目技术方案分</w:t>
            </w:r>
          </w:p>
          <w:p w14:paraId="03E79748">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（满分</w:t>
            </w:r>
            <w:r>
              <w:rPr>
                <w:rFonts w:hint="eastAsia" w:ascii="宋体" w:hAnsi="宋体" w:cs="宋体"/>
                <w:b/>
                <w:bCs/>
                <w:color w:val="auto"/>
                <w:kern w:val="0"/>
                <w:szCs w:val="21"/>
                <w:highlight w:val="none"/>
                <w:lang w:val="en-US" w:eastAsia="zh-CN"/>
              </w:rPr>
              <w:t>35</w:t>
            </w:r>
            <w:r>
              <w:rPr>
                <w:rFonts w:hint="eastAsia" w:ascii="宋体" w:hAnsi="宋体" w:eastAsia="宋体" w:cs="宋体"/>
                <w:b/>
                <w:bCs/>
                <w:color w:val="auto"/>
                <w:kern w:val="0"/>
                <w:szCs w:val="21"/>
                <w:highlight w:val="none"/>
                <w:lang w:val="en-US" w:eastAsia="zh-CN"/>
              </w:rPr>
              <w:t>分）</w:t>
            </w:r>
          </w:p>
        </w:tc>
        <w:tc>
          <w:tcPr>
            <w:tcW w:w="6517" w:type="dxa"/>
            <w:noWrap w:val="0"/>
            <w:vAlign w:val="center"/>
          </w:tcPr>
          <w:p w14:paraId="5203F1AA">
            <w:pPr>
              <w:spacing w:after="0" w:line="400" w:lineRule="exact"/>
              <w:ind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根据供应商响应文件中项目技术方案的完整性、合理性及技术先进性进行打分，不提供或达不到一档要求的不得分。</w:t>
            </w:r>
          </w:p>
          <w:p w14:paraId="298004F2">
            <w:pPr>
              <w:spacing w:after="0" w:line="400" w:lineRule="exact"/>
              <w:ind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一档（11分）：供应商提供的技术方案较为简单，能提供课程资源建设说明及服务平台功能基本描述，方案基本满足本项目的建设需求。</w:t>
            </w:r>
          </w:p>
          <w:p w14:paraId="0817E769">
            <w:pPr>
              <w:spacing w:after="0" w:line="400" w:lineRule="exact"/>
              <w:ind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二档（21分）：在满足一档基础上，课程资源及课程体系、服务平台功能能够覆盖项目需求，包含平台运行保障措施和基础应急预案，较好地满足本项目的建设需求。</w:t>
            </w:r>
          </w:p>
          <w:p w14:paraId="2862D138">
            <w:pPr>
              <w:spacing w:after="0" w:line="400" w:lineRule="exact"/>
              <w:ind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三档（35分）：在满足二档的基础上，课程资源及课程体系建设具有针对性，充分考虑高并发场景，提供性能优化方案，提供的应急预案全面且具备实操性，并针对项目痛点提出合理化改进建议。</w:t>
            </w:r>
          </w:p>
          <w:p w14:paraId="1C27586E">
            <w:pPr>
              <w:spacing w:after="0" w:line="400" w:lineRule="exact"/>
              <w:ind w:firstLine="420" w:firstLineChars="200"/>
              <w:jc w:val="left"/>
              <w:rPr>
                <w:rFonts w:hint="default" w:ascii="宋体" w:hAnsi="宋体" w:eastAsia="宋体" w:cs="宋体"/>
                <w:color w:val="auto"/>
                <w:szCs w:val="20"/>
                <w:highlight w:val="none"/>
                <w:lang w:val="en-US" w:eastAsia="zh-CN"/>
              </w:rPr>
            </w:pPr>
            <w:r>
              <w:rPr>
                <w:rFonts w:hint="eastAsia" w:ascii="宋体" w:hAnsi="宋体" w:cs="宋体"/>
                <w:color w:val="auto"/>
                <w:szCs w:val="20"/>
                <w:highlight w:val="none"/>
                <w:lang w:val="en-US" w:eastAsia="zh-CN"/>
              </w:rPr>
              <w:t>注：未提供该方案或内容未满足一档要求得0分。</w:t>
            </w:r>
          </w:p>
        </w:tc>
        <w:tc>
          <w:tcPr>
            <w:tcW w:w="700" w:type="dxa"/>
            <w:noWrap w:val="0"/>
            <w:vAlign w:val="center"/>
          </w:tcPr>
          <w:p w14:paraId="0DD3C84E">
            <w:pPr>
              <w:widowControl/>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35</w:t>
            </w:r>
            <w:r>
              <w:rPr>
                <w:rFonts w:hint="eastAsia" w:ascii="宋体" w:hAnsi="宋体" w:eastAsia="宋体" w:cs="宋体"/>
                <w:b/>
                <w:bCs/>
                <w:color w:val="auto"/>
                <w:kern w:val="0"/>
                <w:szCs w:val="21"/>
                <w:highlight w:val="none"/>
              </w:rPr>
              <w:t>分</w:t>
            </w:r>
          </w:p>
        </w:tc>
      </w:tr>
      <w:tr w14:paraId="4FAF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50AA51AF">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w:t>
            </w:r>
          </w:p>
        </w:tc>
        <w:tc>
          <w:tcPr>
            <w:tcW w:w="1750" w:type="dxa"/>
            <w:noWrap w:val="0"/>
            <w:vAlign w:val="center"/>
          </w:tcPr>
          <w:p w14:paraId="26C80B7A">
            <w:pPr>
              <w:widowControl/>
              <w:spacing w:line="360" w:lineRule="auto"/>
              <w:jc w:val="center"/>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项目实施方案分</w:t>
            </w:r>
          </w:p>
          <w:p w14:paraId="6F02D80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（满分</w:t>
            </w:r>
            <w:r>
              <w:rPr>
                <w:rFonts w:hint="eastAsia" w:ascii="宋体" w:hAnsi="宋体" w:cs="宋体"/>
                <w:b/>
                <w:bCs/>
                <w:color w:val="auto"/>
                <w:kern w:val="0"/>
                <w:szCs w:val="21"/>
                <w:highlight w:val="none"/>
                <w:lang w:val="en-US" w:eastAsia="zh-CN"/>
              </w:rPr>
              <w:t>20</w:t>
            </w:r>
            <w:r>
              <w:rPr>
                <w:rFonts w:hint="eastAsia" w:ascii="宋体" w:hAnsi="宋体" w:eastAsia="宋体" w:cs="宋体"/>
                <w:b/>
                <w:bCs/>
                <w:color w:val="auto"/>
                <w:kern w:val="0"/>
                <w:szCs w:val="21"/>
                <w:highlight w:val="none"/>
                <w:lang w:val="en-US" w:eastAsia="zh-CN"/>
              </w:rPr>
              <w:t>分）</w:t>
            </w:r>
          </w:p>
        </w:tc>
        <w:tc>
          <w:tcPr>
            <w:tcW w:w="6517" w:type="dxa"/>
            <w:noWrap w:val="0"/>
            <w:vAlign w:val="center"/>
          </w:tcPr>
          <w:p w14:paraId="1136E971">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根据供应商响应文件中项目实施方案的完整性及合理规范性进行打分，不提供或达不到一档要求的不得分。</w:t>
            </w:r>
          </w:p>
          <w:p w14:paraId="7138B06D">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一档（</w:t>
            </w:r>
            <w:r>
              <w:rPr>
                <w:rFonts w:hint="eastAsia" w:ascii="宋体" w:hAnsi="宋体" w:cs="宋体"/>
                <w:color w:val="auto"/>
                <w:sz w:val="21"/>
                <w:szCs w:val="20"/>
                <w:highlight w:val="none"/>
                <w:lang w:val="en-US" w:eastAsia="zh-CN"/>
              </w:rPr>
              <w:t>7</w:t>
            </w:r>
            <w:r>
              <w:rPr>
                <w:rFonts w:hint="eastAsia" w:ascii="宋体" w:hAnsi="宋体" w:eastAsia="宋体" w:cs="宋体"/>
                <w:color w:val="auto"/>
                <w:sz w:val="21"/>
                <w:szCs w:val="20"/>
                <w:highlight w:val="none"/>
                <w:lang w:val="en-US" w:eastAsia="zh-CN"/>
              </w:rPr>
              <w:t>分）：供应商提供的实施方案包含项目整体管理框架、实施计划、组织机构及分工，沟通机制简单。</w:t>
            </w:r>
          </w:p>
          <w:p w14:paraId="65879E5A">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二档（1</w:t>
            </w:r>
            <w:r>
              <w:rPr>
                <w:rFonts w:hint="eastAsia" w:ascii="宋体" w:hAnsi="宋体" w:cs="宋体"/>
                <w:color w:val="auto"/>
                <w:sz w:val="21"/>
                <w:szCs w:val="20"/>
                <w:highlight w:val="none"/>
                <w:lang w:val="en-US" w:eastAsia="zh-CN"/>
              </w:rPr>
              <w:t>4</w:t>
            </w:r>
            <w:r>
              <w:rPr>
                <w:rFonts w:hint="eastAsia" w:ascii="宋体" w:hAnsi="宋体" w:eastAsia="宋体" w:cs="宋体"/>
                <w:color w:val="auto"/>
                <w:sz w:val="21"/>
                <w:szCs w:val="20"/>
                <w:highlight w:val="none"/>
                <w:lang w:val="en-US" w:eastAsia="zh-CN"/>
              </w:rPr>
              <w:t>分）：在满足一档的基础上，实施方案围绕项目需求，制定细化的任务目标，有明确的进度控制保障措施，有平台测试方案，质量保障方案以及全面的沟通机制。</w:t>
            </w:r>
          </w:p>
          <w:p w14:paraId="3D090EC7">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rPr>
            </w:pPr>
            <w:r>
              <w:rPr>
                <w:rFonts w:hint="eastAsia" w:ascii="宋体" w:hAnsi="宋体" w:eastAsia="宋体" w:cs="宋体"/>
                <w:color w:val="auto"/>
                <w:sz w:val="21"/>
                <w:szCs w:val="20"/>
                <w:highlight w:val="none"/>
                <w:lang w:val="en-US" w:eastAsia="zh-CN"/>
              </w:rPr>
              <w:t>三档（</w:t>
            </w:r>
            <w:r>
              <w:rPr>
                <w:rFonts w:hint="eastAsia" w:ascii="宋体" w:hAnsi="宋体" w:cs="宋体"/>
                <w:color w:val="auto"/>
                <w:sz w:val="21"/>
                <w:szCs w:val="20"/>
                <w:highlight w:val="none"/>
                <w:lang w:val="en-US" w:eastAsia="zh-CN"/>
              </w:rPr>
              <w:t>20</w:t>
            </w:r>
            <w:r>
              <w:rPr>
                <w:rFonts w:hint="eastAsia" w:ascii="宋体" w:hAnsi="宋体" w:eastAsia="宋体" w:cs="宋体"/>
                <w:color w:val="auto"/>
                <w:sz w:val="21"/>
                <w:szCs w:val="20"/>
                <w:highlight w:val="none"/>
                <w:lang w:val="en-US" w:eastAsia="zh-CN"/>
              </w:rPr>
              <w:t>分）：在满足二档的基础上，有详细组织分工和职责分工、有风险隐患识别和应对方案，质量保障流程具备可验证性。</w:t>
            </w:r>
          </w:p>
          <w:p w14:paraId="6E95F89A">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rPr>
            </w:pPr>
            <w:r>
              <w:rPr>
                <w:rFonts w:hint="eastAsia" w:ascii="宋体" w:hAnsi="宋体" w:cs="宋体"/>
                <w:color w:val="auto"/>
                <w:szCs w:val="20"/>
                <w:highlight w:val="none"/>
                <w:lang w:val="en-US" w:eastAsia="zh-CN"/>
              </w:rPr>
              <w:t>注：未提供该方案或内容未满足一档要求得0分。</w:t>
            </w:r>
          </w:p>
        </w:tc>
        <w:tc>
          <w:tcPr>
            <w:tcW w:w="700" w:type="dxa"/>
            <w:noWrap w:val="0"/>
            <w:vAlign w:val="center"/>
          </w:tcPr>
          <w:p w14:paraId="518C2045">
            <w:pPr>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20</w:t>
            </w:r>
            <w:r>
              <w:rPr>
                <w:rFonts w:hint="eastAsia" w:ascii="宋体" w:hAnsi="宋体" w:eastAsia="宋体" w:cs="宋体"/>
                <w:b/>
                <w:bCs/>
                <w:color w:val="auto"/>
                <w:kern w:val="0"/>
                <w:szCs w:val="21"/>
                <w:highlight w:val="none"/>
              </w:rPr>
              <w:t>分</w:t>
            </w:r>
          </w:p>
        </w:tc>
      </w:tr>
      <w:tr w14:paraId="49C0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063DA38E">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2.3</w:t>
            </w:r>
          </w:p>
        </w:tc>
        <w:tc>
          <w:tcPr>
            <w:tcW w:w="1750" w:type="dxa"/>
            <w:noWrap w:val="0"/>
            <w:vAlign w:val="center"/>
          </w:tcPr>
          <w:p w14:paraId="2A4FB19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项目服务保障方案分（满分</w:t>
            </w:r>
            <w:r>
              <w:rPr>
                <w:rFonts w:hint="eastAsia" w:ascii="宋体" w:hAnsi="宋体" w:cs="宋体"/>
                <w:b/>
                <w:bCs/>
                <w:color w:val="auto"/>
                <w:kern w:val="0"/>
                <w:szCs w:val="21"/>
                <w:highlight w:val="none"/>
                <w:lang w:val="en-US" w:eastAsia="zh-CN"/>
              </w:rPr>
              <w:t>14</w:t>
            </w:r>
            <w:r>
              <w:rPr>
                <w:rFonts w:hint="eastAsia" w:ascii="宋体" w:hAnsi="宋体" w:eastAsia="宋体" w:cs="宋体"/>
                <w:b/>
                <w:bCs/>
                <w:color w:val="auto"/>
                <w:kern w:val="0"/>
                <w:szCs w:val="21"/>
                <w:highlight w:val="none"/>
                <w:lang w:val="en-US" w:eastAsia="zh-CN"/>
              </w:rPr>
              <w:t>分）</w:t>
            </w:r>
          </w:p>
        </w:tc>
        <w:tc>
          <w:tcPr>
            <w:tcW w:w="6517" w:type="dxa"/>
            <w:noWrap w:val="0"/>
            <w:vAlign w:val="center"/>
          </w:tcPr>
          <w:p w14:paraId="52A0E593">
            <w:pPr>
              <w:spacing w:after="0" w:line="400" w:lineRule="exact"/>
              <w:ind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根据供应商响应文件中对项目服务保障方案的完整性及合理规范性进行打分，不提供或达不到一档要求的不得分。</w:t>
            </w:r>
          </w:p>
          <w:p w14:paraId="7EC09508">
            <w:pPr>
              <w:spacing w:after="0" w:line="400" w:lineRule="exact"/>
              <w:ind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一档（</w:t>
            </w:r>
            <w:r>
              <w:rPr>
                <w:rFonts w:hint="eastAsia" w:ascii="宋体" w:hAnsi="宋体" w:cs="宋体"/>
                <w:color w:val="auto"/>
                <w:sz w:val="21"/>
                <w:szCs w:val="20"/>
                <w:highlight w:val="none"/>
                <w:lang w:val="en-US" w:eastAsia="zh-CN"/>
              </w:rPr>
              <w:t>4</w:t>
            </w:r>
            <w:r>
              <w:rPr>
                <w:rFonts w:hint="eastAsia" w:ascii="宋体" w:hAnsi="宋体" w:eastAsia="宋体" w:cs="宋体"/>
                <w:color w:val="auto"/>
                <w:sz w:val="21"/>
                <w:szCs w:val="20"/>
                <w:highlight w:val="none"/>
                <w:lang w:val="en-US" w:eastAsia="zh-CN"/>
              </w:rPr>
              <w:t>分）：供应商提供的服务保障方案有基本的故障解决方案和系统维护方案，能基本保障项目正常运行。</w:t>
            </w:r>
          </w:p>
          <w:p w14:paraId="4CABE162">
            <w:pPr>
              <w:spacing w:after="0" w:line="400" w:lineRule="exact"/>
              <w:ind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二档（</w:t>
            </w:r>
            <w:r>
              <w:rPr>
                <w:rFonts w:hint="eastAsia" w:ascii="宋体" w:hAnsi="宋体" w:cs="宋体"/>
                <w:color w:val="auto"/>
                <w:sz w:val="21"/>
                <w:szCs w:val="20"/>
                <w:highlight w:val="none"/>
                <w:lang w:val="en-US" w:eastAsia="zh-CN"/>
              </w:rPr>
              <w:t>8</w:t>
            </w:r>
            <w:r>
              <w:rPr>
                <w:rFonts w:hint="eastAsia" w:ascii="宋体" w:hAnsi="宋体" w:eastAsia="宋体" w:cs="宋体"/>
                <w:color w:val="auto"/>
                <w:sz w:val="21"/>
                <w:szCs w:val="20"/>
                <w:highlight w:val="none"/>
                <w:lang w:val="en-US" w:eastAsia="zh-CN"/>
              </w:rPr>
              <w:t>分）：在满足一档基础上，提供详细的故障排查流程、故障响应机制、故障分级标准以及解决时限，提供技术支持渠道，培训计划、流程明确。</w:t>
            </w:r>
          </w:p>
          <w:p w14:paraId="760E53B4">
            <w:pPr>
              <w:spacing w:after="0" w:line="400" w:lineRule="exact"/>
              <w:ind w:firstLine="420" w:firstLineChars="200"/>
              <w:jc w:val="left"/>
              <w:rPr>
                <w:rFonts w:hint="default" w:ascii="宋体" w:hAnsi="宋体" w:eastAsia="宋体" w:cs="宋体"/>
                <w:color w:val="auto"/>
                <w:sz w:val="21"/>
                <w:szCs w:val="20"/>
                <w:highlight w:val="none"/>
                <w:lang w:val="en-US"/>
              </w:rPr>
            </w:pPr>
            <w:r>
              <w:rPr>
                <w:rFonts w:hint="eastAsia" w:ascii="宋体" w:hAnsi="宋体" w:eastAsia="宋体" w:cs="宋体"/>
                <w:color w:val="auto"/>
                <w:sz w:val="21"/>
                <w:szCs w:val="20"/>
                <w:highlight w:val="none"/>
                <w:lang w:val="en-US" w:eastAsia="zh-CN"/>
              </w:rPr>
              <w:t>三档（</w:t>
            </w:r>
            <w:r>
              <w:rPr>
                <w:rFonts w:hint="eastAsia" w:ascii="宋体" w:hAnsi="宋体" w:cs="宋体"/>
                <w:color w:val="auto"/>
                <w:sz w:val="21"/>
                <w:szCs w:val="20"/>
                <w:highlight w:val="none"/>
                <w:lang w:val="en-US" w:eastAsia="zh-CN"/>
              </w:rPr>
              <w:t>14</w:t>
            </w:r>
            <w:r>
              <w:rPr>
                <w:rFonts w:hint="eastAsia" w:ascii="宋体" w:hAnsi="宋体" w:eastAsia="宋体" w:cs="宋体"/>
                <w:color w:val="auto"/>
                <w:sz w:val="21"/>
                <w:szCs w:val="20"/>
                <w:highlight w:val="none"/>
                <w:lang w:val="en-US" w:eastAsia="zh-CN"/>
              </w:rPr>
              <w:t>分）：在满足二档基础上，为本项目提供专职技术服务团队，提供详细的服务人员清单，并承诺提供7*24小时支持服务。针对不同的使用角色提供多样化、差异化培训内容。</w:t>
            </w:r>
          </w:p>
          <w:p w14:paraId="31B31092">
            <w:pPr>
              <w:spacing w:after="0" w:line="400" w:lineRule="exact"/>
              <w:ind w:firstLine="420" w:firstLineChars="200"/>
              <w:jc w:val="left"/>
              <w:rPr>
                <w:rFonts w:hint="eastAsia" w:ascii="宋体" w:hAnsi="宋体" w:eastAsia="宋体" w:cs="宋体"/>
                <w:color w:val="auto"/>
                <w:sz w:val="21"/>
                <w:szCs w:val="20"/>
                <w:highlight w:val="none"/>
              </w:rPr>
            </w:pPr>
            <w:r>
              <w:rPr>
                <w:rFonts w:hint="eastAsia" w:ascii="宋体" w:hAnsi="宋体" w:cs="宋体"/>
                <w:color w:val="auto"/>
                <w:szCs w:val="20"/>
                <w:highlight w:val="none"/>
                <w:lang w:val="en-US" w:eastAsia="zh-CN"/>
              </w:rPr>
              <w:t>注：未提供该方案或内容未满足一档要求得0分。</w:t>
            </w:r>
          </w:p>
        </w:tc>
        <w:tc>
          <w:tcPr>
            <w:tcW w:w="700" w:type="dxa"/>
            <w:noWrap w:val="0"/>
            <w:vAlign w:val="center"/>
          </w:tcPr>
          <w:p w14:paraId="449D043F">
            <w:pPr>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14分</w:t>
            </w:r>
          </w:p>
        </w:tc>
      </w:tr>
      <w:tr w14:paraId="39EA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46324982">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w:t>
            </w:r>
          </w:p>
        </w:tc>
        <w:tc>
          <w:tcPr>
            <w:tcW w:w="1750" w:type="dxa"/>
            <w:noWrap w:val="0"/>
            <w:vAlign w:val="center"/>
          </w:tcPr>
          <w:p w14:paraId="38D8D975">
            <w:pPr>
              <w:widowControl/>
              <w:spacing w:line="360" w:lineRule="auto"/>
              <w:jc w:val="center"/>
              <w:rPr>
                <w:rFonts w:hint="eastAsia" w:ascii="宋体" w:hAnsi="宋体" w:eastAsia="宋体" w:cs="宋体"/>
                <w:color w:val="auto"/>
                <w:sz w:val="21"/>
                <w:szCs w:val="20"/>
                <w:highlight w:val="none"/>
                <w:lang w:val="en-US" w:eastAsia="zh-CN"/>
              </w:rPr>
            </w:pPr>
            <w:r>
              <w:rPr>
                <w:rFonts w:hint="eastAsia" w:ascii="宋体" w:hAnsi="宋体" w:eastAsia="宋体" w:cs="宋体"/>
                <w:b/>
                <w:bCs/>
                <w:color w:val="auto"/>
                <w:szCs w:val="21"/>
                <w:highlight w:val="none"/>
              </w:rPr>
              <w:t>商务分</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1分）</w:t>
            </w:r>
          </w:p>
        </w:tc>
        <w:tc>
          <w:tcPr>
            <w:tcW w:w="7217" w:type="dxa"/>
            <w:gridSpan w:val="2"/>
            <w:noWrap w:val="0"/>
            <w:vAlign w:val="center"/>
          </w:tcPr>
          <w:p w14:paraId="53D276D5">
            <w:pPr>
              <w:widowControl/>
              <w:spacing w:line="360" w:lineRule="auto"/>
              <w:jc w:val="center"/>
              <w:rPr>
                <w:rFonts w:hint="eastAsia" w:ascii="宋体" w:hAnsi="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评审因素</w:t>
            </w:r>
          </w:p>
        </w:tc>
      </w:tr>
      <w:tr w14:paraId="3FA7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6AF5A89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rPr>
              <w:t>.1</w:t>
            </w:r>
          </w:p>
        </w:tc>
        <w:tc>
          <w:tcPr>
            <w:tcW w:w="1750" w:type="dxa"/>
            <w:noWrap w:val="0"/>
            <w:vAlign w:val="center"/>
          </w:tcPr>
          <w:p w14:paraId="60E65718">
            <w:pPr>
              <w:widowControl/>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业绩证明</w:t>
            </w:r>
          </w:p>
          <w:p w14:paraId="303C4154">
            <w:pPr>
              <w:widowControl/>
              <w:spacing w:line="240" w:lineRule="auto"/>
              <w:jc w:val="center"/>
              <w:rPr>
                <w:rFonts w:hint="eastAsia" w:ascii="宋体" w:hAnsi="宋体" w:eastAsia="宋体" w:cs="宋体"/>
                <w:color w:val="auto"/>
                <w:sz w:val="21"/>
                <w:szCs w:val="20"/>
                <w:highlight w:val="none"/>
                <w:lang w:val="en-US" w:eastAsia="zh-CN"/>
              </w:rPr>
            </w:pP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1</w:t>
            </w:r>
            <w:r>
              <w:rPr>
                <w:rFonts w:hint="eastAsia" w:ascii="宋体" w:hAnsi="宋体" w:eastAsia="宋体" w:cs="宋体"/>
                <w:b/>
                <w:bCs/>
                <w:color w:val="auto"/>
                <w:kern w:val="0"/>
                <w:szCs w:val="21"/>
                <w:highlight w:val="none"/>
              </w:rPr>
              <w:t>分）</w:t>
            </w:r>
          </w:p>
        </w:tc>
        <w:tc>
          <w:tcPr>
            <w:tcW w:w="6517" w:type="dxa"/>
            <w:noWrap w:val="0"/>
            <w:vAlign w:val="center"/>
          </w:tcPr>
          <w:p w14:paraId="2470A7C6">
            <w:pPr>
              <w:pStyle w:val="8"/>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000000"/>
                <w:highlight w:val="none"/>
              </w:rPr>
              <w:t>供应商自</w:t>
            </w:r>
            <w:r>
              <w:rPr>
                <w:rFonts w:hint="eastAsia" w:ascii="宋体" w:hAnsi="宋体" w:eastAsia="宋体" w:cs="宋体"/>
                <w:color w:val="000000"/>
                <w:highlight w:val="none"/>
                <w:lang w:val="en-US" w:eastAsia="zh-CN"/>
              </w:rPr>
              <w:t>202</w:t>
            </w:r>
            <w:r>
              <w:rPr>
                <w:rFonts w:hint="eastAsia" w:ascii="宋体" w:hAnsi="宋体" w:cs="宋体"/>
                <w:color w:val="000000"/>
                <w:highlight w:val="none"/>
                <w:lang w:val="en-US" w:eastAsia="zh-CN"/>
              </w:rPr>
              <w:t>4</w:t>
            </w:r>
            <w:r>
              <w:rPr>
                <w:rFonts w:hint="eastAsia" w:ascii="宋体" w:hAnsi="宋体" w:eastAsia="宋体" w:cs="宋体"/>
                <w:color w:val="000000"/>
                <w:highlight w:val="none"/>
              </w:rPr>
              <w:t>年1月1日以</w:t>
            </w:r>
            <w:r>
              <w:rPr>
                <w:rFonts w:hint="eastAsia" w:ascii="宋体" w:hAnsi="宋体" w:eastAsia="宋体" w:cs="宋体"/>
                <w:color w:val="auto"/>
                <w:highlight w:val="none"/>
              </w:rPr>
              <w:t>来具有与本次采购内容同类或类似项目</w:t>
            </w:r>
            <w:r>
              <w:rPr>
                <w:rFonts w:hint="eastAsia" w:ascii="宋体" w:hAnsi="宋体" w:eastAsia="宋体" w:cs="宋体"/>
                <w:color w:val="auto"/>
                <w:highlight w:val="none"/>
                <w:lang w:val="en-US" w:eastAsia="zh-CN"/>
              </w:rPr>
              <w:t>业绩的</w:t>
            </w:r>
            <w:r>
              <w:rPr>
                <w:rFonts w:hint="eastAsia" w:ascii="宋体" w:hAnsi="宋体" w:eastAsia="宋体" w:cs="宋体"/>
                <w:color w:val="auto"/>
                <w:highlight w:val="none"/>
              </w:rPr>
              <w:t>，每提供1项得</w:t>
            </w:r>
            <w:r>
              <w:rPr>
                <w:rFonts w:hint="eastAsia" w:ascii="宋体" w:hAnsi="宋体" w:cs="宋体"/>
                <w:color w:val="auto"/>
                <w:highlight w:val="none"/>
                <w:lang w:val="en-US" w:eastAsia="zh-CN"/>
              </w:rPr>
              <w:t>1</w:t>
            </w:r>
            <w:r>
              <w:rPr>
                <w:rFonts w:hint="eastAsia" w:ascii="宋体" w:hAnsi="宋体" w:eastAsia="宋体" w:cs="宋体"/>
                <w:color w:val="auto"/>
                <w:highlight w:val="none"/>
              </w:rPr>
              <w:t>分，满分</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w:t>
            </w:r>
          </w:p>
          <w:p w14:paraId="08B6C301">
            <w:pPr>
              <w:widowControl/>
              <w:jc w:val="center"/>
            </w:pPr>
            <w:r>
              <w:rPr>
                <w:rFonts w:hint="eastAsia" w:ascii="宋体" w:hAnsi="宋体" w:eastAsia="宋体" w:cs="宋体"/>
                <w:color w:val="auto"/>
                <w:highlight w:val="none"/>
                <w:lang w:val="en-US" w:eastAsia="zh-CN"/>
              </w:rPr>
              <w:t>【注：响应文件中要附业绩一览表，并列明采购单位信息及单位地址、联系人、电话等，同时提供采购合同或中标（成交）通知书复印件，未按要求提供材料的不予计分】</w:t>
            </w:r>
          </w:p>
        </w:tc>
        <w:tc>
          <w:tcPr>
            <w:tcW w:w="700" w:type="dxa"/>
            <w:noWrap w:val="0"/>
            <w:vAlign w:val="center"/>
          </w:tcPr>
          <w:p w14:paraId="10A6D016">
            <w:pPr>
              <w:widowControl/>
              <w:spacing w:line="360" w:lineRule="auto"/>
              <w:jc w:val="center"/>
              <w:rPr>
                <w:rFonts w:hint="eastAsia" w:ascii="宋体" w:hAnsi="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1</w:t>
            </w:r>
          </w:p>
        </w:tc>
      </w:tr>
      <w:tr w14:paraId="46F7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4"/>
            <w:noWrap w:val="0"/>
            <w:vAlign w:val="center"/>
          </w:tcPr>
          <w:p w14:paraId="16C79D70">
            <w:pPr>
              <w:widowControl/>
              <w:spacing w:line="360" w:lineRule="auto"/>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highlight w:val="none"/>
              </w:rPr>
              <w:t>总得分＝1＋2</w:t>
            </w:r>
            <w:r>
              <w:rPr>
                <w:rFonts w:hint="eastAsia" w:ascii="宋体" w:hAnsi="宋体" w:eastAsia="宋体" w:cs="宋体"/>
                <w:b/>
                <w:bCs/>
                <w:color w:val="auto"/>
                <w:highlight w:val="none"/>
                <w:lang w:val="en-US" w:eastAsia="zh-CN"/>
              </w:rPr>
              <w:t>+3</w:t>
            </w:r>
          </w:p>
        </w:tc>
      </w:tr>
    </w:tbl>
    <w:p w14:paraId="6F215E4B">
      <w:pPr>
        <w:rPr>
          <w:rFonts w:hint="eastAsia" w:ascii="宋体" w:hAnsi="宋体" w:cs="宋体"/>
          <w:bCs/>
          <w:color w:val="auto"/>
          <w:szCs w:val="21"/>
          <w:highlight w:val="none"/>
        </w:rPr>
      </w:pPr>
      <w:r>
        <w:rPr>
          <w:rFonts w:hint="eastAsia" w:ascii="宋体" w:hAnsi="宋体" w:cs="宋体"/>
          <w:bCs/>
          <w:color w:val="auto"/>
          <w:szCs w:val="21"/>
          <w:highlight w:val="none"/>
        </w:rPr>
        <w:br w:type="page"/>
      </w:r>
    </w:p>
    <w:p w14:paraId="013C959E">
      <w:pPr>
        <w:pStyle w:val="4"/>
        <w:bidi w:val="0"/>
        <w:rPr>
          <w:rFonts w:hint="eastAsia"/>
        </w:rPr>
      </w:pPr>
      <w:r>
        <w:rPr>
          <w:rFonts w:hint="eastAsia"/>
        </w:rPr>
        <w:t>B分标评标标准</w:t>
      </w:r>
    </w:p>
    <w:tbl>
      <w:tblPr>
        <w:tblStyle w:val="20"/>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750"/>
        <w:gridCol w:w="6517"/>
        <w:gridCol w:w="700"/>
      </w:tblGrid>
      <w:tr w14:paraId="24DE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08047135">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750" w:type="dxa"/>
            <w:noWrap w:val="0"/>
            <w:vAlign w:val="center"/>
          </w:tcPr>
          <w:p w14:paraId="19C306EC">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517" w:type="dxa"/>
            <w:noWrap w:val="0"/>
            <w:vAlign w:val="center"/>
          </w:tcPr>
          <w:p w14:paraId="7EC597F9">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700" w:type="dxa"/>
            <w:noWrap w:val="0"/>
            <w:vAlign w:val="center"/>
          </w:tcPr>
          <w:p w14:paraId="5733364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0FFF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2208B3F8">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w:t>
            </w:r>
          </w:p>
        </w:tc>
        <w:tc>
          <w:tcPr>
            <w:tcW w:w="1750" w:type="dxa"/>
            <w:noWrap w:val="0"/>
            <w:vAlign w:val="center"/>
          </w:tcPr>
          <w:p w14:paraId="65C0BBD3">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价格分</w:t>
            </w:r>
          </w:p>
          <w:p w14:paraId="29D4E27A">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（满分</w:t>
            </w:r>
            <w:r>
              <w:rPr>
                <w:rFonts w:hint="eastAsia" w:ascii="宋体" w:hAnsi="宋体" w:cs="宋体"/>
                <w:b/>
                <w:bCs/>
                <w:color w:val="auto"/>
                <w:szCs w:val="21"/>
                <w:highlight w:val="none"/>
                <w:lang w:val="en-US" w:eastAsia="zh-CN"/>
              </w:rPr>
              <w:t>30</w:t>
            </w:r>
            <w:r>
              <w:rPr>
                <w:rFonts w:hint="eastAsia" w:ascii="宋体" w:hAnsi="宋体" w:eastAsia="宋体" w:cs="宋体"/>
                <w:b/>
                <w:bCs/>
                <w:color w:val="auto"/>
                <w:szCs w:val="21"/>
                <w:highlight w:val="none"/>
              </w:rPr>
              <w:t>分）</w:t>
            </w:r>
          </w:p>
        </w:tc>
        <w:tc>
          <w:tcPr>
            <w:tcW w:w="6517" w:type="dxa"/>
            <w:noWrap w:val="0"/>
            <w:vAlign w:val="top"/>
          </w:tcPr>
          <w:p w14:paraId="3A0C635D">
            <w:pPr>
              <w:pStyle w:val="8"/>
              <w:topLinePunct/>
              <w:adjustRightInd w:val="0"/>
              <w:snapToGrid w:val="0"/>
              <w:spacing w:before="60" w:after="60" w:line="312" w:lineRule="auto"/>
              <w:ind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本项目属于</w:t>
            </w:r>
            <w:r>
              <w:rPr>
                <w:rFonts w:hint="eastAsia" w:ascii="宋体" w:hAnsi="宋体" w:eastAsia="宋体" w:cs="宋体"/>
                <w:b/>
                <w:bCs/>
                <w:color w:val="auto"/>
                <w:highlight w:val="none"/>
              </w:rPr>
              <w:t>专门面向</w:t>
            </w:r>
            <w:r>
              <w:rPr>
                <w:rFonts w:hint="eastAsia" w:ascii="宋体" w:hAnsi="宋体" w:eastAsia="宋体" w:cs="宋体"/>
                <w:b/>
                <w:bCs/>
                <w:color w:val="auto"/>
                <w:highlight w:val="none"/>
                <w:lang w:eastAsia="zh-CN"/>
              </w:rPr>
              <w:t>中小</w:t>
            </w:r>
            <w:r>
              <w:rPr>
                <w:rFonts w:hint="eastAsia" w:ascii="宋体" w:hAnsi="宋体" w:eastAsia="宋体" w:cs="宋体"/>
                <w:b/>
                <w:bCs/>
                <w:color w:val="auto"/>
                <w:highlight w:val="none"/>
              </w:rPr>
              <w:t>企业采购的项目，不再执行价格评审优惠的扶持政策。</w:t>
            </w:r>
          </w:p>
          <w:p w14:paraId="19BE6585">
            <w:pPr>
              <w:pStyle w:val="8"/>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报价分采用低价优先法计算，满足磋商文件要求且评标价最低的有效供应商的评标价为评标基准价，其报价分为满分。</w:t>
            </w:r>
          </w:p>
          <w:p w14:paraId="08D203B7">
            <w:pPr>
              <w:pStyle w:val="8"/>
              <w:topLinePunct/>
              <w:adjustRightInd w:val="0"/>
              <w:snapToGrid w:val="0"/>
              <w:spacing w:before="60" w:after="60" w:line="312" w:lineRule="auto"/>
              <w:ind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其他供应商的价格分统一按照下列公式计算：某有效供应商的报价分=（评标基准价／某有效供应商评标价）×</w:t>
            </w:r>
            <w:r>
              <w:rPr>
                <w:rFonts w:hint="eastAsia" w:ascii="宋体" w:hAnsi="宋体" w:cs="宋体"/>
                <w:color w:val="auto"/>
                <w:highlight w:val="none"/>
                <w:lang w:val="en-US" w:eastAsia="zh-CN"/>
              </w:rPr>
              <w:t>30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p w14:paraId="498B6FBC">
            <w:pPr>
              <w:pStyle w:val="8"/>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备注：磋商小组认为供应商的报价明显低于其他通过符合性审查响应人的报价，有可能影响产品质量或者不能诚信履约的，应当要求其在评标现场合理的时间内提供书面说明，必要时提交相关证明材料；供应商不能证明其报价合理性的，磋商小组应当将其作为无效响应处理。</w:t>
            </w:r>
          </w:p>
        </w:tc>
        <w:tc>
          <w:tcPr>
            <w:tcW w:w="700" w:type="dxa"/>
            <w:noWrap w:val="0"/>
            <w:vAlign w:val="center"/>
          </w:tcPr>
          <w:p w14:paraId="333BF86F">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30</w:t>
            </w:r>
            <w:r>
              <w:rPr>
                <w:rFonts w:hint="eastAsia" w:ascii="宋体" w:hAnsi="宋体" w:eastAsia="宋体" w:cs="宋体"/>
                <w:b/>
                <w:bCs/>
                <w:color w:val="auto"/>
                <w:kern w:val="0"/>
                <w:szCs w:val="21"/>
                <w:highlight w:val="none"/>
              </w:rPr>
              <w:t>分</w:t>
            </w:r>
          </w:p>
        </w:tc>
      </w:tr>
      <w:tr w14:paraId="659D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32F5BA23">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p>
        </w:tc>
        <w:tc>
          <w:tcPr>
            <w:tcW w:w="1750" w:type="dxa"/>
            <w:noWrap w:val="0"/>
            <w:vAlign w:val="center"/>
          </w:tcPr>
          <w:p w14:paraId="4948D28C">
            <w:pPr>
              <w:widowControl/>
              <w:spacing w:line="360" w:lineRule="auto"/>
              <w:jc w:val="center"/>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技术分</w:t>
            </w:r>
            <w:r>
              <w:rPr>
                <w:rFonts w:hint="eastAsia" w:ascii="宋体" w:hAnsi="宋体" w:cs="宋体"/>
                <w:b/>
                <w:bCs/>
                <w:color w:val="auto"/>
                <w:kern w:val="0"/>
                <w:szCs w:val="21"/>
                <w:highlight w:val="none"/>
                <w:lang w:eastAsia="zh-CN"/>
              </w:rPr>
              <w:t>（</w:t>
            </w:r>
            <w:r>
              <w:rPr>
                <w:rFonts w:hint="eastAsia" w:ascii="宋体" w:hAnsi="宋体" w:cs="宋体"/>
                <w:b/>
                <w:bCs/>
                <w:color w:val="auto"/>
                <w:kern w:val="0"/>
                <w:szCs w:val="21"/>
                <w:highlight w:val="none"/>
                <w:lang w:val="en-US" w:eastAsia="zh-CN"/>
              </w:rPr>
              <w:t>69分）</w:t>
            </w:r>
          </w:p>
        </w:tc>
        <w:tc>
          <w:tcPr>
            <w:tcW w:w="7217" w:type="dxa"/>
            <w:gridSpan w:val="2"/>
            <w:noWrap w:val="0"/>
            <w:vAlign w:val="top"/>
          </w:tcPr>
          <w:p w14:paraId="11327176">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r>
      <w:tr w14:paraId="3F5B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421AE8B9">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w:t>
            </w:r>
          </w:p>
        </w:tc>
        <w:tc>
          <w:tcPr>
            <w:tcW w:w="1750" w:type="dxa"/>
            <w:noWrap w:val="0"/>
            <w:vAlign w:val="center"/>
          </w:tcPr>
          <w:p w14:paraId="1F4EF208">
            <w:pPr>
              <w:widowControl/>
              <w:spacing w:line="360" w:lineRule="auto"/>
              <w:jc w:val="center"/>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实施方案分</w:t>
            </w:r>
          </w:p>
          <w:p w14:paraId="6865B867">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（满分</w:t>
            </w:r>
            <w:r>
              <w:rPr>
                <w:rFonts w:hint="eastAsia" w:ascii="宋体" w:hAnsi="宋体" w:cs="宋体"/>
                <w:b/>
                <w:bCs/>
                <w:color w:val="auto"/>
                <w:kern w:val="0"/>
                <w:szCs w:val="21"/>
                <w:highlight w:val="none"/>
                <w:lang w:val="en-US" w:eastAsia="zh-CN"/>
              </w:rPr>
              <w:t>36</w:t>
            </w:r>
            <w:r>
              <w:rPr>
                <w:rFonts w:hint="eastAsia" w:ascii="宋体" w:hAnsi="宋体" w:eastAsia="宋体" w:cs="宋体"/>
                <w:b/>
                <w:bCs/>
                <w:color w:val="auto"/>
                <w:kern w:val="0"/>
                <w:szCs w:val="21"/>
                <w:highlight w:val="none"/>
                <w:lang w:val="en-US" w:eastAsia="zh-CN"/>
              </w:rPr>
              <w:t>分）</w:t>
            </w:r>
          </w:p>
        </w:tc>
        <w:tc>
          <w:tcPr>
            <w:tcW w:w="6517" w:type="dxa"/>
            <w:noWrap w:val="0"/>
            <w:vAlign w:val="center"/>
          </w:tcPr>
          <w:p w14:paraId="2F48C337">
            <w:pPr>
              <w:spacing w:after="0" w:line="400" w:lineRule="exact"/>
              <w:ind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根据竞标人提供的实施方案，包括但不限：活动策划方案，工作方案，重要环节操作方案，现场搭建布置方案，团队人员方案，拍摄方案，宣传推广方案等，不提供实施方案不得分。</w:t>
            </w:r>
          </w:p>
          <w:p w14:paraId="27584DD4">
            <w:pPr>
              <w:spacing w:after="0" w:line="400" w:lineRule="exact"/>
              <w:ind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一档（9分）：方案内容不完整不齐全，定为一档；</w:t>
            </w:r>
          </w:p>
          <w:p w14:paraId="6787A64D">
            <w:pPr>
              <w:spacing w:after="0" w:line="400" w:lineRule="exact"/>
              <w:ind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二档（18分）：方案内容完整齐全，但有明显错误，与项目特点不符的，定为二档；</w:t>
            </w:r>
          </w:p>
          <w:p w14:paraId="347CF056">
            <w:pPr>
              <w:spacing w:after="0" w:line="400" w:lineRule="exact"/>
              <w:ind w:firstLine="420" w:firstLineChars="200"/>
              <w:jc w:val="left"/>
              <w:rPr>
                <w:rFonts w:hint="eastAsia" w:ascii="宋体" w:hAnsi="宋体" w:cs="宋体"/>
                <w:color w:val="auto"/>
                <w:szCs w:val="20"/>
                <w:highlight w:val="none"/>
                <w:lang w:val="en-US" w:eastAsia="zh-CN"/>
              </w:rPr>
            </w:pPr>
            <w:r>
              <w:rPr>
                <w:rFonts w:hint="eastAsia" w:ascii="宋体" w:hAnsi="宋体" w:cs="宋体"/>
                <w:color w:val="auto"/>
                <w:szCs w:val="20"/>
                <w:highlight w:val="none"/>
                <w:lang w:val="en-US" w:eastAsia="zh-CN"/>
              </w:rPr>
              <w:t>三档（27分）：方案内容完整齐全，符合项目特点，无明显错漏，定为三档；</w:t>
            </w:r>
          </w:p>
          <w:p w14:paraId="41CA3A10">
            <w:pPr>
              <w:spacing w:after="0" w:line="400" w:lineRule="exact"/>
              <w:ind w:firstLine="420" w:firstLineChars="200"/>
              <w:jc w:val="left"/>
              <w:rPr>
                <w:rFonts w:hint="default" w:ascii="宋体" w:hAnsi="宋体" w:eastAsia="宋体" w:cs="宋体"/>
                <w:color w:val="auto"/>
                <w:szCs w:val="20"/>
                <w:highlight w:val="none"/>
                <w:lang w:val="en-US" w:eastAsia="zh-CN"/>
              </w:rPr>
            </w:pPr>
            <w:r>
              <w:rPr>
                <w:rFonts w:hint="eastAsia" w:ascii="宋体" w:hAnsi="宋体" w:cs="宋体"/>
                <w:color w:val="auto"/>
                <w:szCs w:val="20"/>
                <w:highlight w:val="none"/>
                <w:lang w:val="en-US" w:eastAsia="zh-CN"/>
              </w:rPr>
              <w:t>四档（36分）：方案内容完整齐全，符合项目特点，无错漏现象，方案合理可行，定为四档。</w:t>
            </w:r>
          </w:p>
        </w:tc>
        <w:tc>
          <w:tcPr>
            <w:tcW w:w="700" w:type="dxa"/>
            <w:noWrap w:val="0"/>
            <w:vAlign w:val="center"/>
          </w:tcPr>
          <w:p w14:paraId="7FB5F938">
            <w:pPr>
              <w:widowControl/>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36</w:t>
            </w:r>
            <w:r>
              <w:rPr>
                <w:rFonts w:hint="eastAsia" w:ascii="宋体" w:hAnsi="宋体" w:eastAsia="宋体" w:cs="宋体"/>
                <w:b/>
                <w:bCs/>
                <w:color w:val="auto"/>
                <w:kern w:val="0"/>
                <w:szCs w:val="21"/>
                <w:highlight w:val="none"/>
              </w:rPr>
              <w:t>分</w:t>
            </w:r>
          </w:p>
        </w:tc>
      </w:tr>
      <w:tr w14:paraId="312F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1CEEFA28">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w:t>
            </w:r>
          </w:p>
        </w:tc>
        <w:tc>
          <w:tcPr>
            <w:tcW w:w="1750" w:type="dxa"/>
            <w:noWrap w:val="0"/>
            <w:vAlign w:val="center"/>
          </w:tcPr>
          <w:p w14:paraId="1D2A9F89">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lang w:val="en-US" w:eastAsia="zh-CN"/>
              </w:rPr>
              <w:t>项目管理控制方案分（满分</w:t>
            </w:r>
            <w:r>
              <w:rPr>
                <w:rFonts w:hint="eastAsia" w:ascii="宋体" w:hAnsi="宋体" w:cs="宋体"/>
                <w:b/>
                <w:bCs/>
                <w:color w:val="auto"/>
                <w:kern w:val="0"/>
                <w:szCs w:val="21"/>
                <w:highlight w:val="none"/>
                <w:lang w:val="en-US" w:eastAsia="zh-CN"/>
              </w:rPr>
              <w:t>18</w:t>
            </w:r>
            <w:r>
              <w:rPr>
                <w:rFonts w:hint="eastAsia" w:ascii="宋体" w:hAnsi="宋体" w:eastAsia="宋体" w:cs="宋体"/>
                <w:b/>
                <w:bCs/>
                <w:color w:val="auto"/>
                <w:kern w:val="0"/>
                <w:szCs w:val="21"/>
                <w:highlight w:val="none"/>
                <w:lang w:val="en-US" w:eastAsia="zh-CN"/>
              </w:rPr>
              <w:t>分）</w:t>
            </w:r>
          </w:p>
        </w:tc>
        <w:tc>
          <w:tcPr>
            <w:tcW w:w="6517" w:type="dxa"/>
            <w:noWrap w:val="0"/>
            <w:vAlign w:val="center"/>
          </w:tcPr>
          <w:p w14:paraId="5BBA6B6C">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根据竞标人提供的项目管理控制方案，包括但不限：现场管控服务流程及质量保证标准，硬件设备，应急方案，说明项目将使用的设备及可实现效果，不提供项目管理控制方案不得分。</w:t>
            </w:r>
          </w:p>
          <w:p w14:paraId="4A050263">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一档（</w:t>
            </w:r>
            <w:r>
              <w:rPr>
                <w:rFonts w:hint="eastAsia" w:ascii="宋体" w:hAnsi="宋体" w:cs="宋体"/>
                <w:color w:val="auto"/>
                <w:sz w:val="21"/>
                <w:szCs w:val="20"/>
                <w:highlight w:val="none"/>
                <w:lang w:val="en-US" w:eastAsia="zh-CN"/>
              </w:rPr>
              <w:t>6</w:t>
            </w:r>
            <w:r>
              <w:rPr>
                <w:rFonts w:hint="eastAsia" w:ascii="宋体" w:hAnsi="宋体" w:eastAsia="宋体" w:cs="宋体"/>
                <w:color w:val="auto"/>
                <w:sz w:val="21"/>
                <w:szCs w:val="20"/>
                <w:highlight w:val="none"/>
                <w:lang w:val="en-US" w:eastAsia="zh-CN"/>
              </w:rPr>
              <w:t>分）：实施方案基本满足采购需求；</w:t>
            </w:r>
          </w:p>
          <w:p w14:paraId="30787E43">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二档（</w:t>
            </w:r>
            <w:r>
              <w:rPr>
                <w:rFonts w:hint="eastAsia" w:ascii="宋体" w:hAnsi="宋体" w:cs="宋体"/>
                <w:color w:val="auto"/>
                <w:sz w:val="21"/>
                <w:szCs w:val="20"/>
                <w:highlight w:val="none"/>
                <w:lang w:val="en-US" w:eastAsia="zh-CN"/>
              </w:rPr>
              <w:t>12</w:t>
            </w:r>
            <w:r>
              <w:rPr>
                <w:rFonts w:hint="eastAsia" w:ascii="宋体" w:hAnsi="宋体" w:eastAsia="宋体" w:cs="宋体"/>
                <w:color w:val="auto"/>
                <w:sz w:val="21"/>
                <w:szCs w:val="20"/>
                <w:highlight w:val="none"/>
                <w:lang w:val="en-US" w:eastAsia="zh-CN"/>
              </w:rPr>
              <w:t>分）：实施方案详细，现场管控服务流程合理，满足采购需求；</w:t>
            </w:r>
          </w:p>
          <w:p w14:paraId="7528C8AC">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三档（</w:t>
            </w:r>
            <w:r>
              <w:rPr>
                <w:rFonts w:hint="eastAsia" w:ascii="宋体" w:hAnsi="宋体" w:cs="宋体"/>
                <w:color w:val="auto"/>
                <w:sz w:val="21"/>
                <w:szCs w:val="20"/>
                <w:highlight w:val="none"/>
                <w:lang w:val="en-US" w:eastAsia="zh-CN"/>
              </w:rPr>
              <w:t>18</w:t>
            </w:r>
            <w:r>
              <w:rPr>
                <w:rFonts w:hint="eastAsia" w:ascii="宋体" w:hAnsi="宋体" w:eastAsia="宋体" w:cs="宋体"/>
                <w:color w:val="auto"/>
                <w:sz w:val="21"/>
                <w:szCs w:val="20"/>
                <w:highlight w:val="none"/>
                <w:lang w:val="en-US" w:eastAsia="zh-CN"/>
              </w:rPr>
              <w:t>分）：实施方案详细，现场管控服务流程及质量保证标准合理、可行，满足采购需求。</w:t>
            </w:r>
          </w:p>
          <w:p w14:paraId="3D5ECCD7">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p>
          <w:p w14:paraId="61BE6E5C">
            <w:pPr>
              <w:numPr>
                <w:ilvl w:val="0"/>
                <w:numId w:val="0"/>
              </w:numPr>
              <w:spacing w:after="0" w:line="400" w:lineRule="exact"/>
              <w:ind w:left="0" w:leftChars="0" w:firstLine="420" w:firstLineChars="200"/>
              <w:jc w:val="left"/>
              <w:rPr>
                <w:rFonts w:hint="eastAsia" w:ascii="宋体" w:hAnsi="宋体" w:eastAsia="宋体" w:cs="宋体"/>
                <w:color w:val="auto"/>
                <w:sz w:val="21"/>
                <w:szCs w:val="20"/>
                <w:highlight w:val="none"/>
                <w:lang w:val="en-US" w:eastAsia="zh-CN"/>
              </w:rPr>
            </w:pPr>
          </w:p>
        </w:tc>
        <w:tc>
          <w:tcPr>
            <w:tcW w:w="700" w:type="dxa"/>
            <w:noWrap w:val="0"/>
            <w:vAlign w:val="center"/>
          </w:tcPr>
          <w:p w14:paraId="5C7D1E4E">
            <w:pPr>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18</w:t>
            </w:r>
            <w:r>
              <w:rPr>
                <w:rFonts w:hint="eastAsia" w:ascii="宋体" w:hAnsi="宋体" w:eastAsia="宋体" w:cs="宋体"/>
                <w:b/>
                <w:bCs/>
                <w:color w:val="auto"/>
                <w:kern w:val="0"/>
                <w:szCs w:val="21"/>
                <w:highlight w:val="none"/>
              </w:rPr>
              <w:t>分</w:t>
            </w:r>
          </w:p>
        </w:tc>
      </w:tr>
      <w:tr w14:paraId="0867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5149C167">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2.3</w:t>
            </w:r>
          </w:p>
        </w:tc>
        <w:tc>
          <w:tcPr>
            <w:tcW w:w="1750" w:type="dxa"/>
            <w:noWrap w:val="0"/>
            <w:vAlign w:val="center"/>
          </w:tcPr>
          <w:p w14:paraId="6047BD1E">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color w:val="auto"/>
                <w:sz w:val="21"/>
                <w:szCs w:val="20"/>
                <w:highlight w:val="none"/>
                <w:lang w:val="en-US" w:eastAsia="zh-CN"/>
              </w:rPr>
              <w:t>应急方案分</w:t>
            </w:r>
            <w:r>
              <w:rPr>
                <w:rFonts w:hint="eastAsia" w:ascii="宋体" w:hAnsi="宋体" w:eastAsia="宋体" w:cs="宋体"/>
                <w:b/>
                <w:bCs/>
                <w:color w:val="auto"/>
                <w:kern w:val="0"/>
                <w:szCs w:val="21"/>
                <w:highlight w:val="none"/>
                <w:lang w:val="en-US" w:eastAsia="zh-CN"/>
              </w:rPr>
              <w:t>（满分</w:t>
            </w:r>
            <w:r>
              <w:rPr>
                <w:rFonts w:hint="eastAsia" w:ascii="宋体" w:hAnsi="宋体" w:cs="宋体"/>
                <w:b/>
                <w:bCs/>
                <w:color w:val="auto"/>
                <w:kern w:val="0"/>
                <w:szCs w:val="21"/>
                <w:highlight w:val="none"/>
                <w:lang w:val="en-US" w:eastAsia="zh-CN"/>
              </w:rPr>
              <w:t>15</w:t>
            </w:r>
            <w:r>
              <w:rPr>
                <w:rFonts w:hint="eastAsia" w:ascii="宋体" w:hAnsi="宋体" w:eastAsia="宋体" w:cs="宋体"/>
                <w:b/>
                <w:bCs/>
                <w:color w:val="auto"/>
                <w:kern w:val="0"/>
                <w:szCs w:val="21"/>
                <w:highlight w:val="none"/>
                <w:lang w:val="en-US" w:eastAsia="zh-CN"/>
              </w:rPr>
              <w:t>分）</w:t>
            </w:r>
          </w:p>
        </w:tc>
        <w:tc>
          <w:tcPr>
            <w:tcW w:w="6517" w:type="dxa"/>
            <w:noWrap w:val="0"/>
            <w:vAlign w:val="center"/>
          </w:tcPr>
          <w:p w14:paraId="1BED0F28">
            <w:pPr>
              <w:spacing w:after="0" w:line="400" w:lineRule="exact"/>
              <w:ind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由磋商小组根据响应文件提供的应急方案，从总体流程、应急预案等因素描述进行评价，不提供应急方案不得分。</w:t>
            </w:r>
          </w:p>
          <w:p w14:paraId="0051EB96">
            <w:pPr>
              <w:spacing w:after="0" w:line="400" w:lineRule="exact"/>
              <w:ind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一档（</w:t>
            </w:r>
            <w:r>
              <w:rPr>
                <w:rFonts w:hint="eastAsia" w:ascii="宋体" w:hAnsi="宋体" w:cs="宋体"/>
                <w:color w:val="auto"/>
                <w:sz w:val="21"/>
                <w:szCs w:val="20"/>
                <w:highlight w:val="none"/>
                <w:lang w:val="en-US" w:eastAsia="zh-CN"/>
              </w:rPr>
              <w:t>5</w:t>
            </w:r>
            <w:r>
              <w:rPr>
                <w:rFonts w:hint="eastAsia" w:ascii="宋体" w:hAnsi="宋体" w:eastAsia="宋体" w:cs="宋体"/>
                <w:color w:val="auto"/>
                <w:sz w:val="21"/>
                <w:szCs w:val="20"/>
                <w:highlight w:val="none"/>
                <w:lang w:val="en-US" w:eastAsia="zh-CN"/>
              </w:rPr>
              <w:t>分）：供应商提供的应急方案，内容表述完整，针对本项目有针对性的优化，能满足本项目采购需求的；</w:t>
            </w:r>
          </w:p>
          <w:p w14:paraId="4EB08ECE">
            <w:pPr>
              <w:spacing w:after="0" w:line="400" w:lineRule="exact"/>
              <w:ind w:firstLine="420" w:firstLineChars="200"/>
              <w:jc w:val="left"/>
              <w:rPr>
                <w:rFonts w:hint="eastAsia" w:ascii="宋体" w:hAnsi="宋体" w:eastAsia="宋体" w:cs="宋体"/>
                <w:color w:val="auto"/>
                <w:sz w:val="21"/>
                <w:szCs w:val="20"/>
                <w:highlight w:val="none"/>
                <w:lang w:val="en-US" w:eastAsia="zh-CN"/>
              </w:rPr>
            </w:pPr>
            <w:r>
              <w:rPr>
                <w:rFonts w:hint="eastAsia" w:ascii="宋体" w:hAnsi="宋体" w:eastAsia="宋体" w:cs="宋体"/>
                <w:color w:val="auto"/>
                <w:sz w:val="21"/>
                <w:szCs w:val="20"/>
                <w:highlight w:val="none"/>
                <w:lang w:val="en-US" w:eastAsia="zh-CN"/>
              </w:rPr>
              <w:t>二档（</w:t>
            </w:r>
            <w:r>
              <w:rPr>
                <w:rFonts w:hint="eastAsia" w:ascii="宋体" w:hAnsi="宋体" w:cs="宋体"/>
                <w:color w:val="auto"/>
                <w:sz w:val="21"/>
                <w:szCs w:val="20"/>
                <w:highlight w:val="none"/>
                <w:lang w:val="en-US" w:eastAsia="zh-CN"/>
              </w:rPr>
              <w:t>10</w:t>
            </w:r>
            <w:r>
              <w:rPr>
                <w:rFonts w:hint="eastAsia" w:ascii="宋体" w:hAnsi="宋体" w:eastAsia="宋体" w:cs="宋体"/>
                <w:color w:val="auto"/>
                <w:sz w:val="21"/>
                <w:szCs w:val="20"/>
                <w:highlight w:val="none"/>
                <w:lang w:val="en-US" w:eastAsia="zh-CN"/>
              </w:rPr>
              <w:t>分）：应急方案能针对各个流程提出预案，且能罗列具有针对性的措施；至少包含人员应急预案、车辆应急预案、食品应急预案等内容的；</w:t>
            </w:r>
          </w:p>
          <w:p w14:paraId="0BB82B0A">
            <w:pPr>
              <w:spacing w:after="0" w:line="400" w:lineRule="exact"/>
              <w:ind w:firstLine="420" w:firstLineChars="200"/>
              <w:jc w:val="left"/>
              <w:rPr>
                <w:rFonts w:hint="default" w:ascii="宋体" w:hAnsi="宋体" w:eastAsia="宋体" w:cs="宋体"/>
                <w:color w:val="auto"/>
                <w:sz w:val="21"/>
                <w:szCs w:val="20"/>
                <w:highlight w:val="none"/>
                <w:lang w:val="en-US"/>
              </w:rPr>
            </w:pPr>
            <w:r>
              <w:rPr>
                <w:rFonts w:hint="eastAsia" w:ascii="宋体" w:hAnsi="宋体" w:eastAsia="宋体" w:cs="宋体"/>
                <w:color w:val="auto"/>
                <w:sz w:val="21"/>
                <w:szCs w:val="20"/>
                <w:highlight w:val="none"/>
                <w:lang w:val="en-US" w:eastAsia="zh-CN"/>
              </w:rPr>
              <w:t>三档（</w:t>
            </w:r>
            <w:r>
              <w:rPr>
                <w:rFonts w:hint="eastAsia" w:ascii="宋体" w:hAnsi="宋体" w:cs="宋体"/>
                <w:color w:val="auto"/>
                <w:sz w:val="21"/>
                <w:szCs w:val="20"/>
                <w:highlight w:val="none"/>
                <w:lang w:val="en-US" w:eastAsia="zh-CN"/>
              </w:rPr>
              <w:t>15</w:t>
            </w:r>
            <w:r>
              <w:rPr>
                <w:rFonts w:hint="eastAsia" w:ascii="宋体" w:hAnsi="宋体" w:eastAsia="宋体" w:cs="宋体"/>
                <w:color w:val="auto"/>
                <w:sz w:val="21"/>
                <w:szCs w:val="20"/>
                <w:highlight w:val="none"/>
                <w:lang w:val="en-US" w:eastAsia="zh-CN"/>
              </w:rPr>
              <w:t>分）：应急方案能针对各个流程列明负责人，并提供响应人员的职责；还至少包括出现紧急事件应急处理预案、仓储应急预案。有针对性的应急处理和应急预案流程图，在保证配送服务业务外有机动人员用于应急事件处理，人员配备充裕的。</w:t>
            </w:r>
          </w:p>
          <w:p w14:paraId="73817AEB">
            <w:pPr>
              <w:spacing w:after="0" w:line="400" w:lineRule="exact"/>
              <w:ind w:firstLine="420" w:firstLineChars="200"/>
              <w:jc w:val="left"/>
              <w:rPr>
                <w:rFonts w:hint="eastAsia" w:ascii="宋体" w:hAnsi="宋体" w:eastAsia="宋体" w:cs="宋体"/>
                <w:color w:val="auto"/>
                <w:sz w:val="21"/>
                <w:szCs w:val="20"/>
                <w:highlight w:val="none"/>
              </w:rPr>
            </w:pPr>
            <w:r>
              <w:rPr>
                <w:rFonts w:hint="eastAsia" w:ascii="宋体" w:hAnsi="宋体" w:cs="宋体"/>
                <w:color w:val="auto"/>
                <w:szCs w:val="20"/>
                <w:highlight w:val="none"/>
                <w:lang w:val="en-US" w:eastAsia="zh-CN"/>
              </w:rPr>
              <w:t>注：未提供该方案或内容未满足一档要求得0分。</w:t>
            </w:r>
          </w:p>
        </w:tc>
        <w:tc>
          <w:tcPr>
            <w:tcW w:w="700" w:type="dxa"/>
            <w:noWrap w:val="0"/>
            <w:vAlign w:val="center"/>
          </w:tcPr>
          <w:p w14:paraId="6AE5DA29">
            <w:pPr>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15分</w:t>
            </w:r>
          </w:p>
        </w:tc>
      </w:tr>
      <w:tr w14:paraId="03EE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29D11068">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w:t>
            </w:r>
          </w:p>
        </w:tc>
        <w:tc>
          <w:tcPr>
            <w:tcW w:w="1750" w:type="dxa"/>
            <w:noWrap w:val="0"/>
            <w:vAlign w:val="center"/>
          </w:tcPr>
          <w:p w14:paraId="73373908">
            <w:pPr>
              <w:widowControl/>
              <w:spacing w:line="360" w:lineRule="auto"/>
              <w:jc w:val="center"/>
              <w:rPr>
                <w:rFonts w:hint="eastAsia" w:ascii="宋体" w:hAnsi="宋体" w:eastAsia="宋体" w:cs="宋体"/>
                <w:color w:val="auto"/>
                <w:sz w:val="21"/>
                <w:szCs w:val="20"/>
                <w:highlight w:val="none"/>
                <w:lang w:val="en-US" w:eastAsia="zh-CN"/>
              </w:rPr>
            </w:pPr>
            <w:r>
              <w:rPr>
                <w:rFonts w:hint="eastAsia" w:ascii="宋体" w:hAnsi="宋体" w:eastAsia="宋体" w:cs="宋体"/>
                <w:b/>
                <w:bCs/>
                <w:color w:val="auto"/>
                <w:szCs w:val="21"/>
                <w:highlight w:val="none"/>
              </w:rPr>
              <w:t>商务分</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1分）</w:t>
            </w:r>
          </w:p>
        </w:tc>
        <w:tc>
          <w:tcPr>
            <w:tcW w:w="7217" w:type="dxa"/>
            <w:gridSpan w:val="2"/>
            <w:noWrap w:val="0"/>
            <w:vAlign w:val="center"/>
          </w:tcPr>
          <w:p w14:paraId="35A2C3DB">
            <w:pPr>
              <w:widowControl/>
              <w:spacing w:line="360" w:lineRule="auto"/>
              <w:jc w:val="center"/>
              <w:rPr>
                <w:rFonts w:hint="eastAsia" w:ascii="宋体" w:hAnsi="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评审因素</w:t>
            </w:r>
          </w:p>
        </w:tc>
      </w:tr>
      <w:tr w14:paraId="273F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6557B21A">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rPr>
              <w:t>.1</w:t>
            </w:r>
          </w:p>
        </w:tc>
        <w:tc>
          <w:tcPr>
            <w:tcW w:w="1750" w:type="dxa"/>
            <w:noWrap w:val="0"/>
            <w:vAlign w:val="center"/>
          </w:tcPr>
          <w:p w14:paraId="41254159">
            <w:pPr>
              <w:widowControl/>
              <w:spacing w:line="24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业绩证明</w:t>
            </w:r>
          </w:p>
          <w:p w14:paraId="014AA1CD">
            <w:pPr>
              <w:widowControl/>
              <w:spacing w:line="240" w:lineRule="auto"/>
              <w:jc w:val="center"/>
              <w:rPr>
                <w:rFonts w:hint="eastAsia" w:ascii="宋体" w:hAnsi="宋体" w:eastAsia="宋体" w:cs="宋体"/>
                <w:color w:val="auto"/>
                <w:sz w:val="21"/>
                <w:szCs w:val="20"/>
                <w:highlight w:val="none"/>
                <w:lang w:val="en-US" w:eastAsia="zh-CN"/>
              </w:rPr>
            </w:pP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1</w:t>
            </w:r>
            <w:r>
              <w:rPr>
                <w:rFonts w:hint="eastAsia" w:ascii="宋体" w:hAnsi="宋体" w:eastAsia="宋体" w:cs="宋体"/>
                <w:b/>
                <w:bCs/>
                <w:color w:val="auto"/>
                <w:kern w:val="0"/>
                <w:szCs w:val="21"/>
                <w:highlight w:val="none"/>
              </w:rPr>
              <w:t>分）</w:t>
            </w:r>
          </w:p>
        </w:tc>
        <w:tc>
          <w:tcPr>
            <w:tcW w:w="6517" w:type="dxa"/>
            <w:noWrap w:val="0"/>
            <w:vAlign w:val="center"/>
          </w:tcPr>
          <w:p w14:paraId="55386858">
            <w:pPr>
              <w:pStyle w:val="8"/>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供应商自</w:t>
            </w:r>
            <w:r>
              <w:rPr>
                <w:rFonts w:hint="eastAsia" w:ascii="宋体" w:hAnsi="宋体" w:eastAsia="宋体" w:cs="宋体"/>
                <w:color w:val="auto"/>
                <w:highlight w:val="none"/>
                <w:lang w:val="en-US" w:eastAsia="zh-CN"/>
              </w:rPr>
              <w:t>2024</w:t>
            </w:r>
            <w:r>
              <w:rPr>
                <w:rFonts w:hint="eastAsia" w:ascii="宋体" w:hAnsi="宋体" w:eastAsia="宋体" w:cs="宋体"/>
                <w:color w:val="auto"/>
                <w:highlight w:val="none"/>
              </w:rPr>
              <w:t>年1月1日以来具有与本次采购内容同类或类似项目</w:t>
            </w:r>
            <w:r>
              <w:rPr>
                <w:rFonts w:hint="eastAsia" w:ascii="宋体" w:hAnsi="宋体" w:eastAsia="宋体" w:cs="宋体"/>
                <w:color w:val="auto"/>
                <w:highlight w:val="none"/>
                <w:lang w:val="en-US" w:eastAsia="zh-CN"/>
              </w:rPr>
              <w:t>业绩的</w:t>
            </w:r>
            <w:r>
              <w:rPr>
                <w:rFonts w:hint="eastAsia" w:ascii="宋体" w:hAnsi="宋体" w:eastAsia="宋体" w:cs="宋体"/>
                <w:color w:val="auto"/>
                <w:highlight w:val="none"/>
              </w:rPr>
              <w:t>，每提供1项得</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分，满分</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分。</w:t>
            </w:r>
          </w:p>
          <w:p w14:paraId="20BF43B5">
            <w:pPr>
              <w:pStyle w:val="8"/>
              <w:topLinePunct/>
              <w:adjustRightInd w:val="0"/>
              <w:snapToGrid w:val="0"/>
              <w:spacing w:before="60" w:after="60" w:line="312" w:lineRule="auto"/>
              <w:ind w:firstLine="0" w:firstLineChars="0"/>
              <w:rPr>
                <w:rFonts w:hint="eastAsia" w:ascii="宋体" w:hAnsi="宋体" w:cs="宋体"/>
                <w:color w:val="auto"/>
                <w:szCs w:val="20"/>
                <w:highlight w:val="none"/>
                <w:lang w:val="en-US" w:eastAsia="zh-CN"/>
              </w:rPr>
            </w:pPr>
            <w:r>
              <w:rPr>
                <w:rFonts w:hint="eastAsia" w:ascii="宋体" w:hAnsi="宋体" w:eastAsia="宋体" w:cs="宋体"/>
                <w:color w:val="auto"/>
                <w:highlight w:val="none"/>
                <w:lang w:val="en-US" w:eastAsia="zh-CN"/>
              </w:rPr>
              <w:t>【注：响应文件中要附业绩一览表，并列明采购单位信息及单位地址、联系人、电话等，同时提供采购合同或中标（成交）通知书复印件，未按要求提供材料的不予计分】</w:t>
            </w:r>
          </w:p>
        </w:tc>
        <w:tc>
          <w:tcPr>
            <w:tcW w:w="700" w:type="dxa"/>
            <w:noWrap w:val="0"/>
            <w:vAlign w:val="center"/>
          </w:tcPr>
          <w:p w14:paraId="34802E0B">
            <w:pPr>
              <w:widowControl/>
              <w:jc w:val="center"/>
              <w:rPr>
                <w:rFonts w:hint="eastAsia" w:ascii="宋体" w:hAnsi="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1</w:t>
            </w:r>
            <w:r>
              <w:rPr>
                <w:rFonts w:hint="eastAsia" w:ascii="宋体" w:hAnsi="宋体" w:eastAsia="宋体" w:cs="宋体"/>
                <w:b/>
                <w:bCs/>
                <w:color w:val="auto"/>
                <w:kern w:val="0"/>
                <w:szCs w:val="21"/>
                <w:highlight w:val="none"/>
              </w:rPr>
              <w:t>分</w:t>
            </w:r>
          </w:p>
        </w:tc>
      </w:tr>
      <w:tr w14:paraId="69FAA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4"/>
            <w:noWrap w:val="0"/>
            <w:vAlign w:val="center"/>
          </w:tcPr>
          <w:p w14:paraId="0EF786EF">
            <w:pPr>
              <w:widowControl/>
              <w:spacing w:line="360" w:lineRule="auto"/>
              <w:rPr>
                <w:rFonts w:hint="default" w:ascii="宋体" w:hAnsi="宋体" w:eastAsia="宋体" w:cs="宋体"/>
                <w:b/>
                <w:bCs/>
                <w:color w:val="auto"/>
                <w:kern w:val="0"/>
                <w:szCs w:val="21"/>
                <w:highlight w:val="none"/>
                <w:lang w:val="en-US" w:eastAsia="zh-CN"/>
              </w:rPr>
            </w:pPr>
            <w:r>
              <w:rPr>
                <w:rFonts w:hint="eastAsia" w:ascii="宋体" w:hAnsi="宋体" w:eastAsia="宋体" w:cs="宋体"/>
                <w:b/>
                <w:bCs/>
                <w:color w:val="auto"/>
                <w:highlight w:val="none"/>
              </w:rPr>
              <w:t>总得分＝1＋2</w:t>
            </w:r>
            <w:r>
              <w:rPr>
                <w:rFonts w:hint="eastAsia" w:ascii="宋体" w:hAnsi="宋体" w:cs="宋体"/>
                <w:b/>
                <w:bCs/>
                <w:color w:val="auto"/>
                <w:highlight w:val="none"/>
                <w:lang w:val="en-US" w:eastAsia="zh-CN"/>
              </w:rPr>
              <w:t>+3</w:t>
            </w:r>
          </w:p>
        </w:tc>
      </w:tr>
    </w:tbl>
    <w:p w14:paraId="577E82FF">
      <w:pPr>
        <w:pStyle w:val="5"/>
        <w:rPr>
          <w:rFonts w:hint="eastAsia"/>
        </w:rPr>
      </w:pPr>
    </w:p>
    <w:p w14:paraId="5C5731E8">
      <w:pPr>
        <w:bidi w:val="0"/>
        <w:rPr>
          <w:rFonts w:hint="eastAsia"/>
        </w:rPr>
      </w:pPr>
    </w:p>
    <w:p w14:paraId="15684A78">
      <w:pPr>
        <w:rPr>
          <w:rFonts w:hint="eastAsia" w:ascii="宋体" w:hAnsi="宋体" w:cs="宋体"/>
          <w:bCs/>
          <w:color w:val="auto"/>
          <w:szCs w:val="21"/>
          <w:highlight w:val="none"/>
        </w:rPr>
      </w:pPr>
      <w:r>
        <w:rPr>
          <w:rFonts w:hint="eastAsia" w:ascii="宋体" w:hAnsi="宋体" w:cs="宋体"/>
          <w:bCs/>
          <w:color w:val="auto"/>
          <w:szCs w:val="21"/>
          <w:highlight w:val="none"/>
        </w:rPr>
        <w:br w:type="page"/>
      </w:r>
    </w:p>
    <w:p w14:paraId="20D0F79B">
      <w:pPr>
        <w:pStyle w:val="4"/>
        <w:bidi w:val="0"/>
        <w:rPr>
          <w:rFonts w:hint="eastAsia" w:ascii="宋体" w:hAnsi="宋体" w:cs="宋体"/>
          <w:bCs/>
          <w:color w:val="auto"/>
          <w:szCs w:val="21"/>
          <w:highlight w:val="none"/>
        </w:rPr>
      </w:pPr>
      <w:r>
        <w:rPr>
          <w:rFonts w:hint="eastAsia"/>
          <w:lang w:val="en-US" w:eastAsia="zh-CN"/>
        </w:rPr>
        <w:t>C</w:t>
      </w:r>
      <w:r>
        <w:rPr>
          <w:rFonts w:hint="eastAsia"/>
        </w:rPr>
        <w:t>分标评标标准</w:t>
      </w:r>
    </w:p>
    <w:tbl>
      <w:tblPr>
        <w:tblStyle w:val="20"/>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750"/>
        <w:gridCol w:w="6517"/>
        <w:gridCol w:w="700"/>
      </w:tblGrid>
      <w:tr w14:paraId="6BF3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09D01C54">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750" w:type="dxa"/>
            <w:noWrap w:val="0"/>
            <w:vAlign w:val="center"/>
          </w:tcPr>
          <w:p w14:paraId="1919AEC4">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517" w:type="dxa"/>
            <w:noWrap w:val="0"/>
            <w:vAlign w:val="center"/>
          </w:tcPr>
          <w:p w14:paraId="5934F37C">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700" w:type="dxa"/>
            <w:noWrap w:val="0"/>
            <w:vAlign w:val="center"/>
          </w:tcPr>
          <w:p w14:paraId="2E7F49E6">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2BDE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6599A565">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w:t>
            </w:r>
          </w:p>
        </w:tc>
        <w:tc>
          <w:tcPr>
            <w:tcW w:w="1750" w:type="dxa"/>
            <w:noWrap w:val="0"/>
            <w:vAlign w:val="center"/>
          </w:tcPr>
          <w:p w14:paraId="4EA63F72">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价格分</w:t>
            </w:r>
          </w:p>
          <w:p w14:paraId="2BE79A6F">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szCs w:val="21"/>
                <w:highlight w:val="none"/>
              </w:rPr>
              <w:t>（满分30分）</w:t>
            </w:r>
          </w:p>
        </w:tc>
        <w:tc>
          <w:tcPr>
            <w:tcW w:w="6517" w:type="dxa"/>
            <w:noWrap w:val="0"/>
            <w:vAlign w:val="top"/>
          </w:tcPr>
          <w:p w14:paraId="598EA2DB">
            <w:pPr>
              <w:pStyle w:val="8"/>
              <w:topLinePunct/>
              <w:adjustRightInd w:val="0"/>
              <w:snapToGrid w:val="0"/>
              <w:spacing w:before="60" w:after="60" w:line="312" w:lineRule="auto"/>
              <w:ind w:firstLine="0"/>
              <w:rPr>
                <w:rFonts w:hint="eastAsia" w:ascii="宋体" w:hAnsi="宋体" w:eastAsia="宋体" w:cs="宋体"/>
                <w:b/>
                <w:bCs/>
                <w:color w:val="auto"/>
                <w:highlight w:val="none"/>
              </w:rPr>
            </w:pPr>
            <w:r>
              <w:rPr>
                <w:rFonts w:hint="eastAsia" w:ascii="宋体" w:hAnsi="宋体" w:eastAsia="宋体" w:cs="宋体"/>
                <w:b/>
                <w:bCs/>
                <w:color w:val="auto"/>
                <w:highlight w:val="none"/>
              </w:rPr>
              <w:t>本项目属于专门面向中小企业采购的项目，不再执行价格评审优惠的扶持政策。</w:t>
            </w:r>
          </w:p>
          <w:p w14:paraId="08A903F3">
            <w:pPr>
              <w:pStyle w:val="8"/>
              <w:topLinePunct/>
              <w:adjustRightInd w:val="0"/>
              <w:snapToGrid w:val="0"/>
              <w:spacing w:before="60" w:after="60" w:line="312" w:lineRule="auto"/>
              <w:ind w:firstLine="0"/>
              <w:rPr>
                <w:rFonts w:hint="eastAsia" w:ascii="宋体" w:hAnsi="宋体" w:eastAsia="宋体" w:cs="宋体"/>
                <w:color w:val="auto"/>
                <w:highlight w:val="none"/>
              </w:rPr>
            </w:pPr>
            <w:r>
              <w:rPr>
                <w:rFonts w:hint="eastAsia" w:ascii="宋体" w:hAnsi="宋体" w:eastAsia="宋体" w:cs="宋体"/>
                <w:color w:val="auto"/>
                <w:highlight w:val="none"/>
              </w:rPr>
              <w:t>1.报价分采用低价优先法计算，满足磋商文件要求且评标价最低的有效供应商的评标价为评标基准价，其报价分为满分。</w:t>
            </w:r>
          </w:p>
          <w:p w14:paraId="692B180E">
            <w:pPr>
              <w:pStyle w:val="8"/>
              <w:topLinePunct/>
              <w:adjustRightInd w:val="0"/>
              <w:snapToGrid w:val="0"/>
              <w:spacing w:before="60" w:after="60" w:line="312" w:lineRule="auto"/>
              <w:ind w:firstLine="0"/>
              <w:rPr>
                <w:rFonts w:hint="eastAsia" w:ascii="宋体" w:hAnsi="宋体" w:eastAsia="宋体" w:cs="宋体"/>
                <w:color w:val="auto"/>
                <w:highlight w:val="none"/>
              </w:rPr>
            </w:pPr>
            <w:r>
              <w:rPr>
                <w:rFonts w:hint="eastAsia" w:ascii="宋体" w:hAnsi="宋体" w:eastAsia="宋体" w:cs="宋体"/>
                <w:color w:val="auto"/>
                <w:highlight w:val="none"/>
              </w:rPr>
              <w:t>2.其他供应商的价格分统一按照下列公式计算：某有效供应商的报价分=（评标基准价／某有效供应商评标价）×30分。</w:t>
            </w:r>
          </w:p>
          <w:p w14:paraId="61B80072">
            <w:pPr>
              <w:pStyle w:val="8"/>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备注：磋商小组认为供应商的报价明显低于其他通过符合性审查响应人的报价，有可能影响产品质量或者不能诚信履约的，应当要求其在评标现场合理的时间内提供书面说明，必要时提交相关证明材料；供应商不能证明其报价合理性的，磋商小组应当将其作为无效响应处理。</w:t>
            </w:r>
          </w:p>
        </w:tc>
        <w:tc>
          <w:tcPr>
            <w:tcW w:w="700" w:type="dxa"/>
            <w:noWrap w:val="0"/>
            <w:vAlign w:val="center"/>
          </w:tcPr>
          <w:p w14:paraId="51DB5393">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30分</w:t>
            </w:r>
          </w:p>
        </w:tc>
      </w:tr>
      <w:tr w14:paraId="1AE3C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141B6266">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p>
        </w:tc>
        <w:tc>
          <w:tcPr>
            <w:tcW w:w="1750" w:type="dxa"/>
            <w:noWrap w:val="0"/>
            <w:vAlign w:val="center"/>
          </w:tcPr>
          <w:p w14:paraId="0CD998DD">
            <w:pPr>
              <w:widowControl/>
              <w:spacing w:line="360" w:lineRule="auto"/>
              <w:jc w:val="center"/>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技术分（50分）</w:t>
            </w:r>
          </w:p>
        </w:tc>
        <w:tc>
          <w:tcPr>
            <w:tcW w:w="7217" w:type="dxa"/>
            <w:gridSpan w:val="2"/>
            <w:noWrap w:val="0"/>
            <w:vAlign w:val="top"/>
          </w:tcPr>
          <w:p w14:paraId="0E1F9E5E">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r>
      <w:tr w14:paraId="49DF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7C45631F">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w:t>
            </w:r>
          </w:p>
        </w:tc>
        <w:tc>
          <w:tcPr>
            <w:tcW w:w="1750" w:type="dxa"/>
            <w:noWrap w:val="0"/>
            <w:vAlign w:val="center"/>
          </w:tcPr>
          <w:p w14:paraId="64B3A792">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实施方案</w:t>
            </w:r>
          </w:p>
          <w:p w14:paraId="27603862">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（满分2</w:t>
            </w:r>
            <w:r>
              <w:rPr>
                <w:rFonts w:hint="eastAsia" w:ascii="宋体" w:hAnsi="宋体" w:cs="宋体"/>
                <w:b/>
                <w:bCs/>
                <w:color w:val="auto"/>
                <w:kern w:val="0"/>
                <w:szCs w:val="21"/>
                <w:highlight w:val="none"/>
                <w:lang w:val="en-US" w:eastAsia="zh-CN"/>
              </w:rPr>
              <w:t>2</w:t>
            </w:r>
            <w:r>
              <w:rPr>
                <w:rFonts w:hint="eastAsia" w:ascii="宋体" w:hAnsi="宋体" w:eastAsia="宋体" w:cs="宋体"/>
                <w:b/>
                <w:bCs/>
                <w:color w:val="auto"/>
                <w:kern w:val="0"/>
                <w:szCs w:val="21"/>
                <w:highlight w:val="none"/>
              </w:rPr>
              <w:t>分）</w:t>
            </w:r>
          </w:p>
        </w:tc>
        <w:tc>
          <w:tcPr>
            <w:tcW w:w="6517" w:type="dxa"/>
            <w:noWrap w:val="0"/>
            <w:vAlign w:val="center"/>
          </w:tcPr>
          <w:p w14:paraId="4D0DDBB4">
            <w:pPr>
              <w:spacing w:line="400" w:lineRule="exact"/>
              <w:ind w:firstLine="420" w:firstLineChars="200"/>
              <w:jc w:val="left"/>
              <w:rPr>
                <w:rFonts w:hint="eastAsia" w:ascii="宋体" w:hAnsi="宋体" w:eastAsia="宋体" w:cs="宋体"/>
                <w:color w:val="auto"/>
                <w:szCs w:val="20"/>
                <w:highlight w:val="none"/>
              </w:rPr>
            </w:pPr>
            <w:r>
              <w:rPr>
                <w:rFonts w:hint="eastAsia" w:ascii="宋体" w:hAnsi="宋体" w:eastAsia="宋体" w:cs="宋体"/>
                <w:color w:val="auto"/>
                <w:szCs w:val="20"/>
                <w:highlight w:val="none"/>
              </w:rPr>
              <w:t>一档（</w:t>
            </w:r>
            <w:r>
              <w:rPr>
                <w:rFonts w:hint="eastAsia" w:ascii="宋体" w:hAnsi="宋体" w:eastAsia="宋体" w:cs="宋体"/>
                <w:color w:val="auto"/>
                <w:szCs w:val="20"/>
                <w:highlight w:val="none"/>
                <w:lang w:val="en-US" w:eastAsia="zh-CN"/>
              </w:rPr>
              <w:t>5</w:t>
            </w:r>
            <w:r>
              <w:rPr>
                <w:rFonts w:hint="eastAsia" w:ascii="宋体" w:hAnsi="宋体" w:eastAsia="宋体" w:cs="宋体"/>
                <w:color w:val="auto"/>
                <w:szCs w:val="20"/>
                <w:highlight w:val="none"/>
              </w:rPr>
              <w:t xml:space="preserve">分）：对项目理解合理，技术方案（标准化课程设计与制作）简单，有项目执行组织措施、项目执行保障措施，实施组织方案合理，方案资料简单，基本满足采购文件要求； </w:t>
            </w:r>
          </w:p>
          <w:p w14:paraId="149DD261">
            <w:pPr>
              <w:spacing w:line="400" w:lineRule="exact"/>
              <w:ind w:firstLine="420" w:firstLineChars="200"/>
              <w:jc w:val="left"/>
              <w:rPr>
                <w:rFonts w:hint="eastAsia" w:ascii="宋体" w:hAnsi="宋体" w:eastAsia="宋体" w:cs="宋体"/>
                <w:color w:val="auto"/>
                <w:szCs w:val="20"/>
                <w:highlight w:val="none"/>
              </w:rPr>
            </w:pPr>
            <w:r>
              <w:rPr>
                <w:rFonts w:hint="eastAsia" w:ascii="宋体" w:hAnsi="宋体" w:eastAsia="宋体" w:cs="宋体"/>
                <w:color w:val="auto"/>
                <w:szCs w:val="20"/>
                <w:highlight w:val="none"/>
              </w:rPr>
              <w:t>二档（</w:t>
            </w:r>
            <w:r>
              <w:rPr>
                <w:rFonts w:hint="eastAsia" w:ascii="宋体" w:hAnsi="宋体" w:eastAsia="宋体" w:cs="宋体"/>
                <w:color w:val="auto"/>
                <w:szCs w:val="20"/>
                <w:highlight w:val="none"/>
                <w:lang w:val="en-US" w:eastAsia="zh-CN"/>
              </w:rPr>
              <w:t>15</w:t>
            </w:r>
            <w:r>
              <w:rPr>
                <w:rFonts w:hint="eastAsia" w:ascii="宋体" w:hAnsi="宋体" w:eastAsia="宋体" w:cs="宋体"/>
                <w:color w:val="auto"/>
                <w:szCs w:val="20"/>
                <w:highlight w:val="none"/>
              </w:rPr>
              <w:t xml:space="preserve">分）：对项目理解到位可行，技术方案（标准化课程设计与制作）详细，项目执行组织措施、项目执行保障措施详细可行，方案资料齐全、实施组织方案详细可行，能基本满足项目实施要求； </w:t>
            </w:r>
          </w:p>
          <w:p w14:paraId="4A89D188">
            <w:pPr>
              <w:spacing w:line="400" w:lineRule="exact"/>
              <w:ind w:firstLine="420" w:firstLineChars="200"/>
              <w:jc w:val="left"/>
              <w:rPr>
                <w:rFonts w:hint="eastAsia" w:ascii="宋体" w:hAnsi="宋体" w:eastAsia="宋体" w:cs="宋体"/>
                <w:color w:val="auto"/>
                <w:szCs w:val="20"/>
                <w:highlight w:val="none"/>
              </w:rPr>
            </w:pPr>
            <w:r>
              <w:rPr>
                <w:rFonts w:hint="eastAsia" w:ascii="宋体" w:hAnsi="宋体" w:eastAsia="宋体" w:cs="宋体"/>
                <w:color w:val="auto"/>
                <w:szCs w:val="20"/>
                <w:highlight w:val="none"/>
              </w:rPr>
              <w:t>三档（</w:t>
            </w:r>
            <w:r>
              <w:rPr>
                <w:rFonts w:hint="eastAsia" w:ascii="宋体" w:hAnsi="宋体" w:eastAsia="宋体" w:cs="宋体"/>
                <w:color w:val="auto"/>
                <w:szCs w:val="20"/>
                <w:highlight w:val="none"/>
                <w:lang w:val="en-US" w:eastAsia="zh-CN"/>
              </w:rPr>
              <w:t>2</w:t>
            </w:r>
            <w:r>
              <w:rPr>
                <w:rFonts w:hint="eastAsia" w:ascii="宋体" w:hAnsi="宋体" w:cs="宋体"/>
                <w:color w:val="auto"/>
                <w:szCs w:val="20"/>
                <w:highlight w:val="none"/>
                <w:lang w:val="en-US" w:eastAsia="zh-CN"/>
              </w:rPr>
              <w:t>2</w:t>
            </w:r>
            <w:r>
              <w:rPr>
                <w:rFonts w:hint="eastAsia" w:ascii="宋体" w:hAnsi="宋体" w:eastAsia="宋体" w:cs="宋体"/>
                <w:color w:val="auto"/>
                <w:szCs w:val="20"/>
                <w:highlight w:val="none"/>
              </w:rPr>
              <w:t>分）：对项目理解到位可靠，技术方案（标准化课程设 计与制作）详细有针对性，组织机构健全，有项目组织机构图，详细说明各个阶段工作安排及实施进度，实施人员配备完备，项目执行组织措施、项目执行保障措施详细可行，熟悉项目流程及业务，方案资料齐全、实施组织方案完善，具有针对性。</w:t>
            </w:r>
          </w:p>
          <w:p w14:paraId="00A1290F">
            <w:pPr>
              <w:spacing w:line="400" w:lineRule="exact"/>
              <w:ind w:firstLine="420" w:firstLineChars="200"/>
              <w:jc w:val="left"/>
              <w:rPr>
                <w:rFonts w:hint="eastAsia" w:ascii="宋体" w:hAnsi="宋体" w:eastAsia="宋体" w:cs="宋体"/>
                <w:color w:val="auto"/>
                <w:szCs w:val="20"/>
                <w:highlight w:val="none"/>
                <w:lang w:val="en-US" w:eastAsia="zh-CN"/>
              </w:rPr>
            </w:pPr>
            <w:r>
              <w:rPr>
                <w:rFonts w:hint="eastAsia" w:ascii="宋体" w:hAnsi="宋体" w:eastAsia="宋体" w:cs="宋体"/>
                <w:color w:val="auto"/>
                <w:szCs w:val="20"/>
                <w:highlight w:val="none"/>
              </w:rPr>
              <w:t>备注：未提供本项内容的，得 0 分。</w:t>
            </w:r>
          </w:p>
        </w:tc>
        <w:tc>
          <w:tcPr>
            <w:tcW w:w="700" w:type="dxa"/>
            <w:noWrap w:val="0"/>
            <w:vAlign w:val="center"/>
          </w:tcPr>
          <w:p w14:paraId="2B9F352F">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r>
              <w:rPr>
                <w:rFonts w:hint="eastAsia" w:ascii="宋体" w:hAnsi="宋体" w:cs="宋体"/>
                <w:b/>
                <w:bCs/>
                <w:color w:val="auto"/>
                <w:kern w:val="0"/>
                <w:szCs w:val="21"/>
                <w:highlight w:val="none"/>
                <w:lang w:val="en-US" w:eastAsia="zh-CN"/>
              </w:rPr>
              <w:t>2</w:t>
            </w:r>
            <w:r>
              <w:rPr>
                <w:rFonts w:hint="eastAsia" w:ascii="宋体" w:hAnsi="宋体" w:eastAsia="宋体" w:cs="宋体"/>
                <w:b/>
                <w:bCs/>
                <w:color w:val="auto"/>
                <w:kern w:val="0"/>
                <w:szCs w:val="21"/>
                <w:highlight w:val="none"/>
              </w:rPr>
              <w:t>分</w:t>
            </w:r>
          </w:p>
        </w:tc>
      </w:tr>
      <w:tr w14:paraId="21F1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0762AE09">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w:t>
            </w:r>
          </w:p>
        </w:tc>
        <w:tc>
          <w:tcPr>
            <w:tcW w:w="1750" w:type="dxa"/>
            <w:noWrap w:val="0"/>
            <w:vAlign w:val="center"/>
          </w:tcPr>
          <w:p w14:paraId="54B1A69F">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售后服务</w:t>
            </w:r>
          </w:p>
          <w:p w14:paraId="1E04CEED">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16</w:t>
            </w:r>
            <w:r>
              <w:rPr>
                <w:rFonts w:hint="eastAsia" w:ascii="宋体" w:hAnsi="宋体" w:eastAsia="宋体" w:cs="宋体"/>
                <w:b/>
                <w:bCs/>
                <w:color w:val="auto"/>
                <w:kern w:val="0"/>
                <w:szCs w:val="21"/>
                <w:highlight w:val="none"/>
              </w:rPr>
              <w:t>分）</w:t>
            </w:r>
          </w:p>
        </w:tc>
        <w:tc>
          <w:tcPr>
            <w:tcW w:w="6517" w:type="dxa"/>
            <w:noWrap w:val="0"/>
            <w:vAlign w:val="center"/>
          </w:tcPr>
          <w:p w14:paraId="14B9BEA5">
            <w:pPr>
              <w:numPr>
                <w:ilvl w:val="0"/>
                <w:numId w:val="0"/>
              </w:numPr>
              <w:spacing w:line="400" w:lineRule="exact"/>
              <w:ind w:firstLine="420" w:firstLineChars="200"/>
              <w:jc w:val="left"/>
              <w:rPr>
                <w:rFonts w:hint="eastAsia" w:ascii="宋体" w:hAnsi="宋体" w:eastAsia="宋体" w:cs="宋体"/>
                <w:color w:val="auto"/>
                <w:szCs w:val="20"/>
                <w:highlight w:val="none"/>
              </w:rPr>
            </w:pPr>
            <w:r>
              <w:rPr>
                <w:rFonts w:hint="eastAsia" w:ascii="宋体" w:hAnsi="宋体" w:eastAsia="宋体" w:cs="宋体"/>
                <w:color w:val="auto"/>
                <w:szCs w:val="20"/>
                <w:highlight w:val="none"/>
              </w:rPr>
              <w:t>（1）售后服务方案（</w:t>
            </w:r>
            <w:r>
              <w:rPr>
                <w:rFonts w:hint="eastAsia" w:ascii="宋体" w:hAnsi="宋体" w:cs="宋体"/>
                <w:color w:val="auto"/>
                <w:szCs w:val="20"/>
                <w:highlight w:val="none"/>
                <w:lang w:val="en-US" w:eastAsia="zh-CN"/>
              </w:rPr>
              <w:t>16</w:t>
            </w:r>
            <w:r>
              <w:rPr>
                <w:rFonts w:hint="eastAsia" w:ascii="宋体" w:hAnsi="宋体" w:eastAsia="宋体" w:cs="宋体"/>
                <w:color w:val="auto"/>
                <w:szCs w:val="20"/>
                <w:highlight w:val="none"/>
              </w:rPr>
              <w:t xml:space="preserve">分） </w:t>
            </w:r>
          </w:p>
          <w:p w14:paraId="35C788C1">
            <w:pPr>
              <w:numPr>
                <w:ilvl w:val="0"/>
                <w:numId w:val="0"/>
              </w:numPr>
              <w:spacing w:line="400" w:lineRule="exact"/>
              <w:ind w:firstLine="420" w:firstLineChars="200"/>
              <w:jc w:val="left"/>
              <w:rPr>
                <w:rFonts w:hint="eastAsia" w:ascii="宋体" w:hAnsi="宋体" w:eastAsia="宋体" w:cs="宋体"/>
                <w:color w:val="auto"/>
                <w:szCs w:val="20"/>
                <w:highlight w:val="none"/>
              </w:rPr>
            </w:pPr>
            <w:r>
              <w:rPr>
                <w:rFonts w:hint="eastAsia" w:ascii="宋体" w:hAnsi="宋体" w:eastAsia="宋体" w:cs="宋体"/>
                <w:color w:val="auto"/>
                <w:szCs w:val="20"/>
                <w:highlight w:val="none"/>
              </w:rPr>
              <w:t xml:space="preserve">一档（5分）：供应商所提供的售后服务承诺方案，方案包含有项目培训方案和应急保障方案，对项目异常问题有解决方案，方案具备可行性，响应时间不高于7小时。 </w:t>
            </w:r>
          </w:p>
          <w:p w14:paraId="6CA5CFAA">
            <w:pPr>
              <w:numPr>
                <w:ilvl w:val="0"/>
                <w:numId w:val="0"/>
              </w:numPr>
              <w:spacing w:line="400" w:lineRule="exact"/>
              <w:ind w:firstLine="420" w:firstLineChars="200"/>
              <w:jc w:val="left"/>
              <w:rPr>
                <w:rFonts w:hint="eastAsia" w:ascii="宋体" w:hAnsi="宋体" w:eastAsia="宋体" w:cs="宋体"/>
                <w:color w:val="auto"/>
                <w:szCs w:val="20"/>
                <w:highlight w:val="none"/>
              </w:rPr>
            </w:pPr>
            <w:r>
              <w:rPr>
                <w:rFonts w:hint="eastAsia" w:ascii="宋体" w:hAnsi="宋体" w:eastAsia="宋体" w:cs="宋体"/>
                <w:color w:val="auto"/>
                <w:szCs w:val="20"/>
                <w:highlight w:val="none"/>
              </w:rPr>
              <w:t>二档（1</w:t>
            </w:r>
            <w:r>
              <w:rPr>
                <w:rFonts w:hint="eastAsia" w:ascii="宋体" w:hAnsi="宋体" w:cs="宋体"/>
                <w:color w:val="auto"/>
                <w:szCs w:val="20"/>
                <w:highlight w:val="none"/>
                <w:lang w:val="en-US" w:eastAsia="zh-CN"/>
              </w:rPr>
              <w:t>0</w:t>
            </w:r>
            <w:r>
              <w:rPr>
                <w:rFonts w:hint="eastAsia" w:ascii="宋体" w:hAnsi="宋体" w:eastAsia="宋体" w:cs="宋体"/>
                <w:color w:val="auto"/>
                <w:szCs w:val="20"/>
                <w:highlight w:val="none"/>
              </w:rPr>
              <w:t xml:space="preserve">分）：供应商所提供的售后服务承诺方案，方案包含有项目培训、应急保障方案、保密承诺及廉洁承诺等，且描述了项目售后维护和应急保障方案的方法以及实现方式，方案具备可行性。配备专门的售后团队，有简单的人员安排，响应时间不高于6小时。 </w:t>
            </w:r>
          </w:p>
          <w:p w14:paraId="6CD8AC85">
            <w:pPr>
              <w:numPr>
                <w:ilvl w:val="0"/>
                <w:numId w:val="0"/>
              </w:numPr>
              <w:spacing w:line="400" w:lineRule="exact"/>
              <w:ind w:firstLine="420" w:firstLineChars="200"/>
              <w:jc w:val="left"/>
              <w:rPr>
                <w:rFonts w:hint="eastAsia" w:ascii="宋体" w:hAnsi="宋体" w:eastAsia="宋体" w:cs="宋体"/>
                <w:color w:val="auto"/>
                <w:szCs w:val="20"/>
                <w:highlight w:val="none"/>
              </w:rPr>
            </w:pPr>
            <w:r>
              <w:rPr>
                <w:rFonts w:hint="eastAsia" w:ascii="宋体" w:hAnsi="宋体" w:eastAsia="宋体" w:cs="宋体"/>
                <w:color w:val="auto"/>
                <w:szCs w:val="20"/>
                <w:highlight w:val="none"/>
              </w:rPr>
              <w:t>三档（</w:t>
            </w:r>
            <w:r>
              <w:rPr>
                <w:rFonts w:hint="eastAsia" w:ascii="宋体" w:hAnsi="宋体" w:cs="宋体"/>
                <w:color w:val="auto"/>
                <w:szCs w:val="20"/>
                <w:highlight w:val="none"/>
                <w:lang w:val="en-US" w:eastAsia="zh-CN"/>
              </w:rPr>
              <w:t>16</w:t>
            </w:r>
            <w:r>
              <w:rPr>
                <w:rFonts w:hint="eastAsia" w:ascii="宋体" w:hAnsi="宋体" w:eastAsia="宋体" w:cs="宋体"/>
                <w:color w:val="auto"/>
                <w:szCs w:val="20"/>
                <w:highlight w:val="none"/>
              </w:rPr>
              <w:t xml:space="preserve">分）：供应商所提供的售后服务承诺方案，并针对本项目提供专门的售后服务技术支持、服务保障方案及应急预案、保密承诺及廉洁承诺，根据本项目实际情况制定项目售后维护和应急保障方案的方法以及实现方式，方案合理。配备专门的售后团队，人员安排考虑周全，能保证项目后期进展顺利，响应时间不高于3小时。 </w:t>
            </w:r>
          </w:p>
          <w:p w14:paraId="6B917D13">
            <w:pPr>
              <w:numPr>
                <w:ilvl w:val="0"/>
                <w:numId w:val="0"/>
              </w:numPr>
              <w:spacing w:line="400" w:lineRule="exact"/>
              <w:ind w:left="0" w:leftChars="0" w:firstLine="0" w:firstLineChars="0"/>
              <w:jc w:val="both"/>
              <w:rPr>
                <w:rFonts w:hint="eastAsia" w:ascii="宋体" w:hAnsi="宋体" w:eastAsia="宋体" w:cs="宋体"/>
                <w:color w:val="auto"/>
                <w:sz w:val="21"/>
                <w:szCs w:val="20"/>
                <w:highlight w:val="none"/>
              </w:rPr>
            </w:pPr>
            <w:r>
              <w:rPr>
                <w:rFonts w:hint="eastAsia" w:ascii="宋体" w:hAnsi="宋体" w:eastAsia="宋体" w:cs="宋体"/>
                <w:color w:val="auto"/>
                <w:szCs w:val="20"/>
                <w:highlight w:val="none"/>
              </w:rPr>
              <w:t>备注：未提供本项内容的，得 0 分。</w:t>
            </w:r>
          </w:p>
        </w:tc>
        <w:tc>
          <w:tcPr>
            <w:tcW w:w="700" w:type="dxa"/>
            <w:noWrap w:val="0"/>
            <w:vAlign w:val="center"/>
          </w:tcPr>
          <w:p w14:paraId="624C3C1A">
            <w:pPr>
              <w:spacing w:line="360" w:lineRule="auto"/>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val="en-US" w:eastAsia="zh-CN"/>
              </w:rPr>
              <w:t>16</w:t>
            </w:r>
            <w:r>
              <w:rPr>
                <w:rFonts w:hint="eastAsia" w:ascii="宋体" w:hAnsi="宋体" w:eastAsia="宋体" w:cs="宋体"/>
                <w:b/>
                <w:bCs/>
                <w:color w:val="auto"/>
                <w:kern w:val="0"/>
                <w:szCs w:val="21"/>
                <w:highlight w:val="none"/>
              </w:rPr>
              <w:t>分</w:t>
            </w:r>
          </w:p>
        </w:tc>
      </w:tr>
      <w:tr w14:paraId="3E77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4D676128">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2.3</w:t>
            </w:r>
          </w:p>
        </w:tc>
        <w:tc>
          <w:tcPr>
            <w:tcW w:w="1750" w:type="dxa"/>
            <w:noWrap w:val="0"/>
            <w:vAlign w:val="center"/>
          </w:tcPr>
          <w:p w14:paraId="69D618BB">
            <w:pPr>
              <w:widowControl/>
              <w:spacing w:line="360" w:lineRule="auto"/>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项目实施团队成员配置</w:t>
            </w:r>
          </w:p>
          <w:p w14:paraId="744467B4">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（满分1</w:t>
            </w:r>
            <w:r>
              <w:rPr>
                <w:rFonts w:hint="eastAsia" w:ascii="宋体" w:hAnsi="宋体" w:cs="宋体"/>
                <w:b/>
                <w:bCs/>
                <w:color w:val="auto"/>
                <w:kern w:val="0"/>
                <w:szCs w:val="21"/>
                <w:highlight w:val="none"/>
                <w:lang w:val="en-US" w:eastAsia="zh-CN"/>
              </w:rPr>
              <w:t>2</w:t>
            </w:r>
            <w:r>
              <w:rPr>
                <w:rFonts w:hint="eastAsia" w:ascii="宋体" w:hAnsi="宋体" w:eastAsia="宋体" w:cs="宋体"/>
                <w:b/>
                <w:bCs/>
                <w:color w:val="auto"/>
                <w:kern w:val="0"/>
                <w:szCs w:val="21"/>
                <w:highlight w:val="none"/>
              </w:rPr>
              <w:t>分）</w:t>
            </w:r>
          </w:p>
        </w:tc>
        <w:tc>
          <w:tcPr>
            <w:tcW w:w="6517" w:type="dxa"/>
            <w:noWrap w:val="0"/>
            <w:vAlign w:val="center"/>
          </w:tcPr>
          <w:p w14:paraId="6CE4FFD7">
            <w:pPr>
              <w:spacing w:line="39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供应商提供项目实施人员一览表，其中：</w:t>
            </w:r>
          </w:p>
          <w:p w14:paraId="34BBD126">
            <w:pPr>
              <w:spacing w:line="390" w:lineRule="exact"/>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（1）供应商需提供副高或正高职称的项目负责人1人，响应文件中提供职称证明复印件（需和人员一览表对应），得3分，满分3分；</w:t>
            </w:r>
          </w:p>
          <w:p w14:paraId="765C99F5">
            <w:pPr>
              <w:spacing w:line="390" w:lineRule="exact"/>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rPr>
              <w:t>（2）投标人需提供中级职称或以上职称的编校人员5人，响应文件中提供职称证明复印件（需和人员一览表对应），每份得1分，满分5分；</w:t>
            </w:r>
          </w:p>
          <w:p w14:paraId="24EB3983">
            <w:pPr>
              <w:spacing w:line="400" w:lineRule="exact"/>
              <w:ind w:firstLine="420" w:firstLineChars="200"/>
              <w:jc w:val="left"/>
              <w:rPr>
                <w:rFonts w:hint="eastAsia" w:ascii="宋体" w:hAnsi="宋体" w:eastAsia="宋体" w:cs="宋体"/>
                <w:color w:val="auto"/>
                <w:sz w:val="21"/>
                <w:szCs w:val="20"/>
                <w:highlight w:val="none"/>
              </w:rPr>
            </w:pPr>
            <w:r>
              <w:rPr>
                <w:rFonts w:hint="eastAsia" w:ascii="宋体" w:hAnsi="宋体" w:eastAsia="宋体" w:cs="宋体"/>
                <w:color w:val="auto"/>
                <w:szCs w:val="20"/>
                <w:highlight w:val="none"/>
              </w:rPr>
              <w:t>（2）实施团队人员具有编辑出版图书的经验（提供已出版图书的相关证明材料复印件），按册数计算，每册计2分，满分</w:t>
            </w:r>
            <w:r>
              <w:rPr>
                <w:rFonts w:hint="eastAsia" w:ascii="宋体" w:hAnsi="宋体" w:cs="宋体"/>
                <w:color w:val="auto"/>
                <w:szCs w:val="20"/>
                <w:highlight w:val="none"/>
                <w:lang w:val="en-US" w:eastAsia="zh-CN"/>
              </w:rPr>
              <w:t>4</w:t>
            </w:r>
            <w:r>
              <w:rPr>
                <w:rFonts w:hint="eastAsia" w:ascii="宋体" w:hAnsi="宋体" w:eastAsia="宋体" w:cs="宋体"/>
                <w:color w:val="auto"/>
                <w:szCs w:val="20"/>
                <w:highlight w:val="none"/>
              </w:rPr>
              <w:t>分。</w:t>
            </w:r>
          </w:p>
        </w:tc>
        <w:tc>
          <w:tcPr>
            <w:tcW w:w="700" w:type="dxa"/>
            <w:noWrap w:val="0"/>
            <w:vAlign w:val="center"/>
          </w:tcPr>
          <w:p w14:paraId="64B67938">
            <w:pPr>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w:t>
            </w:r>
            <w:r>
              <w:rPr>
                <w:rFonts w:hint="eastAsia" w:ascii="宋体" w:hAnsi="宋体" w:cs="宋体"/>
                <w:b/>
                <w:bCs/>
                <w:color w:val="auto"/>
                <w:kern w:val="0"/>
                <w:szCs w:val="21"/>
                <w:highlight w:val="none"/>
                <w:lang w:val="en-US" w:eastAsia="zh-CN"/>
              </w:rPr>
              <w:t>2</w:t>
            </w:r>
            <w:r>
              <w:rPr>
                <w:rFonts w:hint="eastAsia" w:ascii="宋体" w:hAnsi="宋体" w:eastAsia="宋体" w:cs="宋体"/>
                <w:b/>
                <w:bCs/>
                <w:color w:val="auto"/>
                <w:kern w:val="0"/>
                <w:szCs w:val="21"/>
                <w:highlight w:val="none"/>
              </w:rPr>
              <w:t>分</w:t>
            </w:r>
          </w:p>
        </w:tc>
      </w:tr>
      <w:tr w14:paraId="0B4A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30A889C0">
            <w:pPr>
              <w:widowControl/>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rPr>
              <w:t>3</w:t>
            </w:r>
          </w:p>
        </w:tc>
        <w:tc>
          <w:tcPr>
            <w:tcW w:w="1750" w:type="dxa"/>
            <w:noWrap w:val="0"/>
            <w:vAlign w:val="center"/>
          </w:tcPr>
          <w:p w14:paraId="0FDEBCA6">
            <w:pPr>
              <w:widowControl/>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rPr>
              <w:t>商务分</w:t>
            </w:r>
          </w:p>
        </w:tc>
        <w:tc>
          <w:tcPr>
            <w:tcW w:w="7217" w:type="dxa"/>
            <w:gridSpan w:val="2"/>
            <w:noWrap w:val="0"/>
            <w:vAlign w:val="center"/>
          </w:tcPr>
          <w:p w14:paraId="0DC9580A">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r>
      <w:tr w14:paraId="6935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746044A1">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3.1</w:t>
            </w:r>
          </w:p>
        </w:tc>
        <w:tc>
          <w:tcPr>
            <w:tcW w:w="1750" w:type="dxa"/>
            <w:vMerge w:val="restart"/>
            <w:noWrap w:val="0"/>
            <w:vAlign w:val="center"/>
          </w:tcPr>
          <w:p w14:paraId="18386662">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商务分</w:t>
            </w:r>
          </w:p>
          <w:p w14:paraId="6848A75C">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（满分20分）</w:t>
            </w:r>
          </w:p>
        </w:tc>
        <w:tc>
          <w:tcPr>
            <w:tcW w:w="6517" w:type="dxa"/>
            <w:noWrap w:val="0"/>
            <w:vAlign w:val="center"/>
          </w:tcPr>
          <w:p w14:paraId="33CCF4CB">
            <w:pPr>
              <w:pStyle w:val="8"/>
              <w:topLinePunct/>
              <w:adjustRightInd w:val="0"/>
              <w:snapToGrid w:val="0"/>
              <w:spacing w:before="60" w:after="60" w:line="312" w:lineRule="auto"/>
              <w:ind w:firstLine="0"/>
              <w:rPr>
                <w:rFonts w:hint="eastAsia" w:ascii="宋体" w:hAnsi="宋体" w:eastAsia="宋体" w:cs="宋体"/>
                <w:color w:val="auto"/>
                <w:highlight w:val="none"/>
              </w:rPr>
            </w:pPr>
            <w:r>
              <w:rPr>
                <w:rFonts w:hint="eastAsia" w:ascii="宋体" w:hAnsi="宋体" w:eastAsia="宋体" w:cs="宋体"/>
                <w:color w:val="auto"/>
                <w:highlight w:val="none"/>
              </w:rPr>
              <w:t>供应商自2023年1月1日以来具有与本次采购内容同类或类似项目业绩的，每提供1项得2分，满分10分。</w:t>
            </w:r>
          </w:p>
          <w:p w14:paraId="6736D1BE">
            <w:pPr>
              <w:pStyle w:val="8"/>
              <w:topLinePunct/>
              <w:adjustRightInd w:val="0"/>
              <w:snapToGrid w:val="0"/>
              <w:spacing w:before="60" w:after="60" w:line="312" w:lineRule="auto"/>
              <w:ind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【注：响应文件中要附业绩一览表，并列明采购单位信息及单位地址、联系人、电话等，同时提供采购合同或中标（成交）通知书复印件，未按要求提供材料的不予计分】</w:t>
            </w:r>
          </w:p>
        </w:tc>
        <w:tc>
          <w:tcPr>
            <w:tcW w:w="700" w:type="dxa"/>
            <w:noWrap w:val="0"/>
            <w:vAlign w:val="center"/>
          </w:tcPr>
          <w:p w14:paraId="18D0ACD0">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10分</w:t>
            </w:r>
          </w:p>
        </w:tc>
      </w:tr>
      <w:tr w14:paraId="2F4D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0D1E263F">
            <w:pPr>
              <w:widowControl/>
              <w:spacing w:line="360" w:lineRule="auto"/>
              <w:jc w:val="center"/>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3.2</w:t>
            </w:r>
          </w:p>
        </w:tc>
        <w:tc>
          <w:tcPr>
            <w:tcW w:w="1750" w:type="dxa"/>
            <w:vMerge w:val="continue"/>
            <w:noWrap w:val="0"/>
            <w:vAlign w:val="center"/>
          </w:tcPr>
          <w:p w14:paraId="0BEABB4E">
            <w:pPr>
              <w:widowControl/>
              <w:jc w:val="center"/>
              <w:rPr>
                <w:rFonts w:hint="eastAsia" w:ascii="宋体" w:hAnsi="宋体" w:eastAsia="宋体" w:cs="宋体"/>
                <w:b/>
                <w:bCs/>
                <w:color w:val="auto"/>
                <w:kern w:val="0"/>
                <w:szCs w:val="21"/>
                <w:highlight w:val="none"/>
              </w:rPr>
            </w:pPr>
          </w:p>
        </w:tc>
        <w:tc>
          <w:tcPr>
            <w:tcW w:w="6517" w:type="dxa"/>
            <w:noWrap w:val="0"/>
            <w:vAlign w:val="center"/>
          </w:tcPr>
          <w:p w14:paraId="33D6E499">
            <w:pPr>
              <w:pStyle w:val="8"/>
              <w:topLinePunct/>
              <w:adjustRightInd w:val="0"/>
              <w:snapToGrid w:val="0"/>
              <w:spacing w:before="60" w:after="60" w:line="312" w:lineRule="auto"/>
              <w:ind w:left="0" w:leftChars="0" w:firstLine="0" w:firstLineChars="0"/>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highlight w:val="none"/>
              </w:rPr>
              <w:t>供应商具备教材研发能力，出版过与本次采购内容相关的图书，出版1本得2分，满分6分。（至少包含合同签订双方名称、采购内容、合同金额、双方盖章，需提供封面页及图书版号。</w:t>
            </w:r>
          </w:p>
        </w:tc>
        <w:tc>
          <w:tcPr>
            <w:tcW w:w="700" w:type="dxa"/>
            <w:noWrap w:val="0"/>
            <w:vAlign w:val="center"/>
          </w:tcPr>
          <w:p w14:paraId="2CCC0EFC">
            <w:pPr>
              <w:widowControl/>
              <w:jc w:val="center"/>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6分</w:t>
            </w:r>
          </w:p>
        </w:tc>
      </w:tr>
      <w:tr w14:paraId="3BCE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751C7BB7">
            <w:pPr>
              <w:widowControl/>
              <w:spacing w:line="360" w:lineRule="auto"/>
              <w:jc w:val="center"/>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3.3</w:t>
            </w:r>
          </w:p>
        </w:tc>
        <w:tc>
          <w:tcPr>
            <w:tcW w:w="1750" w:type="dxa"/>
            <w:vMerge w:val="continue"/>
            <w:noWrap w:val="0"/>
            <w:vAlign w:val="center"/>
          </w:tcPr>
          <w:p w14:paraId="2785F71C">
            <w:pPr>
              <w:widowControl/>
              <w:jc w:val="center"/>
              <w:rPr>
                <w:rFonts w:hint="eastAsia" w:ascii="宋体" w:hAnsi="宋体" w:eastAsia="宋体" w:cs="宋体"/>
                <w:b/>
                <w:bCs/>
                <w:color w:val="auto"/>
                <w:kern w:val="0"/>
                <w:szCs w:val="21"/>
                <w:highlight w:val="none"/>
                <w:lang w:eastAsia="zh-CN"/>
              </w:rPr>
            </w:pPr>
          </w:p>
        </w:tc>
        <w:tc>
          <w:tcPr>
            <w:tcW w:w="6517" w:type="dxa"/>
            <w:noWrap w:val="0"/>
            <w:vAlign w:val="center"/>
          </w:tcPr>
          <w:p w14:paraId="24F54F76">
            <w:pPr>
              <w:snapToGrid w:val="0"/>
              <w:spacing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highlight w:val="none"/>
              </w:rPr>
              <w:t>供应商</w:t>
            </w:r>
            <w:r>
              <w:rPr>
                <w:rFonts w:hint="eastAsia" w:ascii="宋体" w:hAnsi="宋体" w:eastAsia="宋体" w:cs="宋体"/>
                <w:color w:val="auto"/>
                <w:szCs w:val="21"/>
                <w:highlight w:val="none"/>
              </w:rPr>
              <w:t>出版的图书获得国家级行政主管部门奖项每个得1分，满分4分。</w:t>
            </w:r>
            <w:r>
              <w:rPr>
                <w:rFonts w:hint="eastAsia" w:ascii="宋体" w:hAnsi="宋体" w:eastAsia="宋体" w:cs="宋体"/>
                <w:bCs/>
                <w:color w:val="auto"/>
                <w:szCs w:val="21"/>
                <w:highlight w:val="none"/>
              </w:rPr>
              <w:t>未提供证明材料，或提供的证明材料不全，该项不予计分。</w:t>
            </w:r>
          </w:p>
          <w:p w14:paraId="3C92EE55">
            <w:pPr>
              <w:pStyle w:val="8"/>
              <w:topLinePunct/>
              <w:adjustRightInd w:val="0"/>
              <w:snapToGrid w:val="0"/>
              <w:spacing w:before="60" w:after="60" w:line="312" w:lineRule="auto"/>
              <w:ind w:firstLine="0" w:firstLineChars="0"/>
              <w:rPr>
                <w:rFonts w:hint="eastAsia" w:ascii="宋体" w:hAnsi="宋体" w:eastAsia="宋体" w:cs="宋体"/>
                <w:color w:val="auto"/>
                <w:kern w:val="2"/>
                <w:sz w:val="21"/>
                <w:szCs w:val="20"/>
                <w:highlight w:val="none"/>
                <w:lang w:val="en-US" w:eastAsia="zh-CN" w:bidi="ar-SA"/>
              </w:rPr>
            </w:pPr>
          </w:p>
        </w:tc>
        <w:tc>
          <w:tcPr>
            <w:tcW w:w="700" w:type="dxa"/>
            <w:noWrap w:val="0"/>
            <w:vAlign w:val="center"/>
          </w:tcPr>
          <w:p w14:paraId="20DFBBB8">
            <w:pPr>
              <w:widowControl/>
              <w:jc w:val="center"/>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rPr>
              <w:t>4分</w:t>
            </w:r>
          </w:p>
        </w:tc>
      </w:tr>
      <w:tr w14:paraId="08C3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4"/>
            <w:noWrap w:val="0"/>
            <w:vAlign w:val="center"/>
          </w:tcPr>
          <w:p w14:paraId="3DD12E78">
            <w:pPr>
              <w:widowControl/>
              <w:spacing w:line="360" w:lineRule="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highlight w:val="none"/>
              </w:rPr>
              <w:t>总得分＝1＋2＋3</w:t>
            </w:r>
          </w:p>
        </w:tc>
      </w:tr>
    </w:tbl>
    <w:p w14:paraId="1202C861">
      <w:pPr>
        <w:bidi w:val="0"/>
        <w:rPr>
          <w:rFonts w:hint="eastAsia"/>
        </w:rPr>
      </w:pPr>
    </w:p>
    <w:p w14:paraId="51F0A3E1">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7.评审小组按照评审得分由高到低顺序推荐3名以上成交候选供应商，总得分相同时，按照最后报价由低到高的顺序排列。总得分且最后报价相同的，按照技术指标优劣顺序排列。排名第一的成交候选人拒绝签订采购合同的，采购人可以确定排名第二的成交候选人为成交人。排名第二的成交候选人因前款规定的同样原因不能签订合同的，采购人可以确定排名第三的成交候选人为成交人。采购人也可以重新组织采购。</w:t>
      </w:r>
    </w:p>
    <w:p w14:paraId="7831B321">
      <w:pPr>
        <w:keepNext/>
        <w:keepLines/>
        <w:spacing w:line="360" w:lineRule="auto"/>
        <w:ind w:firstLine="643" w:firstLineChars="200"/>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t>三、评审过程的保密与录像</w:t>
      </w:r>
    </w:p>
    <w:p w14:paraId="6DB68833">
      <w:pPr>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1.保密。</w:t>
      </w:r>
    </w:p>
    <w:p w14:paraId="463A6E73">
      <w:pPr>
        <w:widowControl/>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65CF892E">
      <w:pPr>
        <w:widowControl/>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2.录音录像。</w:t>
      </w:r>
    </w:p>
    <w:p w14:paraId="722A69FA">
      <w:pPr>
        <w:widowControl/>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采购代理机构对评审工作现场及操作屏幕进行全过程录音录像，录音录像资料作为采购项目文件随其他文件一并存档。</w:t>
      </w:r>
    </w:p>
    <w:p w14:paraId="338C0A46">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br w:type="page"/>
      </w:r>
    </w:p>
    <w:p w14:paraId="7966B19E">
      <w:pPr>
        <w:rPr>
          <w:rFonts w:hint="eastAsia" w:ascii="宋体" w:hAnsi="宋体" w:cs="宋体"/>
          <w:color w:val="auto"/>
          <w:highlight w:val="none"/>
        </w:rPr>
      </w:pPr>
    </w:p>
    <w:p w14:paraId="3C6FEFAA">
      <w:pPr>
        <w:pStyle w:val="2"/>
        <w:jc w:val="center"/>
        <w:rPr>
          <w:rFonts w:hint="eastAsia" w:ascii="宋体" w:hAnsi="宋体" w:cs="宋体"/>
          <w:color w:val="auto"/>
          <w:highlight w:val="none"/>
        </w:rPr>
      </w:pPr>
      <w:bookmarkStart w:id="88" w:name="_Toc14749"/>
      <w:bookmarkStart w:id="89" w:name="_Toc13572"/>
      <w:bookmarkStart w:id="90" w:name="_Toc74323460"/>
      <w:r>
        <w:rPr>
          <w:rFonts w:hint="eastAsia" w:ascii="宋体" w:hAnsi="宋体" w:cs="宋体"/>
          <w:color w:val="auto"/>
          <w:highlight w:val="none"/>
        </w:rPr>
        <w:t>第五章 响应文件格式</w:t>
      </w:r>
      <w:bookmarkEnd w:id="88"/>
      <w:bookmarkEnd w:id="89"/>
      <w:bookmarkEnd w:id="90"/>
    </w:p>
    <w:p w14:paraId="02520B54">
      <w:pPr>
        <w:rPr>
          <w:rFonts w:hint="eastAsia" w:ascii="宋体" w:hAnsi="宋体" w:cs="宋体"/>
          <w:b/>
          <w:color w:val="auto"/>
          <w:sz w:val="32"/>
          <w:szCs w:val="32"/>
          <w:highlight w:val="none"/>
        </w:rPr>
      </w:pPr>
      <w:bookmarkStart w:id="91" w:name="_Toc71366186"/>
      <w:bookmarkStart w:id="92" w:name="_Toc35611438"/>
      <w:bookmarkStart w:id="93" w:name="_Toc35611516"/>
      <w:bookmarkStart w:id="94" w:name="_Toc31728084"/>
      <w:bookmarkStart w:id="95" w:name="_Toc44229899"/>
      <w:bookmarkStart w:id="96" w:name="_Toc31723070"/>
      <w:r>
        <w:rPr>
          <w:rFonts w:hint="eastAsia" w:ascii="宋体" w:hAnsi="宋体" w:cs="宋体"/>
          <w:b/>
          <w:color w:val="auto"/>
          <w:sz w:val="32"/>
          <w:szCs w:val="32"/>
          <w:highlight w:val="none"/>
        </w:rPr>
        <w:t>一、资格证明文件格式</w:t>
      </w:r>
      <w:bookmarkEnd w:id="91"/>
      <w:bookmarkEnd w:id="92"/>
      <w:bookmarkEnd w:id="93"/>
      <w:bookmarkEnd w:id="94"/>
      <w:bookmarkEnd w:id="95"/>
      <w:bookmarkEnd w:id="96"/>
    </w:p>
    <w:p w14:paraId="6EB31350">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3E0F4614">
      <w:pPr>
        <w:snapToGrid w:val="0"/>
        <w:spacing w:before="120" w:beforeLines="50" w:after="50"/>
        <w:jc w:val="center"/>
        <w:rPr>
          <w:rFonts w:hint="eastAsia" w:ascii="宋体" w:hAnsi="宋体" w:cs="宋体"/>
          <w:color w:val="auto"/>
          <w:sz w:val="44"/>
          <w:szCs w:val="44"/>
          <w:highlight w:val="none"/>
        </w:rPr>
      </w:pPr>
    </w:p>
    <w:p w14:paraId="6B977144">
      <w:pPr>
        <w:snapToGrid w:val="0"/>
        <w:spacing w:before="120" w:beforeLines="5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35D11657">
      <w:pPr>
        <w:snapToGrid w:val="0"/>
        <w:spacing w:before="120" w:beforeLines="50" w:after="50"/>
        <w:rPr>
          <w:rFonts w:hint="eastAsia" w:ascii="宋体" w:hAnsi="宋体" w:cs="宋体"/>
          <w:color w:val="auto"/>
          <w:sz w:val="24"/>
          <w:szCs w:val="20"/>
          <w:highlight w:val="none"/>
        </w:rPr>
      </w:pPr>
    </w:p>
    <w:p w14:paraId="28053DE9">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2E23A734">
      <w:pPr>
        <w:snapToGrid w:val="0"/>
        <w:spacing w:before="120" w:beforeLines="50" w:after="50"/>
        <w:rPr>
          <w:rFonts w:hint="eastAsia" w:ascii="宋体" w:hAnsi="宋体" w:cs="宋体"/>
          <w:bCs/>
          <w:color w:val="auto"/>
          <w:sz w:val="24"/>
          <w:szCs w:val="20"/>
          <w:highlight w:val="none"/>
        </w:rPr>
      </w:pPr>
    </w:p>
    <w:p w14:paraId="73B7F026">
      <w:pPr>
        <w:snapToGrid w:val="0"/>
        <w:spacing w:before="120" w:beforeLines="50" w:after="50"/>
        <w:rPr>
          <w:rFonts w:hint="eastAsia" w:ascii="宋体" w:hAnsi="宋体" w:cs="宋体"/>
          <w:bCs/>
          <w:color w:val="auto"/>
          <w:sz w:val="24"/>
          <w:szCs w:val="20"/>
          <w:highlight w:val="none"/>
        </w:rPr>
      </w:pPr>
    </w:p>
    <w:p w14:paraId="2AF59743">
      <w:pPr>
        <w:snapToGrid w:val="0"/>
        <w:spacing w:before="120" w:beforeLines="50" w:after="50"/>
        <w:rPr>
          <w:rFonts w:hint="eastAsia" w:ascii="宋体" w:hAnsi="宋体" w:cs="宋体"/>
          <w:bCs/>
          <w:color w:val="auto"/>
          <w:sz w:val="24"/>
          <w:szCs w:val="20"/>
          <w:highlight w:val="none"/>
        </w:rPr>
      </w:pPr>
    </w:p>
    <w:p w14:paraId="3210916E">
      <w:pPr>
        <w:snapToGrid w:val="0"/>
        <w:spacing w:before="120" w:beforeLines="50" w:after="50"/>
        <w:rPr>
          <w:rFonts w:hint="eastAsia" w:ascii="宋体" w:hAnsi="宋体" w:cs="宋体"/>
          <w:bCs/>
          <w:color w:val="auto"/>
          <w:sz w:val="24"/>
          <w:szCs w:val="20"/>
          <w:highlight w:val="none"/>
        </w:rPr>
      </w:pPr>
    </w:p>
    <w:p w14:paraId="44E8FC0B">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9926F45">
      <w:pPr>
        <w:snapToGrid w:val="0"/>
        <w:spacing w:before="120" w:beforeLines="50" w:after="50"/>
        <w:ind w:firstLine="720" w:firstLineChars="225"/>
        <w:rPr>
          <w:rFonts w:hint="eastAsia" w:ascii="宋体" w:hAnsi="宋体" w:cs="宋体"/>
          <w:bCs/>
          <w:color w:val="auto"/>
          <w:sz w:val="32"/>
          <w:szCs w:val="32"/>
          <w:highlight w:val="none"/>
        </w:rPr>
      </w:pPr>
    </w:p>
    <w:p w14:paraId="417860E1">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DDE142E">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B709FF3">
      <w:pPr>
        <w:snapToGrid w:val="0"/>
        <w:spacing w:before="156" w:beforeLines="50" w:after="50"/>
        <w:ind w:firstLine="720" w:firstLineChars="225"/>
        <w:rPr>
          <w:rFonts w:hint="eastAsia"/>
        </w:rPr>
      </w:pPr>
      <w:r>
        <w:rPr>
          <w:rFonts w:hint="eastAsia" w:ascii="宋体" w:hAnsi="宋体" w:eastAsia="宋体" w:cs="宋体"/>
          <w:bCs/>
          <w:color w:val="auto"/>
          <w:sz w:val="32"/>
          <w:szCs w:val="32"/>
          <w:highlight w:val="none"/>
        </w:rPr>
        <w:t>所竞分标（如有则填写，无分标时填写“无”或者留空）：</w:t>
      </w:r>
    </w:p>
    <w:p w14:paraId="6E94D347">
      <w:pPr>
        <w:snapToGrid w:val="0"/>
        <w:spacing w:before="120" w:beforeLines="50" w:after="50"/>
        <w:ind w:firstLine="720" w:firstLineChars="225"/>
        <w:rPr>
          <w:rFonts w:hint="eastAsia" w:ascii="宋体" w:hAnsi="宋体" w:cs="宋体"/>
          <w:bCs/>
          <w:color w:val="auto"/>
          <w:sz w:val="32"/>
          <w:szCs w:val="32"/>
          <w:highlight w:val="none"/>
        </w:rPr>
      </w:pPr>
    </w:p>
    <w:p w14:paraId="083B0AAA">
      <w:pPr>
        <w:pStyle w:val="8"/>
        <w:snapToGrid w:val="0"/>
        <w:spacing w:before="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FE9F86A">
      <w:pPr>
        <w:snapToGrid w:val="0"/>
        <w:spacing w:before="120" w:beforeLines="50" w:after="50"/>
        <w:ind w:firstLine="640" w:firstLineChars="200"/>
        <w:rPr>
          <w:rFonts w:hint="eastAsia" w:ascii="宋体" w:hAnsi="宋体" w:cs="宋体"/>
          <w:bCs/>
          <w:color w:val="auto"/>
          <w:sz w:val="32"/>
          <w:szCs w:val="32"/>
          <w:highlight w:val="none"/>
        </w:rPr>
      </w:pPr>
    </w:p>
    <w:p w14:paraId="4265C24C">
      <w:pPr>
        <w:pStyle w:val="8"/>
        <w:snapToGrid w:val="0"/>
        <w:spacing w:before="50" w:after="50"/>
        <w:ind w:firstLine="720" w:firstLineChars="225"/>
        <w:rPr>
          <w:rFonts w:hint="eastAsia" w:ascii="宋体" w:hAnsi="宋体" w:cs="宋体"/>
          <w:bCs/>
          <w:color w:val="auto"/>
          <w:sz w:val="32"/>
          <w:szCs w:val="32"/>
          <w:highlight w:val="none"/>
        </w:rPr>
      </w:pPr>
    </w:p>
    <w:p w14:paraId="01CD2720">
      <w:pPr>
        <w:pStyle w:val="8"/>
        <w:snapToGrid w:val="0"/>
        <w:spacing w:before="50" w:after="50"/>
        <w:ind w:firstLine="720" w:firstLineChars="225"/>
        <w:rPr>
          <w:rFonts w:hint="eastAsia" w:ascii="宋体" w:hAnsi="宋体" w:cs="宋体"/>
          <w:bCs/>
          <w:color w:val="auto"/>
          <w:sz w:val="32"/>
          <w:szCs w:val="32"/>
          <w:highlight w:val="none"/>
        </w:rPr>
      </w:pPr>
    </w:p>
    <w:p w14:paraId="2B7B3217">
      <w:pPr>
        <w:pStyle w:val="8"/>
        <w:snapToGrid w:val="0"/>
        <w:spacing w:before="50" w:after="50"/>
        <w:ind w:firstLine="1280" w:firstLineChars="400"/>
        <w:rPr>
          <w:rFonts w:hint="eastAsia" w:ascii="宋体" w:hAnsi="宋体" w:cs="宋体"/>
          <w:bCs/>
          <w:color w:val="auto"/>
          <w:sz w:val="32"/>
          <w:szCs w:val="32"/>
          <w:highlight w:val="none"/>
        </w:rPr>
      </w:pPr>
    </w:p>
    <w:p w14:paraId="5FED8C83">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4466DD4B">
      <w:pPr>
        <w:snapToGrid w:val="0"/>
        <w:spacing w:before="120" w:beforeLines="5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7DB0CA96">
      <w:pPr>
        <w:snapToGrid w:val="0"/>
        <w:spacing w:before="120" w:beforeLines="5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497C9DCC">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6B4F0A94">
      <w:pPr>
        <w:spacing w:line="300" w:lineRule="auto"/>
        <w:rPr>
          <w:rFonts w:hint="eastAsia" w:ascii="宋体" w:hAnsi="宋体" w:cs="宋体"/>
          <w:color w:val="auto"/>
          <w:szCs w:val="21"/>
          <w:highlight w:val="none"/>
        </w:rPr>
      </w:pPr>
    </w:p>
    <w:p w14:paraId="18122031">
      <w:pPr>
        <w:spacing w:line="300" w:lineRule="auto"/>
        <w:rPr>
          <w:rFonts w:hint="eastAsia" w:ascii="宋体" w:hAnsi="宋体" w:cs="宋体"/>
          <w:color w:val="auto"/>
          <w:szCs w:val="21"/>
          <w:highlight w:val="none"/>
        </w:rPr>
      </w:pPr>
    </w:p>
    <w:p w14:paraId="7C4775D1">
      <w:pPr>
        <w:spacing w:line="300" w:lineRule="auto"/>
        <w:rPr>
          <w:rFonts w:hint="eastAsia" w:ascii="宋体" w:hAnsi="宋体" w:cs="宋体"/>
          <w:color w:val="auto"/>
          <w:szCs w:val="21"/>
          <w:highlight w:val="none"/>
        </w:rPr>
      </w:pPr>
    </w:p>
    <w:p w14:paraId="02B65A0D">
      <w:pPr>
        <w:spacing w:line="300" w:lineRule="auto"/>
        <w:rPr>
          <w:rFonts w:hint="eastAsia" w:ascii="宋体" w:hAnsi="宋体" w:cs="宋体"/>
          <w:color w:val="auto"/>
          <w:szCs w:val="21"/>
          <w:highlight w:val="none"/>
        </w:rPr>
      </w:pPr>
    </w:p>
    <w:p w14:paraId="3722DA20">
      <w:pPr>
        <w:spacing w:line="300" w:lineRule="auto"/>
        <w:rPr>
          <w:rFonts w:hint="eastAsia" w:ascii="宋体" w:hAnsi="宋体" w:cs="宋体"/>
          <w:color w:val="auto"/>
          <w:szCs w:val="21"/>
          <w:highlight w:val="none"/>
        </w:rPr>
      </w:pPr>
    </w:p>
    <w:p w14:paraId="15CE9CDA">
      <w:pPr>
        <w:spacing w:line="300" w:lineRule="auto"/>
        <w:rPr>
          <w:rFonts w:hint="eastAsia" w:ascii="宋体" w:hAnsi="宋体" w:cs="宋体"/>
          <w:color w:val="auto"/>
          <w:szCs w:val="21"/>
          <w:highlight w:val="none"/>
        </w:rPr>
      </w:pPr>
    </w:p>
    <w:p w14:paraId="4DF7D557">
      <w:pPr>
        <w:spacing w:line="300" w:lineRule="auto"/>
        <w:rPr>
          <w:rFonts w:hint="eastAsia" w:ascii="宋体" w:hAnsi="宋体" w:cs="宋体"/>
          <w:color w:val="auto"/>
          <w:szCs w:val="21"/>
          <w:highlight w:val="none"/>
        </w:rPr>
      </w:pPr>
    </w:p>
    <w:p w14:paraId="6CBE3923">
      <w:pPr>
        <w:spacing w:line="300" w:lineRule="auto"/>
        <w:rPr>
          <w:rFonts w:hint="eastAsia" w:ascii="宋体" w:hAnsi="宋体" w:cs="宋体"/>
          <w:color w:val="auto"/>
          <w:szCs w:val="21"/>
          <w:highlight w:val="none"/>
        </w:rPr>
      </w:pPr>
    </w:p>
    <w:p w14:paraId="55748DA9">
      <w:pPr>
        <w:spacing w:line="300" w:lineRule="auto"/>
        <w:rPr>
          <w:rFonts w:hint="eastAsia" w:ascii="宋体" w:hAnsi="宋体" w:cs="宋体"/>
          <w:color w:val="auto"/>
          <w:szCs w:val="21"/>
          <w:highlight w:val="none"/>
        </w:rPr>
      </w:pPr>
    </w:p>
    <w:p w14:paraId="2000A787">
      <w:pPr>
        <w:spacing w:line="300" w:lineRule="auto"/>
        <w:rPr>
          <w:rFonts w:hint="eastAsia" w:ascii="宋体" w:hAnsi="宋体" w:cs="宋体"/>
          <w:color w:val="auto"/>
          <w:szCs w:val="21"/>
          <w:highlight w:val="none"/>
        </w:rPr>
      </w:pPr>
    </w:p>
    <w:p w14:paraId="42E6BE86">
      <w:pPr>
        <w:spacing w:line="300" w:lineRule="auto"/>
        <w:rPr>
          <w:rFonts w:hint="eastAsia" w:ascii="宋体" w:hAnsi="宋体" w:cs="宋体"/>
          <w:color w:val="auto"/>
          <w:szCs w:val="21"/>
          <w:highlight w:val="none"/>
        </w:rPr>
      </w:pPr>
    </w:p>
    <w:p w14:paraId="6A9E3546">
      <w:pPr>
        <w:spacing w:line="300" w:lineRule="auto"/>
        <w:rPr>
          <w:rFonts w:hint="eastAsia" w:ascii="宋体" w:hAnsi="宋体" w:cs="宋体"/>
          <w:color w:val="auto"/>
          <w:szCs w:val="21"/>
          <w:highlight w:val="none"/>
        </w:rPr>
      </w:pPr>
    </w:p>
    <w:p w14:paraId="72FD49E0">
      <w:pPr>
        <w:spacing w:line="300" w:lineRule="auto"/>
        <w:rPr>
          <w:rFonts w:hint="eastAsia" w:ascii="宋体" w:hAnsi="宋体" w:cs="宋体"/>
          <w:color w:val="auto"/>
          <w:szCs w:val="21"/>
          <w:highlight w:val="none"/>
        </w:rPr>
      </w:pPr>
    </w:p>
    <w:p w14:paraId="708C82D0">
      <w:pPr>
        <w:spacing w:line="300" w:lineRule="auto"/>
        <w:rPr>
          <w:rFonts w:hint="eastAsia" w:ascii="宋体" w:hAnsi="宋体" w:cs="宋体"/>
          <w:color w:val="auto"/>
          <w:szCs w:val="21"/>
          <w:highlight w:val="none"/>
        </w:rPr>
      </w:pPr>
    </w:p>
    <w:p w14:paraId="26C76479">
      <w:pPr>
        <w:spacing w:line="300" w:lineRule="auto"/>
        <w:rPr>
          <w:rFonts w:hint="eastAsia" w:ascii="宋体" w:hAnsi="宋体" w:cs="宋体"/>
          <w:color w:val="auto"/>
          <w:szCs w:val="21"/>
          <w:highlight w:val="none"/>
        </w:rPr>
      </w:pPr>
    </w:p>
    <w:p w14:paraId="45BE57F4">
      <w:pPr>
        <w:spacing w:line="320" w:lineRule="exact"/>
        <w:jc w:val="left"/>
        <w:rPr>
          <w:rFonts w:hint="eastAsia" w:ascii="宋体" w:hAnsi="宋体" w:cs="宋体"/>
          <w:color w:val="auto"/>
          <w:szCs w:val="21"/>
          <w:highlight w:val="none"/>
        </w:rPr>
      </w:pPr>
    </w:p>
    <w:p w14:paraId="20EE778C">
      <w:pPr>
        <w:spacing w:line="320" w:lineRule="exact"/>
        <w:jc w:val="left"/>
        <w:rPr>
          <w:rFonts w:hint="eastAsia" w:ascii="宋体" w:hAnsi="宋体" w:cs="宋体"/>
          <w:color w:val="auto"/>
          <w:szCs w:val="21"/>
          <w:highlight w:val="none"/>
        </w:rPr>
      </w:pPr>
    </w:p>
    <w:p w14:paraId="113D07E3">
      <w:pPr>
        <w:spacing w:line="320" w:lineRule="exact"/>
        <w:jc w:val="left"/>
        <w:rPr>
          <w:rFonts w:hint="eastAsia" w:ascii="宋体" w:hAnsi="宋体" w:cs="宋体"/>
          <w:color w:val="auto"/>
          <w:szCs w:val="21"/>
          <w:highlight w:val="none"/>
        </w:rPr>
      </w:pPr>
    </w:p>
    <w:p w14:paraId="5BE4885D">
      <w:pPr>
        <w:spacing w:line="320" w:lineRule="exact"/>
        <w:jc w:val="left"/>
        <w:rPr>
          <w:rFonts w:hint="eastAsia" w:ascii="宋体" w:hAnsi="宋体" w:cs="宋体"/>
          <w:color w:val="auto"/>
          <w:szCs w:val="21"/>
          <w:highlight w:val="none"/>
        </w:rPr>
      </w:pPr>
    </w:p>
    <w:p w14:paraId="06F19643">
      <w:pPr>
        <w:spacing w:line="320" w:lineRule="exact"/>
        <w:jc w:val="left"/>
        <w:rPr>
          <w:rFonts w:hint="eastAsia" w:ascii="宋体" w:hAnsi="宋体" w:cs="宋体"/>
          <w:color w:val="auto"/>
          <w:szCs w:val="21"/>
          <w:highlight w:val="none"/>
        </w:rPr>
      </w:pPr>
    </w:p>
    <w:p w14:paraId="7A508732">
      <w:pPr>
        <w:spacing w:line="320" w:lineRule="exact"/>
        <w:jc w:val="left"/>
        <w:rPr>
          <w:rFonts w:hint="eastAsia" w:ascii="宋体" w:hAnsi="宋体" w:cs="宋体"/>
          <w:color w:val="auto"/>
          <w:szCs w:val="21"/>
          <w:highlight w:val="none"/>
        </w:rPr>
      </w:pPr>
    </w:p>
    <w:p w14:paraId="56F3DD79">
      <w:pPr>
        <w:spacing w:line="320" w:lineRule="exact"/>
        <w:jc w:val="left"/>
        <w:rPr>
          <w:rFonts w:hint="eastAsia" w:ascii="宋体" w:hAnsi="宋体" w:cs="宋体"/>
          <w:color w:val="auto"/>
          <w:szCs w:val="21"/>
          <w:highlight w:val="none"/>
        </w:rPr>
      </w:pPr>
    </w:p>
    <w:p w14:paraId="1183237B">
      <w:pPr>
        <w:spacing w:line="320" w:lineRule="exact"/>
        <w:jc w:val="left"/>
        <w:rPr>
          <w:rFonts w:hint="eastAsia" w:ascii="宋体" w:hAnsi="宋体" w:cs="宋体"/>
          <w:color w:val="auto"/>
          <w:szCs w:val="21"/>
          <w:highlight w:val="none"/>
        </w:rPr>
      </w:pPr>
    </w:p>
    <w:p w14:paraId="251CFCA2">
      <w:pPr>
        <w:spacing w:line="320" w:lineRule="exact"/>
        <w:jc w:val="left"/>
        <w:rPr>
          <w:rFonts w:hint="eastAsia" w:ascii="宋体" w:hAnsi="宋体" w:cs="宋体"/>
          <w:color w:val="auto"/>
          <w:szCs w:val="21"/>
          <w:highlight w:val="none"/>
        </w:rPr>
      </w:pPr>
    </w:p>
    <w:p w14:paraId="7564E998">
      <w:pPr>
        <w:spacing w:line="320" w:lineRule="exact"/>
        <w:jc w:val="left"/>
        <w:rPr>
          <w:rFonts w:hint="eastAsia" w:ascii="宋体" w:hAnsi="宋体" w:cs="宋体"/>
          <w:color w:val="auto"/>
          <w:szCs w:val="21"/>
          <w:highlight w:val="none"/>
        </w:rPr>
      </w:pPr>
    </w:p>
    <w:p w14:paraId="7E2952F8">
      <w:pPr>
        <w:spacing w:line="320" w:lineRule="exact"/>
        <w:jc w:val="left"/>
        <w:rPr>
          <w:rFonts w:hint="eastAsia" w:ascii="宋体" w:hAnsi="宋体" w:cs="宋体"/>
          <w:color w:val="auto"/>
          <w:szCs w:val="21"/>
          <w:highlight w:val="none"/>
        </w:rPr>
      </w:pPr>
    </w:p>
    <w:p w14:paraId="21D2A8ED">
      <w:pPr>
        <w:spacing w:line="320" w:lineRule="exact"/>
        <w:jc w:val="left"/>
        <w:rPr>
          <w:rFonts w:hint="eastAsia" w:ascii="宋体" w:hAnsi="宋体" w:cs="宋体"/>
          <w:color w:val="auto"/>
          <w:szCs w:val="21"/>
          <w:highlight w:val="none"/>
        </w:rPr>
      </w:pPr>
    </w:p>
    <w:p w14:paraId="094D3AF7">
      <w:pPr>
        <w:spacing w:line="320" w:lineRule="exact"/>
        <w:jc w:val="left"/>
        <w:rPr>
          <w:rFonts w:hint="eastAsia" w:ascii="宋体" w:hAnsi="宋体" w:cs="宋体"/>
          <w:color w:val="auto"/>
          <w:szCs w:val="21"/>
          <w:highlight w:val="none"/>
        </w:rPr>
      </w:pPr>
    </w:p>
    <w:p w14:paraId="4738E3A8">
      <w:pPr>
        <w:spacing w:line="320" w:lineRule="exact"/>
        <w:jc w:val="left"/>
        <w:rPr>
          <w:rFonts w:hint="eastAsia" w:ascii="宋体" w:hAnsi="宋体" w:cs="宋体"/>
          <w:color w:val="auto"/>
          <w:szCs w:val="21"/>
          <w:highlight w:val="none"/>
        </w:rPr>
      </w:pPr>
    </w:p>
    <w:p w14:paraId="6F63EE1A">
      <w:pPr>
        <w:spacing w:line="320" w:lineRule="exact"/>
        <w:jc w:val="left"/>
        <w:rPr>
          <w:rFonts w:hint="eastAsia" w:ascii="宋体" w:hAnsi="宋体" w:cs="宋体"/>
          <w:color w:val="auto"/>
          <w:szCs w:val="21"/>
          <w:highlight w:val="none"/>
        </w:rPr>
      </w:pPr>
    </w:p>
    <w:p w14:paraId="13D712F7">
      <w:pPr>
        <w:spacing w:line="320" w:lineRule="exact"/>
        <w:jc w:val="left"/>
        <w:rPr>
          <w:rFonts w:hint="eastAsia" w:ascii="宋体" w:hAnsi="宋体" w:cs="宋体"/>
          <w:color w:val="auto"/>
          <w:szCs w:val="21"/>
          <w:highlight w:val="none"/>
        </w:rPr>
      </w:pPr>
    </w:p>
    <w:p w14:paraId="3EFF741E">
      <w:pPr>
        <w:spacing w:line="320" w:lineRule="exact"/>
        <w:jc w:val="left"/>
        <w:rPr>
          <w:rFonts w:hint="eastAsia" w:ascii="宋体" w:hAnsi="宋体" w:cs="宋体"/>
          <w:color w:val="auto"/>
          <w:szCs w:val="21"/>
          <w:highlight w:val="none"/>
        </w:rPr>
      </w:pPr>
    </w:p>
    <w:p w14:paraId="28FC5B0D">
      <w:pPr>
        <w:spacing w:line="320" w:lineRule="exact"/>
        <w:jc w:val="left"/>
        <w:rPr>
          <w:rFonts w:hint="eastAsia" w:ascii="宋体" w:hAnsi="宋体" w:cs="宋体"/>
          <w:color w:val="auto"/>
          <w:szCs w:val="21"/>
          <w:highlight w:val="none"/>
        </w:rPr>
      </w:pPr>
    </w:p>
    <w:p w14:paraId="2CF1A42F">
      <w:pPr>
        <w:spacing w:line="320" w:lineRule="exact"/>
        <w:jc w:val="left"/>
        <w:rPr>
          <w:rFonts w:hint="eastAsia" w:ascii="宋体" w:hAnsi="宋体" w:cs="宋体"/>
          <w:color w:val="auto"/>
          <w:szCs w:val="21"/>
          <w:highlight w:val="none"/>
        </w:rPr>
      </w:pPr>
    </w:p>
    <w:p w14:paraId="50C247B6">
      <w:pPr>
        <w:spacing w:line="320" w:lineRule="exact"/>
        <w:jc w:val="left"/>
        <w:rPr>
          <w:rFonts w:hint="eastAsia" w:ascii="宋体" w:hAnsi="宋体" w:cs="宋体"/>
          <w:color w:val="auto"/>
          <w:szCs w:val="21"/>
          <w:highlight w:val="none"/>
        </w:rPr>
      </w:pPr>
    </w:p>
    <w:p w14:paraId="287EA679">
      <w:pPr>
        <w:wordWrap w:val="0"/>
        <w:spacing w:before="120" w:beforeLines="50" w:after="50" w:line="320" w:lineRule="exact"/>
        <w:ind w:right="482" w:firstLine="210" w:firstLineChars="100"/>
        <w:contextualSpacing/>
        <w:jc w:val="center"/>
        <w:rPr>
          <w:rFonts w:hint="eastAsia" w:ascii="宋体" w:hAnsi="宋体" w:cs="宋体"/>
          <w:color w:val="auto"/>
          <w:szCs w:val="21"/>
          <w:highlight w:val="none"/>
        </w:rPr>
      </w:pPr>
    </w:p>
    <w:p w14:paraId="100F6E1C">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53C97702">
      <w:pPr>
        <w:snapToGrid w:val="0"/>
        <w:spacing w:before="120" w:beforeLines="50" w:after="50" w:line="360" w:lineRule="auto"/>
        <w:jc w:val="center"/>
        <w:rPr>
          <w:rFonts w:hint="eastAsia" w:ascii="宋体" w:hAnsi="宋体" w:cs="宋体"/>
          <w:b/>
          <w:color w:val="auto"/>
          <w:sz w:val="24"/>
          <w:highlight w:val="none"/>
        </w:rPr>
      </w:pPr>
    </w:p>
    <w:p w14:paraId="7DEB2AEF">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7C4FE456">
      <w:pPr>
        <w:spacing w:line="360" w:lineRule="auto"/>
        <w:contextualSpacing/>
        <w:jc w:val="center"/>
        <w:rPr>
          <w:rFonts w:hint="eastAsia" w:ascii="宋体" w:hAnsi="宋体" w:cs="宋体"/>
          <w:b/>
          <w:color w:val="auto"/>
          <w:sz w:val="24"/>
          <w:highlight w:val="none"/>
        </w:rPr>
      </w:pPr>
    </w:p>
    <w:tbl>
      <w:tblPr>
        <w:tblStyle w:val="20"/>
        <w:tblW w:w="4998" w:type="pct"/>
        <w:jc w:val="center"/>
        <w:shd w:val="clear" w:color="auto" w:fill="FBFBFB"/>
        <w:tblLayout w:type="autofit"/>
        <w:tblCellMar>
          <w:top w:w="0" w:type="dxa"/>
          <w:left w:w="0" w:type="dxa"/>
          <w:bottom w:w="0" w:type="dxa"/>
          <w:right w:w="0" w:type="dxa"/>
        </w:tblCellMar>
      </w:tblPr>
      <w:tblGrid>
        <w:gridCol w:w="777"/>
        <w:gridCol w:w="2347"/>
        <w:gridCol w:w="1285"/>
        <w:gridCol w:w="3789"/>
        <w:gridCol w:w="768"/>
      </w:tblGrid>
      <w:tr w14:paraId="13279FDA">
        <w:tblPrEx>
          <w:shd w:val="clear" w:color="auto" w:fill="FBFBFB"/>
          <w:tblCellMar>
            <w:top w:w="0" w:type="dxa"/>
            <w:left w:w="0" w:type="dxa"/>
            <w:bottom w:w="0" w:type="dxa"/>
            <w:right w:w="0" w:type="dxa"/>
          </w:tblCellMar>
        </w:tblPrEx>
        <w:trPr>
          <w:tblHeade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AA15B8">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E80C4F">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4D6450">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C77B532">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34C50D0">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26402AC7">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8E47D27">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52E32C">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3B42B5">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F4683C">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5588B6">
            <w:pPr>
              <w:widowControl/>
              <w:spacing w:line="360" w:lineRule="auto"/>
              <w:contextualSpacing/>
              <w:jc w:val="center"/>
              <w:rPr>
                <w:rFonts w:hint="eastAsia" w:ascii="宋体" w:hAnsi="宋体" w:cs="宋体"/>
                <w:color w:val="auto"/>
                <w:kern w:val="0"/>
                <w:szCs w:val="21"/>
                <w:highlight w:val="none"/>
              </w:rPr>
            </w:pPr>
          </w:p>
        </w:tc>
      </w:tr>
      <w:tr w14:paraId="0C004259">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5FC76B2">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B55C66">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E4DA61">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DF59E6">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818864">
            <w:pPr>
              <w:widowControl/>
              <w:spacing w:line="360" w:lineRule="auto"/>
              <w:contextualSpacing/>
              <w:jc w:val="center"/>
              <w:rPr>
                <w:rFonts w:hint="eastAsia" w:ascii="宋体" w:hAnsi="宋体" w:cs="宋体"/>
                <w:color w:val="auto"/>
                <w:kern w:val="0"/>
                <w:szCs w:val="21"/>
                <w:highlight w:val="none"/>
              </w:rPr>
            </w:pPr>
          </w:p>
        </w:tc>
      </w:tr>
      <w:tr w14:paraId="7FADD345">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A0A735">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FBED8A">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294B9E">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630627">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0EE11E">
            <w:pPr>
              <w:widowControl/>
              <w:spacing w:line="360" w:lineRule="auto"/>
              <w:contextualSpacing/>
              <w:jc w:val="center"/>
              <w:rPr>
                <w:rFonts w:hint="eastAsia" w:ascii="宋体" w:hAnsi="宋体" w:cs="宋体"/>
                <w:color w:val="auto"/>
                <w:kern w:val="0"/>
                <w:szCs w:val="21"/>
                <w:highlight w:val="none"/>
              </w:rPr>
            </w:pPr>
          </w:p>
        </w:tc>
      </w:tr>
      <w:tr w14:paraId="0DECAD81">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C0B978">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2EC78C">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1489E1">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129C12">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589DB6">
            <w:pPr>
              <w:widowControl/>
              <w:spacing w:line="360" w:lineRule="auto"/>
              <w:contextualSpacing/>
              <w:jc w:val="center"/>
              <w:rPr>
                <w:rFonts w:hint="eastAsia" w:ascii="宋体" w:hAnsi="宋体" w:cs="宋体"/>
                <w:color w:val="auto"/>
                <w:kern w:val="0"/>
                <w:szCs w:val="21"/>
                <w:highlight w:val="none"/>
              </w:rPr>
            </w:pPr>
          </w:p>
        </w:tc>
      </w:tr>
    </w:tbl>
    <w:p w14:paraId="5D2D557E">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427387A0">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1A7615E">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5278C106">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3.供应商不存在直接控股股东的，则在“直接控股股东名称”填“无”。</w:t>
      </w:r>
    </w:p>
    <w:p w14:paraId="498657B9">
      <w:pPr>
        <w:spacing w:line="360" w:lineRule="auto"/>
        <w:ind w:firstLine="420" w:firstLineChars="200"/>
        <w:contextualSpacing/>
        <w:jc w:val="left"/>
        <w:rPr>
          <w:rFonts w:hint="eastAsia" w:ascii="宋体" w:hAnsi="宋体" w:cs="宋体"/>
          <w:color w:val="auto"/>
          <w:szCs w:val="21"/>
          <w:highlight w:val="none"/>
        </w:rPr>
      </w:pPr>
    </w:p>
    <w:p w14:paraId="41290255">
      <w:pPr>
        <w:spacing w:line="360" w:lineRule="auto"/>
        <w:ind w:firstLine="420" w:firstLineChars="200"/>
        <w:contextualSpacing/>
        <w:jc w:val="left"/>
        <w:rPr>
          <w:rFonts w:hint="eastAsia" w:ascii="宋体" w:hAnsi="宋体" w:cs="宋体"/>
          <w:color w:val="auto"/>
          <w:szCs w:val="21"/>
          <w:highlight w:val="none"/>
        </w:rPr>
      </w:pPr>
    </w:p>
    <w:p w14:paraId="1F47C425">
      <w:pPr>
        <w:spacing w:line="360" w:lineRule="auto"/>
        <w:ind w:right="480"/>
        <w:contextualSpacing/>
        <w:jc w:val="center"/>
        <w:rPr>
          <w:rFonts w:hint="eastAsia" w:ascii="宋体" w:hAnsi="宋体" w:cs="宋体"/>
          <w:color w:val="auto"/>
          <w:szCs w:val="21"/>
          <w:highlight w:val="none"/>
          <w:u w:val="single"/>
        </w:rPr>
      </w:pPr>
      <w:r>
        <w:rPr>
          <w:rFonts w:hint="eastAsia" w:ascii="宋体" w:hAnsi="宋体" w:cs="宋体"/>
          <w:color w:val="auto"/>
          <w:szCs w:val="21"/>
          <w:highlight w:val="none"/>
        </w:rPr>
        <w:t xml:space="preserve">        法定代表人或者委托代理人（签字或者电子签名）：</w:t>
      </w:r>
      <w:r>
        <w:rPr>
          <w:rFonts w:hint="eastAsia" w:ascii="宋体" w:hAnsi="宋体" w:cs="宋体"/>
          <w:color w:val="auto"/>
          <w:szCs w:val="21"/>
          <w:highlight w:val="none"/>
          <w:u w:val="single"/>
        </w:rPr>
        <w:t xml:space="preserve">                    </w:t>
      </w:r>
    </w:p>
    <w:p w14:paraId="2D99F2B5">
      <w:pPr>
        <w:spacing w:line="360" w:lineRule="auto"/>
        <w:ind w:right="480" w:firstLine="2625" w:firstLineChars="1250"/>
        <w:contextualSpacing/>
        <w:rPr>
          <w:rFonts w:hint="eastAsia" w:ascii="宋体" w:hAnsi="宋体" w:cs="宋体"/>
          <w:color w:val="auto"/>
          <w:szCs w:val="21"/>
          <w:highlight w:val="none"/>
          <w:u w:val="single"/>
        </w:rPr>
      </w:pPr>
      <w:r>
        <w:rPr>
          <w:rFonts w:hint="eastAsia" w:ascii="宋体" w:hAnsi="宋体" w:cs="宋体"/>
          <w:color w:val="auto"/>
          <w:szCs w:val="21"/>
          <w:highlight w:val="none"/>
        </w:rPr>
        <w:t xml:space="preserve">供应商（电子签章）： </w:t>
      </w:r>
      <w:r>
        <w:rPr>
          <w:rFonts w:hint="eastAsia" w:ascii="宋体" w:hAnsi="宋体" w:cs="宋体"/>
          <w:color w:val="auto"/>
          <w:szCs w:val="21"/>
          <w:highlight w:val="none"/>
          <w:u w:val="single"/>
        </w:rPr>
        <w:t xml:space="preserve">                              </w:t>
      </w:r>
    </w:p>
    <w:p w14:paraId="04985051">
      <w:pPr>
        <w:spacing w:line="360" w:lineRule="auto"/>
        <w:ind w:firstLine="420" w:firstLineChars="200"/>
        <w:contextualSpacing/>
        <w:jc w:val="right"/>
        <w:rPr>
          <w:rFonts w:hint="eastAsia" w:ascii="宋体" w:hAnsi="宋体" w:cs="宋体"/>
          <w:color w:val="auto"/>
          <w:szCs w:val="21"/>
          <w:highlight w:val="none"/>
        </w:rPr>
      </w:pPr>
      <w:r>
        <w:rPr>
          <w:rFonts w:hint="eastAsia" w:ascii="宋体" w:hAnsi="宋体" w:cs="宋体"/>
          <w:color w:val="auto"/>
          <w:szCs w:val="21"/>
          <w:highlight w:val="none"/>
        </w:rPr>
        <w:t>年    月    日</w:t>
      </w:r>
    </w:p>
    <w:p w14:paraId="0F89D84B">
      <w:pPr>
        <w:snapToGrid w:val="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53A8ABB8">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7B86FF12">
      <w:pPr>
        <w:snapToGrid w:val="0"/>
        <w:spacing w:line="360" w:lineRule="auto"/>
        <w:jc w:val="center"/>
        <w:rPr>
          <w:rFonts w:hint="eastAsia" w:ascii="宋体" w:hAnsi="宋体" w:cs="宋体"/>
          <w:b/>
          <w:color w:val="auto"/>
          <w:sz w:val="24"/>
          <w:highlight w:val="none"/>
        </w:rPr>
      </w:pPr>
    </w:p>
    <w:tbl>
      <w:tblPr>
        <w:tblStyle w:val="20"/>
        <w:tblW w:w="4998" w:type="pct"/>
        <w:jc w:val="center"/>
        <w:shd w:val="clear" w:color="auto" w:fill="FBFBFB"/>
        <w:tblLayout w:type="autofit"/>
        <w:tblCellMar>
          <w:top w:w="0" w:type="dxa"/>
          <w:left w:w="0" w:type="dxa"/>
          <w:bottom w:w="0" w:type="dxa"/>
          <w:right w:w="0" w:type="dxa"/>
        </w:tblCellMar>
      </w:tblPr>
      <w:tblGrid>
        <w:gridCol w:w="749"/>
        <w:gridCol w:w="3346"/>
        <w:gridCol w:w="3303"/>
        <w:gridCol w:w="1568"/>
      </w:tblGrid>
      <w:tr w14:paraId="7D0BF53E">
        <w:tblPrEx>
          <w:shd w:val="clear" w:color="auto" w:fill="FBFBFB"/>
          <w:tblCellMar>
            <w:top w:w="0" w:type="dxa"/>
            <w:left w:w="0" w:type="dxa"/>
            <w:bottom w:w="0" w:type="dxa"/>
            <w:right w:w="0" w:type="dxa"/>
          </w:tblCellMar>
        </w:tblPrEx>
        <w:trPr>
          <w:tblHeade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607FC4">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C460B7">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E496A1">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2BFB59">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09316FD0">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FB533A">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A9AE96">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EA026F">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9C49EA">
            <w:pPr>
              <w:widowControl/>
              <w:spacing w:line="360" w:lineRule="auto"/>
              <w:contextualSpacing/>
              <w:jc w:val="center"/>
              <w:rPr>
                <w:rFonts w:hint="eastAsia" w:ascii="宋体" w:hAnsi="宋体" w:cs="宋体"/>
                <w:color w:val="auto"/>
                <w:kern w:val="0"/>
                <w:szCs w:val="21"/>
                <w:highlight w:val="none"/>
              </w:rPr>
            </w:pPr>
          </w:p>
        </w:tc>
      </w:tr>
      <w:tr w14:paraId="3568FDA7">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D2BD09">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A16CE7">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164935">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8757CB">
            <w:pPr>
              <w:widowControl/>
              <w:spacing w:line="360" w:lineRule="auto"/>
              <w:contextualSpacing/>
              <w:jc w:val="center"/>
              <w:rPr>
                <w:rFonts w:hint="eastAsia" w:ascii="宋体" w:hAnsi="宋体" w:cs="宋体"/>
                <w:color w:val="auto"/>
                <w:kern w:val="0"/>
                <w:szCs w:val="21"/>
                <w:highlight w:val="none"/>
              </w:rPr>
            </w:pPr>
          </w:p>
        </w:tc>
      </w:tr>
      <w:tr w14:paraId="06194196">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17297C">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DA776B">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B3FFD6">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599427">
            <w:pPr>
              <w:widowControl/>
              <w:spacing w:line="360" w:lineRule="auto"/>
              <w:contextualSpacing/>
              <w:jc w:val="center"/>
              <w:rPr>
                <w:rFonts w:hint="eastAsia" w:ascii="宋体" w:hAnsi="宋体" w:cs="宋体"/>
                <w:color w:val="auto"/>
                <w:kern w:val="0"/>
                <w:szCs w:val="21"/>
                <w:highlight w:val="none"/>
              </w:rPr>
            </w:pPr>
          </w:p>
        </w:tc>
      </w:tr>
      <w:tr w14:paraId="190018D1">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6A75A7">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9D4311">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9D0FEB">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890242">
            <w:pPr>
              <w:widowControl/>
              <w:spacing w:line="360" w:lineRule="auto"/>
              <w:contextualSpacing/>
              <w:jc w:val="center"/>
              <w:rPr>
                <w:rFonts w:hint="eastAsia" w:ascii="宋体" w:hAnsi="宋体" w:cs="宋体"/>
                <w:color w:val="auto"/>
                <w:kern w:val="0"/>
                <w:szCs w:val="21"/>
                <w:highlight w:val="none"/>
              </w:rPr>
            </w:pPr>
          </w:p>
        </w:tc>
      </w:tr>
    </w:tbl>
    <w:p w14:paraId="460EDEFB">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26D53B10">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27A0F037">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6"/>
          <w:szCs w:val="21"/>
          <w:highlight w:val="none"/>
        </w:rPr>
        <w:t>本表所指的管理关系仅限于直接管理关系，不包括间接的管理关系。</w:t>
      </w:r>
    </w:p>
    <w:p w14:paraId="19B3D862">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3.供应商不存在直接管理关系的，则在“直接管理关系单位名称”填“无”。</w:t>
      </w:r>
    </w:p>
    <w:p w14:paraId="45EF2115">
      <w:pPr>
        <w:spacing w:line="360" w:lineRule="auto"/>
        <w:contextualSpacing/>
        <w:jc w:val="left"/>
        <w:rPr>
          <w:rFonts w:hint="eastAsia" w:ascii="宋体" w:hAnsi="宋体" w:cs="宋体"/>
          <w:color w:val="auto"/>
          <w:szCs w:val="21"/>
          <w:highlight w:val="none"/>
        </w:rPr>
      </w:pPr>
    </w:p>
    <w:p w14:paraId="3D9584AC">
      <w:pPr>
        <w:spacing w:line="360" w:lineRule="auto"/>
        <w:contextualSpacing/>
        <w:jc w:val="left"/>
        <w:rPr>
          <w:rFonts w:hint="eastAsia" w:ascii="宋体" w:hAnsi="宋体" w:cs="宋体"/>
          <w:color w:val="auto"/>
          <w:szCs w:val="21"/>
          <w:highlight w:val="none"/>
        </w:rPr>
      </w:pPr>
    </w:p>
    <w:p w14:paraId="0B31E05A">
      <w:pPr>
        <w:spacing w:line="360" w:lineRule="auto"/>
        <w:contextualSpacing/>
        <w:jc w:val="left"/>
        <w:rPr>
          <w:rFonts w:hint="eastAsia" w:ascii="宋体" w:hAnsi="宋体" w:cs="宋体"/>
          <w:color w:val="auto"/>
          <w:szCs w:val="21"/>
          <w:highlight w:val="none"/>
        </w:rPr>
      </w:pPr>
    </w:p>
    <w:p w14:paraId="29B4C521">
      <w:pPr>
        <w:spacing w:line="360" w:lineRule="auto"/>
        <w:contextualSpacing/>
        <w:jc w:val="left"/>
        <w:rPr>
          <w:rFonts w:hint="eastAsia" w:ascii="宋体" w:hAnsi="宋体" w:cs="宋体"/>
          <w:color w:val="auto"/>
          <w:szCs w:val="21"/>
          <w:highlight w:val="none"/>
        </w:rPr>
      </w:pPr>
    </w:p>
    <w:p w14:paraId="18D2E7F0">
      <w:pPr>
        <w:spacing w:line="360" w:lineRule="auto"/>
        <w:contextualSpacing/>
        <w:jc w:val="left"/>
        <w:rPr>
          <w:rFonts w:hint="eastAsia" w:ascii="宋体" w:hAnsi="宋体" w:cs="宋体"/>
          <w:color w:val="auto"/>
          <w:szCs w:val="21"/>
          <w:highlight w:val="none"/>
        </w:rPr>
      </w:pPr>
    </w:p>
    <w:p w14:paraId="03FBAA00">
      <w:pPr>
        <w:spacing w:line="360" w:lineRule="auto"/>
        <w:contextualSpacing/>
        <w:jc w:val="left"/>
        <w:rPr>
          <w:rFonts w:hint="eastAsia" w:ascii="宋体" w:hAnsi="宋体" w:cs="宋体"/>
          <w:color w:val="auto"/>
          <w:szCs w:val="21"/>
          <w:highlight w:val="none"/>
        </w:rPr>
      </w:pPr>
    </w:p>
    <w:p w14:paraId="26900E68">
      <w:pPr>
        <w:spacing w:line="360" w:lineRule="auto"/>
        <w:ind w:right="480"/>
        <w:contextualSpacing/>
        <w:jc w:val="center"/>
        <w:rPr>
          <w:rFonts w:hint="eastAsia" w:ascii="宋体" w:hAnsi="宋体" w:cs="宋体"/>
          <w:color w:val="auto"/>
          <w:szCs w:val="21"/>
          <w:highlight w:val="none"/>
          <w:u w:val="single"/>
        </w:rPr>
      </w:pPr>
      <w:r>
        <w:rPr>
          <w:rFonts w:hint="eastAsia" w:ascii="宋体" w:hAnsi="宋体" w:cs="宋体"/>
          <w:color w:val="auto"/>
          <w:szCs w:val="21"/>
          <w:highlight w:val="none"/>
        </w:rPr>
        <w:t xml:space="preserve">              法定代表人或者委托代理人（签字或者电子签名）：</w:t>
      </w:r>
      <w:r>
        <w:rPr>
          <w:rFonts w:hint="eastAsia" w:ascii="宋体" w:hAnsi="宋体" w:cs="宋体"/>
          <w:color w:val="auto"/>
          <w:szCs w:val="21"/>
          <w:highlight w:val="none"/>
          <w:u w:val="single"/>
        </w:rPr>
        <w:t xml:space="preserve">                   </w:t>
      </w:r>
    </w:p>
    <w:p w14:paraId="71E5BB14">
      <w:pPr>
        <w:spacing w:line="360" w:lineRule="auto"/>
        <w:ind w:right="480" w:firstLine="2940" w:firstLineChars="1400"/>
        <w:contextualSpacing/>
        <w:rPr>
          <w:rFonts w:hint="eastAsia" w:ascii="宋体" w:hAnsi="宋体" w:cs="宋体"/>
          <w:color w:val="auto"/>
          <w:szCs w:val="21"/>
          <w:highlight w:val="non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p>
    <w:p w14:paraId="523A8F18">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5EFEE6EA">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竞标声明</w:t>
      </w:r>
    </w:p>
    <w:p w14:paraId="0B5016B7">
      <w:pPr>
        <w:spacing w:line="320" w:lineRule="exact"/>
        <w:jc w:val="center"/>
        <w:rPr>
          <w:rFonts w:hint="eastAsia" w:ascii="宋体" w:hAnsi="宋体" w:cs="宋体"/>
          <w:color w:val="auto"/>
          <w:sz w:val="24"/>
          <w:szCs w:val="20"/>
          <w:highlight w:val="none"/>
        </w:rPr>
      </w:pPr>
    </w:p>
    <w:p w14:paraId="060CF365">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484951F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系中华人民共和国合法供应商，经营地址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FD213AC">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798BD7C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5731868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1140F76C">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3.在此，我方宣布同意如下：</w:t>
      </w:r>
    </w:p>
    <w:p w14:paraId="0502A862">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（1）将按磋商文件的约定履行合同责任和义务；</w:t>
      </w:r>
    </w:p>
    <w:p w14:paraId="3316FBE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（2）已详细审查全部磋商文件，包括澄清或者更正公告（如有）；</w:t>
      </w:r>
    </w:p>
    <w:p w14:paraId="677D3D06">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（3）同意提供按照贵方可能要求的与磋商有关的一切数据或者资料；</w:t>
      </w:r>
    </w:p>
    <w:p w14:paraId="7D00BB2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（4）响应磋商文件规定的竞标有效期。</w:t>
      </w:r>
    </w:p>
    <w:p w14:paraId="5143D9B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73B4548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14:paraId="34BF8D46">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1E2AB8C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02CFF00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36A116A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4089461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14:paraId="14ACAAD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7A6D0D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E1D6A74">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3831206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6520C218">
      <w:pPr>
        <w:pStyle w:val="15"/>
        <w:spacing w:line="360" w:lineRule="auto"/>
        <w:ind w:firstLine="420" w:firstLineChars="200"/>
        <w:contextualSpacing/>
        <w:rPr>
          <w:rFonts w:hint="eastAsia" w:hAnsi="宋体" w:cs="宋体"/>
          <w:color w:val="auto"/>
          <w:sz w:val="21"/>
          <w:highlight w:val="none"/>
          <w:u w:val="single"/>
        </w:rPr>
      </w:pPr>
      <w:r>
        <w:rPr>
          <w:rFonts w:hint="eastAsia" w:hAnsi="宋体" w:cs="宋体"/>
          <w:color w:val="auto"/>
          <w:sz w:val="21"/>
          <w:highlight w:val="none"/>
        </w:rPr>
        <w:t>7.与本磋商有关的一切正式往来信函请寄：</w:t>
      </w:r>
      <w:r>
        <w:rPr>
          <w:rFonts w:hint="eastAsia" w:hAnsi="宋体" w:cs="宋体"/>
          <w:color w:val="auto"/>
          <w:sz w:val="21"/>
          <w:highlight w:val="none"/>
          <w:u w:val="single"/>
        </w:rPr>
        <w:t xml:space="preserve">                  </w:t>
      </w:r>
      <w:r>
        <w:rPr>
          <w:rFonts w:hint="eastAsia" w:hAnsi="宋体" w:cs="宋体"/>
          <w:color w:val="auto"/>
          <w:sz w:val="21"/>
          <w:highlight w:val="none"/>
        </w:rPr>
        <w:t>邮政编号：</w:t>
      </w:r>
      <w:r>
        <w:rPr>
          <w:rFonts w:hint="eastAsia" w:hAnsi="宋体" w:cs="宋体"/>
          <w:color w:val="auto"/>
          <w:sz w:val="21"/>
          <w:highlight w:val="none"/>
          <w:u w:val="single"/>
        </w:rPr>
        <w:t xml:space="preserve">        </w:t>
      </w:r>
    </w:p>
    <w:p w14:paraId="21719216">
      <w:pPr>
        <w:pStyle w:val="15"/>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电话/传真：</w:t>
      </w:r>
      <w:r>
        <w:rPr>
          <w:rFonts w:hint="eastAsia" w:hAnsi="宋体" w:cs="宋体"/>
          <w:color w:val="auto"/>
          <w:sz w:val="21"/>
          <w:highlight w:val="none"/>
          <w:u w:val="single"/>
        </w:rPr>
        <w:t xml:space="preserve">                        </w:t>
      </w:r>
      <w:r>
        <w:rPr>
          <w:rFonts w:hint="eastAsia" w:hAnsi="宋体" w:cs="宋体"/>
          <w:color w:val="auto"/>
          <w:sz w:val="21"/>
          <w:highlight w:val="none"/>
        </w:rPr>
        <w:t xml:space="preserve"> 电子邮箱：</w:t>
      </w:r>
      <w:r>
        <w:rPr>
          <w:rFonts w:hint="eastAsia" w:hAnsi="宋体" w:cs="宋体"/>
          <w:color w:val="auto"/>
          <w:sz w:val="21"/>
          <w:highlight w:val="none"/>
          <w:u w:val="single"/>
        </w:rPr>
        <w:t xml:space="preserve">                            </w:t>
      </w:r>
      <w:r>
        <w:rPr>
          <w:rFonts w:hint="eastAsia" w:hAnsi="宋体" w:cs="宋体"/>
          <w:color w:val="auto"/>
          <w:sz w:val="21"/>
          <w:highlight w:val="none"/>
        </w:rPr>
        <w:t xml:space="preserve">    </w:t>
      </w:r>
    </w:p>
    <w:p w14:paraId="46E461AA">
      <w:pPr>
        <w:pStyle w:val="14"/>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账号</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p>
    <w:p w14:paraId="4FCF9E79">
      <w:pPr>
        <w:pStyle w:val="14"/>
        <w:tabs>
          <w:tab w:val="left" w:pos="939"/>
        </w:tabs>
        <w:spacing w:line="360" w:lineRule="auto"/>
        <w:ind w:left="0"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8.以上事项如有虚假或者隐瞒，我方愿意承担一切后果，并不再寻求任何旨在减轻或者免除法律责任的辩解。</w:t>
      </w:r>
    </w:p>
    <w:p w14:paraId="12618308">
      <w:pPr>
        <w:pStyle w:val="14"/>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特此承诺。</w:t>
      </w:r>
    </w:p>
    <w:p w14:paraId="06A3EC46">
      <w:pPr>
        <w:spacing w:line="360" w:lineRule="auto"/>
        <w:contextualSpacing/>
        <w:jc w:val="left"/>
        <w:rPr>
          <w:rFonts w:hint="eastAsia" w:ascii="宋体" w:hAnsi="宋体" w:cs="宋体"/>
          <w:color w:val="auto"/>
          <w:szCs w:val="21"/>
          <w:highlight w:val="none"/>
        </w:rPr>
      </w:pPr>
    </w:p>
    <w:p w14:paraId="78786C22">
      <w:pPr>
        <w:spacing w:line="360" w:lineRule="auto"/>
        <w:ind w:firstLine="1575" w:firstLineChars="750"/>
        <w:contextualSpacing/>
        <w:rPr>
          <w:rFonts w:hint="eastAsia" w:ascii="宋体" w:hAnsi="宋体" w:cs="宋体"/>
          <w:color w:val="auto"/>
          <w:szCs w:val="21"/>
          <w:highlight w:val="non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A20A6EE">
      <w:pPr>
        <w:spacing w:line="360" w:lineRule="auto"/>
        <w:ind w:firstLine="3780" w:firstLineChars="1800"/>
        <w:contextualSpacing/>
        <w:rPr>
          <w:rFonts w:hint="eastAsia" w:ascii="宋体" w:hAnsi="宋体" w:cs="宋体"/>
          <w:color w:val="auto"/>
          <w:szCs w:val="21"/>
          <w:highlight w:val="none"/>
          <w:u w:val="singl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381C259C">
      <w:pPr>
        <w:pStyle w:val="14"/>
        <w:tabs>
          <w:tab w:val="left" w:pos="939"/>
        </w:tabs>
        <w:spacing w:line="360" w:lineRule="auto"/>
        <w:ind w:left="0" w:leftChars="0" w:firstLine="420" w:firstLineChars="20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F2A4898">
      <w:pPr>
        <w:jc w:val="center"/>
        <w:outlineLvl w:val="1"/>
        <w:rPr>
          <w:rFonts w:hint="eastAsia" w:ascii="宋体" w:hAnsi="宋体" w:cs="宋体"/>
          <w:color w:val="auto"/>
          <w:sz w:val="44"/>
          <w:szCs w:val="44"/>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中小企业声明函（服务）</w:t>
      </w:r>
    </w:p>
    <w:p w14:paraId="28BCE76B">
      <w:pPr>
        <w:spacing w:before="2" w:line="500" w:lineRule="exact"/>
        <w:ind w:firstLine="708" w:firstLineChars="294"/>
        <w:rPr>
          <w:rFonts w:hint="eastAsia" w:ascii="宋体" w:hAnsi="宋体" w:cs="宋体"/>
          <w:b/>
          <w:bCs/>
          <w:color w:val="auto"/>
          <w:sz w:val="24"/>
          <w:highlight w:val="none"/>
        </w:rPr>
      </w:pPr>
    </w:p>
    <w:p w14:paraId="1EB5113C">
      <w:pPr>
        <w:pStyle w:val="11"/>
        <w:spacing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31A68AC3">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15B3C76F">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rPr>
      </w:pPr>
      <w:r>
        <w:rPr>
          <w:rFonts w:hint="eastAsia" w:ascii="宋体" w:hAnsi="宋体" w:cs="宋体"/>
          <w:color w:val="auto"/>
          <w:szCs w:val="21"/>
          <w:highlight w:val="none"/>
        </w:rPr>
        <w:t>2.</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3CD5D30A">
      <w:pPr>
        <w:pStyle w:val="11"/>
        <w:spacing w:before="34"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3EAC2920">
      <w:pPr>
        <w:pStyle w:val="11"/>
        <w:spacing w:before="34"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5DA26F37">
      <w:pPr>
        <w:pStyle w:val="11"/>
        <w:spacing w:before="25"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124EB10C">
      <w:pPr>
        <w:pStyle w:val="11"/>
        <w:spacing w:before="56" w:line="500" w:lineRule="exact"/>
        <w:ind w:right="1808" w:firstLine="617" w:firstLineChars="294"/>
        <w:rPr>
          <w:rFonts w:hint="eastAsia" w:ascii="宋体" w:hAnsi="宋体" w:cs="宋体"/>
          <w:color w:val="auto"/>
          <w:szCs w:val="21"/>
          <w:highlight w:val="none"/>
        </w:rPr>
      </w:pPr>
    </w:p>
    <w:p w14:paraId="7126D5DF">
      <w:pPr>
        <w:pStyle w:val="11"/>
        <w:spacing w:before="56" w:line="500" w:lineRule="exact"/>
        <w:ind w:right="650" w:firstLine="4922" w:firstLineChars="2344"/>
        <w:rPr>
          <w:rFonts w:hint="eastAsia" w:ascii="宋体" w:hAnsi="宋体" w:cs="宋体"/>
          <w:color w:val="auto"/>
          <w:szCs w:val="21"/>
          <w:highlight w:val="none"/>
        </w:rPr>
      </w:pPr>
      <w:r>
        <w:rPr>
          <w:rFonts w:hint="eastAsia" w:ascii="宋体" w:hAnsi="宋体" w:cs="宋体"/>
          <w:color w:val="auto"/>
          <w:szCs w:val="21"/>
          <w:highlight w:val="none"/>
        </w:rPr>
        <w:t xml:space="preserve">企业名称（盖章或电子签章）： </w:t>
      </w:r>
    </w:p>
    <w:p w14:paraId="14D4144B">
      <w:pPr>
        <w:pStyle w:val="11"/>
        <w:spacing w:before="56" w:line="500" w:lineRule="exact"/>
        <w:ind w:right="1808" w:firstLine="4922" w:firstLineChars="2344"/>
        <w:rPr>
          <w:rFonts w:hint="eastAsia" w:ascii="宋体" w:hAnsi="宋体" w:cs="宋体"/>
          <w:color w:val="auto"/>
          <w:szCs w:val="21"/>
          <w:highlight w:val="none"/>
        </w:rPr>
      </w:pPr>
      <w:r>
        <w:rPr>
          <w:rFonts w:hint="eastAsia" w:ascii="宋体" w:hAnsi="宋体" w:cs="宋体"/>
          <w:color w:val="auto"/>
          <w:szCs w:val="21"/>
          <w:highlight w:val="none"/>
        </w:rPr>
        <w:t>日 期：</w:t>
      </w:r>
    </w:p>
    <w:p w14:paraId="13872C58">
      <w:pPr>
        <w:spacing w:line="520" w:lineRule="exact"/>
        <w:jc w:val="left"/>
        <w:rPr>
          <w:rFonts w:hint="eastAsia" w:ascii="宋体" w:hAnsi="宋体" w:cs="宋体"/>
          <w:color w:val="auto"/>
          <w:szCs w:val="21"/>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05B2CB">
      <w:pPr>
        <w:spacing w:line="520" w:lineRule="exact"/>
        <w:jc w:val="center"/>
        <w:outlineLvl w:val="1"/>
        <w:rPr>
          <w:rFonts w:hint="eastAsia" w:ascii="宋体" w:hAnsi="宋体" w:cs="宋体"/>
          <w:color w:val="auto"/>
          <w:sz w:val="32"/>
          <w:szCs w:val="32"/>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残疾人福利性单位声明函</w:t>
      </w:r>
    </w:p>
    <w:p w14:paraId="3DE3FBF2">
      <w:pPr>
        <w:spacing w:line="360" w:lineRule="auto"/>
        <w:contextualSpacing/>
        <w:rPr>
          <w:rFonts w:hint="eastAsia" w:ascii="宋体" w:hAnsi="宋体" w:cs="宋体"/>
          <w:color w:val="auto"/>
          <w:sz w:val="32"/>
          <w:szCs w:val="32"/>
          <w:highlight w:val="none"/>
        </w:rPr>
      </w:pPr>
    </w:p>
    <w:p w14:paraId="0A93BA12">
      <w:pPr>
        <w:spacing w:line="4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73AA909D">
      <w:pPr>
        <w:spacing w:line="4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161C7301">
      <w:pPr>
        <w:spacing w:line="420" w:lineRule="exact"/>
        <w:contextualSpacing/>
        <w:rPr>
          <w:rFonts w:hint="eastAsia" w:ascii="宋体" w:hAnsi="宋体" w:cs="宋体"/>
          <w:color w:val="auto"/>
          <w:szCs w:val="21"/>
          <w:highlight w:val="none"/>
        </w:rPr>
      </w:pPr>
    </w:p>
    <w:p w14:paraId="55DC1BE9">
      <w:pPr>
        <w:spacing w:line="420" w:lineRule="exact"/>
        <w:contextualSpacing/>
        <w:rPr>
          <w:rFonts w:hint="eastAsia" w:ascii="宋体" w:hAnsi="宋体" w:cs="宋体"/>
          <w:color w:val="auto"/>
          <w:szCs w:val="21"/>
          <w:highlight w:val="none"/>
        </w:rPr>
      </w:pPr>
    </w:p>
    <w:p w14:paraId="4E27FB1A">
      <w:pPr>
        <w:spacing w:line="420" w:lineRule="exact"/>
        <w:contextualSpacing/>
        <w:rPr>
          <w:rFonts w:hint="eastAsia" w:ascii="宋体" w:hAnsi="宋体" w:cs="宋体"/>
          <w:color w:val="auto"/>
          <w:szCs w:val="21"/>
          <w:highlight w:val="none"/>
        </w:rPr>
      </w:pPr>
    </w:p>
    <w:p w14:paraId="6AAB5D2D">
      <w:pPr>
        <w:spacing w:line="420" w:lineRule="exact"/>
        <w:ind w:firstLine="2100" w:firstLineChars="1000"/>
        <w:contextualSpacing/>
        <w:rPr>
          <w:rFonts w:hint="eastAsia" w:ascii="宋体" w:hAnsi="宋体" w:cs="宋体"/>
          <w:color w:val="auto"/>
          <w:szCs w:val="21"/>
          <w:highlight w:val="none"/>
        </w:rPr>
      </w:pPr>
      <w:r>
        <w:rPr>
          <w:rFonts w:hint="eastAsia" w:ascii="宋体" w:hAnsi="宋体" w:cs="宋体"/>
          <w:color w:val="auto"/>
          <w:szCs w:val="21"/>
          <w:highlight w:val="none"/>
        </w:rPr>
        <w:t>单位名称（盖章或电子签章）：</w:t>
      </w:r>
    </w:p>
    <w:p w14:paraId="79B5190D">
      <w:pPr>
        <w:spacing w:line="420" w:lineRule="exact"/>
        <w:ind w:firstLine="3150" w:firstLineChars="1500"/>
        <w:contextualSpacing/>
        <w:rPr>
          <w:rFonts w:hint="eastAsia" w:ascii="宋体" w:hAnsi="宋体" w:cs="宋体"/>
          <w:color w:val="auto"/>
          <w:szCs w:val="21"/>
          <w:highlight w:val="none"/>
        </w:rPr>
      </w:pPr>
      <w:r>
        <w:rPr>
          <w:rFonts w:hint="eastAsia" w:ascii="宋体" w:hAnsi="宋体" w:cs="宋体"/>
          <w:color w:val="auto"/>
          <w:szCs w:val="21"/>
          <w:highlight w:val="none"/>
        </w:rPr>
        <w:t>日  期：</w:t>
      </w:r>
    </w:p>
    <w:p w14:paraId="6757E898">
      <w:pPr>
        <w:spacing w:line="420" w:lineRule="exact"/>
        <w:contextualSpacing/>
        <w:rPr>
          <w:rFonts w:hint="eastAsia" w:ascii="宋体" w:hAnsi="宋体" w:cs="宋体"/>
          <w:color w:val="auto"/>
          <w:szCs w:val="21"/>
          <w:highlight w:val="none"/>
        </w:rPr>
      </w:pPr>
    </w:p>
    <w:p w14:paraId="41B3EA4E">
      <w:pPr>
        <w:spacing w:line="420" w:lineRule="exact"/>
        <w:contextualSpacing/>
        <w:rPr>
          <w:rFonts w:hint="eastAsia" w:ascii="宋体" w:hAnsi="宋体" w:cs="宋体"/>
          <w:color w:val="auto"/>
          <w:szCs w:val="21"/>
          <w:highlight w:val="none"/>
        </w:rPr>
      </w:pPr>
    </w:p>
    <w:p w14:paraId="33C1DB7C">
      <w:pPr>
        <w:spacing w:line="420" w:lineRule="exact"/>
        <w:contextualSpacing/>
        <w:rPr>
          <w:rFonts w:hint="eastAsia" w:ascii="宋体" w:hAnsi="宋体" w:cs="宋体"/>
          <w:color w:val="auto"/>
          <w:szCs w:val="21"/>
          <w:highlight w:val="none"/>
        </w:rPr>
      </w:pPr>
    </w:p>
    <w:p w14:paraId="2AE71999">
      <w:pPr>
        <w:spacing w:line="420" w:lineRule="exact"/>
        <w:contextualSpacing/>
        <w:rPr>
          <w:rFonts w:hint="eastAsia" w:ascii="宋体" w:hAnsi="宋体" w:cs="宋体"/>
          <w:color w:val="auto"/>
          <w:sz w:val="24"/>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结果时，同时公告其《残疾人福利性单位声明函》，接受社会监督</w:t>
      </w:r>
      <w:r>
        <w:rPr>
          <w:rFonts w:hint="eastAsia" w:ascii="宋体" w:hAnsi="宋体" w:cs="宋体"/>
          <w:color w:val="auto"/>
          <w:sz w:val="24"/>
          <w:highlight w:val="none"/>
        </w:rPr>
        <w:t>。</w:t>
      </w:r>
    </w:p>
    <w:p w14:paraId="3832BAE1">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E21CFC3">
      <w:pPr>
        <w:snapToGrid w:val="0"/>
        <w:spacing w:before="12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05AC9D8E">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92FB134">
      <w:pPr>
        <w:snapToGrid w:val="0"/>
        <w:spacing w:before="12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6C86F8">
      <w:pPr>
        <w:snapToGrid w:val="0"/>
        <w:spacing w:before="120" w:beforeLines="50" w:after="50"/>
        <w:rPr>
          <w:rFonts w:hint="eastAsia" w:ascii="宋体" w:hAnsi="宋体" w:cs="宋体"/>
          <w:color w:val="auto"/>
          <w:sz w:val="24"/>
          <w:szCs w:val="20"/>
          <w:highlight w:val="none"/>
        </w:rPr>
      </w:pPr>
    </w:p>
    <w:p w14:paraId="78D0E6C1">
      <w:pPr>
        <w:snapToGrid w:val="0"/>
        <w:spacing w:before="120" w:beforeLines="50" w:after="50"/>
        <w:rPr>
          <w:rFonts w:hint="eastAsia" w:ascii="宋体" w:hAnsi="宋体" w:cs="宋体"/>
          <w:color w:val="auto"/>
          <w:sz w:val="24"/>
          <w:szCs w:val="20"/>
          <w:highlight w:val="none"/>
        </w:rPr>
      </w:pPr>
    </w:p>
    <w:p w14:paraId="1D43273F">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5B051C22">
      <w:pPr>
        <w:snapToGrid w:val="0"/>
        <w:spacing w:before="120" w:beforeLines="50" w:after="50"/>
        <w:rPr>
          <w:rFonts w:hint="eastAsia" w:ascii="宋体" w:hAnsi="宋体" w:cs="宋体"/>
          <w:bCs/>
          <w:color w:val="auto"/>
          <w:sz w:val="24"/>
          <w:szCs w:val="20"/>
          <w:highlight w:val="none"/>
        </w:rPr>
      </w:pPr>
    </w:p>
    <w:p w14:paraId="01BBE7CA">
      <w:pPr>
        <w:snapToGrid w:val="0"/>
        <w:spacing w:before="120" w:beforeLines="50" w:after="50"/>
        <w:rPr>
          <w:rFonts w:hint="eastAsia" w:ascii="宋体" w:hAnsi="宋体" w:cs="宋体"/>
          <w:bCs/>
          <w:color w:val="auto"/>
          <w:sz w:val="24"/>
          <w:szCs w:val="20"/>
          <w:highlight w:val="none"/>
        </w:rPr>
      </w:pPr>
    </w:p>
    <w:p w14:paraId="5FCA2EEC">
      <w:pPr>
        <w:snapToGrid w:val="0"/>
        <w:spacing w:before="120" w:beforeLines="50" w:after="50"/>
        <w:rPr>
          <w:rFonts w:hint="eastAsia" w:ascii="宋体" w:hAnsi="宋体" w:cs="宋体"/>
          <w:bCs/>
          <w:color w:val="auto"/>
          <w:sz w:val="24"/>
          <w:szCs w:val="20"/>
          <w:highlight w:val="none"/>
        </w:rPr>
      </w:pPr>
    </w:p>
    <w:p w14:paraId="6D8DA262">
      <w:pPr>
        <w:snapToGrid w:val="0"/>
        <w:spacing w:before="120" w:beforeLines="50" w:after="50"/>
        <w:rPr>
          <w:rFonts w:hint="eastAsia" w:ascii="宋体" w:hAnsi="宋体" w:cs="宋体"/>
          <w:bCs/>
          <w:color w:val="auto"/>
          <w:sz w:val="24"/>
          <w:szCs w:val="20"/>
          <w:highlight w:val="none"/>
        </w:rPr>
      </w:pPr>
    </w:p>
    <w:p w14:paraId="38D50AB3">
      <w:pPr>
        <w:snapToGrid w:val="0"/>
        <w:spacing w:before="120" w:beforeLines="50" w:after="50"/>
        <w:rPr>
          <w:rFonts w:hint="eastAsia" w:ascii="宋体" w:hAnsi="宋体" w:cs="宋体"/>
          <w:bCs/>
          <w:color w:val="auto"/>
          <w:sz w:val="24"/>
          <w:szCs w:val="20"/>
          <w:highlight w:val="none"/>
        </w:rPr>
      </w:pPr>
    </w:p>
    <w:p w14:paraId="6D0E4E78">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6EAAF61F">
      <w:pPr>
        <w:snapToGrid w:val="0"/>
        <w:spacing w:before="120" w:beforeLines="50" w:after="50"/>
        <w:ind w:firstLine="720" w:firstLineChars="225"/>
        <w:rPr>
          <w:rFonts w:hint="eastAsia" w:ascii="宋体" w:hAnsi="宋体" w:cs="宋体"/>
          <w:bCs/>
          <w:color w:val="auto"/>
          <w:sz w:val="32"/>
          <w:szCs w:val="32"/>
          <w:highlight w:val="none"/>
        </w:rPr>
      </w:pPr>
    </w:p>
    <w:p w14:paraId="5EA47FA5">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94BDDF9">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4EF40E9E">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FF6C759">
      <w:pPr>
        <w:snapToGrid w:val="0"/>
        <w:spacing w:before="120" w:beforeLines="50" w:after="50"/>
        <w:ind w:firstLine="720" w:firstLineChars="225"/>
        <w:rPr>
          <w:rFonts w:hint="eastAsia" w:ascii="宋体" w:hAnsi="宋体" w:cs="宋体"/>
          <w:bCs/>
          <w:color w:val="auto"/>
          <w:sz w:val="32"/>
          <w:szCs w:val="32"/>
          <w:highlight w:val="none"/>
        </w:rPr>
      </w:pPr>
    </w:p>
    <w:p w14:paraId="327E54C5">
      <w:pPr>
        <w:pStyle w:val="8"/>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1725C323">
      <w:pPr>
        <w:pStyle w:val="8"/>
        <w:snapToGrid w:val="0"/>
        <w:spacing w:before="50" w:after="50"/>
        <w:ind w:firstLine="640" w:firstLineChars="200"/>
        <w:rPr>
          <w:rFonts w:hint="eastAsia" w:ascii="宋体" w:hAnsi="宋体" w:cs="宋体"/>
          <w:bCs/>
          <w:color w:val="auto"/>
          <w:sz w:val="32"/>
          <w:szCs w:val="32"/>
          <w:highlight w:val="none"/>
        </w:rPr>
      </w:pPr>
    </w:p>
    <w:p w14:paraId="19B7DFE6">
      <w:pPr>
        <w:pStyle w:val="8"/>
        <w:snapToGrid w:val="0"/>
        <w:spacing w:before="50" w:after="50"/>
        <w:ind w:firstLine="720" w:firstLineChars="225"/>
        <w:rPr>
          <w:rFonts w:hint="eastAsia" w:ascii="宋体" w:hAnsi="宋体" w:cs="宋体"/>
          <w:bCs/>
          <w:color w:val="auto"/>
          <w:sz w:val="32"/>
          <w:szCs w:val="32"/>
          <w:highlight w:val="none"/>
        </w:rPr>
      </w:pPr>
    </w:p>
    <w:p w14:paraId="55DEED26">
      <w:pPr>
        <w:pStyle w:val="8"/>
        <w:snapToGrid w:val="0"/>
        <w:spacing w:before="50" w:after="50"/>
        <w:ind w:firstLine="0"/>
        <w:rPr>
          <w:rFonts w:hint="eastAsia" w:ascii="宋体" w:hAnsi="宋体" w:cs="宋体"/>
          <w:bCs/>
          <w:color w:val="auto"/>
          <w:sz w:val="32"/>
          <w:szCs w:val="32"/>
          <w:highlight w:val="none"/>
        </w:rPr>
      </w:pPr>
    </w:p>
    <w:p w14:paraId="7D1B44D9">
      <w:pPr>
        <w:pStyle w:val="8"/>
        <w:snapToGrid w:val="0"/>
        <w:spacing w:before="50" w:after="50"/>
        <w:ind w:firstLine="1280" w:firstLineChars="400"/>
        <w:rPr>
          <w:rFonts w:hint="eastAsia" w:ascii="宋体" w:hAnsi="宋体" w:cs="宋体"/>
          <w:bCs/>
          <w:color w:val="auto"/>
          <w:sz w:val="32"/>
          <w:szCs w:val="32"/>
          <w:highlight w:val="none"/>
        </w:rPr>
      </w:pPr>
    </w:p>
    <w:p w14:paraId="0A8DA01A">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7455D1CC">
      <w:pPr>
        <w:snapToGrid w:val="0"/>
        <w:spacing w:before="120" w:beforeLines="5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2.报价文件目录</w:t>
      </w:r>
    </w:p>
    <w:p w14:paraId="1465A1BB">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w:t>
      </w:r>
    </w:p>
    <w:p w14:paraId="7746D3E8">
      <w:pPr>
        <w:spacing w:line="520" w:lineRule="exact"/>
        <w:jc w:val="center"/>
        <w:outlineLvl w:val="9"/>
        <w:rPr>
          <w:rFonts w:hint="eastAsia" w:ascii="宋体" w:hAnsi="宋体" w:eastAsia="宋体" w:cs="宋体"/>
          <w:bCs/>
          <w:color w:val="auto"/>
          <w:sz w:val="44"/>
          <w:szCs w:val="44"/>
          <w:highlight w:val="none"/>
          <w:lang w:val="en-US" w:eastAsia="zh-CN"/>
        </w:rPr>
      </w:pPr>
      <w:r>
        <w:rPr>
          <w:rFonts w:hint="eastAsia" w:ascii="宋体" w:hAnsi="宋体" w:cs="宋体"/>
          <w:color w:val="auto"/>
          <w:sz w:val="32"/>
          <w:szCs w:val="32"/>
          <w:highlight w:val="none"/>
        </w:rPr>
        <w:t>（部分格式后附）。</w:t>
      </w:r>
      <w:r>
        <w:rPr>
          <w:rFonts w:hint="eastAsia" w:ascii="宋体" w:hAnsi="宋体" w:cs="宋体"/>
          <w:b/>
          <w:bCs/>
          <w:color w:val="auto"/>
          <w:sz w:val="32"/>
          <w:szCs w:val="32"/>
          <w:highlight w:val="none"/>
        </w:rPr>
        <w:br w:type="page"/>
      </w:r>
      <w:r>
        <w:rPr>
          <w:rFonts w:hint="eastAsia" w:ascii="宋体" w:hAnsi="宋体" w:cs="宋体"/>
          <w:bCs/>
          <w:color w:val="auto"/>
          <w:sz w:val="44"/>
          <w:szCs w:val="44"/>
          <w:highlight w:val="none"/>
        </w:rPr>
        <w:t>竞  标  报  价  表</w:t>
      </w:r>
      <w:r>
        <w:rPr>
          <w:rFonts w:hint="eastAsia" w:ascii="宋体" w:hAnsi="宋体" w:cs="宋体"/>
          <w:bCs/>
          <w:color w:val="auto"/>
          <w:sz w:val="44"/>
          <w:szCs w:val="44"/>
          <w:highlight w:val="none"/>
          <w:lang w:val="en-US" w:eastAsia="zh-CN"/>
        </w:rPr>
        <w:t xml:space="preserve"> （1）</w:t>
      </w:r>
    </w:p>
    <w:p w14:paraId="42702B67">
      <w:pPr>
        <w:spacing w:line="520" w:lineRule="exact"/>
        <w:jc w:val="center"/>
        <w:outlineLvl w:val="9"/>
        <w:rPr>
          <w:rFonts w:hint="default" w:ascii="宋体" w:hAnsi="宋体" w:eastAsia="宋体" w:cs="宋体"/>
          <w:bCs/>
          <w:color w:val="auto"/>
          <w:sz w:val="44"/>
          <w:szCs w:val="44"/>
          <w:highlight w:val="none"/>
          <w:lang w:val="en-US" w:eastAsia="zh-CN"/>
        </w:rPr>
      </w:pPr>
      <w:r>
        <w:rPr>
          <w:rFonts w:hint="eastAsia" w:ascii="宋体" w:hAnsi="宋体" w:cs="宋体"/>
          <w:b/>
          <w:bCs w:val="0"/>
          <w:color w:val="auto"/>
          <w:sz w:val="32"/>
          <w:szCs w:val="32"/>
          <w:highlight w:val="none"/>
          <w:lang w:val="en-US" w:eastAsia="zh-CN"/>
        </w:rPr>
        <w:t>A分标、C分标竞标报价表</w:t>
      </w:r>
    </w:p>
    <w:p w14:paraId="34CC7963">
      <w:pPr>
        <w:spacing w:line="440" w:lineRule="exact"/>
        <w:jc w:val="center"/>
        <w:rPr>
          <w:rFonts w:hint="eastAsia" w:ascii="宋体" w:hAnsi="宋体" w:cs="宋体"/>
          <w:bCs/>
          <w:color w:val="auto"/>
          <w:sz w:val="32"/>
          <w:szCs w:val="32"/>
          <w:highlight w:val="none"/>
        </w:rPr>
      </w:pPr>
    </w:p>
    <w:p w14:paraId="35A8444F">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7220235">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CB8E5BC">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所竞分标：</w:t>
      </w:r>
      <w:r>
        <w:rPr>
          <w:rFonts w:hint="eastAsia" w:ascii="宋体" w:hAnsi="宋体" w:cs="宋体"/>
          <w:b/>
          <w:bCs/>
          <w:color w:val="auto"/>
          <w:szCs w:val="21"/>
          <w:highlight w:val="none"/>
          <w:u w:val="single"/>
          <w:lang w:val="en-US" w:eastAsia="zh-CN"/>
        </w:rPr>
        <w:t xml:space="preserve">      </w:t>
      </w:r>
      <w:r>
        <w:rPr>
          <w:rFonts w:hint="eastAsia" w:ascii="宋体" w:hAnsi="宋体" w:cs="宋体"/>
          <w:color w:val="auto"/>
          <w:szCs w:val="21"/>
          <w:highlight w:val="none"/>
          <w:lang w:val="en-US" w:eastAsia="zh-CN"/>
        </w:rPr>
        <w:t xml:space="preserve">        </w:t>
      </w:r>
    </w:p>
    <w:p w14:paraId="5DD081AE">
      <w:pPr>
        <w:spacing w:line="360" w:lineRule="auto"/>
        <w:contextualSpacing/>
        <w:jc w:val="right"/>
        <w:rPr>
          <w:rFonts w:hint="eastAsia" w:ascii="宋体" w:hAnsi="宋体" w:cs="宋体"/>
          <w:color w:val="auto"/>
          <w:szCs w:val="21"/>
          <w:highlight w:val="none"/>
        </w:rPr>
      </w:pPr>
      <w:r>
        <w:rPr>
          <w:rFonts w:hint="eastAsia" w:ascii="宋体" w:hAnsi="宋体" w:cs="宋体"/>
          <w:color w:val="auto"/>
          <w:szCs w:val="21"/>
          <w:highlight w:val="none"/>
        </w:rPr>
        <w:t>单位：元</w:t>
      </w:r>
    </w:p>
    <w:tbl>
      <w:tblPr>
        <w:tblStyle w:val="20"/>
        <w:tblW w:w="954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2451"/>
        <w:gridCol w:w="1395"/>
        <w:gridCol w:w="1854"/>
        <w:gridCol w:w="1524"/>
        <w:gridCol w:w="1184"/>
      </w:tblGrid>
      <w:tr w14:paraId="5265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50873E6C">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78D81541">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项目内容</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072E1CE9">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数量及单位①</w:t>
            </w:r>
          </w:p>
        </w:tc>
        <w:tc>
          <w:tcPr>
            <w:tcW w:w="1854" w:type="dxa"/>
            <w:tcBorders>
              <w:top w:val="single" w:color="auto" w:sz="4" w:space="0"/>
              <w:left w:val="single" w:color="auto" w:sz="4" w:space="0"/>
              <w:bottom w:val="single" w:color="auto" w:sz="4" w:space="0"/>
              <w:right w:val="single" w:color="auto" w:sz="4" w:space="0"/>
            </w:tcBorders>
            <w:noWrap w:val="0"/>
            <w:vAlign w:val="center"/>
          </w:tcPr>
          <w:p w14:paraId="44CD878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单价(元)②</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4FDF832C">
            <w:pPr>
              <w:rPr>
                <w:rFonts w:hint="eastAsia" w:ascii="宋体" w:hAnsi="宋体" w:cs="宋体"/>
                <w:color w:val="auto"/>
                <w:szCs w:val="21"/>
                <w:highlight w:val="none"/>
              </w:rPr>
            </w:pPr>
            <w:r>
              <w:rPr>
                <w:rFonts w:hint="eastAsia" w:ascii="宋体" w:hAnsi="宋体" w:cs="宋体"/>
                <w:color w:val="auto"/>
                <w:szCs w:val="21"/>
                <w:highlight w:val="none"/>
              </w:rPr>
              <w:t>单项合价（元）</w:t>
            </w:r>
          </w:p>
          <w:p w14:paraId="02366939">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③＝①×②</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1FDAAD8">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6EB6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3B2AA243">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5087EE58">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5AD0AF11">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5109283B">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52E9C252">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521201FA">
            <w:pPr>
              <w:spacing w:line="360" w:lineRule="auto"/>
              <w:contextualSpacing/>
              <w:rPr>
                <w:rFonts w:hint="eastAsia" w:ascii="宋体" w:hAnsi="宋体" w:cs="宋体"/>
                <w:color w:val="auto"/>
                <w:szCs w:val="21"/>
                <w:highlight w:val="none"/>
              </w:rPr>
            </w:pPr>
          </w:p>
        </w:tc>
      </w:tr>
      <w:tr w14:paraId="518B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3A6E80A9">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6618098F">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233FEF91">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1492B297">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1C7A4B8C">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E7874CD">
            <w:pPr>
              <w:spacing w:line="360" w:lineRule="auto"/>
              <w:contextualSpacing/>
              <w:rPr>
                <w:rFonts w:hint="eastAsia" w:ascii="宋体" w:hAnsi="宋体" w:cs="宋体"/>
                <w:color w:val="auto"/>
                <w:szCs w:val="21"/>
                <w:highlight w:val="none"/>
              </w:rPr>
            </w:pPr>
          </w:p>
        </w:tc>
      </w:tr>
      <w:tr w14:paraId="217D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27E14BE9">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1CB636BC">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20339312">
            <w:pPr>
              <w:spacing w:line="360" w:lineRule="auto"/>
              <w:contextualSpacing/>
              <w:jc w:val="center"/>
              <w:rPr>
                <w:rFonts w:hint="eastAsia" w:ascii="宋体" w:hAnsi="宋体" w:cs="宋体"/>
                <w:color w:val="auto"/>
                <w:szCs w:val="21"/>
                <w:highlight w:val="none"/>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1B4C4E2C">
            <w:pPr>
              <w:spacing w:line="360" w:lineRule="auto"/>
              <w:contextualSpacing/>
              <w:rPr>
                <w:rFonts w:hint="eastAsia" w:ascii="宋体" w:hAnsi="宋体" w:cs="宋体"/>
                <w:color w:val="auto"/>
                <w:szCs w:val="21"/>
                <w:highlight w:val="none"/>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4E27E46A">
            <w:pPr>
              <w:spacing w:line="360" w:lineRule="auto"/>
              <w:contextualSpacing/>
              <w:rPr>
                <w:rFonts w:hint="eastAsia" w:ascii="宋体" w:hAnsi="宋体" w:cs="宋体"/>
                <w:color w:val="auto"/>
                <w:szCs w:val="21"/>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830E259">
            <w:pPr>
              <w:spacing w:line="360" w:lineRule="auto"/>
              <w:contextualSpacing/>
              <w:rPr>
                <w:rFonts w:hint="eastAsia" w:ascii="宋体" w:hAnsi="宋体" w:cs="宋体"/>
                <w:color w:val="auto"/>
                <w:szCs w:val="21"/>
                <w:highlight w:val="none"/>
              </w:rPr>
            </w:pPr>
          </w:p>
        </w:tc>
      </w:tr>
      <w:tr w14:paraId="2FE7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548" w:type="dxa"/>
            <w:gridSpan w:val="6"/>
            <w:tcBorders>
              <w:top w:val="single" w:color="auto" w:sz="4" w:space="0"/>
              <w:left w:val="single" w:color="auto" w:sz="4" w:space="0"/>
              <w:bottom w:val="single" w:color="auto" w:sz="4" w:space="0"/>
              <w:right w:val="single" w:color="auto" w:sz="4" w:space="0"/>
            </w:tcBorders>
            <w:noWrap w:val="0"/>
            <w:vAlign w:val="center"/>
          </w:tcPr>
          <w:p w14:paraId="2B44947F">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合计金额大写：人民币           （￥           ）</w:t>
            </w:r>
          </w:p>
        </w:tc>
      </w:tr>
    </w:tbl>
    <w:p w14:paraId="0F02D442">
      <w:pPr>
        <w:spacing w:line="360" w:lineRule="auto"/>
        <w:contextualSpacing/>
        <w:jc w:val="left"/>
        <w:rPr>
          <w:rFonts w:hint="eastAsia" w:ascii="宋体" w:hAnsi="宋体" w:cs="宋体"/>
          <w:color w:val="auto"/>
          <w:szCs w:val="21"/>
          <w:highlight w:val="none"/>
        </w:rPr>
      </w:pPr>
    </w:p>
    <w:p w14:paraId="2847F7E7">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07ECFF4A">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 供应商的报价表必须加盖供应商电子签章并由法定代表人或者委托代理人签字或者电子签名，</w:t>
      </w:r>
      <w:r>
        <w:rPr>
          <w:rFonts w:hint="eastAsia" w:ascii="宋体" w:hAnsi="宋体" w:cs="宋体"/>
          <w:b/>
          <w:color w:val="auto"/>
          <w:szCs w:val="21"/>
          <w:highlight w:val="none"/>
        </w:rPr>
        <w:t>否则其响应文件按无效处理</w:t>
      </w:r>
      <w:r>
        <w:rPr>
          <w:rFonts w:hint="eastAsia" w:ascii="宋体" w:hAnsi="宋体" w:cs="宋体"/>
          <w:color w:val="auto"/>
          <w:szCs w:val="21"/>
          <w:highlight w:val="none"/>
        </w:rPr>
        <w:t>。</w:t>
      </w:r>
    </w:p>
    <w:p w14:paraId="4E6E74E6">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 xml:space="preserve"> 报价一经涂改，应在涂改处加盖供应商公章或者加盖电子签章或者由法定代表人或者授权委托人签字（或者电子签名）</w:t>
      </w:r>
      <w:r>
        <w:rPr>
          <w:rFonts w:hint="eastAsia" w:ascii="宋体" w:hAnsi="宋体" w:cs="宋体"/>
          <w:b/>
          <w:color w:val="auto"/>
          <w:szCs w:val="21"/>
          <w:highlight w:val="none"/>
        </w:rPr>
        <w:t>，否则其响应文件按无效处理。</w:t>
      </w:r>
    </w:p>
    <w:p w14:paraId="7D0AF597">
      <w:pPr>
        <w:spacing w:line="360" w:lineRule="auto"/>
        <w:ind w:firstLine="480" w:firstLineChars="200"/>
        <w:contextualSpacing/>
        <w:rPr>
          <w:rFonts w:hint="eastAsia" w:ascii="宋体" w:hAnsi="宋体" w:cs="宋体"/>
          <w:color w:val="auto"/>
          <w:sz w:val="24"/>
          <w:highlight w:val="none"/>
        </w:rPr>
      </w:pPr>
    </w:p>
    <w:p w14:paraId="34E0568D">
      <w:pPr>
        <w:spacing w:line="360" w:lineRule="auto"/>
        <w:ind w:right="-817" w:rightChars="-389"/>
        <w:contextualSpacing/>
        <w:rPr>
          <w:rFonts w:hint="eastAsia" w:ascii="宋体" w:hAnsi="宋体" w:cs="宋体"/>
          <w:color w:val="auto"/>
          <w:sz w:val="24"/>
          <w:highlight w:val="none"/>
        </w:rPr>
      </w:pPr>
    </w:p>
    <w:p w14:paraId="6320C18B">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7B9B1678">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供应商（电子签章）：      </w:t>
      </w:r>
    </w:p>
    <w:p w14:paraId="59BA9E12">
      <w:pPr>
        <w:spacing w:line="360" w:lineRule="auto"/>
        <w:ind w:right="-817" w:rightChars="-389" w:firstLine="4080" w:firstLineChars="1700"/>
        <w:contextualSpacing/>
        <w:rPr>
          <w:rFonts w:hint="eastAsia" w:ascii="宋体" w:hAnsi="宋体" w:cs="宋体"/>
          <w:b/>
          <w:color w:val="auto"/>
          <w:sz w:val="24"/>
          <w:highlight w:val="none"/>
        </w:rPr>
      </w:pPr>
      <w:r>
        <w:rPr>
          <w:rFonts w:hint="eastAsia" w:ascii="宋体" w:hAnsi="宋体" w:cs="宋体"/>
          <w:color w:val="auto"/>
          <w:sz w:val="24"/>
          <w:highlight w:val="none"/>
        </w:rPr>
        <w:t>日期：   年   月   日</w:t>
      </w:r>
    </w:p>
    <w:p w14:paraId="12070D29">
      <w:pPr>
        <w:spacing w:line="360" w:lineRule="auto"/>
        <w:ind w:right="420"/>
        <w:contextualSpacing/>
        <w:jc w:val="lef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7F85EB72">
      <w:pPr>
        <w:spacing w:line="520" w:lineRule="exact"/>
        <w:jc w:val="center"/>
        <w:outlineLvl w:val="9"/>
        <w:rPr>
          <w:rFonts w:hint="eastAsia" w:ascii="宋体" w:hAnsi="宋体" w:eastAsia="宋体" w:cs="宋体"/>
          <w:bCs/>
          <w:color w:val="auto"/>
          <w:sz w:val="44"/>
          <w:szCs w:val="44"/>
          <w:highlight w:val="none"/>
          <w:lang w:val="en-US" w:eastAsia="zh-CN"/>
        </w:rPr>
      </w:pPr>
      <w:r>
        <w:rPr>
          <w:rFonts w:hint="eastAsia" w:ascii="宋体" w:hAnsi="宋体" w:cs="宋体"/>
          <w:bCs/>
          <w:color w:val="auto"/>
          <w:sz w:val="44"/>
          <w:szCs w:val="44"/>
          <w:highlight w:val="none"/>
        </w:rPr>
        <w:t>竞  标  报  价  表</w:t>
      </w:r>
      <w:r>
        <w:rPr>
          <w:rFonts w:hint="eastAsia" w:ascii="宋体" w:hAnsi="宋体" w:cs="宋体"/>
          <w:bCs/>
          <w:color w:val="auto"/>
          <w:sz w:val="44"/>
          <w:szCs w:val="44"/>
          <w:highlight w:val="none"/>
          <w:lang w:val="en-US" w:eastAsia="zh-CN"/>
        </w:rPr>
        <w:t xml:space="preserve"> （2）</w:t>
      </w:r>
    </w:p>
    <w:p w14:paraId="2F5AD1EB">
      <w:pPr>
        <w:spacing w:line="520" w:lineRule="exact"/>
        <w:jc w:val="center"/>
        <w:outlineLvl w:val="9"/>
        <w:rPr>
          <w:rFonts w:hint="default" w:ascii="宋体" w:hAnsi="宋体" w:eastAsia="宋体" w:cs="宋体"/>
          <w:bCs/>
          <w:color w:val="auto"/>
          <w:sz w:val="44"/>
          <w:szCs w:val="44"/>
          <w:highlight w:val="none"/>
          <w:lang w:val="en-US" w:eastAsia="zh-CN"/>
        </w:rPr>
      </w:pPr>
      <w:r>
        <w:rPr>
          <w:rFonts w:hint="eastAsia" w:ascii="宋体" w:hAnsi="宋体" w:cs="宋体"/>
          <w:b/>
          <w:bCs w:val="0"/>
          <w:color w:val="auto"/>
          <w:sz w:val="32"/>
          <w:szCs w:val="32"/>
          <w:highlight w:val="none"/>
          <w:lang w:val="en-US" w:eastAsia="zh-CN"/>
        </w:rPr>
        <w:t>B分标竞标报价表</w:t>
      </w:r>
    </w:p>
    <w:p w14:paraId="7AD57152">
      <w:pPr>
        <w:spacing w:line="440" w:lineRule="exact"/>
        <w:jc w:val="center"/>
        <w:rPr>
          <w:rFonts w:hint="eastAsia" w:ascii="宋体" w:hAnsi="宋体" w:cs="宋体"/>
          <w:bCs/>
          <w:color w:val="auto"/>
          <w:sz w:val="32"/>
          <w:szCs w:val="32"/>
          <w:highlight w:val="none"/>
        </w:rPr>
      </w:pPr>
    </w:p>
    <w:p w14:paraId="6A1DF46E">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074EB4FF">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9038B44">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lang w:val="en-US" w:eastAsia="zh-CN"/>
        </w:rPr>
        <w:t>所竞分标：</w:t>
      </w:r>
      <w:r>
        <w:rPr>
          <w:rFonts w:hint="eastAsia" w:ascii="宋体" w:hAnsi="宋体" w:cs="宋体"/>
          <w:b/>
          <w:bCs/>
          <w:color w:val="auto"/>
          <w:szCs w:val="21"/>
          <w:highlight w:val="none"/>
          <w:u w:val="single"/>
          <w:lang w:val="en-US" w:eastAsia="zh-CN"/>
        </w:rPr>
        <w:t xml:space="preserve">      </w:t>
      </w:r>
      <w:r>
        <w:rPr>
          <w:rFonts w:hint="eastAsia" w:ascii="宋体" w:hAnsi="宋体" w:cs="宋体"/>
          <w:color w:val="auto"/>
          <w:szCs w:val="21"/>
          <w:highlight w:val="none"/>
          <w:lang w:val="en-US" w:eastAsia="zh-CN"/>
        </w:rPr>
        <w:t xml:space="preserve">        </w:t>
      </w:r>
    </w:p>
    <w:p w14:paraId="73CD94B7">
      <w:pPr>
        <w:spacing w:line="360" w:lineRule="auto"/>
        <w:contextualSpacing/>
        <w:jc w:val="right"/>
        <w:rPr>
          <w:rFonts w:hint="eastAsia" w:ascii="宋体" w:hAnsi="宋体" w:cs="宋体"/>
          <w:color w:val="auto"/>
          <w:szCs w:val="21"/>
          <w:highlight w:val="none"/>
        </w:rPr>
      </w:pPr>
      <w:r>
        <w:rPr>
          <w:rFonts w:hint="eastAsia" w:ascii="宋体" w:hAnsi="宋体" w:cs="宋体"/>
          <w:color w:val="auto"/>
          <w:szCs w:val="21"/>
          <w:highlight w:val="none"/>
        </w:rPr>
        <w:t>单位：元</w:t>
      </w:r>
    </w:p>
    <w:tbl>
      <w:tblPr>
        <w:tblStyle w:val="20"/>
        <w:tblW w:w="49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5"/>
        <w:gridCol w:w="1270"/>
        <w:gridCol w:w="872"/>
        <w:gridCol w:w="808"/>
        <w:gridCol w:w="826"/>
        <w:gridCol w:w="1331"/>
        <w:gridCol w:w="2239"/>
        <w:gridCol w:w="833"/>
      </w:tblGrid>
      <w:tr w14:paraId="17CB0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371" w:type="pct"/>
            <w:tcBorders>
              <w:top w:val="single" w:color="auto" w:sz="4" w:space="0"/>
              <w:left w:val="single" w:color="auto" w:sz="4" w:space="0"/>
              <w:bottom w:val="single" w:color="auto" w:sz="4" w:space="0"/>
              <w:right w:val="single" w:color="auto" w:sz="4" w:space="0"/>
            </w:tcBorders>
            <w:noWrap w:val="0"/>
            <w:vAlign w:val="center"/>
          </w:tcPr>
          <w:p w14:paraId="0121AE56">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721" w:type="pct"/>
            <w:gridSpan w:val="2"/>
            <w:tcBorders>
              <w:top w:val="single" w:color="auto" w:sz="4" w:space="0"/>
              <w:left w:val="single" w:color="auto" w:sz="4" w:space="0"/>
              <w:bottom w:val="single" w:color="auto" w:sz="4" w:space="0"/>
              <w:right w:val="single" w:color="auto" w:sz="4" w:space="0"/>
            </w:tcBorders>
            <w:noWrap w:val="0"/>
            <w:vAlign w:val="center"/>
          </w:tcPr>
          <w:p w14:paraId="352E7A4F">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项目内容</w:t>
            </w:r>
          </w:p>
        </w:tc>
        <w:tc>
          <w:tcPr>
            <w:tcW w:w="493" w:type="pct"/>
            <w:tcBorders>
              <w:top w:val="single" w:color="auto" w:sz="4" w:space="0"/>
              <w:left w:val="single" w:color="auto" w:sz="4" w:space="0"/>
              <w:bottom w:val="single" w:color="auto" w:sz="4" w:space="0"/>
              <w:right w:val="single" w:color="auto" w:sz="4" w:space="0"/>
            </w:tcBorders>
            <w:noWrap w:val="0"/>
            <w:vAlign w:val="center"/>
          </w:tcPr>
          <w:p w14:paraId="4F2B397C">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数量及单位①</w:t>
            </w:r>
          </w:p>
        </w:tc>
        <w:tc>
          <w:tcPr>
            <w:tcW w:w="457" w:type="pct"/>
            <w:tcBorders>
              <w:top w:val="single" w:color="auto" w:sz="4" w:space="0"/>
              <w:left w:val="single" w:color="auto" w:sz="4" w:space="0"/>
              <w:bottom w:val="single" w:color="auto" w:sz="4" w:space="0"/>
              <w:right w:val="single" w:color="auto" w:sz="4" w:space="0"/>
            </w:tcBorders>
            <w:noWrap w:val="0"/>
            <w:vAlign w:val="center"/>
          </w:tcPr>
          <w:p w14:paraId="4A51A136">
            <w:pPr>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服务内容</w:t>
            </w:r>
          </w:p>
        </w:tc>
        <w:tc>
          <w:tcPr>
            <w:tcW w:w="467" w:type="pct"/>
            <w:tcBorders>
              <w:top w:val="single" w:color="auto" w:sz="4" w:space="0"/>
              <w:left w:val="single" w:color="auto" w:sz="4" w:space="0"/>
              <w:bottom w:val="single" w:color="auto" w:sz="4" w:space="0"/>
              <w:right w:val="single" w:color="auto" w:sz="4" w:space="0"/>
            </w:tcBorders>
            <w:noWrap w:val="0"/>
            <w:vAlign w:val="center"/>
          </w:tcPr>
          <w:p w14:paraId="31D200F3">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单价(元)②</w:t>
            </w:r>
          </w:p>
        </w:tc>
        <w:tc>
          <w:tcPr>
            <w:tcW w:w="753" w:type="pct"/>
            <w:tcBorders>
              <w:top w:val="single" w:color="auto" w:sz="4" w:space="0"/>
              <w:left w:val="single" w:color="auto" w:sz="4" w:space="0"/>
              <w:bottom w:val="single" w:color="auto" w:sz="4" w:space="0"/>
              <w:right w:val="single" w:color="auto" w:sz="4" w:space="0"/>
            </w:tcBorders>
            <w:noWrap w:val="0"/>
            <w:vAlign w:val="center"/>
          </w:tcPr>
          <w:p w14:paraId="1D4CEDBB">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其他（天数或次数等）</w:t>
            </w:r>
            <w:r>
              <w:rPr>
                <w:rFonts w:hint="eastAsia" w:ascii="宋体" w:hAnsi="宋体" w:cs="宋体"/>
                <w:color w:val="auto"/>
                <w:szCs w:val="21"/>
                <w:highlight w:val="none"/>
              </w:rPr>
              <w:t>③</w:t>
            </w:r>
            <w:r>
              <w:rPr>
                <w:rFonts w:hint="eastAsia" w:ascii="宋体" w:hAnsi="宋体" w:cs="宋体"/>
                <w:color w:val="auto"/>
                <w:szCs w:val="21"/>
                <w:highlight w:val="none"/>
                <w:lang w:eastAsia="zh-CN"/>
              </w:rPr>
              <w:t>（如有请填写，如无数据请标</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w:t>
            </w:r>
          </w:p>
        </w:tc>
        <w:tc>
          <w:tcPr>
            <w:tcW w:w="1266" w:type="pct"/>
            <w:tcBorders>
              <w:top w:val="single" w:color="auto" w:sz="4" w:space="0"/>
              <w:left w:val="single" w:color="auto" w:sz="4" w:space="0"/>
              <w:bottom w:val="single" w:color="auto" w:sz="4" w:space="0"/>
              <w:right w:val="single" w:color="auto" w:sz="4" w:space="0"/>
            </w:tcBorders>
            <w:noWrap w:val="0"/>
            <w:vAlign w:val="center"/>
          </w:tcPr>
          <w:p w14:paraId="10E45ED1">
            <w:pPr>
              <w:rPr>
                <w:rFonts w:hint="eastAsia" w:ascii="宋体" w:hAnsi="宋体" w:cs="宋体"/>
                <w:color w:val="auto"/>
                <w:szCs w:val="21"/>
                <w:highlight w:val="none"/>
              </w:rPr>
            </w:pPr>
            <w:r>
              <w:rPr>
                <w:rFonts w:hint="eastAsia" w:ascii="宋体" w:hAnsi="宋体" w:cs="宋体"/>
                <w:color w:val="auto"/>
                <w:szCs w:val="21"/>
                <w:highlight w:val="none"/>
              </w:rPr>
              <w:t>单项合价（元）</w:t>
            </w:r>
          </w:p>
          <w:p w14:paraId="5F1B1EF2">
            <w:pPr>
              <w:spacing w:line="360" w:lineRule="auto"/>
              <w:contextualSpacing/>
              <w:jc w:val="center"/>
              <w:rPr>
                <w:rFonts w:hint="eastAsia" w:ascii="宋体" w:hAnsi="宋体" w:cs="宋体"/>
                <w:color w:val="auto"/>
                <w:szCs w:val="21"/>
                <w:highlight w:val="none"/>
              </w:rPr>
            </w:pPr>
            <w:r>
              <w:rPr>
                <w:rFonts w:hint="eastAsia" w:ascii="宋体" w:hAnsi="宋体" w:eastAsia="宋体" w:cs="宋体"/>
                <w:color w:val="auto"/>
                <w:szCs w:val="21"/>
                <w:highlight w:val="none"/>
              </w:rPr>
              <w:t>④</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rPr>
              <w:t>①×②</w:t>
            </w:r>
            <w:r>
              <w:rPr>
                <w:rFonts w:hint="eastAsia" w:ascii="宋体" w:hAnsi="宋体" w:cs="宋体"/>
                <w:color w:val="auto"/>
                <w:szCs w:val="21"/>
                <w:highlight w:val="none"/>
                <w:lang w:eastAsia="zh-CN"/>
              </w:rPr>
              <w:t>）</w:t>
            </w:r>
            <w:r>
              <w:rPr>
                <w:rFonts w:hint="eastAsia" w:ascii="宋体" w:hAnsi="宋体" w:cs="宋体"/>
                <w:color w:val="auto"/>
                <w:szCs w:val="21"/>
                <w:highlight w:val="none"/>
              </w:rPr>
              <w:t>×③</w:t>
            </w:r>
          </w:p>
        </w:tc>
        <w:tc>
          <w:tcPr>
            <w:tcW w:w="468" w:type="pct"/>
            <w:tcBorders>
              <w:top w:val="single" w:color="auto" w:sz="4" w:space="0"/>
              <w:left w:val="single" w:color="auto" w:sz="4" w:space="0"/>
              <w:bottom w:val="single" w:color="auto" w:sz="4" w:space="0"/>
              <w:right w:val="single" w:color="auto" w:sz="4" w:space="0"/>
            </w:tcBorders>
            <w:noWrap w:val="0"/>
            <w:vAlign w:val="center"/>
          </w:tcPr>
          <w:p w14:paraId="55231BA9">
            <w:pPr>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备注</w:t>
            </w:r>
          </w:p>
        </w:tc>
      </w:tr>
      <w:tr w14:paraId="5E62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371" w:type="pct"/>
            <w:tcBorders>
              <w:top w:val="single" w:color="auto" w:sz="4" w:space="0"/>
              <w:left w:val="single" w:color="auto" w:sz="4" w:space="0"/>
              <w:bottom w:val="single" w:color="auto" w:sz="4" w:space="0"/>
              <w:right w:val="single" w:color="auto" w:sz="4" w:space="0"/>
            </w:tcBorders>
            <w:noWrap w:val="0"/>
            <w:vAlign w:val="center"/>
          </w:tcPr>
          <w:p w14:paraId="7DEF592D">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21" w:type="pct"/>
            <w:gridSpan w:val="2"/>
            <w:tcBorders>
              <w:top w:val="single" w:color="auto" w:sz="4" w:space="0"/>
              <w:left w:val="single" w:color="auto" w:sz="4" w:space="0"/>
              <w:bottom w:val="single" w:color="auto" w:sz="4" w:space="0"/>
              <w:right w:val="single" w:color="auto" w:sz="4" w:space="0"/>
            </w:tcBorders>
            <w:noWrap w:val="0"/>
            <w:vAlign w:val="center"/>
          </w:tcPr>
          <w:p w14:paraId="70458573">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493" w:type="pct"/>
            <w:tcBorders>
              <w:top w:val="single" w:color="auto" w:sz="4" w:space="0"/>
              <w:left w:val="single" w:color="auto" w:sz="4" w:space="0"/>
              <w:bottom w:val="single" w:color="auto" w:sz="4" w:space="0"/>
              <w:right w:val="single" w:color="auto" w:sz="4" w:space="0"/>
            </w:tcBorders>
            <w:noWrap w:val="0"/>
            <w:vAlign w:val="center"/>
          </w:tcPr>
          <w:p w14:paraId="5E6C98D1">
            <w:pPr>
              <w:spacing w:line="360" w:lineRule="auto"/>
              <w:contextualSpacing/>
              <w:jc w:val="center"/>
              <w:rPr>
                <w:rFonts w:hint="eastAsia" w:ascii="宋体" w:hAnsi="宋体" w:cs="宋体"/>
                <w:color w:val="auto"/>
                <w:szCs w:val="21"/>
                <w:highlight w:val="none"/>
              </w:rPr>
            </w:pPr>
          </w:p>
        </w:tc>
        <w:tc>
          <w:tcPr>
            <w:tcW w:w="457" w:type="pct"/>
            <w:tcBorders>
              <w:top w:val="single" w:color="auto" w:sz="4" w:space="0"/>
              <w:left w:val="single" w:color="auto" w:sz="4" w:space="0"/>
              <w:bottom w:val="single" w:color="auto" w:sz="4" w:space="0"/>
              <w:right w:val="single" w:color="auto" w:sz="4" w:space="0"/>
            </w:tcBorders>
            <w:noWrap w:val="0"/>
            <w:vAlign w:val="top"/>
          </w:tcPr>
          <w:p w14:paraId="152E6A3A">
            <w:pPr>
              <w:spacing w:line="360" w:lineRule="auto"/>
              <w:contextualSpacing/>
              <w:rPr>
                <w:rFonts w:hint="eastAsia" w:ascii="宋体" w:hAnsi="宋体" w:cs="宋体"/>
                <w:color w:val="auto"/>
                <w:szCs w:val="21"/>
                <w:highlight w:val="none"/>
              </w:rPr>
            </w:pPr>
          </w:p>
        </w:tc>
        <w:tc>
          <w:tcPr>
            <w:tcW w:w="467" w:type="pct"/>
            <w:tcBorders>
              <w:top w:val="single" w:color="auto" w:sz="4" w:space="0"/>
              <w:left w:val="single" w:color="auto" w:sz="4" w:space="0"/>
              <w:bottom w:val="single" w:color="auto" w:sz="4" w:space="0"/>
              <w:right w:val="single" w:color="auto" w:sz="4" w:space="0"/>
            </w:tcBorders>
            <w:noWrap w:val="0"/>
            <w:vAlign w:val="top"/>
          </w:tcPr>
          <w:p w14:paraId="7DC178D3">
            <w:pPr>
              <w:spacing w:line="360" w:lineRule="auto"/>
              <w:contextualSpacing/>
              <w:rPr>
                <w:rFonts w:hint="eastAsia" w:ascii="宋体" w:hAnsi="宋体" w:cs="宋体"/>
                <w:color w:val="auto"/>
                <w:szCs w:val="21"/>
                <w:highlight w:val="none"/>
              </w:rPr>
            </w:pPr>
          </w:p>
        </w:tc>
        <w:tc>
          <w:tcPr>
            <w:tcW w:w="753" w:type="pct"/>
            <w:tcBorders>
              <w:top w:val="single" w:color="auto" w:sz="4" w:space="0"/>
              <w:left w:val="single" w:color="auto" w:sz="4" w:space="0"/>
              <w:bottom w:val="single" w:color="auto" w:sz="4" w:space="0"/>
              <w:right w:val="single" w:color="auto" w:sz="4" w:space="0"/>
            </w:tcBorders>
            <w:noWrap w:val="0"/>
            <w:vAlign w:val="center"/>
          </w:tcPr>
          <w:p w14:paraId="4B7EBBDE">
            <w:pPr>
              <w:spacing w:line="360" w:lineRule="auto"/>
              <w:contextualSpacing/>
              <w:rPr>
                <w:rFonts w:hint="eastAsia" w:ascii="宋体" w:hAnsi="宋体" w:cs="宋体"/>
                <w:color w:val="auto"/>
                <w:szCs w:val="21"/>
                <w:highlight w:val="none"/>
              </w:rPr>
            </w:pPr>
          </w:p>
        </w:tc>
        <w:tc>
          <w:tcPr>
            <w:tcW w:w="1266" w:type="pct"/>
            <w:tcBorders>
              <w:top w:val="single" w:color="auto" w:sz="4" w:space="0"/>
              <w:left w:val="single" w:color="auto" w:sz="4" w:space="0"/>
              <w:bottom w:val="single" w:color="auto" w:sz="4" w:space="0"/>
              <w:right w:val="single" w:color="auto" w:sz="4" w:space="0"/>
            </w:tcBorders>
            <w:noWrap w:val="0"/>
            <w:vAlign w:val="center"/>
          </w:tcPr>
          <w:p w14:paraId="0B5E8398">
            <w:pPr>
              <w:spacing w:line="360" w:lineRule="auto"/>
              <w:contextualSpacing/>
              <w:rPr>
                <w:rFonts w:hint="eastAsia" w:ascii="宋体" w:hAnsi="宋体" w:cs="宋体"/>
                <w:color w:val="auto"/>
                <w:szCs w:val="21"/>
                <w:highlight w:val="none"/>
              </w:rPr>
            </w:pPr>
            <w:bookmarkStart w:id="193" w:name="_GoBack"/>
            <w:bookmarkEnd w:id="193"/>
          </w:p>
        </w:tc>
        <w:tc>
          <w:tcPr>
            <w:tcW w:w="468" w:type="pct"/>
            <w:tcBorders>
              <w:top w:val="single" w:color="auto" w:sz="4" w:space="0"/>
              <w:left w:val="single" w:color="auto" w:sz="4" w:space="0"/>
              <w:bottom w:val="single" w:color="auto" w:sz="4" w:space="0"/>
              <w:right w:val="single" w:color="auto" w:sz="4" w:space="0"/>
            </w:tcBorders>
            <w:noWrap w:val="0"/>
            <w:vAlign w:val="center"/>
          </w:tcPr>
          <w:p w14:paraId="77DD9564">
            <w:pPr>
              <w:spacing w:line="360" w:lineRule="auto"/>
              <w:contextualSpacing/>
              <w:rPr>
                <w:rFonts w:hint="eastAsia" w:ascii="宋体" w:hAnsi="宋体" w:cs="宋体"/>
                <w:color w:val="auto"/>
                <w:szCs w:val="21"/>
                <w:highlight w:val="none"/>
              </w:rPr>
            </w:pPr>
          </w:p>
        </w:tc>
      </w:tr>
      <w:tr w14:paraId="7684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371" w:type="pct"/>
            <w:tcBorders>
              <w:top w:val="single" w:color="auto" w:sz="4" w:space="0"/>
              <w:left w:val="single" w:color="auto" w:sz="4" w:space="0"/>
              <w:bottom w:val="single" w:color="auto" w:sz="4" w:space="0"/>
              <w:right w:val="single" w:color="auto" w:sz="4" w:space="0"/>
            </w:tcBorders>
            <w:noWrap w:val="0"/>
            <w:vAlign w:val="center"/>
          </w:tcPr>
          <w:p w14:paraId="60FD05D9">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21" w:type="pct"/>
            <w:gridSpan w:val="2"/>
            <w:tcBorders>
              <w:top w:val="single" w:color="auto" w:sz="4" w:space="0"/>
              <w:left w:val="single" w:color="auto" w:sz="4" w:space="0"/>
              <w:bottom w:val="single" w:color="auto" w:sz="4" w:space="0"/>
              <w:right w:val="single" w:color="auto" w:sz="4" w:space="0"/>
            </w:tcBorders>
            <w:noWrap w:val="0"/>
            <w:vAlign w:val="center"/>
          </w:tcPr>
          <w:p w14:paraId="7A6A5BE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493" w:type="pct"/>
            <w:tcBorders>
              <w:top w:val="single" w:color="auto" w:sz="4" w:space="0"/>
              <w:left w:val="single" w:color="auto" w:sz="4" w:space="0"/>
              <w:bottom w:val="single" w:color="auto" w:sz="4" w:space="0"/>
              <w:right w:val="single" w:color="auto" w:sz="4" w:space="0"/>
            </w:tcBorders>
            <w:noWrap w:val="0"/>
            <w:vAlign w:val="center"/>
          </w:tcPr>
          <w:p w14:paraId="1A5C6564">
            <w:pPr>
              <w:spacing w:line="360" w:lineRule="auto"/>
              <w:contextualSpacing/>
              <w:jc w:val="center"/>
              <w:rPr>
                <w:rFonts w:hint="eastAsia" w:ascii="宋体" w:hAnsi="宋体" w:cs="宋体"/>
                <w:color w:val="auto"/>
                <w:szCs w:val="21"/>
                <w:highlight w:val="none"/>
              </w:rPr>
            </w:pPr>
          </w:p>
        </w:tc>
        <w:tc>
          <w:tcPr>
            <w:tcW w:w="457" w:type="pct"/>
            <w:tcBorders>
              <w:top w:val="single" w:color="auto" w:sz="4" w:space="0"/>
              <w:left w:val="single" w:color="auto" w:sz="4" w:space="0"/>
              <w:bottom w:val="single" w:color="auto" w:sz="4" w:space="0"/>
              <w:right w:val="single" w:color="auto" w:sz="4" w:space="0"/>
            </w:tcBorders>
            <w:noWrap w:val="0"/>
            <w:vAlign w:val="top"/>
          </w:tcPr>
          <w:p w14:paraId="6E869992">
            <w:pPr>
              <w:spacing w:line="360" w:lineRule="auto"/>
              <w:contextualSpacing/>
              <w:rPr>
                <w:rFonts w:hint="eastAsia" w:ascii="宋体" w:hAnsi="宋体" w:cs="宋体"/>
                <w:color w:val="auto"/>
                <w:szCs w:val="21"/>
                <w:highlight w:val="none"/>
              </w:rPr>
            </w:pPr>
          </w:p>
        </w:tc>
        <w:tc>
          <w:tcPr>
            <w:tcW w:w="467" w:type="pct"/>
            <w:tcBorders>
              <w:top w:val="single" w:color="auto" w:sz="4" w:space="0"/>
              <w:left w:val="single" w:color="auto" w:sz="4" w:space="0"/>
              <w:bottom w:val="single" w:color="auto" w:sz="4" w:space="0"/>
              <w:right w:val="single" w:color="auto" w:sz="4" w:space="0"/>
            </w:tcBorders>
            <w:noWrap w:val="0"/>
            <w:vAlign w:val="top"/>
          </w:tcPr>
          <w:p w14:paraId="4D9456F8">
            <w:pPr>
              <w:spacing w:line="360" w:lineRule="auto"/>
              <w:contextualSpacing/>
              <w:rPr>
                <w:rFonts w:hint="eastAsia" w:ascii="宋体" w:hAnsi="宋体" w:cs="宋体"/>
                <w:color w:val="auto"/>
                <w:szCs w:val="21"/>
                <w:highlight w:val="none"/>
              </w:rPr>
            </w:pPr>
          </w:p>
        </w:tc>
        <w:tc>
          <w:tcPr>
            <w:tcW w:w="753" w:type="pct"/>
            <w:tcBorders>
              <w:top w:val="single" w:color="auto" w:sz="4" w:space="0"/>
              <w:left w:val="single" w:color="auto" w:sz="4" w:space="0"/>
              <w:bottom w:val="single" w:color="auto" w:sz="4" w:space="0"/>
              <w:right w:val="single" w:color="auto" w:sz="4" w:space="0"/>
            </w:tcBorders>
            <w:noWrap w:val="0"/>
            <w:vAlign w:val="center"/>
          </w:tcPr>
          <w:p w14:paraId="1EFA58FC">
            <w:pPr>
              <w:spacing w:line="360" w:lineRule="auto"/>
              <w:contextualSpacing/>
              <w:rPr>
                <w:rFonts w:hint="eastAsia" w:ascii="宋体" w:hAnsi="宋体" w:cs="宋体"/>
                <w:color w:val="auto"/>
                <w:szCs w:val="21"/>
                <w:highlight w:val="none"/>
              </w:rPr>
            </w:pPr>
          </w:p>
        </w:tc>
        <w:tc>
          <w:tcPr>
            <w:tcW w:w="1266" w:type="pct"/>
            <w:tcBorders>
              <w:top w:val="single" w:color="auto" w:sz="4" w:space="0"/>
              <w:left w:val="single" w:color="auto" w:sz="4" w:space="0"/>
              <w:bottom w:val="single" w:color="auto" w:sz="4" w:space="0"/>
              <w:right w:val="single" w:color="auto" w:sz="4" w:space="0"/>
            </w:tcBorders>
            <w:noWrap w:val="0"/>
            <w:vAlign w:val="center"/>
          </w:tcPr>
          <w:p w14:paraId="6FCC13CC">
            <w:pPr>
              <w:spacing w:line="360" w:lineRule="auto"/>
              <w:contextualSpacing/>
              <w:rPr>
                <w:rFonts w:hint="eastAsia" w:ascii="宋体" w:hAnsi="宋体" w:cs="宋体"/>
                <w:color w:val="auto"/>
                <w:szCs w:val="21"/>
                <w:highlight w:val="none"/>
              </w:rPr>
            </w:pPr>
          </w:p>
        </w:tc>
        <w:tc>
          <w:tcPr>
            <w:tcW w:w="468" w:type="pct"/>
            <w:tcBorders>
              <w:top w:val="single" w:color="auto" w:sz="4" w:space="0"/>
              <w:left w:val="single" w:color="auto" w:sz="4" w:space="0"/>
              <w:bottom w:val="single" w:color="auto" w:sz="4" w:space="0"/>
              <w:right w:val="single" w:color="auto" w:sz="4" w:space="0"/>
            </w:tcBorders>
            <w:noWrap w:val="0"/>
            <w:vAlign w:val="center"/>
          </w:tcPr>
          <w:p w14:paraId="0C0D179F">
            <w:pPr>
              <w:spacing w:line="360" w:lineRule="auto"/>
              <w:contextualSpacing/>
              <w:rPr>
                <w:rFonts w:hint="eastAsia" w:ascii="宋体" w:hAnsi="宋体" w:cs="宋体"/>
                <w:color w:val="auto"/>
                <w:szCs w:val="21"/>
                <w:highlight w:val="none"/>
              </w:rPr>
            </w:pPr>
          </w:p>
        </w:tc>
      </w:tr>
      <w:tr w14:paraId="5656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371" w:type="pct"/>
            <w:tcBorders>
              <w:top w:val="single" w:color="auto" w:sz="4" w:space="0"/>
              <w:left w:val="single" w:color="auto" w:sz="4" w:space="0"/>
              <w:bottom w:val="single" w:color="auto" w:sz="4" w:space="0"/>
              <w:right w:val="single" w:color="auto" w:sz="4" w:space="0"/>
            </w:tcBorders>
            <w:noWrap w:val="0"/>
            <w:vAlign w:val="center"/>
          </w:tcPr>
          <w:p w14:paraId="5B1A64E9">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w:t>
            </w:r>
          </w:p>
        </w:tc>
        <w:tc>
          <w:tcPr>
            <w:tcW w:w="721" w:type="pct"/>
            <w:gridSpan w:val="2"/>
            <w:tcBorders>
              <w:top w:val="single" w:color="auto" w:sz="4" w:space="0"/>
              <w:left w:val="single" w:color="auto" w:sz="4" w:space="0"/>
              <w:bottom w:val="single" w:color="auto" w:sz="4" w:space="0"/>
              <w:right w:val="single" w:color="auto" w:sz="4" w:space="0"/>
            </w:tcBorders>
            <w:noWrap w:val="0"/>
            <w:vAlign w:val="center"/>
          </w:tcPr>
          <w:p w14:paraId="1AFB0701">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w:t>
            </w:r>
          </w:p>
        </w:tc>
        <w:tc>
          <w:tcPr>
            <w:tcW w:w="493" w:type="pct"/>
            <w:tcBorders>
              <w:top w:val="single" w:color="auto" w:sz="4" w:space="0"/>
              <w:left w:val="single" w:color="auto" w:sz="4" w:space="0"/>
              <w:bottom w:val="single" w:color="auto" w:sz="4" w:space="0"/>
              <w:right w:val="single" w:color="auto" w:sz="4" w:space="0"/>
            </w:tcBorders>
            <w:noWrap w:val="0"/>
            <w:vAlign w:val="center"/>
          </w:tcPr>
          <w:p w14:paraId="7E4D242E">
            <w:pPr>
              <w:spacing w:line="360" w:lineRule="auto"/>
              <w:contextualSpacing/>
              <w:jc w:val="center"/>
              <w:rPr>
                <w:rFonts w:hint="eastAsia" w:ascii="宋体" w:hAnsi="宋体" w:cs="宋体"/>
                <w:color w:val="auto"/>
                <w:szCs w:val="21"/>
                <w:highlight w:val="none"/>
              </w:rPr>
            </w:pPr>
          </w:p>
        </w:tc>
        <w:tc>
          <w:tcPr>
            <w:tcW w:w="457" w:type="pct"/>
            <w:tcBorders>
              <w:top w:val="single" w:color="auto" w:sz="4" w:space="0"/>
              <w:left w:val="single" w:color="auto" w:sz="4" w:space="0"/>
              <w:bottom w:val="single" w:color="auto" w:sz="4" w:space="0"/>
              <w:right w:val="single" w:color="auto" w:sz="4" w:space="0"/>
            </w:tcBorders>
            <w:noWrap w:val="0"/>
            <w:vAlign w:val="top"/>
          </w:tcPr>
          <w:p w14:paraId="62D34AA3">
            <w:pPr>
              <w:spacing w:line="360" w:lineRule="auto"/>
              <w:contextualSpacing/>
              <w:rPr>
                <w:rFonts w:hint="eastAsia" w:ascii="宋体" w:hAnsi="宋体" w:cs="宋体"/>
                <w:color w:val="auto"/>
                <w:szCs w:val="21"/>
                <w:highlight w:val="none"/>
              </w:rPr>
            </w:pPr>
          </w:p>
        </w:tc>
        <w:tc>
          <w:tcPr>
            <w:tcW w:w="467" w:type="pct"/>
            <w:tcBorders>
              <w:top w:val="single" w:color="auto" w:sz="4" w:space="0"/>
              <w:left w:val="single" w:color="auto" w:sz="4" w:space="0"/>
              <w:bottom w:val="single" w:color="auto" w:sz="4" w:space="0"/>
              <w:right w:val="single" w:color="auto" w:sz="4" w:space="0"/>
            </w:tcBorders>
            <w:noWrap w:val="0"/>
            <w:vAlign w:val="top"/>
          </w:tcPr>
          <w:p w14:paraId="4FF83B07">
            <w:pPr>
              <w:spacing w:line="360" w:lineRule="auto"/>
              <w:contextualSpacing/>
              <w:rPr>
                <w:rFonts w:hint="eastAsia" w:ascii="宋体" w:hAnsi="宋体" w:cs="宋体"/>
                <w:color w:val="auto"/>
                <w:szCs w:val="21"/>
                <w:highlight w:val="none"/>
              </w:rPr>
            </w:pPr>
          </w:p>
        </w:tc>
        <w:tc>
          <w:tcPr>
            <w:tcW w:w="753" w:type="pct"/>
            <w:tcBorders>
              <w:top w:val="single" w:color="auto" w:sz="4" w:space="0"/>
              <w:left w:val="single" w:color="auto" w:sz="4" w:space="0"/>
              <w:bottom w:val="single" w:color="auto" w:sz="4" w:space="0"/>
              <w:right w:val="single" w:color="auto" w:sz="4" w:space="0"/>
            </w:tcBorders>
            <w:noWrap w:val="0"/>
            <w:vAlign w:val="center"/>
          </w:tcPr>
          <w:p w14:paraId="3A953BDA">
            <w:pPr>
              <w:spacing w:line="360" w:lineRule="auto"/>
              <w:contextualSpacing/>
              <w:rPr>
                <w:rFonts w:hint="eastAsia" w:ascii="宋体" w:hAnsi="宋体" w:cs="宋体"/>
                <w:color w:val="auto"/>
                <w:szCs w:val="21"/>
                <w:highlight w:val="none"/>
              </w:rPr>
            </w:pPr>
          </w:p>
        </w:tc>
        <w:tc>
          <w:tcPr>
            <w:tcW w:w="1266" w:type="pct"/>
            <w:tcBorders>
              <w:top w:val="single" w:color="auto" w:sz="4" w:space="0"/>
              <w:left w:val="single" w:color="auto" w:sz="4" w:space="0"/>
              <w:bottom w:val="single" w:color="auto" w:sz="4" w:space="0"/>
              <w:right w:val="single" w:color="auto" w:sz="4" w:space="0"/>
            </w:tcBorders>
            <w:noWrap w:val="0"/>
            <w:vAlign w:val="center"/>
          </w:tcPr>
          <w:p w14:paraId="5E264531">
            <w:pPr>
              <w:spacing w:line="360" w:lineRule="auto"/>
              <w:contextualSpacing/>
              <w:rPr>
                <w:rFonts w:hint="eastAsia" w:ascii="宋体" w:hAnsi="宋体" w:cs="宋体"/>
                <w:color w:val="auto"/>
                <w:szCs w:val="21"/>
                <w:highlight w:val="none"/>
              </w:rPr>
            </w:pPr>
          </w:p>
        </w:tc>
        <w:tc>
          <w:tcPr>
            <w:tcW w:w="468" w:type="pct"/>
            <w:tcBorders>
              <w:top w:val="single" w:color="auto" w:sz="4" w:space="0"/>
              <w:left w:val="single" w:color="auto" w:sz="4" w:space="0"/>
              <w:bottom w:val="single" w:color="auto" w:sz="4" w:space="0"/>
              <w:right w:val="single" w:color="auto" w:sz="4" w:space="0"/>
            </w:tcBorders>
            <w:noWrap w:val="0"/>
            <w:vAlign w:val="center"/>
          </w:tcPr>
          <w:p w14:paraId="76291DBA">
            <w:pPr>
              <w:spacing w:line="360" w:lineRule="auto"/>
              <w:contextualSpacing/>
              <w:rPr>
                <w:rFonts w:hint="eastAsia" w:ascii="宋体" w:hAnsi="宋体" w:cs="宋体"/>
                <w:color w:val="auto"/>
                <w:szCs w:val="21"/>
                <w:highlight w:val="none"/>
              </w:rPr>
            </w:pPr>
          </w:p>
        </w:tc>
      </w:tr>
      <w:tr w14:paraId="7005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374" w:type="pct"/>
            <w:gridSpan w:val="2"/>
            <w:tcBorders>
              <w:top w:val="single" w:color="auto" w:sz="4" w:space="0"/>
              <w:left w:val="single" w:color="auto" w:sz="4" w:space="0"/>
              <w:bottom w:val="single" w:color="auto" w:sz="4" w:space="0"/>
              <w:right w:val="single" w:color="auto" w:sz="4" w:space="0"/>
            </w:tcBorders>
            <w:noWrap w:val="0"/>
            <w:vAlign w:val="center"/>
          </w:tcPr>
          <w:p w14:paraId="02128CBA">
            <w:pPr>
              <w:spacing w:line="360" w:lineRule="auto"/>
              <w:contextualSpacing/>
              <w:rPr>
                <w:rFonts w:hint="eastAsia" w:ascii="宋体" w:hAnsi="宋体" w:cs="宋体"/>
                <w:color w:val="auto"/>
                <w:szCs w:val="21"/>
                <w:highlight w:val="none"/>
              </w:rPr>
            </w:pPr>
          </w:p>
        </w:tc>
        <w:tc>
          <w:tcPr>
            <w:tcW w:w="4625" w:type="pct"/>
            <w:gridSpan w:val="7"/>
            <w:tcBorders>
              <w:top w:val="single" w:color="auto" w:sz="4" w:space="0"/>
              <w:left w:val="single" w:color="auto" w:sz="4" w:space="0"/>
              <w:bottom w:val="single" w:color="auto" w:sz="4" w:space="0"/>
              <w:right w:val="single" w:color="auto" w:sz="4" w:space="0"/>
            </w:tcBorders>
            <w:noWrap w:val="0"/>
            <w:vAlign w:val="center"/>
          </w:tcPr>
          <w:p w14:paraId="4483BEF4">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合计金额大写：人民币           （￥           ）</w:t>
            </w:r>
          </w:p>
        </w:tc>
      </w:tr>
    </w:tbl>
    <w:p w14:paraId="4AD0B053">
      <w:pPr>
        <w:spacing w:line="360" w:lineRule="auto"/>
        <w:contextualSpacing/>
        <w:jc w:val="left"/>
        <w:rPr>
          <w:rFonts w:hint="eastAsia" w:ascii="宋体" w:hAnsi="宋体" w:cs="宋体"/>
          <w:color w:val="auto"/>
          <w:szCs w:val="21"/>
          <w:highlight w:val="none"/>
        </w:rPr>
      </w:pPr>
    </w:p>
    <w:p w14:paraId="23146DCD">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33DBB0CE">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 供应商的报价表必须加盖供应商电子签章并由法定代表人或者委托代理人签字或者电子签名，</w:t>
      </w:r>
      <w:r>
        <w:rPr>
          <w:rFonts w:hint="eastAsia" w:ascii="宋体" w:hAnsi="宋体" w:cs="宋体"/>
          <w:b/>
          <w:color w:val="auto"/>
          <w:szCs w:val="21"/>
          <w:highlight w:val="none"/>
        </w:rPr>
        <w:t>否则其响应文件按无效处理</w:t>
      </w:r>
      <w:r>
        <w:rPr>
          <w:rFonts w:hint="eastAsia" w:ascii="宋体" w:hAnsi="宋体" w:cs="宋体"/>
          <w:color w:val="auto"/>
          <w:szCs w:val="21"/>
          <w:highlight w:val="none"/>
        </w:rPr>
        <w:t>。</w:t>
      </w:r>
    </w:p>
    <w:p w14:paraId="6F3889EA">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color w:val="auto"/>
          <w:szCs w:val="21"/>
          <w:highlight w:val="none"/>
        </w:rPr>
        <w:t xml:space="preserve"> 报价一经涂改，应在涂改处加盖供应商公章或者加盖电子签章或者由法定代表人或者授权委托人签字（或者电子签名）</w:t>
      </w:r>
      <w:r>
        <w:rPr>
          <w:rFonts w:hint="eastAsia" w:ascii="宋体" w:hAnsi="宋体" w:cs="宋体"/>
          <w:b/>
          <w:color w:val="auto"/>
          <w:szCs w:val="21"/>
          <w:highlight w:val="none"/>
        </w:rPr>
        <w:t>，否则其响应文件按无效处理。</w:t>
      </w:r>
    </w:p>
    <w:p w14:paraId="2266076C">
      <w:pPr>
        <w:spacing w:line="360" w:lineRule="auto"/>
        <w:ind w:firstLine="480" w:firstLineChars="200"/>
        <w:contextualSpacing/>
        <w:rPr>
          <w:rFonts w:hint="eastAsia" w:ascii="宋体" w:hAnsi="宋体" w:cs="宋体"/>
          <w:color w:val="auto"/>
          <w:sz w:val="24"/>
          <w:highlight w:val="none"/>
        </w:rPr>
      </w:pPr>
    </w:p>
    <w:p w14:paraId="7ECAB424">
      <w:pPr>
        <w:spacing w:line="360" w:lineRule="auto"/>
        <w:ind w:right="-817" w:rightChars="-389"/>
        <w:contextualSpacing/>
        <w:rPr>
          <w:rFonts w:hint="eastAsia" w:ascii="宋体" w:hAnsi="宋体" w:cs="宋体"/>
          <w:color w:val="auto"/>
          <w:sz w:val="24"/>
          <w:highlight w:val="none"/>
        </w:rPr>
      </w:pPr>
    </w:p>
    <w:p w14:paraId="712338BE">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2F5F9063">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供应商（电子签章）：      </w:t>
      </w:r>
    </w:p>
    <w:p w14:paraId="5440C70E">
      <w:pPr>
        <w:spacing w:line="360" w:lineRule="auto"/>
        <w:ind w:right="-817" w:rightChars="-389" w:firstLine="4080" w:firstLineChars="1700"/>
        <w:contextualSpacing/>
        <w:rPr>
          <w:rFonts w:hint="eastAsia" w:ascii="宋体" w:hAnsi="宋体" w:cs="宋体"/>
          <w:b/>
          <w:color w:val="auto"/>
          <w:sz w:val="24"/>
          <w:highlight w:val="none"/>
        </w:rPr>
      </w:pPr>
      <w:r>
        <w:rPr>
          <w:rFonts w:hint="eastAsia" w:ascii="宋体" w:hAnsi="宋体" w:cs="宋体"/>
          <w:color w:val="auto"/>
          <w:sz w:val="24"/>
          <w:highlight w:val="none"/>
        </w:rPr>
        <w:t>日期：   年   月   日</w:t>
      </w:r>
    </w:p>
    <w:p w14:paraId="65DC58EF">
      <w:pPr>
        <w:spacing w:line="360" w:lineRule="auto"/>
        <w:ind w:right="420"/>
        <w:contextualSpacing/>
        <w:jc w:val="left"/>
        <w:rPr>
          <w:rFonts w:hint="eastAsia" w:ascii="宋体" w:hAnsi="宋体" w:cs="宋体"/>
          <w:b/>
          <w:bCs/>
          <w:color w:val="auto"/>
          <w:sz w:val="32"/>
          <w:szCs w:val="32"/>
          <w:highlight w:val="none"/>
        </w:rPr>
      </w:pPr>
    </w:p>
    <w:p w14:paraId="3B034887">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0D3EA6A6">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4ABBB242">
      <w:pPr>
        <w:snapToGrid w:val="0"/>
        <w:spacing w:before="12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5B6456C1">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3A5F3DA6">
      <w:pPr>
        <w:snapToGrid w:val="0"/>
        <w:spacing w:before="12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450ECDAC">
      <w:pPr>
        <w:snapToGrid w:val="0"/>
        <w:spacing w:before="120" w:beforeLines="50" w:after="50"/>
        <w:rPr>
          <w:rFonts w:hint="eastAsia" w:ascii="宋体" w:hAnsi="宋体" w:cs="宋体"/>
          <w:color w:val="auto"/>
          <w:sz w:val="24"/>
          <w:szCs w:val="20"/>
          <w:highlight w:val="none"/>
        </w:rPr>
      </w:pPr>
    </w:p>
    <w:p w14:paraId="28F42829">
      <w:pPr>
        <w:snapToGrid w:val="0"/>
        <w:spacing w:before="120" w:beforeLines="50" w:after="50"/>
        <w:rPr>
          <w:rFonts w:hint="eastAsia" w:ascii="宋体" w:hAnsi="宋体" w:cs="宋体"/>
          <w:color w:val="auto"/>
          <w:sz w:val="24"/>
          <w:szCs w:val="20"/>
          <w:highlight w:val="none"/>
        </w:rPr>
      </w:pPr>
    </w:p>
    <w:p w14:paraId="5684623A">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52BADBB9">
      <w:pPr>
        <w:snapToGrid w:val="0"/>
        <w:spacing w:before="120" w:beforeLines="50" w:after="50"/>
        <w:rPr>
          <w:rFonts w:hint="eastAsia" w:ascii="宋体" w:hAnsi="宋体" w:cs="宋体"/>
          <w:bCs/>
          <w:color w:val="auto"/>
          <w:sz w:val="24"/>
          <w:szCs w:val="20"/>
          <w:highlight w:val="none"/>
        </w:rPr>
      </w:pPr>
    </w:p>
    <w:p w14:paraId="7C75A72C">
      <w:pPr>
        <w:snapToGrid w:val="0"/>
        <w:spacing w:before="120" w:beforeLines="50" w:after="50"/>
        <w:rPr>
          <w:rFonts w:hint="eastAsia" w:ascii="宋体" w:hAnsi="宋体" w:cs="宋体"/>
          <w:bCs/>
          <w:color w:val="auto"/>
          <w:sz w:val="24"/>
          <w:szCs w:val="20"/>
          <w:highlight w:val="none"/>
        </w:rPr>
      </w:pPr>
    </w:p>
    <w:p w14:paraId="2F2AAA4B">
      <w:pPr>
        <w:snapToGrid w:val="0"/>
        <w:spacing w:before="120" w:beforeLines="50" w:after="50"/>
        <w:rPr>
          <w:rFonts w:hint="eastAsia" w:ascii="宋体" w:hAnsi="宋体" w:cs="宋体"/>
          <w:bCs/>
          <w:color w:val="auto"/>
          <w:sz w:val="24"/>
          <w:szCs w:val="20"/>
          <w:highlight w:val="none"/>
        </w:rPr>
      </w:pPr>
    </w:p>
    <w:p w14:paraId="7BDC3023">
      <w:pPr>
        <w:snapToGrid w:val="0"/>
        <w:spacing w:before="120" w:beforeLines="50" w:after="50"/>
        <w:rPr>
          <w:rFonts w:hint="eastAsia" w:ascii="宋体" w:hAnsi="宋体" w:cs="宋体"/>
          <w:bCs/>
          <w:color w:val="auto"/>
          <w:sz w:val="24"/>
          <w:szCs w:val="20"/>
          <w:highlight w:val="none"/>
        </w:rPr>
      </w:pPr>
    </w:p>
    <w:p w14:paraId="6B8B84DD">
      <w:pPr>
        <w:snapToGrid w:val="0"/>
        <w:spacing w:before="120" w:beforeLines="50" w:after="50"/>
        <w:rPr>
          <w:rFonts w:hint="eastAsia" w:ascii="宋体" w:hAnsi="宋体" w:cs="宋体"/>
          <w:bCs/>
          <w:color w:val="auto"/>
          <w:sz w:val="24"/>
          <w:szCs w:val="20"/>
          <w:highlight w:val="none"/>
        </w:rPr>
      </w:pPr>
    </w:p>
    <w:p w14:paraId="7F722F30">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6E4B46C">
      <w:pPr>
        <w:snapToGrid w:val="0"/>
        <w:spacing w:before="120" w:beforeLines="50" w:after="50"/>
        <w:ind w:firstLine="720" w:firstLineChars="225"/>
        <w:rPr>
          <w:rFonts w:hint="eastAsia" w:ascii="宋体" w:hAnsi="宋体" w:cs="宋体"/>
          <w:bCs/>
          <w:color w:val="auto"/>
          <w:sz w:val="32"/>
          <w:szCs w:val="32"/>
          <w:highlight w:val="none"/>
        </w:rPr>
      </w:pPr>
    </w:p>
    <w:p w14:paraId="056E4E0D">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E05D5E5">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2314BEA">
      <w:pPr>
        <w:snapToGrid w:val="0"/>
        <w:spacing w:before="156"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4CF4BB1C">
      <w:pPr>
        <w:snapToGrid w:val="0"/>
        <w:spacing w:before="120" w:beforeLines="50" w:after="50"/>
        <w:ind w:firstLine="720" w:firstLineChars="225"/>
        <w:rPr>
          <w:rFonts w:hint="eastAsia" w:ascii="宋体" w:hAnsi="宋体" w:cs="宋体"/>
          <w:bCs/>
          <w:color w:val="auto"/>
          <w:sz w:val="32"/>
          <w:szCs w:val="32"/>
          <w:highlight w:val="none"/>
        </w:rPr>
      </w:pPr>
    </w:p>
    <w:p w14:paraId="75771613">
      <w:pPr>
        <w:pStyle w:val="8"/>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38E12C1">
      <w:pPr>
        <w:pStyle w:val="8"/>
        <w:snapToGrid w:val="0"/>
        <w:spacing w:before="50" w:after="50"/>
        <w:ind w:firstLine="640" w:firstLineChars="200"/>
        <w:rPr>
          <w:rFonts w:hint="eastAsia" w:ascii="宋体" w:hAnsi="宋体" w:cs="宋体"/>
          <w:bCs/>
          <w:color w:val="auto"/>
          <w:sz w:val="32"/>
          <w:szCs w:val="32"/>
          <w:highlight w:val="none"/>
        </w:rPr>
      </w:pPr>
    </w:p>
    <w:p w14:paraId="47A01F0B">
      <w:pPr>
        <w:pStyle w:val="8"/>
        <w:snapToGrid w:val="0"/>
        <w:spacing w:before="50" w:after="50"/>
        <w:ind w:firstLine="720" w:firstLineChars="225"/>
        <w:rPr>
          <w:rFonts w:hint="eastAsia" w:ascii="宋体" w:hAnsi="宋体" w:cs="宋体"/>
          <w:bCs/>
          <w:color w:val="auto"/>
          <w:sz w:val="32"/>
          <w:szCs w:val="32"/>
          <w:highlight w:val="none"/>
        </w:rPr>
      </w:pPr>
    </w:p>
    <w:p w14:paraId="7CC2D0BA">
      <w:pPr>
        <w:pStyle w:val="8"/>
        <w:snapToGrid w:val="0"/>
        <w:spacing w:before="50" w:after="50"/>
        <w:ind w:firstLine="0"/>
        <w:rPr>
          <w:rFonts w:hint="eastAsia" w:ascii="宋体" w:hAnsi="宋体" w:cs="宋体"/>
          <w:bCs/>
          <w:color w:val="auto"/>
          <w:sz w:val="32"/>
          <w:szCs w:val="32"/>
          <w:highlight w:val="none"/>
        </w:rPr>
      </w:pPr>
    </w:p>
    <w:p w14:paraId="4D1B5A4F">
      <w:pPr>
        <w:pStyle w:val="8"/>
        <w:snapToGrid w:val="0"/>
        <w:spacing w:before="50" w:after="50"/>
        <w:ind w:firstLine="1280" w:firstLineChars="400"/>
        <w:rPr>
          <w:rFonts w:hint="eastAsia" w:ascii="宋体" w:hAnsi="宋体" w:cs="宋体"/>
          <w:bCs/>
          <w:color w:val="auto"/>
          <w:sz w:val="32"/>
          <w:szCs w:val="32"/>
          <w:highlight w:val="none"/>
        </w:rPr>
      </w:pPr>
    </w:p>
    <w:p w14:paraId="60976195">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4B7D92AE">
      <w:pPr>
        <w:snapToGrid w:val="0"/>
        <w:spacing w:before="120" w:beforeLines="50" w:after="50" w:line="360" w:lineRule="auto"/>
        <w:ind w:right="480" w:firstLine="240" w:firstLineChars="100"/>
        <w:jc w:val="left"/>
        <w:rPr>
          <w:rFonts w:hint="eastAsia"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2.商务技术文件目录</w:t>
      </w:r>
    </w:p>
    <w:p w14:paraId="1B99F372">
      <w:pPr>
        <w:snapToGrid w:val="0"/>
        <w:spacing w:before="120" w:beforeLines="50" w:after="50" w:line="360" w:lineRule="auto"/>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0116E73">
      <w:pPr>
        <w:spacing w:line="400" w:lineRule="exact"/>
        <w:rPr>
          <w:rFonts w:hint="eastAsia" w:ascii="宋体" w:hAnsi="宋体" w:cs="宋体"/>
          <w:color w:val="auto"/>
          <w:sz w:val="32"/>
          <w:szCs w:val="32"/>
          <w:highlight w:val="none"/>
        </w:rPr>
      </w:pPr>
    </w:p>
    <w:p w14:paraId="51B8C03B">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无串通竞标行为的承诺函</w:t>
      </w:r>
    </w:p>
    <w:p w14:paraId="10E85655">
      <w:pPr>
        <w:spacing w:line="360" w:lineRule="auto"/>
        <w:ind w:firstLine="640" w:firstLineChars="200"/>
        <w:contextualSpacing/>
        <w:rPr>
          <w:rFonts w:hint="eastAsia" w:ascii="宋体" w:hAnsi="宋体" w:cs="宋体"/>
          <w:color w:val="auto"/>
          <w:sz w:val="32"/>
          <w:szCs w:val="32"/>
          <w:highlight w:val="none"/>
        </w:rPr>
      </w:pPr>
    </w:p>
    <w:p w14:paraId="63DC4896">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一、我方承诺无下列相互串通竞标的情形：</w:t>
      </w:r>
    </w:p>
    <w:p w14:paraId="47D6D04C">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eastAsia="宋体" w:cs="宋体"/>
          <w:i w:val="0"/>
          <w:iCs w:val="0"/>
          <w:caps w:val="0"/>
          <w:color w:val="auto"/>
          <w:spacing w:val="0"/>
          <w:sz w:val="21"/>
          <w:szCs w:val="21"/>
          <w:highlight w:val="none"/>
          <w:shd w:val="clear" w:color="auto" w:fill="FFFFFF"/>
        </w:rPr>
        <w:t>或者不同供应商报名的IP地址一致的</w:t>
      </w:r>
      <w:r>
        <w:rPr>
          <w:rFonts w:hint="eastAsia" w:ascii="宋体" w:hAnsi="宋体" w:cs="宋体"/>
          <w:color w:val="auto"/>
          <w:szCs w:val="21"/>
          <w:highlight w:val="none"/>
        </w:rPr>
        <w:t xml:space="preserve">； </w:t>
      </w:r>
    </w:p>
    <w:p w14:paraId="41E5DB9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441607A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3.不同供应商的响应文件载明的项目管理员为同一个人；</w:t>
      </w:r>
    </w:p>
    <w:p w14:paraId="048DE57A">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4.不</w:t>
      </w:r>
      <w:r>
        <w:rPr>
          <w:rFonts w:hint="eastAsia" w:ascii="宋体" w:hAnsi="宋体" w:cs="宋体"/>
          <w:color w:val="auto"/>
          <w:spacing w:val="-6"/>
          <w:szCs w:val="21"/>
          <w:highlight w:val="none"/>
        </w:rPr>
        <w:t>同供应商的响应文件异常一致或者竞标报价呈规律性差异；</w:t>
      </w:r>
    </w:p>
    <w:p w14:paraId="686DC11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1EAD950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14FA8CA6">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二、我方承诺无下列恶意串通的情形：</w:t>
      </w:r>
    </w:p>
    <w:p w14:paraId="5EEBAC7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7552980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E485EA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3.供</w:t>
      </w:r>
      <w:r>
        <w:rPr>
          <w:rFonts w:hint="eastAsia" w:ascii="宋体" w:hAnsi="宋体" w:cs="宋体"/>
          <w:color w:val="auto"/>
          <w:spacing w:val="-6"/>
          <w:szCs w:val="21"/>
          <w:highlight w:val="none"/>
        </w:rPr>
        <w:t>应商之间协商报价、技术方案等响应文件的实质性内容；</w:t>
      </w:r>
    </w:p>
    <w:p w14:paraId="37CA56F0">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E4AF13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5.供应商之间事先约定一致抬高或者压低竞标报价，或者在竞争性磋商项目中事先约定轮流以高价位或者低价位成交，或者事先约定由某一特定供应商成交，然后再参加竞标；</w:t>
      </w:r>
    </w:p>
    <w:p w14:paraId="72DDAE83">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1CAD380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w:t>
      </w:r>
      <w:r>
        <w:rPr>
          <w:rFonts w:hint="eastAsia" w:ascii="宋体" w:hAnsi="宋体" w:cs="宋体"/>
          <w:color w:val="auto"/>
          <w:spacing w:val="-6"/>
          <w:szCs w:val="21"/>
          <w:highlight w:val="none"/>
        </w:rPr>
        <w:t>谋求特定供应商成交或者排斥其他供应商的其他串通行为。</w:t>
      </w:r>
    </w:p>
    <w:p w14:paraId="289EF6FE">
      <w:pPr>
        <w:spacing w:line="360" w:lineRule="auto"/>
        <w:ind w:firstLine="420" w:firstLineChars="200"/>
        <w:contextualSpacing/>
        <w:rPr>
          <w:rFonts w:hint="eastAsia" w:ascii="宋体" w:hAnsi="宋体" w:cs="宋体"/>
          <w:color w:val="auto"/>
          <w:szCs w:val="21"/>
          <w:highlight w:val="none"/>
        </w:rPr>
      </w:pPr>
    </w:p>
    <w:p w14:paraId="1FC2110A">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以上情形一经核查属实，我方愿意承担一切后果，并不再寻求任何旨在减轻或者免除法律责任的辩解。</w:t>
      </w:r>
    </w:p>
    <w:p w14:paraId="3B0E17CC">
      <w:pPr>
        <w:spacing w:line="360" w:lineRule="auto"/>
        <w:contextualSpacing/>
        <w:rPr>
          <w:rFonts w:hint="eastAsia" w:ascii="宋体" w:hAnsi="宋体" w:cs="宋体"/>
          <w:color w:val="auto"/>
          <w:szCs w:val="21"/>
          <w:highlight w:val="none"/>
        </w:rPr>
      </w:pPr>
    </w:p>
    <w:p w14:paraId="4B1BA432">
      <w:pPr>
        <w:spacing w:line="360" w:lineRule="auto"/>
        <w:ind w:firstLine="3150" w:firstLineChars="1500"/>
        <w:contextualSpacing/>
        <w:rPr>
          <w:rFonts w:hint="eastAsia" w:ascii="宋体" w:hAnsi="宋体" w:cs="宋体"/>
          <w:color w:val="auto"/>
          <w:szCs w:val="21"/>
          <w:highlight w:val="none"/>
        </w:rPr>
      </w:pPr>
      <w:r>
        <w:rPr>
          <w:rFonts w:hint="eastAsia" w:ascii="宋体" w:hAnsi="宋体" w:cs="宋体"/>
          <w:color w:val="auto"/>
          <w:szCs w:val="21"/>
          <w:highlight w:val="none"/>
        </w:rPr>
        <w:t>供应商（电子签章）：</w:t>
      </w:r>
    </w:p>
    <w:p w14:paraId="0D7A1925">
      <w:pPr>
        <w:spacing w:line="360" w:lineRule="auto"/>
        <w:ind w:firstLine="420" w:firstLineChars="200"/>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750E36C4">
      <w:pPr>
        <w:spacing w:line="520" w:lineRule="exact"/>
        <w:jc w:val="center"/>
        <w:rPr>
          <w:rFonts w:hint="eastAsia" w:ascii="宋体" w:hAnsi="宋体" w:cs="宋体"/>
          <w:color w:val="auto"/>
          <w:sz w:val="28"/>
          <w:szCs w:val="28"/>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0"/>
          <w:szCs w:val="40"/>
          <w:highlight w:val="none"/>
        </w:rPr>
        <w:t>法定代表人证明书</w:t>
      </w:r>
    </w:p>
    <w:p w14:paraId="183870D1">
      <w:pPr>
        <w:spacing w:line="360" w:lineRule="auto"/>
        <w:ind w:left="540"/>
        <w:contextualSpacing/>
        <w:rPr>
          <w:rFonts w:hint="eastAsia" w:ascii="宋体" w:hAnsi="宋体" w:cs="宋体"/>
          <w:color w:val="auto"/>
          <w:szCs w:val="21"/>
          <w:highlight w:val="none"/>
        </w:rPr>
      </w:pPr>
    </w:p>
    <w:p w14:paraId="567890C4">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38EC6A16">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29CD0375">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002706E7">
      <w:pPr>
        <w:spacing w:line="360" w:lineRule="auto"/>
        <w:ind w:left="540"/>
        <w:contextualSpacing/>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674041CC">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5E2216F6">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的法定代表人。</w:t>
      </w:r>
    </w:p>
    <w:p w14:paraId="6DA2212E">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特此证明。</w:t>
      </w:r>
    </w:p>
    <w:p w14:paraId="2CA7E662">
      <w:pPr>
        <w:spacing w:line="360" w:lineRule="auto"/>
        <w:ind w:left="540"/>
        <w:contextualSpacing/>
        <w:rPr>
          <w:rFonts w:hint="eastAsia" w:ascii="宋体" w:hAnsi="宋体" w:cs="宋体"/>
          <w:color w:val="auto"/>
          <w:szCs w:val="21"/>
          <w:highlight w:val="none"/>
        </w:rPr>
      </w:pPr>
    </w:p>
    <w:p w14:paraId="13D0FDF4">
      <w:pPr>
        <w:spacing w:line="360" w:lineRule="auto"/>
        <w:ind w:left="540"/>
        <w:contextualSpacing/>
        <w:rPr>
          <w:rFonts w:hint="eastAsia" w:ascii="宋体" w:hAnsi="宋体" w:cs="宋体"/>
          <w:color w:val="auto"/>
          <w:szCs w:val="21"/>
          <w:highlight w:val="none"/>
        </w:rPr>
      </w:pPr>
    </w:p>
    <w:p w14:paraId="021D60A5">
      <w:pPr>
        <w:spacing w:line="360" w:lineRule="auto"/>
        <w:ind w:left="540"/>
        <w:contextualSpacing/>
        <w:rPr>
          <w:rFonts w:hint="eastAsia" w:ascii="宋体" w:hAnsi="宋体" w:cs="宋体"/>
          <w:color w:val="auto"/>
          <w:szCs w:val="21"/>
          <w:highlight w:val="none"/>
        </w:rPr>
      </w:pPr>
    </w:p>
    <w:p w14:paraId="0ADB91C9">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45CBD984">
      <w:pPr>
        <w:spacing w:line="360" w:lineRule="auto"/>
        <w:ind w:left="540"/>
        <w:contextualSpacing/>
        <w:rPr>
          <w:rFonts w:hint="eastAsia" w:ascii="宋体" w:hAnsi="宋体" w:cs="宋体"/>
          <w:color w:val="auto"/>
          <w:szCs w:val="21"/>
          <w:highlight w:val="none"/>
        </w:rPr>
      </w:pPr>
    </w:p>
    <w:p w14:paraId="6F5CF48D">
      <w:pPr>
        <w:spacing w:line="360" w:lineRule="auto"/>
        <w:ind w:left="540"/>
        <w:contextualSpacing/>
        <w:jc w:val="right"/>
        <w:rPr>
          <w:rFonts w:hint="eastAsia" w:ascii="宋体" w:hAnsi="宋体" w:cs="宋体"/>
          <w:color w:val="auto"/>
          <w:szCs w:val="21"/>
          <w:highlight w:val="non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p>
    <w:p w14:paraId="222AB729">
      <w:pPr>
        <w:spacing w:line="360" w:lineRule="auto"/>
        <w:ind w:firstLine="3570" w:firstLineChars="1700"/>
        <w:contextualSpacing/>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6D07109">
      <w:pPr>
        <w:spacing w:line="360" w:lineRule="auto"/>
        <w:contextualSpacing/>
        <w:jc w:val="center"/>
        <w:rPr>
          <w:rFonts w:hint="eastAsia" w:ascii="宋体" w:hAnsi="宋体" w:cs="宋体"/>
          <w:b/>
          <w:color w:val="auto"/>
          <w:szCs w:val="21"/>
          <w:highlight w:val="none"/>
        </w:rPr>
      </w:pPr>
    </w:p>
    <w:p w14:paraId="30F0F0AB">
      <w:pPr>
        <w:spacing w:line="360" w:lineRule="auto"/>
        <w:contextualSpacing/>
        <w:jc w:val="left"/>
        <w:rPr>
          <w:rFonts w:hint="eastAsia" w:ascii="宋体" w:hAnsi="宋体" w:cs="宋体"/>
          <w:color w:val="auto"/>
          <w:szCs w:val="21"/>
          <w:highlight w:val="none"/>
        </w:rPr>
      </w:pPr>
    </w:p>
    <w:p w14:paraId="5D4EAE7E">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注：自然人竞标的无需提供。</w:t>
      </w:r>
    </w:p>
    <w:p w14:paraId="3B05BAA8">
      <w:pPr>
        <w:adjustRightInd w:val="0"/>
        <w:snapToGrid w:val="0"/>
        <w:spacing w:line="300" w:lineRule="auto"/>
        <w:jc w:val="left"/>
        <w:rPr>
          <w:rFonts w:hint="eastAsia" w:ascii="宋体" w:hAnsi="宋体" w:cs="宋体"/>
          <w:b/>
          <w:color w:val="auto"/>
          <w:szCs w:val="21"/>
          <w:highlight w:val="none"/>
        </w:rPr>
      </w:pPr>
    </w:p>
    <w:p w14:paraId="43A130F0">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2EE2A46E">
      <w:pPr>
        <w:spacing w:line="520" w:lineRule="exact"/>
        <w:jc w:val="center"/>
        <w:rPr>
          <w:rFonts w:hint="eastAsia" w:ascii="宋体" w:hAnsi="宋体" w:cs="宋体"/>
          <w:color w:val="auto"/>
          <w:sz w:val="32"/>
          <w:szCs w:val="32"/>
          <w:highlight w:val="none"/>
        </w:rPr>
      </w:pPr>
      <w:bookmarkStart w:id="97" w:name="_Hlk65853643"/>
      <w:r>
        <w:rPr>
          <w:rFonts w:hint="eastAsia" w:ascii="宋体" w:hAnsi="宋体" w:cs="宋体"/>
          <w:color w:val="auto"/>
          <w:sz w:val="44"/>
          <w:szCs w:val="44"/>
          <w:highlight w:val="none"/>
        </w:rPr>
        <w:t>授权委托书</w:t>
      </w:r>
    </w:p>
    <w:p w14:paraId="6DDB3BC2">
      <w:pPr>
        <w:spacing w:line="360" w:lineRule="auto"/>
        <w:contextualSpacing/>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（如有委托时）</w:t>
      </w:r>
    </w:p>
    <w:p w14:paraId="50037143">
      <w:pPr>
        <w:spacing w:line="360" w:lineRule="auto"/>
        <w:contextualSpacing/>
        <w:jc w:val="center"/>
        <w:rPr>
          <w:rFonts w:hint="eastAsia" w:ascii="宋体" w:hAnsi="宋体" w:cs="宋体"/>
          <w:color w:val="auto"/>
          <w:sz w:val="32"/>
          <w:szCs w:val="32"/>
          <w:highlight w:val="none"/>
        </w:rPr>
      </w:pPr>
    </w:p>
    <w:p w14:paraId="3228B9C2">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致：</w:t>
      </w:r>
      <w:r>
        <w:rPr>
          <w:rFonts w:hint="eastAsia" w:ascii="宋体" w:hAnsi="宋体" w:cs="仿宋_GB2312"/>
          <w:color w:val="auto"/>
          <w:sz w:val="21"/>
          <w:szCs w:val="21"/>
          <w:highlight w:val="none"/>
          <w:u w:val="single"/>
          <w:lang w:eastAsia="zh-CN"/>
        </w:rPr>
        <w:t>广西安全工程职业技术学院</w:t>
      </w:r>
      <w:r>
        <w:rPr>
          <w:rFonts w:hint="eastAsia" w:ascii="宋体" w:hAnsi="宋体" w:cs="仿宋_GB2312"/>
          <w:color w:val="auto"/>
          <w:sz w:val="21"/>
          <w:szCs w:val="21"/>
          <w:highlight w:val="none"/>
        </w:rPr>
        <w:t>：</w:t>
      </w:r>
    </w:p>
    <w:p w14:paraId="75A6A77D">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我</w:t>
      </w:r>
      <w:r>
        <w:rPr>
          <w:rFonts w:hint="eastAsia" w:ascii="宋体" w:hAnsi="宋体" w:cs="仿宋_GB2312"/>
          <w:color w:val="auto"/>
          <w:sz w:val="21"/>
          <w:szCs w:val="21"/>
          <w:highlight w:val="none"/>
          <w:u w:val="single"/>
        </w:rPr>
        <w:t xml:space="preserve">  （姓名）  </w:t>
      </w:r>
      <w:r>
        <w:rPr>
          <w:rFonts w:hint="eastAsia" w:ascii="宋体" w:hAnsi="宋体" w:cs="仿宋_GB2312"/>
          <w:color w:val="auto"/>
          <w:sz w:val="21"/>
          <w:szCs w:val="21"/>
          <w:highlight w:val="none"/>
        </w:rPr>
        <w:t>系</w:t>
      </w:r>
      <w:r>
        <w:rPr>
          <w:rFonts w:hint="eastAsia" w:ascii="宋体" w:hAnsi="宋体" w:cs="仿宋_GB2312"/>
          <w:color w:val="auto"/>
          <w:sz w:val="21"/>
          <w:szCs w:val="21"/>
          <w:highlight w:val="none"/>
          <w:u w:val="single"/>
        </w:rPr>
        <w:t xml:space="preserve">  （供应商名称）  </w:t>
      </w:r>
      <w:r>
        <w:rPr>
          <w:rFonts w:hint="eastAsia" w:ascii="宋体" w:hAnsi="宋体" w:cs="仿宋_GB2312"/>
          <w:color w:val="auto"/>
          <w:sz w:val="21"/>
          <w:szCs w:val="21"/>
          <w:highlight w:val="none"/>
        </w:rPr>
        <w:t>的（</w:t>
      </w:r>
      <w:r>
        <w:rPr>
          <w:rFonts w:hint="eastAsia" w:ascii="宋体" w:hAnsi="宋体" w:cs="仿宋_GB2312"/>
          <w:color w:val="auto"/>
          <w:sz w:val="21"/>
          <w:szCs w:val="21"/>
          <w:highlight w:val="none"/>
          <w:u w:val="single"/>
        </w:rPr>
        <w:t>（法定代表人/□负责人/□自然人本人</w:t>
      </w:r>
      <w:r>
        <w:rPr>
          <w:rFonts w:hint="eastAsia" w:ascii="宋体" w:hAnsi="宋体" w:cs="仿宋_GB2312"/>
          <w:color w:val="auto"/>
          <w:sz w:val="21"/>
          <w:szCs w:val="21"/>
          <w:highlight w:val="none"/>
        </w:rPr>
        <w:t>），现授权</w:t>
      </w:r>
      <w:r>
        <w:rPr>
          <w:rFonts w:hint="eastAsia" w:ascii="宋体" w:hAnsi="宋体" w:cs="仿宋_GB2312"/>
          <w:color w:val="auto"/>
          <w:sz w:val="21"/>
          <w:szCs w:val="21"/>
          <w:highlight w:val="none"/>
          <w:u w:val="single"/>
        </w:rPr>
        <w:t xml:space="preserve"> （姓名） </w:t>
      </w:r>
      <w:r>
        <w:rPr>
          <w:rFonts w:hint="eastAsia" w:ascii="宋体" w:hAnsi="宋体" w:cs="仿宋_GB2312"/>
          <w:color w:val="auto"/>
          <w:sz w:val="21"/>
          <w:szCs w:val="21"/>
          <w:highlight w:val="none"/>
        </w:rPr>
        <w:t>以我方的名义参加</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项目的竞标活动，并代表我方全权办理针对上述项目的所有采购程序和环节的具体事务和签署相关文件。</w:t>
      </w:r>
    </w:p>
    <w:p w14:paraId="004ED45E">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 xml:space="preserve">    我方对委托代理人的签字事项负全部责任。</w:t>
      </w:r>
    </w:p>
    <w:p w14:paraId="16BB19BA">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本授权书自签署之日起生效，在撤销授权的书面通知以前，本授权书一直有效。委托代理人在授权书有效期内签署的所有文件不因授权的撤销而失效。</w:t>
      </w:r>
    </w:p>
    <w:p w14:paraId="6897D032">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委托代理人无转委托权，特此委托。</w:t>
      </w:r>
    </w:p>
    <w:p w14:paraId="39E8BC2B">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附：法定代表人身份证明书及委托代理人有效身份证正反面复印件</w:t>
      </w:r>
    </w:p>
    <w:p w14:paraId="31906E9B">
      <w:pPr>
        <w:spacing w:line="360" w:lineRule="auto"/>
        <w:ind w:firstLine="420" w:firstLineChars="200"/>
        <w:rPr>
          <w:rFonts w:hint="eastAsia" w:ascii="宋体" w:hAnsi="宋体" w:cs="宋体"/>
          <w:color w:val="auto"/>
          <w:sz w:val="21"/>
          <w:szCs w:val="21"/>
          <w:highlight w:val="none"/>
        </w:rPr>
      </w:pPr>
    </w:p>
    <w:p w14:paraId="696CBFFA">
      <w:pPr>
        <w:spacing w:line="360" w:lineRule="auto"/>
        <w:rPr>
          <w:rFonts w:hint="eastAsia" w:ascii="宋体" w:hAnsi="宋体" w:cs="宋体"/>
          <w:color w:val="auto"/>
          <w:sz w:val="21"/>
          <w:szCs w:val="21"/>
          <w:highlight w:val="none"/>
        </w:rPr>
      </w:pPr>
    </w:p>
    <w:p w14:paraId="68E6D61E">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委托代理人（签字或者电子签名）：     法定代表人（签字或者盖章或者电子签名）：                    </w:t>
      </w:r>
    </w:p>
    <w:p w14:paraId="5A1521CC">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委托代理人身份证号码：                              </w:t>
      </w:r>
    </w:p>
    <w:p w14:paraId="54C4749A">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p>
    <w:p w14:paraId="53E8F79F">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供应商（电子签章）：                      </w:t>
      </w:r>
    </w:p>
    <w:p w14:paraId="53948F84">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年    月    日</w:t>
      </w:r>
    </w:p>
    <w:p w14:paraId="79EAEB0A">
      <w:pPr>
        <w:spacing w:line="360" w:lineRule="auto"/>
        <w:rPr>
          <w:rFonts w:hint="eastAsia" w:ascii="宋体" w:hAnsi="宋体" w:cs="宋体"/>
          <w:color w:val="auto"/>
          <w:sz w:val="21"/>
          <w:szCs w:val="21"/>
          <w:highlight w:val="none"/>
        </w:rPr>
      </w:pPr>
    </w:p>
    <w:p w14:paraId="41112349">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注：1.法定代表人必须在授权委托书上签字或者盖章或者电子签名，委托代理人必须在授权委托书上签字或者电子签名，</w:t>
      </w:r>
      <w:r>
        <w:rPr>
          <w:rFonts w:hint="eastAsia" w:ascii="宋体" w:hAnsi="宋体" w:cs="宋体"/>
          <w:b/>
          <w:color w:val="auto"/>
          <w:sz w:val="21"/>
          <w:szCs w:val="21"/>
          <w:highlight w:val="none"/>
        </w:rPr>
        <w:t>否则其响应文件按无效响应处理。</w:t>
      </w:r>
    </w:p>
    <w:p w14:paraId="5455DCE6">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w:t>
      </w:r>
      <w:bookmarkStart w:id="98" w:name="_Hlk65853109"/>
      <w:bookmarkStart w:id="99" w:name="_Hlk65853542"/>
      <w:r>
        <w:rPr>
          <w:rFonts w:hint="eastAsia" w:ascii="宋体" w:hAnsi="宋体" w:cs="宋体"/>
          <w:color w:val="auto"/>
          <w:sz w:val="21"/>
          <w:szCs w:val="21"/>
          <w:highlight w:val="none"/>
        </w:rPr>
        <w:t>法人、其他组织竞标时“我方”是指“我单位”，自然人竞标时“我方”是指“本人”。</w:t>
      </w:r>
      <w:bookmarkEnd w:id="98"/>
    </w:p>
    <w:bookmarkEnd w:id="99"/>
    <w:p w14:paraId="4240CFF6">
      <w:pPr>
        <w:spacing w:line="360" w:lineRule="auto"/>
        <w:ind w:firstLine="420" w:firstLineChars="200"/>
        <w:jc w:val="left"/>
        <w:rPr>
          <w:rFonts w:hint="eastAsia" w:ascii="宋体" w:hAnsi="宋体" w:cs="宋体"/>
          <w:color w:val="auto"/>
          <w:szCs w:val="21"/>
          <w:highlight w:val="none"/>
        </w:rPr>
      </w:pPr>
    </w:p>
    <w:p w14:paraId="59B4D9E4">
      <w:pPr>
        <w:spacing w:line="500" w:lineRule="exact"/>
        <w:jc w:val="center"/>
        <w:rPr>
          <w:rFonts w:hint="eastAsia" w:ascii="宋体" w:hAnsi="宋体" w:cs="宋体"/>
          <w:bCs/>
          <w:color w:val="auto"/>
          <w:sz w:val="28"/>
          <w:szCs w:val="28"/>
          <w:highlight w:val="none"/>
        </w:rPr>
      </w:pPr>
      <w:r>
        <w:rPr>
          <w:rFonts w:hint="eastAsia" w:ascii="宋体" w:hAnsi="宋体" w:cs="宋体"/>
          <w:color w:val="auto"/>
          <w:szCs w:val="21"/>
          <w:highlight w:val="none"/>
        </w:rPr>
        <w:br w:type="page"/>
      </w:r>
      <w:bookmarkEnd w:id="97"/>
      <w:r>
        <w:rPr>
          <w:rFonts w:hint="eastAsia" w:ascii="宋体" w:hAnsi="宋体" w:cs="宋体"/>
          <w:bCs/>
          <w:color w:val="auto"/>
          <w:sz w:val="28"/>
          <w:szCs w:val="28"/>
          <w:highlight w:val="none"/>
        </w:rPr>
        <w:t>商务要求偏离表格式</w:t>
      </w:r>
    </w:p>
    <w:p w14:paraId="4D2BD55F">
      <w:pPr>
        <w:spacing w:line="500" w:lineRule="exact"/>
        <w:jc w:val="center"/>
        <w:rPr>
          <w:rFonts w:hint="eastAsia" w:ascii="宋体" w:hAnsi="宋体" w:cs="宋体"/>
          <w:bCs/>
          <w:i/>
          <w:color w:val="auto"/>
          <w:sz w:val="28"/>
          <w:szCs w:val="28"/>
          <w:highlight w:val="none"/>
        </w:rPr>
      </w:pPr>
      <w:r>
        <w:rPr>
          <w:rFonts w:hint="eastAsia" w:ascii="宋体" w:hAnsi="宋体" w:cs="宋体"/>
          <w:bCs/>
          <w:i/>
          <w:color w:val="auto"/>
          <w:sz w:val="28"/>
          <w:szCs w:val="28"/>
          <w:highlight w:val="none"/>
        </w:rPr>
        <w:t>（注：按采购需求具体条款修改）</w:t>
      </w:r>
    </w:p>
    <w:p w14:paraId="3283F2B8">
      <w:pPr>
        <w:widowControl w:val="0"/>
        <w:spacing w:line="360" w:lineRule="auto"/>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所竞分标：</w:t>
      </w:r>
      <w:r>
        <w:rPr>
          <w:rFonts w:hint="eastAsia" w:ascii="宋体" w:hAnsi="宋体" w:eastAsia="宋体" w:cs="宋体"/>
          <w:color w:val="auto"/>
          <w:kern w:val="0"/>
          <w:sz w:val="24"/>
          <w:szCs w:val="24"/>
          <w:highlight w:val="none"/>
          <w:u w:val="single"/>
          <w:lang w:val="en-US" w:eastAsia="zh-CN" w:bidi="ar-SA"/>
        </w:rPr>
        <w:t xml:space="preserve">              </w:t>
      </w:r>
    </w:p>
    <w:p w14:paraId="55699CF4">
      <w:pPr>
        <w:spacing w:line="360" w:lineRule="auto"/>
        <w:contextualSpacing/>
        <w:jc w:val="left"/>
        <w:rPr>
          <w:rFonts w:hint="eastAsia" w:ascii="宋体" w:hAnsi="宋体" w:cs="宋体"/>
          <w:color w:val="auto"/>
          <w:szCs w:val="21"/>
          <w:highlight w:val="none"/>
          <w:u w:val="single"/>
        </w:rPr>
      </w:pPr>
    </w:p>
    <w:tbl>
      <w:tblPr>
        <w:tblStyle w:val="20"/>
        <w:tblpPr w:leftFromText="180" w:rightFromText="180" w:vertAnchor="text" w:horzAnchor="margin" w:tblpX="1"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2E546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4241AD9">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4F88345">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22133C98">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7DD0710">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5B5377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31DAD3EF">
            <w:pPr>
              <w:snapToGrid w:val="0"/>
              <w:spacing w:line="420" w:lineRule="exact"/>
              <w:jc w:val="center"/>
              <w:rPr>
                <w:rFonts w:hint="eastAsia" w:ascii="宋体" w:hAnsi="宋体" w:cs="宋体"/>
                <w:color w:val="auto"/>
                <w:szCs w:val="21"/>
                <w:highlight w:val="none"/>
              </w:rPr>
            </w:pPr>
            <w:r>
              <w:rPr>
                <w:rFonts w:hint="eastAsia" w:ascii="宋体" w:hAnsi="宋体" w:eastAsia="宋体" w:cs="宋体"/>
                <w:color w:val="auto"/>
                <w:szCs w:val="21"/>
                <w:highlight w:val="none"/>
              </w:rPr>
              <w:t>服务地点及服务期</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3702306">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94C9985">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C75C595">
            <w:pPr>
              <w:spacing w:line="360" w:lineRule="auto"/>
              <w:contextualSpacing/>
              <w:jc w:val="center"/>
              <w:rPr>
                <w:rFonts w:hint="eastAsia" w:ascii="宋体" w:hAnsi="宋体" w:cs="宋体"/>
                <w:color w:val="auto"/>
                <w:szCs w:val="21"/>
                <w:highlight w:val="none"/>
              </w:rPr>
            </w:pPr>
          </w:p>
        </w:tc>
      </w:tr>
      <w:tr w14:paraId="66A36A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569E65B">
            <w:pPr>
              <w:tabs>
                <w:tab w:val="left" w:pos="180"/>
                <w:tab w:val="left" w:pos="1620"/>
              </w:tabs>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合同签订期</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7981314">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1A5B884">
            <w:pPr>
              <w:spacing w:line="360" w:lineRule="auto"/>
              <w:ind w:left="43"/>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9413B2B">
            <w:pPr>
              <w:spacing w:line="360" w:lineRule="auto"/>
              <w:ind w:left="43"/>
              <w:contextualSpacing/>
              <w:jc w:val="center"/>
              <w:rPr>
                <w:rFonts w:hint="eastAsia" w:ascii="宋体" w:hAnsi="宋体" w:cs="宋体"/>
                <w:color w:val="auto"/>
                <w:szCs w:val="21"/>
                <w:highlight w:val="none"/>
              </w:rPr>
            </w:pPr>
          </w:p>
        </w:tc>
      </w:tr>
      <w:tr w14:paraId="21047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73CBF852">
            <w:pPr>
              <w:snapToGrid w:val="0"/>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付款条件</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92B4C86">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11631EC3">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4ABE77DE">
            <w:pPr>
              <w:spacing w:line="360" w:lineRule="auto"/>
              <w:contextualSpacing/>
              <w:jc w:val="center"/>
              <w:rPr>
                <w:rFonts w:hint="eastAsia" w:ascii="宋体" w:hAnsi="宋体" w:cs="宋体"/>
                <w:color w:val="auto"/>
                <w:szCs w:val="21"/>
                <w:highlight w:val="none"/>
              </w:rPr>
            </w:pPr>
          </w:p>
        </w:tc>
      </w:tr>
      <w:tr w14:paraId="0224B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7E666505">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26AF7F8">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62EBDC0">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672BB5EE">
            <w:pPr>
              <w:spacing w:line="360" w:lineRule="auto"/>
              <w:contextualSpacing/>
              <w:jc w:val="center"/>
              <w:rPr>
                <w:rFonts w:hint="eastAsia" w:ascii="宋体" w:hAnsi="宋体" w:cs="宋体"/>
                <w:color w:val="auto"/>
                <w:szCs w:val="21"/>
                <w:highlight w:val="none"/>
              </w:rPr>
            </w:pPr>
          </w:p>
        </w:tc>
      </w:tr>
    </w:tbl>
    <w:p w14:paraId="566D4A1F">
      <w:pPr>
        <w:pStyle w:val="10"/>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w:t>
      </w:r>
    </w:p>
    <w:p w14:paraId="469EE944">
      <w:pPr>
        <w:pStyle w:val="10"/>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 说明：应对照磋商文件“第三章 采购需求”中的商务要求逐条作出明确响应，并作出偏离说明。</w:t>
      </w:r>
    </w:p>
    <w:p w14:paraId="6B956F64">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kern w:val="0"/>
          <w:szCs w:val="21"/>
          <w:highlight w:val="none"/>
        </w:rPr>
        <w:t>2.供应商应根据自身的承诺，对照磋商文件要求在“偏离说明”中注明“正偏离”、“负偏离”或者“无偏离”。既不属于“正偏离”也不属于“负偏离”即为“无偏离”。</w:t>
      </w:r>
    </w:p>
    <w:p w14:paraId="6B922025">
      <w:pPr>
        <w:spacing w:line="360" w:lineRule="auto"/>
        <w:ind w:right="-817" w:rightChars="-389"/>
        <w:contextualSpacing/>
        <w:rPr>
          <w:rFonts w:hint="eastAsia" w:ascii="宋体" w:hAnsi="宋体" w:cs="宋体"/>
          <w:color w:val="auto"/>
          <w:szCs w:val="21"/>
          <w:highlight w:val="none"/>
        </w:rPr>
      </w:pPr>
    </w:p>
    <w:p w14:paraId="0FEE6E45">
      <w:pPr>
        <w:spacing w:line="360" w:lineRule="auto"/>
        <w:ind w:right="-817" w:rightChars="-389"/>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p>
    <w:p w14:paraId="607AC52C">
      <w:pPr>
        <w:spacing w:line="360" w:lineRule="auto"/>
        <w:ind w:right="-817" w:rightChars="-389" w:firstLine="2310" w:firstLineChars="1100"/>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供应商（电子签章）：      </w:t>
      </w:r>
    </w:p>
    <w:p w14:paraId="666292B4">
      <w:pPr>
        <w:spacing w:line="360" w:lineRule="auto"/>
        <w:ind w:right="-817" w:rightChars="-389" w:firstLine="3570" w:firstLineChars="1700"/>
        <w:contextualSpacing/>
        <w:rPr>
          <w:rFonts w:hint="eastAsia" w:ascii="宋体" w:hAnsi="宋体" w:cs="宋体"/>
          <w:b/>
          <w:color w:val="auto"/>
          <w:szCs w:val="21"/>
          <w:highlight w:val="none"/>
        </w:rPr>
      </w:pPr>
      <w:r>
        <w:rPr>
          <w:rFonts w:hint="eastAsia" w:ascii="宋体" w:hAnsi="宋体" w:cs="宋体"/>
          <w:color w:val="auto"/>
          <w:szCs w:val="21"/>
          <w:highlight w:val="none"/>
        </w:rPr>
        <w:t>日期：   年   月   日</w:t>
      </w:r>
    </w:p>
    <w:p w14:paraId="6413A587">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0EFF8998">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4763F8D2">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57E3438B">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13A66BD0">
      <w:pPr>
        <w:adjustRightInd w:val="0"/>
        <w:snapToGrid w:val="0"/>
        <w:spacing w:line="300" w:lineRule="auto"/>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4"/>
          <w:szCs w:val="44"/>
          <w:highlight w:val="none"/>
        </w:rPr>
        <w:t>服务需求、技术需求偏离表</w:t>
      </w:r>
    </w:p>
    <w:p w14:paraId="63945FF7">
      <w:pPr>
        <w:spacing w:line="520" w:lineRule="exact"/>
        <w:rPr>
          <w:rFonts w:hint="eastAsia" w:ascii="宋体" w:hAnsi="宋体" w:cs="宋体"/>
          <w:color w:val="auto"/>
          <w:sz w:val="32"/>
          <w:szCs w:val="32"/>
          <w:highlight w:val="none"/>
        </w:rPr>
      </w:pPr>
    </w:p>
    <w:p w14:paraId="191DA7B6">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p>
    <w:p w14:paraId="61A255BE">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w:t>
      </w:r>
    </w:p>
    <w:p w14:paraId="43BC9011">
      <w:pPr>
        <w:widowControl w:val="0"/>
        <w:spacing w:line="360" w:lineRule="auto"/>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所竞分标：</w:t>
      </w:r>
      <w:r>
        <w:rPr>
          <w:rFonts w:hint="eastAsia" w:ascii="宋体" w:hAnsi="宋体" w:eastAsia="宋体" w:cs="宋体"/>
          <w:color w:val="auto"/>
          <w:kern w:val="0"/>
          <w:sz w:val="24"/>
          <w:szCs w:val="24"/>
          <w:highlight w:val="none"/>
          <w:u w:val="single"/>
          <w:lang w:val="en-US" w:eastAsia="zh-CN" w:bidi="ar-SA"/>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40083C8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41C9B21">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00" w:name="_Toc173211900"/>
            <w:bookmarkStart w:id="101" w:name="_Toc254970729"/>
            <w:bookmarkStart w:id="102" w:name="_Toc173066401"/>
            <w:bookmarkStart w:id="103" w:name="_Toc254970588"/>
            <w:bookmarkStart w:id="104" w:name="_Toc301781611"/>
            <w:bookmarkStart w:id="105" w:name="_Toc383699906"/>
            <w:bookmarkStart w:id="106" w:name="_Toc295404981"/>
            <w:bookmarkStart w:id="107" w:name="_Toc373333689"/>
            <w:bookmarkStart w:id="108" w:name="_Toc297193185"/>
            <w:r>
              <w:rPr>
                <w:rFonts w:hint="eastAsia" w:ascii="宋体" w:hAnsi="宋体" w:eastAsia="宋体" w:cs="宋体"/>
                <w:color w:val="auto"/>
                <w:kern w:val="2"/>
                <w:sz w:val="21"/>
                <w:szCs w:val="21"/>
                <w:highlight w:val="none"/>
              </w:rPr>
              <w:t>序号</w:t>
            </w:r>
            <w:bookmarkEnd w:id="100"/>
            <w:bookmarkEnd w:id="101"/>
            <w:bookmarkEnd w:id="102"/>
            <w:bookmarkEnd w:id="103"/>
            <w:bookmarkEnd w:id="104"/>
            <w:bookmarkEnd w:id="105"/>
            <w:bookmarkEnd w:id="106"/>
            <w:bookmarkEnd w:id="107"/>
            <w:bookmarkEnd w:id="108"/>
          </w:p>
        </w:tc>
        <w:tc>
          <w:tcPr>
            <w:tcW w:w="900" w:type="dxa"/>
            <w:tcBorders>
              <w:right w:val="single" w:color="auto" w:sz="4" w:space="0"/>
            </w:tcBorders>
            <w:noWrap w:val="0"/>
            <w:vAlign w:val="center"/>
          </w:tcPr>
          <w:p w14:paraId="071BBE3B">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名称</w:t>
            </w:r>
          </w:p>
        </w:tc>
        <w:tc>
          <w:tcPr>
            <w:tcW w:w="2989" w:type="dxa"/>
            <w:tcBorders>
              <w:left w:val="single" w:color="auto" w:sz="4" w:space="0"/>
            </w:tcBorders>
            <w:noWrap w:val="0"/>
            <w:vAlign w:val="center"/>
          </w:tcPr>
          <w:p w14:paraId="05A7CAE5">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磋商文件技术要求</w:t>
            </w:r>
          </w:p>
        </w:tc>
        <w:tc>
          <w:tcPr>
            <w:tcW w:w="2690" w:type="dxa"/>
            <w:noWrap w:val="0"/>
            <w:vAlign w:val="center"/>
          </w:tcPr>
          <w:p w14:paraId="272558EC">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09" w:name="_Toc173066403"/>
            <w:bookmarkStart w:id="110" w:name="_Toc373333691"/>
            <w:bookmarkStart w:id="111" w:name="_Toc301781613"/>
            <w:bookmarkStart w:id="112" w:name="_Toc297193187"/>
            <w:bookmarkStart w:id="113" w:name="_Toc173211902"/>
            <w:bookmarkStart w:id="114" w:name="_Toc254970590"/>
            <w:bookmarkStart w:id="115" w:name="_Toc383699908"/>
            <w:bookmarkStart w:id="116" w:name="_Toc254970731"/>
            <w:bookmarkStart w:id="117" w:name="_Toc295404983"/>
            <w:r>
              <w:rPr>
                <w:rFonts w:hint="eastAsia" w:ascii="宋体" w:hAnsi="宋体" w:eastAsia="宋体" w:cs="宋体"/>
                <w:color w:val="auto"/>
                <w:kern w:val="2"/>
                <w:sz w:val="21"/>
                <w:szCs w:val="21"/>
                <w:highlight w:val="none"/>
              </w:rPr>
              <w:t>竞标响应</w:t>
            </w:r>
            <w:bookmarkEnd w:id="109"/>
            <w:bookmarkEnd w:id="110"/>
            <w:bookmarkEnd w:id="111"/>
            <w:bookmarkEnd w:id="112"/>
            <w:bookmarkEnd w:id="113"/>
            <w:bookmarkEnd w:id="114"/>
            <w:bookmarkEnd w:id="115"/>
            <w:bookmarkEnd w:id="116"/>
            <w:bookmarkEnd w:id="117"/>
          </w:p>
        </w:tc>
        <w:tc>
          <w:tcPr>
            <w:tcW w:w="1467" w:type="dxa"/>
            <w:noWrap w:val="0"/>
            <w:vAlign w:val="center"/>
          </w:tcPr>
          <w:p w14:paraId="0B62A0C4">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18" w:name="_Toc297193188"/>
            <w:bookmarkStart w:id="119" w:name="_Toc301781614"/>
            <w:bookmarkStart w:id="120" w:name="_Toc373333692"/>
            <w:bookmarkStart w:id="121" w:name="_Toc383699909"/>
            <w:bookmarkStart w:id="122" w:name="_Toc254970591"/>
            <w:bookmarkStart w:id="123" w:name="_Toc295404984"/>
            <w:bookmarkStart w:id="124" w:name="_Toc173066404"/>
            <w:bookmarkStart w:id="125" w:name="_Toc254970732"/>
            <w:bookmarkStart w:id="126" w:name="_Toc173211903"/>
            <w:r>
              <w:rPr>
                <w:rFonts w:hint="eastAsia" w:ascii="宋体" w:hAnsi="宋体" w:eastAsia="宋体" w:cs="宋体"/>
                <w:color w:val="auto"/>
                <w:kern w:val="2"/>
                <w:sz w:val="21"/>
                <w:szCs w:val="21"/>
                <w:highlight w:val="none"/>
              </w:rPr>
              <w:t>偏离</w:t>
            </w:r>
            <w:bookmarkEnd w:id="118"/>
            <w:bookmarkEnd w:id="119"/>
            <w:bookmarkEnd w:id="120"/>
            <w:bookmarkEnd w:id="121"/>
            <w:bookmarkEnd w:id="122"/>
            <w:bookmarkEnd w:id="123"/>
            <w:bookmarkEnd w:id="124"/>
            <w:bookmarkEnd w:id="125"/>
            <w:bookmarkEnd w:id="126"/>
            <w:bookmarkStart w:id="127" w:name="_Toc383699910"/>
            <w:bookmarkStart w:id="128" w:name="_Toc373333693"/>
            <w:bookmarkStart w:id="129" w:name="_Toc173066405"/>
            <w:bookmarkStart w:id="130" w:name="_Toc295404985"/>
            <w:bookmarkStart w:id="131" w:name="_Toc297193189"/>
            <w:bookmarkStart w:id="132" w:name="_Toc173211904"/>
            <w:bookmarkStart w:id="133" w:name="_Toc254970733"/>
            <w:bookmarkStart w:id="134" w:name="_Toc254970592"/>
            <w:bookmarkStart w:id="135" w:name="_Toc301781615"/>
            <w:r>
              <w:rPr>
                <w:rFonts w:hint="eastAsia" w:ascii="宋体" w:hAnsi="宋体" w:eastAsia="宋体" w:cs="宋体"/>
                <w:color w:val="auto"/>
                <w:kern w:val="2"/>
                <w:sz w:val="21"/>
                <w:szCs w:val="21"/>
                <w:highlight w:val="none"/>
              </w:rPr>
              <w:t>说明</w:t>
            </w:r>
            <w:bookmarkEnd w:id="127"/>
            <w:bookmarkEnd w:id="128"/>
            <w:bookmarkEnd w:id="129"/>
            <w:bookmarkEnd w:id="130"/>
            <w:bookmarkEnd w:id="131"/>
            <w:bookmarkEnd w:id="132"/>
            <w:bookmarkEnd w:id="133"/>
            <w:bookmarkEnd w:id="134"/>
            <w:bookmarkEnd w:id="135"/>
          </w:p>
        </w:tc>
      </w:tr>
      <w:tr w14:paraId="503B5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10047731">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36" w:name="_Toc295404986"/>
            <w:bookmarkStart w:id="137" w:name="_Toc383699911"/>
            <w:bookmarkStart w:id="138" w:name="_Toc373333694"/>
            <w:bookmarkStart w:id="139" w:name="_Toc297193190"/>
            <w:bookmarkStart w:id="140" w:name="_Toc254970734"/>
            <w:bookmarkStart w:id="141" w:name="_Toc254970593"/>
            <w:bookmarkStart w:id="142" w:name="_Toc173066406"/>
            <w:bookmarkStart w:id="143" w:name="_Toc301781616"/>
            <w:bookmarkStart w:id="144" w:name="_Toc173211905"/>
            <w:r>
              <w:rPr>
                <w:rFonts w:hint="eastAsia" w:ascii="宋体" w:hAnsi="宋体" w:eastAsia="宋体" w:cs="宋体"/>
                <w:color w:val="auto"/>
                <w:kern w:val="2"/>
                <w:sz w:val="21"/>
                <w:szCs w:val="21"/>
                <w:highlight w:val="none"/>
              </w:rPr>
              <w:t>1</w:t>
            </w:r>
            <w:bookmarkEnd w:id="136"/>
            <w:bookmarkEnd w:id="137"/>
            <w:bookmarkEnd w:id="138"/>
            <w:bookmarkEnd w:id="139"/>
            <w:bookmarkEnd w:id="140"/>
            <w:bookmarkEnd w:id="141"/>
            <w:bookmarkEnd w:id="142"/>
            <w:bookmarkEnd w:id="143"/>
            <w:bookmarkEnd w:id="144"/>
          </w:p>
        </w:tc>
        <w:tc>
          <w:tcPr>
            <w:tcW w:w="900" w:type="dxa"/>
            <w:tcBorders>
              <w:right w:val="single" w:color="auto" w:sz="4" w:space="0"/>
            </w:tcBorders>
            <w:noWrap w:val="0"/>
            <w:vAlign w:val="center"/>
          </w:tcPr>
          <w:p w14:paraId="251BC5DD">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0A04EB93">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5809E80C">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011440BC">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4A63B8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40A3EEE4">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45" w:name="_Toc383699912"/>
            <w:bookmarkStart w:id="146" w:name="_Toc295404987"/>
            <w:bookmarkStart w:id="147" w:name="_Toc254970594"/>
            <w:bookmarkStart w:id="148" w:name="_Toc173211906"/>
            <w:bookmarkStart w:id="149" w:name="_Toc173066407"/>
            <w:bookmarkStart w:id="150" w:name="_Toc373333695"/>
            <w:bookmarkStart w:id="151" w:name="_Toc254970735"/>
            <w:bookmarkStart w:id="152" w:name="_Toc297193191"/>
            <w:bookmarkStart w:id="153" w:name="_Toc301781617"/>
            <w:r>
              <w:rPr>
                <w:rFonts w:hint="eastAsia" w:ascii="宋体" w:hAnsi="宋体" w:eastAsia="宋体" w:cs="宋体"/>
                <w:color w:val="auto"/>
                <w:kern w:val="2"/>
                <w:sz w:val="21"/>
                <w:szCs w:val="21"/>
                <w:highlight w:val="none"/>
              </w:rPr>
              <w:t>2</w:t>
            </w:r>
            <w:bookmarkEnd w:id="145"/>
            <w:bookmarkEnd w:id="146"/>
            <w:bookmarkEnd w:id="147"/>
            <w:bookmarkEnd w:id="148"/>
            <w:bookmarkEnd w:id="149"/>
            <w:bookmarkEnd w:id="150"/>
            <w:bookmarkEnd w:id="151"/>
            <w:bookmarkEnd w:id="152"/>
            <w:bookmarkEnd w:id="153"/>
          </w:p>
        </w:tc>
        <w:tc>
          <w:tcPr>
            <w:tcW w:w="900" w:type="dxa"/>
            <w:tcBorders>
              <w:right w:val="single" w:color="auto" w:sz="4" w:space="0"/>
            </w:tcBorders>
            <w:noWrap w:val="0"/>
            <w:vAlign w:val="center"/>
          </w:tcPr>
          <w:p w14:paraId="53B3F37B">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6ECBE01E">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02C0F6B0">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6C9A6025">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382903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A86D6BF">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54" w:name="_Toc383699913"/>
            <w:bookmarkStart w:id="155" w:name="_Toc254970595"/>
            <w:bookmarkStart w:id="156" w:name="_Toc254970736"/>
            <w:bookmarkStart w:id="157" w:name="_Toc373333696"/>
            <w:bookmarkStart w:id="158" w:name="_Toc301781618"/>
            <w:bookmarkStart w:id="159" w:name="_Toc173066408"/>
            <w:bookmarkStart w:id="160" w:name="_Toc295404988"/>
            <w:bookmarkStart w:id="161" w:name="_Toc173211907"/>
            <w:bookmarkStart w:id="162" w:name="_Toc297193192"/>
            <w:r>
              <w:rPr>
                <w:rFonts w:hint="eastAsia" w:ascii="宋体" w:hAnsi="宋体" w:eastAsia="宋体" w:cs="宋体"/>
                <w:color w:val="auto"/>
                <w:kern w:val="2"/>
                <w:sz w:val="21"/>
                <w:szCs w:val="21"/>
                <w:highlight w:val="none"/>
              </w:rPr>
              <w:t>3</w:t>
            </w:r>
            <w:bookmarkEnd w:id="154"/>
            <w:bookmarkEnd w:id="155"/>
            <w:bookmarkEnd w:id="156"/>
            <w:bookmarkEnd w:id="157"/>
            <w:bookmarkEnd w:id="158"/>
            <w:bookmarkEnd w:id="159"/>
            <w:bookmarkEnd w:id="160"/>
            <w:bookmarkEnd w:id="161"/>
            <w:bookmarkEnd w:id="162"/>
          </w:p>
        </w:tc>
        <w:tc>
          <w:tcPr>
            <w:tcW w:w="900" w:type="dxa"/>
            <w:tcBorders>
              <w:right w:val="single" w:color="auto" w:sz="4" w:space="0"/>
            </w:tcBorders>
            <w:noWrap w:val="0"/>
            <w:vAlign w:val="center"/>
          </w:tcPr>
          <w:p w14:paraId="73EFD699">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3F82F8C2">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264C6DA6">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18D650EA">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70B3B9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6F4AF006">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63" w:name="_Toc297193193"/>
            <w:bookmarkStart w:id="164" w:name="_Toc173066409"/>
            <w:bookmarkStart w:id="165" w:name="_Toc254970737"/>
            <w:bookmarkStart w:id="166" w:name="_Toc254970596"/>
            <w:bookmarkStart w:id="167" w:name="_Toc373333697"/>
            <w:bookmarkStart w:id="168" w:name="_Toc301781619"/>
            <w:bookmarkStart w:id="169" w:name="_Toc295404989"/>
            <w:bookmarkStart w:id="170" w:name="_Toc173211908"/>
            <w:bookmarkStart w:id="171" w:name="_Toc383699914"/>
            <w:r>
              <w:rPr>
                <w:rFonts w:hint="eastAsia" w:ascii="宋体" w:hAnsi="宋体" w:eastAsia="宋体" w:cs="宋体"/>
                <w:color w:val="auto"/>
                <w:kern w:val="2"/>
                <w:sz w:val="21"/>
                <w:szCs w:val="21"/>
                <w:highlight w:val="none"/>
              </w:rPr>
              <w:t>4</w:t>
            </w:r>
            <w:bookmarkEnd w:id="163"/>
            <w:bookmarkEnd w:id="164"/>
            <w:bookmarkEnd w:id="165"/>
            <w:bookmarkEnd w:id="166"/>
            <w:bookmarkEnd w:id="167"/>
            <w:bookmarkEnd w:id="168"/>
            <w:bookmarkEnd w:id="169"/>
            <w:bookmarkEnd w:id="170"/>
            <w:bookmarkEnd w:id="171"/>
          </w:p>
        </w:tc>
        <w:tc>
          <w:tcPr>
            <w:tcW w:w="900" w:type="dxa"/>
            <w:tcBorders>
              <w:right w:val="single" w:color="auto" w:sz="4" w:space="0"/>
            </w:tcBorders>
            <w:noWrap w:val="0"/>
            <w:vAlign w:val="center"/>
          </w:tcPr>
          <w:p w14:paraId="49BE58C4">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4BFA4AEF">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4E07861B">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6911119C">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3A365A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43F47DE">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72" w:name="_Toc173211909"/>
            <w:bookmarkStart w:id="173" w:name="_Toc383699915"/>
            <w:bookmarkStart w:id="174" w:name="_Toc373333698"/>
            <w:bookmarkStart w:id="175" w:name="_Toc254970738"/>
            <w:bookmarkStart w:id="176" w:name="_Toc297193194"/>
            <w:bookmarkStart w:id="177" w:name="_Toc301781620"/>
            <w:bookmarkStart w:id="178" w:name="_Toc173066410"/>
            <w:bookmarkStart w:id="179" w:name="_Toc254970597"/>
            <w:bookmarkStart w:id="180" w:name="_Toc295404990"/>
            <w:r>
              <w:rPr>
                <w:rFonts w:hint="eastAsia" w:ascii="宋体" w:hAnsi="宋体" w:eastAsia="宋体" w:cs="宋体"/>
                <w:color w:val="auto"/>
                <w:kern w:val="2"/>
                <w:sz w:val="21"/>
                <w:szCs w:val="21"/>
                <w:highlight w:val="none"/>
              </w:rPr>
              <w:t>5</w:t>
            </w:r>
            <w:bookmarkEnd w:id="172"/>
            <w:bookmarkEnd w:id="173"/>
            <w:bookmarkEnd w:id="174"/>
            <w:bookmarkEnd w:id="175"/>
            <w:bookmarkEnd w:id="176"/>
            <w:bookmarkEnd w:id="177"/>
            <w:bookmarkEnd w:id="178"/>
            <w:bookmarkEnd w:id="179"/>
            <w:bookmarkEnd w:id="180"/>
          </w:p>
        </w:tc>
        <w:tc>
          <w:tcPr>
            <w:tcW w:w="900" w:type="dxa"/>
            <w:tcBorders>
              <w:right w:val="single" w:color="auto" w:sz="4" w:space="0"/>
            </w:tcBorders>
            <w:noWrap w:val="0"/>
            <w:vAlign w:val="center"/>
          </w:tcPr>
          <w:p w14:paraId="35AB5CC4">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416B61CD">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7E244B75">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noWrap w:val="0"/>
            <w:vAlign w:val="center"/>
          </w:tcPr>
          <w:p w14:paraId="5D3C8E2C">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7B8E8C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14:paraId="4296B25E">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81" w:name="_Toc373333699"/>
            <w:bookmarkStart w:id="182" w:name="_Toc297193195"/>
            <w:bookmarkStart w:id="183" w:name="_Toc254970602"/>
            <w:bookmarkStart w:id="184" w:name="_Toc254970743"/>
            <w:bookmarkStart w:id="185" w:name="_Toc383699916"/>
            <w:bookmarkStart w:id="186" w:name="_Toc295404991"/>
            <w:bookmarkStart w:id="187" w:name="_Toc173066415"/>
            <w:bookmarkStart w:id="188" w:name="_Toc301781621"/>
            <w:bookmarkStart w:id="189" w:name="_Toc173211914"/>
            <w:r>
              <w:rPr>
                <w:rFonts w:hint="eastAsia" w:ascii="宋体" w:hAnsi="宋体" w:eastAsia="宋体" w:cs="宋体"/>
                <w:color w:val="auto"/>
                <w:kern w:val="2"/>
                <w:sz w:val="21"/>
                <w:szCs w:val="21"/>
                <w:highlight w:val="none"/>
              </w:rPr>
              <w:t>…</w:t>
            </w:r>
            <w:bookmarkEnd w:id="181"/>
            <w:bookmarkEnd w:id="182"/>
            <w:bookmarkEnd w:id="183"/>
            <w:bookmarkEnd w:id="184"/>
            <w:bookmarkEnd w:id="185"/>
            <w:bookmarkEnd w:id="186"/>
            <w:bookmarkEnd w:id="187"/>
            <w:bookmarkEnd w:id="188"/>
            <w:bookmarkEnd w:id="189"/>
          </w:p>
        </w:tc>
        <w:tc>
          <w:tcPr>
            <w:tcW w:w="900" w:type="dxa"/>
            <w:tcBorders>
              <w:right w:val="single" w:color="auto" w:sz="4" w:space="0"/>
            </w:tcBorders>
            <w:noWrap w:val="0"/>
            <w:vAlign w:val="center"/>
          </w:tcPr>
          <w:p w14:paraId="67407089">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noWrap w:val="0"/>
            <w:vAlign w:val="center"/>
          </w:tcPr>
          <w:p w14:paraId="35AD1F1E">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noWrap w:val="0"/>
            <w:vAlign w:val="center"/>
          </w:tcPr>
          <w:p w14:paraId="3E59AAD1">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tcBorders>
              <w:right w:val="single" w:color="auto" w:sz="4" w:space="0"/>
            </w:tcBorders>
            <w:noWrap w:val="0"/>
            <w:vAlign w:val="center"/>
          </w:tcPr>
          <w:p w14:paraId="44337696">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bl>
    <w:p w14:paraId="5BA5488F">
      <w:pPr>
        <w:adjustRightInd w:val="0"/>
        <w:spacing w:line="360" w:lineRule="auto"/>
        <w:contextualSpacing/>
        <w:rPr>
          <w:rFonts w:hint="eastAsia" w:ascii="宋体" w:hAnsi="宋体" w:cs="宋体"/>
          <w:color w:val="auto"/>
          <w:szCs w:val="21"/>
          <w:highlight w:val="none"/>
        </w:rPr>
      </w:pPr>
    </w:p>
    <w:p w14:paraId="45F67C7E">
      <w:pPr>
        <w:pStyle w:val="13"/>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014703E">
      <w:pPr>
        <w:pStyle w:val="13"/>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说明：应对照磋商文件“第三章 采购需求”中的技术要求逐条作出明确响应，并作出偏离说明。</w:t>
      </w:r>
    </w:p>
    <w:p w14:paraId="751A491F">
      <w:pPr>
        <w:pStyle w:val="13"/>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w:t>
      </w:r>
    </w:p>
    <w:p w14:paraId="2D2B5B9F">
      <w:pPr>
        <w:spacing w:line="360" w:lineRule="auto"/>
        <w:ind w:right="-817" w:rightChars="-389"/>
        <w:contextualSpacing/>
        <w:rPr>
          <w:rFonts w:hint="eastAsia" w:ascii="宋体" w:hAnsi="宋体" w:cs="宋体"/>
          <w:color w:val="auto"/>
          <w:szCs w:val="21"/>
          <w:highlight w:val="none"/>
        </w:rPr>
      </w:pPr>
    </w:p>
    <w:p w14:paraId="3E2EBF58">
      <w:pPr>
        <w:spacing w:line="360" w:lineRule="auto"/>
        <w:ind w:right="-817" w:rightChars="-389"/>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p>
    <w:p w14:paraId="07AF4A2C">
      <w:pPr>
        <w:spacing w:line="360" w:lineRule="auto"/>
        <w:ind w:right="-817" w:rightChars="-389" w:firstLine="2310" w:firstLineChars="1100"/>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供应商（电子签章）：      </w:t>
      </w:r>
    </w:p>
    <w:p w14:paraId="54C5BA4E">
      <w:pPr>
        <w:spacing w:line="360" w:lineRule="auto"/>
        <w:ind w:right="-817" w:rightChars="-389" w:firstLine="3570" w:firstLineChars="1700"/>
        <w:contextualSpacing/>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0C2774D5">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项目实施人员一览表格式</w:t>
      </w:r>
    </w:p>
    <w:p w14:paraId="7E3F0BA4">
      <w:pPr>
        <w:snapToGrid w:val="0"/>
        <w:spacing w:before="120" w:beforeLines="50" w:after="50"/>
        <w:ind w:left="142"/>
        <w:jc w:val="left"/>
        <w:rPr>
          <w:rFonts w:hint="eastAsia" w:ascii="宋体" w:hAnsi="宋体" w:cs="宋体"/>
          <w:b/>
          <w:color w:val="auto"/>
          <w:sz w:val="24"/>
          <w:highlight w:val="none"/>
        </w:rPr>
      </w:pPr>
    </w:p>
    <w:p w14:paraId="19571F58">
      <w:pPr>
        <w:spacing w:line="360" w:lineRule="auto"/>
        <w:ind w:left="142"/>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p w14:paraId="620D23CD">
      <w:pPr>
        <w:widowControl w:val="0"/>
        <w:spacing w:line="360" w:lineRule="auto"/>
        <w:contextualSpacing/>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所竞分标：</w:t>
      </w:r>
      <w:r>
        <w:rPr>
          <w:rFonts w:hint="eastAsia" w:ascii="宋体" w:hAnsi="宋体" w:eastAsia="宋体" w:cs="宋体"/>
          <w:color w:val="auto"/>
          <w:kern w:val="0"/>
          <w:sz w:val="24"/>
          <w:szCs w:val="24"/>
          <w:highlight w:val="none"/>
          <w:u w:val="single"/>
          <w:lang w:val="en-US" w:eastAsia="zh-CN" w:bidi="ar-SA"/>
        </w:rPr>
        <w:t xml:space="preserve">              </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773"/>
        <w:gridCol w:w="1857"/>
        <w:gridCol w:w="1551"/>
        <w:gridCol w:w="1856"/>
        <w:gridCol w:w="2014"/>
      </w:tblGrid>
      <w:tr w14:paraId="6591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63D23E46">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432" w:type="pct"/>
            <w:noWrap w:val="0"/>
            <w:vAlign w:val="center"/>
          </w:tcPr>
          <w:p w14:paraId="75AF2B6C">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038" w:type="pct"/>
            <w:noWrap w:val="0"/>
            <w:vAlign w:val="center"/>
          </w:tcPr>
          <w:p w14:paraId="30EF7A52">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867" w:type="pct"/>
            <w:noWrap w:val="0"/>
            <w:vAlign w:val="center"/>
          </w:tcPr>
          <w:p w14:paraId="3263FE84">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037" w:type="pct"/>
            <w:noWrap w:val="0"/>
            <w:vAlign w:val="center"/>
          </w:tcPr>
          <w:p w14:paraId="2E708E22">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17DD54DA">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1125" w:type="pct"/>
            <w:noWrap w:val="0"/>
            <w:vAlign w:val="center"/>
          </w:tcPr>
          <w:p w14:paraId="1D37D47F">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0F52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05F5BEE0">
            <w:pPr>
              <w:spacing w:line="360" w:lineRule="auto"/>
              <w:contextualSpacing/>
              <w:jc w:val="center"/>
              <w:rPr>
                <w:rFonts w:hint="eastAsia" w:ascii="宋体" w:hAnsi="宋体" w:cs="宋体"/>
                <w:color w:val="auto"/>
                <w:szCs w:val="21"/>
                <w:highlight w:val="none"/>
              </w:rPr>
            </w:pPr>
          </w:p>
        </w:tc>
        <w:tc>
          <w:tcPr>
            <w:tcW w:w="432" w:type="pct"/>
            <w:noWrap w:val="0"/>
            <w:vAlign w:val="center"/>
          </w:tcPr>
          <w:p w14:paraId="4AD56FCF">
            <w:pPr>
              <w:spacing w:line="360" w:lineRule="auto"/>
              <w:contextualSpacing/>
              <w:jc w:val="center"/>
              <w:rPr>
                <w:rFonts w:hint="eastAsia" w:ascii="宋体" w:hAnsi="宋体" w:cs="宋体"/>
                <w:color w:val="auto"/>
                <w:szCs w:val="21"/>
                <w:highlight w:val="none"/>
              </w:rPr>
            </w:pPr>
          </w:p>
        </w:tc>
        <w:tc>
          <w:tcPr>
            <w:tcW w:w="1038" w:type="pct"/>
            <w:noWrap w:val="0"/>
            <w:vAlign w:val="center"/>
          </w:tcPr>
          <w:p w14:paraId="06A44CEA">
            <w:pPr>
              <w:spacing w:line="360" w:lineRule="auto"/>
              <w:contextualSpacing/>
              <w:jc w:val="center"/>
              <w:rPr>
                <w:rFonts w:hint="eastAsia" w:ascii="宋体" w:hAnsi="宋体" w:cs="宋体"/>
                <w:color w:val="auto"/>
                <w:szCs w:val="21"/>
                <w:highlight w:val="none"/>
              </w:rPr>
            </w:pPr>
          </w:p>
        </w:tc>
        <w:tc>
          <w:tcPr>
            <w:tcW w:w="867" w:type="pct"/>
            <w:noWrap w:val="0"/>
            <w:vAlign w:val="center"/>
          </w:tcPr>
          <w:p w14:paraId="6CEEE910">
            <w:pPr>
              <w:spacing w:line="360" w:lineRule="auto"/>
              <w:contextualSpacing/>
              <w:jc w:val="center"/>
              <w:rPr>
                <w:rFonts w:hint="eastAsia" w:ascii="宋体" w:hAnsi="宋体" w:cs="宋体"/>
                <w:color w:val="auto"/>
                <w:szCs w:val="21"/>
                <w:highlight w:val="none"/>
              </w:rPr>
            </w:pPr>
          </w:p>
        </w:tc>
        <w:tc>
          <w:tcPr>
            <w:tcW w:w="1037" w:type="pct"/>
            <w:noWrap w:val="0"/>
            <w:vAlign w:val="center"/>
          </w:tcPr>
          <w:p w14:paraId="59993DE4">
            <w:pPr>
              <w:spacing w:line="360" w:lineRule="auto"/>
              <w:contextualSpacing/>
              <w:jc w:val="center"/>
              <w:rPr>
                <w:rFonts w:hint="eastAsia" w:ascii="宋体" w:hAnsi="宋体" w:cs="宋体"/>
                <w:color w:val="auto"/>
                <w:szCs w:val="21"/>
                <w:highlight w:val="none"/>
              </w:rPr>
            </w:pPr>
          </w:p>
        </w:tc>
        <w:tc>
          <w:tcPr>
            <w:tcW w:w="1125" w:type="pct"/>
            <w:noWrap w:val="0"/>
            <w:vAlign w:val="center"/>
          </w:tcPr>
          <w:p w14:paraId="16B36F68">
            <w:pPr>
              <w:spacing w:line="360" w:lineRule="auto"/>
              <w:contextualSpacing/>
              <w:jc w:val="center"/>
              <w:rPr>
                <w:rFonts w:hint="eastAsia" w:ascii="宋体" w:hAnsi="宋体" w:cs="宋体"/>
                <w:color w:val="auto"/>
                <w:szCs w:val="21"/>
                <w:highlight w:val="none"/>
              </w:rPr>
            </w:pPr>
          </w:p>
        </w:tc>
      </w:tr>
      <w:tr w14:paraId="7F5B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37972AFF">
            <w:pPr>
              <w:spacing w:line="360" w:lineRule="auto"/>
              <w:contextualSpacing/>
              <w:jc w:val="center"/>
              <w:rPr>
                <w:rFonts w:hint="eastAsia" w:ascii="宋体" w:hAnsi="宋体" w:cs="宋体"/>
                <w:color w:val="auto"/>
                <w:szCs w:val="21"/>
                <w:highlight w:val="none"/>
              </w:rPr>
            </w:pPr>
          </w:p>
        </w:tc>
        <w:tc>
          <w:tcPr>
            <w:tcW w:w="432" w:type="pct"/>
            <w:noWrap w:val="0"/>
            <w:vAlign w:val="center"/>
          </w:tcPr>
          <w:p w14:paraId="446D65B2">
            <w:pPr>
              <w:spacing w:line="360" w:lineRule="auto"/>
              <w:contextualSpacing/>
              <w:jc w:val="center"/>
              <w:rPr>
                <w:rFonts w:hint="eastAsia" w:ascii="宋体" w:hAnsi="宋体" w:cs="宋体"/>
                <w:color w:val="auto"/>
                <w:szCs w:val="21"/>
                <w:highlight w:val="none"/>
              </w:rPr>
            </w:pPr>
          </w:p>
        </w:tc>
        <w:tc>
          <w:tcPr>
            <w:tcW w:w="1038" w:type="pct"/>
            <w:noWrap w:val="0"/>
            <w:vAlign w:val="center"/>
          </w:tcPr>
          <w:p w14:paraId="5BB454E5">
            <w:pPr>
              <w:spacing w:line="360" w:lineRule="auto"/>
              <w:contextualSpacing/>
              <w:jc w:val="center"/>
              <w:rPr>
                <w:rFonts w:hint="eastAsia" w:ascii="宋体" w:hAnsi="宋体" w:cs="宋体"/>
                <w:color w:val="auto"/>
                <w:szCs w:val="21"/>
                <w:highlight w:val="none"/>
              </w:rPr>
            </w:pPr>
          </w:p>
        </w:tc>
        <w:tc>
          <w:tcPr>
            <w:tcW w:w="867" w:type="pct"/>
            <w:noWrap w:val="0"/>
            <w:vAlign w:val="center"/>
          </w:tcPr>
          <w:p w14:paraId="6012D092">
            <w:pPr>
              <w:spacing w:line="360" w:lineRule="auto"/>
              <w:contextualSpacing/>
              <w:jc w:val="center"/>
              <w:rPr>
                <w:rFonts w:hint="eastAsia" w:ascii="宋体" w:hAnsi="宋体" w:cs="宋体"/>
                <w:color w:val="auto"/>
                <w:szCs w:val="21"/>
                <w:highlight w:val="none"/>
              </w:rPr>
            </w:pPr>
          </w:p>
        </w:tc>
        <w:tc>
          <w:tcPr>
            <w:tcW w:w="1037" w:type="pct"/>
            <w:noWrap w:val="0"/>
            <w:vAlign w:val="center"/>
          </w:tcPr>
          <w:p w14:paraId="481C56C4">
            <w:pPr>
              <w:spacing w:line="360" w:lineRule="auto"/>
              <w:contextualSpacing/>
              <w:jc w:val="center"/>
              <w:rPr>
                <w:rFonts w:hint="eastAsia" w:ascii="宋体" w:hAnsi="宋体" w:cs="宋体"/>
                <w:color w:val="auto"/>
                <w:szCs w:val="21"/>
                <w:highlight w:val="none"/>
              </w:rPr>
            </w:pPr>
          </w:p>
        </w:tc>
        <w:tc>
          <w:tcPr>
            <w:tcW w:w="1125" w:type="pct"/>
            <w:noWrap w:val="0"/>
            <w:vAlign w:val="center"/>
          </w:tcPr>
          <w:p w14:paraId="37C49166">
            <w:pPr>
              <w:spacing w:line="360" w:lineRule="auto"/>
              <w:contextualSpacing/>
              <w:jc w:val="center"/>
              <w:rPr>
                <w:rFonts w:hint="eastAsia" w:ascii="宋体" w:hAnsi="宋体" w:cs="宋体"/>
                <w:color w:val="auto"/>
                <w:szCs w:val="21"/>
                <w:highlight w:val="none"/>
              </w:rPr>
            </w:pPr>
          </w:p>
        </w:tc>
      </w:tr>
      <w:tr w14:paraId="7C3D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4F6A3704">
            <w:pPr>
              <w:spacing w:line="360" w:lineRule="auto"/>
              <w:contextualSpacing/>
              <w:jc w:val="center"/>
              <w:rPr>
                <w:rFonts w:hint="eastAsia" w:ascii="宋体" w:hAnsi="宋体" w:cs="宋体"/>
                <w:color w:val="auto"/>
                <w:szCs w:val="21"/>
                <w:highlight w:val="none"/>
              </w:rPr>
            </w:pPr>
          </w:p>
        </w:tc>
        <w:tc>
          <w:tcPr>
            <w:tcW w:w="432" w:type="pct"/>
            <w:noWrap w:val="0"/>
            <w:vAlign w:val="center"/>
          </w:tcPr>
          <w:p w14:paraId="34690403">
            <w:pPr>
              <w:spacing w:line="360" w:lineRule="auto"/>
              <w:contextualSpacing/>
              <w:jc w:val="center"/>
              <w:rPr>
                <w:rFonts w:hint="eastAsia" w:ascii="宋体" w:hAnsi="宋体" w:cs="宋体"/>
                <w:color w:val="auto"/>
                <w:szCs w:val="21"/>
                <w:highlight w:val="none"/>
              </w:rPr>
            </w:pPr>
          </w:p>
        </w:tc>
        <w:tc>
          <w:tcPr>
            <w:tcW w:w="1038" w:type="pct"/>
            <w:noWrap w:val="0"/>
            <w:vAlign w:val="center"/>
          </w:tcPr>
          <w:p w14:paraId="28F528F1">
            <w:pPr>
              <w:spacing w:line="360" w:lineRule="auto"/>
              <w:contextualSpacing/>
              <w:jc w:val="center"/>
              <w:rPr>
                <w:rFonts w:hint="eastAsia" w:ascii="宋体" w:hAnsi="宋体" w:cs="宋体"/>
                <w:color w:val="auto"/>
                <w:szCs w:val="21"/>
                <w:highlight w:val="none"/>
              </w:rPr>
            </w:pPr>
          </w:p>
        </w:tc>
        <w:tc>
          <w:tcPr>
            <w:tcW w:w="867" w:type="pct"/>
            <w:noWrap w:val="0"/>
            <w:vAlign w:val="center"/>
          </w:tcPr>
          <w:p w14:paraId="24C9358B">
            <w:pPr>
              <w:spacing w:line="360" w:lineRule="auto"/>
              <w:contextualSpacing/>
              <w:jc w:val="center"/>
              <w:rPr>
                <w:rFonts w:hint="eastAsia" w:ascii="宋体" w:hAnsi="宋体" w:cs="宋体"/>
                <w:color w:val="auto"/>
                <w:szCs w:val="21"/>
                <w:highlight w:val="none"/>
              </w:rPr>
            </w:pPr>
          </w:p>
        </w:tc>
        <w:tc>
          <w:tcPr>
            <w:tcW w:w="1037" w:type="pct"/>
            <w:noWrap w:val="0"/>
            <w:vAlign w:val="center"/>
          </w:tcPr>
          <w:p w14:paraId="2B841E20">
            <w:pPr>
              <w:spacing w:line="360" w:lineRule="auto"/>
              <w:contextualSpacing/>
              <w:jc w:val="center"/>
              <w:rPr>
                <w:rFonts w:hint="eastAsia" w:ascii="宋体" w:hAnsi="宋体" w:cs="宋体"/>
                <w:color w:val="auto"/>
                <w:szCs w:val="21"/>
                <w:highlight w:val="none"/>
              </w:rPr>
            </w:pPr>
          </w:p>
        </w:tc>
        <w:tc>
          <w:tcPr>
            <w:tcW w:w="1125" w:type="pct"/>
            <w:noWrap w:val="0"/>
            <w:vAlign w:val="center"/>
          </w:tcPr>
          <w:p w14:paraId="2A9E555C">
            <w:pPr>
              <w:spacing w:line="360" w:lineRule="auto"/>
              <w:contextualSpacing/>
              <w:jc w:val="center"/>
              <w:rPr>
                <w:rFonts w:hint="eastAsia" w:ascii="宋体" w:hAnsi="宋体" w:cs="宋体"/>
                <w:color w:val="auto"/>
                <w:szCs w:val="21"/>
                <w:highlight w:val="none"/>
              </w:rPr>
            </w:pPr>
          </w:p>
        </w:tc>
      </w:tr>
    </w:tbl>
    <w:p w14:paraId="7DAA4BC0">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7C1403C5">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1.在填写时，如本表格不适合供应商的实际情况，可根据本表格式自行制表填写。</w:t>
      </w:r>
    </w:p>
    <w:p w14:paraId="2B8BFE7A">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2.供应商应当附本表所列证书的复印件并加盖供应商电子签章。</w:t>
      </w:r>
    </w:p>
    <w:p w14:paraId="71295E84">
      <w:pPr>
        <w:spacing w:line="360" w:lineRule="auto"/>
        <w:contextualSpacing/>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w:t>
      </w:r>
      <w:r>
        <w:rPr>
          <w:rFonts w:hint="eastAsia" w:ascii="宋体" w:hAnsi="宋体" w:cs="宋体"/>
          <w:color w:val="auto"/>
          <w:szCs w:val="21"/>
          <w:highlight w:val="none"/>
        </w:rPr>
        <w:t>签字或者电子签名</w:t>
      </w:r>
      <w:r>
        <w:rPr>
          <w:rFonts w:hint="eastAsia" w:ascii="宋体" w:hAnsi="宋体" w:cs="宋体"/>
          <w:color w:val="auto"/>
          <w:spacing w:val="20"/>
          <w:szCs w:val="21"/>
          <w:highlight w:val="none"/>
        </w:rPr>
        <w:t>）：</w:t>
      </w:r>
      <w:r>
        <w:rPr>
          <w:rFonts w:hint="eastAsia" w:ascii="宋体" w:hAnsi="宋体" w:cs="宋体"/>
          <w:color w:val="auto"/>
          <w:spacing w:val="20"/>
          <w:szCs w:val="21"/>
          <w:highlight w:val="none"/>
          <w:u w:val="single"/>
        </w:rPr>
        <w:t xml:space="preserve">        </w:t>
      </w:r>
    </w:p>
    <w:p w14:paraId="08D8C0E6">
      <w:pPr>
        <w:spacing w:line="360" w:lineRule="auto"/>
        <w:contextualSpacing/>
        <w:jc w:val="left"/>
        <w:rPr>
          <w:rFonts w:hint="eastAsia" w:ascii="宋体" w:hAnsi="宋体" w:cs="宋体"/>
          <w:color w:val="auto"/>
          <w:sz w:val="24"/>
          <w:szCs w:val="20"/>
          <w:highlight w:val="none"/>
        </w:rPr>
      </w:pPr>
      <w:r>
        <w:rPr>
          <w:rFonts w:hint="eastAsia" w:ascii="宋体" w:hAnsi="宋体" w:cs="宋体"/>
          <w:color w:val="auto"/>
          <w:spacing w:val="20"/>
          <w:szCs w:val="21"/>
          <w:highlight w:val="none"/>
        </w:rPr>
        <w:t>供应商（电子签章）：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日 期：</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 w:val="24"/>
          <w:highlight w:val="none"/>
          <w:u w:val="single"/>
        </w:rPr>
        <w:t xml:space="preserve">  </w:t>
      </w:r>
    </w:p>
    <w:p w14:paraId="183F9E0F">
      <w:pPr>
        <w:snapToGrid w:val="0"/>
        <w:spacing w:before="50" w:after="120" w:afterLines="50"/>
        <w:jc w:val="left"/>
        <w:rPr>
          <w:rFonts w:hint="eastAsia" w:ascii="宋体" w:hAnsi="宋体" w:cs="宋体"/>
          <w:color w:val="auto"/>
          <w:sz w:val="24"/>
          <w:szCs w:val="20"/>
          <w:highlight w:val="none"/>
        </w:rPr>
      </w:pPr>
    </w:p>
    <w:p w14:paraId="231FC1EB">
      <w:pPr>
        <w:snapToGrid w:val="0"/>
        <w:spacing w:before="50" w:after="50" w:line="360" w:lineRule="auto"/>
        <w:ind w:right="-817" w:rightChars="-389" w:firstLine="5461" w:firstLineChars="1700"/>
        <w:rPr>
          <w:rFonts w:hint="eastAsia" w:ascii="宋体" w:hAnsi="宋体" w:cs="宋体"/>
          <w:b/>
          <w:color w:val="auto"/>
          <w:sz w:val="32"/>
          <w:szCs w:val="32"/>
          <w:highlight w:val="none"/>
        </w:rPr>
      </w:pPr>
    </w:p>
    <w:p w14:paraId="6DD5A303">
      <w:pPr>
        <w:spacing w:line="360" w:lineRule="auto"/>
        <w:contextualSpacing/>
        <w:rPr>
          <w:rFonts w:hint="eastAsia" w:ascii="宋体" w:hAnsi="宋体" w:cs="宋体"/>
          <w:color w:val="auto"/>
          <w:sz w:val="24"/>
          <w:highlight w:val="none"/>
        </w:rPr>
      </w:pPr>
    </w:p>
    <w:p w14:paraId="6874BBB9">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br w:type="page"/>
      </w:r>
    </w:p>
    <w:p w14:paraId="00588CD6">
      <w:pPr>
        <w:spacing w:line="360" w:lineRule="auto"/>
        <w:jc w:val="center"/>
        <w:rPr>
          <w:rFonts w:hint="eastAsia" w:ascii="宋体" w:hAnsi="宋体" w:cs="宋体"/>
          <w:b/>
          <w:bCs/>
          <w:color w:val="auto"/>
          <w:sz w:val="32"/>
          <w:szCs w:val="32"/>
          <w:highlight w:val="none"/>
        </w:rPr>
      </w:pPr>
      <w:r>
        <w:rPr>
          <w:rFonts w:hint="eastAsia" w:ascii="宋体" w:hAnsi="宋体" w:cs="宋体"/>
          <w:color w:val="auto"/>
          <w:sz w:val="44"/>
          <w:szCs w:val="44"/>
          <w:highlight w:val="none"/>
        </w:rPr>
        <w:t>质疑函（格式）</w:t>
      </w:r>
    </w:p>
    <w:p w14:paraId="4421A59E">
      <w:pPr>
        <w:pStyle w:val="15"/>
        <w:spacing w:line="360" w:lineRule="auto"/>
        <w:ind w:firstLine="422" w:firstLineChars="200"/>
        <w:contextualSpacing/>
        <w:rPr>
          <w:rFonts w:hint="eastAsia" w:hAnsi="宋体" w:cs="宋体"/>
          <w:b/>
          <w:bCs/>
          <w:color w:val="auto"/>
          <w:sz w:val="21"/>
          <w:highlight w:val="none"/>
        </w:rPr>
      </w:pPr>
      <w:r>
        <w:rPr>
          <w:rFonts w:hint="eastAsia" w:hAnsi="宋体" w:cs="宋体"/>
          <w:b/>
          <w:bCs/>
          <w:color w:val="auto"/>
          <w:sz w:val="21"/>
          <w:highlight w:val="none"/>
        </w:rPr>
        <w:t>一、质疑供应商基本信息：</w:t>
      </w:r>
    </w:p>
    <w:p w14:paraId="419C224D">
      <w:pPr>
        <w:pStyle w:val="15"/>
        <w:spacing w:line="360" w:lineRule="auto"/>
        <w:ind w:firstLine="420" w:firstLineChars="200"/>
        <w:contextualSpacing/>
        <w:rPr>
          <w:rFonts w:hint="eastAsia" w:hAnsi="宋体" w:cs="宋体"/>
          <w:bCs/>
          <w:color w:val="auto"/>
          <w:sz w:val="21"/>
          <w:highlight w:val="none"/>
          <w:u w:val="single"/>
        </w:rPr>
      </w:pPr>
      <w:r>
        <w:rPr>
          <w:rFonts w:hint="eastAsia" w:hAnsi="宋体" w:cs="宋体"/>
          <w:bCs/>
          <w:color w:val="auto"/>
          <w:sz w:val="21"/>
          <w:highlight w:val="none"/>
        </w:rPr>
        <w:t>质疑供应商：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4BE3B30E">
      <w:pPr>
        <w:pStyle w:val="15"/>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37D94ABB">
      <w:pPr>
        <w:pStyle w:val="15"/>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1B65719B">
      <w:pPr>
        <w:pStyle w:val="15"/>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p>
    <w:p w14:paraId="3F79E3D9">
      <w:pPr>
        <w:pStyle w:val="15"/>
        <w:spacing w:line="360" w:lineRule="auto"/>
        <w:ind w:firstLine="420" w:firstLineChars="200"/>
        <w:contextualSpacing/>
        <w:rPr>
          <w:rFonts w:hint="eastAsia" w:hAnsi="宋体" w:cs="宋体"/>
          <w:bCs/>
          <w:color w:val="auto"/>
          <w:sz w:val="21"/>
          <w:highlight w:val="none"/>
          <w:u w:val="singl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0F626EA5">
      <w:pPr>
        <w:pStyle w:val="15"/>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305C5C6B">
      <w:pPr>
        <w:pStyle w:val="15"/>
        <w:spacing w:line="360" w:lineRule="auto"/>
        <w:ind w:firstLine="422" w:firstLineChars="200"/>
        <w:contextualSpacing/>
        <w:rPr>
          <w:rFonts w:hint="eastAsia" w:hAnsi="宋体" w:cs="宋体"/>
          <w:b/>
          <w:bCs/>
          <w:color w:val="auto"/>
          <w:sz w:val="21"/>
          <w:highlight w:val="none"/>
        </w:rPr>
      </w:pPr>
      <w:r>
        <w:rPr>
          <w:rFonts w:hint="eastAsia" w:hAnsi="宋体" w:cs="宋体"/>
          <w:b/>
          <w:bCs/>
          <w:color w:val="auto"/>
          <w:sz w:val="21"/>
          <w:highlight w:val="none"/>
        </w:rPr>
        <w:t>二、质疑项目基本情况：</w:t>
      </w:r>
    </w:p>
    <w:p w14:paraId="4F9D26BA">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460EBCE5">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34CDDFE7">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35290F05">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w:t>
      </w:r>
    </w:p>
    <w:p w14:paraId="2CFAA0C6">
      <w:pPr>
        <w:pStyle w:val="15"/>
        <w:spacing w:line="360" w:lineRule="auto"/>
        <w:ind w:left="25" w:leftChars="12" w:firstLine="308" w:firstLineChars="147"/>
        <w:contextualSpacing/>
        <w:rPr>
          <w:rFonts w:hint="eastAsia" w:hAnsi="宋体" w:cs="宋体"/>
          <w:color w:val="auto"/>
          <w:sz w:val="21"/>
          <w:highlight w:val="none"/>
        </w:rPr>
      </w:pPr>
      <w:r>
        <w:rPr>
          <w:rFonts w:hint="eastAsia" w:hAnsi="宋体" w:cs="宋体"/>
          <w:color w:val="auto"/>
          <w:sz w:val="21"/>
          <w:highlight w:val="none"/>
        </w:rPr>
        <w:t>□采购文件   采购文件获取日期：</w:t>
      </w:r>
      <w:r>
        <w:rPr>
          <w:rFonts w:hint="eastAsia" w:hAnsi="宋体" w:cs="宋体"/>
          <w:bCs/>
          <w:color w:val="auto"/>
          <w:sz w:val="21"/>
          <w:highlight w:val="none"/>
          <w:u w:val="single"/>
        </w:rPr>
        <w:t xml:space="preserve">                                   </w:t>
      </w:r>
    </w:p>
    <w:p w14:paraId="26427BF1">
      <w:pPr>
        <w:pStyle w:val="15"/>
        <w:spacing w:line="360" w:lineRule="auto"/>
        <w:ind w:left="25" w:leftChars="12" w:firstLine="308" w:firstLineChars="147"/>
        <w:contextualSpacing/>
        <w:rPr>
          <w:rFonts w:hint="eastAsia" w:hAnsi="宋体" w:cs="宋体"/>
          <w:color w:val="auto"/>
          <w:sz w:val="21"/>
          <w:highlight w:val="none"/>
        </w:rPr>
      </w:pPr>
      <w:r>
        <w:rPr>
          <w:rFonts w:hint="eastAsia" w:hAnsi="宋体" w:cs="宋体"/>
          <w:color w:val="auto"/>
          <w:sz w:val="21"/>
          <w:highlight w:val="none"/>
        </w:rPr>
        <w:t xml:space="preserve">□采购过程   </w:t>
      </w:r>
    </w:p>
    <w:p w14:paraId="29EAA50B">
      <w:pPr>
        <w:pStyle w:val="15"/>
        <w:spacing w:line="360" w:lineRule="auto"/>
        <w:ind w:left="25" w:leftChars="12" w:firstLine="308" w:firstLineChars="147"/>
        <w:contextualSpacing/>
        <w:rPr>
          <w:rFonts w:hint="eastAsia" w:hAnsi="宋体" w:cs="宋体"/>
          <w:bCs/>
          <w:color w:val="auto"/>
          <w:sz w:val="21"/>
          <w:highlight w:val="none"/>
          <w:u w:val="single"/>
        </w:rPr>
      </w:pPr>
      <w:r>
        <w:rPr>
          <w:rFonts w:hint="eastAsia" w:hAnsi="宋体" w:cs="宋体"/>
          <w:color w:val="auto"/>
          <w:sz w:val="21"/>
          <w:highlight w:val="none"/>
        </w:rPr>
        <w:t xml:space="preserve">□成交结果   </w:t>
      </w:r>
    </w:p>
    <w:p w14:paraId="2EAE75B6">
      <w:pPr>
        <w:pStyle w:val="15"/>
        <w:spacing w:line="360" w:lineRule="auto"/>
        <w:ind w:left="25" w:leftChars="12" w:firstLine="413" w:firstLineChars="196"/>
        <w:contextualSpacing/>
        <w:rPr>
          <w:rFonts w:hint="eastAsia" w:hAnsi="宋体" w:cs="宋体"/>
          <w:b/>
          <w:color w:val="auto"/>
          <w:sz w:val="21"/>
          <w:highlight w:val="none"/>
        </w:rPr>
      </w:pPr>
      <w:r>
        <w:rPr>
          <w:rFonts w:hint="eastAsia" w:hAnsi="宋体" w:cs="宋体"/>
          <w:b/>
          <w:color w:val="auto"/>
          <w:sz w:val="21"/>
          <w:highlight w:val="none"/>
        </w:rPr>
        <w:t>三、质疑事项具体内容</w:t>
      </w:r>
    </w:p>
    <w:p w14:paraId="6B34F2ED">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质疑事项1：</w:t>
      </w:r>
      <w:r>
        <w:rPr>
          <w:rFonts w:hint="eastAsia" w:hAnsi="宋体" w:cs="宋体"/>
          <w:bCs/>
          <w:color w:val="auto"/>
          <w:sz w:val="21"/>
          <w:highlight w:val="none"/>
          <w:u w:val="single"/>
        </w:rPr>
        <w:t xml:space="preserve">                                                                    </w:t>
      </w:r>
    </w:p>
    <w:p w14:paraId="3CC9999B">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事实依据：</w:t>
      </w:r>
      <w:r>
        <w:rPr>
          <w:rFonts w:hint="eastAsia" w:hAnsi="宋体" w:cs="宋体"/>
          <w:bCs/>
          <w:color w:val="auto"/>
          <w:sz w:val="21"/>
          <w:highlight w:val="none"/>
          <w:u w:val="single"/>
        </w:rPr>
        <w:t xml:space="preserve">                                                                      </w:t>
      </w:r>
    </w:p>
    <w:p w14:paraId="57601115">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法律依据：</w:t>
      </w:r>
      <w:r>
        <w:rPr>
          <w:rFonts w:hint="eastAsia" w:hAnsi="宋体" w:cs="宋体"/>
          <w:color w:val="auto"/>
          <w:sz w:val="21"/>
          <w:highlight w:val="none"/>
          <w:u w:val="single"/>
        </w:rPr>
        <w:t xml:space="preserve">                                                        </w:t>
      </w:r>
      <w:r>
        <w:rPr>
          <w:rFonts w:hint="eastAsia" w:hAnsi="宋体" w:cs="宋体"/>
          <w:bCs/>
          <w:color w:val="auto"/>
          <w:sz w:val="21"/>
          <w:highlight w:val="none"/>
          <w:u w:val="single"/>
        </w:rPr>
        <w:t xml:space="preserve">               </w:t>
      </w:r>
    </w:p>
    <w:p w14:paraId="0B7FC393">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质疑事项2</w:t>
      </w:r>
    </w:p>
    <w:p w14:paraId="3B77FB52">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w:t>
      </w:r>
    </w:p>
    <w:p w14:paraId="60676F7E">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四、与质疑事项相关的质疑请求：</w:t>
      </w:r>
    </w:p>
    <w:p w14:paraId="1A75A2D5">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7397FC23">
      <w:pPr>
        <w:pStyle w:val="15"/>
        <w:spacing w:line="360" w:lineRule="auto"/>
        <w:ind w:left="25" w:leftChars="12" w:firstLine="308" w:firstLineChars="147"/>
        <w:contextualSpacing/>
        <w:rPr>
          <w:rFonts w:hint="eastAsia" w:hAnsi="宋体" w:cs="宋体"/>
          <w:color w:val="auto"/>
          <w:sz w:val="21"/>
          <w:highlight w:val="none"/>
        </w:rPr>
      </w:pPr>
    </w:p>
    <w:p w14:paraId="33B35BB3">
      <w:pPr>
        <w:pStyle w:val="15"/>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签字（签章）：                                       公章：</w:t>
      </w:r>
    </w:p>
    <w:p w14:paraId="6AF3001F">
      <w:pPr>
        <w:pStyle w:val="15"/>
        <w:spacing w:line="360" w:lineRule="auto"/>
        <w:ind w:firstLine="420" w:firstLineChars="200"/>
        <w:contextualSpacing/>
        <w:rPr>
          <w:rFonts w:hint="eastAsia" w:hAnsi="宋体" w:cs="宋体"/>
          <w:b/>
          <w:color w:val="auto"/>
          <w:sz w:val="21"/>
          <w:highlight w:val="none"/>
        </w:rPr>
      </w:pPr>
      <w:r>
        <w:rPr>
          <w:rFonts w:hint="eastAsia" w:hAnsi="宋体" w:cs="宋体"/>
          <w:color w:val="auto"/>
          <w:sz w:val="21"/>
          <w:highlight w:val="none"/>
        </w:rPr>
        <w:t>日期：</w:t>
      </w:r>
    </w:p>
    <w:p w14:paraId="4515B1AD">
      <w:pPr>
        <w:pStyle w:val="15"/>
        <w:spacing w:line="360" w:lineRule="auto"/>
        <w:contextualSpacing/>
        <w:rPr>
          <w:rFonts w:hint="eastAsia" w:hAnsi="宋体" w:cs="宋体"/>
          <w:b/>
          <w:color w:val="auto"/>
          <w:sz w:val="21"/>
          <w:highlight w:val="none"/>
        </w:rPr>
      </w:pPr>
      <w:r>
        <w:rPr>
          <w:rFonts w:hint="eastAsia" w:hAnsi="宋体" w:cs="宋体"/>
          <w:b/>
          <w:color w:val="auto"/>
          <w:sz w:val="21"/>
          <w:highlight w:val="none"/>
        </w:rPr>
        <w:t>说明：</w:t>
      </w:r>
    </w:p>
    <w:p w14:paraId="1137A25F">
      <w:pPr>
        <w:pStyle w:val="15"/>
        <w:spacing w:line="360" w:lineRule="auto"/>
        <w:ind w:left="25" w:leftChars="12" w:firstLine="310" w:firstLineChars="147"/>
        <w:contextualSpacing/>
        <w:rPr>
          <w:rFonts w:hint="eastAsia" w:hAnsi="宋体" w:cs="宋体"/>
          <w:b/>
          <w:bCs/>
          <w:color w:val="auto"/>
          <w:sz w:val="21"/>
          <w:highlight w:val="none"/>
        </w:rPr>
      </w:pPr>
      <w:r>
        <w:rPr>
          <w:rFonts w:hint="eastAsia" w:hAnsi="宋体" w:cs="宋体"/>
          <w:b/>
          <w:color w:val="auto"/>
          <w:sz w:val="21"/>
          <w:highlight w:val="none"/>
        </w:rPr>
        <w:t>1.供应商提出质疑时，应提交质疑函和必要的证明材料</w:t>
      </w:r>
      <w:r>
        <w:rPr>
          <w:rFonts w:hint="eastAsia" w:hAnsi="宋体" w:cs="宋体"/>
          <w:b/>
          <w:bCs/>
          <w:color w:val="auto"/>
          <w:sz w:val="21"/>
          <w:highlight w:val="none"/>
        </w:rPr>
        <w:t>。</w:t>
      </w:r>
    </w:p>
    <w:p w14:paraId="4F51487B">
      <w:pPr>
        <w:pStyle w:val="15"/>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79704A8">
      <w:pPr>
        <w:pStyle w:val="15"/>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3.质疑函的质疑事项应具体、明确，并有必要的事实依据和法律依据。</w:t>
      </w:r>
    </w:p>
    <w:p w14:paraId="3DFB0C35">
      <w:pPr>
        <w:pStyle w:val="15"/>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4.质疑函的质疑请求应与质疑事项相关。</w:t>
      </w:r>
    </w:p>
    <w:p w14:paraId="23FB7150">
      <w:pPr>
        <w:pStyle w:val="15"/>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5.质疑供应商为法人或者其他组织的，质疑函应由法定代表人、主要负责人，或者其授权代表签字或者盖章，并加盖公章。</w:t>
      </w:r>
    </w:p>
    <w:p w14:paraId="0484B62B">
      <w:pPr>
        <w:pStyle w:val="15"/>
        <w:snapToGrid w:val="0"/>
        <w:rPr>
          <w:rFonts w:hint="eastAsia" w:hAnsi="宋体" w:cs="宋体"/>
          <w:b/>
          <w:color w:val="auto"/>
          <w:sz w:val="24"/>
          <w:szCs w:val="24"/>
          <w:highlight w:val="none"/>
        </w:rPr>
      </w:pPr>
    </w:p>
    <w:p w14:paraId="2ADEA784">
      <w:pPr>
        <w:rPr>
          <w:rFonts w:hint="eastAsia" w:ascii="宋体" w:hAnsi="宋体" w:cs="宋体"/>
          <w:color w:val="auto"/>
          <w:sz w:val="32"/>
          <w:szCs w:val="40"/>
          <w:highlight w:val="none"/>
        </w:rPr>
      </w:pPr>
    </w:p>
    <w:p w14:paraId="300C0F67">
      <w:pPr>
        <w:rPr>
          <w:rFonts w:hint="eastAsia" w:ascii="宋体" w:hAnsi="宋体" w:cs="宋体"/>
          <w:color w:val="auto"/>
          <w:sz w:val="32"/>
          <w:szCs w:val="40"/>
          <w:highlight w:val="none"/>
        </w:rPr>
      </w:pPr>
    </w:p>
    <w:p w14:paraId="08FB3714">
      <w:pPr>
        <w:rPr>
          <w:rFonts w:hint="eastAsia" w:ascii="宋体" w:hAnsi="宋体" w:cs="宋体"/>
          <w:color w:val="auto"/>
          <w:sz w:val="32"/>
          <w:szCs w:val="40"/>
          <w:highlight w:val="none"/>
        </w:rPr>
      </w:pPr>
    </w:p>
    <w:p w14:paraId="3B6FC3AA">
      <w:pPr>
        <w:rPr>
          <w:rFonts w:hint="eastAsia" w:ascii="宋体" w:hAnsi="宋体" w:cs="宋体"/>
          <w:color w:val="auto"/>
          <w:sz w:val="32"/>
          <w:szCs w:val="40"/>
          <w:highlight w:val="none"/>
        </w:rPr>
      </w:pPr>
    </w:p>
    <w:p w14:paraId="440A270F">
      <w:pPr>
        <w:rPr>
          <w:rFonts w:hint="eastAsia" w:ascii="宋体" w:hAnsi="宋体" w:cs="宋体"/>
          <w:color w:val="auto"/>
          <w:sz w:val="32"/>
          <w:szCs w:val="40"/>
          <w:highlight w:val="none"/>
        </w:rPr>
      </w:pPr>
    </w:p>
    <w:p w14:paraId="743F706A">
      <w:pPr>
        <w:rPr>
          <w:rFonts w:hint="eastAsia" w:ascii="宋体" w:hAnsi="宋体" w:cs="宋体"/>
          <w:color w:val="auto"/>
          <w:sz w:val="32"/>
          <w:szCs w:val="40"/>
          <w:highlight w:val="none"/>
        </w:rPr>
      </w:pPr>
    </w:p>
    <w:p w14:paraId="4773B675">
      <w:pPr>
        <w:rPr>
          <w:rFonts w:hint="eastAsia" w:ascii="宋体" w:hAnsi="宋体" w:cs="宋体"/>
          <w:color w:val="auto"/>
          <w:sz w:val="32"/>
          <w:szCs w:val="40"/>
          <w:highlight w:val="none"/>
        </w:rPr>
      </w:pPr>
    </w:p>
    <w:p w14:paraId="118FB0FC">
      <w:pPr>
        <w:rPr>
          <w:rFonts w:hint="eastAsia" w:ascii="宋体" w:hAnsi="宋体" w:cs="宋体"/>
          <w:color w:val="auto"/>
          <w:sz w:val="32"/>
          <w:szCs w:val="40"/>
          <w:highlight w:val="none"/>
        </w:rPr>
      </w:pPr>
    </w:p>
    <w:p w14:paraId="00F3BF42">
      <w:pPr>
        <w:rPr>
          <w:rFonts w:hint="eastAsia" w:ascii="宋体" w:hAnsi="宋体" w:cs="宋体"/>
          <w:color w:val="auto"/>
          <w:sz w:val="32"/>
          <w:szCs w:val="40"/>
          <w:highlight w:val="none"/>
        </w:rPr>
      </w:pPr>
    </w:p>
    <w:p w14:paraId="47B86363">
      <w:pPr>
        <w:rPr>
          <w:rFonts w:hint="eastAsia" w:ascii="宋体" w:hAnsi="宋体" w:cs="宋体"/>
          <w:color w:val="auto"/>
          <w:sz w:val="32"/>
          <w:szCs w:val="40"/>
          <w:highlight w:val="none"/>
        </w:rPr>
      </w:pPr>
    </w:p>
    <w:p w14:paraId="25BD05DE">
      <w:pPr>
        <w:rPr>
          <w:rFonts w:hint="eastAsia" w:ascii="宋体" w:hAnsi="宋体" w:cs="宋体"/>
          <w:color w:val="auto"/>
          <w:sz w:val="32"/>
          <w:szCs w:val="40"/>
          <w:highlight w:val="none"/>
        </w:rPr>
      </w:pPr>
    </w:p>
    <w:p w14:paraId="422C9961">
      <w:pPr>
        <w:rPr>
          <w:rFonts w:hint="eastAsia" w:ascii="宋体" w:hAnsi="宋体" w:cs="宋体"/>
          <w:color w:val="auto"/>
          <w:sz w:val="32"/>
          <w:szCs w:val="40"/>
          <w:highlight w:val="none"/>
        </w:rPr>
      </w:pPr>
    </w:p>
    <w:p w14:paraId="49711239">
      <w:pPr>
        <w:rPr>
          <w:rFonts w:hint="eastAsia" w:ascii="宋体" w:hAnsi="宋体" w:cs="宋体"/>
          <w:color w:val="auto"/>
          <w:sz w:val="32"/>
          <w:szCs w:val="40"/>
          <w:highlight w:val="none"/>
        </w:rPr>
      </w:pPr>
    </w:p>
    <w:p w14:paraId="16CFC98F">
      <w:pPr>
        <w:rPr>
          <w:rFonts w:hint="eastAsia" w:ascii="宋体" w:hAnsi="宋体" w:cs="宋体"/>
          <w:color w:val="auto"/>
          <w:sz w:val="32"/>
          <w:szCs w:val="40"/>
          <w:highlight w:val="none"/>
        </w:rPr>
      </w:pPr>
    </w:p>
    <w:p w14:paraId="45BB4B59">
      <w:pPr>
        <w:rPr>
          <w:rFonts w:hint="eastAsia" w:ascii="宋体" w:hAnsi="宋体" w:cs="宋体"/>
          <w:color w:val="auto"/>
          <w:sz w:val="32"/>
          <w:szCs w:val="40"/>
          <w:highlight w:val="none"/>
        </w:rPr>
      </w:pPr>
    </w:p>
    <w:p w14:paraId="05796D6B">
      <w:pPr>
        <w:rPr>
          <w:rFonts w:hint="eastAsia" w:ascii="宋体" w:hAnsi="宋体" w:cs="宋体"/>
          <w:color w:val="auto"/>
          <w:sz w:val="32"/>
          <w:szCs w:val="40"/>
          <w:highlight w:val="none"/>
        </w:rPr>
      </w:pPr>
    </w:p>
    <w:p w14:paraId="668B105F">
      <w:pPr>
        <w:rPr>
          <w:rFonts w:hint="eastAsia" w:ascii="宋体" w:hAnsi="宋体" w:cs="宋体"/>
          <w:color w:val="auto"/>
          <w:sz w:val="32"/>
          <w:szCs w:val="40"/>
          <w:highlight w:val="none"/>
        </w:rPr>
      </w:pPr>
    </w:p>
    <w:p w14:paraId="7D2D62D2">
      <w:pPr>
        <w:rPr>
          <w:rFonts w:hint="eastAsia" w:ascii="宋体" w:hAnsi="宋体" w:cs="宋体"/>
          <w:color w:val="auto"/>
          <w:sz w:val="32"/>
          <w:szCs w:val="40"/>
          <w:highlight w:val="none"/>
        </w:rPr>
      </w:pPr>
    </w:p>
    <w:p w14:paraId="1A9E14A6">
      <w:pPr>
        <w:rPr>
          <w:rFonts w:hint="eastAsia" w:ascii="宋体" w:hAnsi="宋体" w:cs="宋体"/>
          <w:color w:val="auto"/>
          <w:sz w:val="32"/>
          <w:szCs w:val="40"/>
          <w:highlight w:val="none"/>
        </w:rPr>
      </w:pPr>
    </w:p>
    <w:p w14:paraId="6C4E2711">
      <w:pPr>
        <w:rPr>
          <w:rFonts w:hint="eastAsia" w:ascii="宋体" w:hAnsi="宋体" w:cs="宋体"/>
          <w:color w:val="auto"/>
          <w:sz w:val="32"/>
          <w:szCs w:val="40"/>
          <w:highlight w:val="none"/>
        </w:rPr>
      </w:pPr>
    </w:p>
    <w:p w14:paraId="649B15F2">
      <w:pPr>
        <w:rPr>
          <w:rFonts w:hint="eastAsia" w:ascii="宋体" w:hAnsi="宋体" w:cs="宋体"/>
          <w:color w:val="auto"/>
          <w:sz w:val="32"/>
          <w:szCs w:val="40"/>
          <w:highlight w:val="none"/>
        </w:rPr>
      </w:pPr>
    </w:p>
    <w:p w14:paraId="59B83166">
      <w:pPr>
        <w:rPr>
          <w:rFonts w:hint="eastAsia" w:ascii="宋体" w:hAnsi="宋体" w:cs="宋体"/>
          <w:color w:val="auto"/>
          <w:sz w:val="32"/>
          <w:szCs w:val="40"/>
          <w:highlight w:val="none"/>
        </w:rPr>
      </w:pPr>
    </w:p>
    <w:p w14:paraId="29979B2F">
      <w:pPr>
        <w:rPr>
          <w:rFonts w:hint="eastAsia" w:ascii="宋体" w:hAnsi="宋体" w:cs="宋体"/>
          <w:color w:val="auto"/>
          <w:sz w:val="32"/>
          <w:szCs w:val="40"/>
          <w:highlight w:val="none"/>
        </w:rPr>
      </w:pPr>
    </w:p>
    <w:p w14:paraId="145C087F">
      <w:pPr>
        <w:rPr>
          <w:rFonts w:hint="eastAsia" w:ascii="宋体" w:hAnsi="宋体" w:cs="宋体"/>
          <w:color w:val="auto"/>
          <w:sz w:val="32"/>
          <w:szCs w:val="40"/>
          <w:highlight w:val="none"/>
        </w:rPr>
      </w:pPr>
    </w:p>
    <w:p w14:paraId="6EDAEE8C">
      <w:pPr>
        <w:rPr>
          <w:rFonts w:hint="eastAsia" w:ascii="宋体" w:hAnsi="宋体" w:cs="宋体"/>
          <w:color w:val="auto"/>
          <w:sz w:val="32"/>
          <w:szCs w:val="40"/>
          <w:highlight w:val="none"/>
        </w:rPr>
      </w:pPr>
    </w:p>
    <w:p w14:paraId="6F35B8DF">
      <w:pPr>
        <w:rPr>
          <w:rFonts w:hint="eastAsia" w:ascii="宋体" w:hAnsi="宋体" w:cs="宋体"/>
          <w:color w:val="auto"/>
          <w:sz w:val="32"/>
          <w:szCs w:val="40"/>
          <w:highlight w:val="none"/>
        </w:rPr>
      </w:pPr>
    </w:p>
    <w:p w14:paraId="133E2E0C">
      <w:pPr>
        <w:rPr>
          <w:rFonts w:hint="eastAsia" w:ascii="宋体" w:hAnsi="宋体" w:cs="宋体"/>
          <w:color w:val="auto"/>
          <w:sz w:val="32"/>
          <w:szCs w:val="40"/>
          <w:highlight w:val="none"/>
        </w:rPr>
      </w:pPr>
    </w:p>
    <w:p w14:paraId="74BDEB5D">
      <w:pPr>
        <w:rPr>
          <w:rFonts w:hint="eastAsia" w:ascii="宋体" w:hAnsi="宋体" w:cs="宋体"/>
          <w:color w:val="auto"/>
          <w:sz w:val="32"/>
          <w:szCs w:val="40"/>
          <w:highlight w:val="none"/>
        </w:rPr>
      </w:pPr>
    </w:p>
    <w:p w14:paraId="084433EB">
      <w:pPr>
        <w:spacing w:line="360" w:lineRule="auto"/>
        <w:jc w:val="center"/>
        <w:rPr>
          <w:rFonts w:hint="eastAsia" w:ascii="宋体" w:hAnsi="宋体" w:cs="宋体"/>
          <w:color w:val="auto"/>
          <w:sz w:val="44"/>
          <w:szCs w:val="44"/>
          <w:highlight w:val="none"/>
        </w:rPr>
      </w:pPr>
    </w:p>
    <w:p w14:paraId="6189FB4F">
      <w:pPr>
        <w:spacing w:line="240" w:lineRule="auto"/>
        <w:jc w:val="left"/>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p>
    <w:p w14:paraId="3D999711">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投诉书（格式）</w:t>
      </w:r>
    </w:p>
    <w:p w14:paraId="31767D57">
      <w:pPr>
        <w:pStyle w:val="15"/>
        <w:snapToGrid w:val="0"/>
        <w:spacing w:line="360" w:lineRule="auto"/>
        <w:ind w:firstLine="422" w:firstLineChars="200"/>
        <w:rPr>
          <w:rFonts w:hint="eastAsia" w:hAnsi="宋体" w:cs="宋体"/>
          <w:b/>
          <w:bCs/>
          <w:color w:val="auto"/>
          <w:sz w:val="21"/>
          <w:highlight w:val="none"/>
        </w:rPr>
      </w:pPr>
      <w:r>
        <w:rPr>
          <w:rFonts w:hint="eastAsia" w:hAnsi="宋体" w:cs="宋体"/>
          <w:b/>
          <w:bCs/>
          <w:color w:val="auto"/>
          <w:sz w:val="21"/>
          <w:highlight w:val="none"/>
        </w:rPr>
        <w:t>一、投诉相关主体基本情况：</w:t>
      </w:r>
    </w:p>
    <w:p w14:paraId="75E681A6">
      <w:pPr>
        <w:pStyle w:val="15"/>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3276AE37">
      <w:pPr>
        <w:pStyle w:val="15"/>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6272DF62">
      <w:pPr>
        <w:pStyle w:val="15"/>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法定代表人/主要负责人：</w:t>
      </w:r>
      <w:r>
        <w:rPr>
          <w:rFonts w:hint="eastAsia" w:hAnsi="宋体" w:cs="宋体"/>
          <w:bCs/>
          <w:color w:val="auto"/>
          <w:sz w:val="21"/>
          <w:highlight w:val="none"/>
          <w:u w:val="single"/>
        </w:rPr>
        <w:t xml:space="preserve">                                                         </w:t>
      </w:r>
    </w:p>
    <w:p w14:paraId="1AA3C98F">
      <w:pPr>
        <w:pStyle w:val="15"/>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07B2B2CE">
      <w:pPr>
        <w:pStyle w:val="15"/>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54CDB406">
      <w:pPr>
        <w:pStyle w:val="15"/>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45108500">
      <w:pPr>
        <w:pStyle w:val="15"/>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53722BED">
      <w:pPr>
        <w:pStyle w:val="15"/>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被投诉人1：</w:t>
      </w:r>
    </w:p>
    <w:p w14:paraId="76C50101">
      <w:pPr>
        <w:pStyle w:val="15"/>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7923AFB4">
      <w:pPr>
        <w:pStyle w:val="15"/>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3C21BC44">
      <w:pPr>
        <w:pStyle w:val="15"/>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642D099C">
      <w:pPr>
        <w:pStyle w:val="15"/>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被投诉人2：</w:t>
      </w:r>
    </w:p>
    <w:p w14:paraId="6274983B">
      <w:pPr>
        <w:pStyle w:val="15"/>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w:t>
      </w:r>
    </w:p>
    <w:p w14:paraId="0A5D696F">
      <w:pPr>
        <w:pStyle w:val="15"/>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相关供应商：</w:t>
      </w:r>
      <w:r>
        <w:rPr>
          <w:rFonts w:hint="eastAsia" w:hAnsi="宋体" w:cs="宋体"/>
          <w:bCs/>
          <w:color w:val="auto"/>
          <w:sz w:val="21"/>
          <w:highlight w:val="none"/>
          <w:u w:val="single"/>
        </w:rPr>
        <w:t xml:space="preserve">                                                                       </w:t>
      </w:r>
    </w:p>
    <w:p w14:paraId="3C6780B9">
      <w:pPr>
        <w:pStyle w:val="15"/>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p>
    <w:p w14:paraId="7342AA93">
      <w:pPr>
        <w:pStyle w:val="15"/>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3DDFE74D">
      <w:pPr>
        <w:pStyle w:val="15"/>
        <w:snapToGrid w:val="0"/>
        <w:spacing w:line="360" w:lineRule="auto"/>
        <w:ind w:firstLine="422" w:firstLineChars="200"/>
        <w:rPr>
          <w:rFonts w:hint="eastAsia" w:hAnsi="宋体" w:cs="宋体"/>
          <w:b/>
          <w:bCs/>
          <w:color w:val="auto"/>
          <w:sz w:val="21"/>
          <w:highlight w:val="none"/>
        </w:rPr>
      </w:pPr>
      <w:r>
        <w:rPr>
          <w:rFonts w:hint="eastAsia" w:hAnsi="宋体" w:cs="宋体"/>
          <w:b/>
          <w:bCs/>
          <w:color w:val="auto"/>
          <w:sz w:val="21"/>
          <w:highlight w:val="none"/>
        </w:rPr>
        <w:t>二、投诉项目基本情况：</w:t>
      </w:r>
    </w:p>
    <w:p w14:paraId="02C9CB91">
      <w:pPr>
        <w:pStyle w:val="15"/>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31F320B5">
      <w:pPr>
        <w:pStyle w:val="15"/>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65F130BD">
      <w:pPr>
        <w:pStyle w:val="15"/>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2157BEBC">
      <w:pPr>
        <w:pStyle w:val="15"/>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代理机构名称：</w:t>
      </w:r>
      <w:r>
        <w:rPr>
          <w:rFonts w:hint="eastAsia" w:hAnsi="宋体" w:cs="宋体"/>
          <w:bCs/>
          <w:color w:val="auto"/>
          <w:sz w:val="21"/>
          <w:highlight w:val="none"/>
          <w:u w:val="single"/>
        </w:rPr>
        <w:t xml:space="preserve">                                                                      </w:t>
      </w:r>
    </w:p>
    <w:p w14:paraId="3BB5DA0B">
      <w:pPr>
        <w:pStyle w:val="15"/>
        <w:spacing w:line="360" w:lineRule="auto"/>
        <w:ind w:left="25" w:leftChars="12" w:firstLine="413" w:firstLineChars="197"/>
        <w:rPr>
          <w:rFonts w:hint="eastAsia" w:hAnsi="宋体" w:cs="宋体"/>
          <w:bCs/>
          <w:color w:val="auto"/>
          <w:sz w:val="21"/>
          <w:highlight w:val="none"/>
          <w:u w:val="single"/>
        </w:rPr>
      </w:pPr>
      <w:r>
        <w:rPr>
          <w:rFonts w:hint="eastAsia" w:hAnsi="宋体" w:cs="宋体"/>
          <w:bCs/>
          <w:color w:val="auto"/>
          <w:sz w:val="21"/>
          <w:highlight w:val="none"/>
        </w:rPr>
        <w:t>采购文件公告：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0DD0132A">
      <w:pPr>
        <w:pStyle w:val="15"/>
        <w:spacing w:line="360" w:lineRule="auto"/>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采购结果公告：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2D121B2D">
      <w:pPr>
        <w:pStyle w:val="15"/>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三、质疑基本情况</w:t>
      </w:r>
    </w:p>
    <w:p w14:paraId="5612E5FC">
      <w:pPr>
        <w:pStyle w:val="15"/>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投诉人于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日，向</w:t>
      </w:r>
      <w:r>
        <w:rPr>
          <w:rFonts w:hint="eastAsia" w:hAnsi="宋体" w:cs="宋体"/>
          <w:color w:val="auto"/>
          <w:sz w:val="21"/>
          <w:highlight w:val="none"/>
          <w:u w:val="single"/>
        </w:rPr>
        <w:t xml:space="preserve">                                </w:t>
      </w:r>
      <w:r>
        <w:rPr>
          <w:rFonts w:hint="eastAsia" w:hAnsi="宋体" w:cs="宋体"/>
          <w:color w:val="auto"/>
          <w:sz w:val="21"/>
          <w:highlight w:val="none"/>
        </w:rPr>
        <w:t>提出质疑，质疑事项为：</w:t>
      </w:r>
    </w:p>
    <w:p w14:paraId="74DF35E2">
      <w:pPr>
        <w:pStyle w:val="15"/>
        <w:spacing w:line="360" w:lineRule="auto"/>
        <w:ind w:firstLine="241"/>
        <w:rPr>
          <w:rFonts w:hint="eastAsia" w:hAnsi="宋体" w:cs="宋体"/>
          <w:bCs/>
          <w:color w:val="auto"/>
          <w:sz w:val="21"/>
          <w:highlight w:val="none"/>
          <w:u w:val="single"/>
        </w:rPr>
      </w:pP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25948EE4">
      <w:pPr>
        <w:pStyle w:val="15"/>
        <w:spacing w:line="360" w:lineRule="auto"/>
        <w:ind w:firstLine="241"/>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131E97EF">
      <w:pPr>
        <w:pStyle w:val="15"/>
        <w:spacing w:line="360" w:lineRule="auto"/>
        <w:ind w:firstLine="420" w:firstLineChars="200"/>
        <w:rPr>
          <w:rFonts w:hint="eastAsia" w:hAnsi="宋体" w:cs="宋体"/>
          <w:color w:val="auto"/>
          <w:sz w:val="21"/>
          <w:highlight w:val="none"/>
        </w:rPr>
      </w:pPr>
      <w:r>
        <w:rPr>
          <w:rFonts w:hint="eastAsia" w:hAnsi="宋体" w:cs="宋体"/>
          <w:bCs/>
          <w:color w:val="auto"/>
          <w:sz w:val="21"/>
          <w:highlight w:val="none"/>
          <w:u w:val="single"/>
        </w:rPr>
        <w:t>采购人/代理机构</w:t>
      </w:r>
      <w:r>
        <w:rPr>
          <w:rFonts w:hint="eastAsia" w:hAnsi="宋体" w:cs="宋体"/>
          <w:bCs/>
          <w:color w:val="auto"/>
          <w:sz w:val="21"/>
          <w:highlight w:val="none"/>
        </w:rPr>
        <w:t>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r>
        <w:rPr>
          <w:rFonts w:hint="eastAsia" w:hAnsi="宋体" w:cs="宋体"/>
          <w:bCs/>
          <w:color w:val="auto"/>
          <w:sz w:val="21"/>
          <w:highlight w:val="none"/>
        </w:rPr>
        <w:t xml:space="preserve">就质疑事项作出了答复/没有在法定期限内作出答复。                                                                                             </w:t>
      </w:r>
    </w:p>
    <w:p w14:paraId="00EEE1D7">
      <w:pPr>
        <w:pStyle w:val="15"/>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四、投诉事项具体内容</w:t>
      </w:r>
    </w:p>
    <w:p w14:paraId="5FC1F575">
      <w:pPr>
        <w:pStyle w:val="15"/>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投诉事项1：</w:t>
      </w:r>
      <w:r>
        <w:rPr>
          <w:rFonts w:hint="eastAsia" w:hAnsi="宋体" w:cs="宋体"/>
          <w:bCs/>
          <w:color w:val="auto"/>
          <w:sz w:val="21"/>
          <w:highlight w:val="none"/>
          <w:u w:val="single"/>
        </w:rPr>
        <w:t xml:space="preserve">                                                                           </w:t>
      </w:r>
    </w:p>
    <w:p w14:paraId="32C7DBC8">
      <w:pPr>
        <w:pStyle w:val="15"/>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事实依据：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0DE2772C">
      <w:pPr>
        <w:pStyle w:val="15"/>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u w:val="single"/>
        </w:rPr>
        <w:t xml:space="preserve">                                                                                        </w:t>
      </w:r>
    </w:p>
    <w:p w14:paraId="509C23A8">
      <w:pPr>
        <w:pStyle w:val="15"/>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法律依据：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0F7A4882">
      <w:pPr>
        <w:pStyle w:val="15"/>
        <w:spacing w:line="360" w:lineRule="auto"/>
        <w:ind w:left="25" w:leftChars="12" w:firstLine="308" w:firstLineChars="147"/>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739E083B">
      <w:pPr>
        <w:pStyle w:val="15"/>
        <w:spacing w:line="360" w:lineRule="auto"/>
        <w:ind w:left="25" w:leftChars="12" w:firstLine="413" w:firstLineChars="197"/>
        <w:rPr>
          <w:rFonts w:hint="eastAsia" w:hAnsi="宋体" w:cs="宋体"/>
          <w:bCs/>
          <w:color w:val="auto"/>
          <w:sz w:val="21"/>
          <w:highlight w:val="none"/>
        </w:rPr>
      </w:pPr>
      <w:r>
        <w:rPr>
          <w:rFonts w:hint="eastAsia" w:hAnsi="宋体" w:cs="宋体"/>
          <w:color w:val="auto"/>
          <w:sz w:val="21"/>
          <w:highlight w:val="none"/>
        </w:rPr>
        <w:t xml:space="preserve">投诉事项2  </w:t>
      </w:r>
      <w:r>
        <w:rPr>
          <w:rFonts w:hint="eastAsia" w:hAnsi="宋体" w:cs="宋体"/>
          <w:bCs/>
          <w:color w:val="auto"/>
          <w:sz w:val="21"/>
          <w:highlight w:val="none"/>
        </w:rPr>
        <w:t xml:space="preserve">   </w:t>
      </w:r>
    </w:p>
    <w:p w14:paraId="07A9C9E1">
      <w:pPr>
        <w:pStyle w:val="15"/>
        <w:spacing w:line="360" w:lineRule="auto"/>
        <w:ind w:left="25" w:leftChars="12" w:firstLine="413" w:firstLineChars="197"/>
        <w:rPr>
          <w:rFonts w:hint="eastAsia" w:hAnsi="宋体" w:cs="宋体"/>
          <w:bCs/>
          <w:color w:val="auto"/>
          <w:sz w:val="21"/>
          <w:highlight w:val="none"/>
        </w:rPr>
      </w:pPr>
      <w:r>
        <w:rPr>
          <w:rFonts w:hint="eastAsia" w:hAnsi="宋体" w:cs="宋体"/>
          <w:bCs/>
          <w:color w:val="auto"/>
          <w:sz w:val="21"/>
          <w:highlight w:val="none"/>
        </w:rPr>
        <w:t>……</w:t>
      </w:r>
    </w:p>
    <w:p w14:paraId="6635FDCE">
      <w:pPr>
        <w:pStyle w:val="15"/>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五、与投诉事项相关的投诉请求：</w:t>
      </w:r>
    </w:p>
    <w:p w14:paraId="20B7D300">
      <w:pPr>
        <w:pStyle w:val="15"/>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0221E6C3">
      <w:pPr>
        <w:pStyle w:val="15"/>
        <w:spacing w:line="360" w:lineRule="auto"/>
        <w:ind w:left="25" w:leftChars="12" w:firstLine="308" w:firstLineChars="147"/>
        <w:rPr>
          <w:rFonts w:hint="eastAsia" w:hAnsi="宋体" w:cs="宋体"/>
          <w:color w:val="auto"/>
          <w:sz w:val="21"/>
          <w:highlight w:val="none"/>
        </w:rPr>
      </w:pPr>
    </w:p>
    <w:p w14:paraId="02B7CA15">
      <w:pPr>
        <w:pStyle w:val="15"/>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签字（签章）：                                       公章：</w:t>
      </w:r>
    </w:p>
    <w:p w14:paraId="7ECFFAA1">
      <w:pPr>
        <w:pStyle w:val="15"/>
        <w:spacing w:line="360" w:lineRule="auto"/>
        <w:ind w:left="25" w:leftChars="12" w:firstLine="308" w:firstLineChars="147"/>
        <w:rPr>
          <w:rFonts w:hint="eastAsia" w:hAnsi="宋体" w:cs="宋体"/>
          <w:color w:val="auto"/>
          <w:sz w:val="21"/>
          <w:highlight w:val="none"/>
        </w:rPr>
      </w:pPr>
    </w:p>
    <w:p w14:paraId="10315100">
      <w:pPr>
        <w:pStyle w:val="15"/>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日期：</w:t>
      </w:r>
    </w:p>
    <w:p w14:paraId="3BDFDCA8">
      <w:pPr>
        <w:pStyle w:val="15"/>
        <w:spacing w:line="360" w:lineRule="auto"/>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 xml:space="preserve">                                                                                 </w:t>
      </w:r>
    </w:p>
    <w:p w14:paraId="108C5B9C">
      <w:pPr>
        <w:pStyle w:val="15"/>
        <w:snapToGrid w:val="0"/>
        <w:spacing w:line="360" w:lineRule="auto"/>
        <w:rPr>
          <w:rFonts w:hint="eastAsia" w:hAnsi="宋体" w:cs="宋体"/>
          <w:b/>
          <w:color w:val="auto"/>
          <w:sz w:val="21"/>
          <w:highlight w:val="none"/>
        </w:rPr>
      </w:pPr>
      <w:r>
        <w:rPr>
          <w:rFonts w:hint="eastAsia" w:hAnsi="宋体" w:cs="宋体"/>
          <w:b/>
          <w:color w:val="auto"/>
          <w:sz w:val="21"/>
          <w:highlight w:val="none"/>
        </w:rPr>
        <w:t>说明：</w:t>
      </w:r>
    </w:p>
    <w:p w14:paraId="1320345D">
      <w:pPr>
        <w:pStyle w:val="15"/>
        <w:spacing w:line="360" w:lineRule="auto"/>
        <w:ind w:left="25" w:leftChars="12" w:firstLine="310" w:firstLineChars="147"/>
        <w:rPr>
          <w:rFonts w:hint="eastAsia" w:hAnsi="宋体" w:cs="宋体"/>
          <w:b/>
          <w:bCs/>
          <w:color w:val="auto"/>
          <w:sz w:val="21"/>
          <w:highlight w:val="none"/>
        </w:rPr>
      </w:pPr>
      <w:r>
        <w:rPr>
          <w:rFonts w:hint="eastAsia" w:hAnsi="宋体" w:cs="宋体"/>
          <w:b/>
          <w:color w:val="auto"/>
          <w:sz w:val="21"/>
          <w:highlight w:val="none"/>
        </w:rPr>
        <w:t>1.投诉人提起投诉时，应当提交投诉书和必要的证明材料，并按照被投诉人和与投诉事项有关的供应商数量提供投诉书副本</w:t>
      </w:r>
      <w:r>
        <w:rPr>
          <w:rFonts w:hint="eastAsia" w:hAnsi="宋体" w:cs="宋体"/>
          <w:b/>
          <w:bCs/>
          <w:color w:val="auto"/>
          <w:sz w:val="21"/>
          <w:highlight w:val="none"/>
        </w:rPr>
        <w:t>。</w:t>
      </w:r>
    </w:p>
    <w:p w14:paraId="752CD669">
      <w:pPr>
        <w:pStyle w:val="15"/>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4322887">
      <w:pPr>
        <w:pStyle w:val="15"/>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3.投诉书应简要列明质疑事项，质疑函、质疑答复等作为附件材料提供。</w:t>
      </w:r>
    </w:p>
    <w:p w14:paraId="188F6B21">
      <w:pPr>
        <w:pStyle w:val="15"/>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4.投诉书的投诉事项应具体、明确，并有必要的事实依据和法律依据。</w:t>
      </w:r>
    </w:p>
    <w:p w14:paraId="511C0376">
      <w:pPr>
        <w:pStyle w:val="15"/>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5.投诉书的投诉请求应与投诉事项相关。</w:t>
      </w:r>
    </w:p>
    <w:p w14:paraId="4AE11C3F">
      <w:pPr>
        <w:pStyle w:val="15"/>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6.投诉人为法人或者其他组织的，投诉书应由法定代表人、主要负责人，或者其授权代表签字或者盖章，并加盖公章。</w:t>
      </w:r>
    </w:p>
    <w:p w14:paraId="7DC7D4FF">
      <w:pPr>
        <w:pStyle w:val="2"/>
        <w:jc w:val="center"/>
        <w:rPr>
          <w:rFonts w:hint="eastAsia" w:ascii="宋体" w:hAnsi="宋体" w:cs="宋体"/>
          <w:b w:val="0"/>
          <w:color w:val="auto"/>
          <w:sz w:val="32"/>
          <w:szCs w:val="32"/>
          <w:highlight w:val="none"/>
        </w:rPr>
      </w:pPr>
      <w:bookmarkStart w:id="190" w:name="_Toc74323461"/>
      <w:r>
        <w:rPr>
          <w:rFonts w:hint="eastAsia" w:ascii="宋体" w:hAnsi="宋体" w:cs="宋体"/>
          <w:color w:val="auto"/>
          <w:highlight w:val="none"/>
        </w:rPr>
        <w:br w:type="page"/>
      </w:r>
      <w:bookmarkStart w:id="191" w:name="_Toc26375"/>
      <w:bookmarkStart w:id="192" w:name="_Toc3966"/>
      <w:r>
        <w:rPr>
          <w:rFonts w:hint="eastAsia" w:ascii="宋体" w:hAnsi="宋体" w:cs="宋体"/>
          <w:color w:val="auto"/>
          <w:highlight w:val="none"/>
        </w:rPr>
        <w:t>第六章 合同文本</w:t>
      </w:r>
      <w:bookmarkEnd w:id="190"/>
      <w:bookmarkEnd w:id="191"/>
      <w:bookmarkEnd w:id="192"/>
    </w:p>
    <w:p w14:paraId="49DC01C2">
      <w:pPr>
        <w:pStyle w:val="15"/>
        <w:spacing w:line="720" w:lineRule="auto"/>
        <w:ind w:right="420"/>
        <w:jc w:val="center"/>
        <w:rPr>
          <w:rFonts w:hint="eastAsia" w:hAnsi="宋体"/>
          <w:b/>
          <w:bCs/>
          <w:color w:val="auto"/>
          <w:sz w:val="32"/>
          <w:szCs w:val="32"/>
          <w:highlight w:val="none"/>
        </w:rPr>
      </w:pPr>
      <w:r>
        <w:rPr>
          <w:rFonts w:hint="eastAsia" w:hAnsi="宋体"/>
          <w:b/>
          <w:bCs/>
          <w:color w:val="auto"/>
          <w:sz w:val="32"/>
          <w:szCs w:val="32"/>
          <w:highlight w:val="none"/>
        </w:rPr>
        <w:t>广西壮族自治区政府采购合同（格式）</w:t>
      </w:r>
    </w:p>
    <w:p w14:paraId="1205AC93">
      <w:pPr>
        <w:snapToGrid w:val="0"/>
        <w:spacing w:line="360" w:lineRule="exact"/>
        <w:ind w:right="480" w:firstLine="5985" w:firstLineChars="2850"/>
        <w:rPr>
          <w:rFonts w:hint="eastAsia" w:ascii="宋体" w:hAnsi="宋体"/>
          <w:bCs/>
          <w:color w:val="auto"/>
          <w:szCs w:val="21"/>
          <w:highlight w:val="none"/>
          <w:u w:val="single"/>
        </w:rPr>
      </w:pPr>
      <w:r>
        <w:rPr>
          <w:rFonts w:hint="eastAsia" w:ascii="宋体" w:hAnsi="宋体"/>
          <w:bCs/>
          <w:color w:val="auto"/>
          <w:szCs w:val="21"/>
          <w:highlight w:val="none"/>
        </w:rPr>
        <w:t>合同编号：</w:t>
      </w:r>
    </w:p>
    <w:p w14:paraId="6BE99C6F">
      <w:pPr>
        <w:snapToGrid w:val="0"/>
        <w:spacing w:line="360" w:lineRule="exact"/>
        <w:rPr>
          <w:rFonts w:hint="eastAsia" w:ascii="宋体" w:hAnsi="宋体"/>
          <w:color w:val="auto"/>
          <w:szCs w:val="21"/>
          <w:highlight w:val="none"/>
        </w:rPr>
      </w:pPr>
    </w:p>
    <w:p w14:paraId="15442E2B">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pacing w:val="-20"/>
          <w:szCs w:val="21"/>
          <w:highlight w:val="none"/>
        </w:rPr>
        <w:t>采 购 计 划 号</w:t>
      </w:r>
      <w:r>
        <w:rPr>
          <w:rFonts w:hint="eastAsia" w:ascii="宋体" w:hAnsi="宋体" w:cs="宋体"/>
          <w:color w:val="auto"/>
          <w:szCs w:val="21"/>
          <w:highlight w:val="none"/>
          <w:u w:val="single"/>
        </w:rPr>
        <w:t xml:space="preserve">                        </w:t>
      </w:r>
    </w:p>
    <w:p w14:paraId="0DF98632">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项目名称</w:t>
      </w:r>
      <w:r>
        <w:rPr>
          <w:rFonts w:hint="eastAsia" w:ascii="宋体" w:hAnsi="宋体" w:cs="宋体"/>
          <w:color w:val="auto"/>
          <w:spacing w:val="-20"/>
          <w:szCs w:val="21"/>
          <w:highlight w:val="none"/>
        </w:rPr>
        <w:t>编号</w:t>
      </w:r>
      <w:r>
        <w:rPr>
          <w:rFonts w:hint="eastAsia" w:ascii="宋体" w:hAnsi="宋体" w:cs="宋体"/>
          <w:color w:val="auto"/>
          <w:szCs w:val="21"/>
          <w:highlight w:val="none"/>
          <w:u w:val="single"/>
        </w:rPr>
        <w:t xml:space="preserve">                       </w:t>
      </w:r>
    </w:p>
    <w:p w14:paraId="5A5A2078">
      <w:pPr>
        <w:snapToGrid w:val="0"/>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 xml:space="preserve">签  订  地  点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 订 时 间</w:t>
      </w:r>
      <w:r>
        <w:rPr>
          <w:rFonts w:hint="eastAsia" w:ascii="宋体" w:hAnsi="宋体" w:cs="宋体"/>
          <w:color w:val="auto"/>
          <w:szCs w:val="21"/>
          <w:highlight w:val="none"/>
          <w:u w:val="single"/>
        </w:rPr>
        <w:t xml:space="preserve">                       </w:t>
      </w:r>
    </w:p>
    <w:p w14:paraId="1DE1C565">
      <w:pPr>
        <w:keepNext w:val="0"/>
        <w:keepLines w:val="0"/>
        <w:pageBreakBefore w:val="0"/>
        <w:widowControl w:val="0"/>
        <w:shd w:val="clear" w:color="auto" w:fill="auto"/>
        <w:kinsoku/>
        <w:wordWrap/>
        <w:overflowPunct/>
        <w:topLinePunct w:val="0"/>
        <w:autoSpaceDE/>
        <w:autoSpaceDN/>
        <w:bidi w:val="0"/>
        <w:adjustRightIn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本合同为中小企业预留合同：</w:t>
      </w:r>
      <w:r>
        <w:rPr>
          <w:rFonts w:hint="eastAsia" w:ascii="宋体" w:hAnsi="宋体" w:eastAsia="宋体" w:cs="宋体"/>
          <w:color w:val="auto"/>
          <w:szCs w:val="21"/>
          <w:highlight w:val="none"/>
          <w:u w:val="single"/>
        </w:rPr>
        <w:t>（是/否）</w:t>
      </w:r>
      <w:r>
        <w:rPr>
          <w:rFonts w:hint="eastAsia" w:ascii="宋体" w:hAnsi="宋体" w:eastAsia="宋体" w:cs="宋体"/>
          <w:color w:val="auto"/>
          <w:szCs w:val="21"/>
          <w:highlight w:val="none"/>
        </w:rPr>
        <w:t>。</w:t>
      </w:r>
    </w:p>
    <w:p w14:paraId="62D77C0B">
      <w:pPr>
        <w:snapToGrid w:val="0"/>
        <w:spacing w:line="360" w:lineRule="exact"/>
        <w:ind w:firstLine="420" w:firstLineChars="200"/>
        <w:rPr>
          <w:rFonts w:hint="eastAsia" w:ascii="宋体" w:hAnsi="宋体" w:cs="宋体"/>
          <w:color w:val="auto"/>
          <w:szCs w:val="21"/>
          <w:highlight w:val="none"/>
        </w:rPr>
      </w:pPr>
    </w:p>
    <w:p w14:paraId="6DA32FD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规定，按照</w:t>
      </w:r>
      <w:r>
        <w:rPr>
          <w:rFonts w:hint="eastAsia" w:ascii="宋体" w:hAnsi="宋体"/>
          <w:color w:val="auto"/>
          <w:szCs w:val="21"/>
          <w:highlight w:val="none"/>
        </w:rPr>
        <w:t>磋商文件规定条款和乙方响应文件及其承诺，甲乙双方签订本合同。</w:t>
      </w:r>
    </w:p>
    <w:p w14:paraId="7CF5FCC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45A86E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1、项目一览表</w:t>
      </w:r>
    </w:p>
    <w:tbl>
      <w:tblPr>
        <w:tblStyle w:val="20"/>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28FD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48FA33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4B6EE99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323D87F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7667DE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1DA957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B21F2B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  价</w:t>
            </w:r>
          </w:p>
          <w:p w14:paraId="1135D070">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4AB536B7">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14:paraId="4E8AFE3B">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（元）</w:t>
            </w:r>
          </w:p>
        </w:tc>
      </w:tr>
      <w:tr w14:paraId="5C91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8AB5594">
            <w:pPr>
              <w:spacing w:line="360" w:lineRule="auto"/>
              <w:jc w:val="center"/>
              <w:rPr>
                <w:rFonts w:hint="eastAsia"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2EFCEAE">
            <w:pPr>
              <w:spacing w:line="360" w:lineRule="auto"/>
              <w:jc w:val="center"/>
              <w:rPr>
                <w:rFonts w:hint="eastAsia"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360E9F53">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详见采购需求</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B174597">
            <w:pPr>
              <w:spacing w:line="360" w:lineRule="auto"/>
              <w:jc w:val="center"/>
              <w:rPr>
                <w:rFonts w:hint="eastAsia"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5CCAA1C">
            <w:pPr>
              <w:spacing w:line="360" w:lineRule="auto"/>
              <w:jc w:val="center"/>
              <w:rPr>
                <w:rFonts w:hint="eastAsia"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3120D868">
            <w:pPr>
              <w:spacing w:line="360" w:lineRule="auto"/>
              <w:jc w:val="center"/>
              <w:rPr>
                <w:rFonts w:hint="eastAsia" w:ascii="宋体" w:hAnsi="宋体" w:cs="宋体"/>
                <w:color w:val="auto"/>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EE5761F">
            <w:pPr>
              <w:spacing w:line="360" w:lineRule="auto"/>
              <w:jc w:val="center"/>
              <w:rPr>
                <w:rFonts w:hint="eastAsia" w:ascii="宋体" w:hAnsi="宋体" w:cs="宋体"/>
                <w:color w:val="auto"/>
                <w:szCs w:val="21"/>
                <w:highlight w:val="none"/>
              </w:rPr>
            </w:pPr>
          </w:p>
        </w:tc>
      </w:tr>
      <w:tr w14:paraId="6A81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35B11940">
            <w:pPr>
              <w:spacing w:line="360" w:lineRule="auto"/>
              <w:jc w:val="center"/>
              <w:rPr>
                <w:rFonts w:hint="eastAsia" w:ascii="宋体" w:hAnsi="宋体" w:cs="宋体"/>
                <w:color w:val="auto"/>
                <w:szCs w:val="21"/>
                <w:highlight w:val="none"/>
              </w:rPr>
            </w:pPr>
            <w:r>
              <w:rPr>
                <w:rFonts w:hint="eastAsia" w:ascii="宋体" w:hAnsi="宋体" w:eastAsia="宋体" w:cs="宋体"/>
                <w:color w:val="auto"/>
                <w:szCs w:val="21"/>
                <w:highlight w:val="none"/>
              </w:rPr>
              <w:t>详见报价表</w:t>
            </w:r>
          </w:p>
        </w:tc>
      </w:tr>
      <w:tr w14:paraId="0830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0A156C78">
            <w:pPr>
              <w:spacing w:line="360" w:lineRule="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37607BB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合计金额包括但不限于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color w:val="auto"/>
          <w:szCs w:val="21"/>
          <w:highlight w:val="none"/>
          <w:lang w:val="en-US" w:eastAsia="zh-CN"/>
        </w:rPr>
        <w:t>对于本文件中未列明，而供应商认为必需的费用也需列入总报价。在合同实施时，采购单位将不予支付成交供应商没有列入的项目费用，并认为此项目的费用已包括在总报价中。</w:t>
      </w:r>
      <w:r>
        <w:rPr>
          <w:rFonts w:hint="eastAsia" w:ascii="宋体" w:hAnsi="宋体" w:cs="宋体"/>
          <w:color w:val="auto"/>
          <w:szCs w:val="21"/>
          <w:highlight w:val="none"/>
        </w:rPr>
        <w:t>如磋商文件对其另有规定的，从其规定。</w:t>
      </w:r>
    </w:p>
    <w:p w14:paraId="32C9DEF0">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1764688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p>
    <w:p w14:paraId="2EC89672">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775AA0D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47D058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w:t>
      </w:r>
      <w:r>
        <w:rPr>
          <w:rFonts w:hint="eastAsia" w:ascii="宋体" w:hAnsi="宋体" w:cs="宋体"/>
          <w:color w:val="auto"/>
          <w:szCs w:val="21"/>
          <w:highlight w:val="none"/>
          <w:lang w:eastAsia="zh-CN"/>
        </w:rPr>
        <w:t>因</w:t>
      </w:r>
      <w:r>
        <w:rPr>
          <w:rFonts w:hint="eastAsia" w:ascii="宋体" w:hAnsi="宋体" w:cs="宋体"/>
          <w:color w:val="auto"/>
          <w:szCs w:val="21"/>
          <w:highlight w:val="none"/>
        </w:rPr>
        <w:t>本合同履行</w:t>
      </w:r>
      <w:r>
        <w:rPr>
          <w:rFonts w:hint="eastAsia" w:ascii="宋体" w:hAnsi="宋体" w:eastAsia="宋体" w:cs="宋体"/>
          <w:color w:val="auto"/>
          <w:szCs w:val="21"/>
          <w:highlight w:val="none"/>
        </w:rPr>
        <w:t>终止、解除或者无效而解除。</w:t>
      </w:r>
    </w:p>
    <w:p w14:paraId="11B8A680">
      <w:pPr>
        <w:snapToGrid w:val="0"/>
        <w:spacing w:line="360" w:lineRule="auto"/>
        <w:ind w:firstLine="420" w:firstLineChars="200"/>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lang w:val="en-US" w:eastAsia="zh-CN"/>
        </w:rPr>
        <w:t>3.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7A5A10BE">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第四条　</w:t>
      </w:r>
      <w:r>
        <w:rPr>
          <w:rFonts w:hint="eastAsia" w:ascii="宋体" w:hAnsi="宋体" w:cs="宋体"/>
          <w:b/>
          <w:color w:val="auto"/>
          <w:szCs w:val="21"/>
          <w:highlight w:val="none"/>
          <w:lang w:eastAsia="zh-CN"/>
        </w:rPr>
        <w:t>合同履约期限</w:t>
      </w:r>
      <w:r>
        <w:rPr>
          <w:rFonts w:hint="eastAsia" w:ascii="宋体" w:hAnsi="宋体" w:cs="宋体"/>
          <w:b/>
          <w:color w:val="auto"/>
          <w:szCs w:val="21"/>
          <w:highlight w:val="none"/>
        </w:rPr>
        <w:t>和验收</w:t>
      </w:r>
    </w:p>
    <w:p w14:paraId="10621636">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w:t>
      </w:r>
    </w:p>
    <w:p w14:paraId="1E839918">
      <w:pPr>
        <w:spacing w:line="360" w:lineRule="auto"/>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服务地点：</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20525E3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2、乙方应按响应文件的承诺向甲方提供相应的服务，并提供所服务内容的相关技术资料。</w:t>
      </w:r>
    </w:p>
    <w:p w14:paraId="4A7066B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3、乙方提供不符合响应文件和本合同规定的服务成果，甲方有权拒绝接受。</w:t>
      </w:r>
    </w:p>
    <w:p w14:paraId="53C7F87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20314320">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5、甲乙双方应按照《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》、双方合同、响应文件验收。</w:t>
      </w:r>
    </w:p>
    <w:p w14:paraId="0EFEE7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6、甲方在初步验收或者最终验收过程中如发现乙方提供的服务成果不满足响应文件及本合同规定的，可暂缓向乙方付款，直到乙方及时完善并提交相应的服务成果且经甲方验收合格后，方可办理付款。</w:t>
      </w:r>
    </w:p>
    <w:p w14:paraId="1C8B08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7、甲方验收时以书面形式提出异议的，乙方应自收到甲方书面异议后五个工作日内及时予以解决，否则甲方有权不出具服务验收合格单。</w:t>
      </w:r>
    </w:p>
    <w:p w14:paraId="358D388E">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第五条  售后服务及培训</w:t>
      </w:r>
    </w:p>
    <w:p w14:paraId="3B348805">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1、乙方应按照国家有关法律法规和本合同所附的《售后服务承诺》要求为甲方提供相应的售后服务。</w:t>
      </w:r>
    </w:p>
    <w:p w14:paraId="201233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4F1850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甲方指定地点</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46AD5B0E">
      <w:pPr>
        <w:snapToGrid w:val="0"/>
        <w:spacing w:line="360" w:lineRule="auto"/>
        <w:ind w:firstLine="422" w:firstLineChars="200"/>
        <w:rPr>
          <w:rFonts w:hint="eastAsia" w:ascii="宋体" w:hAnsi="宋体" w:cs="宋体"/>
          <w:color w:val="auto"/>
          <w:szCs w:val="21"/>
          <w:highlight w:val="none"/>
          <w:u w:val="single"/>
        </w:rPr>
      </w:pPr>
      <w:r>
        <w:rPr>
          <w:rFonts w:hint="eastAsia" w:ascii="宋体" w:hAnsi="宋体" w:cs="宋体"/>
          <w:b/>
          <w:color w:val="auto"/>
          <w:szCs w:val="21"/>
          <w:highlight w:val="none"/>
        </w:rPr>
        <w:t>第六条　付款方式</w:t>
      </w:r>
    </w:p>
    <w:p w14:paraId="2D7F4038">
      <w:pPr>
        <w:snapToGrid w:val="0"/>
        <w:spacing w:line="360" w:lineRule="auto"/>
        <w:ind w:firstLine="420" w:firstLineChars="200"/>
        <w:rPr>
          <w:rFonts w:hint="default" w:ascii="宋体" w:hAnsi="宋体" w:eastAsia="宋体" w:cs="宋体"/>
          <w:b w:val="0"/>
          <w:bCs/>
          <w:color w:val="auto"/>
          <w:szCs w:val="21"/>
          <w:highlight w:val="none"/>
          <w:u w:val="single"/>
          <w:lang w:val="en-US" w:eastAsia="zh-CN"/>
        </w:rPr>
      </w:pPr>
      <w:r>
        <w:rPr>
          <w:rFonts w:hint="eastAsia" w:ascii="宋体" w:hAnsi="宋体" w:cs="宋体"/>
          <w:b w:val="0"/>
          <w:bCs/>
          <w:color w:val="auto"/>
          <w:szCs w:val="21"/>
          <w:highlight w:val="none"/>
          <w:u w:val="single"/>
          <w:lang w:val="en-US" w:eastAsia="zh-CN"/>
        </w:rPr>
        <w:t>（详见采购需求）</w:t>
      </w:r>
    </w:p>
    <w:p w14:paraId="3FF95CEF">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第七条　履约保证金</w:t>
      </w:r>
    </w:p>
    <w:p w14:paraId="784F2EFA">
      <w:pPr>
        <w:spacing w:line="360" w:lineRule="auto"/>
        <w:ind w:firstLine="422" w:firstLineChars="200"/>
        <w:rPr>
          <w:rFonts w:hint="eastAsia" w:ascii="宋体" w:hAnsi="宋体" w:cs="宋体"/>
          <w:color w:val="auto"/>
          <w:szCs w:val="21"/>
          <w:highlight w:val="none"/>
        </w:rPr>
      </w:pPr>
      <w:r>
        <w:rPr>
          <w:rFonts w:hint="eastAsia" w:ascii="宋体" w:hAnsi="宋体"/>
          <w:b/>
          <w:bCs/>
          <w:color w:val="auto"/>
          <w:szCs w:val="21"/>
          <w:highlight w:val="none"/>
        </w:rPr>
        <w:t>本项目不收取履约保证金。</w:t>
      </w:r>
    </w:p>
    <w:p w14:paraId="5EC83F5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第八条  税费</w:t>
      </w:r>
    </w:p>
    <w:p w14:paraId="4EEA96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346D6B2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第九条　违约责任</w:t>
      </w:r>
    </w:p>
    <w:p w14:paraId="0BE7BAE9">
      <w:pPr>
        <w:snapToGrid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auto"/>
          <w:szCs w:val="21"/>
          <w:highlight w:val="none"/>
        </w:rPr>
        <w:t xml:space="preserve">                                  </w:t>
      </w:r>
    </w:p>
    <w:p w14:paraId="1F54584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2、乙方提供的服务如侵犯了第三方合法权益而引发的任何纠纷或者诉讼，均由乙方负责交涉并承担全部责任。</w:t>
      </w:r>
    </w:p>
    <w:p w14:paraId="384B1523">
      <w:pPr>
        <w:snapToGrid w:val="0"/>
        <w:spacing w:line="360" w:lineRule="auto"/>
        <w:ind w:firstLine="420" w:firstLineChars="200"/>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、甲方延期付款的，每天向乙方偿付延期款额3‰滞纳金，但滞纳金累计不得超过延期款额5%。</w:t>
      </w:r>
    </w:p>
    <w:p w14:paraId="6AF51812">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4、其它违约行为按合同金额5%收取违约金并赔偿经济损失。</w:t>
      </w:r>
    </w:p>
    <w:p w14:paraId="4BCBE5BF">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5.未经甲方书面同意，乙方不得转让本合同项下全部或部分义务。</w:t>
      </w:r>
    </w:p>
    <w:p w14:paraId="3ED222D6">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6.乙方提供本合同所涉及的相关产品或者服务，均须符合国家、行业各项法律、法规以及标准规范，如存在多个标准规范的，以最高要求的标准规范为准。</w:t>
      </w:r>
    </w:p>
    <w:p w14:paraId="482D8F9E">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第十条  不可抗力事件处理</w:t>
      </w:r>
    </w:p>
    <w:p w14:paraId="459820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2F08E7D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447873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3、不可抗力事件延续一百二十天以上，双方应通过友好协商，确定是否解除合同。</w:t>
      </w:r>
    </w:p>
    <w:p w14:paraId="2C90A23F">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第十一条  合同争议解决</w:t>
      </w:r>
    </w:p>
    <w:p w14:paraId="23D3D2A7">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1A9ABFC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的人民法院提起诉讼。守约方为主张权利而产生的律师费、保全费、保函费、鉴定费、公告费、公证费等由违约方承担。</w:t>
      </w:r>
    </w:p>
    <w:p w14:paraId="6EF5759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00E3B95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第十二条  合同生效及其它</w:t>
      </w:r>
    </w:p>
    <w:p w14:paraId="004A2A1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1、合同经双方法定代表人或者授权代表签字并加盖单位公章后生效（委托代理人签字的需后附法定代表人授权委托书，格式自拟）。</w:t>
      </w:r>
    </w:p>
    <w:p w14:paraId="11256D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2、合同执行中涉及采购资金和采购内容修改或者补充的，须经财政部门审批，并</w:t>
      </w:r>
      <w:r>
        <w:rPr>
          <w:rFonts w:hint="eastAsia" w:ascii="宋体" w:hAnsi="宋体" w:cs="宋体"/>
          <w:color w:val="auto"/>
          <w:szCs w:val="21"/>
          <w:highlight w:val="none"/>
          <w:lang w:eastAsia="zh-CN"/>
        </w:rPr>
        <w:t>签订</w:t>
      </w:r>
      <w:r>
        <w:rPr>
          <w:rFonts w:hint="eastAsia" w:ascii="宋体" w:hAnsi="宋体" w:cs="宋体"/>
          <w:color w:val="auto"/>
          <w:szCs w:val="21"/>
          <w:highlight w:val="none"/>
        </w:rPr>
        <w:t>书面补充协议报财政部门备案，方可作为主合同不可分割的一部分。</w:t>
      </w:r>
    </w:p>
    <w:p w14:paraId="177729B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6B112EE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3501EC5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32DE03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64A25F8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第十四条　签订本合同依据</w:t>
      </w:r>
    </w:p>
    <w:p w14:paraId="01CC215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1、本合同协议书；</w:t>
      </w:r>
    </w:p>
    <w:p w14:paraId="13C93A5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2、采购文件；</w:t>
      </w:r>
    </w:p>
    <w:p w14:paraId="52D0E1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3、乙方提供的响应（或应答）文件；</w:t>
      </w:r>
    </w:p>
    <w:p w14:paraId="78FF828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4、成交通知书；</w:t>
      </w:r>
    </w:p>
    <w:p w14:paraId="272ED80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5、补充协议（如有）。</w:t>
      </w:r>
    </w:p>
    <w:p w14:paraId="70A528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6、上述合同文件互相补充和解释。如涉及乙方义务的合同文件之间存在矛盾或者不一致之处，以最高要求的约定为准。</w:t>
      </w:r>
    </w:p>
    <w:p w14:paraId="028B35AD">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w:t>
      </w:r>
      <w:r>
        <w:rPr>
          <w:rFonts w:hint="eastAsia" w:ascii="宋体" w:hAnsi="宋体" w:cs="宋体"/>
          <w:color w:val="auto"/>
          <w:szCs w:val="21"/>
          <w:highlight w:val="none"/>
          <w:lang w:eastAsia="zh-CN"/>
        </w:rPr>
        <w:t>伍</w:t>
      </w:r>
      <w:r>
        <w:rPr>
          <w:rFonts w:hint="eastAsia" w:ascii="宋体" w:hAnsi="宋体" w:cs="宋体"/>
          <w:color w:val="auto"/>
          <w:szCs w:val="21"/>
          <w:highlight w:val="none"/>
        </w:rPr>
        <w:t>份，具有同等法律效力，采购代理机构各一份，甲乙双方各</w:t>
      </w:r>
      <w:r>
        <w:rPr>
          <w:rFonts w:hint="eastAsia" w:ascii="宋体" w:hAnsi="宋体" w:cs="宋体"/>
          <w:color w:val="auto"/>
          <w:szCs w:val="21"/>
          <w:highlight w:val="none"/>
          <w:lang w:eastAsia="zh-CN"/>
        </w:rPr>
        <w:t>贰</w:t>
      </w:r>
      <w:r>
        <w:rPr>
          <w:rFonts w:hint="eastAsia" w:ascii="宋体" w:hAnsi="宋体" w:cs="宋体"/>
          <w:color w:val="auto"/>
          <w:szCs w:val="21"/>
          <w:highlight w:val="none"/>
        </w:rPr>
        <w:t>份（可根据需要另增加）。</w:t>
      </w:r>
    </w:p>
    <w:p w14:paraId="2F924E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tbl>
      <w:tblPr>
        <w:tblStyle w:val="20"/>
        <w:tblpPr w:leftFromText="180" w:rightFromText="180" w:vertAnchor="text" w:horzAnchor="margin"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1D9A0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9EE835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0AD1C2A9">
            <w:pPr>
              <w:snapToGrid w:val="0"/>
              <w:spacing w:line="360" w:lineRule="auto"/>
              <w:rPr>
                <w:rFonts w:hint="eastAsia" w:ascii="宋体" w:hAnsi="宋体" w:cs="宋体"/>
                <w:color w:val="auto"/>
                <w:szCs w:val="21"/>
                <w:highlight w:val="none"/>
              </w:rPr>
            </w:pPr>
          </w:p>
          <w:p w14:paraId="39F7B5DC">
            <w:pPr>
              <w:snapToGrid w:val="0"/>
              <w:spacing w:line="360" w:lineRule="auto"/>
              <w:rPr>
                <w:rFonts w:hint="eastAsia" w:ascii="宋体" w:hAnsi="宋体" w:cs="宋体"/>
                <w:color w:val="auto"/>
                <w:szCs w:val="21"/>
                <w:highlight w:val="none"/>
              </w:rPr>
            </w:pPr>
          </w:p>
          <w:p w14:paraId="244782C6">
            <w:pPr>
              <w:snapToGrid w:val="0"/>
              <w:spacing w:line="360" w:lineRule="auto"/>
              <w:ind w:firstLine="945" w:firstLineChars="450"/>
              <w:jc w:val="right"/>
              <w:rPr>
                <w:rFonts w:hint="eastAsia" w:ascii="宋体" w:hAnsi="宋体" w:cs="宋体"/>
                <w:color w:val="auto"/>
                <w:szCs w:val="21"/>
                <w:highlight w:val="none"/>
              </w:rPr>
            </w:pPr>
          </w:p>
          <w:p w14:paraId="3B29E600">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EBE6CE8">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318370E0">
            <w:pPr>
              <w:snapToGrid w:val="0"/>
              <w:spacing w:line="360" w:lineRule="auto"/>
              <w:rPr>
                <w:rFonts w:hint="eastAsia" w:ascii="宋体" w:hAnsi="宋体" w:cs="宋体"/>
                <w:color w:val="auto"/>
                <w:szCs w:val="21"/>
                <w:highlight w:val="none"/>
              </w:rPr>
            </w:pPr>
          </w:p>
          <w:p w14:paraId="1C4DF445">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22C28037">
            <w:pPr>
              <w:snapToGrid w:val="0"/>
              <w:spacing w:line="360" w:lineRule="auto"/>
              <w:jc w:val="right"/>
              <w:rPr>
                <w:rFonts w:hint="eastAsia" w:ascii="宋体" w:hAnsi="宋体" w:cs="宋体"/>
                <w:color w:val="auto"/>
                <w:szCs w:val="21"/>
                <w:highlight w:val="none"/>
              </w:rPr>
            </w:pPr>
          </w:p>
          <w:p w14:paraId="7A7CE055">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3000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F532C0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4D11FA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2182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F98502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F2B3A8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57F7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8A81F1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76E695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73AA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7B71BE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4E63A02">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53DC7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8EE474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CC6F0D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0DEDC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853F2B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BF7171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4259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672405C">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EE3004D">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32E75CCC">
      <w:pPr>
        <w:snapToGrid w:val="0"/>
        <w:ind w:left="420" w:hanging="420" w:hangingChars="200"/>
        <w:rPr>
          <w:rFonts w:hint="eastAsia" w:ascii="宋体" w:hAnsi="宋体" w:cs="宋体"/>
          <w:color w:val="auto"/>
          <w:szCs w:val="21"/>
          <w:highlight w:val="none"/>
        </w:rPr>
      </w:pPr>
    </w:p>
    <w:p w14:paraId="2B64B069">
      <w:pPr>
        <w:spacing w:line="480" w:lineRule="auto"/>
        <w:jc w:val="center"/>
        <w:rPr>
          <w:rFonts w:hint="eastAsia" w:ascii="宋体" w:hAnsi="宋体" w:cs="宋体"/>
          <w:b/>
          <w:color w:val="auto"/>
          <w:kern w:val="1"/>
          <w:szCs w:val="21"/>
          <w:highlight w:val="none"/>
        </w:rPr>
      </w:pPr>
    </w:p>
    <w:p w14:paraId="0CD5BA9F">
      <w:pPr>
        <w:spacing w:line="480" w:lineRule="auto"/>
        <w:jc w:val="center"/>
        <w:rPr>
          <w:rFonts w:hint="eastAsia" w:ascii="宋体" w:hAnsi="宋体" w:cs="宋体"/>
          <w:b/>
          <w:color w:val="auto"/>
          <w:kern w:val="1"/>
          <w:szCs w:val="21"/>
          <w:highlight w:val="none"/>
        </w:rPr>
      </w:pPr>
    </w:p>
    <w:p w14:paraId="03A6285B">
      <w:pPr>
        <w:spacing w:line="480" w:lineRule="auto"/>
        <w:jc w:val="center"/>
        <w:rPr>
          <w:rFonts w:hint="eastAsia" w:ascii="宋体" w:hAnsi="宋体" w:cs="宋体"/>
          <w:b/>
          <w:color w:val="auto"/>
          <w:kern w:val="1"/>
          <w:szCs w:val="21"/>
          <w:highlight w:val="none"/>
        </w:rPr>
      </w:pPr>
    </w:p>
    <w:p w14:paraId="1CC634BF">
      <w:pPr>
        <w:spacing w:line="480" w:lineRule="auto"/>
        <w:jc w:val="center"/>
        <w:rPr>
          <w:rFonts w:hint="eastAsia" w:ascii="宋体" w:hAnsi="宋体" w:cs="宋体"/>
          <w:b/>
          <w:color w:val="auto"/>
          <w:kern w:val="1"/>
          <w:szCs w:val="21"/>
          <w:highlight w:val="none"/>
        </w:rPr>
      </w:pPr>
    </w:p>
    <w:p w14:paraId="2AA51E6E">
      <w:pPr>
        <w:pStyle w:val="16"/>
        <w:rPr>
          <w:rFonts w:hint="eastAsia" w:ascii="宋体" w:hAnsi="宋体" w:cs="宋体"/>
          <w:b/>
          <w:color w:val="auto"/>
          <w:kern w:val="1"/>
          <w:szCs w:val="21"/>
          <w:highlight w:val="none"/>
        </w:rPr>
      </w:pPr>
    </w:p>
    <w:p w14:paraId="40D5338C">
      <w:pPr>
        <w:pStyle w:val="16"/>
        <w:rPr>
          <w:rFonts w:hint="eastAsia" w:ascii="宋体" w:hAnsi="宋体" w:cs="宋体"/>
          <w:b/>
          <w:color w:val="auto"/>
          <w:kern w:val="1"/>
          <w:szCs w:val="21"/>
          <w:highlight w:val="none"/>
        </w:rPr>
      </w:pPr>
    </w:p>
    <w:p w14:paraId="37C98C70">
      <w:pPr>
        <w:pStyle w:val="16"/>
        <w:rPr>
          <w:rFonts w:hint="eastAsia" w:ascii="宋体" w:hAnsi="宋体" w:cs="宋体"/>
          <w:b/>
          <w:color w:val="auto"/>
          <w:kern w:val="1"/>
          <w:szCs w:val="21"/>
          <w:highlight w:val="none"/>
        </w:rPr>
      </w:pPr>
    </w:p>
    <w:p w14:paraId="3FFEBC18">
      <w:pPr>
        <w:pStyle w:val="16"/>
        <w:rPr>
          <w:rFonts w:hint="eastAsia" w:ascii="宋体" w:hAnsi="宋体" w:cs="宋体"/>
          <w:b/>
          <w:color w:val="auto"/>
          <w:kern w:val="1"/>
          <w:szCs w:val="21"/>
          <w:highlight w:val="none"/>
        </w:rPr>
      </w:pPr>
    </w:p>
    <w:p w14:paraId="79E22581">
      <w:pPr>
        <w:pStyle w:val="16"/>
        <w:rPr>
          <w:rFonts w:hint="eastAsia" w:ascii="宋体" w:hAnsi="宋体" w:cs="宋体"/>
          <w:b/>
          <w:color w:val="auto"/>
          <w:kern w:val="1"/>
          <w:szCs w:val="21"/>
          <w:highlight w:val="none"/>
        </w:rPr>
      </w:pPr>
    </w:p>
    <w:p w14:paraId="3A42B8FB">
      <w:pPr>
        <w:pStyle w:val="16"/>
        <w:rPr>
          <w:rFonts w:hint="eastAsia" w:ascii="宋体" w:hAnsi="宋体" w:cs="宋体"/>
          <w:b/>
          <w:color w:val="auto"/>
          <w:kern w:val="1"/>
          <w:szCs w:val="21"/>
          <w:highlight w:val="none"/>
        </w:rPr>
      </w:pPr>
    </w:p>
    <w:p w14:paraId="4CF6EFC8">
      <w:pPr>
        <w:pStyle w:val="16"/>
        <w:rPr>
          <w:rFonts w:hint="eastAsia" w:ascii="宋体" w:hAnsi="宋体" w:cs="宋体"/>
          <w:b/>
          <w:color w:val="auto"/>
          <w:kern w:val="1"/>
          <w:szCs w:val="21"/>
          <w:highlight w:val="none"/>
        </w:rPr>
      </w:pPr>
    </w:p>
    <w:p w14:paraId="0F3610B3">
      <w:pPr>
        <w:pStyle w:val="16"/>
        <w:rPr>
          <w:rFonts w:hint="eastAsia" w:ascii="宋体" w:hAnsi="宋体" w:cs="宋体"/>
          <w:b/>
          <w:color w:val="auto"/>
          <w:kern w:val="1"/>
          <w:szCs w:val="21"/>
          <w:highlight w:val="none"/>
        </w:rPr>
      </w:pPr>
    </w:p>
    <w:p w14:paraId="54C5F5C8">
      <w:pPr>
        <w:pStyle w:val="16"/>
        <w:rPr>
          <w:rFonts w:hint="eastAsia" w:ascii="宋体" w:hAnsi="宋体" w:cs="宋体"/>
          <w:b/>
          <w:color w:val="auto"/>
          <w:kern w:val="1"/>
          <w:szCs w:val="21"/>
          <w:highlight w:val="none"/>
        </w:rPr>
      </w:pPr>
    </w:p>
    <w:p w14:paraId="3A93AB58">
      <w:pPr>
        <w:rPr>
          <w:rFonts w:hint="eastAsia" w:ascii="宋体" w:hAnsi="宋体" w:cs="宋体"/>
          <w:b/>
          <w:color w:val="auto"/>
          <w:kern w:val="1"/>
          <w:szCs w:val="21"/>
          <w:highlight w:val="none"/>
        </w:rPr>
      </w:pPr>
    </w:p>
    <w:p w14:paraId="306B7F4A">
      <w:pPr>
        <w:spacing w:line="480" w:lineRule="auto"/>
        <w:jc w:val="center"/>
        <w:rPr>
          <w:rFonts w:hint="eastAsia" w:ascii="宋体" w:hAnsi="宋体" w:cs="宋体"/>
          <w:b/>
          <w:color w:val="auto"/>
          <w:kern w:val="1"/>
          <w:szCs w:val="21"/>
          <w:highlight w:val="none"/>
        </w:rPr>
      </w:pPr>
      <w:r>
        <w:rPr>
          <w:rFonts w:hint="eastAsia" w:ascii="宋体" w:hAnsi="宋体" w:cs="宋体"/>
          <w:b/>
          <w:color w:val="auto"/>
          <w:kern w:val="1"/>
          <w:szCs w:val="21"/>
          <w:highlight w:val="none"/>
        </w:rPr>
        <w:t>合 同 附 件</w:t>
      </w:r>
    </w:p>
    <w:tbl>
      <w:tblPr>
        <w:tblStyle w:val="20"/>
        <w:tblW w:w="0" w:type="auto"/>
        <w:jc w:val="center"/>
        <w:tblLayout w:type="fixed"/>
        <w:tblCellMar>
          <w:top w:w="0" w:type="dxa"/>
          <w:left w:w="108" w:type="dxa"/>
          <w:bottom w:w="0" w:type="dxa"/>
          <w:right w:w="108" w:type="dxa"/>
        </w:tblCellMar>
      </w:tblPr>
      <w:tblGrid>
        <w:gridCol w:w="4742"/>
        <w:gridCol w:w="4634"/>
      </w:tblGrid>
      <w:tr w14:paraId="475E4E72">
        <w:tblPrEx>
          <w:tblCellMar>
            <w:top w:w="0" w:type="dxa"/>
            <w:left w:w="108" w:type="dxa"/>
            <w:bottom w:w="0" w:type="dxa"/>
            <w:right w:w="108" w:type="dxa"/>
          </w:tblCellMar>
        </w:tblPrEx>
        <w:trPr>
          <w:trHeight w:val="102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29126C0E">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1、供应商承诺具体事项：</w:t>
            </w:r>
          </w:p>
        </w:tc>
      </w:tr>
      <w:tr w14:paraId="5B2DA9A2">
        <w:tblPrEx>
          <w:tblCellMar>
            <w:top w:w="0" w:type="dxa"/>
            <w:left w:w="108" w:type="dxa"/>
            <w:bottom w:w="0" w:type="dxa"/>
            <w:right w:w="108" w:type="dxa"/>
          </w:tblCellMar>
        </w:tblPrEx>
        <w:trPr>
          <w:trHeight w:val="969"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03D50D09">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2、售后服务具体事项：</w:t>
            </w:r>
          </w:p>
        </w:tc>
      </w:tr>
      <w:tr w14:paraId="144F5739">
        <w:tblPrEx>
          <w:tblCellMar>
            <w:top w:w="0" w:type="dxa"/>
            <w:left w:w="108" w:type="dxa"/>
            <w:bottom w:w="0" w:type="dxa"/>
            <w:right w:w="108" w:type="dxa"/>
          </w:tblCellMar>
        </w:tblPrEx>
        <w:trPr>
          <w:trHeight w:val="1024"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68739DE7">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3、保修期责任：</w:t>
            </w:r>
          </w:p>
        </w:tc>
      </w:tr>
      <w:tr w14:paraId="601561C6">
        <w:tblPrEx>
          <w:tblCellMar>
            <w:top w:w="0" w:type="dxa"/>
            <w:left w:w="108" w:type="dxa"/>
            <w:bottom w:w="0" w:type="dxa"/>
            <w:right w:w="108" w:type="dxa"/>
          </w:tblCellMar>
        </w:tblPrEx>
        <w:trPr>
          <w:trHeight w:val="93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0BFC67AB">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4、其他具体事项：</w:t>
            </w:r>
          </w:p>
        </w:tc>
      </w:tr>
      <w:tr w14:paraId="76C8034A">
        <w:tblPrEx>
          <w:tblCellMar>
            <w:top w:w="0" w:type="dxa"/>
            <w:left w:w="108" w:type="dxa"/>
            <w:bottom w:w="0" w:type="dxa"/>
            <w:right w:w="108" w:type="dxa"/>
          </w:tblCellMar>
        </w:tblPrEx>
        <w:trPr>
          <w:trHeight w:val="1164" w:hRule="atLeast"/>
          <w:jc w:val="center"/>
        </w:trPr>
        <w:tc>
          <w:tcPr>
            <w:tcW w:w="4742" w:type="dxa"/>
            <w:tcBorders>
              <w:top w:val="single" w:color="000000" w:sz="4" w:space="0"/>
              <w:left w:val="single" w:color="000000" w:sz="4" w:space="0"/>
              <w:bottom w:val="single" w:color="000000" w:sz="4" w:space="0"/>
              <w:right w:val="single" w:color="000000" w:sz="4" w:space="0"/>
            </w:tcBorders>
            <w:noWrap w:val="0"/>
            <w:vAlign w:val="center"/>
          </w:tcPr>
          <w:p w14:paraId="661F130F">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甲方（章）</w:t>
            </w:r>
          </w:p>
          <w:p w14:paraId="47B0D4F6">
            <w:pPr>
              <w:spacing w:line="360" w:lineRule="exact"/>
              <w:ind w:firstLine="422"/>
              <w:rPr>
                <w:rFonts w:hint="eastAsia" w:ascii="宋体" w:hAnsi="宋体" w:cs="宋体"/>
                <w:color w:val="auto"/>
                <w:kern w:val="1"/>
                <w:szCs w:val="21"/>
                <w:highlight w:val="none"/>
              </w:rPr>
            </w:pPr>
          </w:p>
          <w:p w14:paraId="0C800472">
            <w:pPr>
              <w:spacing w:line="360" w:lineRule="exact"/>
              <w:ind w:firstLine="422"/>
              <w:rPr>
                <w:rFonts w:hint="eastAsia" w:ascii="宋体" w:hAnsi="宋体" w:cs="宋体"/>
                <w:color w:val="auto"/>
                <w:kern w:val="1"/>
                <w:szCs w:val="21"/>
                <w:highlight w:val="none"/>
              </w:rPr>
            </w:pPr>
          </w:p>
          <w:p w14:paraId="40602A8E">
            <w:pPr>
              <w:spacing w:line="360" w:lineRule="exact"/>
              <w:ind w:firstLine="422"/>
              <w:rPr>
                <w:rFonts w:hint="eastAsia" w:ascii="宋体" w:hAnsi="宋体" w:cs="宋体"/>
                <w:color w:val="auto"/>
                <w:kern w:val="1"/>
                <w:szCs w:val="21"/>
                <w:highlight w:val="none"/>
              </w:rPr>
            </w:pPr>
          </w:p>
          <w:p w14:paraId="152831C2">
            <w:pPr>
              <w:spacing w:line="360" w:lineRule="exact"/>
              <w:ind w:firstLine="422"/>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年   月   日 </w:t>
            </w:r>
          </w:p>
        </w:tc>
        <w:tc>
          <w:tcPr>
            <w:tcW w:w="4634" w:type="dxa"/>
            <w:tcBorders>
              <w:top w:val="single" w:color="000000" w:sz="4" w:space="0"/>
              <w:left w:val="single" w:color="000000" w:sz="4" w:space="0"/>
              <w:bottom w:val="single" w:color="000000" w:sz="4" w:space="0"/>
              <w:right w:val="single" w:color="000000" w:sz="4" w:space="0"/>
            </w:tcBorders>
            <w:noWrap w:val="0"/>
            <w:vAlign w:val="center"/>
          </w:tcPr>
          <w:p w14:paraId="32D37512">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乙方（章）</w:t>
            </w:r>
          </w:p>
          <w:p w14:paraId="37713E8F">
            <w:pPr>
              <w:spacing w:line="360" w:lineRule="exact"/>
              <w:ind w:firstLine="422"/>
              <w:rPr>
                <w:rFonts w:hint="eastAsia" w:ascii="宋体" w:hAnsi="宋体" w:cs="宋体"/>
                <w:color w:val="auto"/>
                <w:kern w:val="1"/>
                <w:szCs w:val="21"/>
                <w:highlight w:val="none"/>
              </w:rPr>
            </w:pPr>
          </w:p>
          <w:p w14:paraId="242D89BD">
            <w:pPr>
              <w:spacing w:line="360" w:lineRule="exact"/>
              <w:ind w:firstLine="422"/>
              <w:rPr>
                <w:rFonts w:hint="eastAsia" w:ascii="宋体" w:hAnsi="宋体" w:cs="宋体"/>
                <w:color w:val="auto"/>
                <w:kern w:val="1"/>
                <w:szCs w:val="21"/>
                <w:highlight w:val="none"/>
              </w:rPr>
            </w:pPr>
          </w:p>
          <w:p w14:paraId="7CF4A457">
            <w:pPr>
              <w:spacing w:line="360" w:lineRule="exact"/>
              <w:ind w:firstLine="422"/>
              <w:rPr>
                <w:rFonts w:hint="eastAsia" w:ascii="宋体" w:hAnsi="宋体" w:cs="宋体"/>
                <w:color w:val="auto"/>
                <w:kern w:val="1"/>
                <w:szCs w:val="21"/>
                <w:highlight w:val="none"/>
              </w:rPr>
            </w:pPr>
          </w:p>
          <w:p w14:paraId="6456892B">
            <w:pPr>
              <w:spacing w:line="360" w:lineRule="exact"/>
              <w:ind w:firstLine="422"/>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年   月   日</w:t>
            </w:r>
          </w:p>
        </w:tc>
      </w:tr>
    </w:tbl>
    <w:p w14:paraId="6BBD7357">
      <w:pPr>
        <w:spacing w:line="360" w:lineRule="exact"/>
        <w:rPr>
          <w:rFonts w:hint="eastAsia" w:ascii="宋体" w:hAnsi="宋体" w:cs="宋体"/>
          <w:color w:val="auto"/>
          <w:kern w:val="1"/>
          <w:szCs w:val="21"/>
          <w:highlight w:val="none"/>
        </w:rPr>
      </w:pPr>
      <w:r>
        <w:rPr>
          <w:rFonts w:hint="eastAsia" w:ascii="宋体" w:hAnsi="宋体" w:cs="宋体"/>
          <w:color w:val="auto"/>
          <w:kern w:val="1"/>
          <w:szCs w:val="21"/>
          <w:highlight w:val="none"/>
        </w:rPr>
        <w:t xml:space="preserve">  注：售后服务事项填不下时可另加附页。</w:t>
      </w:r>
    </w:p>
    <w:p w14:paraId="2ABF4CEC">
      <w:pPr>
        <w:pStyle w:val="15"/>
        <w:spacing w:line="360" w:lineRule="auto"/>
        <w:rPr>
          <w:rFonts w:hint="eastAsia" w:hAnsi="宋体" w:cs="宋体"/>
          <w:color w:val="auto"/>
          <w:sz w:val="21"/>
          <w:highlight w:val="none"/>
        </w:rPr>
      </w:pPr>
      <w:r>
        <w:rPr>
          <w:rFonts w:hint="eastAsia" w:hAnsi="宋体" w:cs="宋体"/>
          <w:b/>
          <w:color w:val="auto"/>
          <w:sz w:val="21"/>
          <w:highlight w:val="none"/>
        </w:rPr>
        <w:br w:type="page"/>
      </w:r>
      <w:r>
        <w:rPr>
          <w:rFonts w:hint="eastAsia" w:hAnsi="宋体" w:cs="宋体"/>
          <w:b/>
          <w:color w:val="auto"/>
          <w:sz w:val="21"/>
          <w:highlight w:val="none"/>
        </w:rPr>
        <w:t>附件I：</w:t>
      </w:r>
    </w:p>
    <w:p w14:paraId="1C7DC9C5">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政府采购项目合同验收报告（格式）</w:t>
      </w:r>
    </w:p>
    <w:p w14:paraId="68395EE8">
      <w:pPr>
        <w:widowControl/>
        <w:spacing w:line="360" w:lineRule="auto"/>
        <w:jc w:val="center"/>
        <w:rPr>
          <w:rFonts w:hint="eastAsia" w:ascii="宋体" w:hAnsi="宋体" w:cs="宋体"/>
          <w:b/>
          <w:bCs/>
          <w:color w:val="auto"/>
          <w:kern w:val="0"/>
          <w:szCs w:val="21"/>
          <w:highlight w:val="none"/>
        </w:rPr>
      </w:pPr>
    </w:p>
    <w:p w14:paraId="581B53AA">
      <w:pPr>
        <w:widowControl/>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（采购项目名称）       </w:t>
      </w:r>
      <w:r>
        <w:rPr>
          <w:rFonts w:hint="eastAsia" w:ascii="宋体" w:hAnsi="宋体" w:cs="宋体"/>
          <w:color w:val="auto"/>
          <w:kern w:val="0"/>
          <w:szCs w:val="21"/>
          <w:highlight w:val="none"/>
        </w:rPr>
        <w:t>政府采购项目</w:t>
      </w:r>
      <w:r>
        <w:rPr>
          <w:rFonts w:hint="eastAsia" w:ascii="宋体" w:hAnsi="宋体" w:cs="宋体"/>
          <w:color w:val="auto"/>
          <w:kern w:val="0"/>
          <w:szCs w:val="21"/>
          <w:highlight w:val="none"/>
          <w:lang w:eastAsia="zh-CN"/>
        </w:rPr>
        <w:t>成交</w:t>
      </w:r>
      <w:r>
        <w:rPr>
          <w:rFonts w:hint="eastAsia" w:ascii="宋体" w:hAnsi="宋体" w:cs="宋体"/>
          <w:color w:val="auto"/>
          <w:kern w:val="0"/>
          <w:szCs w:val="21"/>
          <w:highlight w:val="none"/>
        </w:rPr>
        <w:t>（或成交）供应商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4C7328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right w:val="single" w:color="auto" w:sz="4" w:space="0"/>
            </w:tcBorders>
            <w:noWrap w:val="0"/>
            <w:vAlign w:val="center"/>
          </w:tcPr>
          <w:p w14:paraId="376EBF36">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705" w:type="dxa"/>
            <w:gridSpan w:val="2"/>
            <w:tcBorders>
              <w:top w:val="single" w:color="auto" w:sz="4" w:space="0"/>
              <w:left w:val="single" w:color="auto" w:sz="4" w:space="0"/>
            </w:tcBorders>
            <w:noWrap w:val="0"/>
            <w:vAlign w:val="center"/>
          </w:tcPr>
          <w:p w14:paraId="45299901">
            <w:pPr>
              <w:jc w:val="center"/>
              <w:rPr>
                <w:rFonts w:hint="eastAsia" w:ascii="宋体" w:hAnsi="宋体" w:cs="宋体"/>
                <w:color w:val="auto"/>
                <w:szCs w:val="21"/>
                <w:highlight w:val="none"/>
              </w:rPr>
            </w:pPr>
            <w:r>
              <w:rPr>
                <w:rFonts w:hint="eastAsia" w:ascii="宋体" w:hAnsi="宋体" w:cs="宋体"/>
                <w:color w:val="auto"/>
                <w:szCs w:val="21"/>
                <w:highlight w:val="none"/>
              </w:rPr>
              <w:t>名    称</w:t>
            </w:r>
          </w:p>
        </w:tc>
        <w:tc>
          <w:tcPr>
            <w:tcW w:w="3100" w:type="dxa"/>
            <w:gridSpan w:val="2"/>
            <w:noWrap w:val="0"/>
            <w:vAlign w:val="center"/>
          </w:tcPr>
          <w:p w14:paraId="3E2B439B">
            <w:pPr>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w:t>
            </w:r>
          </w:p>
          <w:p w14:paraId="7015397D">
            <w:pPr>
              <w:jc w:val="center"/>
              <w:rPr>
                <w:rFonts w:hint="eastAsia" w:ascii="宋体" w:hAnsi="宋体" w:cs="宋体"/>
                <w:color w:val="auto"/>
                <w:szCs w:val="21"/>
                <w:highlight w:val="none"/>
              </w:rPr>
            </w:pPr>
            <w:r>
              <w:rPr>
                <w:rFonts w:hint="eastAsia" w:ascii="宋体" w:hAnsi="宋体" w:cs="宋体"/>
                <w:color w:val="auto"/>
                <w:szCs w:val="21"/>
                <w:highlight w:val="none"/>
              </w:rPr>
              <w:t>（或服务内容、标准）</w:t>
            </w:r>
          </w:p>
        </w:tc>
        <w:tc>
          <w:tcPr>
            <w:tcW w:w="860" w:type="dxa"/>
            <w:gridSpan w:val="2"/>
            <w:noWrap w:val="0"/>
            <w:vAlign w:val="center"/>
          </w:tcPr>
          <w:p w14:paraId="0C25D35C">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93" w:type="dxa"/>
            <w:tcBorders>
              <w:right w:val="single" w:color="auto" w:sz="4" w:space="0"/>
            </w:tcBorders>
            <w:noWrap w:val="0"/>
            <w:vAlign w:val="center"/>
          </w:tcPr>
          <w:p w14:paraId="3A1E0B1F">
            <w:pPr>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297" w:type="dxa"/>
            <w:tcBorders>
              <w:left w:val="single" w:color="auto" w:sz="4" w:space="0"/>
            </w:tcBorders>
            <w:noWrap w:val="0"/>
            <w:vAlign w:val="center"/>
          </w:tcPr>
          <w:p w14:paraId="1CEF25A9">
            <w:pPr>
              <w:jc w:val="center"/>
              <w:rPr>
                <w:rFonts w:hint="eastAsia" w:ascii="宋体" w:hAnsi="宋体" w:cs="宋体"/>
                <w:color w:val="auto"/>
                <w:szCs w:val="21"/>
                <w:highlight w:val="none"/>
              </w:rPr>
            </w:pPr>
            <w:r>
              <w:rPr>
                <w:rFonts w:hint="eastAsia" w:ascii="宋体" w:hAnsi="宋体" w:cs="宋体"/>
                <w:color w:val="auto"/>
                <w:szCs w:val="21"/>
                <w:highlight w:val="none"/>
              </w:rPr>
              <w:t>与合同约定</w:t>
            </w:r>
          </w:p>
          <w:p w14:paraId="20F68CB5">
            <w:pPr>
              <w:jc w:val="center"/>
              <w:rPr>
                <w:rFonts w:hint="eastAsia" w:ascii="宋体" w:hAnsi="宋体" w:cs="宋体"/>
                <w:color w:val="auto"/>
                <w:szCs w:val="21"/>
                <w:highlight w:val="none"/>
              </w:rPr>
            </w:pPr>
            <w:r>
              <w:rPr>
                <w:rFonts w:hint="eastAsia" w:ascii="宋体" w:hAnsi="宋体" w:cs="宋体"/>
                <w:color w:val="auto"/>
                <w:szCs w:val="21"/>
                <w:highlight w:val="none"/>
              </w:rPr>
              <w:t>是否一致</w:t>
            </w:r>
          </w:p>
        </w:tc>
      </w:tr>
      <w:tr w14:paraId="5C5543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0A1F7907">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426DBB4B">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097715E8">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2F2A95DA">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163443B1">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0C18DB13">
            <w:pPr>
              <w:rPr>
                <w:rFonts w:hint="eastAsia" w:ascii="宋体" w:hAnsi="宋体" w:cs="宋体"/>
                <w:color w:val="auto"/>
                <w:szCs w:val="21"/>
                <w:highlight w:val="none"/>
              </w:rPr>
            </w:pPr>
          </w:p>
        </w:tc>
      </w:tr>
      <w:tr w14:paraId="117330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1D678FD8">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2CF13C32">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0E9B4AAA">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3AD57914">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22F852F4">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10C6C018">
            <w:pPr>
              <w:rPr>
                <w:rFonts w:hint="eastAsia" w:ascii="宋体" w:hAnsi="宋体" w:cs="宋体"/>
                <w:color w:val="auto"/>
                <w:szCs w:val="21"/>
                <w:highlight w:val="none"/>
              </w:rPr>
            </w:pPr>
          </w:p>
        </w:tc>
      </w:tr>
      <w:tr w14:paraId="0A3A39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7F19C236">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3C93E297">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1A1A9B33">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7252D045">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3F253C66">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7DB985BC">
            <w:pPr>
              <w:rPr>
                <w:rFonts w:hint="eastAsia" w:ascii="宋体" w:hAnsi="宋体" w:cs="宋体"/>
                <w:color w:val="auto"/>
                <w:szCs w:val="21"/>
                <w:highlight w:val="none"/>
              </w:rPr>
            </w:pPr>
          </w:p>
        </w:tc>
      </w:tr>
      <w:tr w14:paraId="7C1D35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6F9BF17D">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5AA05F68">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noWrap w:val="0"/>
            <w:vAlign w:val="center"/>
          </w:tcPr>
          <w:p w14:paraId="08C46C49">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noWrap w:val="0"/>
            <w:vAlign w:val="center"/>
          </w:tcPr>
          <w:p w14:paraId="521ED455">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noWrap w:val="0"/>
            <w:vAlign w:val="center"/>
          </w:tcPr>
          <w:p w14:paraId="14231923">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noWrap w:val="0"/>
            <w:vAlign w:val="center"/>
          </w:tcPr>
          <w:p w14:paraId="69B0B7CC">
            <w:pPr>
              <w:rPr>
                <w:rFonts w:hint="eastAsia" w:ascii="宋体" w:hAnsi="宋体" w:cs="宋体"/>
                <w:color w:val="auto"/>
                <w:szCs w:val="21"/>
                <w:highlight w:val="none"/>
              </w:rPr>
            </w:pPr>
          </w:p>
        </w:tc>
      </w:tr>
      <w:tr w14:paraId="09C2F0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4D08F2AB">
            <w:pPr>
              <w:rPr>
                <w:rFonts w:hint="eastAsia" w:ascii="宋体" w:hAnsi="宋体" w:cs="宋体"/>
                <w:color w:val="auto"/>
                <w:szCs w:val="21"/>
                <w:highlight w:val="none"/>
              </w:rPr>
            </w:pPr>
          </w:p>
        </w:tc>
        <w:tc>
          <w:tcPr>
            <w:tcW w:w="2705" w:type="dxa"/>
            <w:gridSpan w:val="2"/>
            <w:tcBorders>
              <w:left w:val="single" w:color="auto" w:sz="4" w:space="0"/>
            </w:tcBorders>
            <w:noWrap w:val="0"/>
            <w:vAlign w:val="center"/>
          </w:tcPr>
          <w:p w14:paraId="53057F19">
            <w:pPr>
              <w:rPr>
                <w:rFonts w:hint="eastAsia" w:ascii="宋体" w:hAnsi="宋体" w:cs="宋体"/>
                <w:color w:val="auto"/>
                <w:szCs w:val="21"/>
                <w:highlight w:val="none"/>
              </w:rPr>
            </w:pPr>
          </w:p>
        </w:tc>
        <w:tc>
          <w:tcPr>
            <w:tcW w:w="3100" w:type="dxa"/>
            <w:gridSpan w:val="2"/>
            <w:noWrap w:val="0"/>
            <w:vAlign w:val="center"/>
          </w:tcPr>
          <w:p w14:paraId="12BB0D31">
            <w:pPr>
              <w:rPr>
                <w:rFonts w:hint="eastAsia" w:ascii="宋体" w:hAnsi="宋体" w:cs="宋体"/>
                <w:color w:val="auto"/>
                <w:szCs w:val="21"/>
                <w:highlight w:val="none"/>
              </w:rPr>
            </w:pPr>
          </w:p>
        </w:tc>
        <w:tc>
          <w:tcPr>
            <w:tcW w:w="860" w:type="dxa"/>
            <w:gridSpan w:val="2"/>
            <w:noWrap w:val="0"/>
            <w:vAlign w:val="center"/>
          </w:tcPr>
          <w:p w14:paraId="0A7B319B">
            <w:pPr>
              <w:rPr>
                <w:rFonts w:hint="eastAsia" w:ascii="宋体" w:hAnsi="宋体" w:cs="宋体"/>
                <w:color w:val="auto"/>
                <w:szCs w:val="21"/>
                <w:highlight w:val="none"/>
              </w:rPr>
            </w:pPr>
          </w:p>
        </w:tc>
        <w:tc>
          <w:tcPr>
            <w:tcW w:w="893" w:type="dxa"/>
            <w:tcBorders>
              <w:right w:val="single" w:color="auto" w:sz="4" w:space="0"/>
            </w:tcBorders>
            <w:noWrap w:val="0"/>
            <w:vAlign w:val="center"/>
          </w:tcPr>
          <w:p w14:paraId="4B1917B5">
            <w:pPr>
              <w:rPr>
                <w:rFonts w:hint="eastAsia" w:ascii="宋体" w:hAnsi="宋体" w:cs="宋体"/>
                <w:color w:val="auto"/>
                <w:szCs w:val="21"/>
                <w:highlight w:val="none"/>
              </w:rPr>
            </w:pPr>
          </w:p>
        </w:tc>
        <w:tc>
          <w:tcPr>
            <w:tcW w:w="1297" w:type="dxa"/>
            <w:tcBorders>
              <w:left w:val="single" w:color="auto" w:sz="4" w:space="0"/>
            </w:tcBorders>
            <w:noWrap w:val="0"/>
            <w:vAlign w:val="center"/>
          </w:tcPr>
          <w:p w14:paraId="22686005">
            <w:pPr>
              <w:rPr>
                <w:rFonts w:hint="eastAsia" w:ascii="宋体" w:hAnsi="宋体" w:cs="宋体"/>
                <w:color w:val="auto"/>
                <w:szCs w:val="21"/>
                <w:highlight w:val="none"/>
              </w:rPr>
            </w:pPr>
          </w:p>
        </w:tc>
      </w:tr>
      <w:tr w14:paraId="63E4AD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noWrap w:val="0"/>
            <w:vAlign w:val="center"/>
          </w:tcPr>
          <w:p w14:paraId="69DAA209">
            <w:pP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0" w:type="dxa"/>
            <w:gridSpan w:val="2"/>
            <w:noWrap w:val="0"/>
            <w:vAlign w:val="center"/>
          </w:tcPr>
          <w:p w14:paraId="52AF95BE">
            <w:pPr>
              <w:rPr>
                <w:rFonts w:hint="eastAsia" w:ascii="宋体" w:hAnsi="宋体" w:cs="宋体"/>
                <w:color w:val="auto"/>
                <w:szCs w:val="21"/>
                <w:highlight w:val="none"/>
              </w:rPr>
            </w:pPr>
          </w:p>
        </w:tc>
        <w:tc>
          <w:tcPr>
            <w:tcW w:w="893" w:type="dxa"/>
            <w:tcBorders>
              <w:right w:val="single" w:color="auto" w:sz="4" w:space="0"/>
            </w:tcBorders>
            <w:noWrap w:val="0"/>
            <w:vAlign w:val="center"/>
          </w:tcPr>
          <w:p w14:paraId="6FEA9CED">
            <w:pPr>
              <w:rPr>
                <w:rFonts w:hint="eastAsia" w:ascii="宋体" w:hAnsi="宋体" w:cs="宋体"/>
                <w:color w:val="auto"/>
                <w:szCs w:val="21"/>
                <w:highlight w:val="none"/>
              </w:rPr>
            </w:pPr>
          </w:p>
        </w:tc>
        <w:tc>
          <w:tcPr>
            <w:tcW w:w="1297" w:type="dxa"/>
            <w:tcBorders>
              <w:left w:val="single" w:color="auto" w:sz="4" w:space="0"/>
            </w:tcBorders>
            <w:noWrap w:val="0"/>
            <w:vAlign w:val="center"/>
          </w:tcPr>
          <w:p w14:paraId="33DDF567">
            <w:pPr>
              <w:rPr>
                <w:rFonts w:hint="eastAsia" w:ascii="宋体" w:hAnsi="宋体" w:cs="宋体"/>
                <w:color w:val="auto"/>
                <w:szCs w:val="21"/>
                <w:highlight w:val="none"/>
              </w:rPr>
            </w:pPr>
          </w:p>
        </w:tc>
      </w:tr>
      <w:tr w14:paraId="766415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noWrap w:val="0"/>
            <w:vAlign w:val="center"/>
          </w:tcPr>
          <w:p w14:paraId="506B31F4">
            <w:pPr>
              <w:rPr>
                <w:rFonts w:hint="eastAsia" w:ascii="宋体" w:hAnsi="宋体" w:cs="宋体"/>
                <w:color w:val="auto"/>
                <w:szCs w:val="21"/>
                <w:highlight w:val="none"/>
              </w:rPr>
            </w:pPr>
            <w:r>
              <w:rPr>
                <w:rFonts w:hint="eastAsia" w:ascii="宋体" w:hAnsi="宋体" w:cs="宋体"/>
                <w:color w:val="auto"/>
                <w:szCs w:val="21"/>
                <w:highlight w:val="none"/>
              </w:rPr>
              <w:t>合 计 大 写 金 额 ：人民币                             元</w:t>
            </w:r>
          </w:p>
        </w:tc>
      </w:tr>
      <w:tr w14:paraId="7D4CFF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noWrap w:val="0"/>
            <w:vAlign w:val="center"/>
          </w:tcPr>
          <w:p w14:paraId="1FCBA7BB">
            <w:pP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3239" w:type="dxa"/>
            <w:gridSpan w:val="2"/>
            <w:noWrap w:val="0"/>
            <w:vAlign w:val="center"/>
          </w:tcPr>
          <w:p w14:paraId="2EC0329E">
            <w:pPr>
              <w:rPr>
                <w:rFonts w:hint="eastAsia" w:ascii="宋体" w:hAnsi="宋体" w:cs="宋体"/>
                <w:color w:val="auto"/>
                <w:szCs w:val="21"/>
                <w:highlight w:val="none"/>
              </w:rPr>
            </w:pPr>
          </w:p>
        </w:tc>
        <w:tc>
          <w:tcPr>
            <w:tcW w:w="1835" w:type="dxa"/>
            <w:gridSpan w:val="2"/>
            <w:noWrap w:val="0"/>
            <w:vAlign w:val="center"/>
          </w:tcPr>
          <w:p w14:paraId="470441AD">
            <w:pP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3037" w:type="dxa"/>
            <w:gridSpan w:val="3"/>
            <w:noWrap w:val="0"/>
            <w:vAlign w:val="center"/>
          </w:tcPr>
          <w:p w14:paraId="432061C7">
            <w:pPr>
              <w:rPr>
                <w:rFonts w:hint="eastAsia" w:ascii="宋体" w:hAnsi="宋体" w:cs="宋体"/>
                <w:color w:val="auto"/>
                <w:szCs w:val="21"/>
                <w:highlight w:val="none"/>
              </w:rPr>
            </w:pPr>
          </w:p>
        </w:tc>
      </w:tr>
      <w:tr w14:paraId="6950A1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noWrap w:val="0"/>
            <w:tcMar>
              <w:top w:w="0" w:type="dxa"/>
              <w:left w:w="108" w:type="dxa"/>
              <w:bottom w:w="0" w:type="dxa"/>
              <w:right w:w="108" w:type="dxa"/>
            </w:tcMar>
            <w:vAlign w:val="center"/>
          </w:tcPr>
          <w:p w14:paraId="0BF24A2E">
            <w:pPr>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8111" w:type="dxa"/>
            <w:gridSpan w:val="7"/>
            <w:noWrap w:val="0"/>
            <w:tcMar>
              <w:top w:w="0" w:type="dxa"/>
              <w:left w:w="108" w:type="dxa"/>
              <w:bottom w:w="0" w:type="dxa"/>
              <w:right w:w="108" w:type="dxa"/>
            </w:tcMar>
            <w:vAlign w:val="center"/>
          </w:tcPr>
          <w:p w14:paraId="62D62396">
            <w:pPr>
              <w:rPr>
                <w:rFonts w:hint="eastAsia" w:ascii="宋体" w:hAnsi="宋体" w:cs="宋体"/>
                <w:color w:val="auto"/>
                <w:szCs w:val="21"/>
                <w:highlight w:val="none"/>
              </w:rPr>
            </w:pPr>
            <w:r>
              <w:rPr>
                <w:rFonts w:hint="eastAsia" w:ascii="宋体" w:hAnsi="宋体" w:cs="宋体"/>
                <w:color w:val="auto"/>
                <w:szCs w:val="21"/>
                <w:highlight w:val="none"/>
              </w:rPr>
              <w:t> (应按采购合同、采购文件、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响应文件及验收方案等进行验收；并核对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或成交供应商在安装调试等方面是否违反合同约定或服务规范要求、提供的质量保证证明材料是否齐全、应有的配件及附件是否达到合同约定等。可附件)</w:t>
            </w:r>
          </w:p>
        </w:tc>
      </w:tr>
      <w:tr w14:paraId="20A1D9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noWrap w:val="0"/>
            <w:tcMar>
              <w:top w:w="0" w:type="dxa"/>
              <w:left w:w="108" w:type="dxa"/>
              <w:bottom w:w="0" w:type="dxa"/>
              <w:right w:w="108" w:type="dxa"/>
            </w:tcMar>
            <w:vAlign w:val="center"/>
          </w:tcPr>
          <w:p w14:paraId="083D94F9">
            <w:pPr>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8111" w:type="dxa"/>
            <w:gridSpan w:val="7"/>
            <w:tcBorders>
              <w:bottom w:val="single" w:color="auto" w:sz="4" w:space="0"/>
            </w:tcBorders>
            <w:noWrap w:val="0"/>
            <w:vAlign w:val="center"/>
          </w:tcPr>
          <w:p w14:paraId="28E3D829">
            <w:pPr>
              <w:rPr>
                <w:rFonts w:hint="eastAsia" w:ascii="宋体" w:hAnsi="宋体" w:cs="宋体"/>
                <w:color w:val="auto"/>
                <w:szCs w:val="21"/>
                <w:highlight w:val="none"/>
              </w:rPr>
            </w:pPr>
            <w:r>
              <w:rPr>
                <w:rFonts w:hint="eastAsia" w:ascii="宋体" w:hAnsi="宋体" w:cs="宋体"/>
                <w:color w:val="auto"/>
                <w:szCs w:val="21"/>
                <w:highlight w:val="none"/>
              </w:rPr>
              <w:t>验收结论性意见：</w:t>
            </w:r>
          </w:p>
          <w:p w14:paraId="5FC8DECD">
            <w:pPr>
              <w:rPr>
                <w:rFonts w:hint="eastAsia" w:ascii="宋体" w:hAnsi="宋体" w:cs="宋体"/>
                <w:color w:val="auto"/>
                <w:szCs w:val="21"/>
                <w:highlight w:val="none"/>
              </w:rPr>
            </w:pPr>
          </w:p>
          <w:p w14:paraId="2E34B9E6">
            <w:pPr>
              <w:rPr>
                <w:rFonts w:hint="eastAsia" w:ascii="宋体" w:hAnsi="宋体" w:cs="宋体"/>
                <w:color w:val="auto"/>
                <w:szCs w:val="21"/>
                <w:highlight w:val="none"/>
              </w:rPr>
            </w:pPr>
          </w:p>
        </w:tc>
      </w:tr>
      <w:tr w14:paraId="7F27C0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1336" w:type="dxa"/>
            <w:gridSpan w:val="2"/>
            <w:vMerge w:val="continue"/>
            <w:noWrap w:val="0"/>
            <w:tcMar>
              <w:top w:w="0" w:type="dxa"/>
              <w:left w:w="108" w:type="dxa"/>
              <w:bottom w:w="0" w:type="dxa"/>
              <w:right w:w="108" w:type="dxa"/>
            </w:tcMar>
            <w:vAlign w:val="center"/>
          </w:tcPr>
          <w:p w14:paraId="37D087BD">
            <w:pPr>
              <w:rPr>
                <w:rFonts w:hint="eastAsia" w:ascii="宋体" w:hAnsi="宋体" w:cs="宋体"/>
                <w:color w:val="auto"/>
                <w:szCs w:val="21"/>
                <w:highlight w:val="none"/>
              </w:rPr>
            </w:pPr>
          </w:p>
        </w:tc>
        <w:tc>
          <w:tcPr>
            <w:tcW w:w="8111" w:type="dxa"/>
            <w:gridSpan w:val="7"/>
            <w:tcBorders>
              <w:top w:val="single" w:color="auto" w:sz="4" w:space="0"/>
            </w:tcBorders>
            <w:noWrap w:val="0"/>
            <w:vAlign w:val="center"/>
          </w:tcPr>
          <w:p w14:paraId="562FC9E0">
            <w:pPr>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426F05FF">
            <w:pPr>
              <w:rPr>
                <w:rFonts w:hint="eastAsia" w:ascii="宋体" w:hAnsi="宋体" w:cs="宋体"/>
                <w:color w:val="auto"/>
                <w:szCs w:val="21"/>
                <w:highlight w:val="none"/>
              </w:rPr>
            </w:pPr>
          </w:p>
          <w:p w14:paraId="2F4D2D41">
            <w:pPr>
              <w:rPr>
                <w:rFonts w:hint="eastAsia" w:ascii="宋体" w:hAnsi="宋体" w:cs="宋体"/>
                <w:color w:val="auto"/>
                <w:szCs w:val="21"/>
                <w:highlight w:val="none"/>
              </w:rPr>
            </w:pPr>
          </w:p>
        </w:tc>
      </w:tr>
      <w:tr w14:paraId="19E338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noWrap w:val="0"/>
            <w:tcMar>
              <w:top w:w="0" w:type="dxa"/>
              <w:left w:w="108" w:type="dxa"/>
              <w:bottom w:w="0" w:type="dxa"/>
              <w:right w:w="108" w:type="dxa"/>
            </w:tcMar>
            <w:vAlign w:val="center"/>
          </w:tcPr>
          <w:p w14:paraId="75780FDB">
            <w:pPr>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7D4054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noWrap w:val="0"/>
            <w:tcMar>
              <w:top w:w="0" w:type="dxa"/>
              <w:left w:w="108" w:type="dxa"/>
              <w:bottom w:w="0" w:type="dxa"/>
              <w:right w:w="108" w:type="dxa"/>
            </w:tcMar>
            <w:vAlign w:val="center"/>
          </w:tcPr>
          <w:p w14:paraId="7CCF7A2E">
            <w:pPr>
              <w:rPr>
                <w:rFonts w:hint="eastAsia" w:ascii="宋体" w:hAnsi="宋体" w:cs="宋体"/>
                <w:color w:val="auto"/>
                <w:szCs w:val="21"/>
                <w:highlight w:val="none"/>
              </w:rPr>
            </w:pPr>
            <w:r>
              <w:rPr>
                <w:rFonts w:hint="eastAsia" w:ascii="宋体" w:hAnsi="宋体" w:cs="宋体"/>
                <w:color w:val="auto"/>
                <w:szCs w:val="21"/>
                <w:highlight w:val="none"/>
              </w:rPr>
              <w:t>参与验收其他或监督人员签字：</w:t>
            </w:r>
          </w:p>
        </w:tc>
      </w:tr>
      <w:tr w14:paraId="31D902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noWrap w:val="0"/>
            <w:tcMar>
              <w:top w:w="0" w:type="dxa"/>
              <w:left w:w="108" w:type="dxa"/>
              <w:bottom w:w="0" w:type="dxa"/>
              <w:right w:w="108" w:type="dxa"/>
            </w:tcMar>
            <w:vAlign w:val="center"/>
          </w:tcPr>
          <w:p w14:paraId="2B15456A">
            <w:pPr>
              <w:rPr>
                <w:rFonts w:hint="eastAsia" w:ascii="宋体" w:hAnsi="宋体" w:cs="宋体"/>
                <w:color w:val="auto"/>
                <w:szCs w:val="21"/>
                <w:highlight w:val="none"/>
              </w:rPr>
            </w:pPr>
            <w:r>
              <w:rPr>
                <w:rFonts w:hint="eastAsia" w:ascii="宋体" w:hAnsi="宋体" w:cs="宋体"/>
                <w:color w:val="auto"/>
                <w:szCs w:val="21"/>
                <w:highlight w:val="none"/>
                <w:lang w:eastAsia="zh-CN"/>
              </w:rPr>
              <w:t>成交</w:t>
            </w:r>
            <w:r>
              <w:rPr>
                <w:rFonts w:hint="eastAsia" w:ascii="宋体" w:hAnsi="宋体" w:cs="宋体"/>
                <w:color w:val="auto"/>
                <w:szCs w:val="21"/>
                <w:highlight w:val="none"/>
              </w:rPr>
              <w:t>（或成交）供应商签字或盖章：</w:t>
            </w:r>
          </w:p>
          <w:p w14:paraId="4D87CA2E">
            <w:pPr>
              <w:rPr>
                <w:rFonts w:hint="eastAsia" w:ascii="宋体" w:hAnsi="宋体" w:cs="宋体"/>
                <w:color w:val="auto"/>
                <w:szCs w:val="21"/>
                <w:highlight w:val="none"/>
              </w:rPr>
            </w:pPr>
          </w:p>
          <w:p w14:paraId="257F17B2">
            <w:pPr>
              <w:rPr>
                <w:rFonts w:hint="eastAsia" w:ascii="宋体" w:hAnsi="宋体" w:cs="宋体"/>
                <w:color w:val="auto"/>
                <w:szCs w:val="21"/>
                <w:highlight w:val="none"/>
              </w:rPr>
            </w:pPr>
            <w:r>
              <w:rPr>
                <w:rFonts w:hint="eastAsia" w:ascii="宋体" w:hAnsi="宋体" w:cs="宋体"/>
                <w:color w:val="auto"/>
                <w:szCs w:val="21"/>
                <w:highlight w:val="none"/>
              </w:rPr>
              <w:t>联系电话：</w:t>
            </w:r>
          </w:p>
          <w:p w14:paraId="3E3833AB">
            <w:pPr>
              <w:rPr>
                <w:rFonts w:hint="eastAsia" w:ascii="宋体" w:hAnsi="宋体" w:cs="宋体"/>
                <w:color w:val="auto"/>
                <w:szCs w:val="21"/>
                <w:highlight w:val="none"/>
              </w:rPr>
            </w:pPr>
          </w:p>
          <w:p w14:paraId="68ADB124">
            <w:pPr>
              <w:rPr>
                <w:rFonts w:hint="eastAsia" w:ascii="宋体" w:hAnsi="宋体" w:cs="宋体"/>
                <w:color w:val="auto"/>
                <w:szCs w:val="21"/>
                <w:highlight w:val="none"/>
              </w:rPr>
            </w:pPr>
            <w:r>
              <w:rPr>
                <w:rFonts w:hint="eastAsia" w:ascii="宋体" w:hAnsi="宋体" w:cs="宋体"/>
                <w:color w:val="auto"/>
                <w:szCs w:val="21"/>
                <w:highlight w:val="none"/>
              </w:rPr>
              <w:t>                            年  月   日</w:t>
            </w:r>
          </w:p>
        </w:tc>
        <w:tc>
          <w:tcPr>
            <w:tcW w:w="4872" w:type="dxa"/>
            <w:gridSpan w:val="5"/>
            <w:noWrap w:val="0"/>
            <w:vAlign w:val="center"/>
          </w:tcPr>
          <w:p w14:paraId="79127990">
            <w:pPr>
              <w:rPr>
                <w:rFonts w:hint="eastAsia" w:ascii="宋体" w:hAnsi="宋体" w:cs="宋体"/>
                <w:color w:val="auto"/>
                <w:szCs w:val="21"/>
                <w:highlight w:val="none"/>
              </w:rPr>
            </w:pPr>
            <w:r>
              <w:rPr>
                <w:rFonts w:hint="eastAsia" w:ascii="宋体" w:hAnsi="宋体" w:cs="宋体"/>
                <w:color w:val="auto"/>
                <w:szCs w:val="21"/>
                <w:highlight w:val="none"/>
              </w:rPr>
              <w:t>采购人的意见（盖章）：</w:t>
            </w:r>
          </w:p>
          <w:p w14:paraId="1993448F">
            <w:pPr>
              <w:rPr>
                <w:rFonts w:hint="eastAsia" w:ascii="宋体" w:hAnsi="宋体" w:cs="宋体"/>
                <w:color w:val="auto"/>
                <w:szCs w:val="21"/>
                <w:highlight w:val="none"/>
              </w:rPr>
            </w:pPr>
          </w:p>
          <w:p w14:paraId="0BF5AD9F">
            <w:pPr>
              <w:rPr>
                <w:rFonts w:hint="eastAsia" w:ascii="宋体" w:hAnsi="宋体" w:cs="宋体"/>
                <w:color w:val="auto"/>
                <w:szCs w:val="21"/>
                <w:highlight w:val="none"/>
              </w:rPr>
            </w:pPr>
            <w:r>
              <w:rPr>
                <w:rFonts w:hint="eastAsia" w:ascii="宋体" w:hAnsi="宋体" w:cs="宋体"/>
                <w:color w:val="auto"/>
                <w:szCs w:val="21"/>
                <w:highlight w:val="none"/>
              </w:rPr>
              <w:t>联系电话：</w:t>
            </w:r>
          </w:p>
          <w:p w14:paraId="1F756BB3">
            <w:pPr>
              <w:rPr>
                <w:rFonts w:hint="eastAsia" w:ascii="宋体" w:hAnsi="宋体" w:cs="宋体"/>
                <w:color w:val="auto"/>
                <w:szCs w:val="21"/>
                <w:highlight w:val="none"/>
              </w:rPr>
            </w:pPr>
          </w:p>
          <w:p w14:paraId="5EC4E0B5">
            <w:pP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bl>
    <w:p w14:paraId="7411020F">
      <w:pPr>
        <w:widowControl/>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备注：本报告单一式三份（采购人1份、</w:t>
      </w:r>
      <w:r>
        <w:rPr>
          <w:rFonts w:hint="eastAsia" w:ascii="宋体" w:hAnsi="宋体" w:cs="宋体"/>
          <w:color w:val="auto"/>
          <w:kern w:val="0"/>
          <w:szCs w:val="21"/>
          <w:highlight w:val="none"/>
          <w:lang w:eastAsia="zh-CN"/>
        </w:rPr>
        <w:t>成交</w:t>
      </w:r>
      <w:r>
        <w:rPr>
          <w:rFonts w:hint="eastAsia" w:ascii="宋体" w:hAnsi="宋体" w:cs="宋体"/>
          <w:color w:val="auto"/>
          <w:kern w:val="0"/>
          <w:szCs w:val="21"/>
          <w:highlight w:val="none"/>
        </w:rPr>
        <w:t>人1份、采购代理机构1份）。</w:t>
      </w:r>
    </w:p>
    <w:p w14:paraId="105A1982">
      <w:pPr>
        <w:jc w:val="left"/>
        <w:rPr>
          <w:rFonts w:hint="eastAsia" w:ascii="宋体" w:hAnsi="宋体" w:cs="宋体"/>
          <w:color w:val="auto"/>
          <w:kern w:val="0"/>
          <w:szCs w:val="21"/>
          <w:highlight w:val="none"/>
        </w:rPr>
      </w:pPr>
    </w:p>
    <w:p w14:paraId="08BFEFF3">
      <w:pPr>
        <w:snapToGrid w:val="0"/>
        <w:rPr>
          <w:rFonts w:hint="eastAsia" w:ascii="宋体" w:hAnsi="宋体" w:cs="宋体"/>
          <w:color w:val="auto"/>
          <w:szCs w:val="21"/>
          <w:highlight w:val="none"/>
        </w:rPr>
      </w:pPr>
      <w:r>
        <w:rPr>
          <w:rFonts w:hint="eastAsia" w:ascii="宋体" w:hAnsi="宋体" w:cs="宋体"/>
          <w:color w:val="auto"/>
          <w:kern w:val="0"/>
          <w:szCs w:val="21"/>
          <w:highlight w:val="none"/>
        </w:rPr>
        <w:br w:type="page"/>
      </w:r>
      <w:r>
        <w:rPr>
          <w:rFonts w:hint="eastAsia" w:ascii="宋体" w:hAnsi="宋体" w:cs="宋体"/>
          <w:b/>
          <w:color w:val="auto"/>
          <w:szCs w:val="21"/>
          <w:highlight w:val="none"/>
        </w:rPr>
        <w:t>附件</w:t>
      </w:r>
      <w:r>
        <w:rPr>
          <w:rFonts w:hint="eastAsia" w:ascii="宋体" w:hAnsi="宋体" w:cs="宋体"/>
          <w:b/>
          <w:color w:val="auto"/>
          <w:szCs w:val="21"/>
          <w:highlight w:val="none"/>
          <w:lang w:eastAsia="zh-CN"/>
        </w:rPr>
        <w:t>Ⅱ</w:t>
      </w:r>
      <w:r>
        <w:rPr>
          <w:rFonts w:hint="eastAsia" w:ascii="宋体" w:hAnsi="宋体" w:cs="宋体"/>
          <w:b/>
          <w:color w:val="auto"/>
          <w:szCs w:val="21"/>
          <w:highlight w:val="none"/>
        </w:rPr>
        <w:t>：</w:t>
      </w:r>
    </w:p>
    <w:p w14:paraId="42C6430A">
      <w:pPr>
        <w:jc w:val="center"/>
        <w:rPr>
          <w:rFonts w:hint="eastAsia" w:ascii="宋体" w:hAnsi="宋体" w:cs="宋体"/>
          <w:color w:val="auto"/>
          <w:szCs w:val="21"/>
          <w:highlight w:val="none"/>
        </w:rPr>
      </w:pPr>
      <w:r>
        <w:rPr>
          <w:rFonts w:hint="eastAsia" w:ascii="宋体" w:hAnsi="宋体" w:cs="宋体"/>
          <w:b/>
          <w:bCs/>
          <w:color w:val="auto"/>
          <w:kern w:val="0"/>
          <w:szCs w:val="21"/>
          <w:highlight w:val="none"/>
        </w:rPr>
        <w:t>政府采购项目履约保证金退付意见书（格式）</w:t>
      </w:r>
    </w:p>
    <w:p w14:paraId="1564C459">
      <w:pPr>
        <w:jc w:val="center"/>
        <w:rPr>
          <w:rFonts w:hint="eastAsia" w:ascii="宋体" w:hAnsi="宋体" w:cs="宋体"/>
          <w:color w:val="auto"/>
          <w:szCs w:val="21"/>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8454"/>
      </w:tblGrid>
      <w:tr w14:paraId="3A3F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Merge w:val="restart"/>
            <w:noWrap w:val="0"/>
            <w:vAlign w:val="center"/>
          </w:tcPr>
          <w:p w14:paraId="358BD428">
            <w:pPr>
              <w:jc w:val="center"/>
              <w:rPr>
                <w:rFonts w:hint="eastAsia" w:ascii="宋体" w:hAnsi="宋体" w:cs="宋体"/>
                <w:color w:val="auto"/>
                <w:szCs w:val="21"/>
                <w:highlight w:val="none"/>
              </w:rPr>
            </w:pPr>
            <w:r>
              <w:rPr>
                <w:rFonts w:hint="eastAsia" w:ascii="宋体" w:hAnsi="宋体" w:cs="宋体"/>
                <w:color w:val="auto"/>
                <w:szCs w:val="21"/>
                <w:highlight w:val="none"/>
              </w:rPr>
              <w:t>供</w:t>
            </w:r>
          </w:p>
          <w:p w14:paraId="798663F6">
            <w:pPr>
              <w:jc w:val="center"/>
              <w:rPr>
                <w:rFonts w:hint="eastAsia" w:ascii="宋体" w:hAnsi="宋体" w:cs="宋体"/>
                <w:color w:val="auto"/>
                <w:szCs w:val="21"/>
                <w:highlight w:val="none"/>
              </w:rPr>
            </w:pPr>
            <w:r>
              <w:rPr>
                <w:rFonts w:hint="eastAsia" w:ascii="宋体" w:hAnsi="宋体" w:cs="宋体"/>
                <w:color w:val="auto"/>
                <w:szCs w:val="21"/>
                <w:highlight w:val="none"/>
              </w:rPr>
              <w:t>应</w:t>
            </w:r>
          </w:p>
          <w:p w14:paraId="47F8AA45">
            <w:pPr>
              <w:jc w:val="center"/>
              <w:rPr>
                <w:rFonts w:hint="eastAsia" w:ascii="宋体" w:hAnsi="宋体" w:cs="宋体"/>
                <w:color w:val="auto"/>
                <w:szCs w:val="21"/>
                <w:highlight w:val="none"/>
              </w:rPr>
            </w:pPr>
            <w:r>
              <w:rPr>
                <w:rFonts w:hint="eastAsia" w:ascii="宋体" w:hAnsi="宋体" w:cs="宋体"/>
                <w:color w:val="auto"/>
                <w:szCs w:val="21"/>
                <w:highlight w:val="none"/>
              </w:rPr>
              <w:t>商</w:t>
            </w:r>
          </w:p>
          <w:p w14:paraId="6D3515A9">
            <w:pPr>
              <w:jc w:val="center"/>
              <w:rPr>
                <w:rFonts w:hint="eastAsia" w:ascii="宋体" w:hAnsi="宋体" w:cs="宋体"/>
                <w:color w:val="auto"/>
                <w:szCs w:val="21"/>
                <w:highlight w:val="none"/>
              </w:rPr>
            </w:pPr>
            <w:r>
              <w:rPr>
                <w:rFonts w:hint="eastAsia" w:ascii="宋体" w:hAnsi="宋体" w:cs="宋体"/>
                <w:color w:val="auto"/>
                <w:szCs w:val="21"/>
                <w:highlight w:val="none"/>
              </w:rPr>
              <w:t>申</w:t>
            </w:r>
          </w:p>
          <w:p w14:paraId="3EFE5EDD">
            <w:pPr>
              <w:jc w:val="center"/>
              <w:rPr>
                <w:rFonts w:hint="eastAsia" w:ascii="宋体" w:hAnsi="宋体" w:cs="宋体"/>
                <w:color w:val="auto"/>
                <w:szCs w:val="21"/>
                <w:highlight w:val="none"/>
              </w:rPr>
            </w:pPr>
            <w:r>
              <w:rPr>
                <w:rFonts w:hint="eastAsia" w:ascii="宋体" w:hAnsi="宋体" w:cs="宋体"/>
                <w:color w:val="auto"/>
                <w:szCs w:val="21"/>
                <w:highlight w:val="none"/>
              </w:rPr>
              <w:t>请</w:t>
            </w:r>
          </w:p>
        </w:tc>
        <w:tc>
          <w:tcPr>
            <w:tcW w:w="8454" w:type="dxa"/>
            <w:noWrap w:val="0"/>
            <w:vAlign w:val="center"/>
          </w:tcPr>
          <w:p w14:paraId="2585435C">
            <w:pPr>
              <w:rPr>
                <w:rFonts w:hint="eastAsia" w:ascii="宋体" w:hAnsi="宋体" w:cs="宋体"/>
                <w:color w:val="auto"/>
                <w:szCs w:val="21"/>
                <w:highlight w:val="none"/>
              </w:rPr>
            </w:pPr>
            <w:r>
              <w:rPr>
                <w:rFonts w:hint="eastAsia" w:ascii="宋体" w:hAnsi="宋体" w:cs="宋体"/>
                <w:color w:val="auto"/>
                <w:szCs w:val="21"/>
                <w:highlight w:val="none"/>
              </w:rPr>
              <w:t>采购项目编号：</w:t>
            </w:r>
          </w:p>
        </w:tc>
      </w:tr>
      <w:tr w14:paraId="50D4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06" w:type="dxa"/>
            <w:vMerge w:val="continue"/>
            <w:noWrap w:val="0"/>
            <w:vAlign w:val="top"/>
          </w:tcPr>
          <w:p w14:paraId="315779D9">
            <w:pPr>
              <w:rPr>
                <w:rFonts w:hint="eastAsia" w:ascii="宋体" w:hAnsi="宋体" w:cs="宋体"/>
                <w:color w:val="auto"/>
                <w:szCs w:val="21"/>
                <w:highlight w:val="none"/>
              </w:rPr>
            </w:pPr>
          </w:p>
        </w:tc>
        <w:tc>
          <w:tcPr>
            <w:tcW w:w="8454" w:type="dxa"/>
            <w:noWrap w:val="0"/>
            <w:vAlign w:val="center"/>
          </w:tcPr>
          <w:p w14:paraId="500D0C84">
            <w:pPr>
              <w:rPr>
                <w:rFonts w:hint="eastAsia" w:ascii="宋体" w:hAnsi="宋体" w:cs="宋体"/>
                <w:color w:val="auto"/>
                <w:szCs w:val="21"/>
                <w:highlight w:val="none"/>
              </w:rPr>
            </w:pPr>
            <w:r>
              <w:rPr>
                <w:rFonts w:hint="eastAsia" w:ascii="宋体" w:hAnsi="宋体" w:cs="宋体"/>
                <w:color w:val="auto"/>
                <w:szCs w:val="21"/>
                <w:highlight w:val="none"/>
              </w:rPr>
              <w:t xml:space="preserve">采购项目名称： </w:t>
            </w:r>
          </w:p>
        </w:tc>
      </w:tr>
      <w:tr w14:paraId="3BA7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4" w:hRule="atLeast"/>
          <w:jc w:val="center"/>
        </w:trPr>
        <w:tc>
          <w:tcPr>
            <w:tcW w:w="1006" w:type="dxa"/>
            <w:vMerge w:val="continue"/>
            <w:noWrap w:val="0"/>
            <w:vAlign w:val="top"/>
          </w:tcPr>
          <w:p w14:paraId="57834D01">
            <w:pPr>
              <w:rPr>
                <w:rFonts w:hint="eastAsia" w:ascii="宋体" w:hAnsi="宋体" w:cs="宋体"/>
                <w:color w:val="auto"/>
                <w:szCs w:val="21"/>
                <w:highlight w:val="none"/>
              </w:rPr>
            </w:pPr>
          </w:p>
        </w:tc>
        <w:tc>
          <w:tcPr>
            <w:tcW w:w="8454" w:type="dxa"/>
            <w:noWrap w:val="0"/>
            <w:vAlign w:val="top"/>
          </w:tcPr>
          <w:p w14:paraId="2BBE14E2">
            <w:pPr>
              <w:rPr>
                <w:rFonts w:hint="eastAsia" w:ascii="宋体" w:hAnsi="宋体" w:cs="宋体"/>
                <w:color w:val="auto"/>
                <w:szCs w:val="21"/>
                <w:highlight w:val="none"/>
              </w:rPr>
            </w:pPr>
          </w:p>
          <w:p w14:paraId="05FFAEC7">
            <w:pPr>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该项目已于 年 月 日验收并交付使用。根据合同规定，可将履约保证金（大写）人民币 元（小写）￥ 元退付</w:t>
            </w:r>
            <w:r>
              <w:rPr>
                <w:rFonts w:hint="eastAsia" w:ascii="宋体" w:hAnsi="宋体" w:cs="宋体"/>
                <w:color w:val="auto"/>
                <w:szCs w:val="21"/>
                <w:highlight w:val="none"/>
                <w:lang w:eastAsia="zh-CN"/>
              </w:rPr>
              <w:t>到</w:t>
            </w:r>
            <w:r>
              <w:rPr>
                <w:rFonts w:hint="eastAsia" w:ascii="宋体" w:hAnsi="宋体" w:cs="宋体"/>
                <w:color w:val="auto"/>
                <w:szCs w:val="21"/>
                <w:highlight w:val="none"/>
              </w:rPr>
              <w:t>以下</w:t>
            </w:r>
            <w:r>
              <w:rPr>
                <w:rFonts w:hint="eastAsia" w:ascii="宋体" w:hAnsi="宋体" w:cs="宋体"/>
                <w:color w:val="auto"/>
                <w:szCs w:val="21"/>
                <w:highlight w:val="none"/>
                <w:lang w:eastAsia="zh-CN"/>
              </w:rPr>
              <w:t>账户</w:t>
            </w:r>
            <w:r>
              <w:rPr>
                <w:rFonts w:hint="eastAsia" w:ascii="宋体" w:hAnsi="宋体" w:cs="宋体"/>
                <w:color w:val="auto"/>
                <w:szCs w:val="21"/>
                <w:highlight w:val="none"/>
              </w:rPr>
              <w:t>：</w:t>
            </w:r>
          </w:p>
          <w:p w14:paraId="73788A1F">
            <w:pPr>
              <w:rPr>
                <w:rFonts w:hint="eastAsia" w:ascii="宋体" w:hAnsi="宋体" w:cs="宋体"/>
                <w:color w:val="auto"/>
                <w:szCs w:val="21"/>
                <w:highlight w:val="none"/>
              </w:rPr>
            </w:pPr>
          </w:p>
          <w:p w14:paraId="1755D3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单位名称：</w:t>
            </w:r>
          </w:p>
          <w:p w14:paraId="2731EC23">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p w14:paraId="7C7E53B9">
            <w:pPr>
              <w:spacing w:line="42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银行账号</w:t>
            </w:r>
            <w:r>
              <w:rPr>
                <w:rFonts w:hint="eastAsia" w:ascii="宋体" w:hAnsi="宋体" w:cs="宋体"/>
                <w:color w:val="auto"/>
                <w:szCs w:val="21"/>
                <w:highlight w:val="none"/>
              </w:rPr>
              <w:t>：</w:t>
            </w:r>
          </w:p>
          <w:p w14:paraId="45E4C335">
            <w:pPr>
              <w:rPr>
                <w:rFonts w:hint="eastAsia" w:ascii="宋体" w:hAnsi="宋体" w:cs="宋体"/>
                <w:color w:val="auto"/>
                <w:szCs w:val="21"/>
                <w:highlight w:val="none"/>
              </w:rPr>
            </w:pPr>
          </w:p>
          <w:p w14:paraId="7F6E276E">
            <w:pPr>
              <w:rPr>
                <w:rFonts w:hint="eastAsia" w:ascii="宋体" w:hAnsi="宋体" w:cs="宋体"/>
                <w:color w:val="auto"/>
                <w:szCs w:val="21"/>
                <w:highlight w:val="none"/>
              </w:rPr>
            </w:pPr>
          </w:p>
          <w:p w14:paraId="6ED74410">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联系人：</w:t>
            </w:r>
          </w:p>
          <w:p w14:paraId="0257EC17">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p>
          <w:p w14:paraId="42AAA0FF">
            <w:pPr>
              <w:rPr>
                <w:rFonts w:hint="eastAsia" w:ascii="宋体" w:hAnsi="宋体" w:cs="宋体"/>
                <w:color w:val="auto"/>
                <w:szCs w:val="21"/>
                <w:highlight w:val="none"/>
              </w:rPr>
            </w:pPr>
          </w:p>
          <w:p w14:paraId="1B6E5B43">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供应商签章</w:t>
            </w:r>
          </w:p>
          <w:p w14:paraId="5DC58BCD">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3E943AB9">
            <w:pPr>
              <w:rPr>
                <w:rFonts w:hint="eastAsia" w:ascii="宋体" w:hAnsi="宋体" w:cs="宋体"/>
                <w:color w:val="auto"/>
                <w:szCs w:val="21"/>
                <w:highlight w:val="none"/>
              </w:rPr>
            </w:pPr>
          </w:p>
        </w:tc>
      </w:tr>
      <w:tr w14:paraId="0FE0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6" w:hRule="atLeast"/>
          <w:jc w:val="center"/>
        </w:trPr>
        <w:tc>
          <w:tcPr>
            <w:tcW w:w="1006" w:type="dxa"/>
            <w:noWrap w:val="0"/>
            <w:vAlign w:val="center"/>
          </w:tcPr>
          <w:p w14:paraId="34C2B42E">
            <w:pPr>
              <w:jc w:val="center"/>
              <w:rPr>
                <w:rFonts w:hint="eastAsia" w:ascii="宋体" w:hAnsi="宋体" w:cs="宋体"/>
                <w:color w:val="auto"/>
                <w:szCs w:val="21"/>
                <w:highlight w:val="none"/>
              </w:rPr>
            </w:pPr>
            <w:r>
              <w:rPr>
                <w:rFonts w:hint="eastAsia" w:ascii="宋体" w:hAnsi="宋体" w:cs="宋体"/>
                <w:color w:val="auto"/>
                <w:szCs w:val="21"/>
                <w:highlight w:val="none"/>
              </w:rPr>
              <w:t>采</w:t>
            </w:r>
          </w:p>
          <w:p w14:paraId="3AF1A48B">
            <w:pPr>
              <w:jc w:val="center"/>
              <w:rPr>
                <w:rFonts w:hint="eastAsia" w:ascii="宋体" w:hAnsi="宋体" w:cs="宋体"/>
                <w:color w:val="auto"/>
                <w:szCs w:val="21"/>
                <w:highlight w:val="none"/>
              </w:rPr>
            </w:pPr>
            <w:r>
              <w:rPr>
                <w:rFonts w:hint="eastAsia" w:ascii="宋体" w:hAnsi="宋体" w:cs="宋体"/>
                <w:color w:val="auto"/>
                <w:szCs w:val="21"/>
                <w:highlight w:val="none"/>
              </w:rPr>
              <w:t>购</w:t>
            </w:r>
          </w:p>
          <w:p w14:paraId="702E854C">
            <w:pPr>
              <w:jc w:val="center"/>
              <w:rPr>
                <w:rFonts w:hint="eastAsia" w:ascii="宋体" w:hAnsi="宋体" w:cs="宋体"/>
                <w:color w:val="auto"/>
                <w:szCs w:val="21"/>
                <w:highlight w:val="none"/>
              </w:rPr>
            </w:pPr>
            <w:r>
              <w:rPr>
                <w:rFonts w:hint="eastAsia" w:ascii="宋体" w:hAnsi="宋体" w:cs="宋体"/>
                <w:color w:val="auto"/>
                <w:szCs w:val="21"/>
                <w:highlight w:val="none"/>
              </w:rPr>
              <w:t>单</w:t>
            </w:r>
          </w:p>
          <w:p w14:paraId="642F3B34">
            <w:pPr>
              <w:jc w:val="center"/>
              <w:rPr>
                <w:rFonts w:hint="eastAsia" w:ascii="宋体" w:hAnsi="宋体" w:cs="宋体"/>
                <w:color w:val="auto"/>
                <w:szCs w:val="21"/>
                <w:highlight w:val="none"/>
              </w:rPr>
            </w:pPr>
            <w:r>
              <w:rPr>
                <w:rFonts w:hint="eastAsia" w:ascii="宋体" w:hAnsi="宋体" w:cs="宋体"/>
                <w:color w:val="auto"/>
                <w:szCs w:val="21"/>
                <w:highlight w:val="none"/>
              </w:rPr>
              <w:t>位</w:t>
            </w:r>
          </w:p>
          <w:p w14:paraId="1C2F2D0E">
            <w:pPr>
              <w:jc w:val="center"/>
              <w:rPr>
                <w:rFonts w:hint="eastAsia" w:ascii="宋体" w:hAnsi="宋体" w:cs="宋体"/>
                <w:color w:val="auto"/>
                <w:szCs w:val="21"/>
                <w:highlight w:val="none"/>
              </w:rPr>
            </w:pPr>
            <w:r>
              <w:rPr>
                <w:rFonts w:hint="eastAsia" w:ascii="宋体" w:hAnsi="宋体" w:cs="宋体"/>
                <w:color w:val="auto"/>
                <w:szCs w:val="21"/>
                <w:highlight w:val="none"/>
              </w:rPr>
              <w:t>意</w:t>
            </w:r>
          </w:p>
          <w:p w14:paraId="275D9AEB">
            <w:pPr>
              <w:jc w:val="center"/>
              <w:rPr>
                <w:rFonts w:hint="eastAsia" w:ascii="宋体" w:hAnsi="宋体" w:cs="宋体"/>
                <w:color w:val="auto"/>
                <w:szCs w:val="21"/>
                <w:highlight w:val="none"/>
              </w:rPr>
            </w:pPr>
            <w:r>
              <w:rPr>
                <w:rFonts w:hint="eastAsia" w:ascii="宋体" w:hAnsi="宋体" w:cs="宋体"/>
                <w:color w:val="auto"/>
                <w:szCs w:val="21"/>
                <w:highlight w:val="none"/>
              </w:rPr>
              <w:t>见</w:t>
            </w:r>
          </w:p>
        </w:tc>
        <w:tc>
          <w:tcPr>
            <w:tcW w:w="8454" w:type="dxa"/>
            <w:noWrap w:val="0"/>
            <w:vAlign w:val="top"/>
          </w:tcPr>
          <w:p w14:paraId="3DAD2460">
            <w:pPr>
              <w:rPr>
                <w:rFonts w:hint="eastAsia" w:ascii="宋体" w:hAnsi="宋体" w:cs="宋体"/>
                <w:color w:val="auto"/>
                <w:szCs w:val="21"/>
                <w:highlight w:val="none"/>
              </w:rPr>
            </w:pPr>
          </w:p>
          <w:p w14:paraId="34E97619">
            <w:pPr>
              <w:rPr>
                <w:rFonts w:hint="eastAsia" w:ascii="宋体" w:hAnsi="宋体" w:cs="宋体"/>
                <w:color w:val="auto"/>
                <w:szCs w:val="21"/>
                <w:highlight w:val="none"/>
              </w:rPr>
            </w:pPr>
            <w:r>
              <w:rPr>
                <w:rFonts w:hint="eastAsia" w:ascii="宋体" w:hAnsi="宋体" w:cs="宋体"/>
                <w:color w:val="auto"/>
                <w:szCs w:val="21"/>
                <w:highlight w:val="none"/>
              </w:rPr>
              <w:t>退付意见：是否同意退付履约保证金及退付金额：</w:t>
            </w:r>
          </w:p>
          <w:p w14:paraId="6F422881">
            <w:pPr>
              <w:rPr>
                <w:rFonts w:hint="eastAsia" w:ascii="宋体" w:hAnsi="宋体" w:cs="宋体"/>
                <w:color w:val="auto"/>
                <w:szCs w:val="21"/>
                <w:highlight w:val="none"/>
              </w:rPr>
            </w:pPr>
          </w:p>
          <w:p w14:paraId="7352B03D">
            <w:pPr>
              <w:rPr>
                <w:rFonts w:hint="eastAsia" w:ascii="宋体" w:hAnsi="宋体" w:cs="宋体"/>
                <w:color w:val="auto"/>
                <w:szCs w:val="21"/>
                <w:highlight w:val="none"/>
              </w:rPr>
            </w:pPr>
          </w:p>
          <w:p w14:paraId="11E0D3C2">
            <w:pPr>
              <w:rPr>
                <w:rFonts w:hint="eastAsia" w:ascii="宋体" w:hAnsi="宋体" w:cs="宋体"/>
                <w:color w:val="auto"/>
                <w:szCs w:val="21"/>
                <w:highlight w:val="none"/>
              </w:rPr>
            </w:pPr>
          </w:p>
          <w:p w14:paraId="34A86373">
            <w:pPr>
              <w:rPr>
                <w:rFonts w:hint="eastAsia" w:ascii="宋体" w:hAnsi="宋体" w:cs="宋体"/>
                <w:color w:val="auto"/>
                <w:szCs w:val="21"/>
                <w:highlight w:val="none"/>
              </w:rPr>
            </w:pPr>
          </w:p>
          <w:p w14:paraId="0CE163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联系人：</w:t>
            </w:r>
          </w:p>
          <w:p w14:paraId="6626C5FE">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p>
          <w:p w14:paraId="7C0BD66B">
            <w:pPr>
              <w:rPr>
                <w:rFonts w:hint="eastAsia" w:ascii="宋体" w:hAnsi="宋体" w:cs="宋体"/>
                <w:color w:val="auto"/>
                <w:szCs w:val="21"/>
                <w:highlight w:val="none"/>
              </w:rPr>
            </w:pPr>
          </w:p>
          <w:p w14:paraId="6D55DD00">
            <w:pPr>
              <w:rPr>
                <w:rFonts w:hint="eastAsia" w:ascii="宋体" w:hAnsi="宋体" w:cs="宋体"/>
                <w:color w:val="auto"/>
                <w:szCs w:val="21"/>
                <w:highlight w:val="none"/>
              </w:rPr>
            </w:pPr>
          </w:p>
          <w:p w14:paraId="01C4314B">
            <w:pPr>
              <w:rPr>
                <w:rFonts w:hint="eastAsia" w:ascii="宋体" w:hAnsi="宋体" w:cs="宋体"/>
                <w:color w:val="auto"/>
                <w:szCs w:val="21"/>
                <w:highlight w:val="none"/>
              </w:rPr>
            </w:pPr>
          </w:p>
          <w:p w14:paraId="755AF4FF">
            <w:pPr>
              <w:rPr>
                <w:rFonts w:hint="eastAsia" w:ascii="宋体" w:hAnsi="宋体" w:cs="宋体"/>
                <w:color w:val="auto"/>
                <w:szCs w:val="21"/>
                <w:highlight w:val="none"/>
              </w:rPr>
            </w:pPr>
          </w:p>
          <w:p w14:paraId="38B7EFFC">
            <w:pPr>
              <w:rPr>
                <w:rFonts w:hint="eastAsia" w:ascii="宋体" w:hAnsi="宋体" w:cs="宋体"/>
                <w:color w:val="auto"/>
                <w:szCs w:val="21"/>
                <w:highlight w:val="none"/>
              </w:rPr>
            </w:pPr>
            <w:r>
              <w:rPr>
                <w:rFonts w:hint="eastAsia" w:ascii="宋体" w:hAnsi="宋体" w:cs="宋体"/>
                <w:color w:val="auto"/>
                <w:szCs w:val="21"/>
                <w:highlight w:val="none"/>
              </w:rPr>
              <w:t xml:space="preserve">                                         单位签章</w:t>
            </w:r>
          </w:p>
          <w:p w14:paraId="001A88B1">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bl>
    <w:p w14:paraId="1E7606E4">
      <w:pPr>
        <w:rPr>
          <w:rFonts w:hint="eastAsia" w:ascii="宋体" w:hAnsi="宋体" w:cs="宋体"/>
          <w:color w:val="auto"/>
          <w:highlight w:val="none"/>
        </w:rPr>
      </w:pPr>
    </w:p>
    <w:p w14:paraId="69FE8BBA"/>
    <w:sectPr>
      <w:footerReference r:id="rId11" w:type="first"/>
      <w:headerReference r:id="rId9" w:type="defaul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Gulim">
    <w:panose1 w:val="020B0600000101010101"/>
    <w:charset w:val="81"/>
    <w:family w:val="auto"/>
    <w:pitch w:val="default"/>
    <w:sig w:usb0="B00002AF" w:usb1="69D77CFB" w:usb2="00000030" w:usb3="00000000" w:csb0="4008009F" w:csb1="DFD7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31270">
    <w:pPr>
      <w:pStyle w:val="16"/>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F2D0488">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S3tjc0BAACnAwAADgAAAGRycy9lMm9Eb2MueG1srVNLbtswEN0X6B0I&#10;7mspR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S3tjc0BAACnAwAADgAAAAAAAAABACAAAAAeAQAAZHJzL2Uy&#10;b0RvYy54bWxQSwUGAAAAAAYABgBZAQAAXQUAAAAA&#10;">
              <v:fill on="f" focussize="0,0"/>
              <v:stroke on="f"/>
              <v:imagedata o:title=""/>
              <o:lock v:ext="edit" aspectratio="f"/>
              <v:textbox inset="0mm,0mm,0mm,0mm" style="mso-fit-shape-to-text:t;">
                <w:txbxContent>
                  <w:p w14:paraId="3F2D0488">
                    <w:pPr>
                      <w:pStyle w:val="16"/>
                    </w:pPr>
                    <w:r>
                      <w:fldChar w:fldCharType="begin"/>
                    </w:r>
                    <w:r>
                      <w:instrText xml:space="preserve"> PAGE  \* MERGEFORMAT </w:instrText>
                    </w:r>
                    <w:r>
                      <w:fldChar w:fldCharType="separate"/>
                    </w:r>
                    <w:r>
                      <w:t>1</w:t>
                    </w:r>
                    <w:r>
                      <w:fldChar w:fldCharType="end"/>
                    </w:r>
                  </w:p>
                </w:txbxContent>
              </v:textbox>
            </v:shape>
          </w:pict>
        </mc:Fallback>
      </mc:AlternateContent>
    </w:r>
  </w:p>
  <w:p w14:paraId="04EF5D41">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9CC30">
    <w:pPr>
      <w:pStyle w:val="16"/>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38E0433"/>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14:paraId="738E0433"/>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EFA5D">
    <w:pPr>
      <w:pStyle w:val="16"/>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2D2C3FD">
                          <w:pPr>
                            <w:pStyle w:val="16"/>
                          </w:pPr>
                          <w:r>
                            <w:fldChar w:fldCharType="begin"/>
                          </w:r>
                          <w:r>
                            <w:instrText xml:space="preserve"> PAGE  \* MERGEFORMAT </w:instrText>
                          </w:r>
                          <w:r>
                            <w:fldChar w:fldCharType="separate"/>
                          </w:r>
                          <w:r>
                            <w:t>25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qHM0BAACnAwAADgAAAGRycy9lMm9Eb2MueG1srVNLbtswEN0X6B0I&#10;7mspXjSGYDlIYaQoULQF0h6ApiiLAH+YoS35Au0Nuuqm+57L5+iQkpw03WSRDTU/vpn3OFrfDNaw&#10;owLU3tX8alFyppz0jXb7mn/7evdmxRlG4RphvFM1PynkN5vXr9Z9qNTSd940ChiBOKz6UPMuxlAV&#10;BcpOWYELH5SjZOvBikgu7IsGRE/o1hTLsnxb9B6aAF4qRIpuxySfEOE5gL5ttVRbLw9WuTiigjIi&#10;EiXsdEC+ydO2rZLxc9uiiszUnJjGfFITsnfpLDZrUe1BhE7LaQTxnBGecLJCO2p6gdqKKNgB9H9Q&#10;Vkvw6Nu4kN4WI5GsCLG4Kp9oc9+JoDIXkhrDRXR8OVj56fgFmG5qfs2ZE5Ye/Pzzx/nXn/Pv7+w6&#10;ydMHrKjqPlBdHN75gZZmjiMFE+uhBZu+xIdRnsQ9XcRVQ2QyXVotV6uSUpJys0P4xcP1ABjfK29Z&#10;MmoO9HpZVHH8iHEsnUtSN+fvtDH5BY37J0CYY0TlFZhuJybjxMmKw26Y6O18cyJ2Pa1BzR1tPWfm&#10;gyOV08bMBszGbjYOAfS+yyuVumO4PUQaKU+aOoywxDA59H6Z67RraUEe+7nq4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NPPqHM0BAACnAwAADgAAAAAAAAABACAAAAAeAQAAZHJzL2Uy&#10;b0RvYy54bWxQSwUGAAAAAAYABgBZAQAAXQUAAAAA&#10;">
              <v:fill on="f" focussize="0,0"/>
              <v:stroke on="f"/>
              <v:imagedata o:title=""/>
              <o:lock v:ext="edit" aspectratio="f"/>
              <v:textbox inset="0mm,0mm,0mm,0mm" style="mso-fit-shape-to-text:t;">
                <w:txbxContent>
                  <w:p w14:paraId="32D2C3FD">
                    <w:pPr>
                      <w:pStyle w:val="16"/>
                    </w:pPr>
                    <w:r>
                      <w:fldChar w:fldCharType="begin"/>
                    </w:r>
                    <w:r>
                      <w:instrText xml:space="preserve"> PAGE  \* MERGEFORMAT </w:instrText>
                    </w:r>
                    <w:r>
                      <w:fldChar w:fldCharType="separate"/>
                    </w:r>
                    <w:r>
                      <w:t>25</w:t>
                    </w:r>
                    <w:r>
                      <w:fldChar w:fldCharType="end"/>
                    </w:r>
                  </w:p>
                </w:txbxContent>
              </v:textbox>
            </v:shape>
          </w:pict>
        </mc:Fallback>
      </mc:AlternateContent>
    </w:r>
  </w:p>
  <w:p w14:paraId="3264B910">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09568">
    <w:pPr>
      <w:pStyle w:val="16"/>
      <w:tabs>
        <w:tab w:val="center" w:pos="4439"/>
        <w:tab w:val="clear" w:pos="4153"/>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801BEA9">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1801BEA9">
                    <w:pPr>
                      <w:pStyle w:val="1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094DD8E"/>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4094DD8E"/>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ADC48">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0B34253">
                          <w:pPr>
                            <w:pStyle w:val="16"/>
                            <w:jc w:val="center"/>
                          </w:pPr>
                          <w:r>
                            <w:fldChar w:fldCharType="begin"/>
                          </w:r>
                          <w:r>
                            <w:instrText xml:space="preserve"> PAGE  \* MERGEFORMAT </w:instrText>
                          </w:r>
                          <w:r>
                            <w:fldChar w:fldCharType="separate"/>
                          </w:r>
                          <w:r>
                            <w:t>76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10B34253">
                    <w:pPr>
                      <w:pStyle w:val="16"/>
                      <w:jc w:val="center"/>
                    </w:pPr>
                    <w:r>
                      <w:fldChar w:fldCharType="begin"/>
                    </w:r>
                    <w:r>
                      <w:instrText xml:space="preserve"> PAGE  \* MERGEFORMAT </w:instrText>
                    </w:r>
                    <w:r>
                      <w:fldChar w:fldCharType="separate"/>
                    </w:r>
                    <w:r>
                      <w:t>76</w:t>
                    </w:r>
                    <w:r>
                      <w:fldChar w:fldCharType="end"/>
                    </w:r>
                  </w:p>
                </w:txbxContent>
              </v:textbox>
            </v:shape>
          </w:pict>
        </mc:Fallback>
      </mc:AlternateContent>
    </w:r>
  </w:p>
  <w:p w14:paraId="3D8B7B90">
    <w:pPr>
      <w:pStyle w:val="1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10B71">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84E5235">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14:paraId="684E5235">
                    <w:pPr>
                      <w:pStyle w:val="16"/>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6FA40">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E6698">
    <w:pPr>
      <w:pStyle w:val="17"/>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4BC82">
    <w:pPr>
      <w:pStyle w:val="17"/>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4B327"/>
    <w:multiLevelType w:val="singleLevel"/>
    <w:tmpl w:val="A834B327"/>
    <w:lvl w:ilvl="0" w:tentative="0">
      <w:start w:val="1"/>
      <w:numFmt w:val="decimal"/>
      <w:lvlText w:val="%1."/>
      <w:lvlJc w:val="left"/>
      <w:pPr>
        <w:tabs>
          <w:tab w:val="left" w:pos="312"/>
        </w:tabs>
      </w:pPr>
    </w:lvl>
  </w:abstractNum>
  <w:abstractNum w:abstractNumId="1">
    <w:nsid w:val="B095485C"/>
    <w:multiLevelType w:val="singleLevel"/>
    <w:tmpl w:val="B095485C"/>
    <w:lvl w:ilvl="0" w:tentative="0">
      <w:start w:val="1"/>
      <w:numFmt w:val="chineseCounting"/>
      <w:suff w:val="space"/>
      <w:lvlText w:val="第%1章"/>
      <w:lvlJc w:val="left"/>
      <w:rPr>
        <w:rFonts w:hint="eastAsia"/>
      </w:rPr>
    </w:lvl>
  </w:abstractNum>
  <w:abstractNum w:abstractNumId="2">
    <w:nsid w:val="0047F36E"/>
    <w:multiLevelType w:val="singleLevel"/>
    <w:tmpl w:val="0047F36E"/>
    <w:lvl w:ilvl="0" w:tentative="0">
      <w:start w:val="3"/>
      <w:numFmt w:val="decimal"/>
      <w:lvlText w:val="%1."/>
      <w:lvlJc w:val="left"/>
      <w:pPr>
        <w:tabs>
          <w:tab w:val="left" w:pos="312"/>
        </w:tabs>
      </w:pPr>
    </w:lvl>
  </w:abstractNum>
  <w:abstractNum w:abstractNumId="3">
    <w:nsid w:val="1C3CAE23"/>
    <w:multiLevelType w:val="singleLevel"/>
    <w:tmpl w:val="1C3CAE23"/>
    <w:lvl w:ilvl="0" w:tentative="0">
      <w:start w:val="1"/>
      <w:numFmt w:val="decimal"/>
      <w:pStyle w:val="7"/>
      <w:lvlText w:val="%1."/>
      <w:lvlJc w:val="left"/>
      <w:pPr>
        <w:tabs>
          <w:tab w:val="left" w:pos="360"/>
        </w:tabs>
        <w:ind w:left="360" w:hanging="360"/>
      </w:pPr>
    </w:lvl>
  </w:abstractNum>
  <w:abstractNum w:abstractNumId="4">
    <w:nsid w:val="6553BBA0"/>
    <w:multiLevelType w:val="singleLevel"/>
    <w:tmpl w:val="6553BBA0"/>
    <w:lvl w:ilvl="0" w:tentative="0">
      <w:start w:val="1"/>
      <w:numFmt w:val="decimal"/>
      <w:lvlText w:val="%1."/>
      <w:lvlJc w:val="left"/>
      <w:pPr>
        <w:tabs>
          <w:tab w:val="left" w:pos="312"/>
        </w:tabs>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844F7"/>
    <w:rsid w:val="100E76C7"/>
    <w:rsid w:val="1463783F"/>
    <w:rsid w:val="28E46A16"/>
    <w:rsid w:val="58274A6F"/>
    <w:rsid w:val="65FD1A6C"/>
    <w:rsid w:val="6F992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b/>
      <w:bCs/>
      <w:sz w:val="24"/>
      <w:szCs w:val="32"/>
    </w:rPr>
  </w:style>
  <w:style w:type="paragraph" w:styleId="4">
    <w:name w:val="heading 3"/>
    <w:basedOn w:val="1"/>
    <w:next w:val="5"/>
    <w:qFormat/>
    <w:uiPriority w:val="9"/>
    <w:pPr>
      <w:keepNext/>
      <w:keepLines/>
      <w:spacing w:before="260" w:after="260" w:line="416" w:lineRule="auto"/>
      <w:outlineLvl w:val="2"/>
    </w:pPr>
    <w:rPr>
      <w:rFonts w:ascii="Times New Roman" w:hAnsi="Times New Roman" w:eastAsia="宋体"/>
      <w:b/>
      <w:bCs/>
      <w:sz w:val="24"/>
      <w:szCs w:val="32"/>
    </w:rPr>
  </w:style>
  <w:style w:type="paragraph" w:styleId="6">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1">
    <w:name w:val="Default Paragraph Font"/>
    <w:semiHidden/>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5">
    <w:name w:val="*正文"/>
    <w:basedOn w:val="1"/>
    <w:qFormat/>
    <w:uiPriority w:val="0"/>
    <w:pPr>
      <w:spacing w:line="360" w:lineRule="auto"/>
      <w:ind w:firstLine="200" w:firstLineChars="200"/>
      <w:jc w:val="both"/>
    </w:pPr>
    <w:rPr>
      <w:rFonts w:ascii="仿宋_GB2312" w:hAnsi="Times New Roman" w:eastAsia="仿宋_GB2312" w:cs="Times New Roman"/>
      <w:kern w:val="2"/>
      <w:sz w:val="28"/>
      <w:szCs w:val="28"/>
    </w:rPr>
  </w:style>
  <w:style w:type="paragraph" w:styleId="7">
    <w:name w:val="List Number"/>
    <w:basedOn w:val="1"/>
    <w:qFormat/>
    <w:uiPriority w:val="0"/>
    <w:pPr>
      <w:numPr>
        <w:ilvl w:val="0"/>
        <w:numId w:val="1"/>
      </w:numPr>
    </w:pPr>
  </w:style>
  <w:style w:type="paragraph" w:styleId="8">
    <w:name w:val="Normal Indent"/>
    <w:basedOn w:val="1"/>
    <w:unhideWhenUsed/>
    <w:qFormat/>
    <w:uiPriority w:val="99"/>
    <w:pPr>
      <w:ind w:firstLine="420"/>
    </w:pPr>
    <w:rPr>
      <w:szCs w:val="20"/>
    </w:rPr>
  </w:style>
  <w:style w:type="paragraph" w:styleId="9">
    <w:name w:val="annotation text"/>
    <w:basedOn w:val="1"/>
    <w:unhideWhenUsed/>
    <w:qFormat/>
    <w:uiPriority w:val="99"/>
    <w:pPr>
      <w:jc w:val="left"/>
    </w:pPr>
  </w:style>
  <w:style w:type="paragraph" w:styleId="10">
    <w:name w:val="Body Text 3"/>
    <w:basedOn w:val="1"/>
    <w:unhideWhenUsed/>
    <w:qFormat/>
    <w:uiPriority w:val="99"/>
    <w:pPr>
      <w:spacing w:after="120"/>
    </w:pPr>
    <w:rPr>
      <w:sz w:val="16"/>
      <w:szCs w:val="16"/>
    </w:rPr>
  </w:style>
  <w:style w:type="paragraph" w:styleId="11">
    <w:name w:val="Body Text"/>
    <w:basedOn w:val="1"/>
    <w:next w:val="12"/>
    <w:unhideWhenUsed/>
    <w:qFormat/>
    <w:uiPriority w:val="99"/>
    <w:pPr>
      <w:spacing w:after="120"/>
    </w:pPr>
  </w:style>
  <w:style w:type="paragraph" w:styleId="12">
    <w:name w:val="toc 2"/>
    <w:basedOn w:val="1"/>
    <w:next w:val="1"/>
    <w:unhideWhenUsed/>
    <w:qFormat/>
    <w:uiPriority w:val="39"/>
    <w:pPr>
      <w:tabs>
        <w:tab w:val="right" w:leader="dot" w:pos="8296"/>
      </w:tabs>
      <w:ind w:left="420" w:leftChars="200"/>
    </w:pPr>
  </w:style>
  <w:style w:type="paragraph" w:styleId="13">
    <w:name w:val="Body Text Indent"/>
    <w:basedOn w:val="1"/>
    <w:unhideWhenUsed/>
    <w:qFormat/>
    <w:uiPriority w:val="99"/>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next w:val="6"/>
    <w:unhideWhenUsed/>
    <w:qFormat/>
    <w:uiPriority w:val="99"/>
    <w:rPr>
      <w:rFonts w:ascii="宋体" w:hAnsi="Courier New"/>
      <w:kern w:val="0"/>
      <w:sz w:val="20"/>
      <w:szCs w:val="21"/>
    </w:rPr>
  </w:style>
  <w:style w:type="paragraph" w:styleId="16">
    <w:name w:val="footer"/>
    <w:basedOn w:val="1"/>
    <w:unhideWhenUsed/>
    <w:qFormat/>
    <w:uiPriority w:val="99"/>
    <w:pPr>
      <w:tabs>
        <w:tab w:val="center" w:pos="4153"/>
        <w:tab w:val="right" w:pos="8306"/>
      </w:tabs>
      <w:snapToGrid w:val="0"/>
      <w:jc w:val="left"/>
    </w:pPr>
    <w:rPr>
      <w:kern w:val="0"/>
      <w:sz w:val="18"/>
      <w:szCs w:val="18"/>
    </w:rPr>
  </w:style>
  <w:style w:type="paragraph" w:styleId="17">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Normal (Web)"/>
    <w:basedOn w:val="1"/>
    <w:unhideWhenUsed/>
    <w:qFormat/>
    <w:uiPriority w:val="99"/>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customStyle="1" w:styleId="22">
    <w:name w:val="正文2"/>
    <w:basedOn w:val="1"/>
    <w:qFormat/>
    <w:uiPriority w:val="0"/>
    <w:pPr>
      <w:adjustRightInd w:val="0"/>
      <w:spacing w:before="156" w:line="360" w:lineRule="auto"/>
      <w:ind w:firstLine="510" w:firstLineChars="200"/>
    </w:pPr>
    <w:rPr>
      <w:kern w:val="0"/>
      <w:sz w:val="24"/>
      <w:szCs w:val="20"/>
    </w:rPr>
  </w:style>
  <w:style w:type="paragraph" w:customStyle="1" w:styleId="2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4">
    <w:name w:val="Heading 4"/>
    <w:basedOn w:val="1"/>
    <w:qFormat/>
    <w:uiPriority w:val="1"/>
    <w:pPr>
      <w:autoSpaceDE w:val="0"/>
      <w:autoSpaceDN w:val="0"/>
      <w:spacing w:before="2"/>
      <w:ind w:left="1243" w:hanging="244"/>
      <w:jc w:val="left"/>
      <w:outlineLvl w:val="4"/>
    </w:pPr>
    <w:rPr>
      <w:rFonts w:ascii="宋体" w:hAnsi="宋体" w:cs="宋体"/>
      <w:b/>
      <w:bCs/>
      <w:kern w:val="0"/>
      <w:sz w:val="24"/>
      <w:lang w:val="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2908</Words>
  <Characters>3567</Characters>
  <Lines>0</Lines>
  <Paragraphs>0</Paragraphs>
  <TotalTime>3</TotalTime>
  <ScaleCrop>false</ScaleCrop>
  <LinksUpToDate>false</LinksUpToDate>
  <CharactersWithSpaces>3621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2026-08-19T04:22:00Z</dcterms:created>
  <dc:creator>Administrator</dc:creator>
  <cp:lastModifiedBy>郭晋卿</cp:lastModifiedBy>
  <dcterms:modified xsi:type="dcterms:W3CDTF">2026-08-24T02:21:36Z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eyJoZGlkIjoiZWRhYzFlOTNjYjI3MmNjOWMyNjA5NGRhMTBhNDc1YjYiLCJ1c2VySWQiOiIzOTY1ODEyNTAifQ==</vt:lpwstr>
  </property>
  <property fmtid="{D5CDD505-2E9C-101B-9397-08002B2CF9AE}" pid="4" name="ICV">
    <vt:lpwstr>E4809D7C91484470A56C08535C61BC22_12</vt:lpwstr>
  </property>
</Properties>
</file>