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CECD5">
      <w:pPr>
        <w:spacing w:before="312" w:after="156" w:line="600" w:lineRule="exact"/>
        <w:jc w:val="center"/>
        <w:rPr>
          <w:rFonts w:ascii="宋体" w:hAnsi="宋体" w:cs="宋体"/>
          <w:color w:val="auto"/>
          <w:sz w:val="52"/>
          <w:szCs w:val="52"/>
          <w:highlight w:val="none"/>
        </w:rPr>
      </w:pPr>
      <w:bookmarkStart w:id="206" w:name="_GoBack"/>
      <w:bookmarkEnd w:id="206"/>
    </w:p>
    <w:p w14:paraId="01A6701B">
      <w:pPr>
        <w:spacing w:line="360" w:lineRule="auto"/>
        <w:jc w:val="center"/>
        <w:rPr>
          <w:rFonts w:ascii="方正小标宋简体" w:hAnsi="方正小标宋简体" w:eastAsia="方正小标宋简体" w:cs="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0295EEB1">
      <w:pPr>
        <w:spacing w:line="360" w:lineRule="auto"/>
        <w:jc w:val="center"/>
        <w:rPr>
          <w:rFonts w:ascii="方正小标宋简体" w:hAnsi="方正小标宋简体" w:eastAsia="方正小标宋简体" w:cs="方正小标宋简体"/>
          <w:b/>
          <w:color w:val="auto"/>
          <w:sz w:val="44"/>
          <w:szCs w:val="44"/>
          <w:highlight w:val="none"/>
        </w:rPr>
      </w:pPr>
    </w:p>
    <w:p w14:paraId="0A9C6F93">
      <w:pPr>
        <w:spacing w:line="360" w:lineRule="auto"/>
        <w:jc w:val="center"/>
        <w:rPr>
          <w:rFonts w:ascii="方正小标宋简体" w:hAnsi="方正小标宋简体" w:eastAsia="方正小标宋简体" w:cs="方正小标宋简体"/>
          <w:b/>
          <w:color w:val="auto"/>
          <w:sz w:val="44"/>
          <w:szCs w:val="44"/>
          <w:highlight w:val="none"/>
        </w:rPr>
      </w:pPr>
    </w:p>
    <w:p w14:paraId="1F495BCD">
      <w:pPr>
        <w:spacing w:before="156" w:line="360" w:lineRule="auto"/>
        <w:jc w:val="center"/>
        <w:rPr>
          <w:rFonts w:ascii="华文新魏" w:hAnsi="宋体" w:eastAsia="华文新魏"/>
          <w:color w:val="auto"/>
          <w:sz w:val="120"/>
          <w:szCs w:val="120"/>
          <w:highlight w:val="none"/>
        </w:rPr>
      </w:pPr>
      <w:bookmarkStart w:id="0" w:name="OLE_LINK1"/>
      <w:r>
        <w:rPr>
          <w:rFonts w:hint="eastAsia" w:ascii="华文新魏" w:hAnsi="宋体" w:eastAsia="华文新魏"/>
          <w:color w:val="auto"/>
          <w:sz w:val="120"/>
          <w:szCs w:val="120"/>
          <w:highlight w:val="none"/>
        </w:rPr>
        <w:t>竞争性磋商文件</w:t>
      </w:r>
      <w:bookmarkEnd w:id="0"/>
    </w:p>
    <w:p w14:paraId="2901E4FF">
      <w:pPr>
        <w:spacing w:before="156"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2EF814FD">
      <w:pPr>
        <w:spacing w:line="360" w:lineRule="auto"/>
        <w:rPr>
          <w:rFonts w:ascii="仿宋_GB2312" w:hAnsi="宋体" w:eastAsia="仿宋_GB2312"/>
          <w:color w:val="auto"/>
          <w:sz w:val="30"/>
          <w:szCs w:val="72"/>
          <w:highlight w:val="none"/>
        </w:rPr>
      </w:pPr>
    </w:p>
    <w:p w14:paraId="06D17402">
      <w:pPr>
        <w:pStyle w:val="255"/>
        <w:spacing w:line="360" w:lineRule="auto"/>
        <w:ind w:firstLine="114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：苍梧县就业服务站和零工市场第二期运营服务</w:t>
      </w:r>
    </w:p>
    <w:p w14:paraId="5A0DB266">
      <w:pPr>
        <w:spacing w:line="360" w:lineRule="auto"/>
        <w:ind w:firstLine="1145"/>
        <w:rPr>
          <w:rFonts w:hint="eastAsia" w:ascii="仿宋_GB2312" w:hAnsi="宋体" w:eastAsia="仿宋_GB2312"/>
          <w:color w:val="auto"/>
          <w:sz w:val="30"/>
          <w:szCs w:val="72"/>
          <w:highlight w:val="none"/>
          <w:lang w:eastAsia="zh-CN"/>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b/>
          <w:color w:val="auto"/>
          <w:sz w:val="30"/>
          <w:szCs w:val="48"/>
          <w:highlight w:val="none"/>
          <w:lang w:eastAsia="zh-CN"/>
        </w:rPr>
        <w:t>WZZC2026-C3-210087-YZLZ</w:t>
      </w:r>
    </w:p>
    <w:p w14:paraId="369A49D5">
      <w:pPr>
        <w:pStyle w:val="255"/>
        <w:spacing w:line="360" w:lineRule="auto"/>
        <w:ind w:firstLine="114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 购 人：苍梧县人力资源和社会保障局</w:t>
      </w:r>
    </w:p>
    <w:p w14:paraId="2C4156E7">
      <w:pPr>
        <w:pStyle w:val="255"/>
        <w:spacing w:line="360" w:lineRule="auto"/>
        <w:ind w:firstLine="114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6ABBE3B3">
      <w:pPr>
        <w:pStyle w:val="255"/>
        <w:spacing w:line="360" w:lineRule="auto"/>
        <w:ind w:firstLine="1125"/>
        <w:rPr>
          <w:rFonts w:ascii="仿宋_GB2312" w:hAnsi="宋体" w:eastAsia="仿宋_GB2312"/>
          <w:b/>
          <w:bCs/>
          <w:color w:val="auto"/>
          <w:sz w:val="30"/>
          <w:szCs w:val="30"/>
          <w:highlight w:val="none"/>
        </w:rPr>
      </w:pPr>
    </w:p>
    <w:p w14:paraId="58F31794">
      <w:pPr>
        <w:pStyle w:val="255"/>
        <w:spacing w:line="360" w:lineRule="auto"/>
        <w:ind w:firstLine="1125"/>
        <w:rPr>
          <w:rFonts w:ascii="仿宋_GB2312" w:hAnsi="宋体" w:eastAsia="仿宋_GB2312"/>
          <w:b/>
          <w:bCs/>
          <w:color w:val="auto"/>
          <w:sz w:val="30"/>
          <w:szCs w:val="30"/>
          <w:highlight w:val="none"/>
        </w:rPr>
      </w:pPr>
    </w:p>
    <w:p w14:paraId="03EE1FDC">
      <w:pPr>
        <w:pStyle w:val="255"/>
        <w:spacing w:line="360" w:lineRule="auto"/>
        <w:ind w:left="420" w:firstLine="841"/>
        <w:rPr>
          <w:rFonts w:hAnsi="宋体" w:eastAsia="仿宋_GB2312" w:cs="宋体"/>
          <w:b/>
          <w:bCs/>
          <w:color w:val="auto"/>
          <w:sz w:val="32"/>
          <w:szCs w:val="32"/>
          <w:highlight w:val="none"/>
        </w:rPr>
      </w:pPr>
      <w:r>
        <w:rPr>
          <w:rFonts w:hint="eastAsia" w:ascii="仿宋_GB2312" w:hAnsi="宋体" w:eastAsia="仿宋_GB2312"/>
          <w:b/>
          <w:bCs/>
          <w:color w:val="auto"/>
          <w:sz w:val="30"/>
          <w:szCs w:val="30"/>
          <w:highlight w:val="none"/>
        </w:rPr>
        <w:t xml:space="preserve">               2026年</w:t>
      </w:r>
      <w:r>
        <w:rPr>
          <w:rFonts w:hint="eastAsia" w:ascii="仿宋_GB2312" w:hAnsi="宋体" w:eastAsia="仿宋_GB2312"/>
          <w:b/>
          <w:bCs/>
          <w:color w:val="auto"/>
          <w:sz w:val="30"/>
          <w:szCs w:val="30"/>
          <w:highlight w:val="none"/>
          <w:lang w:val="en-US" w:eastAsia="zh-CN"/>
        </w:rPr>
        <w:t>8</w:t>
      </w:r>
      <w:r>
        <w:rPr>
          <w:rFonts w:hint="eastAsia" w:ascii="仿宋_GB2312" w:hAnsi="宋体" w:eastAsia="仿宋_GB2312"/>
          <w:b/>
          <w:bCs/>
          <w:color w:val="auto"/>
          <w:sz w:val="30"/>
          <w:szCs w:val="30"/>
          <w:highlight w:val="none"/>
        </w:rPr>
        <w:t>月</w:t>
      </w:r>
      <w:r>
        <w:rPr>
          <w:rFonts w:hint="eastAsia" w:ascii="仿宋_GB2312" w:hAnsi="宋体" w:eastAsia="仿宋_GB2312"/>
          <w:b/>
          <w:bCs/>
          <w:color w:val="auto"/>
          <w:sz w:val="30"/>
          <w:szCs w:val="30"/>
          <w:highlight w:val="none"/>
          <w:lang w:val="en-US" w:eastAsia="zh-CN"/>
        </w:rPr>
        <w:t>14</w:t>
      </w:r>
      <w:r>
        <w:rPr>
          <w:rFonts w:hint="eastAsia" w:ascii="仿宋_GB2312" w:hAnsi="宋体" w:eastAsia="仿宋_GB2312"/>
          <w:b/>
          <w:bCs/>
          <w:color w:val="auto"/>
          <w:sz w:val="30"/>
          <w:szCs w:val="30"/>
          <w:highlight w:val="none"/>
        </w:rPr>
        <w:t>日</w:t>
      </w:r>
    </w:p>
    <w:p w14:paraId="7A5B3CD4">
      <w:pPr>
        <w:spacing w:line="360" w:lineRule="auto"/>
        <w:jc w:val="center"/>
        <w:rPr>
          <w:rFonts w:ascii="宋体" w:hAnsi="宋体" w:cs="宋体"/>
          <w:b/>
          <w:bCs/>
          <w:color w:val="auto"/>
          <w:sz w:val="32"/>
          <w:szCs w:val="32"/>
          <w:highlight w:val="none"/>
        </w:rPr>
      </w:pPr>
    </w:p>
    <w:p w14:paraId="5353C5A8">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br w:type="page" w:clear="all"/>
      </w:r>
    </w:p>
    <w:p w14:paraId="00D1EEC4">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67AB5036">
      <w:pPr>
        <w:spacing w:line="400" w:lineRule="exact"/>
        <w:jc w:val="center"/>
        <w:rPr>
          <w:rFonts w:ascii="宋体" w:hAnsi="宋体" w:cs="宋体"/>
          <w:b/>
          <w:color w:val="auto"/>
          <w:sz w:val="44"/>
          <w:szCs w:val="44"/>
          <w:highlight w:val="none"/>
        </w:rPr>
      </w:pPr>
    </w:p>
    <w:p w14:paraId="61455ABE">
      <w:pPr>
        <w:pStyle w:val="32"/>
        <w:tabs>
          <w:tab w:val="right" w:leader="dot" w:pos="8869"/>
        </w:tabs>
        <w:spacing w:line="500" w:lineRule="atLeast"/>
        <w:rPr>
          <w:rFonts w:ascii="宋体" w:hAnsi="宋体" w:cs="宋体"/>
          <w:b/>
          <w:color w:val="auto"/>
          <w:sz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color w:val="auto"/>
          <w:highlight w:val="none"/>
        </w:rPr>
        <w:fldChar w:fldCharType="begin"/>
      </w:r>
      <w:r>
        <w:rPr>
          <w:color w:val="auto"/>
          <w:highlight w:val="none"/>
        </w:rPr>
        <w:instrText xml:space="preserve"> HYPERLINK \l "_Toc74323456" </w:instrText>
      </w:r>
      <w:r>
        <w:rPr>
          <w:color w:val="auto"/>
          <w:highlight w:val="none"/>
        </w:rPr>
        <w:fldChar w:fldCharType="separate"/>
      </w:r>
      <w:r>
        <w:rPr>
          <w:rStyle w:val="53"/>
          <w:rFonts w:hint="eastAsia" w:ascii="宋体" w:hAnsi="宋体" w:cs="宋体"/>
          <w:b/>
          <w:color w:val="auto"/>
          <w:sz w:val="24"/>
          <w:highlight w:val="none"/>
        </w:rPr>
        <w:t>第一章 竞争性磋商公告</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_Toc74323456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2</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6BADFD6A">
      <w:pPr>
        <w:pStyle w:val="32"/>
        <w:tabs>
          <w:tab w:val="right" w:leader="dot" w:pos="8869"/>
        </w:tabs>
        <w:spacing w:line="500" w:lineRule="atLeast"/>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"_Toc74323457" </w:instrText>
      </w:r>
      <w:r>
        <w:rPr>
          <w:color w:val="auto"/>
          <w:highlight w:val="none"/>
        </w:rPr>
        <w:fldChar w:fldCharType="separate"/>
      </w:r>
      <w:r>
        <w:rPr>
          <w:rStyle w:val="53"/>
          <w:rFonts w:hint="eastAsia" w:ascii="宋体" w:hAnsi="宋体" w:cs="宋体"/>
          <w:b/>
          <w:color w:val="auto"/>
          <w:sz w:val="24"/>
          <w:highlight w:val="none"/>
        </w:rPr>
        <w:t>第二章 供应</w:t>
      </w:r>
      <w:bookmarkStart w:id="1" w:name="_Hlt82161237"/>
      <w:r>
        <w:rPr>
          <w:rStyle w:val="53"/>
          <w:rFonts w:hint="eastAsia" w:ascii="宋体" w:hAnsi="宋体" w:cs="宋体"/>
          <w:b/>
          <w:color w:val="auto"/>
          <w:sz w:val="24"/>
          <w:highlight w:val="none"/>
        </w:rPr>
        <w:t>商</w:t>
      </w:r>
      <w:bookmarkEnd w:id="1"/>
      <w:r>
        <w:rPr>
          <w:rStyle w:val="53"/>
          <w:rFonts w:hint="eastAsia" w:ascii="宋体" w:hAnsi="宋体" w:cs="宋体"/>
          <w:b/>
          <w:color w:val="auto"/>
          <w:sz w:val="24"/>
          <w:highlight w:val="none"/>
        </w:rPr>
        <w:t>须知</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_Toc74323457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6</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633D0073">
      <w:pPr>
        <w:pStyle w:val="32"/>
        <w:tabs>
          <w:tab w:val="right" w:leader="dot" w:pos="8869"/>
        </w:tabs>
        <w:spacing w:line="500" w:lineRule="atLeast"/>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"_Toc74323458" </w:instrText>
      </w:r>
      <w:r>
        <w:rPr>
          <w:color w:val="auto"/>
          <w:highlight w:val="none"/>
        </w:rPr>
        <w:fldChar w:fldCharType="separate"/>
      </w:r>
      <w:r>
        <w:rPr>
          <w:rStyle w:val="53"/>
          <w:rFonts w:hint="eastAsia" w:ascii="宋体" w:hAnsi="宋体" w:cs="宋体"/>
          <w:b/>
          <w:color w:val="auto"/>
          <w:sz w:val="24"/>
          <w:highlight w:val="none"/>
        </w:rPr>
        <w:t>第三章 采购需</w:t>
      </w:r>
      <w:bookmarkStart w:id="2" w:name="_Hlt82166940"/>
      <w:r>
        <w:rPr>
          <w:rStyle w:val="53"/>
          <w:rFonts w:hint="eastAsia" w:ascii="宋体" w:hAnsi="宋体" w:cs="宋体"/>
          <w:b/>
          <w:color w:val="auto"/>
          <w:sz w:val="24"/>
          <w:highlight w:val="none"/>
        </w:rPr>
        <w:t>求</w:t>
      </w:r>
      <w:bookmarkEnd w:id="2"/>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_Toc74323458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24</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3D41F3D0">
      <w:pPr>
        <w:pStyle w:val="32"/>
        <w:tabs>
          <w:tab w:val="right" w:leader="dot" w:pos="8869"/>
        </w:tabs>
        <w:spacing w:line="500" w:lineRule="atLeast"/>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"_Toc74323459" </w:instrText>
      </w:r>
      <w:r>
        <w:rPr>
          <w:color w:val="auto"/>
          <w:highlight w:val="none"/>
        </w:rPr>
        <w:fldChar w:fldCharType="separate"/>
      </w:r>
      <w:r>
        <w:rPr>
          <w:rStyle w:val="53"/>
          <w:rFonts w:hint="eastAsia" w:ascii="宋体" w:hAnsi="宋体" w:cs="宋体"/>
          <w:b/>
          <w:color w:val="auto"/>
          <w:sz w:val="24"/>
          <w:highlight w:val="none"/>
        </w:rPr>
        <w:t>第四章 评审程序、</w:t>
      </w:r>
      <w:bookmarkStart w:id="3" w:name="_Hlt82166000"/>
      <w:r>
        <w:rPr>
          <w:rStyle w:val="53"/>
          <w:rFonts w:hint="eastAsia" w:ascii="宋体" w:hAnsi="宋体" w:cs="宋体"/>
          <w:b/>
          <w:color w:val="auto"/>
          <w:sz w:val="24"/>
          <w:highlight w:val="none"/>
        </w:rPr>
        <w:t>评</w:t>
      </w:r>
      <w:bookmarkEnd w:id="3"/>
      <w:r>
        <w:rPr>
          <w:rStyle w:val="53"/>
          <w:rFonts w:hint="eastAsia" w:ascii="宋体" w:hAnsi="宋体" w:cs="宋体"/>
          <w:b/>
          <w:color w:val="auto"/>
          <w:sz w:val="24"/>
          <w:highlight w:val="none"/>
        </w:rPr>
        <w:t>审方法和评审标准</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_Toc74323459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56</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4427CE45">
      <w:pPr>
        <w:pStyle w:val="32"/>
        <w:tabs>
          <w:tab w:val="right" w:leader="dot" w:pos="8869"/>
        </w:tabs>
        <w:spacing w:line="500" w:lineRule="atLeast"/>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"_Toc74323460" </w:instrText>
      </w:r>
      <w:r>
        <w:rPr>
          <w:color w:val="auto"/>
          <w:highlight w:val="none"/>
        </w:rPr>
        <w:fldChar w:fldCharType="separate"/>
      </w:r>
      <w:r>
        <w:rPr>
          <w:rStyle w:val="53"/>
          <w:rFonts w:hint="eastAsia" w:ascii="宋体" w:hAnsi="宋体" w:cs="宋体"/>
          <w:b/>
          <w:color w:val="auto"/>
          <w:sz w:val="24"/>
          <w:highlight w:val="none"/>
        </w:rPr>
        <w:t>第五章 响应文件格式</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_Toc74323460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64</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29984252">
      <w:pPr>
        <w:pStyle w:val="32"/>
        <w:tabs>
          <w:tab w:val="right" w:leader="dot" w:pos="8869"/>
        </w:tabs>
        <w:spacing w:line="500" w:lineRule="atLeast"/>
        <w:rPr>
          <w:rFonts w:ascii="宋体" w:hAnsi="宋体" w:cs="宋体"/>
          <w:color w:val="auto"/>
          <w:sz w:val="24"/>
          <w:highlight w:val="none"/>
        </w:rPr>
      </w:pPr>
      <w:r>
        <w:rPr>
          <w:color w:val="auto"/>
          <w:highlight w:val="none"/>
        </w:rPr>
        <w:fldChar w:fldCharType="begin"/>
      </w:r>
      <w:r>
        <w:rPr>
          <w:color w:val="auto"/>
          <w:highlight w:val="none"/>
        </w:rPr>
        <w:instrText xml:space="preserve"> HYPERLINK \l "_Toc74323461" </w:instrText>
      </w:r>
      <w:r>
        <w:rPr>
          <w:color w:val="auto"/>
          <w:highlight w:val="none"/>
        </w:rPr>
        <w:fldChar w:fldCharType="separate"/>
      </w:r>
      <w:r>
        <w:rPr>
          <w:rStyle w:val="53"/>
          <w:rFonts w:hint="eastAsia" w:ascii="宋体" w:hAnsi="宋体" w:cs="宋体"/>
          <w:b/>
          <w:color w:val="auto"/>
          <w:sz w:val="24"/>
          <w:highlight w:val="none"/>
        </w:rPr>
        <w:t>第六章 合同文本</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_Toc74323461 \h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t>90</w:t>
      </w:r>
      <w:r>
        <w:rPr>
          <w:rFonts w:hint="eastAsia" w:ascii="宋体" w:hAnsi="宋体" w:cs="宋体"/>
          <w:b/>
          <w:color w:val="auto"/>
          <w:sz w:val="24"/>
          <w:highlight w:val="none"/>
        </w:rPr>
        <w:fldChar w:fldCharType="end"/>
      </w:r>
      <w:r>
        <w:rPr>
          <w:rFonts w:hint="eastAsia" w:ascii="宋体" w:hAnsi="宋体" w:cs="宋体"/>
          <w:b/>
          <w:color w:val="auto"/>
          <w:sz w:val="24"/>
          <w:highlight w:val="none"/>
        </w:rPr>
        <w:fldChar w:fldCharType="end"/>
      </w:r>
    </w:p>
    <w:p w14:paraId="1672C0DD">
      <w:pPr>
        <w:pStyle w:val="38"/>
        <w:tabs>
          <w:tab w:val="right" w:leader="dot" w:pos="8931"/>
          <w:tab w:val="clear" w:pos="8296"/>
        </w:tabs>
        <w:spacing w:line="500" w:lineRule="atLeast"/>
        <w:ind w:left="0"/>
        <w:rPr>
          <w:rFonts w:ascii="宋体" w:hAnsi="宋体" w:cs="宋体"/>
          <w:b/>
          <w:color w:val="auto"/>
          <w:sz w:val="32"/>
          <w:szCs w:val="32"/>
          <w:highlight w:val="none"/>
        </w:rPr>
      </w:pPr>
      <w:r>
        <w:rPr>
          <w:rFonts w:hint="eastAsia" w:ascii="宋体" w:hAnsi="宋体" w:cs="宋体"/>
          <w:b/>
          <w:color w:val="auto"/>
          <w:sz w:val="24"/>
          <w:highlight w:val="none"/>
        </w:rPr>
        <w:fldChar w:fldCharType="end"/>
      </w:r>
    </w:p>
    <w:p w14:paraId="7B02467C">
      <w:pPr>
        <w:spacing w:line="400" w:lineRule="exact"/>
        <w:rPr>
          <w:rFonts w:ascii="宋体" w:hAnsi="宋体" w:cs="宋体"/>
          <w:b/>
          <w:color w:val="auto"/>
          <w:sz w:val="32"/>
          <w:szCs w:val="32"/>
          <w:highlight w:val="none"/>
        </w:rPr>
        <w:sectPr>
          <w:headerReference r:id="rId4" w:type="first"/>
          <w:footerReference r:id="rId6" w:type="first"/>
          <w:headerReference r:id="rId3" w:type="default"/>
          <w:footerReference r:id="rId5" w:type="default"/>
          <w:pgSz w:w="11906" w:h="16838"/>
          <w:pgMar w:top="1440" w:right="1279" w:bottom="1440" w:left="1587" w:header="851" w:footer="992" w:gutter="0"/>
          <w:pgNumType w:start="0"/>
          <w:cols w:space="720" w:num="1"/>
          <w:titlePg/>
        </w:sectPr>
      </w:pPr>
    </w:p>
    <w:p w14:paraId="18BF08C4">
      <w:pPr>
        <w:pStyle w:val="3"/>
        <w:spacing w:line="360" w:lineRule="auto"/>
        <w:jc w:val="center"/>
        <w:rPr>
          <w:rFonts w:ascii="宋体" w:hAnsi="宋体" w:cs="宋体"/>
          <w:color w:val="auto"/>
          <w:highlight w:val="none"/>
        </w:rPr>
      </w:pPr>
      <w:bookmarkStart w:id="4" w:name="_Toc74323456"/>
      <w:r>
        <w:rPr>
          <w:rFonts w:hint="eastAsia" w:ascii="宋体" w:hAnsi="宋体" w:cs="宋体"/>
          <w:color w:val="auto"/>
          <w:highlight w:val="none"/>
        </w:rPr>
        <w:t>第一章 竞争性磋商公告</w:t>
      </w:r>
      <w:bookmarkEnd w:id="4"/>
    </w:p>
    <w:p w14:paraId="627FE69C">
      <w:pPr>
        <w:spacing w:line="460" w:lineRule="exact"/>
        <w:jc w:val="center"/>
        <w:rPr>
          <w:rFonts w:ascii="宋体" w:hAnsi="宋体" w:cs="宋体"/>
          <w:color w:val="auto"/>
          <w:sz w:val="32"/>
          <w:szCs w:val="32"/>
          <w:highlight w:val="none"/>
        </w:rPr>
      </w:pPr>
      <w:bookmarkStart w:id="5" w:name="_Hlk37430271"/>
      <w:r>
        <w:rPr>
          <w:rFonts w:hint="eastAsia" w:ascii="宋体" w:hAnsi="宋体" w:cs="宋体"/>
          <w:b/>
          <w:bCs/>
          <w:color w:val="auto"/>
          <w:sz w:val="32"/>
          <w:szCs w:val="32"/>
          <w:highlight w:val="none"/>
        </w:rPr>
        <w:t>竞争性磋商公告</w:t>
      </w:r>
    </w:p>
    <w:p w14:paraId="4E76CC2F">
      <w:pPr>
        <w:pBdr>
          <w:top w:val="single" w:color="000000" w:sz="4" w:space="1"/>
          <w:left w:val="single" w:color="000000" w:sz="4" w:space="4"/>
          <w:bottom w:val="single" w:color="000000" w:sz="4" w:space="1"/>
          <w:right w:val="single" w:color="000000" w:sz="4" w:space="4"/>
        </w:pBd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项目概况</w:t>
      </w:r>
    </w:p>
    <w:p w14:paraId="66CF9CCF">
      <w:pPr>
        <w:pBdr>
          <w:top w:val="single" w:color="000000" w:sz="4" w:space="1"/>
          <w:left w:val="single" w:color="000000" w:sz="4" w:space="4"/>
          <w:bottom w:val="single" w:color="000000" w:sz="4" w:space="1"/>
          <w:right w:val="single" w:color="000000" w:sz="4" w:space="4"/>
        </w:pBdr>
        <w:spacing w:line="460" w:lineRule="exact"/>
        <w:ind w:firstLine="420"/>
        <w:rPr>
          <w:rFonts w:ascii="宋体" w:hAnsi="宋体" w:cs="宋体"/>
          <w:color w:val="auto"/>
          <w:szCs w:val="21"/>
          <w:highlight w:val="none"/>
          <w:u w:val="single"/>
        </w:rPr>
      </w:pPr>
      <w:r>
        <w:rPr>
          <w:rFonts w:hint="eastAsia" w:ascii="宋体" w:hAnsi="宋体" w:cs="宋体"/>
          <w:color w:val="auto"/>
          <w:szCs w:val="21"/>
          <w:highlight w:val="none"/>
          <w:u w:val="single"/>
        </w:rPr>
        <w:t>苍梧县就业服务站和零工市场第二期运营服务</w:t>
      </w:r>
      <w:r>
        <w:rPr>
          <w:rFonts w:hint="eastAsia" w:ascii="宋体" w:hAnsi="宋体" w:cs="宋体"/>
          <w:color w:val="auto"/>
          <w:szCs w:val="21"/>
          <w:highlight w:val="none"/>
        </w:rPr>
        <w:t>的潜在供应商应在广西政府采购云平台（https://www.gcy.zfcg.gxzf.gov.cn/）获取（下载）竞争性磋商文件，并于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p>
    <w:p w14:paraId="57D19D2A">
      <w:pPr>
        <w:pBdr>
          <w:top w:val="single" w:color="000000" w:sz="4" w:space="1"/>
          <w:left w:val="single" w:color="000000" w:sz="4" w:space="4"/>
          <w:bottom w:val="single" w:color="000000" w:sz="4" w:space="1"/>
          <w:right w:val="single" w:color="000000" w:sz="4" w:space="4"/>
        </w:pBdr>
        <w:spacing w:line="460" w:lineRule="exact"/>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25</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0分</w:t>
      </w:r>
      <w:r>
        <w:rPr>
          <w:rFonts w:hint="eastAsia" w:ascii="宋体" w:hAnsi="宋体" w:cs="宋体"/>
          <w:bCs/>
          <w:color w:val="auto"/>
          <w:szCs w:val="21"/>
          <w:highlight w:val="none"/>
          <w:u w:val="single"/>
        </w:rPr>
        <w:t>（</w:t>
      </w:r>
      <w:r>
        <w:rPr>
          <w:rFonts w:hint="eastAsia" w:ascii="宋体" w:hAnsi="宋体" w:cs="宋体"/>
          <w:bCs/>
          <w:color w:val="auto"/>
          <w:szCs w:val="21"/>
          <w:highlight w:val="none"/>
        </w:rPr>
        <w:t>北京时间）前提交（上传）</w:t>
      </w:r>
      <w:r>
        <w:rPr>
          <w:rFonts w:hint="eastAsia" w:ascii="宋体" w:hAnsi="宋体" w:cs="宋体"/>
          <w:color w:val="auto"/>
          <w:szCs w:val="21"/>
          <w:highlight w:val="none"/>
        </w:rPr>
        <w:t>响应</w:t>
      </w:r>
      <w:r>
        <w:rPr>
          <w:rFonts w:hint="eastAsia" w:ascii="宋体" w:hAnsi="宋体" w:cs="宋体"/>
          <w:bCs/>
          <w:color w:val="auto"/>
          <w:szCs w:val="21"/>
          <w:highlight w:val="none"/>
        </w:rPr>
        <w:t>文件。</w:t>
      </w:r>
    </w:p>
    <w:p w14:paraId="43F5D8B5">
      <w:pPr>
        <w:spacing w:line="460" w:lineRule="exact"/>
        <w:ind w:firstLine="310"/>
        <w:rPr>
          <w:rFonts w:ascii="宋体" w:hAnsi="宋体" w:cs="宋体"/>
          <w:b/>
          <w:color w:val="auto"/>
          <w:szCs w:val="21"/>
          <w:highlight w:val="none"/>
        </w:rPr>
      </w:pPr>
      <w:bookmarkStart w:id="6" w:name="_Toc28359012"/>
      <w:bookmarkStart w:id="7" w:name="_Toc44229878"/>
      <w:bookmarkStart w:id="8" w:name="_Toc35393629"/>
      <w:bookmarkStart w:id="9" w:name="_Toc35393798"/>
      <w:bookmarkStart w:id="10" w:name="_Toc28359089"/>
      <w:bookmarkStart w:id="11" w:name="_Toc71365905"/>
      <w:r>
        <w:rPr>
          <w:rFonts w:hint="eastAsia" w:ascii="宋体" w:hAnsi="宋体" w:cs="宋体"/>
          <w:b/>
          <w:color w:val="auto"/>
          <w:szCs w:val="21"/>
          <w:highlight w:val="none"/>
        </w:rPr>
        <w:t>一、项目基本情况</w:t>
      </w:r>
      <w:bookmarkEnd w:id="6"/>
      <w:bookmarkEnd w:id="7"/>
      <w:bookmarkEnd w:id="8"/>
      <w:bookmarkEnd w:id="9"/>
      <w:bookmarkEnd w:id="10"/>
      <w:bookmarkEnd w:id="11"/>
    </w:p>
    <w:p w14:paraId="06A89B8D">
      <w:pPr>
        <w:spacing w:line="460" w:lineRule="exact"/>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WZZC2026-C3-210087-YZLZ</w:t>
      </w:r>
    </w:p>
    <w:p w14:paraId="6BE3C664">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项目名称：苍梧县就业服务站和零工市场第二期运营服务</w:t>
      </w:r>
    </w:p>
    <w:p w14:paraId="733894AD">
      <w:pPr>
        <w:spacing w:line="460" w:lineRule="exact"/>
        <w:ind w:firstLine="420"/>
        <w:rPr>
          <w:rFonts w:ascii="宋体" w:hAnsi="宋体" w:cs="宋体"/>
          <w:color w:val="auto"/>
          <w:szCs w:val="21"/>
          <w:highlight w:val="none"/>
        </w:rPr>
      </w:pPr>
      <w:r>
        <w:rPr>
          <w:color w:val="auto"/>
          <w:highlight w:val="none"/>
        </w:rPr>
        <w:t>采购方式</w:t>
      </w:r>
      <w:r>
        <w:rPr>
          <w:rFonts w:hint="eastAsia" w:ascii="宋体" w:hAnsi="宋体" w:cs="宋体"/>
          <w:color w:val="auto"/>
          <w:szCs w:val="21"/>
          <w:highlight w:val="none"/>
        </w:rPr>
        <w:t>：竞争性磋商</w:t>
      </w:r>
    </w:p>
    <w:p w14:paraId="68FBD791">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预算金额：1650000.00</w:t>
      </w:r>
      <w:r>
        <w:rPr>
          <w:rFonts w:hint="eastAsia" w:ascii="宋体" w:hAnsi="宋体"/>
          <w:color w:val="auto"/>
          <w:szCs w:val="21"/>
          <w:highlight w:val="none"/>
        </w:rPr>
        <w:t>元</w:t>
      </w:r>
    </w:p>
    <w:p w14:paraId="2108E015">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最高限价：1650000.00</w:t>
      </w:r>
      <w:r>
        <w:rPr>
          <w:rFonts w:hint="eastAsia" w:ascii="宋体" w:hAnsi="宋体"/>
          <w:color w:val="auto"/>
          <w:szCs w:val="21"/>
          <w:highlight w:val="none"/>
        </w:rPr>
        <w:t>元</w:t>
      </w:r>
    </w:p>
    <w:p w14:paraId="47BD8C68">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采购需求：</w:t>
      </w:r>
    </w:p>
    <w:tbl>
      <w:tblPr>
        <w:tblStyle w:val="46"/>
        <w:tblW w:w="94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5"/>
        <w:gridCol w:w="1784"/>
        <w:gridCol w:w="1112"/>
        <w:gridCol w:w="5889"/>
      </w:tblGrid>
      <w:tr w14:paraId="774FE8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615" w:type="dxa"/>
            <w:tcBorders>
              <w:top w:val="single" w:color="auto" w:sz="4" w:space="0"/>
              <w:left w:val="single" w:color="auto" w:sz="4" w:space="0"/>
              <w:bottom w:val="single" w:color="auto" w:sz="4" w:space="0"/>
              <w:right w:val="single" w:color="auto" w:sz="4" w:space="0"/>
            </w:tcBorders>
            <w:vAlign w:val="center"/>
          </w:tcPr>
          <w:p w14:paraId="01FBFAFF">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784" w:type="dxa"/>
            <w:tcBorders>
              <w:top w:val="single" w:color="auto" w:sz="4" w:space="0"/>
              <w:left w:val="single" w:color="auto" w:sz="4" w:space="0"/>
              <w:bottom w:val="single" w:color="auto" w:sz="4" w:space="0"/>
              <w:right w:val="single" w:color="auto" w:sz="4" w:space="0"/>
            </w:tcBorders>
            <w:vAlign w:val="center"/>
          </w:tcPr>
          <w:p w14:paraId="04C280DC">
            <w:pPr>
              <w:spacing w:line="360" w:lineRule="auto"/>
              <w:jc w:val="center"/>
              <w:rPr>
                <w:rFonts w:ascii="宋体" w:hAnsi="宋体"/>
                <w:color w:val="auto"/>
                <w:szCs w:val="21"/>
                <w:highlight w:val="none"/>
              </w:rPr>
            </w:pPr>
            <w:r>
              <w:rPr>
                <w:rFonts w:hint="eastAsia" w:ascii="宋体" w:hAnsi="宋体"/>
                <w:color w:val="auto"/>
                <w:szCs w:val="21"/>
                <w:highlight w:val="none"/>
              </w:rPr>
              <w:t>标的名称</w:t>
            </w:r>
          </w:p>
        </w:tc>
        <w:tc>
          <w:tcPr>
            <w:tcW w:w="1112" w:type="dxa"/>
            <w:tcBorders>
              <w:top w:val="single" w:color="auto" w:sz="4" w:space="0"/>
              <w:left w:val="single" w:color="auto" w:sz="4" w:space="0"/>
              <w:bottom w:val="single" w:color="auto" w:sz="4" w:space="0"/>
              <w:right w:val="single" w:color="auto" w:sz="4" w:space="0"/>
            </w:tcBorders>
            <w:vAlign w:val="center"/>
          </w:tcPr>
          <w:p w14:paraId="4F60DC2C">
            <w:pPr>
              <w:spacing w:line="360" w:lineRule="auto"/>
              <w:jc w:val="center"/>
              <w:rPr>
                <w:rFonts w:ascii="宋体" w:hAnsi="宋体"/>
                <w:color w:val="auto"/>
                <w:szCs w:val="21"/>
                <w:highlight w:val="none"/>
              </w:rPr>
            </w:pPr>
            <w:r>
              <w:rPr>
                <w:rFonts w:hint="eastAsia" w:ascii="宋体" w:hAnsi="宋体"/>
                <w:color w:val="auto"/>
                <w:szCs w:val="21"/>
                <w:highlight w:val="none"/>
              </w:rPr>
              <w:t>数量及单位</w:t>
            </w:r>
          </w:p>
        </w:tc>
        <w:tc>
          <w:tcPr>
            <w:tcW w:w="5889" w:type="dxa"/>
            <w:tcBorders>
              <w:top w:val="single" w:color="auto" w:sz="4" w:space="0"/>
              <w:left w:val="single" w:color="auto" w:sz="4" w:space="0"/>
              <w:bottom w:val="single" w:color="auto" w:sz="4" w:space="0"/>
              <w:right w:val="single" w:color="auto" w:sz="4" w:space="0"/>
            </w:tcBorders>
            <w:vAlign w:val="center"/>
          </w:tcPr>
          <w:p w14:paraId="71C10530">
            <w:pPr>
              <w:spacing w:line="36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104AF1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1" w:hRule="atLeast"/>
        </w:trPr>
        <w:tc>
          <w:tcPr>
            <w:tcW w:w="615" w:type="dxa"/>
            <w:tcBorders>
              <w:top w:val="single" w:color="auto" w:sz="4" w:space="0"/>
              <w:left w:val="single" w:color="auto" w:sz="4" w:space="0"/>
              <w:bottom w:val="single" w:color="auto" w:sz="4" w:space="0"/>
              <w:right w:val="single" w:color="auto" w:sz="4" w:space="0"/>
            </w:tcBorders>
            <w:vAlign w:val="center"/>
          </w:tcPr>
          <w:p w14:paraId="6817D57A">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784" w:type="dxa"/>
            <w:tcBorders>
              <w:top w:val="single" w:color="auto" w:sz="4" w:space="0"/>
              <w:left w:val="single" w:color="auto" w:sz="4" w:space="0"/>
              <w:bottom w:val="single" w:color="auto" w:sz="4" w:space="0"/>
              <w:right w:val="single" w:color="auto" w:sz="4" w:space="0"/>
            </w:tcBorders>
            <w:vAlign w:val="center"/>
          </w:tcPr>
          <w:p w14:paraId="075C5A49">
            <w:pPr>
              <w:spacing w:line="360" w:lineRule="auto"/>
              <w:jc w:val="center"/>
              <w:rPr>
                <w:rFonts w:ascii="宋体" w:hAnsi="宋体"/>
                <w:color w:val="auto"/>
                <w:szCs w:val="21"/>
                <w:highlight w:val="none"/>
              </w:rPr>
            </w:pPr>
            <w:r>
              <w:rPr>
                <w:rFonts w:hint="eastAsia" w:ascii="宋体" w:hAnsi="宋体"/>
                <w:color w:val="auto"/>
                <w:szCs w:val="21"/>
                <w:highlight w:val="none"/>
              </w:rPr>
              <w:t>7个镇级就业服务站运营服务</w:t>
            </w:r>
          </w:p>
          <w:p w14:paraId="4156007E">
            <w:pPr>
              <w:spacing w:line="360" w:lineRule="auto"/>
              <w:jc w:val="center"/>
              <w:rPr>
                <w:rFonts w:ascii="宋体" w:hAnsi="宋体"/>
                <w:color w:val="auto"/>
                <w:szCs w:val="21"/>
                <w:highlight w:val="none"/>
              </w:rPr>
            </w:pPr>
            <w:r>
              <w:rPr>
                <w:rFonts w:hint="eastAsia" w:ascii="宋体" w:hAnsi="宋体"/>
                <w:color w:val="auto"/>
                <w:szCs w:val="21"/>
                <w:highlight w:val="none"/>
              </w:rPr>
              <w:t>（含9个村级服务站运营服务）</w:t>
            </w:r>
          </w:p>
        </w:tc>
        <w:tc>
          <w:tcPr>
            <w:tcW w:w="1112" w:type="dxa"/>
            <w:tcBorders>
              <w:top w:val="single" w:color="auto" w:sz="4" w:space="0"/>
              <w:left w:val="single" w:color="auto" w:sz="4" w:space="0"/>
              <w:bottom w:val="single" w:color="auto" w:sz="4" w:space="0"/>
              <w:right w:val="single" w:color="auto" w:sz="4" w:space="0"/>
            </w:tcBorders>
            <w:vAlign w:val="center"/>
          </w:tcPr>
          <w:p w14:paraId="2A826A6E">
            <w:pPr>
              <w:spacing w:line="360" w:lineRule="auto"/>
              <w:jc w:val="center"/>
              <w:rPr>
                <w:rFonts w:ascii="宋体" w:hAnsi="宋体"/>
                <w:color w:val="auto"/>
                <w:szCs w:val="21"/>
                <w:highlight w:val="none"/>
              </w:rPr>
            </w:pPr>
            <w:r>
              <w:rPr>
                <w:rFonts w:hint="eastAsia" w:ascii="宋体" w:hAnsi="宋体" w:cs="宋体"/>
                <w:color w:val="auto"/>
                <w:szCs w:val="21"/>
                <w:highlight w:val="none"/>
              </w:rPr>
              <w:t>1项</w:t>
            </w:r>
          </w:p>
        </w:tc>
        <w:tc>
          <w:tcPr>
            <w:tcW w:w="5889" w:type="dxa"/>
            <w:tcBorders>
              <w:top w:val="single" w:color="auto" w:sz="4" w:space="0"/>
              <w:left w:val="single" w:color="auto" w:sz="4" w:space="0"/>
              <w:bottom w:val="single" w:color="auto" w:sz="4" w:space="0"/>
              <w:right w:val="single" w:color="auto" w:sz="4" w:space="0"/>
            </w:tcBorders>
            <w:vAlign w:val="center"/>
          </w:tcPr>
          <w:p w14:paraId="136C73D4">
            <w:pPr>
              <w:tabs>
                <w:tab w:val="left" w:pos="180"/>
                <w:tab w:val="left" w:pos="162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本项目采购内容为苍梧县7个镇级就业服务站运营服务（含9个村级服务站运营服务），服务地点为苍梧县就业服务站</w:t>
            </w:r>
            <w:r>
              <w:rPr>
                <w:rFonts w:hint="eastAsia"/>
                <w:color w:val="auto"/>
                <w:highlight w:val="none"/>
              </w:rPr>
              <w:t>（包含各镇辖区内村级就业服务站的运营服务）</w:t>
            </w:r>
            <w:r>
              <w:rPr>
                <w:rFonts w:hint="eastAsia" w:ascii="宋体" w:hAnsi="宋体" w:cs="宋体"/>
                <w:color w:val="auto"/>
                <w:szCs w:val="21"/>
                <w:highlight w:val="none"/>
              </w:rPr>
              <w:t>。</w:t>
            </w:r>
            <w:bookmarkStart w:id="12" w:name="OLE_LINK5"/>
            <w:r>
              <w:rPr>
                <w:rFonts w:hint="eastAsia" w:ascii="宋体" w:hAnsi="宋体" w:cs="宋体"/>
                <w:color w:val="auto"/>
                <w:szCs w:val="21"/>
                <w:highlight w:val="none"/>
              </w:rPr>
              <w:t>服务站点需完善服务场所便民设施，配备专职人员，提供企业用工摸排、岗位归集、供需匹配、职业指导、政策宣传、权益服务、人社平台数据录入等就业服务</w:t>
            </w:r>
            <w:bookmarkEnd w:id="12"/>
            <w:r>
              <w:rPr>
                <w:rFonts w:hint="eastAsia" w:ascii="宋体" w:hAnsi="宋体" w:cs="宋体"/>
                <w:color w:val="auto"/>
                <w:szCs w:val="21"/>
                <w:highlight w:val="none"/>
              </w:rPr>
              <w:t>。</w:t>
            </w:r>
          </w:p>
          <w:p w14:paraId="4E31D194">
            <w:pPr>
              <w:pStyle w:val="8"/>
              <w:jc w:val="left"/>
              <w:rPr>
                <w:color w:val="auto"/>
                <w:highlight w:val="none"/>
              </w:rPr>
            </w:pPr>
            <w:r>
              <w:rPr>
                <w:rFonts w:hint="eastAsia" w:ascii="宋体" w:hAnsi="宋体" w:cs="宋体"/>
                <w:color w:val="auto"/>
                <w:szCs w:val="21"/>
                <w:highlight w:val="none"/>
              </w:rPr>
              <w:t>具体内容详见竞争性磋商文件。</w:t>
            </w:r>
          </w:p>
        </w:tc>
      </w:tr>
      <w:tr w14:paraId="7EAB88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77" w:hRule="atLeast"/>
        </w:trPr>
        <w:tc>
          <w:tcPr>
            <w:tcW w:w="615" w:type="dxa"/>
            <w:tcBorders>
              <w:top w:val="single" w:color="auto" w:sz="4" w:space="0"/>
              <w:left w:val="single" w:color="auto" w:sz="4" w:space="0"/>
              <w:bottom w:val="single" w:color="auto" w:sz="4" w:space="0"/>
              <w:right w:val="single" w:color="auto" w:sz="4" w:space="0"/>
            </w:tcBorders>
            <w:vAlign w:val="center"/>
          </w:tcPr>
          <w:p w14:paraId="05AB8DA7">
            <w:pPr>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1784" w:type="dxa"/>
            <w:tcBorders>
              <w:top w:val="single" w:color="auto" w:sz="4" w:space="0"/>
              <w:left w:val="single" w:color="auto" w:sz="4" w:space="0"/>
              <w:bottom w:val="single" w:color="auto" w:sz="4" w:space="0"/>
              <w:right w:val="single" w:color="auto" w:sz="4" w:space="0"/>
            </w:tcBorders>
            <w:vAlign w:val="center"/>
          </w:tcPr>
          <w:p w14:paraId="52D9F154">
            <w:pPr>
              <w:tabs>
                <w:tab w:val="left" w:pos="180"/>
                <w:tab w:val="left" w:pos="1620"/>
              </w:tabs>
              <w:spacing w:line="360" w:lineRule="auto"/>
              <w:jc w:val="center"/>
              <w:rPr>
                <w:rFonts w:ascii="宋体" w:hAnsi="宋体"/>
                <w:color w:val="auto"/>
                <w:szCs w:val="21"/>
                <w:highlight w:val="none"/>
              </w:rPr>
            </w:pPr>
            <w:r>
              <w:rPr>
                <w:rFonts w:hint="eastAsia" w:ascii="宋体" w:hAnsi="宋体" w:cs="宋体"/>
                <w:color w:val="auto"/>
                <w:szCs w:val="21"/>
                <w:highlight w:val="none"/>
              </w:rPr>
              <w:t>3个零工市场运营服务</w:t>
            </w:r>
            <w:r>
              <w:rPr>
                <w:rFonts w:hint="eastAsia" w:ascii="宋体" w:hAnsi="宋体" w:cs="宋体"/>
                <w:color w:val="auto"/>
                <w:szCs w:val="21"/>
                <w:highlight w:val="none"/>
              </w:rPr>
              <w:t>（含9个村级服务站运营服务）</w:t>
            </w:r>
          </w:p>
        </w:tc>
        <w:tc>
          <w:tcPr>
            <w:tcW w:w="1112" w:type="dxa"/>
            <w:tcBorders>
              <w:top w:val="single" w:color="auto" w:sz="4" w:space="0"/>
              <w:left w:val="single" w:color="auto" w:sz="4" w:space="0"/>
              <w:bottom w:val="single" w:color="auto" w:sz="4" w:space="0"/>
              <w:right w:val="single" w:color="auto" w:sz="4" w:space="0"/>
            </w:tcBorders>
            <w:vAlign w:val="center"/>
          </w:tcPr>
          <w:p w14:paraId="749BC111">
            <w:pPr>
              <w:tabs>
                <w:tab w:val="left" w:pos="180"/>
                <w:tab w:val="left" w:pos="1620"/>
              </w:tabs>
              <w:spacing w:line="360" w:lineRule="auto"/>
              <w:jc w:val="center"/>
              <w:rPr>
                <w:rFonts w:ascii="宋体" w:hAnsi="宋体"/>
                <w:color w:val="auto"/>
                <w:szCs w:val="21"/>
                <w:highlight w:val="none"/>
              </w:rPr>
            </w:pPr>
            <w:r>
              <w:rPr>
                <w:rFonts w:hint="eastAsia" w:ascii="宋体" w:hAnsi="宋体" w:cs="宋体"/>
                <w:color w:val="auto"/>
                <w:szCs w:val="21"/>
                <w:highlight w:val="none"/>
              </w:rPr>
              <w:t>1项</w:t>
            </w:r>
          </w:p>
        </w:tc>
        <w:tc>
          <w:tcPr>
            <w:tcW w:w="5889" w:type="dxa"/>
            <w:tcBorders>
              <w:top w:val="single" w:color="auto" w:sz="4" w:space="0"/>
              <w:left w:val="single" w:color="auto" w:sz="4" w:space="0"/>
              <w:bottom w:val="single" w:color="auto" w:sz="4" w:space="0"/>
              <w:right w:val="single" w:color="auto" w:sz="4" w:space="0"/>
            </w:tcBorders>
            <w:vAlign w:val="center"/>
          </w:tcPr>
          <w:p w14:paraId="688772FB">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本项目采购内容为苍梧县3个零工市场运营服务（含9个村级服务站运营服务），</w:t>
            </w:r>
            <w:bookmarkStart w:id="13" w:name="OLE_LINK4"/>
            <w:r>
              <w:rPr>
                <w:rFonts w:hint="eastAsia" w:ascii="宋体" w:hAnsi="宋体" w:cs="宋体"/>
                <w:color w:val="auto"/>
                <w:szCs w:val="21"/>
                <w:highlight w:val="none"/>
              </w:rPr>
              <w:t>服务地点为苍梧县零工市场</w:t>
            </w:r>
            <w:r>
              <w:rPr>
                <w:rFonts w:hint="eastAsia"/>
                <w:color w:val="auto"/>
                <w:highlight w:val="none"/>
              </w:rPr>
              <w:t>（包含各镇辖区内村级就业服务站的运营服务）</w:t>
            </w:r>
            <w:bookmarkEnd w:id="13"/>
            <w:r>
              <w:rPr>
                <w:rFonts w:hint="eastAsia" w:ascii="宋体" w:hAnsi="宋体" w:cs="宋体"/>
                <w:color w:val="auto"/>
                <w:szCs w:val="21"/>
                <w:highlight w:val="none"/>
              </w:rPr>
              <w:t>。</w:t>
            </w:r>
            <w:r>
              <w:rPr>
                <w:rFonts w:hint="eastAsia" w:ascii="宋体" w:hAnsi="宋体" w:cs="宋体"/>
                <w:color w:val="auto"/>
                <w:szCs w:val="21"/>
                <w:highlight w:val="none"/>
              </w:rPr>
              <w:t>服务站点需完善服务场所便民设施，配备专职人员，提供企业用工摸排、岗位归集、供需匹配、职业指导、政策宣传、权益服务、人社平台数据录入等就业服务。</w:t>
            </w:r>
          </w:p>
          <w:p w14:paraId="25B2DA6B">
            <w:pPr>
              <w:pStyle w:val="256"/>
              <w:spacing w:before="0" w:after="0" w:line="360" w:lineRule="auto"/>
              <w:ind w:firstLine="420"/>
              <w:rPr>
                <w:rFonts w:ascii="宋体" w:hAnsi="宋体"/>
                <w:color w:val="auto"/>
                <w:szCs w:val="21"/>
                <w:highlight w:val="none"/>
              </w:rPr>
            </w:pPr>
            <w:r>
              <w:rPr>
                <w:rFonts w:hint="eastAsia" w:ascii="宋体" w:hAnsi="宋体" w:eastAsia="宋体" w:cs="宋体"/>
                <w:b w:val="0"/>
                <w:bCs w:val="0"/>
                <w:color w:val="auto"/>
                <w:sz w:val="21"/>
                <w:szCs w:val="21"/>
                <w:highlight w:val="none"/>
              </w:rPr>
              <w:t>具体内容详见竞争性磋商文件。</w:t>
            </w:r>
          </w:p>
        </w:tc>
      </w:tr>
    </w:tbl>
    <w:p w14:paraId="5C95ED00">
      <w:pPr>
        <w:spacing w:line="56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合同履行期限：服务期为12个月（每3个月为一个考核周期），具体起止时间以签订的服务合同为准。</w:t>
      </w:r>
    </w:p>
    <w:p w14:paraId="709889BB">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本项目（否）接受联合体。</w:t>
      </w:r>
    </w:p>
    <w:p w14:paraId="6D4A05B5">
      <w:pPr>
        <w:spacing w:line="460" w:lineRule="exact"/>
        <w:ind w:firstLine="422"/>
        <w:rPr>
          <w:rFonts w:ascii="宋体" w:hAnsi="宋体" w:cs="宋体"/>
          <w:b/>
          <w:color w:val="auto"/>
          <w:szCs w:val="21"/>
          <w:highlight w:val="none"/>
        </w:rPr>
      </w:pPr>
      <w:bookmarkStart w:id="14" w:name="_Toc44229879"/>
      <w:bookmarkStart w:id="15" w:name="_Toc71365906"/>
      <w:bookmarkStart w:id="16" w:name="_Toc28359090"/>
      <w:bookmarkStart w:id="17" w:name="_Toc35393630"/>
      <w:bookmarkStart w:id="18" w:name="_Toc35393799"/>
      <w:bookmarkStart w:id="19" w:name="_Toc28359013"/>
      <w:r>
        <w:rPr>
          <w:rFonts w:hint="eastAsia" w:ascii="宋体" w:hAnsi="宋体" w:cs="宋体"/>
          <w:b/>
          <w:color w:val="auto"/>
          <w:szCs w:val="21"/>
          <w:highlight w:val="none"/>
        </w:rPr>
        <w:t>二、申请人的资格条件：</w:t>
      </w:r>
      <w:bookmarkEnd w:id="14"/>
      <w:bookmarkEnd w:id="15"/>
      <w:bookmarkEnd w:id="16"/>
      <w:bookmarkEnd w:id="17"/>
      <w:bookmarkEnd w:id="18"/>
      <w:bookmarkEnd w:id="19"/>
    </w:p>
    <w:p w14:paraId="1A103E73">
      <w:pPr>
        <w:spacing w:line="360" w:lineRule="auto"/>
        <w:ind w:firstLine="420"/>
        <w:jc w:val="left"/>
        <w:rPr>
          <w:rFonts w:ascii="宋体" w:hAnsi="宋体" w:cs="宋体"/>
          <w:color w:val="auto"/>
          <w:szCs w:val="21"/>
          <w:highlight w:val="none"/>
        </w:rPr>
      </w:pPr>
      <w:bookmarkStart w:id="20" w:name="_Toc35393631"/>
      <w:bookmarkStart w:id="21" w:name="_Toc71365907"/>
      <w:bookmarkStart w:id="22" w:name="_Toc35393800"/>
      <w:bookmarkStart w:id="23" w:name="_Toc28359091"/>
      <w:bookmarkStart w:id="24" w:name="_Toc44229880"/>
      <w:bookmarkStart w:id="25" w:name="_Toc28359014"/>
      <w:r>
        <w:rPr>
          <w:rFonts w:hint="eastAsia" w:ascii="宋体" w:hAnsi="宋体" w:cs="宋体"/>
          <w:color w:val="auto"/>
          <w:szCs w:val="21"/>
          <w:highlight w:val="none"/>
        </w:rPr>
        <w:t>1.满足《中华人民共和国政府采购法》第二十二条规定；</w:t>
      </w:r>
    </w:p>
    <w:p w14:paraId="00FDA915">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2.落实政府采购政策需满足的资格要求：本项目属于专门面向中小企业采购的项目，服务的承接单位为符合政策要求的中型、小型或微型企业（包括监狱企业及残疾人福利</w:t>
      </w:r>
      <w:r>
        <w:rPr>
          <w:rFonts w:hint="eastAsia" w:ascii="宋体" w:hAnsi="宋体" w:cs="宋体"/>
          <w:color w:val="auto"/>
          <w:szCs w:val="21"/>
          <w:highlight w:val="none"/>
        </w:rPr>
        <w:t>性</w:t>
      </w:r>
      <w:r>
        <w:rPr>
          <w:rFonts w:hint="eastAsia" w:ascii="宋体" w:hAnsi="宋体" w:cs="宋体"/>
          <w:color w:val="auto"/>
          <w:szCs w:val="21"/>
          <w:highlight w:val="none"/>
        </w:rPr>
        <w:t>单位），须提供中小企业声明函</w:t>
      </w:r>
      <w:r>
        <w:rPr>
          <w:rFonts w:hint="eastAsia" w:ascii="宋体" w:hAnsi="宋体"/>
          <w:color w:val="auto"/>
          <w:szCs w:val="21"/>
          <w:highlight w:val="none"/>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color w:val="auto"/>
          <w:szCs w:val="21"/>
          <w:highlight w:val="none"/>
        </w:rPr>
        <w:t>；</w:t>
      </w:r>
    </w:p>
    <w:p w14:paraId="7DE5A85A">
      <w:pPr>
        <w:spacing w:line="360" w:lineRule="auto"/>
        <w:ind w:firstLine="420"/>
        <w:jc w:val="left"/>
        <w:rPr>
          <w:rFonts w:ascii="宋体" w:hAnsi="宋体"/>
          <w:b/>
          <w:bCs/>
          <w:color w:val="auto"/>
          <w:szCs w:val="21"/>
          <w:highlight w:val="none"/>
        </w:rPr>
      </w:pPr>
      <w:r>
        <w:rPr>
          <w:rFonts w:hint="eastAsia" w:ascii="宋体" w:hAnsi="宋体"/>
          <w:color w:val="auto"/>
          <w:szCs w:val="21"/>
          <w:highlight w:val="none"/>
        </w:rPr>
        <w:t>3.本项目的特定资格要求：供应商具有人力资源和社会保障部门颁发的有效的人力资源服务许可证。</w:t>
      </w:r>
      <w:r>
        <w:rPr>
          <w:rFonts w:hint="eastAsia" w:ascii="宋体" w:hAnsi="宋体"/>
          <w:b/>
          <w:bCs/>
          <w:color w:val="auto"/>
          <w:szCs w:val="21"/>
          <w:highlight w:val="none"/>
        </w:rPr>
        <w:t>（必须提供，否则响应文件按无效响应处理）</w:t>
      </w:r>
    </w:p>
    <w:p w14:paraId="67C73A3F">
      <w:pPr>
        <w:spacing w:line="460" w:lineRule="exact"/>
        <w:ind w:firstLine="422"/>
        <w:rPr>
          <w:rFonts w:ascii="宋体" w:hAnsi="宋体" w:cs="宋体"/>
          <w:b/>
          <w:color w:val="auto"/>
          <w:szCs w:val="21"/>
          <w:highlight w:val="none"/>
        </w:rPr>
      </w:pPr>
      <w:r>
        <w:rPr>
          <w:rFonts w:hint="eastAsia" w:ascii="宋体" w:hAnsi="宋体" w:cs="宋体"/>
          <w:b/>
          <w:color w:val="auto"/>
          <w:szCs w:val="21"/>
          <w:highlight w:val="none"/>
        </w:rPr>
        <w:t>三、获取竞争性磋商文件</w:t>
      </w:r>
      <w:bookmarkEnd w:id="20"/>
      <w:bookmarkEnd w:id="21"/>
      <w:bookmarkEnd w:id="22"/>
      <w:bookmarkEnd w:id="23"/>
      <w:bookmarkEnd w:id="24"/>
      <w:bookmarkEnd w:id="25"/>
    </w:p>
    <w:p w14:paraId="676D51A1">
      <w:pPr>
        <w:spacing w:line="460" w:lineRule="exact"/>
        <w:ind w:firstLine="420"/>
        <w:rPr>
          <w:rFonts w:ascii="宋体" w:hAnsi="宋体" w:cs="宋体"/>
          <w:bCs/>
          <w:color w:val="auto"/>
          <w:szCs w:val="21"/>
          <w:highlight w:val="none"/>
        </w:rPr>
      </w:pPr>
      <w:bookmarkStart w:id="26" w:name="_Toc35393801"/>
      <w:bookmarkStart w:id="27" w:name="_Toc28359092"/>
      <w:bookmarkStart w:id="28" w:name="_Toc35393632"/>
      <w:bookmarkStart w:id="29" w:name="_Toc28359015"/>
      <w:bookmarkStart w:id="30" w:name="_Toc44229881"/>
      <w:r>
        <w:rPr>
          <w:rFonts w:hint="eastAsia" w:ascii="宋体" w:hAnsi="宋体" w:cs="宋体"/>
          <w:bCs/>
          <w:color w:val="auto"/>
          <w:szCs w:val="21"/>
          <w:highlight w:val="none"/>
        </w:rPr>
        <w:t>时间：2026年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14</w:t>
      </w:r>
      <w:r>
        <w:rPr>
          <w:rFonts w:hint="eastAsia" w:ascii="宋体" w:hAnsi="宋体" w:cs="宋体"/>
          <w:bCs/>
          <w:color w:val="auto"/>
          <w:szCs w:val="21"/>
          <w:highlight w:val="none"/>
        </w:rPr>
        <w:t>日</w:t>
      </w:r>
      <w:r>
        <w:rPr>
          <w:rFonts w:hint="eastAsia" w:ascii="宋体" w:hAnsi="宋体" w:cs="宋体"/>
          <w:color w:val="auto"/>
          <w:szCs w:val="21"/>
          <w:highlight w:val="none"/>
        </w:rPr>
        <w:t>起</w:t>
      </w:r>
      <w:r>
        <w:rPr>
          <w:rFonts w:hint="eastAsia" w:ascii="宋体" w:hAnsi="宋体" w:cs="宋体"/>
          <w:bCs/>
          <w:color w:val="auto"/>
          <w:szCs w:val="21"/>
          <w:highlight w:val="none"/>
        </w:rPr>
        <w:t>至2026年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21</w:t>
      </w:r>
      <w:r>
        <w:rPr>
          <w:rFonts w:hint="eastAsia" w:ascii="宋体" w:hAnsi="宋体" w:cs="宋体"/>
          <w:bCs/>
          <w:color w:val="auto"/>
          <w:szCs w:val="21"/>
          <w:highlight w:val="none"/>
        </w:rPr>
        <w:t>日，每天上午8：00至12：00，</w:t>
      </w:r>
      <w:r>
        <w:rPr>
          <w:rFonts w:hint="eastAsia"/>
          <w:color w:val="auto"/>
          <w:highlight w:val="none"/>
        </w:rPr>
        <w:t>下午3：00至6：00</w:t>
      </w:r>
      <w:r>
        <w:rPr>
          <w:rFonts w:hint="eastAsia" w:ascii="宋体" w:hAnsi="宋体" w:cs="宋体"/>
          <w:bCs/>
          <w:color w:val="auto"/>
          <w:szCs w:val="21"/>
          <w:highlight w:val="none"/>
        </w:rPr>
        <w:t>（北京时间，法定节假日除外）</w:t>
      </w:r>
    </w:p>
    <w:p w14:paraId="725BC564">
      <w:pPr>
        <w:spacing w:line="460" w:lineRule="exact"/>
        <w:ind w:firstLine="420"/>
        <w:rPr>
          <w:rFonts w:ascii="宋体" w:hAnsi="宋体" w:cs="宋体"/>
          <w:bCs/>
          <w:color w:val="auto"/>
          <w:szCs w:val="21"/>
          <w:highlight w:val="none"/>
        </w:rPr>
      </w:pPr>
      <w:r>
        <w:rPr>
          <w:rFonts w:hint="eastAsia" w:ascii="宋体" w:hAnsi="宋体" w:cs="宋体"/>
          <w:bCs/>
          <w:color w:val="auto"/>
          <w:szCs w:val="21"/>
          <w:highlight w:val="none"/>
        </w:rPr>
        <w:t>地点：广西政府采购云平台（https://www.gcy.zfcg.gxzf.gov.cn/）</w:t>
      </w:r>
    </w:p>
    <w:p w14:paraId="625E0F70">
      <w:pPr>
        <w:spacing w:line="460" w:lineRule="exact"/>
        <w:ind w:firstLine="42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color w:val="auto"/>
          <w:szCs w:val="21"/>
          <w:highlight w:val="none"/>
        </w:rPr>
        <w:t>电子响应文件制作需要基于广西政府采购云平台获取的磋商文件编制，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AA84D16">
      <w:pPr>
        <w:spacing w:line="460" w:lineRule="exact"/>
        <w:ind w:firstLine="420"/>
        <w:rPr>
          <w:rFonts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color w:val="auto"/>
          <w:szCs w:val="21"/>
          <w:highlight w:val="none"/>
          <w:u w:val="single"/>
        </w:rPr>
        <w:t>0</w:t>
      </w:r>
      <w:r>
        <w:rPr>
          <w:rFonts w:hint="eastAsia" w:ascii="宋体" w:hAnsi="宋体" w:cs="宋体"/>
          <w:color w:val="auto"/>
          <w:szCs w:val="21"/>
          <w:highlight w:val="none"/>
        </w:rPr>
        <w:t>元</w:t>
      </w:r>
    </w:p>
    <w:p w14:paraId="728CBDF9">
      <w:pPr>
        <w:spacing w:line="460" w:lineRule="exact"/>
        <w:ind w:firstLine="310"/>
        <w:rPr>
          <w:rFonts w:ascii="宋体" w:hAnsi="宋体" w:cs="宋体"/>
          <w:b/>
          <w:color w:val="auto"/>
          <w:szCs w:val="21"/>
          <w:highlight w:val="none"/>
        </w:rPr>
      </w:pPr>
      <w:bookmarkStart w:id="31" w:name="_Toc71365908"/>
      <w:r>
        <w:rPr>
          <w:rFonts w:hint="eastAsia" w:ascii="宋体" w:hAnsi="宋体" w:cs="宋体"/>
          <w:b/>
          <w:color w:val="auto"/>
          <w:szCs w:val="21"/>
          <w:highlight w:val="none"/>
        </w:rPr>
        <w:t>四、响应文件提交</w:t>
      </w:r>
      <w:bookmarkEnd w:id="26"/>
      <w:bookmarkEnd w:id="27"/>
      <w:bookmarkEnd w:id="28"/>
      <w:bookmarkEnd w:id="29"/>
      <w:bookmarkEnd w:id="30"/>
      <w:bookmarkEnd w:id="31"/>
    </w:p>
    <w:p w14:paraId="7C0D6315">
      <w:pPr>
        <w:spacing w:line="360" w:lineRule="auto"/>
        <w:ind w:firstLine="420"/>
        <w:rPr>
          <w:rFonts w:ascii="宋体" w:hAnsi="宋体" w:cs="宋体"/>
          <w:bCs/>
          <w:color w:val="auto"/>
          <w:szCs w:val="21"/>
          <w:highlight w:val="none"/>
        </w:rPr>
      </w:pPr>
      <w:bookmarkStart w:id="32" w:name="_Toc71365909"/>
      <w:bookmarkStart w:id="33" w:name="_Toc35393802"/>
      <w:bookmarkStart w:id="34" w:name="_Toc28359093"/>
      <w:bookmarkStart w:id="35" w:name="_Toc35393633"/>
      <w:bookmarkStart w:id="36" w:name="_Toc44229882"/>
      <w:bookmarkStart w:id="37" w:name="_Toc28359016"/>
      <w:r>
        <w:rPr>
          <w:rFonts w:hint="eastAsia" w:ascii="宋体" w:hAnsi="宋体" w:cs="宋体"/>
          <w:color w:val="auto"/>
          <w:szCs w:val="21"/>
          <w:highlight w:val="none"/>
        </w:rPr>
        <w:t>截止时间：</w:t>
      </w:r>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25</w:t>
      </w:r>
      <w:r>
        <w:rPr>
          <w:rFonts w:hint="eastAsia" w:ascii="宋体" w:hAnsi="宋体"/>
          <w:bCs/>
          <w:color w:val="auto"/>
          <w:szCs w:val="21"/>
          <w:highlight w:val="none"/>
        </w:rPr>
        <w:t>日</w:t>
      </w:r>
      <w:r>
        <w:rPr>
          <w:rFonts w:hint="eastAsia" w:ascii="宋体" w:hAnsi="宋体"/>
          <w:bCs/>
          <w:color w:val="auto"/>
          <w:szCs w:val="21"/>
          <w:highlight w:val="none"/>
          <w:lang w:val="en-US" w:eastAsia="zh-CN"/>
        </w:rPr>
        <w:t>10</w:t>
      </w:r>
      <w:r>
        <w:rPr>
          <w:rFonts w:hint="eastAsia" w:ascii="宋体" w:hAnsi="宋体"/>
          <w:bCs/>
          <w:color w:val="auto"/>
          <w:szCs w:val="21"/>
          <w:highlight w:val="none"/>
        </w:rPr>
        <w:t>:</w:t>
      </w:r>
      <w:r>
        <w:rPr>
          <w:rFonts w:hint="eastAsia" w:ascii="宋体" w:hAnsi="宋体"/>
          <w:bCs/>
          <w:color w:val="auto"/>
          <w:szCs w:val="21"/>
          <w:highlight w:val="none"/>
          <w:lang w:val="en-US" w:eastAsia="zh-CN"/>
        </w:rPr>
        <w:t>0</w:t>
      </w:r>
      <w:r>
        <w:rPr>
          <w:rFonts w:hint="eastAsia" w:ascii="宋体" w:hAnsi="宋体"/>
          <w:bCs/>
          <w:color w:val="auto"/>
          <w:szCs w:val="21"/>
          <w:highlight w:val="none"/>
        </w:rPr>
        <w:t>0（北京时间）</w:t>
      </w:r>
    </w:p>
    <w:p w14:paraId="12ACBCEC">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地点：广西政府采购云平台（https://www.gcy.zfcg.gxzf.gov.cn/）</w:t>
      </w:r>
    </w:p>
    <w:p w14:paraId="38C2DA8C">
      <w:pPr>
        <w:spacing w:line="460" w:lineRule="exact"/>
        <w:ind w:firstLine="310"/>
        <w:rPr>
          <w:rFonts w:ascii="宋体" w:hAnsi="宋体" w:cs="宋体"/>
          <w:b/>
          <w:color w:val="auto"/>
          <w:szCs w:val="21"/>
          <w:highlight w:val="none"/>
        </w:rPr>
      </w:pPr>
      <w:r>
        <w:rPr>
          <w:rFonts w:hint="eastAsia" w:ascii="宋体" w:hAnsi="宋体" w:cs="宋体"/>
          <w:b/>
          <w:color w:val="auto"/>
          <w:szCs w:val="21"/>
          <w:highlight w:val="none"/>
        </w:rPr>
        <w:t>五、开启</w:t>
      </w:r>
      <w:bookmarkEnd w:id="32"/>
      <w:bookmarkEnd w:id="33"/>
      <w:bookmarkEnd w:id="34"/>
      <w:bookmarkEnd w:id="35"/>
      <w:bookmarkEnd w:id="36"/>
      <w:bookmarkEnd w:id="37"/>
    </w:p>
    <w:p w14:paraId="73B92DCD">
      <w:pPr>
        <w:spacing w:line="360" w:lineRule="auto"/>
        <w:ind w:firstLine="420"/>
        <w:rPr>
          <w:rFonts w:ascii="宋体" w:hAnsi="宋体" w:cs="宋体"/>
          <w:bCs/>
          <w:color w:val="auto"/>
          <w:szCs w:val="21"/>
          <w:highlight w:val="none"/>
          <w:u w:val="single"/>
        </w:rPr>
      </w:pPr>
      <w:bookmarkStart w:id="38" w:name="_Toc44229883"/>
      <w:bookmarkStart w:id="39" w:name="_Toc35393803"/>
      <w:bookmarkStart w:id="40" w:name="_Toc35393634"/>
      <w:bookmarkStart w:id="41" w:name="_Toc71365910"/>
      <w:bookmarkStart w:id="42" w:name="_Toc28359094"/>
      <w:bookmarkStart w:id="43" w:name="_Toc28359017"/>
      <w:r>
        <w:rPr>
          <w:rFonts w:hint="eastAsia" w:ascii="宋体" w:hAnsi="宋体" w:cs="宋体"/>
          <w:color w:val="auto"/>
          <w:szCs w:val="21"/>
          <w:highlight w:val="none"/>
        </w:rPr>
        <w:t>1.时间：</w:t>
      </w:r>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25</w:t>
      </w:r>
      <w:r>
        <w:rPr>
          <w:rFonts w:hint="eastAsia" w:ascii="宋体" w:hAnsi="宋体"/>
          <w:bCs/>
          <w:color w:val="auto"/>
          <w:szCs w:val="21"/>
          <w:highlight w:val="none"/>
        </w:rPr>
        <w:t>日</w:t>
      </w:r>
      <w:r>
        <w:rPr>
          <w:rFonts w:hint="eastAsia" w:ascii="宋体" w:hAnsi="宋体"/>
          <w:bCs/>
          <w:color w:val="auto"/>
          <w:szCs w:val="21"/>
          <w:highlight w:val="none"/>
          <w:lang w:val="en-US" w:eastAsia="zh-CN"/>
        </w:rPr>
        <w:t>10</w:t>
      </w:r>
      <w:r>
        <w:rPr>
          <w:rFonts w:hint="eastAsia" w:ascii="宋体" w:hAnsi="宋体"/>
          <w:bCs/>
          <w:color w:val="auto"/>
          <w:szCs w:val="21"/>
          <w:highlight w:val="none"/>
        </w:rPr>
        <w:t>:</w:t>
      </w:r>
      <w:r>
        <w:rPr>
          <w:rFonts w:hint="eastAsia" w:ascii="宋体" w:hAnsi="宋体"/>
          <w:bCs/>
          <w:color w:val="auto"/>
          <w:szCs w:val="21"/>
          <w:highlight w:val="none"/>
          <w:lang w:val="en-US" w:eastAsia="zh-CN"/>
        </w:rPr>
        <w:t>0</w:t>
      </w:r>
      <w:r>
        <w:rPr>
          <w:rFonts w:hint="eastAsia" w:ascii="宋体" w:hAnsi="宋体"/>
          <w:bCs/>
          <w:color w:val="auto"/>
          <w:szCs w:val="21"/>
          <w:highlight w:val="none"/>
        </w:rPr>
        <w:t>0（北京时间）</w:t>
      </w:r>
    </w:p>
    <w:p w14:paraId="2BF8989F">
      <w:pPr>
        <w:spacing w:line="460" w:lineRule="exact"/>
        <w:ind w:firstLine="420"/>
        <w:rPr>
          <w:rFonts w:ascii="宋体" w:hAnsi="宋体" w:cs="宋体"/>
          <w:bCs/>
          <w:color w:val="auto"/>
          <w:szCs w:val="21"/>
          <w:highlight w:val="none"/>
        </w:rPr>
      </w:pPr>
      <w:r>
        <w:rPr>
          <w:rFonts w:hint="eastAsia" w:ascii="宋体" w:hAnsi="宋体" w:cs="宋体"/>
          <w:color w:val="auto"/>
          <w:szCs w:val="21"/>
          <w:highlight w:val="none"/>
        </w:rPr>
        <w:t>2.地点：广西政府采购云平台（https://www.gcy.zfcg.gxzf.gov.cn/）</w:t>
      </w:r>
    </w:p>
    <w:p w14:paraId="65B15786">
      <w:pPr>
        <w:spacing w:line="460" w:lineRule="exact"/>
        <w:ind w:firstLine="310"/>
        <w:rPr>
          <w:rFonts w:ascii="宋体" w:hAnsi="宋体" w:cs="宋体"/>
          <w:b/>
          <w:color w:val="auto"/>
          <w:szCs w:val="21"/>
          <w:highlight w:val="none"/>
        </w:rPr>
      </w:pPr>
      <w:r>
        <w:rPr>
          <w:rFonts w:hint="eastAsia" w:ascii="宋体" w:hAnsi="宋体" w:cs="宋体"/>
          <w:b/>
          <w:color w:val="auto"/>
          <w:szCs w:val="21"/>
          <w:highlight w:val="none"/>
        </w:rPr>
        <w:t>六、公告期限</w:t>
      </w:r>
      <w:bookmarkEnd w:id="38"/>
      <w:bookmarkEnd w:id="39"/>
      <w:bookmarkEnd w:id="40"/>
      <w:bookmarkEnd w:id="41"/>
      <w:bookmarkEnd w:id="42"/>
      <w:bookmarkEnd w:id="43"/>
    </w:p>
    <w:p w14:paraId="5EAE8098">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31620112">
      <w:pPr>
        <w:spacing w:line="460" w:lineRule="exact"/>
        <w:ind w:firstLine="310"/>
        <w:rPr>
          <w:rFonts w:ascii="宋体" w:hAnsi="宋体" w:cs="宋体"/>
          <w:b/>
          <w:color w:val="auto"/>
          <w:szCs w:val="21"/>
          <w:highlight w:val="none"/>
        </w:rPr>
      </w:pPr>
      <w:bookmarkStart w:id="44" w:name="_Toc44229884"/>
      <w:bookmarkStart w:id="45" w:name="_Toc35393804"/>
      <w:bookmarkStart w:id="46" w:name="_Toc35393635"/>
      <w:bookmarkStart w:id="47" w:name="_Toc71365911"/>
      <w:r>
        <w:rPr>
          <w:rFonts w:hint="eastAsia" w:ascii="宋体" w:hAnsi="宋体" w:cs="宋体"/>
          <w:b/>
          <w:color w:val="auto"/>
          <w:szCs w:val="21"/>
          <w:highlight w:val="none"/>
        </w:rPr>
        <w:t>七、其他补充事宜</w:t>
      </w:r>
      <w:bookmarkEnd w:id="44"/>
      <w:bookmarkEnd w:id="45"/>
      <w:bookmarkEnd w:id="46"/>
      <w:bookmarkEnd w:id="47"/>
    </w:p>
    <w:p w14:paraId="3D4D5F69">
      <w:pPr>
        <w:spacing w:line="360" w:lineRule="auto"/>
        <w:ind w:firstLine="420"/>
        <w:rPr>
          <w:rFonts w:ascii="宋体" w:hAnsi="宋体" w:cs="宋体"/>
          <w:color w:val="auto"/>
          <w:szCs w:val="21"/>
          <w:highlight w:val="none"/>
        </w:rPr>
      </w:pPr>
      <w:bookmarkStart w:id="48" w:name="_Toc35393805"/>
      <w:bookmarkStart w:id="49" w:name="_Toc28359018"/>
      <w:bookmarkStart w:id="50" w:name="_Toc44229885"/>
      <w:bookmarkStart w:id="51" w:name="_Toc35393636"/>
      <w:bookmarkStart w:id="52" w:name="_Toc28359095"/>
      <w:r>
        <w:rPr>
          <w:rFonts w:hint="eastAsia" w:ascii="宋体" w:hAnsi="宋体" w:cs="宋体"/>
          <w:color w:val="auto"/>
          <w:szCs w:val="21"/>
          <w:highlight w:val="none"/>
        </w:rPr>
        <w:t>1.网上查询地址</w:t>
      </w:r>
    </w:p>
    <w:p w14:paraId="52A5C337">
      <w:pPr>
        <w:spacing w:line="360" w:lineRule="auto"/>
        <w:ind w:firstLine="420"/>
        <w:rPr>
          <w:rFonts w:ascii="宋体" w:hAnsi="宋体" w:cs="宋体"/>
          <w:color w:val="auto"/>
          <w:szCs w:val="21"/>
          <w:highlight w:val="none"/>
        </w:rPr>
      </w:pPr>
      <w:bookmarkStart w:id="53" w:name="_Hlk37429674"/>
      <w:r>
        <w:rPr>
          <w:rFonts w:hint="eastAsia" w:ascii="宋体" w:hAnsi="宋体" w:cs="宋体"/>
          <w:color w:val="auto"/>
          <w:szCs w:val="21"/>
          <w:highlight w:val="none"/>
        </w:rPr>
        <w:t>www.ccgp.gov.cn（中国政府采购网）、zfcg.gxzf.gov.cn（广西壮族自治区政府采购网）、</w:t>
      </w:r>
      <w:r>
        <w:rPr>
          <w:rFonts w:ascii="宋体" w:hAnsi="宋体" w:cs="宋体"/>
          <w:color w:val="auto"/>
          <w:szCs w:val="21"/>
          <w:highlight w:val="none"/>
        </w:rPr>
        <w:t>http://117.141.250.58:10030/web/cgw/index.ptl</w:t>
      </w:r>
      <w:r>
        <w:rPr>
          <w:rFonts w:hint="eastAsia" w:ascii="宋体" w:hAnsi="宋体" w:cs="宋体"/>
          <w:color w:val="auto"/>
          <w:szCs w:val="21"/>
          <w:highlight w:val="none"/>
        </w:rPr>
        <w:t>（梧州市政府采购网）</w:t>
      </w:r>
    </w:p>
    <w:p w14:paraId="5114BE8B">
      <w:pPr>
        <w:spacing w:line="460" w:lineRule="exact"/>
        <w:ind w:firstLine="424"/>
        <w:rPr>
          <w:rFonts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76F06936">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7E8982DE">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（2）政府采购促进残疾人就业政策。</w:t>
      </w:r>
    </w:p>
    <w:p w14:paraId="42311D7E">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（3）政府采购支持监狱企业发展。</w:t>
      </w:r>
      <w:bookmarkEnd w:id="53"/>
    </w:p>
    <w:p w14:paraId="135A1C82">
      <w:pPr>
        <w:widowControl/>
        <w:spacing w:line="4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3.供应商竞标注意事项</w:t>
      </w:r>
    </w:p>
    <w:p w14:paraId="493515AA">
      <w:pPr>
        <w:widowControl/>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）实行在线电子竞标，供应商应按照本项目</w:t>
      </w:r>
      <w:r>
        <w:rPr>
          <w:rFonts w:hint="eastAsia"/>
          <w:color w:val="auto"/>
          <w:highlight w:val="none"/>
        </w:rPr>
        <w:t>竞争性磋商文件</w:t>
      </w:r>
      <w:r>
        <w:rPr>
          <w:rFonts w:hint="eastAsia" w:ascii="宋体" w:hAnsi="宋体"/>
          <w:color w:val="auto"/>
          <w:szCs w:val="21"/>
          <w:highlight w:val="none"/>
        </w:rPr>
        <w:t>和广西政府采购云平台的要求编制、加密后在响应文件提交截止时间前通过网络上传至广西政府采购云平台（加密的电子响应文件是指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cs="宋体"/>
          <w:color w:val="auto"/>
          <w:szCs w:val="21"/>
          <w:highlight w:val="none"/>
        </w:rPr>
        <w:t>，</w:t>
      </w:r>
      <w:r>
        <w:rPr>
          <w:rFonts w:hint="eastAsia" w:ascii="宋体" w:hAnsi="宋体" w:cs="宋体"/>
          <w:b/>
          <w:color w:val="auto"/>
          <w:szCs w:val="21"/>
          <w:highlight w:val="none"/>
        </w:rPr>
        <w:t>供应商在广西政府采购云平台提交电子响应文件时，请填写参加远程采购活动经办人联系方式。</w:t>
      </w:r>
      <w:r>
        <w:rPr>
          <w:rFonts w:hint="eastAsia" w:ascii="宋体" w:hAnsi="宋体" w:cs="宋体"/>
          <w:color w:val="auto"/>
          <w:szCs w:val="21"/>
          <w:highlight w:val="none"/>
        </w:rPr>
        <w:t>供应商登录广西政府采购云平台，依次进入“服务中心-项目采购-操作流程-电子招投标-政府采购项目电子交易管理操作指南-供应商”查看电子竞标具体操作流程。</w:t>
      </w:r>
    </w:p>
    <w:p w14:paraId="2FF1A2BD">
      <w:pPr>
        <w:widowControl/>
        <w:spacing w:line="4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如在操作过程中遇到问题或者需要技术支持，请致电广西政府采购云平台客服热线：95763或者0771-3381253</w:t>
      </w:r>
      <w:r>
        <w:rPr>
          <w:rFonts w:hint="eastAsia" w:ascii="宋体" w:hAnsi="宋体" w:cs="宋体"/>
          <w:color w:val="auto"/>
          <w:szCs w:val="21"/>
          <w:highlight w:val="none"/>
        </w:rPr>
        <w:t>）。</w:t>
      </w:r>
    </w:p>
    <w:p w14:paraId="44F52A97">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B8FF4F8">
      <w:pPr>
        <w:widowControl/>
        <w:spacing w:line="460" w:lineRule="exact"/>
        <w:ind w:firstLine="420"/>
        <w:jc w:val="left"/>
        <w:rPr>
          <w:rFonts w:ascii="宋体" w:hAnsi="宋体" w:cs="宋体"/>
          <w:bCs/>
          <w:color w:val="auto"/>
          <w:szCs w:val="21"/>
          <w:highlight w:val="none"/>
        </w:rPr>
      </w:pPr>
      <w:r>
        <w:rPr>
          <w:rFonts w:hint="eastAsia" w:ascii="宋体" w:hAnsi="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0F8FFF5">
      <w:pPr>
        <w:spacing w:line="46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505F0D97">
      <w:pPr>
        <w:spacing w:line="460" w:lineRule="exact"/>
        <w:ind w:firstLine="310"/>
        <w:rPr>
          <w:rFonts w:ascii="宋体" w:hAnsi="宋体" w:cs="宋体"/>
          <w:b/>
          <w:color w:val="auto"/>
          <w:szCs w:val="21"/>
          <w:highlight w:val="none"/>
        </w:rPr>
      </w:pPr>
      <w:r>
        <w:rPr>
          <w:rFonts w:hint="eastAsia" w:ascii="宋体" w:hAnsi="宋体" w:cs="宋体"/>
          <w:b/>
          <w:color w:val="auto"/>
          <w:szCs w:val="21"/>
          <w:highlight w:val="none"/>
        </w:rPr>
        <w:t>八、凡对本次采购提出询问，请按以下方式联系。</w:t>
      </w:r>
      <w:bookmarkEnd w:id="48"/>
      <w:bookmarkEnd w:id="49"/>
      <w:bookmarkEnd w:id="50"/>
      <w:bookmarkEnd w:id="51"/>
      <w:bookmarkEnd w:id="52"/>
    </w:p>
    <w:p w14:paraId="0AB0462C">
      <w:pPr>
        <w:spacing w:line="460" w:lineRule="exact"/>
        <w:ind w:firstLine="420"/>
        <w:rPr>
          <w:rFonts w:ascii="宋体" w:hAnsi="宋体" w:cs="宋体"/>
          <w:color w:val="auto"/>
          <w:szCs w:val="21"/>
          <w:highlight w:val="none"/>
        </w:rPr>
      </w:pPr>
      <w:bookmarkStart w:id="54" w:name="_Toc35393637"/>
      <w:bookmarkStart w:id="55" w:name="_Toc35393806"/>
      <w:bookmarkStart w:id="56" w:name="_Toc28359096"/>
      <w:bookmarkStart w:id="57" w:name="_Toc28359019"/>
      <w:r>
        <w:rPr>
          <w:rFonts w:hint="eastAsia" w:ascii="宋体" w:hAnsi="宋体" w:cs="宋体"/>
          <w:color w:val="auto"/>
          <w:szCs w:val="21"/>
          <w:highlight w:val="none"/>
        </w:rPr>
        <w:t>1.采购人信息</w:t>
      </w:r>
      <w:bookmarkEnd w:id="54"/>
      <w:bookmarkEnd w:id="55"/>
      <w:bookmarkEnd w:id="56"/>
      <w:bookmarkEnd w:id="57"/>
    </w:p>
    <w:p w14:paraId="4F0D182D">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名    称：苍梧县人力资源和社会保障局</w:t>
      </w:r>
    </w:p>
    <w:p w14:paraId="6891FA4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s="宋体"/>
          <w:color w:val="auto"/>
          <w:highlight w:val="none"/>
        </w:rPr>
        <w:t>苍梧县石桥镇政泰路人社大楼</w:t>
      </w:r>
    </w:p>
    <w:p w14:paraId="345228C0">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联系方式：罗美娟 0774-2682634</w:t>
      </w:r>
    </w:p>
    <w:p w14:paraId="1821557C">
      <w:pPr>
        <w:spacing w:line="360" w:lineRule="auto"/>
        <w:ind w:firstLine="420"/>
        <w:rPr>
          <w:rFonts w:ascii="宋体" w:hAnsi="宋体" w:cs="宋体"/>
          <w:color w:val="auto"/>
          <w:szCs w:val="21"/>
          <w:highlight w:val="none"/>
        </w:rPr>
      </w:pPr>
      <w:bookmarkStart w:id="58" w:name="_Toc28359020"/>
      <w:bookmarkStart w:id="59" w:name="_Toc28359097"/>
      <w:bookmarkStart w:id="60" w:name="_Toc35393807"/>
      <w:bookmarkStart w:id="61" w:name="_Toc35393638"/>
    </w:p>
    <w:p w14:paraId="051FD96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2.采购代理机构信息</w:t>
      </w:r>
      <w:bookmarkEnd w:id="58"/>
      <w:bookmarkEnd w:id="59"/>
      <w:bookmarkEnd w:id="60"/>
    </w:p>
    <w:p w14:paraId="07E00963">
      <w:pPr>
        <w:spacing w:line="360" w:lineRule="auto"/>
        <w:ind w:firstLine="420"/>
        <w:rPr>
          <w:rFonts w:ascii="宋体" w:hAnsi="宋体"/>
          <w:color w:val="auto"/>
          <w:szCs w:val="21"/>
          <w:highlight w:val="none"/>
        </w:rPr>
      </w:pPr>
      <w:r>
        <w:rPr>
          <w:rFonts w:hint="eastAsia" w:ascii="宋体" w:hAnsi="宋体"/>
          <w:color w:val="auto"/>
          <w:szCs w:val="21"/>
          <w:highlight w:val="none"/>
        </w:rPr>
        <w:t>名    称：云之龙咨询集团有限公司</w:t>
      </w:r>
    </w:p>
    <w:p w14:paraId="3E5661CE">
      <w:pPr>
        <w:spacing w:line="360" w:lineRule="auto"/>
        <w:ind w:firstLine="420"/>
        <w:rPr>
          <w:rFonts w:ascii="宋体" w:hAnsi="宋体"/>
          <w:color w:val="auto"/>
          <w:szCs w:val="21"/>
          <w:highlight w:val="none"/>
        </w:rPr>
      </w:pPr>
      <w:r>
        <w:rPr>
          <w:rFonts w:hint="eastAsia" w:ascii="宋体" w:hAnsi="宋体"/>
          <w:color w:val="auto"/>
          <w:szCs w:val="21"/>
          <w:highlight w:val="none"/>
        </w:rPr>
        <w:t>地　　址：苍梧县石桥镇龙圣新城开发区A01号</w:t>
      </w:r>
    </w:p>
    <w:p w14:paraId="49391058">
      <w:pPr>
        <w:spacing w:line="360" w:lineRule="auto"/>
        <w:ind w:firstLine="420"/>
        <w:rPr>
          <w:rFonts w:ascii="宋体" w:hAnsi="宋体"/>
          <w:color w:val="auto"/>
          <w:szCs w:val="21"/>
          <w:highlight w:val="none"/>
        </w:rPr>
      </w:pPr>
      <w:r>
        <w:rPr>
          <w:rFonts w:hint="eastAsia" w:ascii="宋体" w:hAnsi="宋体"/>
          <w:color w:val="auto"/>
          <w:szCs w:val="21"/>
          <w:highlight w:val="none"/>
        </w:rPr>
        <w:t>联系方式：黄泳瑜、陈丽莹，0774-3859935</w:t>
      </w:r>
    </w:p>
    <w:p w14:paraId="0F1D0743">
      <w:pPr>
        <w:spacing w:line="360" w:lineRule="auto"/>
        <w:ind w:firstLine="420"/>
        <w:rPr>
          <w:rFonts w:ascii="宋体" w:hAnsi="宋体" w:cs="宋体"/>
          <w:color w:val="auto"/>
          <w:szCs w:val="21"/>
          <w:highlight w:val="none"/>
        </w:rPr>
      </w:pPr>
      <w:bookmarkStart w:id="62" w:name="_Toc35393639"/>
      <w:bookmarkStart w:id="63" w:name="_Toc35393808"/>
      <w:bookmarkStart w:id="64" w:name="_Toc28359098"/>
      <w:bookmarkStart w:id="65" w:name="_Toc28359021"/>
    </w:p>
    <w:p w14:paraId="770B4DD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3.项目联系</w:t>
      </w:r>
      <w:r>
        <w:rPr>
          <w:rFonts w:ascii="宋体" w:hAnsi="宋体" w:cs="宋体"/>
          <w:color w:val="auto"/>
          <w:szCs w:val="21"/>
          <w:highlight w:val="none"/>
        </w:rPr>
        <w:t>方式</w:t>
      </w:r>
      <w:bookmarkEnd w:id="61"/>
      <w:bookmarkEnd w:id="62"/>
      <w:bookmarkEnd w:id="63"/>
      <w:bookmarkEnd w:id="64"/>
    </w:p>
    <w:p w14:paraId="6D956D1D">
      <w:pPr>
        <w:pStyle w:val="255"/>
        <w:spacing w:line="360" w:lineRule="auto"/>
        <w:ind w:firstLine="420"/>
        <w:rPr>
          <w:rFonts w:hAnsi="宋体"/>
          <w:color w:val="auto"/>
          <w:sz w:val="21"/>
          <w:highlight w:val="none"/>
        </w:rPr>
      </w:pPr>
      <w:r>
        <w:rPr>
          <w:rFonts w:hint="eastAsia" w:hAnsi="宋体"/>
          <w:color w:val="auto"/>
          <w:sz w:val="21"/>
          <w:highlight w:val="none"/>
        </w:rPr>
        <w:t>项目联系人：黄泳瑜、陈丽莹</w:t>
      </w:r>
    </w:p>
    <w:p w14:paraId="2D7E5BE7">
      <w:pPr>
        <w:spacing w:line="360" w:lineRule="auto"/>
        <w:ind w:firstLine="420"/>
        <w:rPr>
          <w:rFonts w:ascii="宋体" w:hAnsi="宋体"/>
          <w:color w:val="auto"/>
          <w:szCs w:val="21"/>
          <w:highlight w:val="none"/>
        </w:rPr>
      </w:pPr>
      <w:r>
        <w:rPr>
          <w:rFonts w:hint="eastAsia" w:ascii="宋体" w:hAnsi="宋体"/>
          <w:color w:val="auto"/>
          <w:szCs w:val="21"/>
          <w:highlight w:val="none"/>
        </w:rPr>
        <w:t>电　　话：</w:t>
      </w:r>
      <w:r>
        <w:rPr>
          <w:rFonts w:ascii="宋体" w:hAnsi="宋体"/>
          <w:color w:val="auto"/>
          <w:szCs w:val="21"/>
          <w:highlight w:val="none"/>
        </w:rPr>
        <w:t>0774-3859935</w:t>
      </w:r>
      <w:bookmarkEnd w:id="5"/>
      <w:bookmarkEnd w:id="65"/>
    </w:p>
    <w:p w14:paraId="1FC27C60">
      <w:pPr>
        <w:spacing w:line="360" w:lineRule="auto"/>
        <w:ind w:firstLine="420"/>
        <w:rPr>
          <w:rFonts w:ascii="宋体" w:hAnsi="宋体" w:cs="宋体"/>
          <w:color w:val="auto"/>
          <w:szCs w:val="21"/>
          <w:highlight w:val="none"/>
          <w:u w:val="single"/>
        </w:rPr>
      </w:pPr>
    </w:p>
    <w:p w14:paraId="35464BAD">
      <w:pPr>
        <w:pStyle w:val="3"/>
        <w:spacing w:line="360" w:lineRule="auto"/>
        <w:jc w:val="center"/>
        <w:rPr>
          <w:rFonts w:ascii="宋体" w:hAnsi="宋体" w:cs="宋体"/>
          <w:color w:val="auto"/>
          <w:highlight w:val="none"/>
        </w:rPr>
      </w:pPr>
      <w:r>
        <w:rPr>
          <w:rFonts w:hint="eastAsia" w:ascii="宋体" w:hAnsi="宋体" w:cs="宋体"/>
          <w:color w:val="auto"/>
          <w:sz w:val="32"/>
          <w:szCs w:val="32"/>
          <w:highlight w:val="none"/>
        </w:rPr>
        <w:br w:type="page" w:clear="all"/>
      </w:r>
      <w:bookmarkStart w:id="66" w:name="_Toc74323457"/>
      <w:r>
        <w:rPr>
          <w:rFonts w:hint="eastAsia" w:ascii="宋体" w:hAnsi="宋体" w:cs="宋体"/>
          <w:color w:val="auto"/>
          <w:highlight w:val="none"/>
        </w:rPr>
        <w:t>第二章 供应商须知</w:t>
      </w:r>
      <w:bookmarkEnd w:id="66"/>
    </w:p>
    <w:p w14:paraId="0909B708">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4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0862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465CA16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noWrap/>
          </w:tcPr>
          <w:p w14:paraId="48745F6B">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40AF2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E6DC8C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noWrap/>
            <w:vAlign w:val="center"/>
          </w:tcPr>
          <w:p w14:paraId="58214DD0">
            <w:pPr>
              <w:spacing w:line="360" w:lineRule="auto"/>
              <w:rPr>
                <w:rFonts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777336B4">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12494812">
            <w:pPr>
              <w:spacing w:line="360" w:lineRule="auto"/>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AA1773B">
            <w:pPr>
              <w:spacing w:line="360" w:lineRule="auto"/>
              <w:rPr>
                <w:rFonts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E265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71CD4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noWrap/>
            <w:vAlign w:val="center"/>
          </w:tcPr>
          <w:p w14:paraId="74B63738">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7F0E2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B43B8A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7912" w:type="dxa"/>
            <w:noWrap/>
            <w:vAlign w:val="center"/>
          </w:tcPr>
          <w:p w14:paraId="5288409D">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本项目不接受联合体。</w:t>
            </w:r>
          </w:p>
        </w:tc>
      </w:tr>
      <w:tr w14:paraId="0B5B8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D9DA3F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noWrap/>
            <w:vAlign w:val="center"/>
          </w:tcPr>
          <w:p w14:paraId="289150FE">
            <w:pPr>
              <w:pStyle w:val="17"/>
              <w:spacing w:line="360" w:lineRule="auto"/>
              <w:rPr>
                <w:rFonts w:ascii="宋体" w:hAnsi="宋体" w:cs="宋体"/>
                <w:color w:val="auto"/>
                <w:szCs w:val="21"/>
                <w:highlight w:val="none"/>
              </w:rPr>
            </w:pPr>
            <w:r>
              <w:rPr>
                <w:rFonts w:hint="eastAsia" w:ascii="宋体" w:hAnsi="宋体" w:cs="宋体"/>
                <w:color w:val="auto"/>
                <w:szCs w:val="21"/>
                <w:highlight w:val="none"/>
              </w:rPr>
              <w:t>不允许分包或转包。</w:t>
            </w:r>
          </w:p>
        </w:tc>
      </w:tr>
      <w:tr w14:paraId="216DC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9C7BF3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7912" w:type="dxa"/>
            <w:noWrap/>
            <w:vAlign w:val="center"/>
          </w:tcPr>
          <w:p w14:paraId="5BC0521B">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778F6BE7">
            <w:pPr>
              <w:pStyle w:val="17"/>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6BC343D">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2026年5月至响应文件提交截止时间内任意1个月的依法缴纳税收的凭据复印件；依法免税的，必须提供相应文件证明其依法免税。从成立之日起到响应文件提交截止时间止不足要求月数的，不需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9F8F74">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[2026年5月至响应文件提交截止时间内任意1个月的依法缴纳社会保障资金的缴费凭证（如：专用收据、社会保险缴纳清单或者社保部门的证明等）复印件；依法不需要缴纳社会保障资金的，必须提供相应文件证明不需要缴纳社会保障资金。从成立之日起到响应文件提交截止时间止不足要求月数的，不需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6556AA4">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供应商财务状况报告（2025年度财务报表复印件，或者银行出具的资信证明，或者中国人民银行征信中心出具的信用报告（企业竞标的提供企业信用报告，自然人竞标的提供个人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458CF88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9AFF36B">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1040A6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7.竞标声明（格式后附）；（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3D5224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8.供应商具有人力资源和社会保障部门颁发的有效的《人力资源服务许可证》；（</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BA3A1EF">
            <w:pPr>
              <w:spacing w:line="460" w:lineRule="exact"/>
              <w:rPr>
                <w:rFonts w:ascii="宋体" w:hAnsi="宋体" w:cs="宋体"/>
                <w:color w:val="auto"/>
                <w:szCs w:val="21"/>
                <w:highlight w:val="none"/>
              </w:rPr>
            </w:pPr>
            <w:r>
              <w:rPr>
                <w:rFonts w:hint="eastAsia" w:ascii="宋体" w:hAnsi="宋体" w:cs="宋体"/>
                <w:color w:val="auto"/>
                <w:szCs w:val="21"/>
                <w:highlight w:val="none"/>
              </w:rPr>
              <w:t>9.中小企业声明函（格式后附）【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b/>
                <w:color w:val="auto"/>
                <w:szCs w:val="21"/>
                <w:highlight w:val="none"/>
              </w:rPr>
              <w:t>必</w:t>
            </w:r>
            <w:r>
              <w:rPr>
                <w:rFonts w:hint="eastAsia" w:ascii="宋体" w:hAnsi="宋体" w:cs="宋体"/>
                <w:b/>
                <w:bCs/>
                <w:color w:val="auto"/>
                <w:szCs w:val="21"/>
                <w:highlight w:val="none"/>
              </w:rPr>
              <w:t>须提供，否则响应文件按无效响应处理）</w:t>
            </w:r>
          </w:p>
          <w:p w14:paraId="488B8DD8">
            <w:pPr>
              <w:spacing w:line="460" w:lineRule="exact"/>
              <w:rPr>
                <w:rFonts w:ascii="宋体" w:hAnsi="宋体" w:cs="宋体"/>
                <w:color w:val="auto"/>
                <w:szCs w:val="21"/>
                <w:highlight w:val="none"/>
              </w:rPr>
            </w:pPr>
            <w:r>
              <w:rPr>
                <w:rFonts w:hint="eastAsia" w:ascii="宋体" w:hAnsi="宋体" w:cs="宋体"/>
                <w:color w:val="auto"/>
                <w:szCs w:val="21"/>
                <w:highlight w:val="none"/>
              </w:rPr>
              <w:t>10.除磋商文件规定必须提供以外，供应商认为需要提供的其他证明材料。</w:t>
            </w:r>
          </w:p>
          <w:p w14:paraId="0799476C">
            <w:pPr>
              <w:spacing w:line="460" w:lineRule="exact"/>
              <w:rPr>
                <w:rFonts w:ascii="宋体" w:hAnsi="宋体" w:cs="宋体"/>
                <w:b/>
                <w:color w:val="auto"/>
                <w:szCs w:val="21"/>
                <w:highlight w:val="none"/>
              </w:rPr>
            </w:pPr>
            <w:r>
              <w:rPr>
                <w:rFonts w:hint="eastAsia" w:ascii="宋体" w:hAnsi="宋体" w:cs="宋体"/>
                <w:b/>
                <w:bCs/>
                <w:color w:val="auto"/>
                <w:szCs w:val="21"/>
                <w:highlight w:val="none"/>
              </w:rPr>
              <w:t>注：以上标明“必须提供”</w:t>
            </w:r>
            <w:r>
              <w:rPr>
                <w:rFonts w:hint="eastAsia" w:ascii="宋体" w:hAnsi="宋体" w:cs="宋体"/>
                <w:b/>
                <w:color w:val="auto"/>
                <w:szCs w:val="21"/>
                <w:highlight w:val="none"/>
              </w:rPr>
              <w:t>的材料属于复印件的，必须加盖供应商电子签章，否则响应文件按无效处理。</w:t>
            </w:r>
          </w:p>
        </w:tc>
      </w:tr>
      <w:tr w14:paraId="5CA8B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487A69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noWrap/>
            <w:vAlign w:val="center"/>
          </w:tcPr>
          <w:p w14:paraId="3F7192AE">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401B7668">
            <w:pPr>
              <w:spacing w:line="360" w:lineRule="auto"/>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bCs/>
                <w:color w:val="auto"/>
                <w:szCs w:val="21"/>
                <w:highlight w:val="none"/>
              </w:rPr>
              <w:t>（必须提供，否则响应文件按无效处理）</w:t>
            </w:r>
          </w:p>
          <w:p w14:paraId="1FD62B66">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供应商认为需要提供的其他有关资料。</w:t>
            </w:r>
          </w:p>
        </w:tc>
      </w:tr>
      <w:tr w14:paraId="06CF1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B3818B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7912" w:type="dxa"/>
            <w:noWrap/>
            <w:vAlign w:val="center"/>
          </w:tcPr>
          <w:p w14:paraId="019CD519">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21909A8B">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AB520A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FAB3F98">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69328CD0">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CBA2B62">
            <w:pPr>
              <w:spacing w:line="360" w:lineRule="auto"/>
              <w:rPr>
                <w:rFonts w:ascii="宋体" w:hAnsi="宋体" w:cs="宋体"/>
                <w:color w:val="auto"/>
                <w:szCs w:val="21"/>
                <w:highlight w:val="none"/>
              </w:rPr>
            </w:pPr>
            <w:r>
              <w:rPr>
                <w:rFonts w:hint="eastAsia" w:ascii="宋体" w:hAnsi="宋体" w:cs="宋体"/>
                <w:color w:val="auto"/>
                <w:szCs w:val="21"/>
                <w:highlight w:val="none"/>
              </w:rPr>
              <w:t>5.技术需求偏离表（格式后附）；（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3F899C3">
            <w:pPr>
              <w:spacing w:line="360" w:lineRule="auto"/>
              <w:rPr>
                <w:rFonts w:ascii="宋体" w:hAnsi="宋体" w:cs="宋体"/>
                <w:color w:val="auto"/>
                <w:szCs w:val="21"/>
                <w:highlight w:val="none"/>
              </w:rPr>
            </w:pPr>
            <w:r>
              <w:rPr>
                <w:rFonts w:hint="eastAsia" w:ascii="宋体" w:hAnsi="宋体" w:cs="宋体"/>
                <w:color w:val="auto"/>
                <w:szCs w:val="21"/>
                <w:highlight w:val="none"/>
              </w:rPr>
              <w:t>6.项目实施人员一览表（格式后附）；（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4D4F339">
            <w:pPr>
              <w:spacing w:line="360" w:lineRule="auto"/>
              <w:rPr>
                <w:rFonts w:ascii="宋体" w:hAnsi="宋体" w:cs="宋体"/>
                <w:color w:val="auto"/>
                <w:szCs w:val="21"/>
                <w:highlight w:val="none"/>
              </w:rPr>
            </w:pPr>
            <w:r>
              <w:rPr>
                <w:rFonts w:hint="eastAsia" w:ascii="宋体" w:hAnsi="宋体" w:cs="宋体"/>
                <w:color w:val="auto"/>
                <w:szCs w:val="21"/>
                <w:highlight w:val="none"/>
              </w:rPr>
              <w:t>7.</w:t>
            </w:r>
            <w:r>
              <w:rPr>
                <w:rFonts w:hint="eastAsia"/>
                <w:color w:val="auto"/>
                <w:highlight w:val="none"/>
              </w:rPr>
              <w:t>服务实施方案</w:t>
            </w:r>
            <w:r>
              <w:rPr>
                <w:rFonts w:hint="eastAsia" w:ascii="宋体" w:hAnsi="宋体" w:cs="宋体"/>
                <w:color w:val="auto"/>
                <w:szCs w:val="21"/>
                <w:highlight w:val="none"/>
              </w:rPr>
              <w:t>（格式自拟）；（如有）</w:t>
            </w:r>
          </w:p>
          <w:p w14:paraId="71BE09FA">
            <w:pPr>
              <w:spacing w:line="360" w:lineRule="auto"/>
              <w:rPr>
                <w:rFonts w:ascii="宋体" w:hAnsi="宋体" w:cs="宋体"/>
                <w:color w:val="auto"/>
                <w:szCs w:val="21"/>
                <w:highlight w:val="none"/>
              </w:rPr>
            </w:pPr>
            <w:r>
              <w:rPr>
                <w:rFonts w:hint="eastAsia" w:ascii="宋体" w:hAnsi="宋体" w:cs="宋体"/>
                <w:color w:val="auto"/>
                <w:szCs w:val="21"/>
                <w:highlight w:val="none"/>
              </w:rPr>
              <w:t>8.采购代理服务费承诺书</w:t>
            </w:r>
            <w:r>
              <w:rPr>
                <w:rFonts w:hint="eastAsia"/>
                <w:color w:val="auto"/>
                <w:szCs w:val="21"/>
                <w:highlight w:val="none"/>
              </w:rPr>
              <w:t>（格式后附）；</w:t>
            </w:r>
          </w:p>
          <w:p w14:paraId="77FE9A61">
            <w:pPr>
              <w:spacing w:line="360" w:lineRule="auto"/>
              <w:rPr>
                <w:rFonts w:ascii="宋体" w:hAnsi="宋体" w:cs="宋体"/>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14:paraId="4DB85CED">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w:t>
            </w:r>
            <w:r>
              <w:rPr>
                <w:rFonts w:hint="eastAsia" w:ascii="宋体" w:hAnsi="宋体" w:cs="宋体"/>
                <w:b/>
                <w:bCs/>
                <w:color w:val="auto"/>
                <w:szCs w:val="21"/>
                <w:highlight w:val="none"/>
              </w:rPr>
              <w:t>电子签章</w:t>
            </w:r>
            <w:r>
              <w:rPr>
                <w:rFonts w:hint="eastAsia" w:ascii="宋体" w:hAnsi="宋体" w:cs="宋体"/>
                <w:b/>
                <w:color w:val="auto"/>
                <w:szCs w:val="21"/>
                <w:highlight w:val="none"/>
              </w:rPr>
              <w:t>，否则响应文件按无效响应处理。</w:t>
            </w:r>
          </w:p>
        </w:tc>
      </w:tr>
      <w:tr w14:paraId="02D06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992" w:type="dxa"/>
            <w:noWrap/>
            <w:vAlign w:val="center"/>
          </w:tcPr>
          <w:p w14:paraId="6996794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noWrap/>
            <w:vAlign w:val="center"/>
          </w:tcPr>
          <w:p w14:paraId="57598276">
            <w:pPr>
              <w:spacing w:line="360" w:lineRule="auto"/>
              <w:contextualSpacing/>
              <w:jc w:val="left"/>
              <w:rPr>
                <w:rFonts w:ascii="宋体" w:hAnsi="宋体" w:cs="宋体"/>
                <w:color w:val="auto"/>
                <w:szCs w:val="21"/>
                <w:highlight w:val="none"/>
              </w:rPr>
            </w:pPr>
            <w:r>
              <w:rPr>
                <w:rFonts w:hint="eastAsia" w:ascii="宋体" w:hAnsi="宋体"/>
                <w:color w:val="auto"/>
                <w:szCs w:val="21"/>
                <w:highlight w:val="none"/>
              </w:rPr>
              <w:t>竞标报价是履行合同的最终价格，</w:t>
            </w:r>
            <w:r>
              <w:rPr>
                <w:rFonts w:hint="eastAsia" w:ascii="宋体" w:hAnsi="宋体" w:cs="宋体"/>
                <w:color w:val="auto"/>
                <w:szCs w:val="21"/>
                <w:highlight w:val="none"/>
              </w:rPr>
              <w:t>包含但不限于苍梧县7个就业服务站和3个零工市场站点以及9个村级就业服务站驻场人员薪资福利费、宣传费用、服务对接、电费、税费、管理费用等运营项目所产生的所有费用。供应商应综合考虑在报价中，</w:t>
            </w:r>
            <w:r>
              <w:rPr>
                <w:rFonts w:hint="eastAsia" w:ascii="宋体" w:hAnsi="宋体"/>
                <w:bCs/>
                <w:color w:val="auto"/>
                <w:szCs w:val="21"/>
                <w:highlight w:val="none"/>
              </w:rPr>
              <w:t>除合同价款及采购人认可的特殊情况外，采购人不再为本项目另付其他任何费用给成交供应商</w:t>
            </w:r>
          </w:p>
        </w:tc>
      </w:tr>
      <w:tr w14:paraId="5677B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A35C46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7912" w:type="dxa"/>
            <w:noWrap/>
            <w:vAlign w:val="center"/>
          </w:tcPr>
          <w:p w14:paraId="5DE59223">
            <w:pPr>
              <w:pStyle w:val="14"/>
              <w:widowControl w:val="0"/>
              <w:tabs>
                <w:tab w:val="clear" w:pos="454"/>
              </w:tabs>
              <w:spacing w:line="360" w:lineRule="auto"/>
              <w:ind w:left="283" w:hanging="283"/>
              <w:jc w:val="both"/>
              <w:rPr>
                <w:rFonts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1B77F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46ECAE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shd w:val="clear" w:color="auto" w:fill="auto"/>
            <w:noWrap/>
            <w:vAlign w:val="center"/>
          </w:tcPr>
          <w:p w14:paraId="1560A1F2">
            <w:pPr>
              <w:spacing w:line="360" w:lineRule="auto"/>
              <w:rPr>
                <w:rFonts w:ascii="宋体" w:hAnsi="宋体"/>
                <w:color w:val="auto"/>
                <w:szCs w:val="21"/>
                <w:highlight w:val="none"/>
              </w:rPr>
            </w:pPr>
            <w:r>
              <w:rPr>
                <w:rFonts w:hint="eastAsia" w:ascii="宋体" w:hAnsi="宋体"/>
                <w:color w:val="auto"/>
                <w:szCs w:val="21"/>
                <w:highlight w:val="none"/>
              </w:rPr>
              <w:t>☑本项目不收取磋商保证金。</w:t>
            </w:r>
          </w:p>
          <w:p w14:paraId="6F898380">
            <w:pPr>
              <w:spacing w:line="360" w:lineRule="auto"/>
              <w:rPr>
                <w:rFonts w:ascii="宋体" w:hAnsi="宋体"/>
                <w:color w:val="auto"/>
                <w:szCs w:val="21"/>
                <w:highlight w:val="none"/>
              </w:rPr>
            </w:pPr>
            <w:r>
              <w:rPr>
                <w:rFonts w:hint="eastAsia" w:ascii="宋体" w:hAnsi="宋体"/>
                <w:color w:val="auto"/>
                <w:szCs w:val="21"/>
                <w:highlight w:val="none"/>
              </w:rPr>
              <w:t>□本项目收取磋商保证金，具体规定如下：</w:t>
            </w:r>
          </w:p>
          <w:p w14:paraId="04C3B26C">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磋商保证金人民币</w:t>
            </w:r>
            <w:r>
              <w:rPr>
                <w:rFonts w:ascii="宋体" w:hAnsi="宋体" w:cs="宋体"/>
                <w:color w:val="auto"/>
                <w:szCs w:val="21"/>
                <w:highlight w:val="none"/>
                <w:u w:val="single"/>
              </w:rPr>
              <w:t>0.</w:t>
            </w:r>
            <w:r>
              <w:rPr>
                <w:rFonts w:hint="eastAsia" w:ascii="宋体" w:hAnsi="宋体" w:cs="宋体"/>
                <w:color w:val="auto"/>
                <w:szCs w:val="21"/>
                <w:highlight w:val="none"/>
                <w:u w:val="single"/>
              </w:rPr>
              <w:t xml:space="preserve">0元 </w:t>
            </w:r>
            <w:r>
              <w:rPr>
                <w:rFonts w:hint="eastAsia" w:ascii="宋体" w:hAnsi="宋体" w:cs="宋体"/>
                <w:color w:val="auto"/>
                <w:szCs w:val="21"/>
                <w:highlight w:val="none"/>
              </w:rPr>
              <w:t>。</w:t>
            </w:r>
          </w:p>
          <w:p w14:paraId="36BA0978">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磋商保证金的交纳方式：银行转账、支票、汇票、本票或者银行、保险机构出具的保函（包含电子保函），禁止采用现钞方式。采用银行转账方式的，在响应文件提交截止时间前交至指定账户并且到账（户名：/ ，开户行：/ ，账号：/ ）；采用支票、汇票、本票或者保函等方式的，在响应文件提交截止时间前，供应商必须提交单独密封的支票、汇票、本票或者保函原件（电子保函</w:t>
            </w:r>
            <w:r>
              <w:rPr>
                <w:rFonts w:hint="eastAsia"/>
                <w:color w:val="auto"/>
                <w:highlight w:val="none"/>
              </w:rPr>
              <w:t>提供复印件并</w:t>
            </w:r>
            <w:r>
              <w:rPr>
                <w:rFonts w:hint="eastAsia" w:ascii="宋体" w:hAnsi="宋体" w:cs="宋体"/>
                <w:color w:val="auto"/>
                <w:szCs w:val="21"/>
                <w:highlight w:val="none"/>
              </w:rPr>
              <w:t>加盖公章）。否则视为无效磋商保证金。</w:t>
            </w:r>
          </w:p>
          <w:p w14:paraId="673C52F3">
            <w:pPr>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6A42D907">
            <w:pPr>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387248FB">
            <w:pPr>
              <w:spacing w:line="360" w:lineRule="auto"/>
              <w:rPr>
                <w:rFonts w:ascii="宋体" w:hAnsi="宋体"/>
                <w:color w:val="auto"/>
                <w:szCs w:val="21"/>
                <w:highlight w:val="none"/>
              </w:rPr>
            </w:pPr>
            <w:r>
              <w:rPr>
                <w:rFonts w:hint="eastAsia" w:ascii="宋体" w:hAnsi="宋体"/>
                <w:color w:val="auto"/>
                <w:szCs w:val="21"/>
                <w:highlight w:val="none"/>
              </w:rPr>
              <w:t>2.磋商保证金采用支票、汇票、本票或者银行、保险机构出具的保函（包含电子保函）交纳方式的，供应商应将支票、汇票、本票或者银行、保险机构出具的保函（包含电子保函）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ascii="宋体" w:hAnsi="宋体"/>
                <w:color w:val="auto"/>
                <w:szCs w:val="21"/>
                <w:highlight w:val="none"/>
                <w:u w:val="single"/>
              </w:rPr>
              <w:t>梧州市长洲区新兴三路30号神冠豪都B栋1单元1008号房或苍梧县石桥镇龙圣新城开发区A01号</w:t>
            </w:r>
            <w:r>
              <w:rPr>
                <w:rFonts w:hint="eastAsia"/>
                <w:color w:val="auto"/>
                <w:highlight w:val="none"/>
              </w:rPr>
              <w:t>；邮寄地址：</w:t>
            </w:r>
            <w:r>
              <w:rPr>
                <w:rFonts w:hint="eastAsia" w:ascii="宋体" w:hAnsi="宋体"/>
                <w:color w:val="auto"/>
                <w:szCs w:val="21"/>
                <w:highlight w:val="none"/>
                <w:u w:val="single"/>
              </w:rPr>
              <w:t>梧州市长洲区新兴三路30号神冠豪都B栋1单元1008号房或苍梧县石桥镇龙圣新城开发区A01号</w:t>
            </w:r>
            <w:r>
              <w:rPr>
                <w:rFonts w:hint="eastAsia"/>
                <w:color w:val="auto"/>
                <w:highlight w:val="none"/>
              </w:rPr>
              <w:t>，收件人：</w:t>
            </w:r>
            <w:r>
              <w:rPr>
                <w:rFonts w:hint="eastAsia"/>
                <w:color w:val="auto"/>
                <w:highlight w:val="none"/>
                <w:u w:val="single"/>
              </w:rPr>
              <w:t>黄泳瑜</w:t>
            </w:r>
            <w:r>
              <w:rPr>
                <w:rFonts w:hint="eastAsia"/>
                <w:color w:val="auto"/>
                <w:highlight w:val="none"/>
              </w:rPr>
              <w:t>，联系方式：</w:t>
            </w:r>
            <w:r>
              <w:rPr>
                <w:color w:val="auto"/>
                <w:highlight w:val="none"/>
                <w:u w:val="single"/>
              </w:rPr>
              <w:t>0774-3859935</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支票、汇票、本票或者银行、保险机构出具的保函原件（电子保函提供复印件并加盖公章）提交给采购人或者采购代理机构，并妥善保管。</w:t>
            </w:r>
          </w:p>
          <w:p w14:paraId="1FEAEFEC">
            <w:pPr>
              <w:spacing w:line="360" w:lineRule="auto"/>
              <w:rPr>
                <w:rFonts w:ascii="宋体" w:hAnsi="宋体" w:cs="宋体"/>
                <w:b/>
                <w:color w:val="auto"/>
                <w:szCs w:val="21"/>
                <w:highlight w:val="none"/>
              </w:rPr>
            </w:pPr>
            <w:r>
              <w:rPr>
                <w:rFonts w:hint="eastAsia" w:ascii="宋体" w:hAnsi="宋体" w:cs="宋体"/>
                <w:b/>
                <w:color w:val="auto"/>
                <w:szCs w:val="21"/>
                <w:highlight w:val="none"/>
              </w:rPr>
              <w:t>备注：</w:t>
            </w:r>
          </w:p>
          <w:p w14:paraId="6C81AABB">
            <w:pPr>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2A019F61">
            <w:pPr>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2D0460EA">
            <w:pPr>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04E81271">
            <w:pPr>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764D46A7">
            <w:pPr>
              <w:spacing w:line="360" w:lineRule="auto"/>
              <w:rPr>
                <w:rFonts w:ascii="宋体" w:hAnsi="宋体" w:cs="宋体"/>
                <w:color w:val="auto"/>
                <w:szCs w:val="21"/>
                <w:highlight w:val="none"/>
              </w:rPr>
            </w:pPr>
            <w:r>
              <w:rPr>
                <w:rFonts w:hint="eastAsia" w:ascii="宋体" w:hAnsi="宋体" w:cs="宋体"/>
                <w:b/>
                <w:color w:val="auto"/>
                <w:szCs w:val="21"/>
                <w:highlight w:val="none"/>
              </w:rPr>
              <w:t>5.采用银行、保险机构出具保函（包含电子保函）的，必须为无条件保函，否则视为无效磋商保证金。</w:t>
            </w:r>
          </w:p>
        </w:tc>
      </w:tr>
      <w:tr w14:paraId="31021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766285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19</w:t>
            </w:r>
          </w:p>
        </w:tc>
        <w:tc>
          <w:tcPr>
            <w:tcW w:w="7912" w:type="dxa"/>
            <w:noWrap/>
            <w:vAlign w:val="center"/>
          </w:tcPr>
          <w:p w14:paraId="31E525FE">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67340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D8161A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noWrap/>
            <w:vAlign w:val="center"/>
          </w:tcPr>
          <w:p w14:paraId="129B3D74">
            <w:pPr>
              <w:spacing w:line="360" w:lineRule="auto"/>
              <w:contextualSpacing/>
              <w:jc w:val="left"/>
              <w:rPr>
                <w:rFonts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0C664F9A">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2CF0C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76C1C4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noWrap/>
            <w:vAlign w:val="center"/>
          </w:tcPr>
          <w:p w14:paraId="02130EBB">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60652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2CF1E7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25</w:t>
            </w:r>
          </w:p>
        </w:tc>
        <w:tc>
          <w:tcPr>
            <w:tcW w:w="7912" w:type="dxa"/>
            <w:noWrap/>
            <w:vAlign w:val="center"/>
          </w:tcPr>
          <w:p w14:paraId="7394EDBE">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45CBD4D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5CC89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ign w:val="center"/>
          </w:tcPr>
          <w:p w14:paraId="74CEEBF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26.3</w:t>
            </w:r>
          </w:p>
        </w:tc>
        <w:tc>
          <w:tcPr>
            <w:tcW w:w="7912" w:type="dxa"/>
            <w:noWrap/>
            <w:vAlign w:val="center"/>
          </w:tcPr>
          <w:p w14:paraId="4B7684A6">
            <w:pPr>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5024FB32">
            <w:pPr>
              <w:pStyle w:val="17"/>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7F6CB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F2BE38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28.1</w:t>
            </w:r>
          </w:p>
        </w:tc>
        <w:tc>
          <w:tcPr>
            <w:tcW w:w="7912" w:type="dxa"/>
            <w:noWrap/>
            <w:vAlign w:val="center"/>
          </w:tcPr>
          <w:p w14:paraId="61811432">
            <w:pPr>
              <w:spacing w:line="360" w:lineRule="auto"/>
              <w:rPr>
                <w:rFonts w:ascii="宋体" w:hAnsi="宋体"/>
                <w:color w:val="auto"/>
                <w:szCs w:val="21"/>
                <w:highlight w:val="none"/>
              </w:rPr>
            </w:pPr>
            <w:r>
              <w:rPr>
                <w:rFonts w:hint="eastAsia" w:ascii="宋体" w:hAnsi="宋体"/>
                <w:color w:val="auto"/>
                <w:szCs w:val="21"/>
                <w:highlight w:val="none"/>
              </w:rPr>
              <w:t>☑本项目不收取履约保证金。</w:t>
            </w:r>
          </w:p>
          <w:p w14:paraId="6969C883">
            <w:pPr>
              <w:spacing w:line="360" w:lineRule="auto"/>
              <w:rPr>
                <w:rFonts w:ascii="宋体" w:hAnsi="宋体"/>
                <w:color w:val="auto"/>
                <w:szCs w:val="21"/>
                <w:highlight w:val="none"/>
              </w:rPr>
            </w:pPr>
            <w:r>
              <w:rPr>
                <w:rFonts w:hint="eastAsia" w:ascii="宋体" w:hAnsi="宋体"/>
                <w:color w:val="auto"/>
                <w:szCs w:val="21"/>
                <w:highlight w:val="none"/>
              </w:rPr>
              <w:t>□本项目收取履约保证金，具体规定如下：</w:t>
            </w:r>
          </w:p>
          <w:p w14:paraId="4066E17B">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履约保证金金额：无。</w:t>
            </w:r>
          </w:p>
          <w:p w14:paraId="7603B116">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履约保证金提交方式：银行转账、支票、汇票、本票或者银行、保险机构出具的保函等非现金方式。</w:t>
            </w:r>
          </w:p>
          <w:p w14:paraId="13D736F2">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由成交供应商向履约保证金收取单位提供《广西壮族自治区政府采购项目合同验收书》（详见桂财采〔2015〕22号），保证金收取单位在收到合格材料后5个工作日内办理退还手续（不计利息）。</w:t>
            </w:r>
          </w:p>
          <w:p w14:paraId="0A48C40C">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61CFD508">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125F5333">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7F62FF2C">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   </w:t>
            </w:r>
          </w:p>
          <w:p w14:paraId="7B35E313">
            <w:pPr>
              <w:spacing w:line="360" w:lineRule="auto"/>
              <w:contextualSpacing/>
              <w:rPr>
                <w:rFonts w:ascii="宋体" w:hAnsi="宋体" w:cs="宋体"/>
                <w:b/>
                <w:color w:val="auto"/>
                <w:szCs w:val="21"/>
                <w:highlight w:val="none"/>
              </w:rPr>
            </w:pPr>
            <w:r>
              <w:rPr>
                <w:rFonts w:hint="eastAsia" w:ascii="宋体" w:hAnsi="宋体" w:cs="宋体"/>
                <w:color w:val="auto"/>
                <w:szCs w:val="21"/>
                <w:highlight w:val="none"/>
              </w:rPr>
              <w:t>备注：</w:t>
            </w:r>
            <w:r>
              <w:rPr>
                <w:rFonts w:hint="eastAsia" w:ascii="宋体" w:hAnsi="宋体" w:cs="宋体"/>
                <w:color w:val="auto"/>
                <w:szCs w:val="21"/>
                <w:highlight w:val="none"/>
              </w:rPr>
              <w:br w:type="textWrapping" w:clear="all"/>
            </w: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政府采购要加大对中小企业发展的扶持力度，对中小企业收取的履约保证金数额不得超过政府采购合同金额的2%。</w:t>
            </w:r>
          </w:p>
          <w:p w14:paraId="21F9DEB4">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cs="宋体"/>
                <w:b/>
                <w:color w:val="auto"/>
                <w:szCs w:val="21"/>
                <w:highlight w:val="none"/>
              </w:rPr>
              <w:t>履约保证金不足额缴纳的，或者银行、保险机构出具的保函额度不足的或者保函有效期低于合同履行期限（即签订采购合同之日起至履行完合同约定的权利及义务之日止）的，不予签订合同。</w:t>
            </w:r>
            <w:r>
              <w:rPr>
                <w:rFonts w:hint="eastAsia" w:ascii="宋体" w:hAnsi="宋体" w:cs="宋体"/>
                <w:b/>
                <w:color w:val="auto"/>
                <w:szCs w:val="21"/>
                <w:highlight w:val="none"/>
              </w:rPr>
              <w:br w:type="textWrapping" w:clear="all"/>
            </w:r>
            <w:r>
              <w:rPr>
                <w:rFonts w:ascii="宋体" w:hAnsi="宋体" w:cs="宋体"/>
                <w:b/>
                <w:color w:val="auto"/>
                <w:szCs w:val="21"/>
                <w:highlight w:val="none"/>
              </w:rPr>
              <w:t>3.</w:t>
            </w:r>
            <w:r>
              <w:rPr>
                <w:rFonts w:hint="eastAsia" w:ascii="宋体" w:hAnsi="宋体" w:cs="宋体"/>
                <w:b/>
                <w:color w:val="auto"/>
                <w:szCs w:val="21"/>
                <w:highlight w:val="none"/>
              </w:rPr>
              <w:t>采用银行、保险机构出具的保函的，必须为无条件保函，否则不予签订合同。</w:t>
            </w:r>
          </w:p>
          <w:p w14:paraId="21E5704C">
            <w:pPr>
              <w:spacing w:line="360" w:lineRule="auto"/>
              <w:rPr>
                <w:rFonts w:ascii="宋体" w:hAnsi="宋体" w:cs="宋体"/>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供应商为联合体的，由联合体任意一方按规定提交的履约保证金，视为有效履约保证金。</w:t>
            </w:r>
          </w:p>
        </w:tc>
      </w:tr>
      <w:tr w14:paraId="2B927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0D92D4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29.1</w:t>
            </w:r>
          </w:p>
        </w:tc>
        <w:tc>
          <w:tcPr>
            <w:tcW w:w="7912" w:type="dxa"/>
            <w:noWrap/>
            <w:vAlign w:val="center"/>
          </w:tcPr>
          <w:p w14:paraId="0E079B5D">
            <w:pPr>
              <w:spacing w:line="360" w:lineRule="auto"/>
              <w:rPr>
                <w:rFonts w:ascii="宋体" w:hAnsi="宋体" w:cs="宋体"/>
                <w:color w:val="auto"/>
                <w:szCs w:val="21"/>
                <w:highlight w:val="none"/>
              </w:rPr>
            </w:pPr>
            <w:r>
              <w:rPr>
                <w:rFonts w:hint="eastAsia" w:ascii="宋体" w:hAnsi="宋体" w:cs="宋体"/>
                <w:color w:val="auto"/>
                <w:szCs w:val="21"/>
                <w:highlight w:val="none"/>
              </w:rPr>
              <w:t>签订合同携带的证明材料：</w:t>
            </w:r>
          </w:p>
          <w:p w14:paraId="7F858A21">
            <w:pPr>
              <w:spacing w:line="360" w:lineRule="auto"/>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3E7D59C4">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784AE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B3648D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7912" w:type="dxa"/>
            <w:noWrap/>
            <w:vAlign w:val="center"/>
          </w:tcPr>
          <w:p w14:paraId="588A1429">
            <w:pPr>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77888F0A">
            <w:pPr>
              <w:pStyle w:val="25"/>
              <w:spacing w:line="360" w:lineRule="auto"/>
              <w:rPr>
                <w:rFonts w:hAnsi="宋体" w:cs="宋体"/>
                <w:color w:val="auto"/>
                <w:sz w:val="21"/>
                <w:highlight w:val="none"/>
              </w:rPr>
            </w:pPr>
            <w:r>
              <w:rPr>
                <w:rFonts w:hint="eastAsia" w:hAnsi="宋体" w:cs="宋体"/>
                <w:color w:val="auto"/>
                <w:sz w:val="21"/>
                <w:highlight w:val="none"/>
              </w:rPr>
              <w:t>质疑联系部门：云之龙咨询集团有限公司苍梧分公司</w:t>
            </w:r>
          </w:p>
          <w:p w14:paraId="19891397">
            <w:pPr>
              <w:pStyle w:val="25"/>
              <w:spacing w:line="360" w:lineRule="auto"/>
              <w:rPr>
                <w:rFonts w:hAnsi="宋体" w:cs="宋体"/>
                <w:color w:val="auto"/>
                <w:sz w:val="21"/>
                <w:highlight w:val="none"/>
              </w:rPr>
            </w:pPr>
            <w:r>
              <w:rPr>
                <w:rFonts w:hint="eastAsia" w:hAnsi="宋体" w:cs="宋体"/>
                <w:color w:val="auto"/>
                <w:sz w:val="21"/>
                <w:highlight w:val="none"/>
              </w:rPr>
              <w:t xml:space="preserve">联系电话：0774-3859935            </w:t>
            </w:r>
          </w:p>
          <w:p w14:paraId="3F857A15">
            <w:pPr>
              <w:pStyle w:val="25"/>
              <w:spacing w:line="360" w:lineRule="auto"/>
              <w:rPr>
                <w:rFonts w:hAnsi="宋体" w:cs="宋体"/>
                <w:color w:val="auto"/>
                <w:sz w:val="21"/>
                <w:highlight w:val="none"/>
              </w:rPr>
            </w:pPr>
            <w:r>
              <w:rPr>
                <w:rFonts w:hint="eastAsia" w:hAnsi="宋体" w:cs="宋体"/>
                <w:color w:val="auto"/>
                <w:sz w:val="21"/>
                <w:highlight w:val="none"/>
              </w:rPr>
              <w:t>通讯地址：云之龙咨询集团有限公司（苍梧县石桥镇龙圣新城开发区A01号）</w:t>
            </w:r>
          </w:p>
          <w:p w14:paraId="15102BCC">
            <w:pPr>
              <w:spacing w:line="360" w:lineRule="auto"/>
              <w:rPr>
                <w:rFonts w:ascii="宋体" w:hAnsi="宋体" w:cs="宋体"/>
                <w:color w:val="auto"/>
                <w:szCs w:val="21"/>
                <w:highlight w:val="none"/>
              </w:rPr>
            </w:pPr>
            <w:r>
              <w:rPr>
                <w:rFonts w:hint="eastAsia" w:ascii="宋体" w:hAnsi="宋体" w:cs="宋体"/>
                <w:color w:val="auto"/>
                <w:szCs w:val="21"/>
                <w:highlight w:val="none"/>
              </w:rPr>
              <w:t>业务时间：工作日每天上午8时00分到12时00分，下午3时00分到6时00分。</w:t>
            </w:r>
          </w:p>
        </w:tc>
      </w:tr>
      <w:tr w14:paraId="0E1C6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45EF2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32.1</w:t>
            </w:r>
          </w:p>
        </w:tc>
        <w:tc>
          <w:tcPr>
            <w:tcW w:w="7912" w:type="dxa"/>
            <w:noWrap/>
            <w:vAlign w:val="center"/>
          </w:tcPr>
          <w:p w14:paraId="5D34CADF">
            <w:pPr>
              <w:pStyle w:val="25"/>
              <w:spacing w:line="360" w:lineRule="auto"/>
              <w:rPr>
                <w:rFonts w:hAnsi="宋体" w:cs="宋体"/>
                <w:color w:val="auto"/>
                <w:sz w:val="21"/>
                <w:highlight w:val="none"/>
              </w:rPr>
            </w:pPr>
            <w:r>
              <w:rPr>
                <w:rFonts w:hint="eastAsia" w:hAnsi="宋体" w:cs="宋体"/>
                <w:color w:val="auto"/>
                <w:sz w:val="21"/>
                <w:highlight w:val="none"/>
              </w:rPr>
              <w:t>1.采购代理费支付方式：</w:t>
            </w:r>
          </w:p>
          <w:p w14:paraId="08287AAA">
            <w:pPr>
              <w:pStyle w:val="25"/>
              <w:spacing w:line="360" w:lineRule="auto"/>
              <w:rPr>
                <w:rFonts w:hAnsi="宋体" w:cs="宋体"/>
                <w:color w:val="auto"/>
                <w:sz w:val="21"/>
                <w:highlight w:val="none"/>
              </w:rPr>
            </w:pPr>
            <w:r>
              <w:rPr>
                <w:rFonts w:hint="eastAsia" w:hAnsi="宋体" w:cs="宋体"/>
                <w:color w:val="auto"/>
                <w:sz w:val="21"/>
                <w:highlight w:val="none"/>
              </w:rPr>
              <w:t>本项目采购代理服务费由成交供应商在发出成交公告后5日内，一次性向采购代理机构支付。</w:t>
            </w:r>
          </w:p>
          <w:p w14:paraId="4E1AE90D">
            <w:pPr>
              <w:pStyle w:val="25"/>
              <w:spacing w:line="360" w:lineRule="auto"/>
              <w:rPr>
                <w:rFonts w:hAnsi="宋体" w:cs="宋体"/>
                <w:color w:val="auto"/>
                <w:sz w:val="21"/>
                <w:highlight w:val="none"/>
                <w:u w:val="single"/>
              </w:rPr>
            </w:pPr>
            <w:r>
              <w:rPr>
                <w:rFonts w:hAnsi="宋体" w:cs="宋体"/>
                <w:color w:val="auto"/>
                <w:sz w:val="21"/>
                <w:highlight w:val="none"/>
              </w:rPr>
              <w:t>2.</w:t>
            </w:r>
            <w:r>
              <w:rPr>
                <w:rFonts w:hint="eastAsia" w:hAnsi="宋体" w:cs="宋体"/>
                <w:color w:val="auto"/>
                <w:sz w:val="21"/>
                <w:highlight w:val="none"/>
              </w:rPr>
              <w:t>采购代理服务费收取标准：</w:t>
            </w:r>
          </w:p>
          <w:p w14:paraId="42CAEA65">
            <w:pPr>
              <w:pStyle w:val="25"/>
              <w:spacing w:line="360" w:lineRule="auto"/>
              <w:rPr>
                <w:rFonts w:hAnsi="宋体" w:cs="宋体"/>
                <w:color w:val="auto"/>
                <w:sz w:val="21"/>
                <w:highlight w:val="none"/>
              </w:rPr>
            </w:pPr>
            <w:r>
              <w:rPr>
                <w:rFonts w:hint="eastAsia" w:hAnsi="宋体" w:cs="宋体"/>
                <w:color w:val="auto"/>
                <w:sz w:val="21"/>
                <w:highlight w:val="none"/>
              </w:rPr>
              <w:t>以成交金额为计费额，按本须知正文第32.2条规定的服务类标准采用差额定率累进法计算出收费基准价格，采购代理收费以收费基准价格的100%收取。</w:t>
            </w:r>
          </w:p>
          <w:p w14:paraId="4836079A">
            <w:pPr>
              <w:pStyle w:val="255"/>
              <w:spacing w:line="360" w:lineRule="auto"/>
              <w:rPr>
                <w:rFonts w:hAnsi="宋体" w:cs="宋体"/>
                <w:color w:val="auto"/>
                <w:sz w:val="21"/>
                <w:highlight w:val="none"/>
              </w:rPr>
            </w:pPr>
            <w:r>
              <w:rPr>
                <w:rFonts w:hint="eastAsia" w:hAnsi="宋体" w:cs="宋体"/>
                <w:color w:val="auto"/>
                <w:sz w:val="21"/>
                <w:highlight w:val="none"/>
              </w:rPr>
              <w:t>3.采购代理费收取银行账户</w:t>
            </w:r>
          </w:p>
          <w:p w14:paraId="4E35B44E">
            <w:pPr>
              <w:pStyle w:val="255"/>
              <w:spacing w:line="360" w:lineRule="auto"/>
              <w:rPr>
                <w:rFonts w:hAnsi="宋体" w:cs="宋体"/>
                <w:color w:val="auto"/>
                <w:sz w:val="21"/>
                <w:highlight w:val="none"/>
              </w:rPr>
            </w:pPr>
            <w:r>
              <w:rPr>
                <w:rFonts w:hint="eastAsia" w:hAnsi="宋体" w:cs="宋体"/>
                <w:color w:val="auto"/>
                <w:sz w:val="21"/>
                <w:highlight w:val="none"/>
              </w:rPr>
              <w:t>开户名称：云之龙咨询集团有限公司苍梧分公司</w:t>
            </w:r>
          </w:p>
          <w:p w14:paraId="4EF76C61">
            <w:pPr>
              <w:pStyle w:val="255"/>
              <w:spacing w:line="360" w:lineRule="auto"/>
              <w:rPr>
                <w:rFonts w:hAnsi="宋体" w:cs="宋体"/>
                <w:color w:val="auto"/>
                <w:sz w:val="21"/>
                <w:highlight w:val="none"/>
              </w:rPr>
            </w:pPr>
            <w:r>
              <w:rPr>
                <w:rFonts w:hint="eastAsia" w:hAnsi="宋体" w:cs="宋体"/>
                <w:color w:val="auto"/>
                <w:sz w:val="21"/>
                <w:highlight w:val="none"/>
              </w:rPr>
              <w:t>开户银行：中信银行股份有限公司南宁园湖支行</w:t>
            </w:r>
          </w:p>
          <w:p w14:paraId="28E58E03">
            <w:pPr>
              <w:pStyle w:val="255"/>
              <w:spacing w:line="360" w:lineRule="auto"/>
              <w:rPr>
                <w:rFonts w:hAnsi="宋体" w:cs="宋体"/>
                <w:color w:val="auto"/>
                <w:sz w:val="21"/>
                <w:highlight w:val="none"/>
              </w:rPr>
            </w:pPr>
            <w:r>
              <w:rPr>
                <w:rFonts w:hint="eastAsia" w:hAnsi="宋体" w:cs="宋体"/>
                <w:color w:val="auto"/>
                <w:sz w:val="21"/>
                <w:highlight w:val="none"/>
              </w:rPr>
              <w:t>银行账号：8113001013600159873</w:t>
            </w:r>
          </w:p>
        </w:tc>
      </w:tr>
      <w:tr w14:paraId="10FE1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345751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33.1</w:t>
            </w:r>
          </w:p>
        </w:tc>
        <w:tc>
          <w:tcPr>
            <w:tcW w:w="7912" w:type="dxa"/>
            <w:noWrap/>
            <w:vAlign w:val="center"/>
          </w:tcPr>
          <w:p w14:paraId="03AD9304">
            <w:pPr>
              <w:pStyle w:val="25"/>
              <w:spacing w:line="360" w:lineRule="auto"/>
              <w:rPr>
                <w:rFonts w:hAnsi="宋体" w:cs="宋体"/>
                <w:color w:val="auto"/>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394C0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0421F4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33.2</w:t>
            </w:r>
          </w:p>
        </w:tc>
        <w:tc>
          <w:tcPr>
            <w:tcW w:w="7912" w:type="dxa"/>
            <w:noWrap/>
            <w:vAlign w:val="center"/>
          </w:tcPr>
          <w:p w14:paraId="3A9169F1">
            <w:pPr>
              <w:pStyle w:val="25"/>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F6B84B5">
            <w:pPr>
              <w:pStyle w:val="25"/>
              <w:spacing w:line="360" w:lineRule="auto"/>
              <w:rPr>
                <w:rFonts w:hAnsi="宋体" w:cs="宋体"/>
                <w:color w:val="auto"/>
                <w:sz w:val="21"/>
                <w:highlight w:val="none"/>
              </w:rPr>
            </w:pPr>
            <w:r>
              <w:rPr>
                <w:rFonts w:hint="eastAsia" w:hAnsi="宋体" w:cs="宋体"/>
                <w:bCs/>
                <w:color w:val="auto"/>
                <w:sz w:val="21"/>
                <w:highlight w:val="none"/>
              </w:rPr>
              <w:t>2.本磋商文件所称的“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6C27CF3D">
            <w:pPr>
              <w:pStyle w:val="25"/>
              <w:spacing w:line="360" w:lineRule="auto"/>
              <w:rPr>
                <w:rFonts w:hAnsi="宋体" w:cs="宋体"/>
                <w:bCs/>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0D2E4EAD">
            <w:pPr>
              <w:pStyle w:val="25"/>
              <w:spacing w:line="360" w:lineRule="auto"/>
              <w:rPr>
                <w:rFonts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2EBC4689">
            <w:pPr>
              <w:pStyle w:val="25"/>
              <w:spacing w:line="360" w:lineRule="auto"/>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34EC9FCD">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供应商须知正文</w:t>
      </w:r>
    </w:p>
    <w:p w14:paraId="364686DF">
      <w:pPr>
        <w:spacing w:line="360" w:lineRule="auto"/>
        <w:jc w:val="center"/>
        <w:rPr>
          <w:rFonts w:ascii="宋体" w:hAnsi="宋体" w:cs="宋体"/>
          <w:b/>
          <w:color w:val="auto"/>
          <w:sz w:val="32"/>
          <w:szCs w:val="32"/>
          <w:highlight w:val="none"/>
        </w:rPr>
      </w:pPr>
    </w:p>
    <w:p w14:paraId="39409CB3">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一、总则</w:t>
      </w:r>
    </w:p>
    <w:p w14:paraId="3399BB01">
      <w:pPr>
        <w:spacing w:line="360" w:lineRule="auto"/>
        <w:rPr>
          <w:rFonts w:ascii="宋体" w:hAnsi="宋体" w:cs="宋体"/>
          <w:color w:val="auto"/>
          <w:szCs w:val="21"/>
          <w:highlight w:val="none"/>
        </w:rPr>
      </w:pPr>
    </w:p>
    <w:p w14:paraId="2F3AC8D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1.适用范围</w:t>
      </w:r>
    </w:p>
    <w:p w14:paraId="7CB892B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A5BB4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41FE08B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2.定义</w:t>
      </w:r>
    </w:p>
    <w:p w14:paraId="1B30DE7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42F7F0F">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2057D6F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664C323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25D696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2.5“竞标”是指供应商按照本项目竞争性磋商公告规定的方式获取磋商文件、提交响应文件并希望获得标的的行为。</w:t>
      </w:r>
    </w:p>
    <w:p w14:paraId="1383D40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5C955FA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605E7CC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11B6120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0D287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14:paraId="15EC0BD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50CA0A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47B60E48">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4617FE3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6C35897">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4.竞标费用</w:t>
      </w:r>
    </w:p>
    <w:p w14:paraId="6F665D9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15DBEE58">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6A4F6BB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64596D1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609C4127">
      <w:pPr>
        <w:keepNext/>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w:t>
      </w:r>
      <w:bookmarkStart w:id="67" w:name="_Hlk66782192"/>
      <w:r>
        <w:rPr>
          <w:rFonts w:hint="eastAsia" w:ascii="宋体" w:hAnsi="宋体" w:cs="宋体"/>
          <w:color w:val="auto"/>
          <w:szCs w:val="21"/>
          <w:highlight w:val="none"/>
        </w:rPr>
        <w:t>根据《政府采购促进中小企业发展管理办法》（财库〔2020〕46号）第九条第二款和</w:t>
      </w:r>
      <w:r>
        <w:rPr>
          <w:rFonts w:hint="eastAsia" w:ascii="宋体" w:hAnsi="宋体"/>
          <w:color w:val="auto"/>
          <w:szCs w:val="21"/>
          <w:highlight w:val="none"/>
        </w:rPr>
        <w:t>《广西壮族自治区财政厅关于持续优化政府采购营商环境推动高质量发展的通知》（桂财采〔2024〕55号）</w:t>
      </w:r>
      <w:r>
        <w:rPr>
          <w:rFonts w:hint="eastAsia" w:ascii="宋体" w:hAnsi="宋体" w:cs="宋体"/>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6%的扣除，用扣除后的价格参加评审。</w:t>
      </w:r>
      <w:bookmarkEnd w:id="67"/>
    </w:p>
    <w:p w14:paraId="0918E403">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6.转包与分包</w:t>
      </w:r>
    </w:p>
    <w:p w14:paraId="08DC33B3">
      <w:pPr>
        <w:pStyle w:val="7"/>
        <w:keepNext w:val="0"/>
        <w:keepLines w:val="0"/>
        <w:spacing w:before="0" w:after="0" w:line="360" w:lineRule="auto"/>
        <w:ind w:left="420"/>
        <w:rPr>
          <w:rFonts w:ascii="宋体" w:hAnsi="宋体" w:cs="宋体"/>
          <w:b w:val="0"/>
          <w:color w:val="auto"/>
          <w:sz w:val="21"/>
          <w:szCs w:val="21"/>
          <w:highlight w:val="none"/>
        </w:rPr>
      </w:pPr>
      <w:bookmarkStart w:id="68" w:name="_Toc254970673"/>
      <w:bookmarkStart w:id="69" w:name="_Toc254970532"/>
      <w:r>
        <w:rPr>
          <w:rFonts w:hint="eastAsia" w:ascii="宋体" w:hAnsi="宋体" w:cs="宋体"/>
          <w:b w:val="0"/>
          <w:color w:val="auto"/>
          <w:sz w:val="21"/>
          <w:szCs w:val="21"/>
          <w:highlight w:val="none"/>
        </w:rPr>
        <w:t>6.1本项目不允许转包。</w:t>
      </w:r>
    </w:p>
    <w:p w14:paraId="69FEC407">
      <w:pPr>
        <w:pStyle w:val="7"/>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77B4AB31">
      <w:pPr>
        <w:pStyle w:val="7"/>
        <w:keepNext w:val="0"/>
        <w:keepLines w:val="0"/>
        <w:spacing w:before="0" w:after="0" w:line="360" w:lineRule="auto"/>
        <w:ind w:firstLine="315"/>
        <w:rPr>
          <w:rFonts w:ascii="宋体" w:hAnsi="宋体" w:cs="宋体"/>
          <w:b w:val="0"/>
          <w:color w:val="auto"/>
          <w:sz w:val="21"/>
          <w:szCs w:val="21"/>
          <w:highlight w:val="none"/>
        </w:rPr>
      </w:pPr>
      <w:r>
        <w:rPr>
          <w:rFonts w:hint="eastAsia" w:ascii="宋体" w:hAnsi="宋体" w:cs="宋体"/>
          <w:b w:val="0"/>
          <w:color w:val="auto"/>
          <w:sz w:val="21"/>
          <w:szCs w:val="21"/>
          <w:highlight w:val="none"/>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45DFD2C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7.特别说明</w:t>
      </w:r>
      <w:bookmarkEnd w:id="68"/>
      <w:bookmarkEnd w:id="69"/>
    </w:p>
    <w:p w14:paraId="3A6313A3">
      <w:pPr>
        <w:spacing w:line="360" w:lineRule="auto"/>
        <w:ind w:firstLine="420"/>
        <w:rPr>
          <w:rFonts w:ascii="宋体" w:hAnsi="宋体" w:cs="宋体"/>
          <w:color w:val="auto"/>
          <w:szCs w:val="21"/>
          <w:highlight w:val="none"/>
        </w:rPr>
      </w:pPr>
      <w:bookmarkStart w:id="70" w:name="_8.1提供相同品牌产品且通过资格审查、符合性审查的不同投标人参加同一合"/>
      <w:bookmarkEnd w:id="70"/>
      <w:r>
        <w:rPr>
          <w:rFonts w:hint="eastAsia" w:ascii="宋体" w:hAnsi="宋体" w:cs="宋体"/>
          <w:color w:val="auto"/>
          <w:szCs w:val="21"/>
          <w:highlight w:val="none"/>
        </w:rPr>
        <w:t>7.1</w:t>
      </w:r>
      <w:bookmarkStart w:id="71"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71"/>
    </w:p>
    <w:p w14:paraId="188AB38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1A90D2A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5925D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3BC7CE3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013CE6D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67D54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25E98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89C0EE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9FC893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B456D5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7B26E97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（1）不同供应商的响应文件由同一单位或者个人编制，或不同供应商报名的IP地址一致的；或不同供应商竞标设备信息（包括但不限于：IP地址、MAC地址、硬盘号、CPU号、主板号）一致的；</w:t>
      </w:r>
    </w:p>
    <w:p w14:paraId="628A7AE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5B06E5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2FB361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05C49D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543C3A9">
      <w:pPr>
        <w:tabs>
          <w:tab w:val="left" w:pos="6931"/>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BB9F9D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1B46344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3B8B2D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041A26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5F91B4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CB1D2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ECDF61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18A519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E46F3B9">
      <w:pPr>
        <w:spacing w:line="360" w:lineRule="auto"/>
        <w:ind w:left="1" w:firstLine="417"/>
        <w:jc w:val="center"/>
        <w:rPr>
          <w:rFonts w:ascii="宋体" w:hAnsi="宋体" w:cs="宋体"/>
          <w:color w:val="auto"/>
          <w:highlight w:val="none"/>
        </w:rPr>
      </w:pPr>
      <w:bookmarkStart w:id="72" w:name="_Toc254970675"/>
      <w:bookmarkStart w:id="73" w:name="_Toc254970534"/>
    </w:p>
    <w:p w14:paraId="177F1208">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72"/>
      <w:bookmarkEnd w:id="73"/>
    </w:p>
    <w:p w14:paraId="48C3326A">
      <w:pPr>
        <w:spacing w:line="360" w:lineRule="auto"/>
        <w:rPr>
          <w:rFonts w:ascii="宋体" w:hAnsi="宋体" w:cs="宋体"/>
          <w:color w:val="auto"/>
          <w:szCs w:val="21"/>
          <w:highlight w:val="none"/>
        </w:rPr>
      </w:pPr>
    </w:p>
    <w:p w14:paraId="1353370A">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747EA60D">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（1）竞争性磋商公告；</w:t>
      </w:r>
    </w:p>
    <w:p w14:paraId="2A2F5E6C">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（2）供应商须知；</w:t>
      </w:r>
    </w:p>
    <w:p w14:paraId="5F1F1BFD">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（3）采购需求；</w:t>
      </w:r>
    </w:p>
    <w:p w14:paraId="25D74042">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（4）评审程序、评审方法和评审标准；</w:t>
      </w:r>
    </w:p>
    <w:p w14:paraId="7252E208">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（5）响应文件格式；</w:t>
      </w:r>
    </w:p>
    <w:p w14:paraId="654F8F4F">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（6）合同文本。</w:t>
      </w:r>
    </w:p>
    <w:p w14:paraId="6AA03AF6">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6788484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32E427DB">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06A519C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55CB4A2B">
      <w:pPr>
        <w:spacing w:line="360" w:lineRule="auto"/>
        <w:rPr>
          <w:rFonts w:ascii="宋体" w:hAnsi="宋体" w:cs="宋体"/>
          <w:color w:val="auto"/>
          <w:szCs w:val="21"/>
          <w:highlight w:val="none"/>
        </w:rPr>
      </w:pPr>
    </w:p>
    <w:p w14:paraId="58D22E51">
      <w:pPr>
        <w:spacing w:line="360" w:lineRule="auto"/>
        <w:jc w:val="center"/>
        <w:rPr>
          <w:rFonts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768BF7A9">
      <w:pPr>
        <w:spacing w:line="360" w:lineRule="auto"/>
        <w:rPr>
          <w:rFonts w:ascii="宋体" w:hAnsi="宋体" w:cs="宋体"/>
          <w:color w:val="auto"/>
          <w:szCs w:val="21"/>
          <w:highlight w:val="none"/>
        </w:rPr>
      </w:pPr>
    </w:p>
    <w:p w14:paraId="1DC1CE8F">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6584837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供应商必须按照磋商文件的要求编制响应文件，并对其提交的响应文件的真实性、合法性承担法律责任。响应文件必须对磋商文件提出的要求和条件作出明确实质性响应。</w:t>
      </w:r>
    </w:p>
    <w:p w14:paraId="43634913">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2FC275B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436C2BCA">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1650EE7F">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7EE015C7">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93E0C9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13.计量单位</w:t>
      </w:r>
    </w:p>
    <w:p w14:paraId="5C9CC3C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2A63A0C">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63FBAC7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7BE2F9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15.竞标报价</w:t>
      </w:r>
    </w:p>
    <w:p w14:paraId="4DCC7497">
      <w:pPr>
        <w:tabs>
          <w:tab w:val="left" w:pos="2492"/>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2656154">
      <w:pPr>
        <w:tabs>
          <w:tab w:val="left" w:pos="2492"/>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7BBE3397">
      <w:pPr>
        <w:spacing w:line="360" w:lineRule="auto"/>
        <w:ind w:left="426"/>
        <w:rPr>
          <w:rFonts w:ascii="宋体" w:hAnsi="宋体" w:cs="宋体"/>
          <w:color w:val="auto"/>
          <w:szCs w:val="21"/>
          <w:highlight w:val="none"/>
        </w:rPr>
      </w:pPr>
      <w:r>
        <w:rPr>
          <w:rFonts w:hint="eastAsia" w:ascii="宋体" w:hAnsi="宋体" w:cs="宋体"/>
          <w:color w:val="auto"/>
          <w:szCs w:val="21"/>
          <w:highlight w:val="none"/>
        </w:rPr>
        <w:t>15.3竞标报价要求</w:t>
      </w:r>
    </w:p>
    <w:p w14:paraId="799A2BD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085DCEDF">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6738AEEF">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4C5BB71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0CFE471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15.3.2竞标报价（包含首次报价、最后报价）超过所竞标分标规定的采购预算金额或者最高限价的，其响应文件将按无效处理。</w:t>
      </w:r>
    </w:p>
    <w:p w14:paraId="274C66E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15.3.3</w:t>
      </w:r>
      <w:bookmarkStart w:id="74" w:name="_Hlk42592874"/>
      <w:r>
        <w:rPr>
          <w:rFonts w:hint="eastAsia" w:ascii="宋体" w:hAnsi="宋体" w:cs="宋体"/>
          <w:color w:val="auto"/>
          <w:szCs w:val="21"/>
          <w:highlight w:val="none"/>
        </w:rPr>
        <w:t>竞标报价（包含首次报价、最后报价）超过分项采购预算金额或者最高限价的，其响应文件将按无效处理。</w:t>
      </w:r>
      <w:bookmarkEnd w:id="74"/>
    </w:p>
    <w:p w14:paraId="6CE79F0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18BED61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19044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16.2竞标有效期应由供应商按“供应商须知前附表”规定的期限作出响应。承诺的竞标有效期低于采购文件规定期限的，供应商的响应文件作无效处理。</w:t>
      </w:r>
    </w:p>
    <w:p w14:paraId="72A4932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6B0D293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48D3181F">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EB29639">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4C6DEC83">
      <w:pPr>
        <w:spacing w:line="360" w:lineRule="auto"/>
        <w:ind w:firstLine="420"/>
        <w:rPr>
          <w:rFonts w:ascii="宋体" w:hAnsi="宋体" w:cs="宋体"/>
          <w:color w:val="auto"/>
          <w:szCs w:val="21"/>
          <w:highlight w:val="none"/>
        </w:rPr>
      </w:pPr>
      <w:bookmarkStart w:id="75"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成交供应商的磋商保证金自成交通知书发出之日起5个工作日内退还；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75"/>
    </w:p>
    <w:p w14:paraId="3ED1856F">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17.3除逾期退还磋商保证金和终止采购的情形以外，磋商保证金不计息。</w:t>
      </w:r>
    </w:p>
    <w:p w14:paraId="511DE0DD">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17.4供应商有下列情形之一的，磋商保证金将不予退还：</w:t>
      </w:r>
    </w:p>
    <w:p w14:paraId="34827570">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0C1DA2CA">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（2）未按规定提交履约保证金的；</w:t>
      </w:r>
    </w:p>
    <w:p w14:paraId="1819E4DC">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09FA9A3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7E1622EC">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38131D97">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61729C6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05685E2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8F15B7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47335D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9227CF2">
      <w:pPr>
        <w:spacing w:line="360" w:lineRule="auto"/>
        <w:ind w:firstLine="420"/>
        <w:rPr>
          <w:rFonts w:ascii="宋体" w:hAnsi="宋体" w:cs="宋体"/>
          <w:b/>
          <w:bCs/>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并与广西政府采购云平台中获取采购文件的供应商名称一致，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58C31D6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87FFF2C">
      <w:pPr>
        <w:spacing w:line="360" w:lineRule="auto"/>
        <w:ind w:firstLine="482"/>
        <w:rPr>
          <w:rFonts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254B966B">
      <w:pPr>
        <w:spacing w:line="360" w:lineRule="auto"/>
        <w:ind w:firstLine="420"/>
        <w:rPr>
          <w:rFonts w:ascii="宋体" w:hAnsi="宋体" w:cs="宋体"/>
          <w:color w:val="auto"/>
          <w:szCs w:val="21"/>
          <w:highlight w:val="none"/>
        </w:rPr>
      </w:pPr>
      <w:r>
        <w:rPr>
          <w:rFonts w:hint="eastAsia" w:ascii="宋体" w:hAnsi="宋体" w:cs="宋体"/>
          <w:color w:val="auto"/>
          <w:highlight w:val="none"/>
        </w:rPr>
        <w:t>电子备份响应文件是指通过在线编制生成且后缀名为“bfbs”的文件，是否接受电子备份响应文件</w:t>
      </w:r>
      <w:r>
        <w:rPr>
          <w:rFonts w:hint="eastAsia" w:ascii="宋体" w:hAnsi="宋体" w:cs="宋体"/>
          <w:bCs/>
          <w:color w:val="auto"/>
          <w:szCs w:val="21"/>
          <w:highlight w:val="none"/>
        </w:rPr>
        <w:t>详见在“供应商须知前附表”。</w:t>
      </w:r>
    </w:p>
    <w:p w14:paraId="7E96B1C3">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5086C77C">
      <w:pPr>
        <w:spacing w:line="360" w:lineRule="auto"/>
        <w:ind w:firstLine="422"/>
        <w:rPr>
          <w:rFonts w:ascii="宋体" w:hAnsi="宋体" w:cs="宋体"/>
          <w:b/>
          <w:color w:val="auto"/>
          <w:highlight w:val="none"/>
        </w:rPr>
      </w:pPr>
      <w:r>
        <w:rPr>
          <w:rFonts w:hint="eastAsia" w:ascii="宋体" w:hAnsi="宋体" w:cs="宋体"/>
          <w:b/>
          <w:color w:val="auto"/>
          <w:szCs w:val="21"/>
          <w:highlight w:val="none"/>
        </w:rPr>
        <w:t>20.1</w:t>
      </w:r>
      <w:r>
        <w:rPr>
          <w:rFonts w:hint="eastAsia" w:ascii="宋体" w:hAnsi="宋体" w:cs="宋体"/>
          <w:bCs/>
          <w:color w:val="auto"/>
          <w:szCs w:val="21"/>
          <w:highlight w:val="none"/>
        </w:rPr>
        <w:t>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w:t>
      </w:r>
    </w:p>
    <w:p w14:paraId="436FF5FC">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15106D4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0FF648E5">
      <w:pPr>
        <w:spacing w:line="360" w:lineRule="auto"/>
        <w:ind w:firstLine="420"/>
        <w:jc w:val="left"/>
        <w:rPr>
          <w:rFonts w:ascii="宋体" w:hAnsi="宋体" w:cs="宋体"/>
          <w:color w:val="auto"/>
          <w:szCs w:val="21"/>
          <w:highlight w:val="none"/>
        </w:rPr>
      </w:pPr>
      <w:bookmarkStart w:id="76" w:name="_Toc254970543"/>
      <w:bookmarkStart w:id="77"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cs="宋体"/>
          <w:color w:val="auto"/>
          <w:szCs w:val="21"/>
          <w:highlight w:val="none"/>
        </w:rPr>
        <w:t>（补充、修改或者撤回方式可登录广西政府采购云平台，进入“服务中心”中查看“电子投标文件制作与投送教程”）</w:t>
      </w:r>
      <w:bookmarkEnd w:id="76"/>
      <w:bookmarkEnd w:id="77"/>
    </w:p>
    <w:p w14:paraId="68595DA8">
      <w:pPr>
        <w:pStyle w:val="241"/>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311E58FB">
      <w:pPr>
        <w:spacing w:line="360" w:lineRule="auto"/>
        <w:ind w:firstLine="482"/>
        <w:rPr>
          <w:rFonts w:ascii="宋体" w:hAnsi="宋体" w:cs="宋体"/>
          <w:b/>
          <w:bCs/>
          <w:color w:val="auto"/>
          <w:sz w:val="24"/>
          <w:highlight w:val="none"/>
        </w:rPr>
      </w:pPr>
      <w:bookmarkStart w:id="78" w:name="_Hlk45702405"/>
      <w:r>
        <w:rPr>
          <w:rFonts w:hint="eastAsia" w:ascii="宋体" w:hAnsi="宋体" w:cs="宋体"/>
          <w:b/>
          <w:bCs/>
          <w:color w:val="auto"/>
          <w:sz w:val="24"/>
          <w:highlight w:val="none"/>
        </w:rPr>
        <w:t>22.响应文件的退回</w:t>
      </w:r>
    </w:p>
    <w:p w14:paraId="44D7559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612BD77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23.截止时间后的撤回</w:t>
      </w:r>
    </w:p>
    <w:p w14:paraId="70B145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bookmarkEnd w:id="78"/>
    </w:p>
    <w:p w14:paraId="26B24526">
      <w:pPr>
        <w:spacing w:line="360" w:lineRule="auto"/>
        <w:rPr>
          <w:rFonts w:ascii="宋体" w:hAnsi="宋体" w:cs="宋体"/>
          <w:color w:val="auto"/>
          <w:szCs w:val="21"/>
          <w:highlight w:val="none"/>
        </w:rPr>
      </w:pPr>
    </w:p>
    <w:p w14:paraId="28FA7188">
      <w:pPr>
        <w:spacing w:line="360" w:lineRule="auto"/>
        <w:ind w:left="420" w:firstLine="42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2F9068F5">
      <w:pPr>
        <w:spacing w:line="360" w:lineRule="auto"/>
        <w:ind w:left="420" w:firstLine="420"/>
        <w:rPr>
          <w:rFonts w:ascii="宋体" w:hAnsi="宋体" w:cs="宋体"/>
          <w:color w:val="auto"/>
          <w:szCs w:val="21"/>
          <w:highlight w:val="none"/>
        </w:rPr>
      </w:pPr>
    </w:p>
    <w:p w14:paraId="539DD387">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0B20223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2BAB182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42A457B">
      <w:pPr>
        <w:spacing w:line="360" w:lineRule="auto"/>
        <w:ind w:firstLine="420"/>
        <w:rPr>
          <w:rFonts w:ascii="宋体" w:hAnsi="宋体" w:cs="宋体"/>
          <w:bCs/>
          <w:color w:val="auto"/>
          <w:szCs w:val="21"/>
          <w:highlight w:val="none"/>
        </w:rPr>
      </w:pPr>
      <w:r>
        <w:rPr>
          <w:rFonts w:hint="eastAsia" w:ascii="宋体" w:hAnsi="宋体" w:cs="宋体"/>
          <w:color w:val="auto"/>
          <w:szCs w:val="21"/>
          <w:highlight w:val="none"/>
        </w:rPr>
        <w:t>24.3</w:t>
      </w:r>
      <w:r>
        <w:rPr>
          <w:rFonts w:hint="eastAsia" w:ascii="宋体" w:hAnsi="宋体" w:cs="宋体"/>
          <w:bCs/>
          <w:color w:val="auto"/>
          <w:szCs w:val="21"/>
          <w:highlight w:val="none"/>
        </w:rPr>
        <w:t>采购代理机构</w:t>
      </w:r>
      <w:r>
        <w:rPr>
          <w:rFonts w:hint="eastAsia" w:ascii="宋体" w:hAnsi="宋体" w:cs="宋体"/>
          <w:bCs/>
          <w:color w:val="auto"/>
          <w:highlight w:val="none"/>
        </w:rPr>
        <w:t>应当</w:t>
      </w:r>
      <w:r>
        <w:rPr>
          <w:rFonts w:hint="eastAsia" w:ascii="宋体" w:hAnsi="宋体" w:cs="宋体"/>
          <w:bCs/>
          <w:color w:val="auto"/>
          <w:szCs w:val="21"/>
          <w:highlight w:val="none"/>
        </w:rPr>
        <w:t>基于广西政府采购云平台</w:t>
      </w:r>
      <w:r>
        <w:rPr>
          <w:rFonts w:hint="eastAsia" w:ascii="宋体" w:hAnsi="宋体" w:cs="宋体"/>
          <w:bCs/>
          <w:color w:val="auto"/>
          <w:highlight w:val="none"/>
        </w:rPr>
        <w:t>抽（选）取</w:t>
      </w:r>
      <w:r>
        <w:rPr>
          <w:rFonts w:hint="eastAsia" w:ascii="宋体" w:hAnsi="宋体" w:cs="宋体"/>
          <w:bCs/>
          <w:color w:val="auto"/>
          <w:szCs w:val="21"/>
          <w:highlight w:val="none"/>
        </w:rPr>
        <w:t>评审专家。</w:t>
      </w:r>
    </w:p>
    <w:p w14:paraId="45B9EFB2">
      <w:pPr>
        <w:spacing w:line="360" w:lineRule="auto"/>
        <w:ind w:firstLine="420"/>
        <w:rPr>
          <w:color w:val="auto"/>
          <w:highlight w:val="none"/>
        </w:rPr>
      </w:pPr>
      <w:r>
        <w:rPr>
          <w:rFonts w:hint="eastAsia" w:ascii="宋体" w:hAnsi="宋体" w:cs="宋体"/>
          <w:bCs/>
          <w:color w:val="auto"/>
          <w:highlight w:val="none"/>
        </w:rPr>
        <w:t>24.4参加过采购项目前期咨询论证的专家，不得参加该采购项目的评审活动。</w:t>
      </w:r>
    </w:p>
    <w:p w14:paraId="75A3174A">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5435B324">
      <w:pPr>
        <w:spacing w:line="360" w:lineRule="auto"/>
        <w:ind w:firstLine="420"/>
        <w:rPr>
          <w:rFonts w:ascii="宋体" w:hAnsi="宋体" w:cs="宋体"/>
          <w:color w:val="auto"/>
          <w:szCs w:val="21"/>
          <w:highlight w:val="none"/>
        </w:rPr>
      </w:pPr>
      <w:r>
        <w:rPr>
          <w:rFonts w:hint="eastAsia" w:ascii="宋体" w:hAnsi="宋体" w:cs="宋体"/>
          <w:bCs/>
          <w:color w:val="auto"/>
          <w:highlight w:val="none"/>
        </w:rPr>
        <w:t>采购代理机构将在“供应商须知前附表”规定的时</w:t>
      </w:r>
      <w:r>
        <w:rPr>
          <w:rFonts w:hint="eastAsia" w:ascii="宋体" w:hAnsi="宋体" w:cs="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cs="宋体"/>
          <w:bCs/>
          <w:color w:val="auto"/>
          <w:szCs w:val="21"/>
          <w:highlight w:val="none"/>
        </w:rPr>
        <w:t>“供应商须知前附表”</w:t>
      </w:r>
      <w:r>
        <w:rPr>
          <w:rFonts w:hint="eastAsia" w:ascii="宋体" w:hAnsi="宋体" w:cs="宋体"/>
          <w:color w:val="auto"/>
          <w:highlight w:val="none"/>
        </w:rPr>
        <w:t>规定的时间内自行进行响应文件解密。</w:t>
      </w:r>
      <w:r>
        <w:rPr>
          <w:rFonts w:hint="eastAsia" w:ascii="宋体" w:hAnsi="宋体" w:cs="宋体"/>
          <w:b/>
          <w:color w:val="auto"/>
          <w:highlight w:val="none"/>
        </w:rPr>
        <w:t>供应商未在规定的时间内解密响应文件或者解密失败的，供应商</w:t>
      </w:r>
      <w:r>
        <w:rPr>
          <w:rFonts w:hint="eastAsia" w:ascii="宋体" w:hAnsi="宋体" w:cs="宋体"/>
          <w:b/>
          <w:color w:val="auto"/>
          <w:szCs w:val="21"/>
          <w:highlight w:val="none"/>
        </w:rPr>
        <w:t>的响应文件作无效处理</w:t>
      </w:r>
      <w:r>
        <w:rPr>
          <w:rFonts w:hint="eastAsia" w:ascii="宋体" w:hAnsi="宋体" w:cs="宋体"/>
          <w:b/>
          <w:color w:val="auto"/>
          <w:highlight w:val="none"/>
        </w:rPr>
        <w:t>。</w:t>
      </w:r>
    </w:p>
    <w:p w14:paraId="6ADC6E6A">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1651FA4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565CB9D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59E7ADB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26.3商务/技术要求允许负偏离的条款数详见“供应商须知前附表”。</w:t>
      </w:r>
    </w:p>
    <w:p w14:paraId="4A8C70C6">
      <w:pPr>
        <w:spacing w:line="360" w:lineRule="auto"/>
        <w:ind w:firstLine="420"/>
        <w:rPr>
          <w:rFonts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2DB2EE6">
      <w:pPr>
        <w:spacing w:line="360" w:lineRule="auto"/>
        <w:ind w:firstLine="420"/>
        <w:rPr>
          <w:rFonts w:ascii="宋体" w:hAnsi="宋体" w:cs="宋体"/>
          <w:color w:val="auto"/>
          <w:highlight w:val="none"/>
        </w:rPr>
      </w:pPr>
      <w:r>
        <w:rPr>
          <w:rFonts w:hint="eastAsia" w:ascii="宋体" w:hAnsi="宋体" w:cs="宋体"/>
          <w:color w:val="auto"/>
          <w:highlight w:val="none"/>
        </w:rPr>
        <w:t>26.5电子交易活动的中止。采购过程中出现以下情形，导致电子交易平台无法正常运行，或者无法保证电子交易的公平、公正和安全时，采购机构可中止电子交易活动：</w:t>
      </w:r>
    </w:p>
    <w:p w14:paraId="6252A0D1">
      <w:pPr>
        <w:spacing w:line="360" w:lineRule="auto"/>
        <w:ind w:firstLine="420"/>
        <w:rPr>
          <w:rFonts w:ascii="宋体" w:hAnsi="宋体" w:cs="宋体"/>
          <w:color w:val="auto"/>
          <w:highlight w:val="none"/>
        </w:rPr>
      </w:pPr>
      <w:r>
        <w:rPr>
          <w:rFonts w:hint="eastAsia" w:ascii="宋体" w:hAnsi="宋体" w:cs="宋体"/>
          <w:color w:val="auto"/>
          <w:highlight w:val="none"/>
        </w:rPr>
        <w:t>（1）电子交易平台发生故障而无法登录访问的；</w:t>
      </w:r>
    </w:p>
    <w:p w14:paraId="06B3A2CF">
      <w:pPr>
        <w:spacing w:line="360" w:lineRule="auto"/>
        <w:ind w:firstLine="42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295DA8CE">
      <w:pPr>
        <w:spacing w:line="360" w:lineRule="auto"/>
        <w:ind w:firstLine="42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B59DE28">
      <w:pPr>
        <w:spacing w:line="360" w:lineRule="auto"/>
        <w:ind w:firstLine="420"/>
        <w:rPr>
          <w:rFonts w:ascii="宋体" w:hAnsi="宋体" w:cs="宋体"/>
          <w:color w:val="auto"/>
          <w:highlight w:val="none"/>
        </w:rPr>
      </w:pPr>
      <w:r>
        <w:rPr>
          <w:rFonts w:hint="eastAsia" w:ascii="宋体" w:hAnsi="宋体" w:cs="宋体"/>
          <w:color w:val="auto"/>
          <w:highlight w:val="none"/>
        </w:rPr>
        <w:t>（4）病毒发作导致不能进行正常操作的；</w:t>
      </w:r>
    </w:p>
    <w:p w14:paraId="1677425C">
      <w:pPr>
        <w:spacing w:line="360" w:lineRule="auto"/>
        <w:ind w:firstLine="42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14:paraId="471C6313">
      <w:pPr>
        <w:spacing w:line="360" w:lineRule="auto"/>
        <w:ind w:firstLine="420"/>
        <w:rPr>
          <w:rFonts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413E141">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5CF4C85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46EA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9"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79"/>
    </w:p>
    <w:p w14:paraId="6016BAC5">
      <w:pPr>
        <w:spacing w:line="360" w:lineRule="auto"/>
        <w:ind w:firstLine="420"/>
        <w:rPr>
          <w:rFonts w:ascii="宋体" w:hAnsi="宋体" w:cs="宋体"/>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.3</w:t>
      </w:r>
      <w:r>
        <w:rPr>
          <w:rFonts w:hint="eastAsia" w:ascii="宋体" w:hAnsi="宋体" w:cs="宋体"/>
          <w:color w:val="auto"/>
          <w:szCs w:val="21"/>
          <w:highlight w:val="none"/>
        </w:rPr>
        <w:t>出现下列情形之一的，采购人或者采购代理机构应当终止竞争性磋商采购活动，发布项目终止公告并说明原因，重新开展采购活动：</w:t>
      </w:r>
    </w:p>
    <w:p w14:paraId="0B6DDF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7A3FC0D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0A6D7C2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EEB295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27.4在采购活动中因重大变故，采购任务取消的，采购人或者采购代理机构应当终止采购活动，通知所有参加采购活动的供应商，并将项目实施情况和采购任务取消原因报送本级财政部门。</w:t>
      </w:r>
    </w:p>
    <w:p w14:paraId="247AB2D9">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6ADBFB22">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28.1履约保证金的金额、提交方式、缴纳期限、退付的时间和条件详见“供应商须知前附表”。成交供应商未按规定提交履约保证金的，视为拒绝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w:t>
      </w:r>
    </w:p>
    <w:p w14:paraId="12F73D6E">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28.2在履约保证金退还日期前，若成交供应商的开户名称、开户银行、账号有变动的，请以书面形式通知履约保证金收取单位，否则由此产生的后果由成交供应商自行承担。</w:t>
      </w:r>
    </w:p>
    <w:p w14:paraId="6192B51F">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29.签订合同</w:t>
      </w:r>
    </w:p>
    <w:p w14:paraId="0DC68B86">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D46B339">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6D1C2CA6">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68C59FC4">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0C9B2925">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D992A82">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F27A4F0">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552C04B4">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9C772A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714CD65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63CC041">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220DF6A3">
      <w:pPr>
        <w:pStyle w:val="8"/>
        <w:spacing w:line="360" w:lineRule="auto"/>
        <w:rPr>
          <w:rFonts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4F3A479A">
      <w:pPr>
        <w:spacing w:line="360" w:lineRule="auto"/>
        <w:ind w:firstLine="420"/>
        <w:rPr>
          <w:rFonts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47E1347">
      <w:pPr>
        <w:spacing w:line="360" w:lineRule="auto"/>
        <w:ind w:firstLine="42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046E8F3F">
      <w:pPr>
        <w:spacing w:line="360" w:lineRule="auto"/>
        <w:ind w:firstLine="42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337F1660">
      <w:pPr>
        <w:spacing w:line="360" w:lineRule="auto"/>
        <w:ind w:firstLine="42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58A32185">
      <w:pPr>
        <w:spacing w:line="360" w:lineRule="auto"/>
        <w:ind w:firstLine="42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ADA7EFE">
      <w:pPr>
        <w:spacing w:line="360" w:lineRule="auto"/>
        <w:ind w:firstLine="420"/>
        <w:rPr>
          <w:rFonts w:ascii="宋体" w:hAnsi="宋体" w:cs="宋体"/>
          <w:color w:val="auto"/>
          <w:highlight w:val="none"/>
        </w:rPr>
      </w:pPr>
      <w:r>
        <w:rPr>
          <w:rFonts w:hint="eastAsia" w:ascii="宋体" w:hAnsi="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20247E8D">
      <w:pPr>
        <w:spacing w:line="360" w:lineRule="auto"/>
        <w:ind w:firstLine="42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1B6970C">
      <w:pPr>
        <w:spacing w:line="360" w:lineRule="auto"/>
        <w:ind w:firstLine="420"/>
        <w:rPr>
          <w:rFonts w:ascii="宋体" w:hAnsi="宋体" w:cs="宋体"/>
          <w:color w:val="auto"/>
          <w:highlight w:val="none"/>
        </w:rPr>
      </w:pPr>
      <w:r>
        <w:rPr>
          <w:rFonts w:hint="eastAsia" w:ascii="宋体" w:hAnsi="宋体" w:cs="宋体"/>
          <w:color w:val="auto"/>
          <w:highlight w:val="none"/>
        </w:rPr>
        <w:t>（2）质疑项目的名称、编号；</w:t>
      </w:r>
    </w:p>
    <w:p w14:paraId="5297C29E">
      <w:pPr>
        <w:spacing w:line="360" w:lineRule="auto"/>
        <w:ind w:firstLine="42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65A8E464">
      <w:pPr>
        <w:spacing w:line="360" w:lineRule="auto"/>
        <w:ind w:firstLine="420"/>
        <w:rPr>
          <w:rFonts w:ascii="宋体" w:hAnsi="宋体" w:cs="宋体"/>
          <w:color w:val="auto"/>
          <w:highlight w:val="none"/>
        </w:rPr>
      </w:pPr>
      <w:r>
        <w:rPr>
          <w:rFonts w:hint="eastAsia" w:ascii="宋体" w:hAnsi="宋体" w:cs="宋体"/>
          <w:color w:val="auto"/>
          <w:highlight w:val="none"/>
        </w:rPr>
        <w:t>（4）事实依据；</w:t>
      </w:r>
    </w:p>
    <w:p w14:paraId="5341DE11">
      <w:pPr>
        <w:spacing w:line="360" w:lineRule="auto"/>
        <w:ind w:firstLine="420"/>
        <w:rPr>
          <w:rFonts w:ascii="宋体" w:hAnsi="宋体" w:cs="宋体"/>
          <w:color w:val="auto"/>
          <w:highlight w:val="none"/>
        </w:rPr>
      </w:pPr>
      <w:r>
        <w:rPr>
          <w:rFonts w:hint="eastAsia" w:ascii="宋体" w:hAnsi="宋体" w:cs="宋体"/>
          <w:color w:val="auto"/>
          <w:highlight w:val="none"/>
        </w:rPr>
        <w:t>（5）必要的法律依据；</w:t>
      </w:r>
    </w:p>
    <w:p w14:paraId="5181A6A4">
      <w:pPr>
        <w:spacing w:line="360" w:lineRule="auto"/>
        <w:ind w:firstLine="420"/>
        <w:rPr>
          <w:rFonts w:ascii="宋体" w:hAnsi="宋体" w:cs="宋体"/>
          <w:color w:val="auto"/>
          <w:highlight w:val="none"/>
        </w:rPr>
      </w:pPr>
      <w:r>
        <w:rPr>
          <w:rFonts w:hint="eastAsia" w:ascii="宋体" w:hAnsi="宋体" w:cs="宋体"/>
          <w:color w:val="auto"/>
          <w:highlight w:val="none"/>
        </w:rPr>
        <w:t>（6）提出质疑的日期。</w:t>
      </w:r>
    </w:p>
    <w:p w14:paraId="3C04D304">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0F5A937">
      <w:pPr>
        <w:spacing w:line="360" w:lineRule="auto"/>
        <w:ind w:firstLine="42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3F5CF456">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168FA556">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32A87B5">
      <w:pPr>
        <w:spacing w:line="360" w:lineRule="auto"/>
        <w:ind w:firstLine="42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71D9DF6A">
      <w:pPr>
        <w:spacing w:line="360" w:lineRule="auto"/>
        <w:ind w:firstLine="420"/>
        <w:rPr>
          <w:rFonts w:ascii="宋体" w:hAnsi="宋体" w:cs="宋体"/>
          <w:b/>
          <w:bCs/>
          <w:color w:val="auto"/>
          <w:sz w:val="24"/>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44AEB9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32.其他内容</w:t>
      </w:r>
    </w:p>
    <w:p w14:paraId="61FBA851">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.1采购代理服务费收取标准及缴费账户详见“供应商须知前附表”，供应商为联合体的，可以由联合体中的一方或者多方共同缴纳采购代理服务费。</w:t>
      </w:r>
    </w:p>
    <w:p w14:paraId="1210FD8B">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采购代理服务费收费计算标准：</w:t>
      </w:r>
    </w:p>
    <w:tbl>
      <w:tblPr>
        <w:tblStyle w:val="46"/>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77B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4F2F917">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2C61A492">
            <w:pPr>
              <w:spacing w:line="360" w:lineRule="auto"/>
              <w:rPr>
                <w:rFonts w:ascii="宋体" w:hAnsi="宋体" w:cs="宋体"/>
                <w:color w:val="auto"/>
                <w:szCs w:val="21"/>
                <w:highlight w:val="none"/>
              </w:rPr>
            </w:pPr>
            <w:r>
              <w:rPr>
                <w:rFonts w:hint="eastAsia" w:ascii="宋体" w:hAnsi="宋体" w:cs="宋体"/>
                <w:color w:val="auto"/>
                <w:szCs w:val="21"/>
                <w:highlight w:val="none"/>
              </w:rPr>
              <w:t>金额</w:t>
            </w:r>
          </w:p>
        </w:tc>
        <w:tc>
          <w:tcPr>
            <w:tcW w:w="1659" w:type="dxa"/>
            <w:vAlign w:val="center"/>
          </w:tcPr>
          <w:p w14:paraId="09A885B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货物类</w:t>
            </w:r>
          </w:p>
        </w:tc>
        <w:tc>
          <w:tcPr>
            <w:tcW w:w="1532" w:type="dxa"/>
            <w:vAlign w:val="center"/>
          </w:tcPr>
          <w:p w14:paraId="14E6F35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服务类</w:t>
            </w:r>
          </w:p>
        </w:tc>
        <w:tc>
          <w:tcPr>
            <w:tcW w:w="1546" w:type="dxa"/>
            <w:vAlign w:val="center"/>
          </w:tcPr>
          <w:p w14:paraId="64D1000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工程类</w:t>
            </w:r>
          </w:p>
        </w:tc>
      </w:tr>
      <w:tr w14:paraId="3355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1A121C1">
            <w:pP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vAlign w:val="center"/>
          </w:tcPr>
          <w:p w14:paraId="53CB3D7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w:t>
            </w:r>
          </w:p>
        </w:tc>
        <w:tc>
          <w:tcPr>
            <w:tcW w:w="1532" w:type="dxa"/>
            <w:vAlign w:val="center"/>
          </w:tcPr>
          <w:p w14:paraId="7E6FA7B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w:t>
            </w:r>
          </w:p>
        </w:tc>
        <w:tc>
          <w:tcPr>
            <w:tcW w:w="1546" w:type="dxa"/>
            <w:vAlign w:val="center"/>
          </w:tcPr>
          <w:p w14:paraId="2576913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w:t>
            </w:r>
          </w:p>
        </w:tc>
      </w:tr>
      <w:tr w14:paraId="4FEB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91128AC">
            <w:pPr>
              <w:spacing w:line="360" w:lineRule="auto"/>
              <w:rPr>
                <w:rFonts w:ascii="宋体" w:hAnsi="宋体" w:cs="宋体"/>
                <w:color w:val="auto"/>
                <w:szCs w:val="21"/>
                <w:highlight w:val="none"/>
              </w:rPr>
            </w:pPr>
            <w:r>
              <w:rPr>
                <w:rFonts w:hint="eastAsia" w:ascii="宋体" w:hAnsi="宋体" w:cs="宋体"/>
                <w:color w:val="auto"/>
                <w:szCs w:val="21"/>
                <w:highlight w:val="none"/>
              </w:rPr>
              <w:t>100万～500万元</w:t>
            </w:r>
          </w:p>
        </w:tc>
        <w:tc>
          <w:tcPr>
            <w:tcW w:w="1659" w:type="dxa"/>
            <w:vAlign w:val="center"/>
          </w:tcPr>
          <w:p w14:paraId="1741AFA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1.1%</w:t>
            </w:r>
          </w:p>
        </w:tc>
        <w:tc>
          <w:tcPr>
            <w:tcW w:w="1532" w:type="dxa"/>
            <w:vAlign w:val="center"/>
          </w:tcPr>
          <w:p w14:paraId="0573BE7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0.8%</w:t>
            </w:r>
          </w:p>
        </w:tc>
        <w:tc>
          <w:tcPr>
            <w:tcW w:w="1546" w:type="dxa"/>
            <w:vAlign w:val="center"/>
          </w:tcPr>
          <w:p w14:paraId="68F13C4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0.7%</w:t>
            </w:r>
          </w:p>
        </w:tc>
      </w:tr>
      <w:tr w14:paraId="5E9B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CF77817">
            <w:pPr>
              <w:spacing w:line="360" w:lineRule="auto"/>
              <w:rPr>
                <w:rFonts w:ascii="宋体" w:hAnsi="宋体" w:cs="宋体"/>
                <w:color w:val="auto"/>
                <w:szCs w:val="21"/>
                <w:highlight w:val="none"/>
              </w:rPr>
            </w:pPr>
            <w:r>
              <w:rPr>
                <w:rFonts w:hint="eastAsia" w:ascii="宋体" w:hAnsi="宋体" w:cs="宋体"/>
                <w:color w:val="auto"/>
                <w:szCs w:val="21"/>
                <w:highlight w:val="none"/>
              </w:rPr>
              <w:t>500万～1000万元</w:t>
            </w:r>
          </w:p>
        </w:tc>
        <w:tc>
          <w:tcPr>
            <w:tcW w:w="1659" w:type="dxa"/>
            <w:vAlign w:val="center"/>
          </w:tcPr>
          <w:p w14:paraId="2468E83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0.8%</w:t>
            </w:r>
          </w:p>
        </w:tc>
        <w:tc>
          <w:tcPr>
            <w:tcW w:w="1532" w:type="dxa"/>
            <w:vAlign w:val="center"/>
          </w:tcPr>
          <w:p w14:paraId="68F50F5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0.45%</w:t>
            </w:r>
          </w:p>
        </w:tc>
        <w:tc>
          <w:tcPr>
            <w:tcW w:w="1546" w:type="dxa"/>
            <w:vAlign w:val="center"/>
          </w:tcPr>
          <w:p w14:paraId="05B3F11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0.55%</w:t>
            </w:r>
          </w:p>
        </w:tc>
      </w:tr>
      <w:tr w14:paraId="4DE5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B8C7D5A">
            <w:pPr>
              <w:spacing w:line="360" w:lineRule="auto"/>
              <w:rPr>
                <w:rFonts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vAlign w:val="center"/>
          </w:tcPr>
          <w:p w14:paraId="2EBD92C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0.5%</w:t>
            </w:r>
          </w:p>
        </w:tc>
        <w:tc>
          <w:tcPr>
            <w:tcW w:w="1532" w:type="dxa"/>
            <w:vAlign w:val="center"/>
          </w:tcPr>
          <w:p w14:paraId="66180F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0.25%</w:t>
            </w:r>
          </w:p>
        </w:tc>
        <w:tc>
          <w:tcPr>
            <w:tcW w:w="1546" w:type="dxa"/>
            <w:vAlign w:val="center"/>
          </w:tcPr>
          <w:p w14:paraId="65D6196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0.35%</w:t>
            </w:r>
          </w:p>
        </w:tc>
      </w:tr>
      <w:tr w14:paraId="274C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37553FA">
            <w:pP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vAlign w:val="center"/>
          </w:tcPr>
          <w:p w14:paraId="1C3C6DD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0.25%</w:t>
            </w:r>
          </w:p>
        </w:tc>
        <w:tc>
          <w:tcPr>
            <w:tcW w:w="1532" w:type="dxa"/>
            <w:vAlign w:val="center"/>
          </w:tcPr>
          <w:p w14:paraId="55A77E6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0.1%</w:t>
            </w:r>
          </w:p>
        </w:tc>
        <w:tc>
          <w:tcPr>
            <w:tcW w:w="1546" w:type="dxa"/>
            <w:vAlign w:val="center"/>
          </w:tcPr>
          <w:p w14:paraId="088D013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w:t>
            </w:r>
          </w:p>
        </w:tc>
      </w:tr>
      <w:tr w14:paraId="31E8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7A80557">
            <w:pPr>
              <w:spacing w:line="360" w:lineRule="auto"/>
              <w:rPr>
                <w:rFonts w:ascii="宋体" w:hAnsi="宋体" w:cs="宋体"/>
                <w:color w:val="auto"/>
                <w:szCs w:val="21"/>
                <w:highlight w:val="none"/>
              </w:rPr>
            </w:pPr>
            <w:r>
              <w:rPr>
                <w:rFonts w:hint="eastAsia" w:ascii="宋体" w:hAnsi="宋体" w:cs="宋体"/>
                <w:color w:val="auto"/>
                <w:szCs w:val="21"/>
                <w:highlight w:val="none"/>
              </w:rPr>
              <w:t>1亿～5亿元</w:t>
            </w:r>
          </w:p>
        </w:tc>
        <w:tc>
          <w:tcPr>
            <w:tcW w:w="1659" w:type="dxa"/>
            <w:vAlign w:val="center"/>
          </w:tcPr>
          <w:p w14:paraId="2CFCF22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532" w:type="dxa"/>
            <w:vAlign w:val="center"/>
          </w:tcPr>
          <w:p w14:paraId="06DAD4D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546" w:type="dxa"/>
            <w:vAlign w:val="center"/>
          </w:tcPr>
          <w:p w14:paraId="6CAD4EA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r>
      <w:tr w14:paraId="2251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1E5EFD6">
            <w:pPr>
              <w:spacing w:line="360" w:lineRule="auto"/>
              <w:rPr>
                <w:rFonts w:ascii="宋体" w:hAnsi="宋体" w:cs="宋体"/>
                <w:color w:val="auto"/>
                <w:szCs w:val="21"/>
                <w:highlight w:val="none"/>
              </w:rPr>
            </w:pPr>
            <w:r>
              <w:rPr>
                <w:rFonts w:hint="eastAsia" w:ascii="宋体" w:hAnsi="宋体" w:cs="宋体"/>
                <w:color w:val="auto"/>
                <w:szCs w:val="21"/>
                <w:highlight w:val="none"/>
              </w:rPr>
              <w:t>5亿～10亿元</w:t>
            </w:r>
          </w:p>
        </w:tc>
        <w:tc>
          <w:tcPr>
            <w:tcW w:w="1659" w:type="dxa"/>
            <w:vAlign w:val="center"/>
          </w:tcPr>
          <w:p w14:paraId="692891E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0.035%</w:t>
            </w:r>
          </w:p>
        </w:tc>
        <w:tc>
          <w:tcPr>
            <w:tcW w:w="1532" w:type="dxa"/>
            <w:vAlign w:val="center"/>
          </w:tcPr>
          <w:p w14:paraId="2F104BE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0.035%</w:t>
            </w:r>
          </w:p>
        </w:tc>
        <w:tc>
          <w:tcPr>
            <w:tcW w:w="1546" w:type="dxa"/>
            <w:vAlign w:val="center"/>
          </w:tcPr>
          <w:p w14:paraId="1A1E731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0.035%</w:t>
            </w:r>
          </w:p>
        </w:tc>
      </w:tr>
      <w:tr w14:paraId="15EC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75B4FA8">
            <w:pPr>
              <w:spacing w:line="360" w:lineRule="auto"/>
              <w:rPr>
                <w:rFonts w:ascii="宋体" w:hAnsi="宋体" w:cs="宋体"/>
                <w:color w:val="auto"/>
                <w:szCs w:val="21"/>
                <w:highlight w:val="none"/>
              </w:rPr>
            </w:pPr>
            <w:r>
              <w:rPr>
                <w:rFonts w:hint="eastAsia" w:ascii="宋体" w:hAnsi="宋体" w:cs="宋体"/>
                <w:color w:val="auto"/>
                <w:szCs w:val="21"/>
                <w:highlight w:val="none"/>
              </w:rPr>
              <w:t>10亿～50亿元</w:t>
            </w:r>
          </w:p>
        </w:tc>
        <w:tc>
          <w:tcPr>
            <w:tcW w:w="1659" w:type="dxa"/>
            <w:vAlign w:val="center"/>
          </w:tcPr>
          <w:p w14:paraId="6B9D0F4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0.008%</w:t>
            </w:r>
          </w:p>
        </w:tc>
        <w:tc>
          <w:tcPr>
            <w:tcW w:w="1532" w:type="dxa"/>
            <w:vAlign w:val="center"/>
          </w:tcPr>
          <w:p w14:paraId="54790EE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0.008%</w:t>
            </w:r>
          </w:p>
        </w:tc>
        <w:tc>
          <w:tcPr>
            <w:tcW w:w="1546" w:type="dxa"/>
            <w:vAlign w:val="center"/>
          </w:tcPr>
          <w:p w14:paraId="28D8545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0.008%</w:t>
            </w:r>
          </w:p>
        </w:tc>
      </w:tr>
      <w:tr w14:paraId="745E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1D204C1">
            <w:pPr>
              <w:spacing w:line="360" w:lineRule="auto"/>
              <w:rPr>
                <w:rFonts w:ascii="宋体" w:hAnsi="宋体" w:cs="宋体"/>
                <w:color w:val="auto"/>
                <w:szCs w:val="21"/>
                <w:highlight w:val="none"/>
              </w:rPr>
            </w:pPr>
            <w:r>
              <w:rPr>
                <w:rFonts w:hint="eastAsia" w:ascii="宋体" w:hAnsi="宋体" w:cs="宋体"/>
                <w:color w:val="auto"/>
                <w:szCs w:val="21"/>
                <w:highlight w:val="none"/>
              </w:rPr>
              <w:t>50亿～100亿元</w:t>
            </w:r>
          </w:p>
        </w:tc>
        <w:tc>
          <w:tcPr>
            <w:tcW w:w="1659" w:type="dxa"/>
            <w:vAlign w:val="center"/>
          </w:tcPr>
          <w:p w14:paraId="4D3CEB0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0.006%</w:t>
            </w:r>
          </w:p>
        </w:tc>
        <w:tc>
          <w:tcPr>
            <w:tcW w:w="1532" w:type="dxa"/>
            <w:vAlign w:val="center"/>
          </w:tcPr>
          <w:p w14:paraId="759D7F7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0.006%</w:t>
            </w:r>
          </w:p>
        </w:tc>
        <w:tc>
          <w:tcPr>
            <w:tcW w:w="1546" w:type="dxa"/>
            <w:vAlign w:val="center"/>
          </w:tcPr>
          <w:p w14:paraId="2F53B97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0.006%</w:t>
            </w:r>
          </w:p>
        </w:tc>
      </w:tr>
      <w:tr w14:paraId="716F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F44A3DD">
            <w:pPr>
              <w:spacing w:line="360" w:lineRule="auto"/>
              <w:rPr>
                <w:rFonts w:ascii="宋体" w:hAnsi="宋体" w:cs="宋体"/>
                <w:color w:val="auto"/>
                <w:szCs w:val="21"/>
                <w:highlight w:val="none"/>
              </w:rPr>
            </w:pPr>
            <w:r>
              <w:rPr>
                <w:rFonts w:hint="eastAsia" w:ascii="宋体" w:hAnsi="宋体" w:cs="宋体"/>
                <w:color w:val="auto"/>
                <w:szCs w:val="21"/>
                <w:highlight w:val="none"/>
              </w:rPr>
              <w:t>100亿元以上</w:t>
            </w:r>
          </w:p>
        </w:tc>
        <w:tc>
          <w:tcPr>
            <w:tcW w:w="1659" w:type="dxa"/>
            <w:vAlign w:val="center"/>
          </w:tcPr>
          <w:p w14:paraId="6BFF5C2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0.004%</w:t>
            </w:r>
          </w:p>
        </w:tc>
        <w:tc>
          <w:tcPr>
            <w:tcW w:w="1532" w:type="dxa"/>
            <w:vAlign w:val="center"/>
          </w:tcPr>
          <w:p w14:paraId="069810A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0.004%</w:t>
            </w:r>
          </w:p>
        </w:tc>
        <w:tc>
          <w:tcPr>
            <w:tcW w:w="1546" w:type="dxa"/>
            <w:vAlign w:val="center"/>
          </w:tcPr>
          <w:p w14:paraId="6D97019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0.004%</w:t>
            </w:r>
          </w:p>
        </w:tc>
      </w:tr>
    </w:tbl>
    <w:p w14:paraId="65E9A2DC">
      <w:pPr>
        <w:spacing w:line="360" w:lineRule="auto"/>
        <w:ind w:firstLine="420"/>
        <w:rPr>
          <w:rFonts w:ascii="宋体" w:hAnsi="宋体" w:cs="宋体"/>
          <w:color w:val="auto"/>
          <w:highlight w:val="none"/>
        </w:rPr>
      </w:pPr>
      <w:r>
        <w:rPr>
          <w:rFonts w:ascii="宋体" w:hAnsi="宋体" w:cs="宋体"/>
          <w:color w:val="auto"/>
          <w:highlight w:val="none"/>
        </w:rPr>
        <w:t>注：</w:t>
      </w:r>
    </w:p>
    <w:p w14:paraId="0F1ACB2F">
      <w:pPr>
        <w:spacing w:line="360" w:lineRule="auto"/>
        <w:ind w:firstLine="42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11B8B1CE">
      <w:pPr>
        <w:spacing w:line="360" w:lineRule="auto"/>
        <w:ind w:firstLine="42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2A0C37EA">
      <w:pPr>
        <w:spacing w:line="360" w:lineRule="auto"/>
        <w:ind w:firstLine="42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481E4AA8">
      <w:pPr>
        <w:spacing w:line="360" w:lineRule="auto"/>
        <w:ind w:firstLine="420"/>
        <w:rPr>
          <w:rFonts w:ascii="宋体" w:hAnsi="宋体" w:cs="宋体"/>
          <w:color w:val="auto"/>
          <w:highlight w:val="none"/>
        </w:rPr>
      </w:pPr>
      <w:r>
        <w:rPr>
          <w:rFonts w:ascii="宋体" w:hAnsi="宋体" w:cs="宋体"/>
          <w:color w:val="auto"/>
          <w:highlight w:val="none"/>
        </w:rPr>
        <w:t>100万元×</w:t>
      </w:r>
      <w:r>
        <w:rPr>
          <w:rFonts w:hint="eastAsia" w:ascii="宋体" w:hAnsi="宋体" w:cs="宋体"/>
          <w:color w:val="auto"/>
          <w:highlight w:val="none"/>
        </w:rPr>
        <w:t>1</w:t>
      </w:r>
      <w:r>
        <w:rPr>
          <w:rFonts w:ascii="宋体" w:hAnsi="宋体" w:cs="宋体"/>
          <w:color w:val="auto"/>
          <w:highlight w:val="none"/>
        </w:rPr>
        <w:t>.5%＝1.5万元</w:t>
      </w:r>
    </w:p>
    <w:p w14:paraId="3A39E941">
      <w:pPr>
        <w:spacing w:line="360" w:lineRule="auto"/>
        <w:ind w:firstLine="420"/>
        <w:rPr>
          <w:rFonts w:ascii="宋体" w:hAnsi="宋体" w:cs="宋体"/>
          <w:color w:val="auto"/>
          <w:highlight w:val="none"/>
        </w:rPr>
      </w:pPr>
      <w:r>
        <w:rPr>
          <w:rFonts w:ascii="宋体" w:hAnsi="宋体" w:cs="宋体"/>
          <w:color w:val="auto"/>
          <w:highlight w:val="none"/>
        </w:rPr>
        <w:t>（150－100）万元×0.8%＝0.4万元</w:t>
      </w:r>
    </w:p>
    <w:p w14:paraId="0916D83D">
      <w:pPr>
        <w:spacing w:line="360" w:lineRule="auto"/>
        <w:ind w:firstLine="420"/>
        <w:rPr>
          <w:rFonts w:ascii="宋体" w:hAnsi="宋体" w:cs="宋体"/>
          <w:color w:val="auto"/>
          <w:highlight w:val="none"/>
        </w:rPr>
      </w:pPr>
      <w:r>
        <w:rPr>
          <w:rFonts w:ascii="宋体" w:hAnsi="宋体" w:cs="宋体"/>
          <w:color w:val="auto"/>
          <w:highlight w:val="none"/>
        </w:rPr>
        <w:t>合计收费＝1.5＋0.4＝1.9万元</w:t>
      </w:r>
    </w:p>
    <w:p w14:paraId="22C7021A">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702B63BB">
      <w:pPr>
        <w:pStyle w:val="25"/>
        <w:spacing w:line="360" w:lineRule="auto"/>
        <w:ind w:firstLine="420"/>
        <w:rPr>
          <w:rFonts w:hAnsi="宋体" w:cs="宋体"/>
          <w:color w:val="auto"/>
          <w:sz w:val="21"/>
          <w:highlight w:val="none"/>
        </w:rPr>
      </w:pPr>
      <w:r>
        <w:rPr>
          <w:rFonts w:hint="eastAsia" w:hAnsi="宋体" w:cs="宋体"/>
          <w:color w:val="auto"/>
          <w:sz w:val="21"/>
          <w:highlight w:val="none"/>
        </w:rPr>
        <w:t>33.1本磋商文件解释规则详见“供应商须知前附表”。</w:t>
      </w:r>
    </w:p>
    <w:p w14:paraId="7F020FEE">
      <w:pPr>
        <w:pStyle w:val="25"/>
        <w:spacing w:line="360" w:lineRule="auto"/>
        <w:ind w:firstLine="420"/>
        <w:rPr>
          <w:rFonts w:hAnsi="宋体" w:cs="宋体"/>
          <w:color w:val="auto"/>
          <w:sz w:val="21"/>
          <w:highlight w:val="none"/>
        </w:rPr>
      </w:pPr>
      <w:r>
        <w:rPr>
          <w:rFonts w:hint="eastAsia" w:hAnsi="宋体" w:cs="宋体"/>
          <w:color w:val="auto"/>
          <w:sz w:val="21"/>
          <w:highlight w:val="none"/>
        </w:rPr>
        <w:t>33.2其他事项详见“供应商须知前附表”。</w:t>
      </w:r>
    </w:p>
    <w:p w14:paraId="2742BE99">
      <w:pPr>
        <w:pStyle w:val="25"/>
        <w:spacing w:line="360" w:lineRule="auto"/>
        <w:ind w:firstLine="420"/>
        <w:rPr>
          <w:rFonts w:hAnsi="宋体" w:cs="宋体"/>
          <w:color w:val="auto"/>
          <w:sz w:val="21"/>
          <w:highlight w:val="none"/>
        </w:rPr>
      </w:pPr>
      <w:r>
        <w:rPr>
          <w:rFonts w:hint="eastAsia" w:hAnsi="宋体" w:cs="宋体"/>
          <w:color w:val="auto"/>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0C7AB1B">
      <w:pPr>
        <w:pStyle w:val="25"/>
        <w:spacing w:line="360" w:lineRule="auto"/>
        <w:ind w:firstLine="42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2F1FEE3A">
      <w:pPr>
        <w:pStyle w:val="25"/>
        <w:spacing w:line="360" w:lineRule="auto"/>
        <w:ind w:firstLine="42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06306A7B">
      <w:pPr>
        <w:pStyle w:val="25"/>
        <w:spacing w:line="360" w:lineRule="auto"/>
        <w:ind w:firstLine="42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DDA11D3">
      <w:pPr>
        <w:pStyle w:val="25"/>
        <w:spacing w:line="360" w:lineRule="auto"/>
        <w:ind w:firstLine="420"/>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7D5C56F">
      <w:pPr>
        <w:pStyle w:val="3"/>
        <w:spacing w:before="0" w:after="0" w:line="240" w:lineRule="auto"/>
        <w:jc w:val="left"/>
        <w:rPr>
          <w:rFonts w:ascii="宋体" w:hAnsi="宋体" w:cs="宋体"/>
          <w:color w:val="auto"/>
          <w:sz w:val="21"/>
          <w:highlight w:val="none"/>
        </w:rPr>
      </w:pPr>
      <w:r>
        <w:rPr>
          <w:rFonts w:hint="eastAsia" w:ascii="宋体" w:hAnsi="宋体" w:cs="宋体"/>
          <w:color w:val="auto"/>
          <w:sz w:val="21"/>
          <w:highlight w:val="none"/>
        </w:rPr>
        <w:t>依据本磋商文件规定享受扶持政策获得政府采购合同的，小微企业不得将合同分包给大中型企业，中型企业不得将合同分包给大型企业。</w:t>
      </w:r>
    </w:p>
    <w:p w14:paraId="710703EB">
      <w:pPr>
        <w:pStyle w:val="3"/>
        <w:spacing w:before="0" w:after="0" w:line="240" w:lineRule="auto"/>
        <w:jc w:val="center"/>
        <w:rPr>
          <w:rFonts w:ascii="宋体" w:hAnsi="宋体" w:cs="宋体"/>
          <w:color w:val="auto"/>
          <w:highlight w:val="none"/>
        </w:rPr>
      </w:pPr>
      <w:r>
        <w:rPr>
          <w:rFonts w:hint="eastAsia" w:ascii="宋体" w:hAnsi="宋体" w:cs="宋体"/>
          <w:b w:val="0"/>
          <w:color w:val="auto"/>
          <w:highlight w:val="none"/>
        </w:rPr>
        <w:br w:type="page" w:clear="all"/>
      </w:r>
      <w:bookmarkStart w:id="80" w:name="_Toc74323458"/>
      <w:r>
        <w:rPr>
          <w:rFonts w:hint="eastAsia" w:ascii="宋体" w:hAnsi="宋体" w:cs="宋体"/>
          <w:color w:val="auto"/>
          <w:highlight w:val="none"/>
        </w:rPr>
        <w:t>第三章 采购需求</w:t>
      </w:r>
      <w:bookmarkEnd w:id="80"/>
    </w:p>
    <w:p w14:paraId="512C32F4">
      <w:pPr>
        <w:spacing w:line="360" w:lineRule="auto"/>
        <w:jc w:val="center"/>
        <w:rPr>
          <w:rFonts w:ascii="宋体" w:hAnsi="宋体" w:cs="宋体"/>
          <w:b/>
          <w:color w:val="auto"/>
          <w:sz w:val="32"/>
          <w:szCs w:val="32"/>
          <w:highlight w:val="none"/>
        </w:rPr>
      </w:pPr>
    </w:p>
    <w:p w14:paraId="7062D55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1E6006D6">
      <w:pPr>
        <w:spacing w:line="360" w:lineRule="auto"/>
        <w:ind w:firstLine="420"/>
        <w:jc w:val="left"/>
        <w:rPr>
          <w:rFonts w:ascii="宋体" w:hAnsi="宋体" w:cs="宋体"/>
          <w:color w:val="auto"/>
          <w:szCs w:val="21"/>
          <w:highlight w:val="none"/>
        </w:rPr>
      </w:pPr>
      <w:r>
        <w:rPr>
          <w:rFonts w:hint="eastAsia" w:ascii="宋体" w:hAnsi="宋体" w:cs="宋体"/>
          <w:color w:val="auto"/>
          <w:highlight w:val="none"/>
        </w:rPr>
        <w:t>1.为落实政府采购政策需满足的要求：</w:t>
      </w:r>
    </w:p>
    <w:p w14:paraId="547099C7">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本竞争性磋商采购文件所称中小企业必须符合《政府采购促进中小企业发展管理办法》（财库〔2020〕46号）的规定。</w:t>
      </w:r>
    </w:p>
    <w:p w14:paraId="41659F58">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“实质性要求”是指采购需求中带“▲”的条款或者不能负偏离的条款或者已经指明不满足响应文件按无效处理的条款。</w:t>
      </w:r>
      <w:r>
        <w:rPr>
          <w:rFonts w:hint="eastAsia" w:ascii="宋体" w:hAnsi="宋体" w:cs="宋体"/>
          <w:b/>
          <w:bCs/>
          <w:color w:val="auto"/>
          <w:highlight w:val="none"/>
        </w:rPr>
        <w:t>本项目技术需求为实质性要求，不允许负偏离</w:t>
      </w:r>
      <w:r>
        <w:rPr>
          <w:rFonts w:hint="eastAsia" w:ascii="宋体" w:hAnsi="宋体" w:cs="宋体"/>
          <w:b/>
          <w:bCs/>
          <w:color w:val="auto"/>
          <w:szCs w:val="21"/>
          <w:highlight w:val="none"/>
        </w:rPr>
        <w:t>。</w:t>
      </w:r>
    </w:p>
    <w:p w14:paraId="276A3640">
      <w:pPr>
        <w:spacing w:line="360" w:lineRule="auto"/>
        <w:ind w:firstLine="424"/>
        <w:jc w:val="left"/>
        <w:rPr>
          <w:rFonts w:ascii="宋体" w:hAnsi="宋体" w:cs="宋体"/>
          <w:color w:val="auto"/>
          <w:highlight w:val="none"/>
        </w:rPr>
      </w:pPr>
      <w:r>
        <w:rPr>
          <w:rFonts w:hint="eastAsia" w:ascii="宋体" w:hAnsi="宋体" w:cs="宋体"/>
          <w:color w:val="auto"/>
          <w:szCs w:val="21"/>
          <w:highlight w:val="none"/>
        </w:rPr>
        <w:t>3.供应商应根据自身实际情况如实响应磋商文件，否则将按无效响应处理（定制采购不适用本条款）。</w:t>
      </w:r>
      <w:r>
        <w:rPr>
          <w:rFonts w:hint="eastAsia" w:ascii="宋体" w:hAnsi="宋体" w:cs="宋体"/>
          <w:color w:val="auto"/>
          <w:highlight w:val="none"/>
        </w:rPr>
        <w:t>对于重要技术条款或技术参数应当在响应文件中提供技术支持资料，技术支持资料以磋商文件中规定的形式为准，否则将视为无效技术支持资料。</w:t>
      </w:r>
    </w:p>
    <w:p w14:paraId="5D473165">
      <w:pPr>
        <w:spacing w:line="360" w:lineRule="auto"/>
        <w:ind w:firstLine="420"/>
        <w:rPr>
          <w:rFonts w:ascii="宋体" w:hAnsi="宋体" w:cs="宋体"/>
          <w:color w:val="auto"/>
          <w:highlight w:val="none"/>
        </w:rPr>
      </w:pPr>
      <w:r>
        <w:rPr>
          <w:rFonts w:hint="eastAsia" w:ascii="宋体" w:hAnsi="宋体" w:cs="宋体"/>
          <w:color w:val="auto"/>
          <w:szCs w:val="21"/>
          <w:highlight w:val="none"/>
        </w:rPr>
        <w:t>4.</w:t>
      </w:r>
      <w:r>
        <w:rPr>
          <w:rFonts w:hint="eastAsia" w:ascii="宋体" w:hAnsi="宋体" w:cs="宋体"/>
          <w:color w:val="auto"/>
          <w:highlight w:val="none"/>
        </w:rPr>
        <w:t>供应商必须自行为其</w:t>
      </w:r>
      <w:r>
        <w:rPr>
          <w:color w:val="auto"/>
          <w:highlight w:val="none"/>
        </w:rPr>
        <w:t>响应产品</w:t>
      </w:r>
      <w:r>
        <w:rPr>
          <w:rFonts w:hint="eastAsia" w:ascii="宋体" w:hAnsi="宋体" w:cs="宋体"/>
          <w:color w:val="auto"/>
          <w:highlight w:val="none"/>
        </w:rPr>
        <w:t>侵犯他人的知识产权或者专利成果的行为承担相应法律责任。</w:t>
      </w:r>
    </w:p>
    <w:p w14:paraId="15E5207D">
      <w:pPr>
        <w:spacing w:line="360" w:lineRule="auto"/>
        <w:ind w:firstLine="308"/>
        <w:jc w:val="left"/>
        <w:rPr>
          <w:rFonts w:ascii="宋体" w:hAnsi="宋体" w:cs="Arial"/>
          <w:bCs/>
          <w:color w:val="auto"/>
          <w:szCs w:val="21"/>
          <w:highlight w:val="none"/>
          <w:u w:val="single"/>
        </w:rPr>
      </w:pPr>
      <w:r>
        <w:rPr>
          <w:rFonts w:hint="eastAsia" w:ascii="宋体" w:hAnsi="宋体"/>
          <w:b/>
          <w:color w:val="auto"/>
          <w:szCs w:val="21"/>
          <w:highlight w:val="none"/>
        </w:rPr>
        <w:t>采购预算：</w:t>
      </w:r>
      <w:r>
        <w:rPr>
          <w:rFonts w:hint="eastAsia" w:ascii="宋体" w:hAnsi="宋体" w:cs="Arial"/>
          <w:bCs/>
          <w:color w:val="auto"/>
          <w:szCs w:val="21"/>
          <w:highlight w:val="none"/>
          <w:u w:val="single"/>
        </w:rPr>
        <w:t xml:space="preserve">1650000.00 元 </w:t>
      </w:r>
    </w:p>
    <w:tbl>
      <w:tblPr>
        <w:tblStyle w:val="46"/>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2"/>
        <w:gridCol w:w="1071"/>
        <w:gridCol w:w="71"/>
        <w:gridCol w:w="620"/>
        <w:gridCol w:w="690"/>
        <w:gridCol w:w="5116"/>
        <w:gridCol w:w="937"/>
      </w:tblGrid>
      <w:tr w14:paraId="011CA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62" w:type="dxa"/>
            <w:tcBorders>
              <w:top w:val="single" w:color="000000" w:sz="4" w:space="0"/>
              <w:left w:val="single" w:color="000000" w:sz="4" w:space="0"/>
              <w:bottom w:val="single" w:color="000000" w:sz="4" w:space="0"/>
              <w:right w:val="single" w:color="000000" w:sz="4" w:space="0"/>
            </w:tcBorders>
            <w:vAlign w:val="center"/>
          </w:tcPr>
          <w:p w14:paraId="75AB402D">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071" w:type="dxa"/>
            <w:tcBorders>
              <w:top w:val="single" w:color="000000" w:sz="4" w:space="0"/>
              <w:left w:val="single" w:color="000000" w:sz="4" w:space="0"/>
              <w:bottom w:val="single" w:color="000000" w:sz="4" w:space="0"/>
              <w:right w:val="single" w:color="000000" w:sz="4" w:space="0"/>
            </w:tcBorders>
            <w:vAlign w:val="center"/>
          </w:tcPr>
          <w:p w14:paraId="6796FECB">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标的名称</w:t>
            </w:r>
          </w:p>
        </w:tc>
        <w:tc>
          <w:tcPr>
            <w:tcW w:w="691" w:type="dxa"/>
            <w:gridSpan w:val="2"/>
            <w:tcBorders>
              <w:top w:val="single" w:color="000000" w:sz="4" w:space="0"/>
              <w:left w:val="single" w:color="000000" w:sz="4" w:space="0"/>
              <w:bottom w:val="single" w:color="000000" w:sz="4" w:space="0"/>
              <w:right w:val="single" w:color="000000" w:sz="4" w:space="0"/>
            </w:tcBorders>
            <w:vAlign w:val="center"/>
          </w:tcPr>
          <w:p w14:paraId="6AFDC623">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所属行业</w:t>
            </w:r>
          </w:p>
        </w:tc>
        <w:tc>
          <w:tcPr>
            <w:tcW w:w="690" w:type="dxa"/>
            <w:tcBorders>
              <w:top w:val="single" w:color="000000" w:sz="4" w:space="0"/>
              <w:left w:val="single" w:color="000000" w:sz="4" w:space="0"/>
              <w:bottom w:val="single" w:color="000000" w:sz="4" w:space="0"/>
              <w:right w:val="single" w:color="000000" w:sz="4" w:space="0"/>
            </w:tcBorders>
            <w:vAlign w:val="center"/>
          </w:tcPr>
          <w:p w14:paraId="0E4628AC">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数量及单位</w:t>
            </w:r>
          </w:p>
        </w:tc>
        <w:tc>
          <w:tcPr>
            <w:tcW w:w="5116" w:type="dxa"/>
            <w:tcBorders>
              <w:top w:val="single" w:color="000000" w:sz="4" w:space="0"/>
              <w:left w:val="single" w:color="000000" w:sz="4" w:space="0"/>
              <w:bottom w:val="single" w:color="000000" w:sz="4" w:space="0"/>
              <w:right w:val="single" w:color="000000" w:sz="4" w:space="0"/>
            </w:tcBorders>
            <w:vAlign w:val="center"/>
          </w:tcPr>
          <w:p w14:paraId="26EC3728">
            <w:pPr>
              <w:spacing w:line="360" w:lineRule="auto"/>
              <w:jc w:val="center"/>
              <w:rPr>
                <w:rFonts w:ascii="宋体" w:hAnsi="宋体" w:cs="宋体"/>
                <w:b/>
                <w:color w:val="auto"/>
                <w:szCs w:val="21"/>
                <w:highlight w:val="none"/>
              </w:rPr>
            </w:pPr>
            <w:r>
              <w:rPr>
                <w:rFonts w:hint="eastAsia" w:ascii="宋体" w:hAnsi="宋体" w:cs="宋体"/>
                <w:color w:val="auto"/>
                <w:sz w:val="24"/>
                <w:highlight w:val="none"/>
              </w:rPr>
              <w:t>▲</w:t>
            </w:r>
            <w:bookmarkStart w:id="81" w:name="OLE_LINK3"/>
            <w:r>
              <w:rPr>
                <w:rFonts w:hint="eastAsia" w:ascii="宋体" w:hAnsi="宋体" w:cs="宋体"/>
                <w:b/>
                <w:bCs/>
                <w:color w:val="auto"/>
                <w:sz w:val="24"/>
                <w:highlight w:val="none"/>
              </w:rPr>
              <w:t>项目需求及服务要求</w:t>
            </w:r>
            <w:bookmarkEnd w:id="81"/>
          </w:p>
        </w:tc>
        <w:tc>
          <w:tcPr>
            <w:tcW w:w="937" w:type="dxa"/>
            <w:tcBorders>
              <w:top w:val="single" w:color="000000" w:sz="4" w:space="0"/>
              <w:left w:val="single" w:color="000000" w:sz="4" w:space="0"/>
              <w:bottom w:val="single" w:color="000000" w:sz="4" w:space="0"/>
              <w:right w:val="single" w:color="000000" w:sz="4" w:space="0"/>
            </w:tcBorders>
            <w:vAlign w:val="center"/>
          </w:tcPr>
          <w:p w14:paraId="325D9F05">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最高</w:t>
            </w:r>
          </w:p>
          <w:p w14:paraId="47FB89E0">
            <w:pPr>
              <w:spacing w:line="360" w:lineRule="auto"/>
              <w:jc w:val="center"/>
              <w:rPr>
                <w:rFonts w:ascii="宋体" w:hAnsi="宋体" w:cs="宋体"/>
                <w:color w:val="auto"/>
                <w:sz w:val="24"/>
                <w:highlight w:val="none"/>
              </w:rPr>
            </w:pPr>
            <w:r>
              <w:rPr>
                <w:rFonts w:hint="eastAsia" w:ascii="宋体" w:hAnsi="宋体" w:cs="宋体"/>
                <w:b/>
                <w:bCs/>
                <w:color w:val="auto"/>
                <w:sz w:val="24"/>
                <w:highlight w:val="none"/>
              </w:rPr>
              <w:t>限价</w:t>
            </w:r>
          </w:p>
        </w:tc>
      </w:tr>
      <w:tr w14:paraId="3F44C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2" w:hRule="atLeast"/>
        </w:trPr>
        <w:tc>
          <w:tcPr>
            <w:tcW w:w="562" w:type="dxa"/>
            <w:tcBorders>
              <w:top w:val="single" w:color="000000" w:sz="4" w:space="0"/>
              <w:left w:val="single" w:color="000000" w:sz="4" w:space="0"/>
              <w:bottom w:val="single" w:color="000000" w:sz="4" w:space="0"/>
              <w:right w:val="single" w:color="000000" w:sz="4" w:space="0"/>
            </w:tcBorders>
            <w:vAlign w:val="center"/>
          </w:tcPr>
          <w:p w14:paraId="766FE216">
            <w:pPr>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1071" w:type="dxa"/>
            <w:tcBorders>
              <w:top w:val="single" w:color="000000" w:sz="4" w:space="0"/>
              <w:left w:val="single" w:color="000000" w:sz="4" w:space="0"/>
              <w:bottom w:val="single" w:color="000000" w:sz="4" w:space="0"/>
              <w:right w:val="single" w:color="000000" w:sz="4" w:space="0"/>
            </w:tcBorders>
            <w:vAlign w:val="center"/>
          </w:tcPr>
          <w:p w14:paraId="2AD27F0F">
            <w:pPr>
              <w:spacing w:line="360" w:lineRule="auto"/>
              <w:jc w:val="center"/>
              <w:rPr>
                <w:rFonts w:ascii="宋体" w:hAnsi="宋体"/>
                <w:color w:val="auto"/>
                <w:szCs w:val="21"/>
                <w:highlight w:val="none"/>
              </w:rPr>
            </w:pPr>
            <w:r>
              <w:rPr>
                <w:rFonts w:hint="eastAsia" w:ascii="宋体" w:hAnsi="宋体"/>
                <w:color w:val="auto"/>
                <w:szCs w:val="21"/>
                <w:highlight w:val="none"/>
              </w:rPr>
              <w:t>7个镇级就业服务站运营服务</w:t>
            </w:r>
          </w:p>
          <w:p w14:paraId="39DA2740">
            <w:pPr>
              <w:spacing w:line="360" w:lineRule="auto"/>
              <w:jc w:val="center"/>
              <w:rPr>
                <w:rFonts w:ascii="宋体" w:hAnsi="宋体" w:cs="宋体"/>
                <w:b/>
                <w:color w:val="auto"/>
                <w:szCs w:val="21"/>
                <w:highlight w:val="none"/>
              </w:rPr>
            </w:pPr>
            <w:r>
              <w:rPr>
                <w:rFonts w:hint="eastAsia" w:ascii="宋体" w:hAnsi="宋体"/>
                <w:color w:val="auto"/>
                <w:szCs w:val="21"/>
                <w:highlight w:val="none"/>
              </w:rPr>
              <w:t>（含9个村级服务站运营服务）</w:t>
            </w:r>
          </w:p>
        </w:tc>
        <w:tc>
          <w:tcPr>
            <w:tcW w:w="691" w:type="dxa"/>
            <w:gridSpan w:val="2"/>
            <w:tcBorders>
              <w:top w:val="single" w:color="000000" w:sz="4" w:space="0"/>
              <w:left w:val="single" w:color="000000" w:sz="4" w:space="0"/>
              <w:bottom w:val="single" w:color="000000" w:sz="4" w:space="0"/>
              <w:right w:val="single" w:color="000000" w:sz="4" w:space="0"/>
            </w:tcBorders>
            <w:vAlign w:val="center"/>
          </w:tcPr>
          <w:p w14:paraId="2B1216CD">
            <w:pPr>
              <w:spacing w:line="360" w:lineRule="auto"/>
              <w:jc w:val="center"/>
              <w:rPr>
                <w:rFonts w:ascii="宋体" w:hAnsi="宋体" w:cs="宋体"/>
                <w:b/>
                <w:color w:val="auto"/>
                <w:szCs w:val="21"/>
                <w:highlight w:val="none"/>
              </w:rPr>
            </w:pPr>
            <w:r>
              <w:rPr>
                <w:rFonts w:hint="eastAsia"/>
                <w:color w:val="auto"/>
                <w:szCs w:val="21"/>
                <w:highlight w:val="none"/>
              </w:rPr>
              <w:t>其他未列明行业</w:t>
            </w:r>
          </w:p>
        </w:tc>
        <w:tc>
          <w:tcPr>
            <w:tcW w:w="690" w:type="dxa"/>
            <w:tcBorders>
              <w:top w:val="single" w:color="000000" w:sz="4" w:space="0"/>
              <w:left w:val="single" w:color="000000" w:sz="4" w:space="0"/>
              <w:bottom w:val="single" w:color="000000" w:sz="4" w:space="0"/>
              <w:right w:val="single" w:color="000000" w:sz="4" w:space="0"/>
            </w:tcBorders>
            <w:vAlign w:val="center"/>
          </w:tcPr>
          <w:p w14:paraId="19B03454">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1项</w:t>
            </w:r>
          </w:p>
        </w:tc>
        <w:tc>
          <w:tcPr>
            <w:tcW w:w="5116" w:type="dxa"/>
            <w:tcBorders>
              <w:top w:val="single" w:color="000000" w:sz="4" w:space="0"/>
              <w:left w:val="single" w:color="000000" w:sz="4" w:space="0"/>
              <w:bottom w:val="single" w:color="000000" w:sz="4" w:space="0"/>
              <w:right w:val="single" w:color="000000" w:sz="4" w:space="0"/>
            </w:tcBorders>
            <w:vAlign w:val="center"/>
          </w:tcPr>
          <w:p w14:paraId="6A6E2AA8">
            <w:pPr>
              <w:tabs>
                <w:tab w:val="left" w:pos="180"/>
                <w:tab w:val="left" w:pos="162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本项目采购内容为苍梧县7个镇级就业服务站运营服务（含9个村级服务站运营服务），服务地点为苍梧县就业服务站</w:t>
            </w:r>
            <w:r>
              <w:rPr>
                <w:rFonts w:hint="eastAsia"/>
                <w:color w:val="auto"/>
                <w:highlight w:val="none"/>
              </w:rPr>
              <w:t>（包含各镇辖区内村级就业服务站的运营服务，</w:t>
            </w:r>
            <w:r>
              <w:rPr>
                <w:rFonts w:hint="eastAsia" w:ascii="宋体" w:hAnsi="宋体" w:cs="宋体"/>
                <w:color w:val="auto"/>
                <w:szCs w:val="21"/>
                <w:highlight w:val="none"/>
              </w:rPr>
              <w:t>详细运营服务见项目需求及服务要求，其它详见附件1</w:t>
            </w:r>
            <w:r>
              <w:rPr>
                <w:rFonts w:hint="eastAsia"/>
                <w:color w:val="auto"/>
                <w:highlight w:val="none"/>
              </w:rPr>
              <w:t>）</w:t>
            </w:r>
            <w:r>
              <w:rPr>
                <w:rFonts w:hint="eastAsia" w:ascii="宋体" w:hAnsi="宋体" w:cs="宋体"/>
                <w:color w:val="auto"/>
                <w:szCs w:val="21"/>
                <w:highlight w:val="none"/>
              </w:rPr>
              <w:t>。</w:t>
            </w:r>
            <w:r>
              <w:rPr>
                <w:rFonts w:hint="eastAsia" w:ascii="宋体" w:hAnsi="宋体" w:cs="宋体"/>
                <w:color w:val="auto"/>
                <w:szCs w:val="21"/>
                <w:highlight w:val="none"/>
              </w:rPr>
              <w:t>服务站点需完善服务场所便民设施，配备专职人员，提供企业用工摸排、岗位归集、供需匹配、职业指导、政策宣传、权益服务、人社平台数据录入等就业服务。</w:t>
            </w:r>
            <w:r>
              <w:rPr>
                <w:rFonts w:hint="eastAsia" w:ascii="宋体" w:hAnsi="宋体" w:cs="宋体"/>
                <w:color w:val="auto"/>
                <w:szCs w:val="21"/>
                <w:highlight w:val="none"/>
              </w:rPr>
              <w:t>（具体考核指标详见附件2、附件3）</w:t>
            </w:r>
          </w:p>
          <w:p w14:paraId="33434FFB">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（一）服务保障</w:t>
            </w:r>
          </w:p>
          <w:p w14:paraId="7056AE90">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1.服务场地</w:t>
            </w:r>
          </w:p>
          <w:p w14:paraId="5A96EA39">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在指定场所运营镇级就业服务站，设置有统一标识，设置服务前台、交流洽谈区、信息发布区、便民服务区、自助服务区、视频直播区等基本功能区域，按业务可进行区域合并。</w:t>
            </w:r>
          </w:p>
          <w:p w14:paraId="6EB8EB92">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2.每个站点服务标识</w:t>
            </w:r>
          </w:p>
          <w:p w14:paraId="33F6D1C9">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统一命名规则、统一视觉识别、统一服务清单、统一服务规范。</w:t>
            </w:r>
          </w:p>
          <w:p w14:paraId="60787005">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3.服务设施</w:t>
            </w:r>
          </w:p>
          <w:p w14:paraId="342F1D5A">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就业服务站功能设备齐全，配备必要的电脑、办公桌、LED屏（发布信息）、休息座椅、饮水设备、空调、通风系统、充电插座等办公和便民服务设施设备。</w:t>
            </w:r>
          </w:p>
          <w:p w14:paraId="00EA345C">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4.服务队伍</w:t>
            </w:r>
          </w:p>
          <w:p w14:paraId="1F1D2D33">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至少配备2名人员（其中安排1名专职人员驻守站点）</w:t>
            </w:r>
            <w:r>
              <w:rPr>
                <w:rFonts w:hint="eastAsia" w:ascii="宋体" w:hAnsi="宋体" w:cs="宋体"/>
                <w:color w:val="auto"/>
                <w:szCs w:val="21"/>
                <w:highlight w:val="none"/>
              </w:rPr>
              <w:t>优先聘请有相关工作经验人员，组织开展岗前培训、业务培训，能独立完成各项业务办理。能够熟悉office办公软件，熟悉处理数据。</w:t>
            </w:r>
          </w:p>
          <w:p w14:paraId="47F7CB65">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5.服务制度</w:t>
            </w:r>
          </w:p>
          <w:p w14:paraId="229B2ED7">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建立并落实首问负责制、限时办结制、一次性告知制等工作制度，明确公共服务事项清单，规范服务流程，注重服务态度和服务礼仪，规范使用文明用语，严格遵守工作纪律。</w:t>
            </w:r>
          </w:p>
          <w:p w14:paraId="7E49AC59">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6.服务台账</w:t>
            </w:r>
          </w:p>
          <w:p w14:paraId="2D392C5A">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建立完善服务台账包括但不限于企业用工、求职登记、后续跟踪帮扶、</w:t>
            </w:r>
            <w:r>
              <w:rPr>
                <w:color w:val="auto"/>
                <w:highlight w:val="none"/>
              </w:rPr>
              <w:t>业务开展情况</w:t>
            </w:r>
            <w:r>
              <w:rPr>
                <w:rFonts w:hint="eastAsia" w:ascii="宋体" w:hAnsi="宋体" w:cs="宋体"/>
                <w:color w:val="auto"/>
                <w:szCs w:val="21"/>
                <w:highlight w:val="none"/>
              </w:rPr>
              <w:t>等服务台账。</w:t>
            </w:r>
          </w:p>
          <w:p w14:paraId="52F3A908">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（二）劳动力信息摸排和岗位归集服务</w:t>
            </w:r>
          </w:p>
          <w:p w14:paraId="693A8AF0">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1.收集用工主体和求职者信息</w:t>
            </w:r>
          </w:p>
          <w:p w14:paraId="07F82F88">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对辖区及周边用工主体开展实地走访，摸排用工主体招聘岗位需求，采集有招聘需求的用工主体及求职者的信息，每周期摸排用工主体按石桥镇站点每周期不少于30家次，旺甫镇站点每周期不少于40家次，其余5个站点每周期不少于15家次计算。7个站点每周期收集求职信息对象共不少于2000人次和采集岗位信息共不少于1500条。</w:t>
            </w:r>
          </w:p>
          <w:p w14:paraId="0133F95E">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2.录入及发布岗位</w:t>
            </w:r>
          </w:p>
          <w:p w14:paraId="77C0EC72">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7个站点每周期共录入广西“数智人社”系统岗位信息不少于1500条，并同步归集至“广西就业”平台“就业服务站”模块，信息及时更新至</w:t>
            </w:r>
            <w:r>
              <w:rPr>
                <w:color w:val="auto"/>
                <w:highlight w:val="none"/>
              </w:rPr>
              <w:t>采购人</w:t>
            </w:r>
            <w:r>
              <w:rPr>
                <w:rFonts w:ascii="宋体" w:hAnsi="宋体" w:cs="宋体"/>
                <w:color w:val="auto"/>
                <w:szCs w:val="21"/>
                <w:highlight w:val="none"/>
              </w:rPr>
              <w:t>指定小程序（如有）。发布的岗位招聘信息不得含有就业歧视性内容。</w:t>
            </w:r>
          </w:p>
          <w:p w14:paraId="4F079DF9">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（三）求职和岗位推荐服务</w:t>
            </w:r>
          </w:p>
          <w:p w14:paraId="0A31CD7D">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1.求职登记</w:t>
            </w:r>
          </w:p>
          <w:p w14:paraId="5CB159A4">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为求职人员登记基本信息、就业需求、培训需求、就业能力等内容。</w:t>
            </w:r>
          </w:p>
          <w:p w14:paraId="7E902272">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2.职业指导及岗位推荐</w:t>
            </w:r>
          </w:p>
          <w:p w14:paraId="130DA620">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为有灵活就业意愿的求职人员提供“一对一”职业指导，根据其求职意愿和就业能力推荐匹配的就业岗位。7个站点每周期推荐并成功实现就业不少于600人次。</w:t>
            </w:r>
          </w:p>
          <w:p w14:paraId="5732197F">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3.招聘会信息推送</w:t>
            </w:r>
          </w:p>
          <w:p w14:paraId="147D972A">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引导灵活就业等人员参加线上线下招聘会</w:t>
            </w:r>
            <w:r>
              <w:rPr>
                <w:rFonts w:hint="eastAsia" w:ascii="宋体" w:hAnsi="宋体" w:cs="宋体"/>
                <w:color w:val="auto"/>
                <w:szCs w:val="21"/>
                <w:highlight w:val="none"/>
              </w:rPr>
              <w:t>。</w:t>
            </w:r>
          </w:p>
          <w:p w14:paraId="50D507DD">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（四）</w:t>
            </w:r>
            <w:r>
              <w:rPr>
                <w:rFonts w:ascii="宋体" w:hAnsi="宋体" w:cs="宋体"/>
                <w:b/>
                <w:bCs/>
                <w:color w:val="auto"/>
                <w:szCs w:val="21"/>
                <w:highlight w:val="none"/>
              </w:rPr>
              <w:t>就业政策法规咨询</w:t>
            </w:r>
          </w:p>
          <w:p w14:paraId="2EE0608C">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定期发布促进就业政策，通过综合服务窗口受理就业创业政策咨询，强化政策宣传力度。</w:t>
            </w:r>
          </w:p>
          <w:p w14:paraId="3F8363C4">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2.宣传养老保险政策并鼓励灵活就业人员参加企业职工基本养老保险，对新就业形态从业人员引导其按规定参加职业伤害保障。</w:t>
            </w:r>
          </w:p>
          <w:p w14:paraId="77774AC4">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（五）重点群体就业帮扶服务</w:t>
            </w:r>
            <w:r>
              <w:rPr>
                <w:rFonts w:ascii="宋体" w:hAnsi="宋体" w:cs="宋体"/>
                <w:color w:val="auto"/>
                <w:szCs w:val="21"/>
                <w:highlight w:val="none"/>
              </w:rPr>
              <w:tab/>
            </w:r>
          </w:p>
          <w:p w14:paraId="0ED992B7">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对辖区登记失业人员、就业困难人员、退役军人、离校未就业高校毕业生、脱贫劳动力、防返贫监测户、农村返乡回流人员、雨露计划毕业生等重点群体提供就业跟踪帮扶。</w:t>
            </w:r>
          </w:p>
          <w:p w14:paraId="47A5BF62">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w:t>
            </w:r>
            <w:r>
              <w:rPr>
                <w:rFonts w:hint="eastAsia" w:ascii="宋体" w:hAnsi="宋体" w:cs="宋体"/>
                <w:b/>
                <w:bCs/>
                <w:color w:val="auto"/>
                <w:szCs w:val="21"/>
                <w:highlight w:val="none"/>
              </w:rPr>
              <w:t>六</w:t>
            </w:r>
            <w:r>
              <w:rPr>
                <w:rFonts w:ascii="宋体" w:hAnsi="宋体" w:cs="宋体"/>
                <w:b/>
                <w:bCs/>
                <w:color w:val="auto"/>
                <w:szCs w:val="21"/>
                <w:highlight w:val="none"/>
              </w:rPr>
              <w:t>）技能培训与创业指导服务</w:t>
            </w:r>
            <w:r>
              <w:rPr>
                <w:rFonts w:ascii="宋体" w:hAnsi="宋体" w:cs="宋体"/>
                <w:color w:val="auto"/>
                <w:szCs w:val="21"/>
                <w:highlight w:val="none"/>
              </w:rPr>
              <w:tab/>
            </w:r>
            <w:r>
              <w:rPr>
                <w:rFonts w:ascii="宋体" w:hAnsi="宋体" w:cs="宋体"/>
                <w:color w:val="auto"/>
                <w:szCs w:val="21"/>
                <w:highlight w:val="none"/>
              </w:rPr>
              <w:tab/>
            </w:r>
          </w:p>
          <w:p w14:paraId="2B66ABEA">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1.技能培训服务</w:t>
            </w:r>
          </w:p>
          <w:p w14:paraId="36A131A3">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每周期更新发布职业技能培训项目和当地职业技能培训机构信息不少于3次。受理培训咨询，支持灵活就业人员就近参加技能提升培训。</w:t>
            </w:r>
            <w:r>
              <w:rPr>
                <w:rFonts w:ascii="宋体" w:hAnsi="宋体" w:cs="宋体"/>
                <w:color w:val="auto"/>
                <w:szCs w:val="21"/>
                <w:highlight w:val="none"/>
              </w:rPr>
              <w:tab/>
            </w:r>
          </w:p>
          <w:p w14:paraId="55078570">
            <w:pPr>
              <w:tabs>
                <w:tab w:val="left" w:pos="180"/>
                <w:tab w:val="left" w:pos="1620"/>
              </w:tabs>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2.创业指导服务</w:t>
            </w:r>
            <w:r>
              <w:rPr>
                <w:rFonts w:ascii="宋体" w:hAnsi="宋体" w:cs="宋体"/>
                <w:b/>
                <w:bCs/>
                <w:color w:val="auto"/>
                <w:szCs w:val="21"/>
                <w:highlight w:val="none"/>
              </w:rPr>
              <w:tab/>
            </w:r>
          </w:p>
          <w:p w14:paraId="0981031F">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为有创业意愿的灵活就业等人员提供创业培训信息和项目推介，提供创业担保贷款咨询等创业指导服务。</w:t>
            </w:r>
          </w:p>
          <w:p w14:paraId="7E3450BB">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（七）公共就业活动服务</w:t>
            </w:r>
            <w:r>
              <w:rPr>
                <w:rFonts w:ascii="宋体" w:hAnsi="宋体" w:cs="宋体"/>
                <w:color w:val="auto"/>
                <w:szCs w:val="21"/>
                <w:highlight w:val="none"/>
              </w:rPr>
              <w:tab/>
            </w:r>
          </w:p>
          <w:p w14:paraId="4FCC9166">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就业</w:t>
            </w:r>
            <w:r>
              <w:rPr>
                <w:rFonts w:hint="eastAsia" w:ascii="宋体" w:hAnsi="宋体" w:cs="宋体"/>
                <w:b/>
                <w:bCs/>
                <w:color w:val="auto"/>
                <w:szCs w:val="21"/>
                <w:highlight w:val="none"/>
              </w:rPr>
              <w:t>大篷车</w:t>
            </w:r>
            <w:r>
              <w:rPr>
                <w:rFonts w:ascii="宋体" w:hAnsi="宋体" w:cs="宋体"/>
                <w:b/>
                <w:bCs/>
                <w:color w:val="auto"/>
                <w:szCs w:val="21"/>
                <w:highlight w:val="none"/>
              </w:rPr>
              <w:t>活动</w:t>
            </w:r>
            <w:r>
              <w:rPr>
                <w:rFonts w:ascii="宋体" w:hAnsi="宋体" w:cs="宋体"/>
                <w:b/>
                <w:bCs/>
                <w:color w:val="auto"/>
                <w:szCs w:val="21"/>
                <w:highlight w:val="none"/>
              </w:rPr>
              <w:tab/>
            </w:r>
          </w:p>
          <w:p w14:paraId="59BDF217">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根据采购</w:t>
            </w:r>
            <w:r>
              <w:rPr>
                <w:rFonts w:hint="eastAsia" w:ascii="宋体" w:hAnsi="宋体" w:cs="宋体"/>
                <w:color w:val="auto"/>
                <w:szCs w:val="21"/>
                <w:highlight w:val="none"/>
              </w:rPr>
              <w:t>人对</w:t>
            </w:r>
            <w:r>
              <w:rPr>
                <w:rFonts w:hint="eastAsia" w:ascii="宋体" w:hAnsi="宋体" w:cs="宋体"/>
                <w:color w:val="auto"/>
                <w:szCs w:val="21"/>
                <w:highlight w:val="none"/>
              </w:rPr>
              <w:t>现场实际情况进行</w:t>
            </w:r>
            <w:r>
              <w:rPr>
                <w:rFonts w:ascii="宋体" w:hAnsi="宋体" w:cs="宋体"/>
                <w:color w:val="auto"/>
                <w:szCs w:val="21"/>
                <w:highlight w:val="none"/>
              </w:rPr>
              <w:t>要求</w:t>
            </w:r>
            <w:r>
              <w:rPr>
                <w:rFonts w:hint="eastAsia" w:ascii="宋体" w:hAnsi="宋体" w:cs="宋体"/>
                <w:color w:val="auto"/>
                <w:szCs w:val="21"/>
                <w:highlight w:val="none"/>
              </w:rPr>
              <w:t>，</w:t>
            </w:r>
            <w:r>
              <w:rPr>
                <w:rFonts w:ascii="宋体" w:hAnsi="宋体" w:cs="宋体"/>
                <w:color w:val="auto"/>
                <w:szCs w:val="21"/>
                <w:highlight w:val="none"/>
              </w:rPr>
              <w:t>7个站点每周期至少共组织开展6次就业</w:t>
            </w:r>
            <w:r>
              <w:rPr>
                <w:rFonts w:hint="eastAsia" w:ascii="宋体" w:hAnsi="宋体" w:cs="宋体"/>
                <w:color w:val="auto"/>
                <w:szCs w:val="21"/>
                <w:highlight w:val="none"/>
              </w:rPr>
              <w:t>大篷车</w:t>
            </w:r>
            <w:r>
              <w:rPr>
                <w:rFonts w:ascii="宋体" w:hAnsi="宋体" w:cs="宋体"/>
                <w:color w:val="auto"/>
                <w:szCs w:val="21"/>
                <w:highlight w:val="none"/>
              </w:rPr>
              <w:t>等灵活就业专项服务活动。</w:t>
            </w:r>
          </w:p>
          <w:p w14:paraId="313AD46E">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2.组织招聘会</w:t>
            </w:r>
            <w:r>
              <w:rPr>
                <w:rFonts w:ascii="宋体" w:hAnsi="宋体" w:cs="宋体"/>
                <w:color w:val="auto"/>
                <w:szCs w:val="21"/>
                <w:highlight w:val="none"/>
              </w:rPr>
              <w:tab/>
            </w:r>
          </w:p>
          <w:p w14:paraId="61BEB569">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7个站点每周期共组织不少于6场现场招聘会，招聘会规模、举办时间、举办地点等事项要按照</w:t>
            </w:r>
            <w:r>
              <w:rPr>
                <w:rFonts w:hint="eastAsia" w:ascii="宋体" w:hAnsi="宋体" w:cs="宋体"/>
                <w:color w:val="auto"/>
                <w:szCs w:val="21"/>
                <w:highlight w:val="none"/>
              </w:rPr>
              <w:t>采购人根据现场实际情况，对活动开展的时间、地点、主题要求</w:t>
            </w:r>
            <w:r>
              <w:rPr>
                <w:rFonts w:ascii="宋体" w:hAnsi="宋体" w:cs="宋体"/>
                <w:color w:val="auto"/>
                <w:szCs w:val="21"/>
                <w:highlight w:val="none"/>
              </w:rPr>
              <w:t>实施。</w:t>
            </w:r>
          </w:p>
          <w:p w14:paraId="7D7375E0">
            <w:pPr>
              <w:tabs>
                <w:tab w:val="left" w:pos="180"/>
                <w:tab w:val="left" w:pos="1620"/>
              </w:tabs>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3.开展直播带岗活动</w:t>
            </w:r>
            <w:r>
              <w:rPr>
                <w:rFonts w:ascii="宋体" w:hAnsi="宋体" w:cs="宋体"/>
                <w:b/>
                <w:bCs/>
                <w:color w:val="auto"/>
                <w:szCs w:val="21"/>
                <w:highlight w:val="none"/>
              </w:rPr>
              <w:tab/>
            </w:r>
          </w:p>
          <w:p w14:paraId="39094B5A">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7个站点每周期共开展不少于6场直播带岗活动</w:t>
            </w:r>
            <w:r>
              <w:rPr>
                <w:rFonts w:hint="eastAsia" w:ascii="宋体" w:hAnsi="宋体" w:cs="宋体"/>
                <w:color w:val="auto"/>
                <w:szCs w:val="21"/>
                <w:highlight w:val="none"/>
              </w:rPr>
              <w:t>，</w:t>
            </w:r>
            <w:r>
              <w:rPr>
                <w:rFonts w:ascii="宋体" w:hAnsi="宋体" w:cs="宋体"/>
                <w:color w:val="auto"/>
                <w:szCs w:val="21"/>
                <w:highlight w:val="none"/>
              </w:rPr>
              <w:t>活动时间、地点等事项要按照</w:t>
            </w:r>
            <w:r>
              <w:rPr>
                <w:rFonts w:hint="eastAsia" w:ascii="宋体" w:hAnsi="宋体" w:cs="宋体"/>
                <w:color w:val="auto"/>
                <w:szCs w:val="21"/>
                <w:highlight w:val="none"/>
              </w:rPr>
              <w:t>采购人根据现场实际情况，对活动开展的时间、地点、主题要求</w:t>
            </w:r>
            <w:r>
              <w:rPr>
                <w:rFonts w:ascii="宋体" w:hAnsi="宋体" w:cs="宋体"/>
                <w:color w:val="auto"/>
                <w:szCs w:val="21"/>
                <w:highlight w:val="none"/>
              </w:rPr>
              <w:t>实施。</w:t>
            </w:r>
          </w:p>
          <w:p w14:paraId="0A5BA134">
            <w:pPr>
              <w:tabs>
                <w:tab w:val="left" w:pos="180"/>
                <w:tab w:val="left" w:pos="1620"/>
              </w:tabs>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4.开展政策宣传等活动</w:t>
            </w:r>
            <w:r>
              <w:rPr>
                <w:rFonts w:ascii="宋体" w:hAnsi="宋体" w:cs="宋体"/>
                <w:b/>
                <w:bCs/>
                <w:color w:val="auto"/>
                <w:szCs w:val="21"/>
                <w:highlight w:val="none"/>
              </w:rPr>
              <w:tab/>
            </w:r>
          </w:p>
          <w:p w14:paraId="3C1D39AB">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7个站点每周期共开展不少于7场政策宣传等活动，活动时间、地点等事项要按照</w:t>
            </w:r>
            <w:r>
              <w:rPr>
                <w:rFonts w:hint="eastAsia" w:ascii="宋体" w:hAnsi="宋体" w:cs="宋体"/>
                <w:color w:val="auto"/>
                <w:szCs w:val="21"/>
                <w:highlight w:val="none"/>
              </w:rPr>
              <w:t>采购人根据现场实际情况要求</w:t>
            </w:r>
            <w:r>
              <w:rPr>
                <w:rFonts w:ascii="宋体" w:hAnsi="宋体" w:cs="宋体"/>
                <w:color w:val="auto"/>
                <w:szCs w:val="21"/>
                <w:highlight w:val="none"/>
              </w:rPr>
              <w:t>实施。</w:t>
            </w:r>
          </w:p>
          <w:p w14:paraId="01689153">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w:t>
            </w:r>
            <w:r>
              <w:rPr>
                <w:rFonts w:hint="eastAsia" w:ascii="宋体" w:hAnsi="宋体" w:cs="宋体"/>
                <w:b/>
                <w:bCs/>
                <w:color w:val="auto"/>
                <w:szCs w:val="21"/>
                <w:highlight w:val="none"/>
              </w:rPr>
              <w:t>八</w:t>
            </w:r>
            <w:r>
              <w:rPr>
                <w:rFonts w:ascii="宋体" w:hAnsi="宋体" w:cs="宋体"/>
                <w:b/>
                <w:bCs/>
                <w:color w:val="auto"/>
                <w:szCs w:val="21"/>
                <w:highlight w:val="none"/>
              </w:rPr>
              <w:t>）权益维护</w:t>
            </w:r>
            <w:r>
              <w:rPr>
                <w:rFonts w:ascii="宋体" w:hAnsi="宋体" w:cs="宋体"/>
                <w:color w:val="auto"/>
                <w:szCs w:val="21"/>
                <w:highlight w:val="none"/>
              </w:rPr>
              <w:tab/>
            </w:r>
            <w:r>
              <w:rPr>
                <w:rFonts w:ascii="宋体" w:hAnsi="宋体" w:cs="宋体"/>
                <w:color w:val="auto"/>
                <w:szCs w:val="21"/>
                <w:highlight w:val="none"/>
              </w:rPr>
              <w:tab/>
            </w:r>
          </w:p>
          <w:p w14:paraId="44DD1597">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在显著位置公开权益维护服务制度、服务热线、投诉举报方式、处理流程等事项。指导用工主体设定合理招聘条件，规范招聘流程及行为。督促用工主体依法用工，落实安全生产、薪资待遇、休息休假、社会保险缴纳等责任。</w:t>
            </w:r>
          </w:p>
          <w:p w14:paraId="553EAEF9">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b/>
                <w:bCs/>
                <w:color w:val="auto"/>
                <w:szCs w:val="21"/>
                <w:highlight w:val="none"/>
              </w:rPr>
              <w:t>（九）</w:t>
            </w:r>
            <w:r>
              <w:rPr>
                <w:rFonts w:ascii="宋体" w:hAnsi="宋体" w:cs="宋体"/>
                <w:b/>
                <w:bCs/>
                <w:color w:val="auto"/>
                <w:szCs w:val="21"/>
                <w:highlight w:val="none"/>
              </w:rPr>
              <w:t>跟踪回访服务及成效</w:t>
            </w:r>
            <w:r>
              <w:rPr>
                <w:rFonts w:ascii="宋体" w:hAnsi="宋体" w:cs="宋体"/>
                <w:color w:val="auto"/>
                <w:szCs w:val="21"/>
                <w:highlight w:val="none"/>
              </w:rPr>
              <w:tab/>
            </w:r>
          </w:p>
          <w:p w14:paraId="09B1E8D4">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对已推荐岗位的求职人员进行跟踪回访服务，对于推荐不成功的求职者，继续推荐岗位不少于5次，推动求职成功就业人数比例不低于30%。</w:t>
            </w:r>
          </w:p>
          <w:p w14:paraId="250FF076">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b/>
                <w:bCs/>
                <w:color w:val="auto"/>
                <w:szCs w:val="21"/>
                <w:highlight w:val="none"/>
              </w:rPr>
              <w:t>（十）</w:t>
            </w:r>
            <w:r>
              <w:rPr>
                <w:rFonts w:ascii="宋体" w:hAnsi="宋体" w:cs="宋体"/>
                <w:b/>
                <w:bCs/>
                <w:color w:val="auto"/>
                <w:szCs w:val="21"/>
                <w:highlight w:val="none"/>
              </w:rPr>
              <w:t>宣传服务</w:t>
            </w:r>
            <w:r>
              <w:rPr>
                <w:rFonts w:ascii="宋体" w:hAnsi="宋体" w:cs="宋体"/>
                <w:color w:val="auto"/>
                <w:szCs w:val="21"/>
                <w:highlight w:val="none"/>
              </w:rPr>
              <w:tab/>
            </w:r>
          </w:p>
          <w:p w14:paraId="71CE46B9">
            <w:pPr>
              <w:tabs>
                <w:tab w:val="left" w:pos="180"/>
                <w:tab w:val="left" w:pos="1620"/>
              </w:tabs>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    1.资料配备</w:t>
            </w:r>
          </w:p>
          <w:p w14:paraId="12808716">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在站点内公告栏、政策取阅架等地方定期放置就业创业政策宣传材料（材料需经采购人审核），7个站点每周期印制各类宣传材料共不少于8000份。</w:t>
            </w:r>
          </w:p>
          <w:p w14:paraId="14893223">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7个站点每周期向求职者发放用工信息等宣传资料共不少于2万份。</w:t>
            </w:r>
          </w:p>
          <w:p w14:paraId="78FCE2A2">
            <w:pPr>
              <w:tabs>
                <w:tab w:val="left" w:pos="180"/>
                <w:tab w:val="left" w:pos="1620"/>
              </w:tabs>
              <w:spacing w:line="360" w:lineRule="auto"/>
              <w:ind w:firstLine="420"/>
              <w:rPr>
                <w:rFonts w:ascii="宋体" w:hAnsi="宋体" w:cs="宋体"/>
                <w:color w:val="auto"/>
                <w:szCs w:val="21"/>
                <w:highlight w:val="none"/>
              </w:rPr>
            </w:pPr>
            <w:r>
              <w:rPr>
                <w:rFonts w:ascii="宋体" w:hAnsi="宋体" w:cs="宋体"/>
                <w:b/>
                <w:bCs/>
                <w:color w:val="auto"/>
                <w:szCs w:val="21"/>
                <w:highlight w:val="none"/>
              </w:rPr>
              <w:t>2.宣传推广</w:t>
            </w:r>
            <w:r>
              <w:rPr>
                <w:rFonts w:ascii="宋体" w:hAnsi="宋体" w:cs="宋体"/>
                <w:color w:val="auto"/>
                <w:szCs w:val="21"/>
                <w:highlight w:val="none"/>
              </w:rPr>
              <w:tab/>
            </w:r>
          </w:p>
          <w:p w14:paraId="072C7AE8">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通过各类网络媒体，开展站点相关服务宣传。每个站点每周期在各类新闻媒介和网络媒体发布宣传视频或宣传文章不少于1篇。</w:t>
            </w:r>
          </w:p>
          <w:p w14:paraId="0A480C44">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每个站点每周期在辖区全部村（社区）和其他人员密集场所、电子屏、移动宣传载体等发放或张贴服务二维码或宣传海报等，宣传就业服务站不少于6处。</w:t>
            </w:r>
          </w:p>
          <w:p w14:paraId="2ABA44B0">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每个站点每周期制作就业服务站经验类或推广类或走访企业或访问求职者等宣传视频不少于1条。</w:t>
            </w:r>
          </w:p>
          <w:p w14:paraId="67CDD2F8">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（十一）信息归集及分析</w:t>
            </w:r>
            <w:r>
              <w:rPr>
                <w:rFonts w:ascii="宋体" w:hAnsi="宋体" w:cs="宋体"/>
                <w:color w:val="auto"/>
                <w:szCs w:val="21"/>
                <w:highlight w:val="none"/>
              </w:rPr>
              <w:tab/>
            </w:r>
            <w:r>
              <w:rPr>
                <w:rFonts w:ascii="宋体" w:hAnsi="宋体" w:cs="宋体"/>
                <w:color w:val="auto"/>
                <w:szCs w:val="21"/>
                <w:highlight w:val="none"/>
              </w:rPr>
              <w:tab/>
            </w:r>
          </w:p>
          <w:p w14:paraId="6E8B3160">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对收集的用工主体信息、岗位需求信息、求职人员信息、成功就业信息等数据信息要及时归集至苍梧县零工市场、苍梧县就业服务中心。</w:t>
            </w:r>
          </w:p>
          <w:p w14:paraId="73B7AE58">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（十二）</w:t>
            </w:r>
            <w:r>
              <w:rPr>
                <w:rFonts w:ascii="宋体" w:hAnsi="宋体" w:cs="宋体"/>
                <w:b/>
                <w:bCs/>
                <w:color w:val="auto"/>
                <w:szCs w:val="21"/>
                <w:highlight w:val="none"/>
              </w:rPr>
              <w:t>负责管理村级就业服务站</w:t>
            </w:r>
            <w:r>
              <w:rPr>
                <w:rFonts w:ascii="宋体" w:hAnsi="宋体" w:cs="宋体"/>
                <w:b/>
                <w:bCs/>
                <w:color w:val="auto"/>
                <w:szCs w:val="21"/>
                <w:highlight w:val="none"/>
              </w:rPr>
              <w:tab/>
            </w:r>
          </w:p>
          <w:p w14:paraId="2BEB6F79">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负责管理村级就业服务站，安排常规驻守人员（在</w:t>
            </w:r>
            <w:r>
              <w:rPr>
                <w:color w:val="auto"/>
                <w:highlight w:val="none"/>
              </w:rPr>
              <w:t>采购人</w:t>
            </w:r>
            <w:r>
              <w:rPr>
                <w:rFonts w:ascii="宋体" w:hAnsi="宋体" w:cs="宋体"/>
                <w:color w:val="auto"/>
                <w:szCs w:val="21"/>
                <w:highlight w:val="none"/>
              </w:rPr>
              <w:t>不能安置乡村公益性岗位或找不到符合条件的人员前提下）在规定时间开展就业服务，实现企业用工、求职者等就业信息共享。</w:t>
            </w:r>
          </w:p>
          <w:p w14:paraId="46EF0965">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保持9个村级就业服务站（石桥镇学田村就业服务站、石桥镇奇冲村就业服务站、岭脚镇人和社区就业服务站、旺甫镇龙洞村就业服务</w:t>
            </w:r>
            <w:r>
              <w:rPr>
                <w:color w:val="auto"/>
                <w:highlight w:val="none"/>
              </w:rPr>
              <w:t>站</w:t>
            </w:r>
            <w:r>
              <w:rPr>
                <w:rFonts w:ascii="宋体" w:hAnsi="宋体" w:cs="宋体"/>
                <w:color w:val="auto"/>
                <w:szCs w:val="21"/>
                <w:highlight w:val="none"/>
              </w:rPr>
              <w:t>、京南镇长发社区就业服务站、狮寨镇古东村就业服务站、京南镇合水村就业服务站、梨埠镇凤仪村就业服务站、沙头镇横江村就业服务站）正常运转。</w:t>
            </w:r>
          </w:p>
          <w:p w14:paraId="3D1722A0">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确保服务站点内各项设施设备、功能分区、服务标识等正常使用、运转、更新。</w:t>
            </w:r>
          </w:p>
          <w:p w14:paraId="04AE9D29">
            <w:pPr>
              <w:tabs>
                <w:tab w:val="left" w:pos="180"/>
                <w:tab w:val="left" w:pos="1620"/>
              </w:tabs>
              <w:spacing w:line="360" w:lineRule="auto"/>
              <w:ind w:firstLine="420"/>
              <w:rPr>
                <w:rFonts w:ascii="仿宋_GB2312" w:hAnsi="仿宋_GB2312" w:eastAsia="仿宋_GB2312" w:cs="仿宋_GB2312"/>
                <w:color w:val="auto"/>
                <w:sz w:val="24"/>
                <w:highlight w:val="none"/>
              </w:rPr>
            </w:pPr>
            <w:r>
              <w:rPr>
                <w:rFonts w:hint="eastAsia" w:ascii="宋体" w:hAnsi="宋体" w:cs="宋体"/>
                <w:color w:val="auto"/>
                <w:szCs w:val="21"/>
                <w:highlight w:val="none"/>
              </w:rPr>
              <w:t>4.</w:t>
            </w:r>
            <w:r>
              <w:rPr>
                <w:rFonts w:ascii="宋体" w:hAnsi="宋体" w:cs="宋体"/>
                <w:color w:val="auto"/>
                <w:szCs w:val="21"/>
                <w:highlight w:val="none"/>
              </w:rPr>
              <w:t>汇总整理各类市场主体用工信息、求职者信息。</w:t>
            </w:r>
          </w:p>
        </w:tc>
        <w:tc>
          <w:tcPr>
            <w:tcW w:w="937" w:type="dxa"/>
            <w:tcBorders>
              <w:top w:val="single" w:color="000000" w:sz="4" w:space="0"/>
              <w:left w:val="single" w:color="000000" w:sz="4" w:space="0"/>
              <w:bottom w:val="single" w:color="000000" w:sz="4" w:space="0"/>
              <w:right w:val="single" w:color="000000" w:sz="4" w:space="0"/>
            </w:tcBorders>
            <w:vAlign w:val="center"/>
          </w:tcPr>
          <w:p w14:paraId="2A680B7F">
            <w:pPr>
              <w:tabs>
                <w:tab w:val="left" w:pos="180"/>
                <w:tab w:val="left" w:pos="1620"/>
              </w:tabs>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105万元，</w:t>
            </w:r>
            <w:r>
              <w:rPr>
                <w:rFonts w:hint="eastAsia" w:ascii="宋体" w:hAnsi="宋体" w:cs="宋体"/>
                <w:b/>
                <w:bCs/>
                <w:color w:val="auto"/>
                <w:szCs w:val="21"/>
                <w:highlight w:val="none"/>
              </w:rPr>
              <w:t>同时每个</w:t>
            </w:r>
            <w:r>
              <w:rPr>
                <w:rFonts w:hint="eastAsia" w:ascii="宋体" w:hAnsi="宋体"/>
                <w:b/>
                <w:bCs/>
                <w:color w:val="auto"/>
                <w:szCs w:val="21"/>
                <w:highlight w:val="none"/>
              </w:rPr>
              <w:t>镇级就业服务站</w:t>
            </w:r>
            <w:r>
              <w:rPr>
                <w:rFonts w:hint="eastAsia" w:ascii="宋体" w:hAnsi="宋体" w:cs="宋体"/>
                <w:b/>
                <w:bCs/>
                <w:color w:val="auto"/>
                <w:szCs w:val="21"/>
                <w:highlight w:val="none"/>
              </w:rPr>
              <w:t>运营服务费用最高限价15万元。</w:t>
            </w:r>
          </w:p>
        </w:tc>
      </w:tr>
      <w:tr w14:paraId="4C498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2" w:type="dxa"/>
            <w:tcBorders>
              <w:top w:val="single" w:color="000000" w:sz="4" w:space="0"/>
              <w:left w:val="single" w:color="000000" w:sz="4" w:space="0"/>
              <w:bottom w:val="single" w:color="000000" w:sz="4" w:space="0"/>
              <w:right w:val="single" w:color="000000" w:sz="4" w:space="0"/>
            </w:tcBorders>
            <w:vAlign w:val="center"/>
          </w:tcPr>
          <w:p w14:paraId="44AEF79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071" w:type="dxa"/>
            <w:tcBorders>
              <w:top w:val="single" w:color="000000" w:sz="4" w:space="0"/>
              <w:left w:val="single" w:color="000000" w:sz="4" w:space="0"/>
              <w:bottom w:val="single" w:color="000000" w:sz="4" w:space="0"/>
              <w:right w:val="single" w:color="000000" w:sz="4" w:space="0"/>
            </w:tcBorders>
            <w:vAlign w:val="center"/>
          </w:tcPr>
          <w:p w14:paraId="28F5758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3个零工市场运营服务（含9个村级服务站运营服务）</w:t>
            </w:r>
          </w:p>
        </w:tc>
        <w:tc>
          <w:tcPr>
            <w:tcW w:w="691" w:type="dxa"/>
            <w:gridSpan w:val="2"/>
            <w:tcBorders>
              <w:top w:val="single" w:color="000000" w:sz="4" w:space="0"/>
              <w:left w:val="single" w:color="000000" w:sz="4" w:space="0"/>
              <w:bottom w:val="single" w:color="000000" w:sz="4" w:space="0"/>
              <w:right w:val="single" w:color="000000" w:sz="4" w:space="0"/>
            </w:tcBorders>
            <w:vAlign w:val="center"/>
          </w:tcPr>
          <w:p w14:paraId="6DDC769C">
            <w:pPr>
              <w:spacing w:line="360" w:lineRule="auto"/>
              <w:jc w:val="center"/>
              <w:rPr>
                <w:rFonts w:ascii="宋体" w:hAnsi="宋体" w:cs="宋体"/>
                <w:color w:val="auto"/>
                <w:szCs w:val="21"/>
                <w:highlight w:val="none"/>
              </w:rPr>
            </w:pPr>
            <w:r>
              <w:rPr>
                <w:rFonts w:hint="eastAsia"/>
                <w:color w:val="auto"/>
                <w:szCs w:val="21"/>
                <w:highlight w:val="none"/>
              </w:rPr>
              <w:t>其他未列明行业</w:t>
            </w:r>
          </w:p>
        </w:tc>
        <w:tc>
          <w:tcPr>
            <w:tcW w:w="690" w:type="dxa"/>
            <w:tcBorders>
              <w:top w:val="single" w:color="000000" w:sz="4" w:space="0"/>
              <w:left w:val="single" w:color="000000" w:sz="4" w:space="0"/>
              <w:bottom w:val="single" w:color="000000" w:sz="4" w:space="0"/>
              <w:right w:val="single" w:color="000000" w:sz="4" w:space="0"/>
            </w:tcBorders>
            <w:vAlign w:val="center"/>
          </w:tcPr>
          <w:p w14:paraId="5A91342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5116" w:type="dxa"/>
            <w:tcBorders>
              <w:top w:val="single" w:color="000000" w:sz="4" w:space="0"/>
              <w:left w:val="single" w:color="000000" w:sz="4" w:space="0"/>
              <w:bottom w:val="single" w:color="000000" w:sz="4" w:space="0"/>
              <w:right w:val="single" w:color="000000" w:sz="4" w:space="0"/>
            </w:tcBorders>
            <w:vAlign w:val="center"/>
          </w:tcPr>
          <w:p w14:paraId="639378F3">
            <w:pPr>
              <w:tabs>
                <w:tab w:val="left" w:pos="180"/>
                <w:tab w:val="left" w:pos="162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本项目采购内容为苍梧县3个零工市场运营服务（含9个村级服务站运营服务），服务地点为苍梧县零工市场</w:t>
            </w:r>
            <w:r>
              <w:rPr>
                <w:rFonts w:hint="eastAsia"/>
                <w:color w:val="auto"/>
                <w:highlight w:val="none"/>
              </w:rPr>
              <w:t>（包含各镇辖区内村级就业服务站的运营服务，详细运营服务见项目需求及服务要求，其它详见附件1）</w:t>
            </w:r>
            <w:r>
              <w:rPr>
                <w:rFonts w:hint="eastAsia" w:ascii="宋体" w:hAnsi="宋体" w:cs="宋体"/>
                <w:color w:val="auto"/>
                <w:szCs w:val="21"/>
                <w:highlight w:val="none"/>
              </w:rPr>
              <w:t>。</w:t>
            </w:r>
            <w:r>
              <w:rPr>
                <w:rFonts w:hint="eastAsia" w:ascii="宋体" w:hAnsi="宋体" w:cs="宋体"/>
                <w:color w:val="auto"/>
                <w:szCs w:val="21"/>
                <w:highlight w:val="none"/>
              </w:rPr>
              <w:t>服务站点需完善服务场所便民设施，配备专职人员，提供企业用工摸排、岗位归集、供需匹配、职业指导、政策宣传、权益服务、人社平台数据录入等就业服务。</w:t>
            </w:r>
            <w:r>
              <w:rPr>
                <w:rFonts w:hint="eastAsia" w:ascii="宋体" w:hAnsi="宋体" w:cs="宋体"/>
                <w:color w:val="auto"/>
                <w:szCs w:val="21"/>
                <w:highlight w:val="none"/>
              </w:rPr>
              <w:t>（具体考核指标详见附件2、附件3）。</w:t>
            </w:r>
          </w:p>
          <w:p w14:paraId="672C334D">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（一）服务保障和站点管理</w:t>
            </w:r>
            <w:r>
              <w:rPr>
                <w:rFonts w:ascii="宋体" w:hAnsi="宋体" w:cs="宋体"/>
                <w:color w:val="auto"/>
                <w:szCs w:val="21"/>
                <w:highlight w:val="none"/>
              </w:rPr>
              <w:tab/>
            </w:r>
          </w:p>
          <w:p w14:paraId="2063556F">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服务场所</w:t>
            </w:r>
            <w:r>
              <w:rPr>
                <w:rFonts w:ascii="宋体" w:hAnsi="宋体" w:cs="宋体"/>
                <w:b/>
                <w:bCs/>
                <w:color w:val="auto"/>
                <w:szCs w:val="21"/>
                <w:highlight w:val="none"/>
              </w:rPr>
              <w:tab/>
            </w:r>
          </w:p>
          <w:p w14:paraId="58EB9A4C">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在指定场所运营零工市场，设置有统一标识，设置服务前台、交流洽谈区、信息发布区、便民服务区、自助服务区、视频直播区等基本功能区域，按业务可进行区域合并。</w:t>
            </w:r>
          </w:p>
          <w:p w14:paraId="6AE23BDD">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ascii="宋体" w:hAnsi="宋体" w:cs="宋体"/>
                <w:b/>
                <w:bCs/>
                <w:color w:val="auto"/>
                <w:szCs w:val="21"/>
                <w:highlight w:val="none"/>
              </w:rPr>
              <w:t>服务标识</w:t>
            </w:r>
            <w:r>
              <w:rPr>
                <w:rFonts w:ascii="宋体" w:hAnsi="宋体" w:cs="宋体"/>
                <w:color w:val="auto"/>
                <w:szCs w:val="21"/>
                <w:highlight w:val="none"/>
              </w:rPr>
              <w:tab/>
            </w:r>
          </w:p>
          <w:p w14:paraId="51447917">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统一命名规则、统一视觉识别、统一服务清单、统一服务规范。</w:t>
            </w:r>
          </w:p>
          <w:p w14:paraId="03A4BBC4">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3.服务设施</w:t>
            </w:r>
            <w:r>
              <w:rPr>
                <w:rFonts w:ascii="宋体" w:hAnsi="宋体" w:cs="宋体"/>
                <w:color w:val="auto"/>
                <w:szCs w:val="21"/>
                <w:highlight w:val="none"/>
              </w:rPr>
              <w:tab/>
            </w:r>
          </w:p>
          <w:p w14:paraId="2DEF82CE">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零工市场功能设备齐全，配备必要的电脑、办公桌、LED屏（发布信息）、休息座椅、饮水设备、空调、通风系统、充电插座等办公和便民服务设施设备。</w:t>
            </w:r>
          </w:p>
          <w:p w14:paraId="02BC87F6">
            <w:pPr>
              <w:tabs>
                <w:tab w:val="left" w:pos="180"/>
                <w:tab w:val="left" w:pos="1620"/>
              </w:tabs>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4.服务队伍</w:t>
            </w:r>
            <w:r>
              <w:rPr>
                <w:rFonts w:ascii="宋体" w:hAnsi="宋体" w:cs="宋体"/>
                <w:b/>
                <w:bCs/>
                <w:color w:val="auto"/>
                <w:szCs w:val="21"/>
                <w:highlight w:val="none"/>
              </w:rPr>
              <w:tab/>
            </w:r>
          </w:p>
          <w:p w14:paraId="0F006AE9">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至少配备</w:t>
            </w:r>
            <w:r>
              <w:rPr>
                <w:rFonts w:hint="eastAsia" w:ascii="宋体" w:hAnsi="宋体" w:cs="宋体"/>
                <w:color w:val="auto"/>
                <w:szCs w:val="21"/>
                <w:highlight w:val="none"/>
              </w:rPr>
              <w:t>4</w:t>
            </w:r>
            <w:r>
              <w:rPr>
                <w:rFonts w:ascii="宋体" w:hAnsi="宋体" w:cs="宋体"/>
                <w:color w:val="auto"/>
                <w:szCs w:val="21"/>
                <w:highlight w:val="none"/>
              </w:rPr>
              <w:t>名人员（岭脚镇零工市场、木双镇零工市场至少安排1名专职人员驻守站点，苍梧县零工市场需安排</w:t>
            </w:r>
            <w:r>
              <w:rPr>
                <w:color w:val="auto"/>
                <w:highlight w:val="none"/>
              </w:rPr>
              <w:t>不少于2名专职人</w:t>
            </w:r>
            <w:r>
              <w:rPr>
                <w:rFonts w:ascii="宋体" w:hAnsi="宋体" w:cs="宋体"/>
                <w:color w:val="auto"/>
                <w:szCs w:val="21"/>
                <w:highlight w:val="none"/>
              </w:rPr>
              <w:t>员）</w:t>
            </w:r>
            <w:r>
              <w:rPr>
                <w:rFonts w:ascii="宋体" w:hAnsi="宋体" w:cs="宋体"/>
                <w:color w:val="auto"/>
                <w:szCs w:val="21"/>
                <w:highlight w:val="none"/>
              </w:rPr>
              <w:t>，优先聘请有相关工作经验人员，组织开展岗前培训、业务培训，能独立完成各项业务办理。能够熟悉office办公软件，熟悉处理数据。</w:t>
            </w:r>
          </w:p>
          <w:p w14:paraId="6F02BF0F">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服务制度</w:t>
            </w:r>
            <w:r>
              <w:rPr>
                <w:rFonts w:ascii="宋体" w:hAnsi="宋体" w:cs="宋体"/>
                <w:b/>
                <w:bCs/>
                <w:color w:val="auto"/>
                <w:szCs w:val="21"/>
                <w:highlight w:val="none"/>
              </w:rPr>
              <w:tab/>
            </w:r>
          </w:p>
          <w:p w14:paraId="75987F0F">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建立并落实首问负责制、限时办结制、一次性告知制等工作制度，明确公共服务事项清单，规范服务流程，注重服务态度和服务礼仪，规范使用文明用语，严格遵守工作纪律。</w:t>
            </w:r>
          </w:p>
          <w:p w14:paraId="18E7646E">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6.</w:t>
            </w:r>
            <w:r>
              <w:rPr>
                <w:rFonts w:ascii="宋体" w:hAnsi="宋体" w:cs="宋体"/>
                <w:b/>
                <w:bCs/>
                <w:color w:val="auto"/>
                <w:szCs w:val="21"/>
                <w:highlight w:val="none"/>
              </w:rPr>
              <w:t>服务台账</w:t>
            </w:r>
            <w:r>
              <w:rPr>
                <w:rFonts w:ascii="宋体" w:hAnsi="宋体" w:cs="宋体"/>
                <w:b/>
                <w:bCs/>
                <w:color w:val="auto"/>
                <w:szCs w:val="21"/>
                <w:highlight w:val="none"/>
              </w:rPr>
              <w:tab/>
            </w:r>
          </w:p>
          <w:p w14:paraId="4E332311">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建立完善服务台账包括但不限于企业用工、求职登记、后续跟踪帮扶、</w:t>
            </w:r>
            <w:r>
              <w:rPr>
                <w:color w:val="auto"/>
                <w:highlight w:val="none"/>
              </w:rPr>
              <w:t>业务开展情况</w:t>
            </w:r>
            <w:r>
              <w:rPr>
                <w:rFonts w:ascii="宋体" w:hAnsi="宋体" w:cs="宋体"/>
                <w:color w:val="auto"/>
                <w:szCs w:val="21"/>
                <w:highlight w:val="none"/>
              </w:rPr>
              <w:t>等服务台账。</w:t>
            </w:r>
          </w:p>
          <w:p w14:paraId="085D0134">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二</w:t>
            </w:r>
            <w:r>
              <w:rPr>
                <w:rFonts w:hint="eastAsia" w:ascii="宋体" w:hAnsi="宋体" w:cs="宋体"/>
                <w:b/>
                <w:bCs/>
                <w:color w:val="auto"/>
                <w:szCs w:val="21"/>
                <w:highlight w:val="none"/>
              </w:rPr>
              <w:t>）</w:t>
            </w:r>
            <w:r>
              <w:rPr>
                <w:rFonts w:ascii="宋体" w:hAnsi="宋体" w:cs="宋体"/>
                <w:b/>
                <w:bCs/>
                <w:color w:val="auto"/>
                <w:szCs w:val="21"/>
                <w:highlight w:val="none"/>
              </w:rPr>
              <w:t>零工等信息收集与发布</w:t>
            </w:r>
            <w:r>
              <w:rPr>
                <w:rFonts w:ascii="宋体" w:hAnsi="宋体" w:cs="宋体"/>
                <w:b/>
                <w:bCs/>
                <w:color w:val="auto"/>
                <w:szCs w:val="21"/>
                <w:highlight w:val="none"/>
              </w:rPr>
              <w:tab/>
            </w:r>
          </w:p>
          <w:p w14:paraId="4A23BA44">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收集零工信息</w:t>
            </w:r>
            <w:r>
              <w:rPr>
                <w:rFonts w:ascii="宋体" w:hAnsi="宋体" w:cs="宋体"/>
                <w:b/>
                <w:bCs/>
                <w:color w:val="auto"/>
                <w:szCs w:val="21"/>
                <w:highlight w:val="none"/>
              </w:rPr>
              <w:tab/>
            </w:r>
          </w:p>
          <w:p w14:paraId="072007D5">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每周期合法规范、及时有效采集和发布非全日制用工、临时性和阶段性用工等零工招聘信息，服务用工主体不少于（含）20家次（本地用工主体要占比50%以上）；收集求职的零工信息对象不少于30人（需是站点所在镇的），采集零工岗位信息不少于50条。</w:t>
            </w:r>
          </w:p>
          <w:p w14:paraId="2C6DE5F9">
            <w:pPr>
              <w:tabs>
                <w:tab w:val="left" w:pos="180"/>
                <w:tab w:val="left" w:pos="1620"/>
              </w:tabs>
              <w:spacing w:line="360" w:lineRule="auto"/>
              <w:ind w:firstLine="422"/>
              <w:rPr>
                <w:rFonts w:ascii="宋体" w:hAnsi="宋体" w:cs="宋体"/>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录入及发布零工等信息</w:t>
            </w:r>
            <w:r>
              <w:rPr>
                <w:rFonts w:ascii="宋体" w:hAnsi="宋体" w:cs="宋体"/>
                <w:color w:val="auto"/>
                <w:szCs w:val="21"/>
                <w:highlight w:val="none"/>
              </w:rPr>
              <w:tab/>
            </w:r>
          </w:p>
          <w:p w14:paraId="3E77AFF5">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三个零工市场每周期录入广西“数智人社”系统“广西就业”平台岗位信息不少于1000条，信息及时更新至</w:t>
            </w:r>
            <w:r>
              <w:rPr>
                <w:color w:val="auto"/>
                <w:highlight w:val="none"/>
              </w:rPr>
              <w:t>采购人</w:t>
            </w:r>
            <w:r>
              <w:rPr>
                <w:rFonts w:ascii="宋体" w:hAnsi="宋体" w:cs="宋体"/>
                <w:color w:val="auto"/>
                <w:szCs w:val="21"/>
                <w:highlight w:val="none"/>
              </w:rPr>
              <w:t>指定小程序（如有）。发布的岗位招聘信息应包括但不限于：职业（工种）、技能要求、工作地点、工作时长、薪资待遇、计酬方式等内容，不得发布含有就业歧视性内容。</w:t>
            </w:r>
          </w:p>
          <w:p w14:paraId="22E9494A">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（三）</w:t>
            </w:r>
            <w:r>
              <w:rPr>
                <w:rFonts w:ascii="宋体" w:hAnsi="宋体" w:cs="宋体"/>
                <w:b/>
                <w:bCs/>
                <w:color w:val="auto"/>
                <w:szCs w:val="21"/>
                <w:highlight w:val="none"/>
              </w:rPr>
              <w:t>招聘服务</w:t>
            </w:r>
            <w:r>
              <w:rPr>
                <w:rFonts w:ascii="宋体" w:hAnsi="宋体" w:cs="宋体"/>
                <w:b/>
                <w:bCs/>
                <w:color w:val="auto"/>
                <w:szCs w:val="21"/>
                <w:highlight w:val="none"/>
              </w:rPr>
              <w:tab/>
            </w:r>
          </w:p>
          <w:p w14:paraId="62C3B69C">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常态化服务</w:t>
            </w:r>
          </w:p>
          <w:p w14:paraId="5395D118">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为灵活就业人员和用工主体提供常态化就业服务，在规定的开放时间内开展即时快招服务并受理各项经办业务。</w:t>
            </w:r>
          </w:p>
          <w:p w14:paraId="6830C82B">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数据分析</w:t>
            </w:r>
          </w:p>
          <w:p w14:paraId="7E0D233E">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每月分行业、分群体开展相关数据分析工作，按月公布求人倍率最高和最低的行业及岗位排行信息、日均工资水平信息。</w:t>
            </w:r>
          </w:p>
          <w:p w14:paraId="54765531">
            <w:pPr>
              <w:tabs>
                <w:tab w:val="left" w:pos="180"/>
                <w:tab w:val="left" w:pos="1620"/>
              </w:tabs>
              <w:spacing w:line="360" w:lineRule="auto"/>
              <w:ind w:firstLine="422"/>
              <w:rPr>
                <w:rFonts w:ascii="宋体" w:hAnsi="宋体" w:cs="宋体"/>
                <w:color w:val="auto"/>
                <w:szCs w:val="21"/>
                <w:highlight w:val="none"/>
              </w:rPr>
            </w:pPr>
            <w:r>
              <w:rPr>
                <w:rFonts w:hint="eastAsia" w:ascii="宋体" w:hAnsi="宋体" w:cs="宋体"/>
                <w:b/>
                <w:bCs/>
                <w:color w:val="auto"/>
                <w:szCs w:val="21"/>
                <w:highlight w:val="none"/>
              </w:rPr>
              <w:t>（四）</w:t>
            </w:r>
            <w:r>
              <w:rPr>
                <w:rFonts w:ascii="宋体" w:hAnsi="宋体" w:cs="宋体"/>
                <w:b/>
                <w:bCs/>
                <w:color w:val="auto"/>
                <w:szCs w:val="21"/>
                <w:highlight w:val="none"/>
              </w:rPr>
              <w:t>求职和岗位推荐服务</w:t>
            </w:r>
            <w:r>
              <w:rPr>
                <w:rFonts w:ascii="宋体" w:hAnsi="宋体" w:cs="宋体"/>
                <w:color w:val="auto"/>
                <w:szCs w:val="21"/>
                <w:highlight w:val="none"/>
              </w:rPr>
              <w:tab/>
            </w:r>
          </w:p>
          <w:p w14:paraId="66987E0D">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求职登记</w:t>
            </w:r>
            <w:r>
              <w:rPr>
                <w:rFonts w:ascii="宋体" w:hAnsi="宋体" w:cs="宋体"/>
                <w:b/>
                <w:bCs/>
                <w:color w:val="auto"/>
                <w:szCs w:val="21"/>
                <w:highlight w:val="none"/>
              </w:rPr>
              <w:tab/>
            </w:r>
          </w:p>
          <w:p w14:paraId="068DC4D8">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为求职人员</w:t>
            </w:r>
            <w:r>
              <w:rPr>
                <w:rFonts w:hint="eastAsia" w:ascii="宋体" w:hAnsi="宋体" w:cs="宋体"/>
                <w:color w:val="auto"/>
                <w:szCs w:val="21"/>
                <w:highlight w:val="none"/>
              </w:rPr>
              <w:t>登记</w:t>
            </w:r>
            <w:r>
              <w:rPr>
                <w:rFonts w:ascii="宋体" w:hAnsi="宋体" w:cs="宋体"/>
                <w:color w:val="auto"/>
                <w:szCs w:val="21"/>
                <w:highlight w:val="none"/>
              </w:rPr>
              <w:t>基本信息、就业需求、培训需求、就业能力等内容，每周期收集不少于60人的求职信息。</w:t>
            </w:r>
            <w:r>
              <w:rPr>
                <w:rFonts w:ascii="宋体" w:hAnsi="宋体" w:cs="宋体"/>
                <w:color w:val="auto"/>
                <w:szCs w:val="21"/>
                <w:highlight w:val="none"/>
              </w:rPr>
              <w:tab/>
            </w:r>
          </w:p>
          <w:p w14:paraId="31C7B338">
            <w:pPr>
              <w:tabs>
                <w:tab w:val="left" w:pos="180"/>
                <w:tab w:val="left" w:pos="1620"/>
              </w:tabs>
              <w:spacing w:line="360" w:lineRule="auto"/>
              <w:ind w:firstLine="422"/>
              <w:rPr>
                <w:rFonts w:ascii="宋体" w:hAnsi="宋体" w:cs="宋体"/>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职业指导及岗位推荐</w:t>
            </w:r>
            <w:r>
              <w:rPr>
                <w:rFonts w:ascii="宋体" w:hAnsi="宋体" w:cs="宋体"/>
                <w:color w:val="auto"/>
                <w:szCs w:val="21"/>
                <w:highlight w:val="none"/>
              </w:rPr>
              <w:tab/>
            </w:r>
          </w:p>
          <w:p w14:paraId="7FFF5515">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为有灵活就业意愿的求职人员提供“一对一”职业指导，根据其求职意愿和就业能力推荐匹配的就业岗位。</w:t>
            </w:r>
          </w:p>
          <w:p w14:paraId="0A86C7CE">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3.</w:t>
            </w:r>
            <w:r>
              <w:rPr>
                <w:rFonts w:ascii="宋体" w:hAnsi="宋体" w:cs="宋体"/>
                <w:b/>
                <w:bCs/>
                <w:color w:val="auto"/>
                <w:szCs w:val="21"/>
                <w:highlight w:val="none"/>
              </w:rPr>
              <w:t>招聘会信息推送</w:t>
            </w:r>
            <w:r>
              <w:rPr>
                <w:rFonts w:ascii="宋体" w:hAnsi="宋体" w:cs="宋体"/>
                <w:b/>
                <w:bCs/>
                <w:color w:val="auto"/>
                <w:szCs w:val="21"/>
                <w:highlight w:val="none"/>
              </w:rPr>
              <w:tab/>
            </w:r>
          </w:p>
          <w:p w14:paraId="6A5931D9">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引导灵活就业等人员参加线上线下招聘会</w:t>
            </w:r>
            <w:r>
              <w:rPr>
                <w:rFonts w:hint="eastAsia" w:ascii="宋体" w:hAnsi="宋体" w:cs="宋体"/>
                <w:color w:val="auto"/>
                <w:szCs w:val="21"/>
                <w:highlight w:val="none"/>
              </w:rPr>
              <w:t>。</w:t>
            </w:r>
          </w:p>
          <w:p w14:paraId="37E1A75F">
            <w:pPr>
              <w:tabs>
                <w:tab w:val="left" w:pos="180"/>
                <w:tab w:val="left" w:pos="1620"/>
              </w:tabs>
              <w:spacing w:line="360" w:lineRule="auto"/>
              <w:ind w:firstLine="422"/>
              <w:rPr>
                <w:rFonts w:ascii="宋体" w:hAnsi="宋体" w:cs="宋体"/>
                <w:color w:val="auto"/>
                <w:szCs w:val="21"/>
                <w:highlight w:val="none"/>
              </w:rPr>
            </w:pPr>
            <w:r>
              <w:rPr>
                <w:rFonts w:hint="eastAsia" w:ascii="宋体" w:hAnsi="宋体" w:cs="宋体"/>
                <w:b/>
                <w:bCs/>
                <w:color w:val="auto"/>
                <w:szCs w:val="21"/>
                <w:highlight w:val="none"/>
              </w:rPr>
              <w:t>（五）</w:t>
            </w:r>
            <w:r>
              <w:rPr>
                <w:rFonts w:ascii="宋体" w:hAnsi="宋体" w:cs="宋体"/>
                <w:b/>
                <w:bCs/>
                <w:color w:val="auto"/>
                <w:szCs w:val="21"/>
                <w:highlight w:val="none"/>
              </w:rPr>
              <w:t>就业政策法规咨询</w:t>
            </w:r>
            <w:r>
              <w:rPr>
                <w:rFonts w:ascii="宋体" w:hAnsi="宋体" w:cs="宋体"/>
                <w:color w:val="auto"/>
                <w:szCs w:val="21"/>
                <w:highlight w:val="none"/>
              </w:rPr>
              <w:tab/>
            </w:r>
          </w:p>
          <w:p w14:paraId="378631EF">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1.定期发布促进就业政策，通过综合服务窗口受理就业创业政策咨询，强化政策宣传力度。</w:t>
            </w:r>
          </w:p>
          <w:p w14:paraId="4ECF4C41">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2.宣传养老保险政策并鼓励灵活就业人员参加企业职工基本养老保险，对新就业形态从业人员引导其按规定参加职业伤害保障。</w:t>
            </w:r>
          </w:p>
          <w:p w14:paraId="4908C7D1">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（六）重点群体就业帮扶服务</w:t>
            </w:r>
            <w:r>
              <w:rPr>
                <w:rFonts w:ascii="宋体" w:hAnsi="宋体" w:cs="宋体"/>
                <w:color w:val="auto"/>
                <w:szCs w:val="21"/>
                <w:highlight w:val="none"/>
              </w:rPr>
              <w:tab/>
            </w:r>
          </w:p>
          <w:p w14:paraId="1DC8F8DD">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重点群体</w:t>
            </w:r>
            <w:r>
              <w:rPr>
                <w:rFonts w:ascii="宋体" w:hAnsi="宋体" w:cs="宋体"/>
                <w:b/>
                <w:bCs/>
                <w:color w:val="auto"/>
                <w:szCs w:val="21"/>
                <w:highlight w:val="none"/>
              </w:rPr>
              <w:tab/>
            </w:r>
          </w:p>
          <w:p w14:paraId="5419968A">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对辖区登记失业人员、就业困难人员、退役军人、离校未就业高校毕业生、脱贫劳动力、防返贫监测户、农村返乡回流人员、雨露计划毕业生等重点群体提供就业跟踪帮扶。</w:t>
            </w:r>
          </w:p>
          <w:p w14:paraId="25CBEE7B">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分析服务</w:t>
            </w:r>
            <w:r>
              <w:rPr>
                <w:rFonts w:ascii="宋体" w:hAnsi="宋体" w:cs="宋体"/>
                <w:b/>
                <w:bCs/>
                <w:color w:val="auto"/>
                <w:szCs w:val="21"/>
                <w:highlight w:val="none"/>
              </w:rPr>
              <w:tab/>
            </w:r>
          </w:p>
          <w:p w14:paraId="29C5F789">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建立灵活就业人员分级服务机制，对待工时间长、低收入家庭、残疾、大龄等就业困难人员实施优先扶持和重点帮扶。</w:t>
            </w:r>
          </w:p>
          <w:p w14:paraId="2F3AC1F3">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w:t>
            </w:r>
            <w:r>
              <w:rPr>
                <w:rFonts w:hint="eastAsia" w:ascii="宋体" w:hAnsi="宋体" w:cs="宋体"/>
                <w:b/>
                <w:bCs/>
                <w:color w:val="auto"/>
                <w:szCs w:val="21"/>
                <w:highlight w:val="none"/>
              </w:rPr>
              <w:t>七</w:t>
            </w:r>
            <w:r>
              <w:rPr>
                <w:rFonts w:ascii="宋体" w:hAnsi="宋体" w:cs="宋体"/>
                <w:b/>
                <w:bCs/>
                <w:color w:val="auto"/>
                <w:szCs w:val="21"/>
                <w:highlight w:val="none"/>
              </w:rPr>
              <w:t>）技能培训与创业指导服务</w:t>
            </w:r>
            <w:r>
              <w:rPr>
                <w:rFonts w:ascii="宋体" w:hAnsi="宋体" w:cs="宋体"/>
                <w:b/>
                <w:bCs/>
                <w:color w:val="auto"/>
                <w:szCs w:val="21"/>
                <w:highlight w:val="none"/>
              </w:rPr>
              <w:tab/>
            </w:r>
          </w:p>
          <w:p w14:paraId="66637688">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技能培训服务</w:t>
            </w:r>
          </w:p>
          <w:p w14:paraId="77CEF4CB">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每周期更新发布职业技能培训项目和当地职业技能培训机构信息不少于3次。受理培训咨询，支持灵活就业人员就近参加技能提升培训。</w:t>
            </w:r>
          </w:p>
          <w:p w14:paraId="5EBB99A8">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创业指导服务</w:t>
            </w:r>
            <w:r>
              <w:rPr>
                <w:rFonts w:ascii="宋体" w:hAnsi="宋体" w:cs="宋体"/>
                <w:b/>
                <w:bCs/>
                <w:color w:val="auto"/>
                <w:szCs w:val="21"/>
                <w:highlight w:val="none"/>
              </w:rPr>
              <w:tab/>
            </w:r>
          </w:p>
          <w:p w14:paraId="72634DE0">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为有创业意愿的灵活就业等人员提供创业培训信息和项目推介，提供创业担保贷款咨询等创业指导服务。</w:t>
            </w:r>
          </w:p>
          <w:p w14:paraId="6F0E10A3">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（八）公共就业活动服务</w:t>
            </w:r>
            <w:r>
              <w:rPr>
                <w:rFonts w:ascii="宋体" w:hAnsi="宋体" w:cs="宋体"/>
                <w:color w:val="auto"/>
                <w:szCs w:val="21"/>
                <w:highlight w:val="none"/>
              </w:rPr>
              <w:tab/>
            </w:r>
          </w:p>
          <w:p w14:paraId="542F5BB6">
            <w:pPr>
              <w:tabs>
                <w:tab w:val="left" w:pos="180"/>
                <w:tab w:val="left" w:pos="1620"/>
              </w:tabs>
              <w:spacing w:line="360" w:lineRule="auto"/>
              <w:ind w:firstLine="422"/>
              <w:rPr>
                <w:rFonts w:ascii="宋体" w:hAnsi="宋体" w:cs="宋体"/>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就业</w:t>
            </w:r>
            <w:r>
              <w:rPr>
                <w:rFonts w:hint="eastAsia" w:ascii="宋体" w:hAnsi="宋体" w:cs="宋体"/>
                <w:b/>
                <w:bCs/>
                <w:color w:val="auto"/>
                <w:szCs w:val="21"/>
                <w:highlight w:val="none"/>
              </w:rPr>
              <w:t>大篷车</w:t>
            </w:r>
            <w:r>
              <w:rPr>
                <w:rFonts w:ascii="宋体" w:hAnsi="宋体" w:cs="宋体"/>
                <w:b/>
                <w:bCs/>
                <w:color w:val="auto"/>
                <w:szCs w:val="21"/>
                <w:highlight w:val="none"/>
              </w:rPr>
              <w:t>活动</w:t>
            </w:r>
            <w:r>
              <w:rPr>
                <w:rFonts w:ascii="宋体" w:hAnsi="宋体" w:cs="宋体"/>
                <w:color w:val="auto"/>
                <w:szCs w:val="21"/>
                <w:highlight w:val="none"/>
              </w:rPr>
              <w:tab/>
            </w:r>
          </w:p>
          <w:p w14:paraId="600BDA0F">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每周期至少组织开展2次就业</w:t>
            </w:r>
            <w:r>
              <w:rPr>
                <w:rFonts w:hint="eastAsia" w:ascii="宋体" w:hAnsi="宋体" w:cs="宋体"/>
                <w:color w:val="auto"/>
                <w:szCs w:val="21"/>
                <w:highlight w:val="none"/>
              </w:rPr>
              <w:t>大篷车</w:t>
            </w:r>
            <w:r>
              <w:rPr>
                <w:rFonts w:ascii="宋体" w:hAnsi="宋体" w:cs="宋体"/>
                <w:color w:val="auto"/>
                <w:szCs w:val="21"/>
                <w:highlight w:val="none"/>
              </w:rPr>
              <w:t>等灵活就业专项服务活动。</w:t>
            </w:r>
          </w:p>
          <w:p w14:paraId="036D12E2">
            <w:pPr>
              <w:tabs>
                <w:tab w:val="left" w:pos="180"/>
                <w:tab w:val="left" w:pos="1620"/>
              </w:tabs>
              <w:spacing w:line="360" w:lineRule="auto"/>
              <w:ind w:firstLine="422"/>
              <w:rPr>
                <w:rFonts w:ascii="宋体" w:hAnsi="宋体" w:cs="宋体"/>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组织招聘会</w:t>
            </w:r>
            <w:r>
              <w:rPr>
                <w:rFonts w:ascii="宋体" w:hAnsi="宋体" w:cs="宋体"/>
                <w:color w:val="auto"/>
                <w:szCs w:val="21"/>
                <w:highlight w:val="none"/>
              </w:rPr>
              <w:tab/>
            </w:r>
          </w:p>
          <w:p w14:paraId="3289BC9F">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每周期至少组织1场现场招聘会</w:t>
            </w:r>
            <w:r>
              <w:rPr>
                <w:rFonts w:hint="eastAsia" w:ascii="宋体" w:hAnsi="宋体" w:cs="宋体"/>
                <w:color w:val="auto"/>
                <w:szCs w:val="21"/>
                <w:highlight w:val="none"/>
              </w:rPr>
              <w:t>。</w:t>
            </w:r>
          </w:p>
          <w:p w14:paraId="4B974582">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3.</w:t>
            </w:r>
            <w:r>
              <w:rPr>
                <w:rFonts w:ascii="宋体" w:hAnsi="宋体" w:cs="宋体"/>
                <w:b/>
                <w:bCs/>
                <w:color w:val="auto"/>
                <w:szCs w:val="21"/>
                <w:highlight w:val="none"/>
              </w:rPr>
              <w:t>开展直播带岗活动</w:t>
            </w:r>
          </w:p>
          <w:p w14:paraId="2470B995">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每周期至少组织1次直播带岗活动</w:t>
            </w:r>
            <w:r>
              <w:rPr>
                <w:rFonts w:hint="eastAsia" w:ascii="宋体" w:hAnsi="宋体" w:cs="宋体"/>
                <w:color w:val="auto"/>
                <w:szCs w:val="21"/>
                <w:highlight w:val="none"/>
              </w:rPr>
              <w:t>。</w:t>
            </w:r>
          </w:p>
          <w:p w14:paraId="70C009EE">
            <w:pPr>
              <w:tabs>
                <w:tab w:val="left" w:pos="180"/>
                <w:tab w:val="left" w:pos="1620"/>
              </w:tabs>
              <w:spacing w:line="360" w:lineRule="auto"/>
              <w:ind w:firstLine="422"/>
              <w:rPr>
                <w:rFonts w:ascii="宋体" w:hAnsi="宋体" w:cs="宋体"/>
                <w:color w:val="auto"/>
                <w:szCs w:val="21"/>
                <w:highlight w:val="none"/>
              </w:rPr>
            </w:pPr>
            <w:r>
              <w:rPr>
                <w:rFonts w:hint="eastAsia" w:ascii="宋体" w:hAnsi="宋体" w:cs="宋体"/>
                <w:b/>
                <w:bCs/>
                <w:color w:val="auto"/>
                <w:szCs w:val="21"/>
                <w:highlight w:val="none"/>
              </w:rPr>
              <w:t>4.</w:t>
            </w:r>
            <w:r>
              <w:rPr>
                <w:rFonts w:ascii="宋体" w:hAnsi="宋体" w:cs="宋体"/>
                <w:b/>
                <w:bCs/>
                <w:color w:val="auto"/>
                <w:szCs w:val="21"/>
                <w:highlight w:val="none"/>
              </w:rPr>
              <w:t>开展政策宣传活动</w:t>
            </w:r>
            <w:r>
              <w:rPr>
                <w:rFonts w:ascii="宋体" w:hAnsi="宋体" w:cs="宋体"/>
                <w:b/>
                <w:bCs/>
                <w:color w:val="auto"/>
                <w:szCs w:val="21"/>
                <w:highlight w:val="none"/>
              </w:rPr>
              <w:tab/>
            </w:r>
            <w:r>
              <w:rPr>
                <w:rFonts w:ascii="宋体" w:hAnsi="宋体" w:cs="宋体"/>
                <w:color w:val="auto"/>
                <w:szCs w:val="21"/>
                <w:highlight w:val="none"/>
              </w:rPr>
              <w:tab/>
            </w:r>
          </w:p>
          <w:p w14:paraId="74C56BC9">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每周期至少组织1次政策宣传活动</w:t>
            </w:r>
            <w:r>
              <w:rPr>
                <w:rFonts w:hint="eastAsia" w:ascii="宋体" w:hAnsi="宋体" w:cs="宋体"/>
                <w:color w:val="auto"/>
                <w:szCs w:val="21"/>
                <w:highlight w:val="none"/>
              </w:rPr>
              <w:t>。</w:t>
            </w:r>
          </w:p>
          <w:p w14:paraId="19B3154D">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w:t>
            </w:r>
            <w:r>
              <w:rPr>
                <w:rFonts w:hint="eastAsia" w:ascii="宋体" w:hAnsi="宋体" w:cs="宋体"/>
                <w:b/>
                <w:bCs/>
                <w:color w:val="auto"/>
                <w:szCs w:val="21"/>
                <w:highlight w:val="none"/>
              </w:rPr>
              <w:t>九</w:t>
            </w:r>
            <w:r>
              <w:rPr>
                <w:rFonts w:ascii="宋体" w:hAnsi="宋体" w:cs="宋体"/>
                <w:b/>
                <w:bCs/>
                <w:color w:val="auto"/>
                <w:szCs w:val="21"/>
                <w:highlight w:val="none"/>
              </w:rPr>
              <w:t>）权益维护</w:t>
            </w:r>
            <w:r>
              <w:rPr>
                <w:rFonts w:ascii="宋体" w:hAnsi="宋体" w:cs="宋体"/>
                <w:b/>
                <w:bCs/>
                <w:color w:val="auto"/>
                <w:szCs w:val="21"/>
                <w:highlight w:val="none"/>
              </w:rPr>
              <w:tab/>
            </w:r>
          </w:p>
          <w:p w14:paraId="40BFC75E">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在显著位置公开权益维护服务制度、服务热线、投诉举报方式、处理流程等事项。指导用工主体设定合理招聘条件，规范招聘流程及行为。督促用工主体依法用工，落实安全生产、薪资待遇、休息休假、社会保险缴纳等责任。</w:t>
            </w:r>
          </w:p>
          <w:p w14:paraId="6D1E6719">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（十）跟踪回访服务及成效</w:t>
            </w:r>
            <w:r>
              <w:rPr>
                <w:rFonts w:ascii="宋体" w:hAnsi="宋体" w:cs="宋体"/>
                <w:color w:val="auto"/>
                <w:szCs w:val="21"/>
                <w:highlight w:val="none"/>
              </w:rPr>
              <w:tab/>
            </w:r>
          </w:p>
          <w:p w14:paraId="3B18F61E">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对已推荐岗位的求职人员进行跟踪回访服务，对于推荐不成功的求职者，继续推荐岗位不少于5次，推动求职成功就业人数比例不低于30%。苍梧县零工市场面向全县提供中枢服务，岭脚镇和</w:t>
            </w:r>
            <w:r>
              <w:rPr>
                <w:color w:val="auto"/>
                <w:highlight w:val="none"/>
              </w:rPr>
              <w:t>木双镇零工市场</w:t>
            </w:r>
            <w:r>
              <w:rPr>
                <w:rFonts w:ascii="宋体" w:hAnsi="宋体" w:cs="宋体"/>
                <w:color w:val="auto"/>
                <w:szCs w:val="21"/>
                <w:highlight w:val="none"/>
              </w:rPr>
              <w:t>辅助，收集汇总全县有关求职人员、企业用工、活动开展情况等信息数据，按要求形成苍梧县人力资源市场分析表</w:t>
            </w:r>
          </w:p>
          <w:p w14:paraId="5CF6EC57">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（十一）宣传服务</w:t>
            </w:r>
            <w:r>
              <w:rPr>
                <w:rFonts w:ascii="宋体" w:hAnsi="宋体" w:cs="宋体"/>
                <w:color w:val="auto"/>
                <w:szCs w:val="21"/>
                <w:highlight w:val="none"/>
              </w:rPr>
              <w:tab/>
            </w:r>
          </w:p>
          <w:p w14:paraId="280C2824">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资料配备</w:t>
            </w:r>
            <w:r>
              <w:rPr>
                <w:rFonts w:ascii="宋体" w:hAnsi="宋体" w:cs="宋体"/>
                <w:b/>
                <w:bCs/>
                <w:color w:val="auto"/>
                <w:szCs w:val="21"/>
                <w:highlight w:val="none"/>
              </w:rPr>
              <w:tab/>
            </w:r>
          </w:p>
          <w:p w14:paraId="73B02648">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在市场内公告栏、政策取阅架等地方定期放置就业创业政策宣传材料（材料需经</w:t>
            </w:r>
            <w:r>
              <w:rPr>
                <w:color w:val="auto"/>
                <w:highlight w:val="none"/>
              </w:rPr>
              <w:t>采购人</w:t>
            </w:r>
            <w:r>
              <w:rPr>
                <w:rFonts w:ascii="宋体" w:hAnsi="宋体" w:cs="宋体"/>
                <w:color w:val="auto"/>
                <w:szCs w:val="21"/>
                <w:highlight w:val="none"/>
              </w:rPr>
              <w:t>审核），每周期印制</w:t>
            </w:r>
            <w:r>
              <w:rPr>
                <w:color w:val="auto"/>
                <w:highlight w:val="none"/>
              </w:rPr>
              <w:t>各类宣传材料</w:t>
            </w:r>
            <w:r>
              <w:rPr>
                <w:rFonts w:ascii="宋体" w:hAnsi="宋体" w:cs="宋体"/>
                <w:color w:val="auto"/>
                <w:szCs w:val="21"/>
                <w:highlight w:val="none"/>
              </w:rPr>
              <w:t xml:space="preserve">不少于500份。 </w:t>
            </w:r>
          </w:p>
          <w:p w14:paraId="40356832">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每周期向灵活就业人员等求职者发放政策、用工信息等宣传资料不少于5000份。</w:t>
            </w:r>
          </w:p>
          <w:p w14:paraId="24D901D7">
            <w:pPr>
              <w:tabs>
                <w:tab w:val="left" w:pos="180"/>
                <w:tab w:val="left" w:pos="1620"/>
              </w:tabs>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宣传推广</w:t>
            </w:r>
            <w:r>
              <w:rPr>
                <w:rFonts w:ascii="宋体" w:hAnsi="宋体" w:cs="宋体"/>
                <w:b/>
                <w:bCs/>
                <w:color w:val="auto"/>
                <w:szCs w:val="21"/>
                <w:highlight w:val="none"/>
              </w:rPr>
              <w:tab/>
            </w:r>
          </w:p>
          <w:p w14:paraId="0557673B">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通过各类网络媒体，开展市场相关服务宣传。全年在各类新闻媒介和网络媒体发布宣传视频或宣传文章不少于2篇。</w:t>
            </w:r>
          </w:p>
          <w:p w14:paraId="71DF38D3">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每周期在辖区全部村（社区）和其他人员密集场所、电子屏、移动宣传载体等发放或张贴服务二维码或宣传海报等，宣传零工市场不少于6处。</w:t>
            </w:r>
          </w:p>
          <w:p w14:paraId="6F56A793">
            <w:pPr>
              <w:tabs>
                <w:tab w:val="left" w:pos="180"/>
                <w:tab w:val="left" w:pos="162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全年制作零工市场经验类、推广类宣传视频不少于1条，视频时长不少于3分钟。</w:t>
            </w:r>
          </w:p>
          <w:p w14:paraId="09827542">
            <w:pPr>
              <w:tabs>
                <w:tab w:val="left" w:pos="180"/>
                <w:tab w:val="left" w:pos="1620"/>
              </w:tabs>
              <w:spacing w:line="360" w:lineRule="auto"/>
              <w:ind w:firstLine="422"/>
              <w:rPr>
                <w:rFonts w:ascii="宋体" w:hAnsi="宋体" w:cs="宋体"/>
                <w:color w:val="auto"/>
                <w:szCs w:val="21"/>
                <w:highlight w:val="none"/>
              </w:rPr>
            </w:pPr>
            <w:r>
              <w:rPr>
                <w:rFonts w:ascii="宋体" w:hAnsi="宋体" w:cs="宋体"/>
                <w:b/>
                <w:bCs/>
                <w:color w:val="auto"/>
                <w:szCs w:val="21"/>
                <w:highlight w:val="none"/>
              </w:rPr>
              <w:t>（十二）负责管理村级就业服务站</w:t>
            </w:r>
            <w:r>
              <w:rPr>
                <w:rFonts w:ascii="宋体" w:hAnsi="宋体" w:cs="宋体"/>
                <w:color w:val="auto"/>
                <w:szCs w:val="21"/>
                <w:highlight w:val="none"/>
              </w:rPr>
              <w:tab/>
            </w:r>
          </w:p>
          <w:p w14:paraId="45EF29FD">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1.负责管理村级就业服务站，安排常规驻守人员（在</w:t>
            </w:r>
            <w:r>
              <w:rPr>
                <w:color w:val="auto"/>
                <w:highlight w:val="none"/>
              </w:rPr>
              <w:t>采购人</w:t>
            </w:r>
            <w:r>
              <w:rPr>
                <w:rFonts w:ascii="宋体" w:hAnsi="宋体" w:cs="宋体"/>
                <w:color w:val="auto"/>
                <w:szCs w:val="21"/>
                <w:highlight w:val="none"/>
              </w:rPr>
              <w:t>不能安置乡村公益性岗位或找不到符合条件的人员前提下）在规定时间开展就业服务，实现企业用工、求职者等就业信息共享。</w:t>
            </w:r>
          </w:p>
          <w:p w14:paraId="481A7C74">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2.保持9个村级就业服务站（石桥镇学田村就业服务站、石桥镇奇冲村就业服务站、岭脚镇人和社区就业服务站、</w:t>
            </w:r>
            <w:r>
              <w:rPr>
                <w:color w:val="auto"/>
                <w:highlight w:val="none"/>
              </w:rPr>
              <w:t>旺甫镇龙洞村就业服务站</w:t>
            </w:r>
            <w:r>
              <w:rPr>
                <w:rFonts w:ascii="宋体" w:hAnsi="宋体" w:cs="宋体"/>
                <w:color w:val="auto"/>
                <w:szCs w:val="21"/>
                <w:highlight w:val="none"/>
              </w:rPr>
              <w:t>、京南镇长发社区就业服务站、狮寨镇古东村就业服务站、京南镇合水村就业服务站、梨埠镇凤仪村就业服务站、沙头镇横江村就业服务站）正常运转。</w:t>
            </w:r>
          </w:p>
          <w:p w14:paraId="75F4D233">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 xml:space="preserve">3.确保服务站点内各项设施设备、功能分区、服务标识等正常使用、运转、更新。          </w:t>
            </w:r>
          </w:p>
          <w:p w14:paraId="2496D4FB">
            <w:pPr>
              <w:tabs>
                <w:tab w:val="left" w:pos="180"/>
                <w:tab w:val="left" w:pos="1620"/>
              </w:tabs>
              <w:spacing w:line="360" w:lineRule="auto"/>
              <w:ind w:firstLine="420"/>
              <w:rPr>
                <w:rFonts w:ascii="宋体" w:hAnsi="宋体" w:cs="宋体"/>
                <w:color w:val="auto"/>
                <w:szCs w:val="21"/>
                <w:highlight w:val="none"/>
              </w:rPr>
            </w:pPr>
            <w:r>
              <w:rPr>
                <w:rFonts w:ascii="宋体" w:hAnsi="宋体" w:cs="宋体"/>
                <w:color w:val="auto"/>
                <w:szCs w:val="21"/>
                <w:highlight w:val="none"/>
              </w:rPr>
              <w:t>4.汇总整理各类市场主体用工信息、求职者信息。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7293">
            <w:pPr>
              <w:tabs>
                <w:tab w:val="left" w:pos="180"/>
                <w:tab w:val="left" w:pos="1620"/>
              </w:tabs>
              <w:spacing w:line="360" w:lineRule="auto"/>
              <w:jc w:val="left"/>
              <w:rPr>
                <w:rFonts w:ascii="宋体" w:hAnsi="宋体" w:cs="宋体"/>
                <w:b/>
                <w:bCs/>
                <w:color w:val="auto"/>
                <w:szCs w:val="21"/>
                <w:highlight w:val="none"/>
              </w:rPr>
            </w:pPr>
            <w:r>
              <w:rPr>
                <w:rFonts w:hint="eastAsia"/>
                <w:b/>
                <w:bCs/>
                <w:color w:val="auto"/>
                <w:highlight w:val="none"/>
              </w:rPr>
              <w:t>60万元，</w:t>
            </w:r>
            <w:r>
              <w:rPr>
                <w:rFonts w:hint="eastAsia"/>
                <w:b/>
                <w:bCs/>
                <w:color w:val="auto"/>
                <w:highlight w:val="none"/>
              </w:rPr>
              <w:t>同时每个</w:t>
            </w:r>
            <w:r>
              <w:rPr>
                <w:rFonts w:hint="eastAsia" w:ascii="宋体" w:hAnsi="宋体" w:cs="宋体"/>
                <w:b/>
                <w:bCs/>
                <w:color w:val="auto"/>
                <w:szCs w:val="21"/>
                <w:highlight w:val="none"/>
              </w:rPr>
              <w:t>零工市场</w:t>
            </w:r>
            <w:r>
              <w:rPr>
                <w:rFonts w:hint="eastAsia"/>
                <w:b/>
                <w:bCs/>
                <w:color w:val="auto"/>
                <w:highlight w:val="none"/>
              </w:rPr>
              <w:t>运营服务费用最高限价20万元</w:t>
            </w:r>
          </w:p>
        </w:tc>
      </w:tr>
      <w:tr w14:paraId="6670C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67" w:type="dxa"/>
            <w:gridSpan w:val="7"/>
            <w:tcBorders>
              <w:top w:val="single" w:color="auto" w:sz="4" w:space="0"/>
              <w:left w:val="single" w:color="auto" w:sz="4" w:space="0"/>
              <w:bottom w:val="single" w:color="auto" w:sz="4" w:space="0"/>
              <w:right w:val="single" w:color="auto" w:sz="4" w:space="0"/>
            </w:tcBorders>
          </w:tcPr>
          <w:p w14:paraId="4258877E">
            <w:pPr>
              <w:spacing w:line="360" w:lineRule="auto"/>
              <w:rPr>
                <w:rFonts w:ascii="宋体" w:hAnsi="宋体" w:cs="宋体"/>
                <w:b/>
                <w:color w:val="auto"/>
                <w:szCs w:val="21"/>
                <w:highlight w:val="none"/>
              </w:rPr>
            </w:pPr>
            <w:r>
              <w:rPr>
                <w:rFonts w:hint="eastAsia" w:ascii="宋体" w:hAnsi="宋体" w:cs="宋体"/>
                <w:b/>
                <w:color w:val="auto"/>
                <w:szCs w:val="21"/>
                <w:highlight w:val="none"/>
              </w:rPr>
              <w:t>▲一、商务要求</w:t>
            </w:r>
          </w:p>
        </w:tc>
      </w:tr>
      <w:tr w14:paraId="1A13C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trPr>
        <w:tc>
          <w:tcPr>
            <w:tcW w:w="1704" w:type="dxa"/>
            <w:gridSpan w:val="3"/>
            <w:tcBorders>
              <w:top w:val="single" w:color="auto" w:sz="4" w:space="0"/>
              <w:left w:val="single" w:color="auto" w:sz="4" w:space="0"/>
              <w:bottom w:val="single" w:color="auto" w:sz="4" w:space="0"/>
              <w:right w:val="single" w:color="auto" w:sz="4" w:space="0"/>
            </w:tcBorders>
            <w:vAlign w:val="center"/>
          </w:tcPr>
          <w:p w14:paraId="3963522C">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合同签订时间</w:t>
            </w:r>
          </w:p>
        </w:tc>
        <w:tc>
          <w:tcPr>
            <w:tcW w:w="7363" w:type="dxa"/>
            <w:gridSpan w:val="4"/>
            <w:tcBorders>
              <w:top w:val="single" w:color="auto" w:sz="4" w:space="0"/>
              <w:left w:val="single" w:color="auto" w:sz="4" w:space="0"/>
              <w:bottom w:val="single" w:color="auto" w:sz="4" w:space="0"/>
              <w:right w:val="single" w:color="auto" w:sz="4" w:space="0"/>
            </w:tcBorders>
            <w:vAlign w:val="center"/>
          </w:tcPr>
          <w:p w14:paraId="59C247EE">
            <w:pPr>
              <w:spacing w:line="360" w:lineRule="auto"/>
              <w:rPr>
                <w:rFonts w:ascii="宋体" w:hAnsi="宋体" w:cs="宋体"/>
                <w:color w:val="auto"/>
                <w:szCs w:val="21"/>
                <w:highlight w:val="none"/>
              </w:rPr>
            </w:pPr>
            <w:r>
              <w:rPr>
                <w:rFonts w:hint="eastAsia" w:ascii="宋体" w:hAnsi="宋体" w:cs="宋体"/>
                <w:color w:val="auto"/>
                <w:szCs w:val="21"/>
                <w:highlight w:val="none"/>
              </w:rPr>
              <w:t>自成交通知书发出之日起15日内。</w:t>
            </w:r>
          </w:p>
        </w:tc>
      </w:tr>
      <w:tr w14:paraId="05254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gridSpan w:val="3"/>
            <w:tcBorders>
              <w:top w:val="single" w:color="auto" w:sz="4" w:space="0"/>
              <w:left w:val="single" w:color="auto" w:sz="4" w:space="0"/>
              <w:bottom w:val="single" w:color="auto" w:sz="4" w:space="0"/>
              <w:right w:val="single" w:color="auto" w:sz="4" w:space="0"/>
            </w:tcBorders>
            <w:vAlign w:val="center"/>
          </w:tcPr>
          <w:p w14:paraId="3221289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合同有效期</w:t>
            </w:r>
          </w:p>
        </w:tc>
        <w:tc>
          <w:tcPr>
            <w:tcW w:w="7363" w:type="dxa"/>
            <w:gridSpan w:val="4"/>
            <w:tcBorders>
              <w:top w:val="single" w:color="auto" w:sz="4" w:space="0"/>
              <w:left w:val="single" w:color="auto" w:sz="4" w:space="0"/>
              <w:bottom w:val="single" w:color="auto" w:sz="4" w:space="0"/>
              <w:right w:val="single" w:color="auto" w:sz="4" w:space="0"/>
            </w:tcBorders>
            <w:vAlign w:val="center"/>
          </w:tcPr>
          <w:p w14:paraId="1A7475FE">
            <w:pPr>
              <w:spacing w:line="360" w:lineRule="auto"/>
              <w:rPr>
                <w:rFonts w:ascii="宋体" w:hAnsi="宋体" w:cs="宋体"/>
                <w:color w:val="auto"/>
                <w:szCs w:val="21"/>
                <w:highlight w:val="none"/>
              </w:rPr>
            </w:pPr>
            <w:r>
              <w:rPr>
                <w:rFonts w:hint="eastAsia" w:ascii="宋体" w:hAnsi="宋体" w:cs="宋体"/>
                <w:color w:val="auto"/>
                <w:szCs w:val="21"/>
                <w:highlight w:val="none"/>
              </w:rPr>
              <w:t>合同生效时间自本项目采购合同签订之日起开始执行。</w:t>
            </w:r>
          </w:p>
        </w:tc>
      </w:tr>
      <w:tr w14:paraId="50627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gridSpan w:val="3"/>
            <w:tcBorders>
              <w:top w:val="single" w:color="auto" w:sz="4" w:space="0"/>
              <w:left w:val="single" w:color="auto" w:sz="4" w:space="0"/>
              <w:bottom w:val="single" w:color="auto" w:sz="4" w:space="0"/>
              <w:right w:val="single" w:color="auto" w:sz="4" w:space="0"/>
            </w:tcBorders>
            <w:vAlign w:val="center"/>
          </w:tcPr>
          <w:p w14:paraId="349BE8D4">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服务期限及地点</w:t>
            </w:r>
          </w:p>
        </w:tc>
        <w:tc>
          <w:tcPr>
            <w:tcW w:w="7363" w:type="dxa"/>
            <w:gridSpan w:val="4"/>
            <w:tcBorders>
              <w:top w:val="single" w:color="auto" w:sz="4" w:space="0"/>
              <w:left w:val="single" w:color="auto" w:sz="4" w:space="0"/>
              <w:bottom w:val="single" w:color="auto" w:sz="4" w:space="0"/>
              <w:right w:val="single" w:color="auto" w:sz="4" w:space="0"/>
            </w:tcBorders>
            <w:vAlign w:val="center"/>
          </w:tcPr>
          <w:p w14:paraId="774E6DA0">
            <w:pPr>
              <w:spacing w:line="360" w:lineRule="auto"/>
              <w:rPr>
                <w:rFonts w:ascii="宋体" w:hAnsi="宋体" w:cs="宋体"/>
                <w:color w:val="auto"/>
                <w:szCs w:val="21"/>
                <w:highlight w:val="none"/>
              </w:rPr>
            </w:pPr>
            <w:r>
              <w:rPr>
                <w:rFonts w:hint="eastAsia" w:ascii="宋体" w:hAnsi="宋体" w:cs="宋体"/>
                <w:color w:val="auto"/>
                <w:szCs w:val="21"/>
                <w:highlight w:val="none"/>
              </w:rPr>
              <w:t>1.服务期限：服务期为12个月（每3个月为一个考核周期），具体起止时间以签订的服务合同为准。</w:t>
            </w:r>
          </w:p>
          <w:p w14:paraId="5FA02E48">
            <w:pPr>
              <w:spacing w:line="360" w:lineRule="auto"/>
              <w:rPr>
                <w:rFonts w:ascii="宋体" w:hAnsi="宋体" w:cs="宋体"/>
                <w:color w:val="auto"/>
                <w:szCs w:val="21"/>
                <w:highlight w:val="none"/>
              </w:rPr>
            </w:pPr>
            <w:r>
              <w:rPr>
                <w:rFonts w:hint="eastAsia" w:ascii="宋体" w:hAnsi="宋体" w:cs="宋体"/>
                <w:color w:val="auto"/>
                <w:szCs w:val="21"/>
                <w:highlight w:val="none"/>
              </w:rPr>
              <w:t>2.服务地点：广西壮族自治区苍梧县内（采购人指定地点）。</w:t>
            </w:r>
          </w:p>
        </w:tc>
      </w:tr>
      <w:tr w14:paraId="4A4C2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gridSpan w:val="3"/>
            <w:tcBorders>
              <w:top w:val="single" w:color="auto" w:sz="4" w:space="0"/>
              <w:left w:val="single" w:color="auto" w:sz="4" w:space="0"/>
              <w:bottom w:val="single" w:color="auto" w:sz="4" w:space="0"/>
              <w:right w:val="single" w:color="auto" w:sz="4" w:space="0"/>
            </w:tcBorders>
            <w:vAlign w:val="center"/>
          </w:tcPr>
          <w:p w14:paraId="193C6231">
            <w:pPr>
              <w:spacing w:line="360" w:lineRule="auto"/>
              <w:jc w:val="center"/>
              <w:rPr>
                <w:rFonts w:ascii="宋体" w:hAnsi="宋体" w:cs="宋体"/>
                <w:b/>
                <w:bCs/>
                <w:color w:val="auto"/>
                <w:szCs w:val="21"/>
                <w:highlight w:val="none"/>
              </w:rPr>
            </w:pPr>
            <w:r>
              <w:rPr>
                <w:rFonts w:hint="eastAsia" w:ascii="宋体" w:hAnsi="宋体" w:cs="宋体"/>
                <w:b/>
                <w:color w:val="auto"/>
                <w:szCs w:val="21"/>
                <w:highlight w:val="none"/>
              </w:rPr>
              <w:t>报价要求</w:t>
            </w:r>
          </w:p>
        </w:tc>
        <w:tc>
          <w:tcPr>
            <w:tcW w:w="7363" w:type="dxa"/>
            <w:gridSpan w:val="4"/>
            <w:tcBorders>
              <w:top w:val="single" w:color="auto" w:sz="4" w:space="0"/>
              <w:left w:val="single" w:color="auto" w:sz="4" w:space="0"/>
              <w:bottom w:val="single" w:color="auto" w:sz="4" w:space="0"/>
              <w:right w:val="single" w:color="auto" w:sz="4" w:space="0"/>
            </w:tcBorders>
            <w:vAlign w:val="center"/>
          </w:tcPr>
          <w:p w14:paraId="3BD5E7E3">
            <w:pPr>
              <w:spacing w:line="360" w:lineRule="auto"/>
              <w:rPr>
                <w:rFonts w:ascii="宋体" w:hAnsi="宋体" w:cs="宋体"/>
                <w:color w:val="auto"/>
                <w:szCs w:val="21"/>
                <w:highlight w:val="none"/>
              </w:rPr>
            </w:pPr>
            <w:r>
              <w:rPr>
                <w:rFonts w:hint="eastAsia" w:ascii="宋体" w:hAnsi="宋体" w:cs="宋体"/>
                <w:color w:val="auto"/>
                <w:szCs w:val="21"/>
                <w:highlight w:val="none"/>
              </w:rPr>
              <w:t>报价是履行合同的最终价格，包含但不限于苍梧县7个镇级就业服务站和3个零工市场站点</w:t>
            </w:r>
            <w:r>
              <w:rPr>
                <w:rFonts w:hint="eastAsia" w:ascii="宋体" w:hAnsi="宋体" w:cs="宋体"/>
                <w:color w:val="auto"/>
                <w:szCs w:val="21"/>
                <w:highlight w:val="none"/>
              </w:rPr>
              <w:t>以及9个村级就业服务站</w:t>
            </w:r>
            <w:r>
              <w:rPr>
                <w:rFonts w:hint="eastAsia" w:ascii="宋体" w:hAnsi="宋体" w:cs="宋体"/>
                <w:color w:val="auto"/>
                <w:szCs w:val="21"/>
                <w:highlight w:val="none"/>
              </w:rPr>
              <w:t>驻场人员薪资福利费、宣传费用、服务对接、电费、税费、管理费用等运营项目所产生的所有费用。供应商应综合考虑在报价中，</w:t>
            </w:r>
            <w:r>
              <w:rPr>
                <w:rFonts w:hint="eastAsia" w:ascii="宋体" w:hAnsi="宋体"/>
                <w:bCs/>
                <w:color w:val="auto"/>
                <w:szCs w:val="21"/>
                <w:highlight w:val="none"/>
              </w:rPr>
              <w:t>除合同价款及采购人认可的特殊情况外，采购人不再为本项目另付其他任何费用给成交供应商</w:t>
            </w:r>
            <w:r>
              <w:rPr>
                <w:rFonts w:hint="eastAsia" w:ascii="宋体" w:hAnsi="宋体" w:cs="宋体"/>
                <w:color w:val="auto"/>
                <w:szCs w:val="21"/>
                <w:highlight w:val="none"/>
              </w:rPr>
              <w:t>。</w:t>
            </w:r>
          </w:p>
        </w:tc>
      </w:tr>
      <w:tr w14:paraId="034D6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gridSpan w:val="3"/>
            <w:tcBorders>
              <w:top w:val="single" w:color="auto" w:sz="4" w:space="0"/>
              <w:left w:val="single" w:color="auto" w:sz="4" w:space="0"/>
              <w:bottom w:val="single" w:color="auto" w:sz="4" w:space="0"/>
              <w:right w:val="single" w:color="auto" w:sz="4" w:space="0"/>
            </w:tcBorders>
            <w:vAlign w:val="center"/>
          </w:tcPr>
          <w:p w14:paraId="1DC0155C">
            <w:pPr>
              <w:spacing w:line="360" w:lineRule="auto"/>
              <w:jc w:val="center"/>
              <w:rPr>
                <w:rFonts w:ascii="宋体" w:hAnsi="宋体" w:cs="宋体"/>
                <w:b/>
                <w:bCs/>
                <w:color w:val="auto"/>
                <w:szCs w:val="21"/>
                <w:highlight w:val="none"/>
              </w:rPr>
            </w:pPr>
            <w:r>
              <w:rPr>
                <w:rFonts w:hint="eastAsia" w:ascii="宋体" w:hAnsi="宋体" w:cs="宋体"/>
                <w:b/>
                <w:color w:val="auto"/>
                <w:szCs w:val="21"/>
                <w:highlight w:val="none"/>
              </w:rPr>
              <w:t>付款方式</w:t>
            </w:r>
          </w:p>
        </w:tc>
        <w:tc>
          <w:tcPr>
            <w:tcW w:w="7363" w:type="dxa"/>
            <w:gridSpan w:val="4"/>
            <w:tcBorders>
              <w:top w:val="single" w:color="auto" w:sz="4" w:space="0"/>
              <w:left w:val="single" w:color="auto" w:sz="4" w:space="0"/>
              <w:bottom w:val="single" w:color="auto" w:sz="4" w:space="0"/>
              <w:right w:val="single" w:color="auto" w:sz="4" w:space="0"/>
            </w:tcBorders>
            <w:vAlign w:val="center"/>
          </w:tcPr>
          <w:p w14:paraId="0B931FE8">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采用“预付款+周期考核结算”的支付模式，具体规则如下：</w:t>
            </w:r>
          </w:p>
          <w:p w14:paraId="66C1986B">
            <w:pPr>
              <w:spacing w:line="360" w:lineRule="auto"/>
              <w:ind w:firstLine="211"/>
              <w:rPr>
                <w:rFonts w:ascii="宋体" w:hAnsi="宋体" w:cs="宋体"/>
                <w:bCs/>
                <w:color w:val="auto"/>
                <w:szCs w:val="21"/>
                <w:highlight w:val="none"/>
              </w:rPr>
            </w:pPr>
            <w:r>
              <w:rPr>
                <w:rFonts w:hint="eastAsia" w:ascii="宋体" w:hAnsi="宋体" w:cs="宋体"/>
                <w:b/>
                <w:color w:val="auto"/>
                <w:szCs w:val="21"/>
                <w:highlight w:val="none"/>
              </w:rPr>
              <w:t>1.周期基准运营服务费。</w:t>
            </w:r>
            <w:r>
              <w:rPr>
                <w:rFonts w:hint="eastAsia" w:ascii="宋体" w:hAnsi="宋体" w:cs="宋体"/>
                <w:bCs/>
                <w:color w:val="auto"/>
                <w:szCs w:val="21"/>
                <w:highlight w:val="none"/>
              </w:rPr>
              <w:t>以单个站点为独立结算单位，</w:t>
            </w:r>
            <w:bookmarkStart w:id="82" w:name="OLE_LINK9"/>
            <w:r>
              <w:rPr>
                <w:rFonts w:hint="eastAsia" w:ascii="宋体" w:hAnsi="宋体" w:cs="宋体"/>
                <w:bCs/>
                <w:color w:val="auto"/>
                <w:szCs w:val="21"/>
                <w:highlight w:val="none"/>
              </w:rPr>
              <w:t>每个镇级就业服务站的</w:t>
            </w:r>
            <w:bookmarkStart w:id="83" w:name="OLE_LINK8"/>
            <w:r>
              <w:rPr>
                <w:rFonts w:hint="eastAsia" w:ascii="宋体" w:hAnsi="宋体" w:cs="宋体"/>
                <w:bCs/>
                <w:color w:val="auto"/>
                <w:szCs w:val="21"/>
                <w:highlight w:val="none"/>
              </w:rPr>
              <w:t>周期基准运营服务费</w:t>
            </w:r>
            <w:bookmarkEnd w:id="82"/>
            <w:bookmarkEnd w:id="83"/>
            <w:r>
              <w:rPr>
                <w:rFonts w:hint="eastAsia" w:ascii="宋体" w:hAnsi="宋体" w:cs="宋体"/>
                <w:bCs/>
                <w:color w:val="auto"/>
                <w:szCs w:val="21"/>
                <w:highlight w:val="none"/>
              </w:rPr>
              <w:t xml:space="preserve"> = </w:t>
            </w:r>
            <w:bookmarkStart w:id="84" w:name="OLE_LINK10"/>
            <w:r>
              <w:rPr>
                <w:rFonts w:hint="eastAsia" w:ascii="宋体" w:hAnsi="宋体" w:cs="宋体"/>
                <w:bCs/>
                <w:color w:val="auto"/>
                <w:szCs w:val="21"/>
                <w:highlight w:val="none"/>
              </w:rPr>
              <w:t xml:space="preserve">7个镇级就业服务站运营服务（即为标的1）合同金额 </w:t>
            </w:r>
            <w:bookmarkEnd w:id="84"/>
            <w:r>
              <w:rPr>
                <w:rFonts w:hint="eastAsia" w:ascii="宋体" w:hAnsi="宋体" w:cs="宋体"/>
                <w:bCs/>
                <w:color w:val="auto"/>
                <w:szCs w:val="21"/>
                <w:highlight w:val="none"/>
              </w:rPr>
              <w:t xml:space="preserve"> × 25% ÷ 7，每个零工市场的周期基准运营服务费=3个零工市场运营服务（即为标的2）合同金额 × 25% ÷ 3。标的1和标的2合同剩余款项按服务周期分期支付。各站点的当期支付金额均以其“单站周期基准运营服务费”为计算基数。</w:t>
            </w:r>
          </w:p>
          <w:p w14:paraId="622A8458">
            <w:pPr>
              <w:spacing w:line="360" w:lineRule="auto"/>
              <w:ind w:firstLine="422"/>
              <w:rPr>
                <w:rFonts w:ascii="宋体" w:hAnsi="宋体" w:cs="宋体"/>
                <w:bCs/>
                <w:color w:val="auto"/>
                <w:szCs w:val="21"/>
                <w:highlight w:val="none"/>
              </w:rPr>
            </w:pPr>
            <w:r>
              <w:rPr>
                <w:rFonts w:hint="eastAsia" w:ascii="宋体" w:hAnsi="宋体" w:cs="宋体"/>
                <w:b/>
                <w:color w:val="auto"/>
                <w:szCs w:val="21"/>
                <w:highlight w:val="none"/>
              </w:rPr>
              <w:t>2.预付款支付</w:t>
            </w:r>
            <w:r>
              <w:rPr>
                <w:rFonts w:hint="eastAsia" w:ascii="宋体" w:hAnsi="宋体" w:cs="宋体"/>
                <w:bCs/>
                <w:color w:val="auto"/>
                <w:szCs w:val="21"/>
                <w:highlight w:val="none"/>
              </w:rPr>
              <w:t>。合同签订后，向成交供应商支付合同总金额的30%作为预付款。</w:t>
            </w:r>
          </w:p>
          <w:p w14:paraId="5D3C4689">
            <w:pPr>
              <w:spacing w:line="360" w:lineRule="auto"/>
              <w:ind w:firstLine="422"/>
              <w:rPr>
                <w:rFonts w:ascii="宋体" w:hAnsi="宋体" w:cs="宋体"/>
                <w:bCs/>
                <w:color w:val="auto"/>
                <w:szCs w:val="21"/>
                <w:highlight w:val="none"/>
              </w:rPr>
            </w:pPr>
            <w:r>
              <w:rPr>
                <w:rFonts w:hint="eastAsia" w:ascii="宋体" w:hAnsi="宋体" w:cs="宋体"/>
                <w:b/>
                <w:color w:val="auto"/>
                <w:szCs w:val="21"/>
                <w:highlight w:val="none"/>
              </w:rPr>
              <w:t>3.考核得分与周期基准服务费挂钩。</w:t>
            </w:r>
            <w:r>
              <w:rPr>
                <w:rFonts w:hint="eastAsia" w:ascii="宋体" w:hAnsi="宋体" w:cs="宋体"/>
                <w:bCs/>
                <w:color w:val="auto"/>
                <w:szCs w:val="21"/>
                <w:highlight w:val="none"/>
              </w:rPr>
              <w:t>各站点依据考核指标逐项累计得分并单独考核评分，考核工作在每个服务周期结束</w:t>
            </w:r>
            <w:r>
              <w:rPr>
                <w:rFonts w:hint="eastAsia" w:ascii="宋体" w:hAnsi="宋体" w:cs="宋体"/>
                <w:bCs/>
                <w:color w:val="auto"/>
                <w:szCs w:val="21"/>
                <w:highlight w:val="none"/>
              </w:rPr>
              <w:t>后</w:t>
            </w:r>
            <w:r>
              <w:rPr>
                <w:rFonts w:hint="eastAsia" w:ascii="宋体" w:hAnsi="宋体" w:cs="宋体"/>
                <w:bCs/>
                <w:color w:val="auto"/>
                <w:szCs w:val="21"/>
                <w:highlight w:val="none"/>
              </w:rPr>
              <w:t>15日内完成。根据各站点的考核得分进行结算，</w:t>
            </w:r>
            <w:bookmarkStart w:id="85" w:name="OLE_LINK7"/>
            <w:r>
              <w:rPr>
                <w:rFonts w:hint="eastAsia" w:ascii="宋体" w:hAnsi="宋体" w:cs="宋体"/>
                <w:bCs/>
                <w:color w:val="auto"/>
                <w:szCs w:val="21"/>
                <w:highlight w:val="none"/>
              </w:rPr>
              <w:t>所有站点</w:t>
            </w:r>
            <w:bookmarkEnd w:id="85"/>
            <w:r>
              <w:rPr>
                <w:rFonts w:hint="eastAsia" w:ascii="宋体" w:hAnsi="宋体" w:cs="宋体"/>
                <w:bCs/>
                <w:color w:val="auto"/>
                <w:szCs w:val="21"/>
                <w:highlight w:val="none"/>
              </w:rPr>
              <w:t>考核得分在90分（含）以上，全额支付该期基准服务费用（在原来已支付预付款的基础上，再支付合同总剩余款项的25%）</w:t>
            </w:r>
            <w:bookmarkStart w:id="86" w:name="OLE_LINK11"/>
            <w:r>
              <w:rPr>
                <w:rFonts w:hint="eastAsia"/>
                <w:color w:val="auto"/>
                <w:highlight w:val="none"/>
              </w:rPr>
              <w:t>。</w:t>
            </w:r>
            <w:r>
              <w:rPr>
                <w:rFonts w:hint="eastAsia" w:ascii="宋体" w:hAnsi="宋体" w:cs="宋体"/>
                <w:bCs/>
                <w:color w:val="auto"/>
                <w:szCs w:val="21"/>
                <w:highlight w:val="none"/>
              </w:rPr>
              <w:t>单个站点</w:t>
            </w:r>
            <w:bookmarkEnd w:id="86"/>
            <w:r>
              <w:rPr>
                <w:rFonts w:hint="eastAsia" w:ascii="宋体" w:hAnsi="宋体" w:cs="宋体"/>
                <w:bCs/>
                <w:color w:val="auto"/>
                <w:szCs w:val="21"/>
                <w:highlight w:val="none"/>
              </w:rPr>
              <w:t>考核得分在80分（含）—89.99分的，支付该站点该期基准服务费用的90%费用（在原来已支付预付款的基础上，</w:t>
            </w:r>
            <w:bookmarkStart w:id="87" w:name="OLE_LINK13"/>
            <w:r>
              <w:rPr>
                <w:rFonts w:hint="eastAsia" w:ascii="宋体" w:hAnsi="宋体" w:cs="宋体"/>
                <w:bCs/>
                <w:color w:val="auto"/>
                <w:szCs w:val="21"/>
                <w:highlight w:val="none"/>
              </w:rPr>
              <w:t>再支付</w:t>
            </w:r>
            <w:bookmarkStart w:id="88" w:name="OLE_LINK12"/>
            <w:r>
              <w:rPr>
                <w:rFonts w:hint="eastAsia" w:ascii="宋体" w:hAnsi="宋体" w:cs="宋体"/>
                <w:bCs/>
                <w:color w:val="auto"/>
                <w:szCs w:val="21"/>
                <w:highlight w:val="none"/>
              </w:rPr>
              <w:t>单个站点剩余合同款项</w:t>
            </w:r>
            <w:r>
              <w:rPr>
                <w:rFonts w:hint="eastAsia" w:ascii="宋体" w:hAnsi="宋体" w:cs="宋体"/>
                <w:bCs/>
                <w:color w:val="auto"/>
                <w:szCs w:val="21"/>
                <w:highlight w:val="none"/>
              </w:rPr>
              <w:t>的25%</w:t>
            </w:r>
            <w:bookmarkEnd w:id="87"/>
            <w:bookmarkEnd w:id="88"/>
            <w:r>
              <w:rPr>
                <w:rFonts w:hint="eastAsia" w:ascii="宋体" w:hAnsi="宋体" w:cs="宋体"/>
                <w:bCs/>
                <w:color w:val="auto"/>
                <w:szCs w:val="21"/>
                <w:highlight w:val="none"/>
              </w:rPr>
              <w:t>扣减一个周期10%的基准运营服务费用）；考核得分在70分（含）—79.99分的，支付该期基准服务费用的80%费用（在原来已支付预付款的基础上，再支付单个站点剩余合同款项的25%扣减一个周期20%的周期基准运营服务费）；考核得分在60分（含）-69.99</w:t>
            </w:r>
            <w:r>
              <w:rPr>
                <w:rFonts w:hint="eastAsia" w:ascii="宋体" w:hAnsi="宋体" w:cs="宋体"/>
                <w:bCs/>
                <w:color w:val="auto"/>
                <w:szCs w:val="21"/>
                <w:highlight w:val="none"/>
              </w:rPr>
              <w:t>分</w:t>
            </w:r>
            <w:r>
              <w:rPr>
                <w:rFonts w:hint="eastAsia" w:ascii="宋体" w:hAnsi="宋体" w:cs="宋体"/>
                <w:bCs/>
                <w:color w:val="auto"/>
                <w:szCs w:val="21"/>
                <w:highlight w:val="none"/>
              </w:rPr>
              <w:t>的，支付该期基准服务费用的70%费用（在原来已支付预付款的基础上，再支付单个站点剩余合同款项的25%扣减一个周期30%的周期基准运营服务费）；考核得分在50分（含）—59.99 分的，支付该期基准服务费用的60%费用（在原来已支付预付款的基础上，再支付单个站点剩余合同款项的25%扣减一个周期40%的周期基准运营服务费）；考核平均分低于50分的将不支付该期基准服务费用，该期的服务费用列入下一期运营服务中开支。</w:t>
            </w:r>
          </w:p>
          <w:p w14:paraId="09390CFB">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w:t>
            </w:r>
            <w:r>
              <w:rPr>
                <w:rFonts w:ascii="宋体" w:hAnsi="宋体" w:cs="宋体"/>
                <w:b/>
                <w:color w:val="auto"/>
                <w:szCs w:val="21"/>
                <w:highlight w:val="none"/>
              </w:rPr>
              <w:t>严重考核不达标的处理（50分以下）</w:t>
            </w:r>
            <w:r>
              <w:rPr>
                <w:rFonts w:hint="eastAsia" w:ascii="宋体" w:hAnsi="宋体" w:cs="宋体"/>
                <w:b/>
                <w:color w:val="auto"/>
                <w:szCs w:val="21"/>
                <w:highlight w:val="none"/>
              </w:rPr>
              <w:t>。</w:t>
            </w:r>
          </w:p>
          <w:p w14:paraId="174E0EBE">
            <w:pPr>
              <w:spacing w:line="360" w:lineRule="auto"/>
              <w:ind w:firstLine="420"/>
              <w:rPr>
                <w:rFonts w:ascii="宋体" w:hAnsi="宋体" w:cs="宋体"/>
                <w:bCs/>
                <w:color w:val="auto"/>
                <w:szCs w:val="21"/>
                <w:highlight w:val="none"/>
              </w:rPr>
            </w:pPr>
            <w:r>
              <w:rPr>
                <w:rFonts w:ascii="宋体" w:hAnsi="宋体" w:cs="宋体"/>
                <w:bCs/>
                <w:color w:val="auto"/>
                <w:szCs w:val="21"/>
                <w:highlight w:val="none"/>
              </w:rPr>
              <w:t>若</w:t>
            </w:r>
            <w:r>
              <w:rPr>
                <w:rFonts w:hint="eastAsia" w:ascii="宋体" w:hAnsi="宋体" w:cs="宋体"/>
                <w:bCs/>
                <w:color w:val="auto"/>
                <w:szCs w:val="21"/>
                <w:highlight w:val="none"/>
              </w:rPr>
              <w:t>超过30%的</w:t>
            </w:r>
            <w:r>
              <w:rPr>
                <w:rFonts w:ascii="宋体" w:hAnsi="宋体" w:cs="宋体"/>
                <w:bCs/>
                <w:color w:val="auto"/>
                <w:szCs w:val="21"/>
                <w:highlight w:val="none"/>
              </w:rPr>
              <w:t>站点考核</w:t>
            </w:r>
            <w:r>
              <w:rPr>
                <w:rFonts w:hint="eastAsia" w:ascii="宋体" w:hAnsi="宋体" w:cs="宋体"/>
                <w:bCs/>
                <w:color w:val="auto"/>
                <w:szCs w:val="21"/>
                <w:highlight w:val="none"/>
              </w:rPr>
              <w:t>得分</w:t>
            </w:r>
            <w:r>
              <w:rPr>
                <w:rFonts w:ascii="宋体" w:hAnsi="宋体" w:cs="宋体"/>
                <w:bCs/>
                <w:color w:val="auto"/>
                <w:szCs w:val="21"/>
                <w:highlight w:val="none"/>
              </w:rPr>
              <w:t>低于50分，将触发违约处理机制</w:t>
            </w:r>
            <w:r>
              <w:rPr>
                <w:rFonts w:hint="eastAsia" w:ascii="宋体" w:hAnsi="宋体" w:cs="宋体"/>
                <w:bCs/>
                <w:color w:val="auto"/>
                <w:szCs w:val="21"/>
                <w:highlight w:val="none"/>
              </w:rPr>
              <w:t>，一是</w:t>
            </w:r>
            <w:r>
              <w:rPr>
                <w:rFonts w:ascii="宋体" w:hAnsi="宋体" w:cs="宋体"/>
                <w:bCs/>
                <w:color w:val="auto"/>
                <w:szCs w:val="21"/>
                <w:highlight w:val="none"/>
              </w:rPr>
              <w:t>费用停付：不予支付</w:t>
            </w:r>
            <w:r>
              <w:rPr>
                <w:rFonts w:hint="eastAsia" w:ascii="宋体" w:hAnsi="宋体" w:cs="宋体"/>
                <w:bCs/>
                <w:color w:val="auto"/>
                <w:szCs w:val="21"/>
                <w:highlight w:val="none"/>
              </w:rPr>
              <w:t>所有站点</w:t>
            </w:r>
            <w:r>
              <w:rPr>
                <w:rFonts w:ascii="宋体" w:hAnsi="宋体" w:cs="宋体"/>
                <w:bCs/>
                <w:color w:val="auto"/>
                <w:szCs w:val="21"/>
                <w:highlight w:val="none"/>
              </w:rPr>
              <w:t>当期的任何服务费用</w:t>
            </w:r>
            <w:r>
              <w:rPr>
                <w:rFonts w:hint="eastAsia" w:ascii="宋体" w:hAnsi="宋体" w:cs="宋体"/>
                <w:bCs/>
                <w:color w:val="auto"/>
                <w:szCs w:val="21"/>
                <w:highlight w:val="none"/>
              </w:rPr>
              <w:t>，同时向</w:t>
            </w:r>
            <w:r>
              <w:rPr>
                <w:rFonts w:hint="eastAsia" w:ascii="宋体" w:hAnsi="宋体" w:cs="宋体"/>
                <w:bCs/>
                <w:color w:val="auto"/>
                <w:szCs w:val="21"/>
                <w:highlight w:val="none"/>
              </w:rPr>
              <w:t>成交供应商</w:t>
            </w:r>
            <w:r>
              <w:rPr>
                <w:rFonts w:hint="eastAsia" w:ascii="宋体" w:hAnsi="宋体" w:cs="宋体"/>
                <w:bCs/>
                <w:color w:val="auto"/>
                <w:szCs w:val="21"/>
                <w:highlight w:val="none"/>
              </w:rPr>
              <w:t>追回有关预付款项。二是</w:t>
            </w:r>
            <w:r>
              <w:rPr>
                <w:rFonts w:ascii="宋体" w:hAnsi="宋体" w:cs="宋体"/>
                <w:bCs/>
                <w:color w:val="auto"/>
                <w:szCs w:val="21"/>
                <w:highlight w:val="none"/>
              </w:rPr>
              <w:t>预算划转：所有站点当期未支付的服务费用，将直接列入下一期运营服务预算，用于支付给其他</w:t>
            </w:r>
            <w:r>
              <w:rPr>
                <w:rFonts w:hint="eastAsia" w:ascii="宋体" w:hAnsi="宋体" w:cs="宋体"/>
                <w:bCs/>
                <w:color w:val="auto"/>
                <w:szCs w:val="21"/>
                <w:highlight w:val="none"/>
              </w:rPr>
              <w:t>成交供应商</w:t>
            </w:r>
            <w:r>
              <w:rPr>
                <w:rFonts w:ascii="宋体" w:hAnsi="宋体" w:cs="宋体"/>
                <w:bCs/>
                <w:color w:val="auto"/>
                <w:szCs w:val="21"/>
                <w:highlight w:val="none"/>
              </w:rPr>
              <w:t>。</w:t>
            </w:r>
            <w:r>
              <w:rPr>
                <w:rFonts w:hint="eastAsia" w:ascii="宋体" w:hAnsi="宋体" w:cs="宋体"/>
                <w:bCs/>
                <w:color w:val="auto"/>
                <w:szCs w:val="21"/>
                <w:highlight w:val="none"/>
              </w:rPr>
              <w:t>三是</w:t>
            </w:r>
            <w:r>
              <w:rPr>
                <w:rFonts w:ascii="宋体" w:hAnsi="宋体" w:cs="宋体"/>
                <w:bCs/>
                <w:color w:val="auto"/>
                <w:szCs w:val="21"/>
                <w:highlight w:val="none"/>
              </w:rPr>
              <w:t>资格取消：本期</w:t>
            </w:r>
            <w:r>
              <w:rPr>
                <w:rFonts w:hint="eastAsia" w:ascii="宋体" w:hAnsi="宋体" w:cs="宋体"/>
                <w:bCs/>
                <w:color w:val="auto"/>
                <w:szCs w:val="21"/>
                <w:highlight w:val="none"/>
              </w:rPr>
              <w:t>成交供应商</w:t>
            </w:r>
            <w:r>
              <w:rPr>
                <w:rFonts w:ascii="宋体" w:hAnsi="宋体" w:cs="宋体"/>
                <w:bCs/>
                <w:color w:val="auto"/>
                <w:szCs w:val="21"/>
                <w:highlight w:val="none"/>
              </w:rPr>
              <w:t>将被永久取消承接该站点下一期委托服务的资格</w:t>
            </w:r>
            <w:r>
              <w:rPr>
                <w:rFonts w:ascii="宋体" w:hAnsi="宋体" w:cs="宋体"/>
                <w:bCs/>
                <w:color w:val="auto"/>
                <w:szCs w:val="21"/>
                <w:highlight w:val="none"/>
              </w:rPr>
              <w:t>。</w:t>
            </w:r>
          </w:p>
        </w:tc>
      </w:tr>
      <w:tr w14:paraId="40AB7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gridSpan w:val="3"/>
            <w:tcBorders>
              <w:top w:val="single" w:color="auto" w:sz="4" w:space="0"/>
              <w:left w:val="single" w:color="auto" w:sz="4" w:space="0"/>
              <w:bottom w:val="single" w:color="auto" w:sz="4" w:space="0"/>
              <w:right w:val="single" w:color="auto" w:sz="4" w:space="0"/>
            </w:tcBorders>
            <w:vAlign w:val="center"/>
          </w:tcPr>
          <w:p w14:paraId="4ED56482">
            <w:pPr>
              <w:pStyle w:val="25"/>
              <w:spacing w:line="360" w:lineRule="auto"/>
              <w:jc w:val="center"/>
              <w:outlineLvl w:val="0"/>
              <w:rPr>
                <w:rFonts w:hAnsi="宋体" w:cs="宋体"/>
                <w:b/>
                <w:color w:val="auto"/>
                <w:sz w:val="21"/>
                <w:highlight w:val="none"/>
              </w:rPr>
            </w:pPr>
            <w:r>
              <w:rPr>
                <w:rFonts w:hint="eastAsia" w:hAnsi="宋体" w:cs="宋体"/>
                <w:b/>
                <w:color w:val="auto"/>
                <w:sz w:val="21"/>
                <w:highlight w:val="none"/>
              </w:rPr>
              <w:t>验收标准</w:t>
            </w:r>
            <w:r>
              <w:rPr>
                <w:rFonts w:hint="eastAsia" w:hAnsi="宋体" w:cs="宋体"/>
                <w:b/>
                <w:color w:val="auto"/>
                <w:highlight w:val="none"/>
              </w:rPr>
              <w:t>（</w:t>
            </w:r>
            <w:r>
              <w:rPr>
                <w:rFonts w:hint="eastAsia" w:hAnsi="宋体" w:cs="宋体"/>
                <w:b/>
                <w:color w:val="auto"/>
                <w:sz w:val="21"/>
                <w:highlight w:val="none"/>
              </w:rPr>
              <w:t>质量要求）</w:t>
            </w:r>
          </w:p>
        </w:tc>
        <w:tc>
          <w:tcPr>
            <w:tcW w:w="7363" w:type="dxa"/>
            <w:gridSpan w:val="4"/>
            <w:tcBorders>
              <w:top w:val="single" w:color="auto" w:sz="4" w:space="0"/>
              <w:left w:val="single" w:color="auto" w:sz="4" w:space="0"/>
              <w:bottom w:val="single" w:color="auto" w:sz="4" w:space="0"/>
              <w:right w:val="single" w:color="auto" w:sz="4" w:space="0"/>
            </w:tcBorders>
            <w:vAlign w:val="center"/>
          </w:tcPr>
          <w:p w14:paraId="7E3E493B">
            <w:pPr>
              <w:spacing w:line="360" w:lineRule="auto"/>
              <w:rPr>
                <w:rFonts w:ascii="宋体" w:hAnsi="宋体" w:cs="宋体"/>
                <w:bCs/>
                <w:color w:val="auto"/>
                <w:szCs w:val="21"/>
                <w:highlight w:val="none"/>
              </w:rPr>
            </w:pPr>
            <w:r>
              <w:rPr>
                <w:rFonts w:hint="eastAsia" w:ascii="宋体" w:hAnsi="宋体" w:cs="宋体"/>
                <w:bCs/>
                <w:color w:val="auto"/>
                <w:szCs w:val="21"/>
                <w:highlight w:val="none"/>
              </w:rPr>
              <w:t>由采购人工作专班组成考核小组负责对运营服务工作进行全程监督检查，对成交供应商年内工作完成情况进行考核，其中部分指标为整体完成指标，完成整体任务则整体加分，完成不了则各个站点相应扣分（具体考核标准及评分标准见附件2、附件3）。除本次采购服务费用外，不再另行支付成交供应商任何费用。合同到期后，要求成交供应商确保场点的设施及设备完整完好，并移交给后续运营服务方。</w:t>
            </w:r>
          </w:p>
        </w:tc>
      </w:tr>
      <w:tr w14:paraId="55049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67" w:type="dxa"/>
            <w:gridSpan w:val="7"/>
            <w:tcBorders>
              <w:top w:val="single" w:color="auto" w:sz="4" w:space="0"/>
              <w:left w:val="single" w:color="auto" w:sz="4" w:space="0"/>
              <w:bottom w:val="single" w:color="auto" w:sz="4" w:space="0"/>
              <w:right w:val="single" w:color="auto" w:sz="4" w:space="0"/>
            </w:tcBorders>
            <w:vAlign w:val="center"/>
          </w:tcPr>
          <w:p w14:paraId="13DE6E67">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二、与实现项目目标相关的其他要求</w:t>
            </w:r>
          </w:p>
        </w:tc>
      </w:tr>
      <w:tr w14:paraId="54AB9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7"/>
            <w:tcBorders>
              <w:top w:val="single" w:color="auto" w:sz="4" w:space="0"/>
              <w:left w:val="single" w:color="auto" w:sz="4" w:space="0"/>
              <w:bottom w:val="single" w:color="auto" w:sz="4" w:space="0"/>
              <w:right w:val="single" w:color="auto" w:sz="4" w:space="0"/>
            </w:tcBorders>
            <w:noWrap/>
            <w:vAlign w:val="center"/>
          </w:tcPr>
          <w:p w14:paraId="62AB9A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供应商可根据自身情况编制项目方案，内容可包括但不限于以下内容：</w:t>
            </w:r>
          </w:p>
          <w:p w14:paraId="67D1F78C">
            <w:pPr>
              <w:spacing w:line="360" w:lineRule="auto"/>
              <w:ind w:firstLine="422"/>
              <w:rPr>
                <w:rFonts w:ascii="宋体" w:hAnsi="宋体" w:cs="宋体"/>
                <w:bCs/>
                <w:color w:val="auto"/>
                <w:szCs w:val="21"/>
                <w:highlight w:val="none"/>
              </w:rPr>
            </w:pPr>
            <w:r>
              <w:rPr>
                <w:rFonts w:hint="eastAsia" w:ascii="宋体" w:hAnsi="宋体" w:cs="宋体"/>
                <w:b/>
                <w:color w:val="auto"/>
                <w:szCs w:val="21"/>
                <w:highlight w:val="none"/>
              </w:rPr>
              <w:t>1.本次项目服务内容的要求：</w:t>
            </w:r>
            <w:r>
              <w:rPr>
                <w:rFonts w:hint="eastAsia" w:ascii="宋体" w:hAnsi="宋体" w:cs="宋体"/>
                <w:bCs/>
                <w:color w:val="auto"/>
                <w:szCs w:val="21"/>
                <w:highlight w:val="none"/>
              </w:rPr>
              <w:t>① 服务目标：目标明确，对本项目背景有深入理解；② 组织计划：计划合理可行，工作进度符合实际；③ 服务质量保障措施：保障和服务措施得力，有利于项目的实施，能确保项目按质按量完成；④ 管理措施：有管理制度、工作周期安排等；⑤ 结合项目提出重点、难点分析；⑥ 对本项目提出的建议，可操作性强。</w:t>
            </w:r>
          </w:p>
          <w:p w14:paraId="2E549893">
            <w:pPr>
              <w:spacing w:line="360" w:lineRule="auto"/>
              <w:ind w:firstLine="422"/>
              <w:rPr>
                <w:color w:val="auto"/>
                <w:highlight w:val="none"/>
              </w:rPr>
            </w:pPr>
            <w:r>
              <w:rPr>
                <w:rFonts w:hint="eastAsia" w:ascii="宋体" w:hAnsi="宋体" w:cs="宋体"/>
                <w:b/>
                <w:color w:val="auto"/>
                <w:szCs w:val="21"/>
                <w:highlight w:val="none"/>
              </w:rPr>
              <w:t>2.组织活动进度保障措施</w:t>
            </w:r>
            <w:r>
              <w:rPr>
                <w:rFonts w:hint="eastAsia" w:ascii="宋体" w:hAnsi="宋体" w:cs="宋体"/>
                <w:bCs/>
                <w:color w:val="auto"/>
                <w:szCs w:val="21"/>
                <w:highlight w:val="none"/>
              </w:rPr>
              <w:t>：①服务沟通机制：建立沟通渠道，充分掌握采购人的期望和需求，确保提供服务；②有具体的各进度保障措施；③对求职端体验组织、培训安排；④接到采购人</w:t>
            </w:r>
            <w:r>
              <w:rPr>
                <w:rFonts w:hint="eastAsia"/>
                <w:color w:val="auto"/>
                <w:highlight w:val="none"/>
              </w:rPr>
              <w:t>电话后，能在30分钟内到达采购人办公地点（苍梧县石桥镇务实路人社大楼二楼）。</w:t>
            </w:r>
          </w:p>
          <w:p w14:paraId="24A289EB">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3.安全保障：</w:t>
            </w:r>
            <w:r>
              <w:rPr>
                <w:rFonts w:hint="eastAsia"/>
                <w:color w:val="auto"/>
                <w:highlight w:val="none"/>
              </w:rPr>
              <w:t>①对本项目的安全保障问题有明确的人员安排、有岗位责任，有监督检查；②对项目进行期间可能发生的突发事件有详细的分析；③遇到不同性质的突发事件（包括但不限于天气、用水用电、疾病、盗窃火灾、打架斗殴、人员拥挤疏导等）有切实可行的应对措施。</w:t>
            </w:r>
          </w:p>
        </w:tc>
      </w:tr>
      <w:tr w14:paraId="42DC4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7"/>
            <w:tcBorders>
              <w:top w:val="single" w:color="auto" w:sz="4" w:space="0"/>
              <w:left w:val="single" w:color="auto" w:sz="4" w:space="0"/>
              <w:bottom w:val="single" w:color="auto" w:sz="4" w:space="0"/>
              <w:right w:val="single" w:color="auto" w:sz="4" w:space="0"/>
            </w:tcBorders>
            <w:noWrap/>
            <w:vAlign w:val="center"/>
          </w:tcPr>
          <w:p w14:paraId="2196165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三、核心产品</w:t>
            </w:r>
          </w:p>
        </w:tc>
      </w:tr>
      <w:tr w14:paraId="368CF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7"/>
            <w:tcBorders>
              <w:top w:val="single" w:color="auto" w:sz="4" w:space="0"/>
              <w:left w:val="single" w:color="auto" w:sz="4" w:space="0"/>
              <w:bottom w:val="single" w:color="auto" w:sz="4" w:space="0"/>
              <w:right w:val="single" w:color="auto" w:sz="4" w:space="0"/>
            </w:tcBorders>
            <w:noWrap/>
            <w:vAlign w:val="center"/>
          </w:tcPr>
          <w:p w14:paraId="39236320">
            <w:pPr>
              <w:spacing w:line="360" w:lineRule="auto"/>
              <w:rPr>
                <w:rFonts w:ascii="宋体" w:hAnsi="宋体" w:cs="宋体"/>
                <w:color w:val="auto"/>
                <w:highlight w:val="none"/>
              </w:rPr>
            </w:pPr>
            <w:r>
              <w:rPr>
                <w:rFonts w:hint="eastAsia" w:ascii="宋体" w:hAnsi="宋体" w:cs="宋体"/>
                <w:color w:val="auto"/>
                <w:highlight w:val="none"/>
              </w:rPr>
              <w:t>本项目为服务项目，无核心产品。</w:t>
            </w:r>
          </w:p>
        </w:tc>
      </w:tr>
    </w:tbl>
    <w:p w14:paraId="46C191DB">
      <w:pPr>
        <w:rPr>
          <w:rFonts w:ascii="仿宋_GB2312" w:hAnsi="仿宋_GB2312" w:eastAsia="仿宋_GB2312" w:cs="仿宋_GB2312"/>
          <w:b/>
          <w:bCs/>
          <w:color w:val="auto"/>
          <w:spacing w:val="-15"/>
          <w:sz w:val="30"/>
          <w:szCs w:val="30"/>
          <w:highlight w:val="none"/>
        </w:rPr>
      </w:pPr>
      <w:r>
        <w:rPr>
          <w:rFonts w:hint="eastAsia" w:ascii="宋体" w:hAnsi="宋体" w:cs="宋体"/>
          <w:color w:val="auto"/>
          <w:sz w:val="28"/>
          <w:szCs w:val="28"/>
          <w:highlight w:val="none"/>
        </w:rPr>
        <w:br w:type="page" w:clear="all"/>
      </w:r>
    </w:p>
    <w:p w14:paraId="3E6C63DC">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附件1</w:t>
      </w:r>
    </w:p>
    <w:p w14:paraId="422C3A04">
      <w:pPr>
        <w:pStyle w:val="8"/>
        <w:rPr>
          <w:color w:val="auto"/>
          <w:highlight w:val="none"/>
        </w:rPr>
      </w:pPr>
    </w:p>
    <w:p w14:paraId="7784E4DE">
      <w:pPr>
        <w:jc w:val="center"/>
        <w:rPr>
          <w:rFonts w:ascii="仿宋_GB2312" w:hAnsi="仿宋_GB2312" w:eastAsia="仿宋_GB2312" w:cs="仿宋_GB2312"/>
          <w:color w:val="auto"/>
          <w:highlight w:val="none"/>
        </w:rPr>
      </w:pPr>
      <w:r>
        <w:rPr>
          <w:rFonts w:hint="eastAsia" w:ascii="宋体" w:hAnsi="宋体" w:cs="宋体"/>
          <w:b/>
          <w:bCs/>
          <w:color w:val="auto"/>
          <w:sz w:val="32"/>
          <w:szCs w:val="32"/>
          <w:highlight w:val="none"/>
        </w:rPr>
        <w:t xml:space="preserve"> 苍梧县就业服务站和零工市场运营服务地点</w:t>
      </w:r>
    </w:p>
    <w:tbl>
      <w:tblPr>
        <w:tblStyle w:val="46"/>
        <w:tblpPr w:leftFromText="180" w:rightFromText="180" w:vertAnchor="text" w:horzAnchor="page" w:tblpX="1298" w:tblpY="729"/>
        <w:tblOverlap w:val="never"/>
        <w:tblW w:w="9778" w:type="dxa"/>
        <w:tblInd w:w="0" w:type="dxa"/>
        <w:tblLayout w:type="fixed"/>
        <w:tblCellMar>
          <w:top w:w="0" w:type="dxa"/>
          <w:left w:w="108" w:type="dxa"/>
          <w:bottom w:w="0" w:type="dxa"/>
          <w:right w:w="108" w:type="dxa"/>
        </w:tblCellMar>
      </w:tblPr>
      <w:tblGrid>
        <w:gridCol w:w="876"/>
        <w:gridCol w:w="1563"/>
        <w:gridCol w:w="7339"/>
      </w:tblGrid>
      <w:tr w14:paraId="581859F9">
        <w:tblPrEx>
          <w:tblCellMar>
            <w:top w:w="0" w:type="dxa"/>
            <w:left w:w="108" w:type="dxa"/>
            <w:bottom w:w="0" w:type="dxa"/>
            <w:right w:w="108" w:type="dxa"/>
          </w:tblCellMar>
        </w:tblPrEx>
        <w:trPr>
          <w:trHeight w:val="683" w:hRule="atLeast"/>
        </w:trPr>
        <w:tc>
          <w:tcPr>
            <w:tcW w:w="876" w:type="dxa"/>
            <w:tcBorders>
              <w:top w:val="single" w:color="000000" w:sz="4" w:space="0"/>
              <w:left w:val="single" w:color="000000" w:sz="4" w:space="0"/>
              <w:bottom w:val="single" w:color="000000" w:sz="4" w:space="0"/>
              <w:right w:val="single" w:color="000000" w:sz="4" w:space="0"/>
            </w:tcBorders>
            <w:vAlign w:val="center"/>
          </w:tcPr>
          <w:p w14:paraId="0388F19D">
            <w:pPr>
              <w:widowControl/>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序号</w:t>
            </w:r>
          </w:p>
        </w:tc>
        <w:tc>
          <w:tcPr>
            <w:tcW w:w="1563" w:type="dxa"/>
            <w:tcBorders>
              <w:top w:val="single" w:color="000000" w:sz="4" w:space="0"/>
              <w:left w:val="single" w:color="000000" w:sz="4" w:space="0"/>
              <w:bottom w:val="single" w:color="000000" w:sz="4" w:space="0"/>
              <w:right w:val="single" w:color="auto" w:sz="4" w:space="0"/>
            </w:tcBorders>
            <w:vAlign w:val="center"/>
          </w:tcPr>
          <w:p w14:paraId="6F178255">
            <w:pPr>
              <w:widowControl/>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名称</w:t>
            </w:r>
          </w:p>
        </w:tc>
        <w:tc>
          <w:tcPr>
            <w:tcW w:w="7339" w:type="dxa"/>
            <w:tcBorders>
              <w:top w:val="single" w:color="auto" w:sz="4" w:space="0"/>
              <w:left w:val="single" w:color="auto" w:sz="4" w:space="0"/>
              <w:bottom w:val="nil"/>
              <w:right w:val="single" w:color="auto" w:sz="4" w:space="0"/>
            </w:tcBorders>
            <w:vAlign w:val="center"/>
          </w:tcPr>
          <w:p w14:paraId="7184C679">
            <w:pPr>
              <w:widowControl/>
              <w:jc w:val="center"/>
              <w:rPr>
                <w:rFonts w:ascii="宋体" w:hAnsi="宋体" w:cs="宋体"/>
                <w:color w:val="auto"/>
                <w:sz w:val="28"/>
                <w:szCs w:val="28"/>
                <w:highlight w:val="none"/>
              </w:rPr>
            </w:pPr>
            <w:r>
              <w:rPr>
                <w:rFonts w:hint="eastAsia" w:ascii="宋体" w:hAnsi="宋体" w:cs="宋体"/>
                <w:color w:val="auto"/>
                <w:sz w:val="28"/>
                <w:szCs w:val="28"/>
                <w:highlight w:val="none"/>
              </w:rPr>
              <w:t>站点名称</w:t>
            </w:r>
          </w:p>
        </w:tc>
      </w:tr>
      <w:tr w14:paraId="69CD3CAB">
        <w:tblPrEx>
          <w:tblCellMar>
            <w:top w:w="0" w:type="dxa"/>
            <w:left w:w="108" w:type="dxa"/>
            <w:bottom w:w="0" w:type="dxa"/>
            <w:right w:w="108" w:type="dxa"/>
          </w:tblCellMar>
        </w:tblPrEx>
        <w:trPr>
          <w:trHeight w:val="3718"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A5F4">
            <w:pPr>
              <w:widowControl/>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1</w:t>
            </w:r>
          </w:p>
        </w:tc>
        <w:tc>
          <w:tcPr>
            <w:tcW w:w="1563" w:type="dxa"/>
            <w:tcBorders>
              <w:top w:val="single" w:color="000000" w:sz="4" w:space="0"/>
              <w:left w:val="single" w:color="000000" w:sz="4" w:space="0"/>
              <w:bottom w:val="single" w:color="000000" w:sz="4" w:space="0"/>
              <w:right w:val="single" w:color="auto" w:sz="4" w:space="0"/>
            </w:tcBorders>
            <w:shd w:val="clear" w:color="auto" w:fill="auto"/>
            <w:vAlign w:val="center"/>
          </w:tcPr>
          <w:p w14:paraId="46A07F82">
            <w:pPr>
              <w:widowControl/>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7个镇级就业服务站</w:t>
            </w:r>
          </w:p>
        </w:tc>
        <w:tc>
          <w:tcPr>
            <w:tcW w:w="7339" w:type="dxa"/>
            <w:tcBorders>
              <w:top w:val="single" w:color="000000" w:sz="4" w:space="0"/>
              <w:left w:val="single" w:color="auto" w:sz="4" w:space="0"/>
              <w:bottom w:val="single" w:color="auto" w:sz="4" w:space="0"/>
              <w:right w:val="single" w:color="auto" w:sz="4" w:space="0"/>
            </w:tcBorders>
            <w:shd w:val="clear" w:color="auto" w:fill="auto"/>
            <w:vAlign w:val="center"/>
          </w:tcPr>
          <w:p w14:paraId="02697C4A">
            <w:pPr>
              <w:widowControl/>
              <w:jc w:val="left"/>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苍梧县石桥镇就业服务站（</w:t>
            </w:r>
            <w:bookmarkStart w:id="89" w:name="OLE_LINK6"/>
            <w:r>
              <w:rPr>
                <w:rFonts w:hint="eastAsia" w:ascii="宋体" w:hAnsi="宋体" w:cs="宋体"/>
                <w:color w:val="auto"/>
                <w:sz w:val="28"/>
                <w:szCs w:val="28"/>
                <w:highlight w:val="none"/>
                <w:lang w:bidi="ar"/>
              </w:rPr>
              <w:t>该镇设有</w:t>
            </w:r>
            <w:bookmarkEnd w:id="89"/>
            <w:r>
              <w:rPr>
                <w:rFonts w:hint="eastAsia" w:ascii="宋体" w:hAnsi="宋体" w:cs="宋体"/>
                <w:color w:val="auto"/>
                <w:sz w:val="28"/>
                <w:szCs w:val="28"/>
                <w:highlight w:val="none"/>
                <w:lang w:bidi="ar"/>
              </w:rPr>
              <w:t>石桥镇学田村就业服务站、石桥镇奇冲村就业服务站）</w:t>
            </w:r>
          </w:p>
          <w:p w14:paraId="6BD32870">
            <w:pPr>
              <w:widowControl/>
              <w:jc w:val="left"/>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苍梧县京南镇就业服务站（</w:t>
            </w:r>
            <w:r>
              <w:rPr>
                <w:rFonts w:hint="eastAsia" w:ascii="宋体" w:hAnsi="宋体" w:cs="宋体"/>
                <w:color w:val="auto"/>
                <w:sz w:val="28"/>
                <w:szCs w:val="28"/>
                <w:highlight w:val="none"/>
                <w:lang w:bidi="ar"/>
              </w:rPr>
              <w:t>该镇设有</w:t>
            </w:r>
            <w:r>
              <w:rPr>
                <w:rFonts w:hint="eastAsia" w:ascii="宋体" w:hAnsi="宋体" w:cs="宋体"/>
                <w:color w:val="auto"/>
                <w:sz w:val="28"/>
                <w:szCs w:val="28"/>
                <w:highlight w:val="none"/>
                <w:lang w:bidi="ar"/>
              </w:rPr>
              <w:t>京南镇长发社区就业服务站、京南镇合水村就业服务站）</w:t>
            </w:r>
          </w:p>
          <w:p w14:paraId="33E1A2A2">
            <w:pPr>
              <w:widowControl/>
              <w:jc w:val="left"/>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苍梧县狮寨镇就业服务站（该镇设有狮寨镇古东村就业服务站）</w:t>
            </w:r>
          </w:p>
          <w:p w14:paraId="12A8950A">
            <w:pPr>
              <w:widowControl/>
              <w:jc w:val="left"/>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苍梧县六堡茶产业园区就业服务站</w:t>
            </w:r>
          </w:p>
          <w:p w14:paraId="673B7928">
            <w:pPr>
              <w:widowControl/>
              <w:jc w:val="left"/>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苍梧县梨埠镇就业服务站（该镇设有梨埠镇凤仪村就业服务站）</w:t>
            </w:r>
          </w:p>
          <w:p w14:paraId="0663B2E4">
            <w:pPr>
              <w:widowControl/>
              <w:jc w:val="left"/>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苍梧县沙头镇就业服务站（该镇设有沙头镇横江村就业服务站）</w:t>
            </w:r>
          </w:p>
          <w:p w14:paraId="5F4CE03B">
            <w:pPr>
              <w:widowControl/>
              <w:jc w:val="left"/>
              <w:rPr>
                <w:rFonts w:ascii="宋体" w:hAnsi="宋体" w:cs="宋体"/>
                <w:color w:val="auto"/>
                <w:sz w:val="28"/>
                <w:szCs w:val="28"/>
                <w:highlight w:val="none"/>
              </w:rPr>
            </w:pPr>
            <w:r>
              <w:rPr>
                <w:rFonts w:hint="eastAsia" w:ascii="宋体" w:hAnsi="宋体" w:cs="宋体"/>
                <w:color w:val="auto"/>
                <w:sz w:val="28"/>
                <w:szCs w:val="28"/>
                <w:highlight w:val="none"/>
                <w:lang w:bidi="ar"/>
              </w:rPr>
              <w:t>苍梧县旺甫镇就业服务站（该镇设有旺甫镇龙洞村就业服务站）</w:t>
            </w:r>
          </w:p>
        </w:tc>
      </w:tr>
      <w:tr w14:paraId="235ED092">
        <w:tblPrEx>
          <w:tblCellMar>
            <w:top w:w="0" w:type="dxa"/>
            <w:left w:w="108" w:type="dxa"/>
            <w:bottom w:w="0" w:type="dxa"/>
            <w:right w:w="108" w:type="dxa"/>
          </w:tblCellMar>
        </w:tblPrEx>
        <w:trPr>
          <w:trHeight w:val="1544"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71C6E">
            <w:pPr>
              <w:widowControl/>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2</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D740">
            <w:pPr>
              <w:widowControl/>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3个零工市场</w:t>
            </w:r>
          </w:p>
        </w:tc>
        <w:tc>
          <w:tcPr>
            <w:tcW w:w="7339" w:type="dxa"/>
            <w:tcBorders>
              <w:top w:val="single" w:color="auto" w:sz="4" w:space="0"/>
              <w:left w:val="single" w:color="000000" w:sz="4" w:space="0"/>
              <w:bottom w:val="single" w:color="000000" w:sz="4" w:space="0"/>
              <w:right w:val="single" w:color="000000" w:sz="4" w:space="0"/>
            </w:tcBorders>
            <w:shd w:val="clear" w:color="auto" w:fill="auto"/>
            <w:vAlign w:val="center"/>
          </w:tcPr>
          <w:p w14:paraId="0F0F517E">
            <w:pPr>
              <w:widowControl/>
              <w:jc w:val="left"/>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苍梧县零工市场（苍梧县人力资源市场）</w:t>
            </w:r>
          </w:p>
          <w:p w14:paraId="02A78E9F">
            <w:pPr>
              <w:widowControl/>
              <w:jc w:val="left"/>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苍梧县岭脚镇零工市场（该镇设有岭脚镇人和社区就业服务站）</w:t>
            </w:r>
          </w:p>
          <w:p w14:paraId="77ABAD15">
            <w:pPr>
              <w:widowControl/>
              <w:jc w:val="left"/>
              <w:rPr>
                <w:rFonts w:ascii="宋体" w:hAnsi="宋体" w:cs="宋体"/>
                <w:color w:val="auto"/>
                <w:sz w:val="28"/>
                <w:szCs w:val="28"/>
                <w:highlight w:val="none"/>
              </w:rPr>
            </w:pPr>
            <w:r>
              <w:rPr>
                <w:rFonts w:hint="eastAsia" w:ascii="宋体" w:hAnsi="宋体" w:cs="宋体"/>
                <w:color w:val="auto"/>
                <w:sz w:val="28"/>
                <w:szCs w:val="28"/>
                <w:highlight w:val="none"/>
                <w:lang w:bidi="ar"/>
              </w:rPr>
              <w:t>苍梧县木双镇零工市场</w:t>
            </w:r>
          </w:p>
        </w:tc>
      </w:tr>
    </w:tbl>
    <w:p w14:paraId="7502EE94">
      <w:pP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附件2</w:t>
      </w:r>
    </w:p>
    <w:tbl>
      <w:tblPr>
        <w:tblStyle w:val="46"/>
        <w:tblW w:w="973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34"/>
        <w:gridCol w:w="450"/>
        <w:gridCol w:w="2572"/>
        <w:gridCol w:w="700"/>
        <w:gridCol w:w="2944"/>
        <w:gridCol w:w="1786"/>
      </w:tblGrid>
      <w:tr w14:paraId="03A4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737" w:type="dxa"/>
            <w:gridSpan w:val="7"/>
            <w:shd w:val="clear" w:color="auto" w:fill="auto"/>
            <w:vAlign w:val="center"/>
          </w:tcPr>
          <w:p w14:paraId="7DB2D3AF">
            <w:pPr>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bidi="ar"/>
              </w:rPr>
              <w:t>7个</w:t>
            </w:r>
            <w:r>
              <w:rPr>
                <w:rFonts w:hint="eastAsia" w:ascii="方正小标宋简体" w:hAnsi="方正小标宋简体" w:eastAsia="方正小标宋简体" w:cs="方正小标宋简体"/>
                <w:color w:val="auto"/>
                <w:sz w:val="44"/>
                <w:szCs w:val="44"/>
                <w:highlight w:val="none"/>
                <w:lang w:bidi="ar"/>
              </w:rPr>
              <w:t>镇级</w:t>
            </w:r>
            <w:r>
              <w:rPr>
                <w:rFonts w:hint="eastAsia" w:ascii="方正小标宋简体" w:hAnsi="方正小标宋简体" w:eastAsia="方正小标宋简体" w:cs="方正小标宋简体"/>
                <w:color w:val="auto"/>
                <w:sz w:val="44"/>
                <w:szCs w:val="44"/>
                <w:highlight w:val="none"/>
                <w:lang w:bidi="ar"/>
              </w:rPr>
              <w:t>就业服务站运营服务考核内容</w:t>
            </w:r>
          </w:p>
        </w:tc>
      </w:tr>
      <w:tr w14:paraId="503F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51" w:type="dxa"/>
            <w:shd w:val="clear" w:color="auto" w:fill="auto"/>
            <w:vAlign w:val="center"/>
          </w:tcPr>
          <w:p w14:paraId="6BE8249A">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类别</w:t>
            </w:r>
          </w:p>
        </w:tc>
        <w:tc>
          <w:tcPr>
            <w:tcW w:w="534" w:type="dxa"/>
            <w:shd w:val="clear" w:color="auto" w:fill="auto"/>
            <w:vAlign w:val="center"/>
          </w:tcPr>
          <w:p w14:paraId="5F419ADD">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考核项目</w:t>
            </w:r>
          </w:p>
        </w:tc>
        <w:tc>
          <w:tcPr>
            <w:tcW w:w="3022" w:type="dxa"/>
            <w:gridSpan w:val="2"/>
            <w:shd w:val="clear" w:color="auto" w:fill="auto"/>
            <w:vAlign w:val="center"/>
          </w:tcPr>
          <w:p w14:paraId="077679AE">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考核内容</w:t>
            </w:r>
          </w:p>
        </w:tc>
        <w:tc>
          <w:tcPr>
            <w:tcW w:w="700" w:type="dxa"/>
            <w:shd w:val="clear" w:color="auto" w:fill="auto"/>
            <w:vAlign w:val="center"/>
          </w:tcPr>
          <w:p w14:paraId="78AB0CF6">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分值</w:t>
            </w:r>
          </w:p>
        </w:tc>
        <w:tc>
          <w:tcPr>
            <w:tcW w:w="2944" w:type="dxa"/>
            <w:shd w:val="clear" w:color="auto" w:fill="auto"/>
            <w:vAlign w:val="center"/>
          </w:tcPr>
          <w:p w14:paraId="61949D9B">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评分标准</w:t>
            </w:r>
          </w:p>
        </w:tc>
        <w:tc>
          <w:tcPr>
            <w:tcW w:w="1786" w:type="dxa"/>
            <w:shd w:val="clear" w:color="auto" w:fill="auto"/>
            <w:vAlign w:val="center"/>
          </w:tcPr>
          <w:p w14:paraId="32B4A152">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考核方式</w:t>
            </w:r>
          </w:p>
        </w:tc>
      </w:tr>
      <w:tr w14:paraId="575E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751" w:type="dxa"/>
            <w:vMerge w:val="restart"/>
            <w:shd w:val="clear" w:color="auto" w:fill="auto"/>
            <w:vAlign w:val="center"/>
          </w:tcPr>
          <w:p w14:paraId="52514F71">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（一）服务保障和站点管理</w:t>
            </w:r>
          </w:p>
        </w:tc>
        <w:tc>
          <w:tcPr>
            <w:tcW w:w="534" w:type="dxa"/>
            <w:shd w:val="clear" w:color="auto" w:fill="auto"/>
            <w:vAlign w:val="center"/>
          </w:tcPr>
          <w:p w14:paraId="55D4C294">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服务场所</w:t>
            </w:r>
          </w:p>
        </w:tc>
        <w:tc>
          <w:tcPr>
            <w:tcW w:w="450" w:type="dxa"/>
            <w:shd w:val="clear" w:color="auto" w:fill="auto"/>
            <w:vAlign w:val="center"/>
          </w:tcPr>
          <w:p w14:paraId="364C720C">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w:t>
            </w:r>
          </w:p>
        </w:tc>
        <w:tc>
          <w:tcPr>
            <w:tcW w:w="2572" w:type="dxa"/>
            <w:shd w:val="clear" w:color="auto" w:fill="auto"/>
            <w:vAlign w:val="center"/>
          </w:tcPr>
          <w:p w14:paraId="5FFB328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在指定场所运营镇级就业服务站，设置有统一标识，设置服务前台、交流洽谈区、信息发布区、便民服务区、自助服务区、视频直播区等基本功能区域，按业务可进行区域合并。</w:t>
            </w:r>
          </w:p>
        </w:tc>
        <w:tc>
          <w:tcPr>
            <w:tcW w:w="700" w:type="dxa"/>
            <w:shd w:val="clear" w:color="auto" w:fill="auto"/>
            <w:vAlign w:val="center"/>
          </w:tcPr>
          <w:p w14:paraId="74E7213C">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2944" w:type="dxa"/>
            <w:shd w:val="clear" w:color="auto" w:fill="auto"/>
            <w:vAlign w:val="center"/>
          </w:tcPr>
          <w:p w14:paraId="58FD433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1.不在指定场所开展运营服务，扣4分；                          2.在指定场所运营，基本功能区域每发现少1项或设置不合理的，扣1分；                                                 本项最高扣4分。</w:t>
            </w:r>
          </w:p>
        </w:tc>
        <w:tc>
          <w:tcPr>
            <w:tcW w:w="1786" w:type="dxa"/>
            <w:shd w:val="clear" w:color="auto" w:fill="auto"/>
            <w:vAlign w:val="center"/>
          </w:tcPr>
          <w:p w14:paraId="6107643A">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单独评分。通过实地或查看监控摄像或即时录制现场小视频等方式考核。</w:t>
            </w:r>
          </w:p>
        </w:tc>
      </w:tr>
      <w:tr w14:paraId="585C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0" w:hRule="atLeast"/>
        </w:trPr>
        <w:tc>
          <w:tcPr>
            <w:tcW w:w="751" w:type="dxa"/>
            <w:vMerge w:val="continue"/>
            <w:shd w:val="clear" w:color="auto" w:fill="auto"/>
            <w:vAlign w:val="center"/>
          </w:tcPr>
          <w:p w14:paraId="0773B180">
            <w:pPr>
              <w:jc w:val="left"/>
              <w:rPr>
                <w:rFonts w:ascii="宋体" w:hAnsi="宋体" w:cs="宋体"/>
                <w:b/>
                <w:bCs/>
                <w:color w:val="auto"/>
                <w:sz w:val="22"/>
                <w:szCs w:val="22"/>
                <w:highlight w:val="none"/>
              </w:rPr>
            </w:pPr>
          </w:p>
        </w:tc>
        <w:tc>
          <w:tcPr>
            <w:tcW w:w="534" w:type="dxa"/>
            <w:shd w:val="clear" w:color="auto" w:fill="auto"/>
            <w:vAlign w:val="center"/>
          </w:tcPr>
          <w:p w14:paraId="2D6893FC">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服务标识</w:t>
            </w:r>
          </w:p>
        </w:tc>
        <w:tc>
          <w:tcPr>
            <w:tcW w:w="450" w:type="dxa"/>
            <w:shd w:val="clear" w:color="auto" w:fill="auto"/>
            <w:vAlign w:val="center"/>
          </w:tcPr>
          <w:p w14:paraId="6F2F83D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572" w:type="dxa"/>
            <w:shd w:val="clear" w:color="auto" w:fill="auto"/>
            <w:vAlign w:val="center"/>
          </w:tcPr>
          <w:p w14:paraId="0731060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统一命名规则、统一视觉识别、统一服务清单、统一服务规范。</w:t>
            </w:r>
          </w:p>
        </w:tc>
        <w:tc>
          <w:tcPr>
            <w:tcW w:w="700" w:type="dxa"/>
            <w:shd w:val="clear" w:color="auto" w:fill="auto"/>
            <w:vAlign w:val="center"/>
          </w:tcPr>
          <w:p w14:paraId="046BB4D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2944" w:type="dxa"/>
            <w:shd w:val="clear" w:color="auto" w:fill="auto"/>
          </w:tcPr>
          <w:p w14:paraId="0DFBE95C">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1.每发现1次标识标牌、徽标图案等损坏且不及时维修更换的，扣0.5分；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2.每发现1次命名规则、站点简介、服务事项清单、服务标语、服务指引、服务时间、服务团队、管理服务规范等不符合要求或未及时更新内容的，扣0.5分；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3.每发现1次工作人员未统一着装或未配挂工牌的，扣0.1分。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本项合计最高扣3分。</w:t>
            </w:r>
          </w:p>
        </w:tc>
        <w:tc>
          <w:tcPr>
            <w:tcW w:w="1786" w:type="dxa"/>
            <w:shd w:val="clear" w:color="auto" w:fill="auto"/>
            <w:vAlign w:val="center"/>
          </w:tcPr>
          <w:p w14:paraId="350D01B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单独评分。通过实地或查看监控摄像或即时录制现场小视频等方式考核。</w:t>
            </w:r>
          </w:p>
        </w:tc>
      </w:tr>
      <w:tr w14:paraId="1911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751" w:type="dxa"/>
            <w:vMerge w:val="continue"/>
            <w:shd w:val="clear" w:color="auto" w:fill="auto"/>
            <w:vAlign w:val="center"/>
          </w:tcPr>
          <w:p w14:paraId="123F3524">
            <w:pPr>
              <w:jc w:val="left"/>
              <w:rPr>
                <w:rFonts w:ascii="宋体" w:hAnsi="宋体" w:cs="宋体"/>
                <w:b/>
                <w:bCs/>
                <w:color w:val="auto"/>
                <w:sz w:val="22"/>
                <w:szCs w:val="22"/>
                <w:highlight w:val="none"/>
              </w:rPr>
            </w:pPr>
          </w:p>
        </w:tc>
        <w:tc>
          <w:tcPr>
            <w:tcW w:w="534" w:type="dxa"/>
            <w:shd w:val="clear" w:color="auto" w:fill="auto"/>
            <w:vAlign w:val="center"/>
          </w:tcPr>
          <w:p w14:paraId="2FF2678C">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服务设施</w:t>
            </w:r>
          </w:p>
        </w:tc>
        <w:tc>
          <w:tcPr>
            <w:tcW w:w="450" w:type="dxa"/>
            <w:shd w:val="clear" w:color="auto" w:fill="auto"/>
            <w:vAlign w:val="center"/>
          </w:tcPr>
          <w:p w14:paraId="0E42364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2572" w:type="dxa"/>
            <w:shd w:val="clear" w:color="auto" w:fill="auto"/>
            <w:vAlign w:val="center"/>
          </w:tcPr>
          <w:p w14:paraId="0B8B422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就业服务站功能设备齐全，配备必要的电脑、办公桌、LED屏（发布信息）、休息座椅、饮水设备、空调、通风系统、充电插座等办公和便民服务设施设备。</w:t>
            </w:r>
          </w:p>
        </w:tc>
        <w:tc>
          <w:tcPr>
            <w:tcW w:w="700" w:type="dxa"/>
            <w:shd w:val="clear" w:color="auto" w:fill="auto"/>
            <w:vAlign w:val="center"/>
          </w:tcPr>
          <w:p w14:paraId="2B0BDED5">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2944" w:type="dxa"/>
            <w:shd w:val="clear" w:color="auto" w:fill="auto"/>
            <w:vAlign w:val="center"/>
          </w:tcPr>
          <w:p w14:paraId="1BEC6691">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1.对照规范配备标准，每发现1项配备不达标，扣1分；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2.每发现1次服务设备设施不能正常运行的，扣0.5分；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本项合计最高扣4分。</w:t>
            </w:r>
          </w:p>
        </w:tc>
        <w:tc>
          <w:tcPr>
            <w:tcW w:w="1786" w:type="dxa"/>
            <w:shd w:val="clear" w:color="auto" w:fill="auto"/>
            <w:vAlign w:val="center"/>
          </w:tcPr>
          <w:p w14:paraId="5A285151">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单独评分。通过实地或查看监控摄像或即时录制现场小视频等方式考核。</w:t>
            </w:r>
          </w:p>
        </w:tc>
      </w:tr>
      <w:tr w14:paraId="5A6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1" w:type="dxa"/>
            <w:vMerge w:val="continue"/>
            <w:shd w:val="clear" w:color="auto" w:fill="auto"/>
            <w:vAlign w:val="center"/>
          </w:tcPr>
          <w:p w14:paraId="407AB995">
            <w:pPr>
              <w:jc w:val="left"/>
              <w:rPr>
                <w:rFonts w:ascii="宋体" w:hAnsi="宋体" w:cs="宋体"/>
                <w:b/>
                <w:bCs/>
                <w:color w:val="auto"/>
                <w:sz w:val="22"/>
                <w:szCs w:val="22"/>
                <w:highlight w:val="none"/>
              </w:rPr>
            </w:pPr>
          </w:p>
        </w:tc>
        <w:tc>
          <w:tcPr>
            <w:tcW w:w="534" w:type="dxa"/>
            <w:shd w:val="clear" w:color="auto" w:fill="auto"/>
            <w:vAlign w:val="center"/>
          </w:tcPr>
          <w:p w14:paraId="081C0D44">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服务队伍</w:t>
            </w:r>
          </w:p>
        </w:tc>
        <w:tc>
          <w:tcPr>
            <w:tcW w:w="450" w:type="dxa"/>
            <w:shd w:val="clear" w:color="auto" w:fill="auto"/>
            <w:vAlign w:val="center"/>
          </w:tcPr>
          <w:p w14:paraId="18EDFE05">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2572" w:type="dxa"/>
            <w:shd w:val="clear" w:color="auto" w:fill="auto"/>
            <w:vAlign w:val="center"/>
          </w:tcPr>
          <w:p w14:paraId="4E48E34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至少配备2名人员（至少安排1名专职人员按要求驻守站点）优先聘请有相关工作经验人员，组织开展岗前培训、业务培训，能独立完成各项业务办理。能够熟悉office办公软件，熟悉处理数据。</w:t>
            </w:r>
          </w:p>
        </w:tc>
        <w:tc>
          <w:tcPr>
            <w:tcW w:w="700" w:type="dxa"/>
            <w:shd w:val="clear" w:color="auto" w:fill="auto"/>
            <w:vAlign w:val="center"/>
          </w:tcPr>
          <w:p w14:paraId="5AB6464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5</w:t>
            </w:r>
          </w:p>
        </w:tc>
        <w:tc>
          <w:tcPr>
            <w:tcW w:w="2944" w:type="dxa"/>
            <w:shd w:val="clear" w:color="auto" w:fill="auto"/>
            <w:vAlign w:val="center"/>
          </w:tcPr>
          <w:p w14:paraId="615741EE">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每少1人扣2.5分。                       本项合计最高扣5分。</w:t>
            </w:r>
          </w:p>
        </w:tc>
        <w:tc>
          <w:tcPr>
            <w:tcW w:w="1786" w:type="dxa"/>
            <w:shd w:val="clear" w:color="auto" w:fill="auto"/>
            <w:vAlign w:val="center"/>
          </w:tcPr>
          <w:p w14:paraId="6060FD6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单独评分。通过实地或查看监控摄像或即时录制现场小视频等方式考核。</w:t>
            </w:r>
          </w:p>
        </w:tc>
      </w:tr>
      <w:tr w14:paraId="5CF2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751" w:type="dxa"/>
            <w:vMerge w:val="restart"/>
            <w:shd w:val="clear" w:color="auto" w:fill="auto"/>
            <w:vAlign w:val="center"/>
          </w:tcPr>
          <w:p w14:paraId="14B8211D">
            <w:pPr>
              <w:jc w:val="left"/>
              <w:rPr>
                <w:rFonts w:ascii="宋体" w:hAnsi="宋体" w:cs="宋体"/>
                <w:b/>
                <w:bCs/>
                <w:color w:val="auto"/>
                <w:sz w:val="22"/>
                <w:szCs w:val="22"/>
                <w:highlight w:val="none"/>
              </w:rPr>
            </w:pPr>
          </w:p>
        </w:tc>
        <w:tc>
          <w:tcPr>
            <w:tcW w:w="534" w:type="dxa"/>
            <w:shd w:val="clear" w:color="auto" w:fill="auto"/>
            <w:vAlign w:val="center"/>
          </w:tcPr>
          <w:p w14:paraId="511C8792">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服务制度</w:t>
            </w:r>
          </w:p>
        </w:tc>
        <w:tc>
          <w:tcPr>
            <w:tcW w:w="450" w:type="dxa"/>
            <w:shd w:val="clear" w:color="auto" w:fill="auto"/>
            <w:vAlign w:val="center"/>
          </w:tcPr>
          <w:p w14:paraId="65D88C0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5</w:t>
            </w:r>
          </w:p>
        </w:tc>
        <w:tc>
          <w:tcPr>
            <w:tcW w:w="2572" w:type="dxa"/>
            <w:shd w:val="clear" w:color="auto" w:fill="auto"/>
            <w:vAlign w:val="center"/>
          </w:tcPr>
          <w:p w14:paraId="38446D9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建立并落实首问负责制、限时办结制、一次性告知制等工作制度，明确公共服务事项清单，规范服务流程，注重服务态度和服务礼仪，规范使用文明用语，严格遵守工作纪律。</w:t>
            </w:r>
          </w:p>
        </w:tc>
        <w:tc>
          <w:tcPr>
            <w:tcW w:w="700" w:type="dxa"/>
            <w:shd w:val="clear" w:color="auto" w:fill="auto"/>
            <w:vAlign w:val="center"/>
          </w:tcPr>
          <w:p w14:paraId="6AD57DB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198DCA1C">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制定管理服务规范（含首问负责制、限时办结制、一次性告知制等）、安全生产管理、卫生管理、人员管理、设施设备管理、保密管理等制度并遵照执行，每发现1项不符合要求的，扣0.1分。                                 本项合计最高扣2分。</w:t>
            </w:r>
          </w:p>
        </w:tc>
        <w:tc>
          <w:tcPr>
            <w:tcW w:w="1786" w:type="dxa"/>
            <w:shd w:val="clear" w:color="auto" w:fill="auto"/>
            <w:vAlign w:val="center"/>
          </w:tcPr>
          <w:p w14:paraId="45634B0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1E1E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751" w:type="dxa"/>
            <w:vMerge w:val="continue"/>
            <w:shd w:val="clear" w:color="auto" w:fill="auto"/>
            <w:vAlign w:val="center"/>
          </w:tcPr>
          <w:p w14:paraId="63708837">
            <w:pPr>
              <w:jc w:val="left"/>
              <w:rPr>
                <w:rFonts w:ascii="宋体" w:hAnsi="宋体" w:cs="宋体"/>
                <w:b/>
                <w:bCs/>
                <w:color w:val="auto"/>
                <w:sz w:val="22"/>
                <w:szCs w:val="22"/>
                <w:highlight w:val="none"/>
              </w:rPr>
            </w:pPr>
          </w:p>
        </w:tc>
        <w:tc>
          <w:tcPr>
            <w:tcW w:w="534" w:type="dxa"/>
            <w:shd w:val="clear" w:color="auto" w:fill="auto"/>
            <w:vAlign w:val="center"/>
          </w:tcPr>
          <w:p w14:paraId="32A5792D">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服务台账</w:t>
            </w:r>
          </w:p>
        </w:tc>
        <w:tc>
          <w:tcPr>
            <w:tcW w:w="450" w:type="dxa"/>
            <w:shd w:val="clear" w:color="auto" w:fill="auto"/>
            <w:vAlign w:val="center"/>
          </w:tcPr>
          <w:p w14:paraId="3F865097">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6</w:t>
            </w:r>
          </w:p>
        </w:tc>
        <w:tc>
          <w:tcPr>
            <w:tcW w:w="2572" w:type="dxa"/>
            <w:shd w:val="clear" w:color="auto" w:fill="auto"/>
            <w:vAlign w:val="center"/>
          </w:tcPr>
          <w:p w14:paraId="1B78790A">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建立完善服务台账包括但不限于企业用工、求职登记、后续跟踪帮扶、业务开展情况等服务台账。</w:t>
            </w:r>
          </w:p>
        </w:tc>
        <w:tc>
          <w:tcPr>
            <w:tcW w:w="700" w:type="dxa"/>
            <w:shd w:val="clear" w:color="auto" w:fill="auto"/>
            <w:vAlign w:val="center"/>
          </w:tcPr>
          <w:p w14:paraId="3CC27FD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0FBC7C0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信息平台（无信息平台的通过纸质材料）对业务开展过程中产生的求职人员、用人单位的服务台账（包括但不限于咨询、求职、用工、就业服务和活动组织等内容）进行及时、分类归档（关键档案需提供原始纸质或影像材料支撑），每发现1项不符合要求的，扣0.5分。本项合计最高扣2分。</w:t>
            </w:r>
          </w:p>
        </w:tc>
        <w:tc>
          <w:tcPr>
            <w:tcW w:w="1786" w:type="dxa"/>
            <w:shd w:val="clear" w:color="auto" w:fill="auto"/>
            <w:vAlign w:val="center"/>
          </w:tcPr>
          <w:p w14:paraId="6F95BC6F">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1F1A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751" w:type="dxa"/>
            <w:vMerge w:val="restart"/>
            <w:shd w:val="clear" w:color="auto" w:fill="auto"/>
            <w:vAlign w:val="center"/>
          </w:tcPr>
          <w:p w14:paraId="7EB55360">
            <w:pPr>
              <w:widowControl/>
              <w:jc w:val="left"/>
              <w:rPr>
                <w:rFonts w:ascii="宋体" w:hAnsi="宋体" w:cs="宋体"/>
                <w:b/>
                <w:bCs/>
                <w:color w:val="auto"/>
                <w:sz w:val="22"/>
                <w:szCs w:val="22"/>
                <w:highlight w:val="none"/>
              </w:rPr>
            </w:pPr>
            <w:r>
              <w:rPr>
                <w:b/>
                <w:bCs/>
                <w:color w:val="auto"/>
                <w:highlight w:val="none"/>
              </w:rPr>
              <w:t>（二）</w:t>
            </w:r>
            <w:r>
              <w:rPr>
                <w:rFonts w:hint="eastAsia" w:ascii="宋体" w:hAnsi="宋体" w:cs="宋体"/>
                <w:b/>
                <w:bCs/>
                <w:color w:val="auto"/>
                <w:sz w:val="22"/>
                <w:szCs w:val="22"/>
                <w:highlight w:val="none"/>
                <w:lang w:bidi="ar"/>
              </w:rPr>
              <w:t>劳动力信息摸排和岗位归集服务</w:t>
            </w:r>
          </w:p>
        </w:tc>
        <w:tc>
          <w:tcPr>
            <w:tcW w:w="534" w:type="dxa"/>
            <w:shd w:val="clear" w:color="auto" w:fill="auto"/>
            <w:vAlign w:val="center"/>
          </w:tcPr>
          <w:p w14:paraId="586A06D0">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收集用工主体和求职者信息</w:t>
            </w:r>
          </w:p>
        </w:tc>
        <w:tc>
          <w:tcPr>
            <w:tcW w:w="450" w:type="dxa"/>
            <w:shd w:val="clear" w:color="auto" w:fill="auto"/>
            <w:vAlign w:val="center"/>
          </w:tcPr>
          <w:p w14:paraId="15916A30">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7</w:t>
            </w:r>
          </w:p>
        </w:tc>
        <w:tc>
          <w:tcPr>
            <w:tcW w:w="2572" w:type="dxa"/>
            <w:shd w:val="clear" w:color="auto" w:fill="auto"/>
            <w:vAlign w:val="center"/>
          </w:tcPr>
          <w:p w14:paraId="32E07C7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对辖区及周边用工主体开展实地走访，摸排用工主体招聘岗位需求，采集有招聘需求的用工主体及求职者的信息，每周期摸排用工主体按石桥镇站点每周期不少于30家次，旺甫镇站点每周期不少于40家次，其余5个站点每周期不少于15家次计算。7个站点每周期收集求职信息对象共不少于2000人次和采集岗位信息共不少于1500条。</w:t>
            </w:r>
          </w:p>
        </w:tc>
        <w:tc>
          <w:tcPr>
            <w:tcW w:w="700" w:type="dxa"/>
            <w:shd w:val="clear" w:color="auto" w:fill="auto"/>
            <w:vAlign w:val="center"/>
          </w:tcPr>
          <w:p w14:paraId="2057147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6</w:t>
            </w:r>
          </w:p>
        </w:tc>
        <w:tc>
          <w:tcPr>
            <w:tcW w:w="2944" w:type="dxa"/>
            <w:shd w:val="clear" w:color="auto" w:fill="auto"/>
            <w:vAlign w:val="center"/>
          </w:tcPr>
          <w:p w14:paraId="7C239371">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1.各站点每周期服务用工主体没有达到考核内容要求的数量或服务本地用工主体占比少于80%时，扣2分；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2.7个站点每周期共收集求职信息对象少于2000人次的，每少1人扣0.1分；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3.7个站点每周期共采集岗位信息少于1500条，每少1个百分点扣0.1分。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本项合计最高扣6分。</w:t>
            </w:r>
          </w:p>
        </w:tc>
        <w:tc>
          <w:tcPr>
            <w:tcW w:w="1786" w:type="dxa"/>
            <w:shd w:val="clear" w:color="auto" w:fill="auto"/>
            <w:vAlign w:val="center"/>
          </w:tcPr>
          <w:p w14:paraId="79E8C3C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第2项和第3项如有扣分，每个站点都扣相应分。如7个站点共收集求职信息对象少2人，扣0.2分，每个站点都要单独扣0.2分。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查看有关工作台账，根据实际情况评分。</w:t>
            </w:r>
          </w:p>
        </w:tc>
      </w:tr>
      <w:tr w14:paraId="4A09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751" w:type="dxa"/>
            <w:vMerge w:val="continue"/>
            <w:shd w:val="clear" w:color="auto" w:fill="auto"/>
            <w:vAlign w:val="center"/>
          </w:tcPr>
          <w:p w14:paraId="5D8C869B">
            <w:pPr>
              <w:jc w:val="left"/>
              <w:rPr>
                <w:rFonts w:ascii="宋体" w:hAnsi="宋体" w:cs="宋体"/>
                <w:b/>
                <w:bCs/>
                <w:color w:val="auto"/>
                <w:sz w:val="22"/>
                <w:szCs w:val="22"/>
                <w:highlight w:val="none"/>
              </w:rPr>
            </w:pPr>
          </w:p>
        </w:tc>
        <w:tc>
          <w:tcPr>
            <w:tcW w:w="534" w:type="dxa"/>
            <w:shd w:val="clear" w:color="auto" w:fill="auto"/>
            <w:vAlign w:val="center"/>
          </w:tcPr>
          <w:p w14:paraId="4DB9DA8A">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录入及发布岗位</w:t>
            </w:r>
          </w:p>
        </w:tc>
        <w:tc>
          <w:tcPr>
            <w:tcW w:w="450" w:type="dxa"/>
            <w:shd w:val="clear" w:color="auto" w:fill="auto"/>
            <w:vAlign w:val="center"/>
          </w:tcPr>
          <w:p w14:paraId="04ECF4B2">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8</w:t>
            </w:r>
          </w:p>
        </w:tc>
        <w:tc>
          <w:tcPr>
            <w:tcW w:w="2572" w:type="dxa"/>
            <w:shd w:val="clear" w:color="auto" w:fill="auto"/>
            <w:vAlign w:val="center"/>
          </w:tcPr>
          <w:p w14:paraId="1CF736EF">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7个站点每周期共录入广西“数智人社”系统岗位信息不少于1500条，并同步归集至“广西就业”平台“就业服务站”模块，信息及时更新至采购人指定小程序（如有）。发布的岗位招聘信息不得含有就业歧视性内容。</w:t>
            </w:r>
          </w:p>
        </w:tc>
        <w:tc>
          <w:tcPr>
            <w:tcW w:w="700" w:type="dxa"/>
            <w:shd w:val="clear" w:color="auto" w:fill="auto"/>
            <w:vAlign w:val="center"/>
          </w:tcPr>
          <w:p w14:paraId="4655D48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78A6A0FF">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1.7个站点每周期共录入广西“数智人社”系统零工岗位信息少于1500条，每少1条扣0.1分；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2.没有按要求同步归集至“广西就业”平台“就业服务站”模块，信息及时更新至</w:t>
            </w:r>
            <w:r>
              <w:rPr>
                <w:color w:val="auto"/>
                <w:sz w:val="22"/>
                <w:szCs w:val="22"/>
                <w:highlight w:val="none"/>
              </w:rPr>
              <w:t>采购人</w:t>
            </w:r>
            <w:r>
              <w:rPr>
                <w:rFonts w:hint="eastAsia" w:ascii="宋体" w:hAnsi="宋体" w:cs="宋体"/>
                <w:color w:val="auto"/>
                <w:sz w:val="22"/>
                <w:szCs w:val="22"/>
                <w:highlight w:val="none"/>
                <w:lang w:bidi="ar"/>
              </w:rPr>
              <w:t>指定小程序（如有）的，每少100条扣0.1分。                                本项合计最高扣2分。</w:t>
            </w:r>
          </w:p>
        </w:tc>
        <w:tc>
          <w:tcPr>
            <w:tcW w:w="1786" w:type="dxa"/>
            <w:shd w:val="clear" w:color="auto" w:fill="auto"/>
            <w:vAlign w:val="center"/>
          </w:tcPr>
          <w:p w14:paraId="40C57F0E">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第1项和第2项如果有扣分，每个站点都要扣相应分。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查看有关工作台账，根据实际情况评分。</w:t>
            </w:r>
          </w:p>
        </w:tc>
      </w:tr>
      <w:tr w14:paraId="1F54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751" w:type="dxa"/>
            <w:shd w:val="clear" w:color="auto" w:fill="auto"/>
            <w:vAlign w:val="center"/>
          </w:tcPr>
          <w:p w14:paraId="514FEF08">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（三）求职和岗位推荐服务</w:t>
            </w:r>
          </w:p>
        </w:tc>
        <w:tc>
          <w:tcPr>
            <w:tcW w:w="534" w:type="dxa"/>
            <w:shd w:val="clear" w:color="auto" w:fill="auto"/>
            <w:vAlign w:val="center"/>
          </w:tcPr>
          <w:p w14:paraId="524D8C29">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求职登记</w:t>
            </w:r>
          </w:p>
        </w:tc>
        <w:tc>
          <w:tcPr>
            <w:tcW w:w="450" w:type="dxa"/>
            <w:shd w:val="clear" w:color="auto" w:fill="auto"/>
            <w:vAlign w:val="center"/>
          </w:tcPr>
          <w:p w14:paraId="7246148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9</w:t>
            </w:r>
          </w:p>
        </w:tc>
        <w:tc>
          <w:tcPr>
            <w:tcW w:w="2572" w:type="dxa"/>
            <w:shd w:val="clear" w:color="auto" w:fill="auto"/>
            <w:vAlign w:val="center"/>
          </w:tcPr>
          <w:p w14:paraId="0592949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为求职人员登记基本信息、就业需求、培训需求、就业能力等内容。</w:t>
            </w:r>
          </w:p>
        </w:tc>
        <w:tc>
          <w:tcPr>
            <w:tcW w:w="700" w:type="dxa"/>
            <w:shd w:val="clear" w:color="auto" w:fill="auto"/>
            <w:vAlign w:val="center"/>
          </w:tcPr>
          <w:p w14:paraId="1894809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2944" w:type="dxa"/>
            <w:shd w:val="clear" w:color="auto" w:fill="auto"/>
            <w:vAlign w:val="center"/>
          </w:tcPr>
          <w:p w14:paraId="04C495A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1.对前来求职并有登记需求的人员，引导做好求职登记（含零工登记），每发现1人未引导登记的，扣0.5分；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2.对已做求职登记的人员，每发现1人关键信息[姓名、身份证号、联系电话、就业需求（含零工登记）、登记时间]登记不全或信息质量问题的，扣0.5分；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本项合计最高扣3分。</w:t>
            </w:r>
          </w:p>
        </w:tc>
        <w:tc>
          <w:tcPr>
            <w:tcW w:w="1786" w:type="dxa"/>
            <w:shd w:val="clear" w:color="auto" w:fill="auto"/>
            <w:vAlign w:val="center"/>
          </w:tcPr>
          <w:p w14:paraId="3A36900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4C86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0" w:hRule="atLeast"/>
        </w:trPr>
        <w:tc>
          <w:tcPr>
            <w:tcW w:w="751" w:type="dxa"/>
            <w:vMerge w:val="restart"/>
            <w:shd w:val="clear" w:color="auto" w:fill="auto"/>
            <w:vAlign w:val="center"/>
          </w:tcPr>
          <w:p w14:paraId="4EFE2CA2">
            <w:pPr>
              <w:jc w:val="left"/>
              <w:rPr>
                <w:rFonts w:ascii="宋体" w:hAnsi="宋体" w:cs="宋体"/>
                <w:b/>
                <w:bCs/>
                <w:color w:val="auto"/>
                <w:sz w:val="22"/>
                <w:szCs w:val="22"/>
                <w:highlight w:val="none"/>
              </w:rPr>
            </w:pPr>
          </w:p>
        </w:tc>
        <w:tc>
          <w:tcPr>
            <w:tcW w:w="534" w:type="dxa"/>
            <w:shd w:val="clear" w:color="auto" w:fill="auto"/>
            <w:vAlign w:val="center"/>
          </w:tcPr>
          <w:p w14:paraId="6EAF0478">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职业指导及岗位推荐</w:t>
            </w:r>
          </w:p>
        </w:tc>
        <w:tc>
          <w:tcPr>
            <w:tcW w:w="450" w:type="dxa"/>
            <w:shd w:val="clear" w:color="auto" w:fill="auto"/>
            <w:vAlign w:val="center"/>
          </w:tcPr>
          <w:p w14:paraId="0695A8A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10</w:t>
            </w:r>
          </w:p>
        </w:tc>
        <w:tc>
          <w:tcPr>
            <w:tcW w:w="2572" w:type="dxa"/>
            <w:shd w:val="clear" w:color="auto" w:fill="auto"/>
            <w:vAlign w:val="center"/>
          </w:tcPr>
          <w:p w14:paraId="11E4F54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为有灵活就业意愿的求职人员提供“一对一”职业指导，根据其求职意愿和就业能力推荐匹配的就业岗位。7个站点每周期推荐并成功实现就业不少于600人次。</w:t>
            </w:r>
          </w:p>
        </w:tc>
        <w:tc>
          <w:tcPr>
            <w:tcW w:w="700" w:type="dxa"/>
            <w:shd w:val="clear" w:color="auto" w:fill="auto"/>
            <w:vAlign w:val="center"/>
          </w:tcPr>
          <w:p w14:paraId="12AC4722">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10</w:t>
            </w:r>
          </w:p>
        </w:tc>
        <w:tc>
          <w:tcPr>
            <w:tcW w:w="2944" w:type="dxa"/>
            <w:shd w:val="clear" w:color="auto" w:fill="auto"/>
            <w:vAlign w:val="center"/>
          </w:tcPr>
          <w:p w14:paraId="23053209">
            <w:pPr>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1.对前来求职且有求职需求的人员，依据其实际情况，提供有针对性的就业方向及就业预期指导，每发现1名未按要求开展职业指导的，扣0.1分；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对已做求职登记的人员，按照就业意愿每月推荐不少于5个就业岗位（不同用人单位），直至实现就业（或本人表示不再接受岗位推荐），并做好服务记录台账；在同一年度内向同一个求职人员推荐同一用人单位同一岗位不超过3次，</w:t>
            </w:r>
            <w:r>
              <w:rPr>
                <w:color w:val="auto"/>
                <w:highlight w:val="none"/>
              </w:rPr>
              <w:t>每发现1次不符合要求的，扣0.5分</w:t>
            </w:r>
            <w:r>
              <w:rPr>
                <w:rFonts w:hint="eastAsia" w:ascii="宋体" w:hAnsi="宋体" w:cs="宋体"/>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3.7个站点每周期推荐并成功实现就业少于600人次。每少1人，扣0.01分。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本项合计最高扣10分。</w:t>
            </w:r>
          </w:p>
        </w:tc>
        <w:tc>
          <w:tcPr>
            <w:tcW w:w="1786" w:type="dxa"/>
            <w:shd w:val="clear" w:color="auto" w:fill="auto"/>
            <w:vAlign w:val="center"/>
          </w:tcPr>
          <w:p w14:paraId="374FBBF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第3项如果有扣分，每个站点都要扣相应分。查看工作台账、图片、现场核验为准。</w:t>
            </w:r>
          </w:p>
        </w:tc>
      </w:tr>
      <w:tr w14:paraId="79A2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751" w:type="dxa"/>
            <w:vMerge w:val="continue"/>
            <w:shd w:val="clear" w:color="auto" w:fill="auto"/>
            <w:vAlign w:val="center"/>
          </w:tcPr>
          <w:p w14:paraId="7F8F2696">
            <w:pPr>
              <w:jc w:val="left"/>
              <w:rPr>
                <w:rFonts w:ascii="宋体" w:hAnsi="宋体" w:cs="宋体"/>
                <w:b/>
                <w:bCs/>
                <w:color w:val="auto"/>
                <w:sz w:val="22"/>
                <w:szCs w:val="22"/>
                <w:highlight w:val="none"/>
              </w:rPr>
            </w:pPr>
          </w:p>
        </w:tc>
        <w:tc>
          <w:tcPr>
            <w:tcW w:w="534" w:type="dxa"/>
            <w:shd w:val="clear" w:color="auto" w:fill="auto"/>
            <w:vAlign w:val="center"/>
          </w:tcPr>
          <w:p w14:paraId="5A2B7146">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招聘会信息推送</w:t>
            </w:r>
          </w:p>
        </w:tc>
        <w:tc>
          <w:tcPr>
            <w:tcW w:w="450" w:type="dxa"/>
            <w:shd w:val="clear" w:color="auto" w:fill="auto"/>
            <w:vAlign w:val="center"/>
          </w:tcPr>
          <w:p w14:paraId="4002701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11</w:t>
            </w:r>
          </w:p>
        </w:tc>
        <w:tc>
          <w:tcPr>
            <w:tcW w:w="2572" w:type="dxa"/>
            <w:shd w:val="clear" w:color="auto" w:fill="auto"/>
            <w:vAlign w:val="center"/>
          </w:tcPr>
          <w:p w14:paraId="408870B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引导灵活就业等人员参加线上线下招聘会</w:t>
            </w:r>
          </w:p>
        </w:tc>
        <w:tc>
          <w:tcPr>
            <w:tcW w:w="700" w:type="dxa"/>
            <w:shd w:val="clear" w:color="auto" w:fill="auto"/>
            <w:vAlign w:val="center"/>
          </w:tcPr>
          <w:p w14:paraId="05CB06F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2944" w:type="dxa"/>
            <w:shd w:val="clear" w:color="auto" w:fill="auto"/>
            <w:vAlign w:val="center"/>
          </w:tcPr>
          <w:p w14:paraId="2678BFB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对已做求职登记的人员，按照就业意愿每月推荐不少于1场现场招聘会信息或直播带岗活动信息，每发现1次未做推荐的，扣0.5分。 本项合计最高扣3分。</w:t>
            </w:r>
          </w:p>
        </w:tc>
        <w:tc>
          <w:tcPr>
            <w:tcW w:w="1786" w:type="dxa"/>
            <w:shd w:val="clear" w:color="auto" w:fill="auto"/>
            <w:vAlign w:val="center"/>
          </w:tcPr>
          <w:p w14:paraId="02BC140A">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375D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751" w:type="dxa"/>
            <w:shd w:val="clear" w:color="auto" w:fill="auto"/>
            <w:vAlign w:val="center"/>
          </w:tcPr>
          <w:p w14:paraId="63C2B402">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（四）就业政策法规咨询</w:t>
            </w:r>
          </w:p>
        </w:tc>
        <w:tc>
          <w:tcPr>
            <w:tcW w:w="534" w:type="dxa"/>
            <w:shd w:val="clear" w:color="auto" w:fill="auto"/>
            <w:vAlign w:val="center"/>
          </w:tcPr>
          <w:p w14:paraId="63B821B9">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咨询服务</w:t>
            </w:r>
          </w:p>
        </w:tc>
        <w:tc>
          <w:tcPr>
            <w:tcW w:w="450" w:type="dxa"/>
            <w:shd w:val="clear" w:color="auto" w:fill="auto"/>
            <w:vAlign w:val="center"/>
          </w:tcPr>
          <w:p w14:paraId="352D1B8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12</w:t>
            </w:r>
          </w:p>
        </w:tc>
        <w:tc>
          <w:tcPr>
            <w:tcW w:w="2572" w:type="dxa"/>
            <w:shd w:val="clear" w:color="auto" w:fill="auto"/>
            <w:vAlign w:val="center"/>
          </w:tcPr>
          <w:p w14:paraId="7A53CA5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定期发布促进就业政策，通过综合服务窗口受理就业创业政策咨询，强化政策宣传力度。2.宣传养老保险政策并鼓励灵活就业人员参加企业职工基本养老保险，对新就业形态从业人员引导其按规定参加职业伤害保障。</w:t>
            </w:r>
          </w:p>
        </w:tc>
        <w:tc>
          <w:tcPr>
            <w:tcW w:w="700" w:type="dxa"/>
            <w:shd w:val="clear" w:color="auto" w:fill="auto"/>
            <w:vAlign w:val="center"/>
          </w:tcPr>
          <w:p w14:paraId="1512A4C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1E675AF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1.定期发布促进就业政策，综合服务窗口受理就业创业政策咨询得1分，每少1次扣1分；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2.宣传养老保险政策并鼓励灵活就业人员参加企业职工基本养老保险，对新就业形态从业人员</w:t>
            </w:r>
            <w:r>
              <w:rPr>
                <w:rFonts w:hint="eastAsia" w:ascii="宋体" w:hAnsi="宋体" w:cs="宋体"/>
                <w:color w:val="auto"/>
                <w:sz w:val="22"/>
                <w:szCs w:val="22"/>
                <w:highlight w:val="none"/>
                <w:lang w:bidi="ar"/>
              </w:rPr>
              <w:t>引导其按规定参加职业伤害保障得1分，未开展服务扣1分；                                              本项合计最高扣2分。</w:t>
            </w:r>
          </w:p>
        </w:tc>
        <w:tc>
          <w:tcPr>
            <w:tcW w:w="1786" w:type="dxa"/>
            <w:shd w:val="clear" w:color="auto" w:fill="auto"/>
            <w:vAlign w:val="center"/>
          </w:tcPr>
          <w:p w14:paraId="6E526CE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单独评分。查看工作台账、图片、现场核验。</w:t>
            </w:r>
          </w:p>
        </w:tc>
      </w:tr>
      <w:tr w14:paraId="66AF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trPr>
        <w:tc>
          <w:tcPr>
            <w:tcW w:w="751" w:type="dxa"/>
            <w:shd w:val="clear" w:color="auto" w:fill="auto"/>
            <w:vAlign w:val="center"/>
          </w:tcPr>
          <w:p w14:paraId="2B817E20">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（五）重点群体就业帮扶服务</w:t>
            </w:r>
          </w:p>
        </w:tc>
        <w:tc>
          <w:tcPr>
            <w:tcW w:w="534" w:type="dxa"/>
            <w:shd w:val="clear" w:color="auto" w:fill="auto"/>
            <w:vAlign w:val="center"/>
          </w:tcPr>
          <w:p w14:paraId="3FAC6696">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重点群体</w:t>
            </w:r>
          </w:p>
        </w:tc>
        <w:tc>
          <w:tcPr>
            <w:tcW w:w="450" w:type="dxa"/>
            <w:shd w:val="clear" w:color="auto" w:fill="auto"/>
            <w:vAlign w:val="center"/>
          </w:tcPr>
          <w:p w14:paraId="087DF41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13</w:t>
            </w:r>
          </w:p>
        </w:tc>
        <w:tc>
          <w:tcPr>
            <w:tcW w:w="2572" w:type="dxa"/>
            <w:shd w:val="clear" w:color="auto" w:fill="auto"/>
            <w:vAlign w:val="center"/>
          </w:tcPr>
          <w:p w14:paraId="0D8A8D7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对辖区登记失业人员、就业困难人员、退役军人、离校未就业高校毕业生、脱贫劳动力、防返贫监测户、农村返乡回流人员、雨露计划毕业生等重点群体提供就业跟踪帮扶。</w:t>
            </w:r>
          </w:p>
        </w:tc>
        <w:tc>
          <w:tcPr>
            <w:tcW w:w="700" w:type="dxa"/>
            <w:shd w:val="clear" w:color="auto" w:fill="auto"/>
            <w:vAlign w:val="center"/>
          </w:tcPr>
          <w:p w14:paraId="7084CC5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2944" w:type="dxa"/>
            <w:shd w:val="clear" w:color="auto" w:fill="auto"/>
            <w:vAlign w:val="center"/>
          </w:tcPr>
          <w:p w14:paraId="35D2613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对摸排收集和前来登记的辖区内登记失业人员、就业困难人员（大龄失业、长期失业、低保家庭、残疾人员、零就业家庭、失地人员、易地搬迁）、退役军人、离校未就业高校毕业生等重点群体进行身份标识，标识率达100%，每少1个百分点，扣0.1分；                2.按要求对重点群体开展“251”“1131”就业帮扶，就业帮扶率达100%，每少1个百分点，扣0.1分。                          本项合计最高扣4分。</w:t>
            </w:r>
          </w:p>
        </w:tc>
        <w:tc>
          <w:tcPr>
            <w:tcW w:w="1786" w:type="dxa"/>
            <w:shd w:val="clear" w:color="auto" w:fill="auto"/>
            <w:vAlign w:val="center"/>
          </w:tcPr>
          <w:p w14:paraId="5086A94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0C23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trPr>
        <w:tc>
          <w:tcPr>
            <w:tcW w:w="751" w:type="dxa"/>
            <w:vMerge w:val="restart"/>
            <w:shd w:val="clear" w:color="auto" w:fill="auto"/>
            <w:vAlign w:val="center"/>
          </w:tcPr>
          <w:p w14:paraId="4127A9AA">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（六）技能培训与创业指导服务</w:t>
            </w:r>
          </w:p>
        </w:tc>
        <w:tc>
          <w:tcPr>
            <w:tcW w:w="534" w:type="dxa"/>
            <w:shd w:val="clear" w:color="auto" w:fill="auto"/>
            <w:vAlign w:val="center"/>
          </w:tcPr>
          <w:p w14:paraId="762BF90B">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技能培训服务</w:t>
            </w:r>
          </w:p>
        </w:tc>
        <w:tc>
          <w:tcPr>
            <w:tcW w:w="450" w:type="dxa"/>
            <w:shd w:val="clear" w:color="auto" w:fill="auto"/>
            <w:vAlign w:val="center"/>
          </w:tcPr>
          <w:p w14:paraId="7317F455">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14</w:t>
            </w:r>
          </w:p>
        </w:tc>
        <w:tc>
          <w:tcPr>
            <w:tcW w:w="2572" w:type="dxa"/>
            <w:shd w:val="clear" w:color="auto" w:fill="auto"/>
            <w:vAlign w:val="center"/>
          </w:tcPr>
          <w:p w14:paraId="270F1D2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每周期更新发布职业技能培训项目和当地职业技能培训机构信息不少于3次。受理培训咨询，支持灵活就业人员就近参加技能提升培训。</w:t>
            </w:r>
          </w:p>
        </w:tc>
        <w:tc>
          <w:tcPr>
            <w:tcW w:w="700" w:type="dxa"/>
            <w:shd w:val="clear" w:color="auto" w:fill="auto"/>
            <w:vAlign w:val="center"/>
          </w:tcPr>
          <w:p w14:paraId="1310AC5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07160B1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1.每周期更新发布职业技能培训项目和当地职业技能培训机构信息不少于3次，每少1次扣0.5分；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2.受理培训咨询，支持灵活就业人员就近参加技能提升培训得1分。每发现不受理培训咨询业务或被投诉不受理一例的扣0.5分；                                  本项合计最高扣2分。</w:t>
            </w:r>
          </w:p>
        </w:tc>
        <w:tc>
          <w:tcPr>
            <w:tcW w:w="1786" w:type="dxa"/>
            <w:shd w:val="clear" w:color="auto" w:fill="auto"/>
            <w:vAlign w:val="center"/>
          </w:tcPr>
          <w:p w14:paraId="1A6FC5CE">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2AEA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751" w:type="dxa"/>
            <w:vMerge w:val="continue"/>
            <w:shd w:val="clear" w:color="auto" w:fill="auto"/>
            <w:vAlign w:val="center"/>
          </w:tcPr>
          <w:p w14:paraId="1C28D4E3">
            <w:pPr>
              <w:jc w:val="left"/>
              <w:rPr>
                <w:rFonts w:ascii="宋体" w:hAnsi="宋体" w:cs="宋体"/>
                <w:b/>
                <w:bCs/>
                <w:color w:val="auto"/>
                <w:sz w:val="22"/>
                <w:szCs w:val="22"/>
                <w:highlight w:val="none"/>
              </w:rPr>
            </w:pPr>
          </w:p>
        </w:tc>
        <w:tc>
          <w:tcPr>
            <w:tcW w:w="534" w:type="dxa"/>
            <w:shd w:val="clear" w:color="auto" w:fill="auto"/>
            <w:vAlign w:val="center"/>
          </w:tcPr>
          <w:p w14:paraId="70172D24">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创业指导服务</w:t>
            </w:r>
          </w:p>
        </w:tc>
        <w:tc>
          <w:tcPr>
            <w:tcW w:w="450" w:type="dxa"/>
            <w:shd w:val="clear" w:color="auto" w:fill="auto"/>
            <w:vAlign w:val="center"/>
          </w:tcPr>
          <w:p w14:paraId="154D0B4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15</w:t>
            </w:r>
          </w:p>
        </w:tc>
        <w:tc>
          <w:tcPr>
            <w:tcW w:w="2572" w:type="dxa"/>
            <w:shd w:val="clear" w:color="auto" w:fill="auto"/>
            <w:vAlign w:val="center"/>
          </w:tcPr>
          <w:p w14:paraId="08FDD02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为有创业意愿的灵活就业等人员提供创业培训信息和项目推介，提供创业担保贷款咨询等创业指导服务。</w:t>
            </w:r>
          </w:p>
        </w:tc>
        <w:tc>
          <w:tcPr>
            <w:tcW w:w="700" w:type="dxa"/>
            <w:shd w:val="clear" w:color="auto" w:fill="auto"/>
            <w:vAlign w:val="center"/>
          </w:tcPr>
          <w:p w14:paraId="0F90F255">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580A1DF2">
            <w:pPr>
              <w:widowControl/>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 xml:space="preserve">为有创业意愿的灵活就业等人员提供创业培训信息和项目推介，提供创业担保贷款咨询等创业指导服务得2分，未开展服务扣2分。       </w:t>
            </w:r>
          </w:p>
          <w:p w14:paraId="1E1613E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本项合计最高扣2分。</w:t>
            </w:r>
          </w:p>
        </w:tc>
        <w:tc>
          <w:tcPr>
            <w:tcW w:w="1786" w:type="dxa"/>
            <w:shd w:val="clear" w:color="auto" w:fill="auto"/>
            <w:vAlign w:val="center"/>
          </w:tcPr>
          <w:p w14:paraId="6A20DEC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0DAD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751" w:type="dxa"/>
            <w:vMerge w:val="restart"/>
            <w:shd w:val="clear" w:color="auto" w:fill="auto"/>
            <w:vAlign w:val="center"/>
          </w:tcPr>
          <w:p w14:paraId="2316B7F8">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（七）公共就业活动服务</w:t>
            </w:r>
          </w:p>
        </w:tc>
        <w:tc>
          <w:tcPr>
            <w:tcW w:w="534" w:type="dxa"/>
            <w:shd w:val="clear" w:color="auto" w:fill="auto"/>
            <w:vAlign w:val="center"/>
          </w:tcPr>
          <w:p w14:paraId="4D6ED3AB">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就业大篷车活动</w:t>
            </w:r>
          </w:p>
        </w:tc>
        <w:tc>
          <w:tcPr>
            <w:tcW w:w="450" w:type="dxa"/>
            <w:shd w:val="clear" w:color="auto" w:fill="auto"/>
            <w:vAlign w:val="center"/>
          </w:tcPr>
          <w:p w14:paraId="321420C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16</w:t>
            </w:r>
          </w:p>
        </w:tc>
        <w:tc>
          <w:tcPr>
            <w:tcW w:w="2572" w:type="dxa"/>
            <w:shd w:val="clear" w:color="auto" w:fill="auto"/>
            <w:vAlign w:val="center"/>
          </w:tcPr>
          <w:p w14:paraId="7061E77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根据采购人要求，7个站点每周期至少共组织开展6次就业大篷车等灵活就业专项服务活动。</w:t>
            </w:r>
          </w:p>
        </w:tc>
        <w:tc>
          <w:tcPr>
            <w:tcW w:w="700" w:type="dxa"/>
            <w:shd w:val="clear" w:color="auto" w:fill="auto"/>
            <w:vAlign w:val="center"/>
          </w:tcPr>
          <w:p w14:paraId="39359AA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2944" w:type="dxa"/>
            <w:shd w:val="clear" w:color="auto" w:fill="auto"/>
            <w:vAlign w:val="center"/>
          </w:tcPr>
          <w:p w14:paraId="3C63283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1.不按要求开展，每少1次扣0.5分；                       2.1次活动要覆盖至少3个村（社区），不按要求开展，该次活动无效，直接扣0.5分。                    本项合计最高扣3分。</w:t>
            </w:r>
          </w:p>
        </w:tc>
        <w:tc>
          <w:tcPr>
            <w:tcW w:w="1786" w:type="dxa"/>
            <w:shd w:val="clear" w:color="auto" w:fill="auto"/>
            <w:vAlign w:val="center"/>
          </w:tcPr>
          <w:p w14:paraId="56DB98E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第1项和第2项如果有扣分，每个站点都要扣相应分。核查工作台账、图片或视频等有关活动组织材料。</w:t>
            </w:r>
          </w:p>
        </w:tc>
      </w:tr>
      <w:tr w14:paraId="223B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751" w:type="dxa"/>
            <w:vMerge w:val="continue"/>
            <w:shd w:val="clear" w:color="auto" w:fill="auto"/>
            <w:vAlign w:val="center"/>
          </w:tcPr>
          <w:p w14:paraId="61FFAF13">
            <w:pPr>
              <w:jc w:val="center"/>
              <w:rPr>
                <w:rFonts w:ascii="宋体" w:hAnsi="宋体" w:cs="宋体"/>
                <w:b/>
                <w:bCs/>
                <w:color w:val="auto"/>
                <w:sz w:val="22"/>
                <w:szCs w:val="22"/>
                <w:highlight w:val="none"/>
              </w:rPr>
            </w:pPr>
          </w:p>
        </w:tc>
        <w:tc>
          <w:tcPr>
            <w:tcW w:w="534" w:type="dxa"/>
            <w:shd w:val="clear" w:color="auto" w:fill="auto"/>
            <w:vAlign w:val="center"/>
          </w:tcPr>
          <w:p w14:paraId="1EADD406">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组织招聘会</w:t>
            </w:r>
          </w:p>
        </w:tc>
        <w:tc>
          <w:tcPr>
            <w:tcW w:w="450" w:type="dxa"/>
            <w:shd w:val="clear" w:color="auto" w:fill="auto"/>
            <w:vAlign w:val="center"/>
          </w:tcPr>
          <w:p w14:paraId="3082C274">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17</w:t>
            </w:r>
          </w:p>
        </w:tc>
        <w:tc>
          <w:tcPr>
            <w:tcW w:w="2572" w:type="dxa"/>
            <w:shd w:val="clear" w:color="auto" w:fill="auto"/>
            <w:vAlign w:val="center"/>
          </w:tcPr>
          <w:p w14:paraId="4DD9C00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7个站点每周期共组织不少于6场现场招聘会，招聘会规模、举办时间、举办地点等事项要按照采购要求实施。</w:t>
            </w:r>
          </w:p>
        </w:tc>
        <w:tc>
          <w:tcPr>
            <w:tcW w:w="700" w:type="dxa"/>
            <w:shd w:val="clear" w:color="auto" w:fill="auto"/>
            <w:vAlign w:val="center"/>
          </w:tcPr>
          <w:p w14:paraId="0EF0002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2944" w:type="dxa"/>
            <w:shd w:val="clear" w:color="auto" w:fill="auto"/>
            <w:vAlign w:val="center"/>
          </w:tcPr>
          <w:p w14:paraId="6D2F89E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1.不按要求组织现场招聘会的站点，扣3分；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2.不够6场的，少1场扣0.5分。                          本项合计最高扣3分。</w:t>
            </w:r>
          </w:p>
        </w:tc>
        <w:tc>
          <w:tcPr>
            <w:tcW w:w="1786" w:type="dxa"/>
            <w:shd w:val="clear" w:color="auto" w:fill="auto"/>
            <w:vAlign w:val="center"/>
          </w:tcPr>
          <w:p w14:paraId="47A137C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第2项如果有扣分，每个站点都要扣相应分。单独评分。核查工作台账、图片、视频等有关活动组织材料</w:t>
            </w:r>
          </w:p>
        </w:tc>
      </w:tr>
      <w:tr w14:paraId="2E71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751" w:type="dxa"/>
            <w:vMerge w:val="continue"/>
            <w:shd w:val="clear" w:color="auto" w:fill="auto"/>
            <w:vAlign w:val="center"/>
          </w:tcPr>
          <w:p w14:paraId="14671528">
            <w:pPr>
              <w:jc w:val="center"/>
              <w:rPr>
                <w:rFonts w:ascii="宋体" w:hAnsi="宋体" w:cs="宋体"/>
                <w:b/>
                <w:bCs/>
                <w:color w:val="auto"/>
                <w:sz w:val="22"/>
                <w:szCs w:val="22"/>
                <w:highlight w:val="none"/>
              </w:rPr>
            </w:pPr>
          </w:p>
        </w:tc>
        <w:tc>
          <w:tcPr>
            <w:tcW w:w="534" w:type="dxa"/>
            <w:shd w:val="clear" w:color="auto" w:fill="auto"/>
            <w:vAlign w:val="center"/>
          </w:tcPr>
          <w:p w14:paraId="6301D066">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开展直播带岗活动</w:t>
            </w:r>
          </w:p>
        </w:tc>
        <w:tc>
          <w:tcPr>
            <w:tcW w:w="450" w:type="dxa"/>
            <w:shd w:val="clear" w:color="auto" w:fill="auto"/>
            <w:vAlign w:val="center"/>
          </w:tcPr>
          <w:p w14:paraId="1359D70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18</w:t>
            </w:r>
          </w:p>
        </w:tc>
        <w:tc>
          <w:tcPr>
            <w:tcW w:w="2572" w:type="dxa"/>
            <w:shd w:val="clear" w:color="auto" w:fill="auto"/>
            <w:vAlign w:val="center"/>
          </w:tcPr>
          <w:p w14:paraId="359A989F">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7个站点每周期共开展不少于6场直播带岗活动，活动时间、地点等事项要按照采购要求实施。</w:t>
            </w:r>
          </w:p>
        </w:tc>
        <w:tc>
          <w:tcPr>
            <w:tcW w:w="700" w:type="dxa"/>
            <w:shd w:val="clear" w:color="auto" w:fill="auto"/>
            <w:vAlign w:val="center"/>
          </w:tcPr>
          <w:p w14:paraId="6FE6E447">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2944" w:type="dxa"/>
            <w:shd w:val="clear" w:color="auto" w:fill="auto"/>
            <w:vAlign w:val="center"/>
          </w:tcPr>
          <w:p w14:paraId="6A18DC9C">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1.不按要求开展直播带岗的站点，扣3分；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2.不够6场的，少1场扣0.5分。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本项合计最高扣3分。</w:t>
            </w:r>
          </w:p>
        </w:tc>
        <w:tc>
          <w:tcPr>
            <w:tcW w:w="1786" w:type="dxa"/>
            <w:shd w:val="clear" w:color="auto" w:fill="auto"/>
            <w:vAlign w:val="center"/>
          </w:tcPr>
          <w:p w14:paraId="7EB046D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第2项如果有扣分，每个站点都要扣相应分。单独评分。核查工作台账、图片、视频等有关活动组织材料</w:t>
            </w:r>
          </w:p>
        </w:tc>
      </w:tr>
      <w:tr w14:paraId="0E3D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51" w:type="dxa"/>
            <w:vMerge w:val="continue"/>
            <w:shd w:val="clear" w:color="auto" w:fill="auto"/>
            <w:vAlign w:val="center"/>
          </w:tcPr>
          <w:p w14:paraId="19400B65">
            <w:pPr>
              <w:jc w:val="center"/>
              <w:rPr>
                <w:rFonts w:ascii="宋体" w:hAnsi="宋体" w:cs="宋体"/>
                <w:b/>
                <w:bCs/>
                <w:color w:val="auto"/>
                <w:sz w:val="22"/>
                <w:szCs w:val="22"/>
                <w:highlight w:val="none"/>
              </w:rPr>
            </w:pPr>
          </w:p>
        </w:tc>
        <w:tc>
          <w:tcPr>
            <w:tcW w:w="534" w:type="dxa"/>
            <w:shd w:val="clear" w:color="auto" w:fill="auto"/>
            <w:vAlign w:val="center"/>
          </w:tcPr>
          <w:p w14:paraId="253881C7">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开展政策宣传等活动</w:t>
            </w:r>
          </w:p>
        </w:tc>
        <w:tc>
          <w:tcPr>
            <w:tcW w:w="450" w:type="dxa"/>
            <w:shd w:val="clear" w:color="auto" w:fill="auto"/>
            <w:vAlign w:val="center"/>
          </w:tcPr>
          <w:p w14:paraId="7EB2ED7E">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19</w:t>
            </w:r>
          </w:p>
        </w:tc>
        <w:tc>
          <w:tcPr>
            <w:tcW w:w="2572" w:type="dxa"/>
            <w:shd w:val="clear" w:color="auto" w:fill="auto"/>
            <w:vAlign w:val="center"/>
          </w:tcPr>
          <w:p w14:paraId="4AA087D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7个站点每周期共开展不少于7场政策宣传等活动，活动时间、地点等事项要按照采购要求实施。</w:t>
            </w:r>
          </w:p>
        </w:tc>
        <w:tc>
          <w:tcPr>
            <w:tcW w:w="700" w:type="dxa"/>
            <w:shd w:val="clear" w:color="auto" w:fill="auto"/>
            <w:vAlign w:val="center"/>
          </w:tcPr>
          <w:p w14:paraId="449178A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458E061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1.不按要求开展政策宣传等活动的站点，扣2分；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2.不够7场的，没有开展活动的站点扣2分。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本项合计最高扣2分。</w:t>
            </w:r>
          </w:p>
        </w:tc>
        <w:tc>
          <w:tcPr>
            <w:tcW w:w="1786" w:type="dxa"/>
            <w:shd w:val="clear" w:color="auto" w:fill="auto"/>
            <w:vAlign w:val="center"/>
          </w:tcPr>
          <w:p w14:paraId="73D0CB91">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核查工作台账、图片、视频等有关活动组织材料。</w:t>
            </w:r>
          </w:p>
        </w:tc>
      </w:tr>
      <w:tr w14:paraId="553D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trPr>
        <w:tc>
          <w:tcPr>
            <w:tcW w:w="751" w:type="dxa"/>
            <w:shd w:val="clear" w:color="auto" w:fill="auto"/>
            <w:vAlign w:val="center"/>
          </w:tcPr>
          <w:p w14:paraId="249CE5D0">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（八）权益维护</w:t>
            </w:r>
          </w:p>
        </w:tc>
        <w:tc>
          <w:tcPr>
            <w:tcW w:w="534" w:type="dxa"/>
            <w:shd w:val="clear" w:color="auto" w:fill="auto"/>
            <w:vAlign w:val="center"/>
          </w:tcPr>
          <w:p w14:paraId="4DD7B048">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权益维护</w:t>
            </w:r>
          </w:p>
        </w:tc>
        <w:tc>
          <w:tcPr>
            <w:tcW w:w="450" w:type="dxa"/>
            <w:shd w:val="clear" w:color="auto" w:fill="auto"/>
            <w:vAlign w:val="center"/>
          </w:tcPr>
          <w:p w14:paraId="484400C2">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20</w:t>
            </w:r>
          </w:p>
        </w:tc>
        <w:tc>
          <w:tcPr>
            <w:tcW w:w="2572" w:type="dxa"/>
            <w:shd w:val="clear" w:color="auto" w:fill="auto"/>
            <w:vAlign w:val="center"/>
          </w:tcPr>
          <w:p w14:paraId="1EF0162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在显著位置公开权益维护服务制度、服务热线、投诉举报方式、处理流程等事项。指导用工主体设定合理招聘条件，规范招聘流程及行为。督促用工主体依法用工，落实安全生产、薪资待遇、休息休假、社会保险缴纳等责任。</w:t>
            </w:r>
          </w:p>
        </w:tc>
        <w:tc>
          <w:tcPr>
            <w:tcW w:w="700" w:type="dxa"/>
            <w:shd w:val="clear" w:color="auto" w:fill="auto"/>
            <w:vAlign w:val="center"/>
          </w:tcPr>
          <w:p w14:paraId="4B5462F4">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508B7DE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1.在显著位置公开权益维护服务制度、服务热线、投诉举报方式、处理流程等事项。每发现一次没有公开，扣1分。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2.指导用工主体设定合理招聘条件，规范招聘流程及行为，每发现一次没有开展指导，扣1分。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3.督促用工主体依法用工，落实安全生产、薪资待遇、休息休假、社会保险缴纳等责任。每发现一次没有开展督促，扣1分。                            本项合计最高扣2分。</w:t>
            </w:r>
          </w:p>
        </w:tc>
        <w:tc>
          <w:tcPr>
            <w:tcW w:w="1786" w:type="dxa"/>
            <w:shd w:val="clear" w:color="auto" w:fill="auto"/>
            <w:vAlign w:val="center"/>
          </w:tcPr>
          <w:p w14:paraId="24186AA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3190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751" w:type="dxa"/>
            <w:shd w:val="clear" w:color="auto" w:fill="auto"/>
            <w:vAlign w:val="center"/>
          </w:tcPr>
          <w:p w14:paraId="23900D14">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（九）跟踪回访服务及成效</w:t>
            </w:r>
          </w:p>
        </w:tc>
        <w:tc>
          <w:tcPr>
            <w:tcW w:w="534" w:type="dxa"/>
            <w:shd w:val="clear" w:color="auto" w:fill="auto"/>
            <w:vAlign w:val="center"/>
          </w:tcPr>
          <w:p w14:paraId="298EAB94">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跟踪回访服务及成效</w:t>
            </w:r>
          </w:p>
        </w:tc>
        <w:tc>
          <w:tcPr>
            <w:tcW w:w="450" w:type="dxa"/>
            <w:shd w:val="clear" w:color="auto" w:fill="auto"/>
            <w:vAlign w:val="center"/>
          </w:tcPr>
          <w:p w14:paraId="3268E1CE">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21</w:t>
            </w:r>
          </w:p>
        </w:tc>
        <w:tc>
          <w:tcPr>
            <w:tcW w:w="2572" w:type="dxa"/>
            <w:shd w:val="clear" w:color="auto" w:fill="auto"/>
            <w:vAlign w:val="center"/>
          </w:tcPr>
          <w:p w14:paraId="7BA784A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对已推荐岗位的求职人员进行跟踪回访服务，对于推荐不成功的求职者，继续推荐岗位不少于5次，推动求职成功就业人数比例不低于30%。</w:t>
            </w:r>
          </w:p>
        </w:tc>
        <w:tc>
          <w:tcPr>
            <w:tcW w:w="700" w:type="dxa"/>
            <w:shd w:val="clear" w:color="auto" w:fill="auto"/>
            <w:vAlign w:val="center"/>
          </w:tcPr>
          <w:p w14:paraId="5AD60AF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6</w:t>
            </w:r>
          </w:p>
        </w:tc>
        <w:tc>
          <w:tcPr>
            <w:tcW w:w="2944" w:type="dxa"/>
            <w:shd w:val="clear" w:color="auto" w:fill="auto"/>
            <w:vAlign w:val="center"/>
          </w:tcPr>
          <w:p w14:paraId="7826873F">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1.对已推荐岗位的求职人员进行跟踪回访服务，对于推荐不成功的求职者，继续推荐岗位不少于5次，每发现少1次扣0.01分；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2.推动求职成功就业人数比例不低于30%得6分，每低于一个百分点扣1分，扣完该项分值为止；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本项合计最高扣6分。</w:t>
            </w:r>
          </w:p>
        </w:tc>
        <w:tc>
          <w:tcPr>
            <w:tcW w:w="1786" w:type="dxa"/>
            <w:shd w:val="clear" w:color="auto" w:fill="auto"/>
            <w:vAlign w:val="center"/>
          </w:tcPr>
          <w:p w14:paraId="6E5AB01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第1项和第2项如果有扣分，每个站点扣相应分。查看有关工作台账，根据实际情况评分。</w:t>
            </w:r>
          </w:p>
        </w:tc>
      </w:tr>
      <w:tr w14:paraId="4661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trPr>
        <w:tc>
          <w:tcPr>
            <w:tcW w:w="751" w:type="dxa"/>
            <w:vMerge w:val="restart"/>
            <w:shd w:val="clear" w:color="auto" w:fill="auto"/>
            <w:vAlign w:val="center"/>
          </w:tcPr>
          <w:p w14:paraId="253EA4D7">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（十）宣传服务</w:t>
            </w:r>
          </w:p>
        </w:tc>
        <w:tc>
          <w:tcPr>
            <w:tcW w:w="534" w:type="dxa"/>
            <w:shd w:val="clear" w:color="auto" w:fill="auto"/>
            <w:vAlign w:val="center"/>
          </w:tcPr>
          <w:p w14:paraId="69239A5F">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资料配备</w:t>
            </w:r>
          </w:p>
        </w:tc>
        <w:tc>
          <w:tcPr>
            <w:tcW w:w="450" w:type="dxa"/>
            <w:shd w:val="clear" w:color="auto" w:fill="auto"/>
            <w:vAlign w:val="center"/>
          </w:tcPr>
          <w:p w14:paraId="1FF7828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22</w:t>
            </w:r>
          </w:p>
        </w:tc>
        <w:tc>
          <w:tcPr>
            <w:tcW w:w="2572" w:type="dxa"/>
            <w:shd w:val="clear" w:color="auto" w:fill="auto"/>
            <w:vAlign w:val="center"/>
          </w:tcPr>
          <w:p w14:paraId="1CD826A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1.在站点内公告栏、政策取阅架等地方定期放置就业创业政策宣传材料（材料需经采购人审核），7个站点每周期印制各类宣传材料共不少于8000份。                                      2.7个站点每周期向求职者发放用工信息等宣传资料共不少于2万份。</w:t>
            </w:r>
          </w:p>
        </w:tc>
        <w:tc>
          <w:tcPr>
            <w:tcW w:w="700" w:type="dxa"/>
            <w:shd w:val="clear" w:color="auto" w:fill="auto"/>
            <w:vAlign w:val="center"/>
          </w:tcPr>
          <w:p w14:paraId="373E4E6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8</w:t>
            </w:r>
          </w:p>
        </w:tc>
        <w:tc>
          <w:tcPr>
            <w:tcW w:w="2944" w:type="dxa"/>
            <w:shd w:val="clear" w:color="auto" w:fill="auto"/>
            <w:vAlign w:val="center"/>
          </w:tcPr>
          <w:p w14:paraId="7E6ECCF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1.在站点内公告栏、政策取阅架等地方定期放置就业创业政策宣传材料，7个站点每周期印制各类宣传材料少于8000份，每少1个百分点，扣0.1分；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2.7个站点每周期向求职者发放用工信息等宣传资料少于2万份，每少1个百分点，扣0.1分；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以上因政策调整或采购人要求，本服务周期内未能100%完成，可在下周期服务期内补足。政策材料也可根据采购人需求一次性完成全年任务。                                   本项合计最高扣8分。</w:t>
            </w:r>
          </w:p>
        </w:tc>
        <w:tc>
          <w:tcPr>
            <w:tcW w:w="1786" w:type="dxa"/>
            <w:shd w:val="clear" w:color="auto" w:fill="auto"/>
            <w:vAlign w:val="center"/>
          </w:tcPr>
          <w:p w14:paraId="27FFF39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第1项和第2项如果有扣分，每个站点都要扣相应分。通过核查工作台账或查阅资料材料或现场核查等方式考核评分。</w:t>
            </w:r>
          </w:p>
        </w:tc>
      </w:tr>
      <w:tr w14:paraId="11CA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trPr>
        <w:tc>
          <w:tcPr>
            <w:tcW w:w="751" w:type="dxa"/>
            <w:vMerge w:val="continue"/>
            <w:shd w:val="clear" w:color="auto" w:fill="auto"/>
            <w:vAlign w:val="center"/>
          </w:tcPr>
          <w:p w14:paraId="70F032D3">
            <w:pPr>
              <w:jc w:val="center"/>
              <w:rPr>
                <w:rFonts w:ascii="宋体" w:hAnsi="宋体" w:cs="宋体"/>
                <w:b/>
                <w:bCs/>
                <w:color w:val="auto"/>
                <w:sz w:val="22"/>
                <w:szCs w:val="22"/>
                <w:highlight w:val="none"/>
              </w:rPr>
            </w:pPr>
          </w:p>
        </w:tc>
        <w:tc>
          <w:tcPr>
            <w:tcW w:w="534" w:type="dxa"/>
            <w:shd w:val="clear" w:color="auto" w:fill="auto"/>
            <w:vAlign w:val="center"/>
          </w:tcPr>
          <w:p w14:paraId="61FF1AEC">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宣传推广</w:t>
            </w:r>
          </w:p>
        </w:tc>
        <w:tc>
          <w:tcPr>
            <w:tcW w:w="450" w:type="dxa"/>
            <w:shd w:val="clear" w:color="auto" w:fill="auto"/>
            <w:vAlign w:val="center"/>
          </w:tcPr>
          <w:p w14:paraId="68AC023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23</w:t>
            </w:r>
          </w:p>
        </w:tc>
        <w:tc>
          <w:tcPr>
            <w:tcW w:w="2572" w:type="dxa"/>
            <w:shd w:val="clear" w:color="auto" w:fill="auto"/>
            <w:vAlign w:val="center"/>
          </w:tcPr>
          <w:p w14:paraId="561495B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1.通过各类网络媒体，开展站点相关服务宣传。每个站点每周期在各类新闻媒介和网络媒体发布宣传视频或宣传文章不少于1篇。</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2.每个站点每周期在辖区全部村（社区）和其他人员密集场所、电子屏、移动宣传载体等发放或张贴服务二维码或宣传海报等，宣传就业服务站不少于6处。</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3.每个站点每周期制作就业服务站经验类或推广类或走访企业或访问求职者等宣传视频不少于1条。</w:t>
            </w:r>
          </w:p>
        </w:tc>
        <w:tc>
          <w:tcPr>
            <w:tcW w:w="700" w:type="dxa"/>
            <w:shd w:val="clear" w:color="auto" w:fill="auto"/>
            <w:vAlign w:val="center"/>
          </w:tcPr>
          <w:p w14:paraId="4B11298D">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6</w:t>
            </w:r>
          </w:p>
        </w:tc>
        <w:tc>
          <w:tcPr>
            <w:tcW w:w="2944" w:type="dxa"/>
            <w:shd w:val="clear" w:color="auto" w:fill="auto"/>
            <w:vAlign w:val="center"/>
          </w:tcPr>
          <w:p w14:paraId="5D11498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1.每个站点周期内没有在各类新闻媒介和网络媒体发布宣传视频或宣传文章的，扣3分；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2.每个站点周期内在辖区全部村（社区）和其他人员密集场所、电子屏、移动宣传载体等发放或张贴服务二维码或宣传海报等，宣传就业服务站少于6处的，每发现少1处未开展的，扣0.5分；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3.没有制作就业服务站经验类、推广类宣传视频的，或者制作了宣传视频或宣传视频不符合采购人要求的，扣3分。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本项合计最高扣6分。</w:t>
            </w:r>
          </w:p>
        </w:tc>
        <w:tc>
          <w:tcPr>
            <w:tcW w:w="1786" w:type="dxa"/>
            <w:shd w:val="clear" w:color="auto" w:fill="auto"/>
            <w:vAlign w:val="center"/>
          </w:tcPr>
          <w:p w14:paraId="049C992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单独评分。通过核查工作台账或查阅资料视频或现场核查等方式考核评分。</w:t>
            </w:r>
          </w:p>
        </w:tc>
      </w:tr>
      <w:tr w14:paraId="6D25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751" w:type="dxa"/>
            <w:shd w:val="clear" w:color="auto" w:fill="auto"/>
            <w:vAlign w:val="center"/>
          </w:tcPr>
          <w:p w14:paraId="1A065029">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（十一）信息归集及分析</w:t>
            </w:r>
          </w:p>
        </w:tc>
        <w:tc>
          <w:tcPr>
            <w:tcW w:w="534" w:type="dxa"/>
            <w:shd w:val="clear" w:color="auto" w:fill="auto"/>
            <w:vAlign w:val="center"/>
          </w:tcPr>
          <w:p w14:paraId="1E77018A">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整理汇总报送数据</w:t>
            </w:r>
          </w:p>
        </w:tc>
        <w:tc>
          <w:tcPr>
            <w:tcW w:w="450" w:type="dxa"/>
            <w:shd w:val="clear" w:color="auto" w:fill="auto"/>
            <w:vAlign w:val="center"/>
          </w:tcPr>
          <w:p w14:paraId="5356256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24</w:t>
            </w:r>
          </w:p>
        </w:tc>
        <w:tc>
          <w:tcPr>
            <w:tcW w:w="2572" w:type="dxa"/>
            <w:shd w:val="clear" w:color="auto" w:fill="auto"/>
            <w:vAlign w:val="center"/>
          </w:tcPr>
          <w:p w14:paraId="7C4A565F">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对收集的用工主体信息、岗位需求信息、求职人员信息、成功就业信息等数据信息要及时归集至苍梧县零工市场、苍梧县就业服务中心。</w:t>
            </w:r>
          </w:p>
        </w:tc>
        <w:tc>
          <w:tcPr>
            <w:tcW w:w="700" w:type="dxa"/>
            <w:shd w:val="clear" w:color="auto" w:fill="auto"/>
            <w:vAlign w:val="center"/>
          </w:tcPr>
          <w:p w14:paraId="70331C0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944" w:type="dxa"/>
            <w:shd w:val="clear" w:color="auto" w:fill="auto"/>
            <w:vAlign w:val="center"/>
          </w:tcPr>
          <w:p w14:paraId="41A6BF8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对不按要求整理归集信息的，扣2分。 本项合计最高扣2分。</w:t>
            </w:r>
          </w:p>
        </w:tc>
        <w:tc>
          <w:tcPr>
            <w:tcW w:w="1786" w:type="dxa"/>
            <w:shd w:val="clear" w:color="auto" w:fill="auto"/>
            <w:vAlign w:val="center"/>
          </w:tcPr>
          <w:p w14:paraId="18112BE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单独评分。查看有关工作台账，根据实际情况评分。</w:t>
            </w:r>
          </w:p>
        </w:tc>
      </w:tr>
      <w:tr w14:paraId="6AF1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0" w:hRule="atLeast"/>
        </w:trPr>
        <w:tc>
          <w:tcPr>
            <w:tcW w:w="751" w:type="dxa"/>
            <w:shd w:val="clear" w:color="auto" w:fill="auto"/>
            <w:vAlign w:val="center"/>
          </w:tcPr>
          <w:p w14:paraId="64534EBA">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（十二）管理服务</w:t>
            </w:r>
          </w:p>
        </w:tc>
        <w:tc>
          <w:tcPr>
            <w:tcW w:w="534" w:type="dxa"/>
            <w:shd w:val="clear" w:color="auto" w:fill="auto"/>
            <w:vAlign w:val="center"/>
          </w:tcPr>
          <w:p w14:paraId="07620222">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负责管理村级就业服务站</w:t>
            </w:r>
          </w:p>
        </w:tc>
        <w:tc>
          <w:tcPr>
            <w:tcW w:w="450" w:type="dxa"/>
            <w:shd w:val="clear" w:color="auto" w:fill="auto"/>
            <w:vAlign w:val="center"/>
          </w:tcPr>
          <w:p w14:paraId="568EAF6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25</w:t>
            </w:r>
          </w:p>
        </w:tc>
        <w:tc>
          <w:tcPr>
            <w:tcW w:w="2572" w:type="dxa"/>
            <w:shd w:val="clear" w:color="auto" w:fill="auto"/>
          </w:tcPr>
          <w:p w14:paraId="7D95D04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1.负责管理村级就业服务站，安排常规驻守人员（在采购人不能安置乡村公益性岗位或找不到符合条件的人员前提下）在规定时间开展就业服务，实现企业用工、求职者等就业信息共享。</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保持9个村级就业服务站（石桥镇学田村就业服务站、石桥镇奇冲村就业服务站、岭脚镇人和社区就业服务站、旺甫镇龙洞村就业服务站、京南镇长发社区就业服务站、狮寨镇古东村就业服务站、京南镇合水村就业服务站、梨埠镇凤仪村就业服务站、沙头镇横江村就业服务站）正常运转。                         3.确保服务站点内各项设施设备、功能分区、服务标识等正常使用、运转、更新。          4.汇总整理各类市场主体用工信息、求职者信息。</w:t>
            </w:r>
          </w:p>
        </w:tc>
        <w:tc>
          <w:tcPr>
            <w:tcW w:w="700" w:type="dxa"/>
            <w:shd w:val="clear" w:color="auto" w:fill="auto"/>
            <w:noWrap/>
            <w:vAlign w:val="center"/>
          </w:tcPr>
          <w:p w14:paraId="652DF13E">
            <w:pPr>
              <w:widowControl/>
              <w:jc w:val="center"/>
              <w:rPr>
                <w:rFonts w:ascii="宋体" w:hAnsi="宋体" w:cs="宋体"/>
                <w:color w:val="auto"/>
                <w:sz w:val="24"/>
                <w:highlight w:val="none"/>
              </w:rPr>
            </w:pPr>
            <w:r>
              <w:rPr>
                <w:rFonts w:hint="eastAsia" w:ascii="宋体" w:hAnsi="宋体" w:cs="宋体"/>
                <w:color w:val="auto"/>
                <w:sz w:val="24"/>
                <w:highlight w:val="none"/>
                <w:lang w:bidi="ar"/>
              </w:rPr>
              <w:t>11</w:t>
            </w:r>
          </w:p>
        </w:tc>
        <w:tc>
          <w:tcPr>
            <w:tcW w:w="2944" w:type="dxa"/>
            <w:shd w:val="clear" w:color="auto" w:fill="auto"/>
            <w:vAlign w:val="center"/>
          </w:tcPr>
          <w:p w14:paraId="36B728EA">
            <w:pPr>
              <w:widowControl/>
              <w:numPr>
                <w:ilvl w:val="0"/>
                <w:numId w:val="1"/>
              </w:numPr>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没有按要求安排人员响应服务，扣3分；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2.发现1个村级服务站不能正常开展服务，扣3分；                               3.未按要求协助管理服务站扣5分。            </w:t>
            </w:r>
          </w:p>
          <w:p w14:paraId="72728AC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4.每发现1次村级就业服务站各项设施设备、功能分区、服务标识等不能正常使用、运转、更新的，扣1分。                        5.没有汇总整理各类市场主体用工信息、求职者信息，扣3分。                                      本项合计最高扣11分。</w:t>
            </w:r>
          </w:p>
        </w:tc>
        <w:tc>
          <w:tcPr>
            <w:tcW w:w="1786" w:type="dxa"/>
            <w:shd w:val="clear" w:color="auto" w:fill="auto"/>
            <w:vAlign w:val="center"/>
          </w:tcPr>
          <w:p w14:paraId="17974E0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第1项、第2项、第3项如果有扣分，每个站点都要扣相应分。通过核查工作台账或查阅资料材料或现场核查等方式考核评分。</w:t>
            </w:r>
          </w:p>
        </w:tc>
      </w:tr>
      <w:tr w14:paraId="1338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751" w:type="dxa"/>
            <w:vMerge w:val="restart"/>
            <w:shd w:val="clear" w:color="auto" w:fill="auto"/>
            <w:vAlign w:val="center"/>
          </w:tcPr>
          <w:p w14:paraId="1618E985">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（十三）加分项目</w:t>
            </w:r>
          </w:p>
        </w:tc>
        <w:tc>
          <w:tcPr>
            <w:tcW w:w="534" w:type="dxa"/>
            <w:shd w:val="clear" w:color="auto" w:fill="auto"/>
            <w:vAlign w:val="center"/>
          </w:tcPr>
          <w:p w14:paraId="0D894122">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被市、省、部级媒体报道</w:t>
            </w:r>
          </w:p>
        </w:tc>
        <w:tc>
          <w:tcPr>
            <w:tcW w:w="450" w:type="dxa"/>
            <w:shd w:val="clear" w:color="auto" w:fill="auto"/>
            <w:vAlign w:val="center"/>
          </w:tcPr>
          <w:p w14:paraId="7FCE463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26</w:t>
            </w:r>
          </w:p>
        </w:tc>
        <w:tc>
          <w:tcPr>
            <w:tcW w:w="2572" w:type="dxa"/>
            <w:shd w:val="clear" w:color="auto" w:fill="auto"/>
            <w:vAlign w:val="center"/>
          </w:tcPr>
          <w:p w14:paraId="41B626BC">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工作成绩成效突出，被媒体正面报道</w:t>
            </w:r>
          </w:p>
        </w:tc>
        <w:tc>
          <w:tcPr>
            <w:tcW w:w="700" w:type="dxa"/>
            <w:vMerge w:val="restart"/>
            <w:shd w:val="clear" w:color="auto" w:fill="auto"/>
            <w:vAlign w:val="center"/>
          </w:tcPr>
          <w:p w14:paraId="4DD4B36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最高可加20分</w:t>
            </w:r>
          </w:p>
        </w:tc>
        <w:tc>
          <w:tcPr>
            <w:tcW w:w="2944" w:type="dxa"/>
            <w:shd w:val="clear" w:color="auto" w:fill="auto"/>
            <w:vAlign w:val="center"/>
          </w:tcPr>
          <w:p w14:paraId="0C40D4A2">
            <w:pPr>
              <w:widowControl/>
              <w:numPr>
                <w:ilvl w:val="0"/>
                <w:numId w:val="2"/>
              </w:numPr>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 xml:space="preserve">中央媒体正面报道，一次加3分；             </w:t>
            </w:r>
          </w:p>
          <w:p w14:paraId="7AB28FD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2.省领导批示、省级媒体正面报道，一次加2分；                                    3.梧州市级媒体正面报道，一次加1分。</w:t>
            </w:r>
          </w:p>
        </w:tc>
        <w:tc>
          <w:tcPr>
            <w:tcW w:w="1786" w:type="dxa"/>
            <w:vMerge w:val="restart"/>
            <w:shd w:val="clear" w:color="auto" w:fill="auto"/>
            <w:vAlign w:val="center"/>
          </w:tcPr>
          <w:p w14:paraId="7156F1B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整体加分。通过核查工作台账或查阅资料视频或现场核查等方式考核评分。如服务考核内容有一项为0分，该项设加分上限为5分。</w:t>
            </w:r>
          </w:p>
        </w:tc>
      </w:tr>
      <w:tr w14:paraId="0304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51" w:type="dxa"/>
            <w:vMerge w:val="continue"/>
            <w:shd w:val="clear" w:color="auto" w:fill="auto"/>
            <w:vAlign w:val="center"/>
          </w:tcPr>
          <w:p w14:paraId="2B332265">
            <w:pPr>
              <w:jc w:val="left"/>
              <w:rPr>
                <w:rFonts w:ascii="宋体" w:hAnsi="宋体" w:cs="宋体"/>
                <w:b/>
                <w:bCs/>
                <w:color w:val="auto"/>
                <w:sz w:val="22"/>
                <w:szCs w:val="22"/>
                <w:highlight w:val="none"/>
              </w:rPr>
            </w:pPr>
          </w:p>
        </w:tc>
        <w:tc>
          <w:tcPr>
            <w:tcW w:w="534" w:type="dxa"/>
            <w:shd w:val="clear" w:color="auto" w:fill="auto"/>
            <w:vAlign w:val="center"/>
          </w:tcPr>
          <w:p w14:paraId="699EF9A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培育劳务品牌</w:t>
            </w:r>
          </w:p>
        </w:tc>
        <w:tc>
          <w:tcPr>
            <w:tcW w:w="450" w:type="dxa"/>
            <w:shd w:val="clear" w:color="auto" w:fill="auto"/>
            <w:vAlign w:val="center"/>
          </w:tcPr>
          <w:p w14:paraId="785F6E4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27</w:t>
            </w:r>
          </w:p>
        </w:tc>
        <w:tc>
          <w:tcPr>
            <w:tcW w:w="2572" w:type="dxa"/>
            <w:shd w:val="clear" w:color="auto" w:fill="auto"/>
            <w:vAlign w:val="center"/>
          </w:tcPr>
          <w:p w14:paraId="1988615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依托就业服务站培育具有当地特色劳务品牌，具有一定的品牌效应。</w:t>
            </w:r>
          </w:p>
        </w:tc>
        <w:tc>
          <w:tcPr>
            <w:tcW w:w="700" w:type="dxa"/>
            <w:vMerge w:val="continue"/>
            <w:shd w:val="clear" w:color="auto" w:fill="auto"/>
            <w:vAlign w:val="center"/>
          </w:tcPr>
          <w:p w14:paraId="6039D817">
            <w:pPr>
              <w:jc w:val="center"/>
              <w:rPr>
                <w:rFonts w:ascii="宋体" w:hAnsi="宋体" w:cs="宋体"/>
                <w:color w:val="auto"/>
                <w:sz w:val="22"/>
                <w:szCs w:val="22"/>
                <w:highlight w:val="none"/>
              </w:rPr>
            </w:pPr>
          </w:p>
        </w:tc>
        <w:tc>
          <w:tcPr>
            <w:tcW w:w="2944" w:type="dxa"/>
            <w:shd w:val="clear" w:color="auto" w:fill="auto"/>
            <w:vAlign w:val="center"/>
          </w:tcPr>
          <w:p w14:paraId="19B2026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发展一项劳务品牌，加2分。</w:t>
            </w:r>
          </w:p>
        </w:tc>
        <w:tc>
          <w:tcPr>
            <w:tcW w:w="1786" w:type="dxa"/>
            <w:vMerge w:val="continue"/>
            <w:shd w:val="clear" w:color="auto" w:fill="auto"/>
            <w:vAlign w:val="center"/>
          </w:tcPr>
          <w:p w14:paraId="1C18431A">
            <w:pPr>
              <w:jc w:val="left"/>
              <w:rPr>
                <w:rFonts w:ascii="宋体" w:hAnsi="宋体" w:cs="宋体"/>
                <w:color w:val="auto"/>
                <w:sz w:val="22"/>
                <w:szCs w:val="22"/>
                <w:highlight w:val="none"/>
              </w:rPr>
            </w:pPr>
          </w:p>
        </w:tc>
      </w:tr>
      <w:tr w14:paraId="478E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51" w:type="dxa"/>
            <w:vMerge w:val="continue"/>
            <w:shd w:val="clear" w:color="auto" w:fill="auto"/>
            <w:vAlign w:val="center"/>
          </w:tcPr>
          <w:p w14:paraId="6689BE7B">
            <w:pPr>
              <w:jc w:val="left"/>
              <w:rPr>
                <w:rFonts w:ascii="宋体" w:hAnsi="宋体" w:cs="宋体"/>
                <w:b/>
                <w:bCs/>
                <w:color w:val="auto"/>
                <w:sz w:val="22"/>
                <w:szCs w:val="22"/>
                <w:highlight w:val="none"/>
              </w:rPr>
            </w:pPr>
          </w:p>
        </w:tc>
        <w:tc>
          <w:tcPr>
            <w:tcW w:w="534" w:type="dxa"/>
            <w:shd w:val="clear" w:color="auto" w:fill="auto"/>
            <w:vAlign w:val="center"/>
          </w:tcPr>
          <w:p w14:paraId="00DC3416">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得到采购人认可</w:t>
            </w:r>
          </w:p>
        </w:tc>
        <w:tc>
          <w:tcPr>
            <w:tcW w:w="450" w:type="dxa"/>
            <w:shd w:val="clear" w:color="auto" w:fill="auto"/>
            <w:vAlign w:val="center"/>
          </w:tcPr>
          <w:p w14:paraId="12706037">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28</w:t>
            </w:r>
          </w:p>
        </w:tc>
        <w:tc>
          <w:tcPr>
            <w:tcW w:w="2572" w:type="dxa"/>
            <w:shd w:val="clear" w:color="auto" w:fill="auto"/>
            <w:vAlign w:val="center"/>
          </w:tcPr>
          <w:p w14:paraId="6C508E3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工作上有突出成效，得到</w:t>
            </w:r>
            <w:r>
              <w:rPr>
                <w:color w:val="auto"/>
                <w:highlight w:val="none"/>
              </w:rPr>
              <w:t>采购人</w:t>
            </w:r>
            <w:r>
              <w:rPr>
                <w:rFonts w:hint="eastAsia" w:ascii="宋体" w:hAnsi="宋体" w:cs="宋体"/>
                <w:color w:val="auto"/>
                <w:sz w:val="22"/>
                <w:szCs w:val="22"/>
                <w:highlight w:val="none"/>
                <w:lang w:bidi="ar"/>
              </w:rPr>
              <w:t>认可的。</w:t>
            </w:r>
          </w:p>
        </w:tc>
        <w:tc>
          <w:tcPr>
            <w:tcW w:w="700" w:type="dxa"/>
            <w:vMerge w:val="continue"/>
            <w:shd w:val="clear" w:color="auto" w:fill="auto"/>
            <w:vAlign w:val="center"/>
          </w:tcPr>
          <w:p w14:paraId="63348F45">
            <w:pPr>
              <w:jc w:val="center"/>
              <w:rPr>
                <w:rFonts w:ascii="宋体" w:hAnsi="宋体" w:cs="宋体"/>
                <w:color w:val="auto"/>
                <w:sz w:val="22"/>
                <w:szCs w:val="22"/>
                <w:highlight w:val="none"/>
              </w:rPr>
            </w:pPr>
          </w:p>
        </w:tc>
        <w:tc>
          <w:tcPr>
            <w:tcW w:w="2944" w:type="dxa"/>
            <w:shd w:val="clear" w:color="auto" w:fill="auto"/>
            <w:vAlign w:val="center"/>
          </w:tcPr>
          <w:p w14:paraId="452C813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在就业服务质量提升方面有工作亮点或突出成效的，经</w:t>
            </w:r>
            <w:r>
              <w:rPr>
                <w:color w:val="auto"/>
                <w:highlight w:val="none"/>
              </w:rPr>
              <w:t>采购人</w:t>
            </w:r>
            <w:r>
              <w:rPr>
                <w:rFonts w:hint="eastAsia" w:ascii="宋体" w:hAnsi="宋体" w:cs="宋体"/>
                <w:color w:val="auto"/>
                <w:sz w:val="22"/>
                <w:szCs w:val="22"/>
                <w:highlight w:val="none"/>
                <w:lang w:bidi="ar"/>
              </w:rPr>
              <w:t>认可的，给予加分，一项工作加2分。</w:t>
            </w:r>
          </w:p>
        </w:tc>
        <w:tc>
          <w:tcPr>
            <w:tcW w:w="1786" w:type="dxa"/>
            <w:vMerge w:val="continue"/>
            <w:shd w:val="clear" w:color="auto" w:fill="auto"/>
            <w:vAlign w:val="center"/>
          </w:tcPr>
          <w:p w14:paraId="263835EB">
            <w:pPr>
              <w:jc w:val="left"/>
              <w:rPr>
                <w:rFonts w:ascii="宋体" w:hAnsi="宋体" w:cs="宋体"/>
                <w:color w:val="auto"/>
                <w:sz w:val="22"/>
                <w:szCs w:val="22"/>
                <w:highlight w:val="none"/>
              </w:rPr>
            </w:pPr>
          </w:p>
        </w:tc>
      </w:tr>
      <w:tr w14:paraId="0341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51" w:type="dxa"/>
            <w:vMerge w:val="restart"/>
            <w:shd w:val="clear" w:color="auto" w:fill="auto"/>
            <w:vAlign w:val="center"/>
          </w:tcPr>
          <w:p w14:paraId="3775758B">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（十四）扣分项目</w:t>
            </w:r>
          </w:p>
        </w:tc>
        <w:tc>
          <w:tcPr>
            <w:tcW w:w="534" w:type="dxa"/>
            <w:shd w:val="clear" w:color="auto" w:fill="auto"/>
            <w:vAlign w:val="center"/>
          </w:tcPr>
          <w:p w14:paraId="2791D9DD">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被服务对象投诉</w:t>
            </w:r>
          </w:p>
        </w:tc>
        <w:tc>
          <w:tcPr>
            <w:tcW w:w="450" w:type="dxa"/>
            <w:shd w:val="clear" w:color="auto" w:fill="auto"/>
            <w:vAlign w:val="center"/>
          </w:tcPr>
          <w:p w14:paraId="5E3E6E9E">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29</w:t>
            </w:r>
          </w:p>
        </w:tc>
        <w:tc>
          <w:tcPr>
            <w:tcW w:w="2572" w:type="dxa"/>
            <w:shd w:val="clear" w:color="auto" w:fill="auto"/>
            <w:vAlign w:val="center"/>
          </w:tcPr>
          <w:p w14:paraId="5F35257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被群众或用工主体投诉，影响了政府形象。</w:t>
            </w:r>
          </w:p>
        </w:tc>
        <w:tc>
          <w:tcPr>
            <w:tcW w:w="700" w:type="dxa"/>
            <w:vMerge w:val="restart"/>
            <w:shd w:val="clear" w:color="auto" w:fill="auto"/>
            <w:vAlign w:val="center"/>
          </w:tcPr>
          <w:p w14:paraId="30A4A06D">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最高可扣20分</w:t>
            </w:r>
          </w:p>
        </w:tc>
        <w:tc>
          <w:tcPr>
            <w:tcW w:w="2944" w:type="dxa"/>
            <w:shd w:val="clear" w:color="auto" w:fill="auto"/>
            <w:vAlign w:val="center"/>
          </w:tcPr>
          <w:p w14:paraId="42E93EB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被投诉举报，核查属实，出现一次减2分</w:t>
            </w:r>
          </w:p>
        </w:tc>
        <w:tc>
          <w:tcPr>
            <w:tcW w:w="1786" w:type="dxa"/>
            <w:vMerge w:val="restart"/>
            <w:shd w:val="clear" w:color="auto" w:fill="auto"/>
            <w:vAlign w:val="center"/>
          </w:tcPr>
          <w:p w14:paraId="1A0DD88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单独扣分。以实际收到材料评估考核。</w:t>
            </w:r>
          </w:p>
        </w:tc>
      </w:tr>
      <w:tr w14:paraId="16AB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51" w:type="dxa"/>
            <w:vMerge w:val="continue"/>
            <w:shd w:val="clear" w:color="auto" w:fill="auto"/>
            <w:vAlign w:val="center"/>
          </w:tcPr>
          <w:p w14:paraId="4C43AFCB">
            <w:pPr>
              <w:jc w:val="left"/>
              <w:rPr>
                <w:rFonts w:ascii="宋体" w:hAnsi="宋体" w:cs="宋体"/>
                <w:b/>
                <w:bCs/>
                <w:color w:val="auto"/>
                <w:sz w:val="22"/>
                <w:szCs w:val="22"/>
                <w:highlight w:val="none"/>
              </w:rPr>
            </w:pPr>
          </w:p>
        </w:tc>
        <w:tc>
          <w:tcPr>
            <w:tcW w:w="534" w:type="dxa"/>
            <w:shd w:val="clear" w:color="auto" w:fill="auto"/>
            <w:vAlign w:val="center"/>
          </w:tcPr>
          <w:p w14:paraId="13E01430">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工作上弄虚作假</w:t>
            </w:r>
          </w:p>
        </w:tc>
        <w:tc>
          <w:tcPr>
            <w:tcW w:w="450" w:type="dxa"/>
            <w:shd w:val="clear" w:color="auto" w:fill="auto"/>
            <w:vAlign w:val="center"/>
          </w:tcPr>
          <w:p w14:paraId="2BA8597E">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30</w:t>
            </w:r>
          </w:p>
        </w:tc>
        <w:tc>
          <w:tcPr>
            <w:tcW w:w="2572" w:type="dxa"/>
            <w:shd w:val="clear" w:color="auto" w:fill="auto"/>
            <w:vAlign w:val="center"/>
          </w:tcPr>
          <w:p w14:paraId="4DB6444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考核工作提供虚假材料或数据。</w:t>
            </w:r>
          </w:p>
        </w:tc>
        <w:tc>
          <w:tcPr>
            <w:tcW w:w="700" w:type="dxa"/>
            <w:vMerge w:val="continue"/>
            <w:shd w:val="clear" w:color="auto" w:fill="auto"/>
            <w:vAlign w:val="center"/>
          </w:tcPr>
          <w:p w14:paraId="7391FB08">
            <w:pPr>
              <w:jc w:val="center"/>
              <w:rPr>
                <w:rFonts w:ascii="宋体" w:hAnsi="宋体" w:cs="宋体"/>
                <w:color w:val="auto"/>
                <w:sz w:val="22"/>
                <w:szCs w:val="22"/>
                <w:highlight w:val="none"/>
              </w:rPr>
            </w:pPr>
          </w:p>
        </w:tc>
        <w:tc>
          <w:tcPr>
            <w:tcW w:w="2944" w:type="dxa"/>
            <w:shd w:val="clear" w:color="auto" w:fill="auto"/>
            <w:vAlign w:val="center"/>
          </w:tcPr>
          <w:p w14:paraId="4B8FD251">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考核材料弄虚作假影响考核的，每次扣10分。</w:t>
            </w:r>
          </w:p>
        </w:tc>
        <w:tc>
          <w:tcPr>
            <w:tcW w:w="1786" w:type="dxa"/>
            <w:vMerge w:val="continue"/>
            <w:shd w:val="clear" w:color="auto" w:fill="auto"/>
            <w:vAlign w:val="center"/>
          </w:tcPr>
          <w:p w14:paraId="6F0716D0">
            <w:pPr>
              <w:jc w:val="left"/>
              <w:rPr>
                <w:rFonts w:ascii="宋体" w:hAnsi="宋体" w:cs="宋体"/>
                <w:color w:val="auto"/>
                <w:sz w:val="22"/>
                <w:szCs w:val="22"/>
                <w:highlight w:val="none"/>
              </w:rPr>
            </w:pPr>
          </w:p>
        </w:tc>
      </w:tr>
      <w:tr w14:paraId="0665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751" w:type="dxa"/>
            <w:vMerge w:val="continue"/>
            <w:shd w:val="clear" w:color="auto" w:fill="auto"/>
            <w:vAlign w:val="center"/>
          </w:tcPr>
          <w:p w14:paraId="3CB8A6F9">
            <w:pPr>
              <w:jc w:val="left"/>
              <w:rPr>
                <w:rFonts w:ascii="宋体" w:hAnsi="宋体" w:cs="宋体"/>
                <w:b/>
                <w:bCs/>
                <w:color w:val="auto"/>
                <w:sz w:val="22"/>
                <w:szCs w:val="22"/>
                <w:highlight w:val="none"/>
              </w:rPr>
            </w:pPr>
          </w:p>
        </w:tc>
        <w:tc>
          <w:tcPr>
            <w:tcW w:w="534" w:type="dxa"/>
            <w:shd w:val="clear" w:color="auto" w:fill="auto"/>
            <w:vAlign w:val="center"/>
          </w:tcPr>
          <w:p w14:paraId="1D6C754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有其他不良影响</w:t>
            </w:r>
          </w:p>
        </w:tc>
        <w:tc>
          <w:tcPr>
            <w:tcW w:w="450" w:type="dxa"/>
            <w:shd w:val="clear" w:color="auto" w:fill="auto"/>
            <w:vAlign w:val="center"/>
          </w:tcPr>
          <w:p w14:paraId="7B7A9F35">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31</w:t>
            </w:r>
          </w:p>
        </w:tc>
        <w:tc>
          <w:tcPr>
            <w:tcW w:w="2572" w:type="dxa"/>
            <w:shd w:val="clear" w:color="auto" w:fill="auto"/>
            <w:vAlign w:val="center"/>
          </w:tcPr>
          <w:p w14:paraId="26F1EAA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开展业务工作中，有不良行为造成了不良影响</w:t>
            </w:r>
          </w:p>
        </w:tc>
        <w:tc>
          <w:tcPr>
            <w:tcW w:w="700" w:type="dxa"/>
            <w:vMerge w:val="continue"/>
            <w:shd w:val="clear" w:color="auto" w:fill="auto"/>
            <w:vAlign w:val="center"/>
          </w:tcPr>
          <w:p w14:paraId="3688F4EB">
            <w:pPr>
              <w:jc w:val="center"/>
              <w:rPr>
                <w:rFonts w:ascii="宋体" w:hAnsi="宋体" w:cs="宋体"/>
                <w:color w:val="auto"/>
                <w:sz w:val="22"/>
                <w:szCs w:val="22"/>
                <w:highlight w:val="none"/>
              </w:rPr>
            </w:pPr>
          </w:p>
        </w:tc>
        <w:tc>
          <w:tcPr>
            <w:tcW w:w="2944" w:type="dxa"/>
            <w:shd w:val="clear" w:color="auto" w:fill="auto"/>
            <w:vAlign w:val="center"/>
          </w:tcPr>
          <w:p w14:paraId="3832CFA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开展业务过程中造成不良影响的，一次最低扣5分，造成重大影响的，可以直接认定为考核不合格，直至终止合作；不良影响程度由</w:t>
            </w:r>
            <w:r>
              <w:rPr>
                <w:color w:val="auto"/>
                <w:highlight w:val="none"/>
              </w:rPr>
              <w:t>采购人</w:t>
            </w:r>
            <w:r>
              <w:rPr>
                <w:rFonts w:hint="eastAsia" w:ascii="宋体" w:hAnsi="宋体" w:cs="宋体"/>
                <w:color w:val="auto"/>
                <w:sz w:val="22"/>
                <w:szCs w:val="22"/>
                <w:highlight w:val="none"/>
                <w:lang w:bidi="ar"/>
              </w:rPr>
              <w:t>认定。</w:t>
            </w:r>
          </w:p>
        </w:tc>
        <w:tc>
          <w:tcPr>
            <w:tcW w:w="1786" w:type="dxa"/>
            <w:vMerge w:val="continue"/>
            <w:shd w:val="clear" w:color="auto" w:fill="auto"/>
            <w:vAlign w:val="center"/>
          </w:tcPr>
          <w:p w14:paraId="28B394C3">
            <w:pPr>
              <w:jc w:val="left"/>
              <w:rPr>
                <w:rFonts w:ascii="宋体" w:hAnsi="宋体" w:cs="宋体"/>
                <w:color w:val="auto"/>
                <w:sz w:val="22"/>
                <w:szCs w:val="22"/>
                <w:highlight w:val="none"/>
              </w:rPr>
            </w:pPr>
          </w:p>
        </w:tc>
      </w:tr>
      <w:tr w14:paraId="6B13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1" w:type="dxa"/>
            <w:shd w:val="clear" w:color="auto" w:fill="auto"/>
            <w:vAlign w:val="center"/>
          </w:tcPr>
          <w:p w14:paraId="479D58CC">
            <w:pPr>
              <w:rPr>
                <w:rFonts w:ascii="宋体" w:hAnsi="宋体" w:cs="宋体"/>
                <w:color w:val="auto"/>
                <w:sz w:val="24"/>
                <w:highlight w:val="none"/>
              </w:rPr>
            </w:pPr>
          </w:p>
        </w:tc>
        <w:tc>
          <w:tcPr>
            <w:tcW w:w="534" w:type="dxa"/>
            <w:shd w:val="clear" w:color="auto" w:fill="auto"/>
            <w:vAlign w:val="center"/>
          </w:tcPr>
          <w:p w14:paraId="75B12E60">
            <w:pPr>
              <w:rPr>
                <w:rFonts w:ascii="宋体" w:hAnsi="宋体" w:cs="宋体"/>
                <w:color w:val="auto"/>
                <w:sz w:val="24"/>
                <w:highlight w:val="none"/>
              </w:rPr>
            </w:pPr>
          </w:p>
        </w:tc>
        <w:tc>
          <w:tcPr>
            <w:tcW w:w="450" w:type="dxa"/>
            <w:shd w:val="clear" w:color="auto" w:fill="auto"/>
            <w:vAlign w:val="center"/>
          </w:tcPr>
          <w:p w14:paraId="44AC6968">
            <w:pPr>
              <w:rPr>
                <w:rFonts w:ascii="宋体" w:hAnsi="宋体" w:cs="宋体"/>
                <w:color w:val="auto"/>
                <w:sz w:val="24"/>
                <w:highlight w:val="none"/>
              </w:rPr>
            </w:pPr>
          </w:p>
        </w:tc>
        <w:tc>
          <w:tcPr>
            <w:tcW w:w="2572" w:type="dxa"/>
            <w:shd w:val="clear" w:color="auto" w:fill="auto"/>
            <w:vAlign w:val="center"/>
          </w:tcPr>
          <w:p w14:paraId="1BC4C3AB">
            <w:pPr>
              <w:rPr>
                <w:rFonts w:ascii="宋体" w:hAnsi="宋体" w:cs="宋体"/>
                <w:color w:val="auto"/>
                <w:sz w:val="24"/>
                <w:highlight w:val="none"/>
              </w:rPr>
            </w:pPr>
          </w:p>
        </w:tc>
        <w:tc>
          <w:tcPr>
            <w:tcW w:w="700" w:type="dxa"/>
            <w:shd w:val="clear" w:color="auto" w:fill="auto"/>
            <w:vAlign w:val="center"/>
          </w:tcPr>
          <w:p w14:paraId="4DA1D409">
            <w:pPr>
              <w:widowControl/>
              <w:jc w:val="center"/>
              <w:rPr>
                <w:rFonts w:ascii="宋体" w:hAnsi="宋体" w:cs="宋体"/>
                <w:color w:val="auto"/>
                <w:sz w:val="24"/>
                <w:highlight w:val="none"/>
              </w:rPr>
            </w:pPr>
            <w:r>
              <w:rPr>
                <w:rFonts w:hint="eastAsia" w:ascii="宋体" w:hAnsi="宋体" w:cs="宋体"/>
                <w:color w:val="auto"/>
                <w:sz w:val="24"/>
                <w:highlight w:val="none"/>
                <w:lang w:bidi="ar"/>
              </w:rPr>
              <w:t>100</w:t>
            </w:r>
          </w:p>
        </w:tc>
        <w:tc>
          <w:tcPr>
            <w:tcW w:w="2944" w:type="dxa"/>
            <w:shd w:val="clear" w:color="auto" w:fill="auto"/>
            <w:vAlign w:val="center"/>
          </w:tcPr>
          <w:p w14:paraId="4481CE35">
            <w:pPr>
              <w:rPr>
                <w:rFonts w:ascii="宋体" w:hAnsi="宋体" w:cs="宋体"/>
                <w:color w:val="auto"/>
                <w:sz w:val="24"/>
                <w:highlight w:val="none"/>
              </w:rPr>
            </w:pPr>
          </w:p>
        </w:tc>
        <w:tc>
          <w:tcPr>
            <w:tcW w:w="1786" w:type="dxa"/>
            <w:shd w:val="clear" w:color="auto" w:fill="auto"/>
            <w:vAlign w:val="center"/>
          </w:tcPr>
          <w:p w14:paraId="70A8EF58">
            <w:pPr>
              <w:rPr>
                <w:rFonts w:ascii="宋体" w:hAnsi="宋体" w:cs="宋体"/>
                <w:color w:val="auto"/>
                <w:sz w:val="24"/>
                <w:highlight w:val="none"/>
              </w:rPr>
            </w:pPr>
          </w:p>
        </w:tc>
      </w:tr>
      <w:tr w14:paraId="64F0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0" w:hRule="atLeast"/>
        </w:trPr>
        <w:tc>
          <w:tcPr>
            <w:tcW w:w="9737" w:type="dxa"/>
            <w:gridSpan w:val="7"/>
            <w:shd w:val="clear" w:color="auto" w:fill="auto"/>
            <w:vAlign w:val="center"/>
          </w:tcPr>
          <w:p w14:paraId="53F3F0FE">
            <w:pPr>
              <w:widowControl/>
              <w:jc w:val="left"/>
              <w:rPr>
                <w:rFonts w:ascii="宋体" w:hAnsi="宋体" w:cs="宋体"/>
                <w:color w:val="auto"/>
                <w:sz w:val="32"/>
                <w:szCs w:val="32"/>
                <w:highlight w:val="none"/>
              </w:rPr>
            </w:pPr>
            <w:r>
              <w:rPr>
                <w:rFonts w:hint="eastAsia" w:ascii="宋体" w:hAnsi="宋体" w:cs="宋体"/>
                <w:color w:val="auto"/>
                <w:sz w:val="32"/>
                <w:szCs w:val="32"/>
                <w:highlight w:val="none"/>
                <w:lang w:bidi="ar"/>
              </w:rPr>
              <w:t xml:space="preserve">   </w:t>
            </w:r>
            <w:r>
              <w:rPr>
                <w:rFonts w:hint="eastAsia" w:ascii="宋体" w:hAnsi="宋体" w:cs="宋体"/>
                <w:color w:val="auto"/>
                <w:sz w:val="22"/>
                <w:szCs w:val="22"/>
                <w:highlight w:val="none"/>
                <w:lang w:bidi="ar"/>
              </w:rPr>
              <w:t xml:space="preserve"> 根据苍梧县镇级就业服务站的定位，经采购人和供应商双方研究，一致同意并确认以上考核项目、考核内容、分值、评分标准及考核方式等事项（以上考核内容为单个镇级就业服务站的考核内容，需要合并考核的内容在评分标准和考核方式等方面已有说明），一致同意针对第1至第25项考核内容，若供应商有任何一项未能完成，须提交书面说明，并在下一考核周期内完成整改。若同一项目连续两个周期仍未达标且未完成整改，采购人有权从该镇级就业服务站点对应的总服务费中扣除10%作为违约金。按照以上考核内容及约定得出的考核结果采购人和供应商双方将予以认可。</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采购人（盖章）：                    供应商（盖章）：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法定代表人或授权代表：            法定代表人或授权代表：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确认日期：                        确认日期：  </w:t>
            </w:r>
            <w:r>
              <w:rPr>
                <w:rFonts w:hint="eastAsia" w:ascii="宋体" w:hAnsi="宋体" w:cs="宋体"/>
                <w:color w:val="auto"/>
                <w:sz w:val="32"/>
                <w:szCs w:val="32"/>
                <w:highlight w:val="none"/>
                <w:lang w:bidi="ar"/>
              </w:rPr>
              <w:t xml:space="preserve">                          </w:t>
            </w:r>
          </w:p>
        </w:tc>
      </w:tr>
    </w:tbl>
    <w:p w14:paraId="1A490E4E">
      <w:pP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clear="all"/>
      </w:r>
    </w:p>
    <w:p w14:paraId="1619B1A6">
      <w:pPr>
        <w:pStyle w:val="8"/>
        <w:rPr>
          <w:color w:val="auto"/>
          <w:highlight w:val="none"/>
        </w:rPr>
      </w:pPr>
    </w:p>
    <w:p w14:paraId="6564E377">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附件3</w:t>
      </w:r>
    </w:p>
    <w:tbl>
      <w:tblPr>
        <w:tblStyle w:val="46"/>
        <w:tblW w:w="9689" w:type="dxa"/>
        <w:tblInd w:w="93" w:type="dxa"/>
        <w:tblLayout w:type="fixed"/>
        <w:tblCellMar>
          <w:top w:w="0" w:type="dxa"/>
          <w:left w:w="108" w:type="dxa"/>
          <w:bottom w:w="0" w:type="dxa"/>
          <w:right w:w="108" w:type="dxa"/>
        </w:tblCellMar>
      </w:tblPr>
      <w:tblGrid>
        <w:gridCol w:w="739"/>
        <w:gridCol w:w="693"/>
        <w:gridCol w:w="463"/>
        <w:gridCol w:w="2437"/>
        <w:gridCol w:w="625"/>
        <w:gridCol w:w="3007"/>
        <w:gridCol w:w="1725"/>
      </w:tblGrid>
      <w:tr w14:paraId="46A5A062">
        <w:tblPrEx>
          <w:tblCellMar>
            <w:top w:w="0" w:type="dxa"/>
            <w:left w:w="108" w:type="dxa"/>
            <w:bottom w:w="0" w:type="dxa"/>
            <w:right w:w="108" w:type="dxa"/>
          </w:tblCellMar>
        </w:tblPrEx>
        <w:trPr>
          <w:trHeight w:val="1440" w:hRule="atLeast"/>
        </w:trPr>
        <w:tc>
          <w:tcPr>
            <w:tcW w:w="9689" w:type="dxa"/>
            <w:gridSpan w:val="7"/>
            <w:tcBorders>
              <w:top w:val="nil"/>
              <w:left w:val="nil"/>
              <w:bottom w:val="single" w:color="auto" w:sz="4" w:space="0"/>
              <w:right w:val="nil"/>
            </w:tcBorders>
            <w:shd w:val="clear" w:color="auto" w:fill="auto"/>
            <w:vAlign w:val="center"/>
          </w:tcPr>
          <w:p w14:paraId="453BBB66">
            <w:pPr>
              <w:widowControl/>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bidi="ar"/>
              </w:rPr>
              <w:t>3个零工市场运营服务考核内容</w:t>
            </w:r>
          </w:p>
        </w:tc>
      </w:tr>
      <w:tr w14:paraId="52C1371F">
        <w:tblPrEx>
          <w:tblCellMar>
            <w:top w:w="0" w:type="dxa"/>
            <w:left w:w="108" w:type="dxa"/>
            <w:bottom w:w="0" w:type="dxa"/>
            <w:right w:w="108" w:type="dxa"/>
          </w:tblCellMar>
        </w:tblPrEx>
        <w:trPr>
          <w:trHeight w:val="860" w:hRule="atLeast"/>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0A14E988">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类别</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3E11535">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考核事项</w:t>
            </w:r>
          </w:p>
        </w:tc>
        <w:tc>
          <w:tcPr>
            <w:tcW w:w="29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957E5E">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考核内容</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F8B7BF3">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分值</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096F3E53">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评分标准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5D4A16B1">
            <w:pPr>
              <w:widowControl/>
              <w:jc w:val="center"/>
              <w:rPr>
                <w:rFonts w:ascii="黑体" w:hAnsi="宋体" w:eastAsia="黑体" w:cs="黑体"/>
                <w:color w:val="auto"/>
                <w:sz w:val="28"/>
                <w:szCs w:val="28"/>
                <w:highlight w:val="none"/>
              </w:rPr>
            </w:pPr>
            <w:r>
              <w:rPr>
                <w:rFonts w:hint="eastAsia" w:ascii="黑体" w:hAnsi="宋体" w:eastAsia="黑体" w:cs="黑体"/>
                <w:color w:val="auto"/>
                <w:sz w:val="28"/>
                <w:szCs w:val="28"/>
                <w:highlight w:val="none"/>
                <w:lang w:bidi="ar"/>
              </w:rPr>
              <w:t>考核方式</w:t>
            </w:r>
          </w:p>
        </w:tc>
      </w:tr>
      <w:tr w14:paraId="695AC607">
        <w:tblPrEx>
          <w:tblCellMar>
            <w:top w:w="0" w:type="dxa"/>
            <w:left w:w="108" w:type="dxa"/>
            <w:bottom w:w="0" w:type="dxa"/>
            <w:right w:w="108" w:type="dxa"/>
          </w:tblCellMar>
        </w:tblPrEx>
        <w:trPr>
          <w:trHeight w:val="1840"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BF2DCA">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（一）服务保障和站点管理</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E766F30">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服务场所</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245B0F5D">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65D350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在指定场所运营零工市场，设置有统一标识，设置服务前台、交流洽谈区、信息发布区、便民服务区、自助服务区、视频直播区等基本功能区域，按业务可进行区域合并。</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425DE02">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tcPr>
          <w:p w14:paraId="32493F01">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1.不在指定场所开展运营服务，扣4分；                          2.在指定场所运营，基本功能区域每发现少1项或设置不合理的，扣1分；                                                 本项最高扣4分。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161B71A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通过实地或查看监控摄像或即时录制现场小视频等方式考核。</w:t>
            </w:r>
          </w:p>
        </w:tc>
      </w:tr>
      <w:tr w14:paraId="56638428">
        <w:tblPrEx>
          <w:tblCellMar>
            <w:top w:w="0" w:type="dxa"/>
            <w:left w:w="108" w:type="dxa"/>
            <w:bottom w:w="0" w:type="dxa"/>
            <w:right w:w="108" w:type="dxa"/>
          </w:tblCellMar>
        </w:tblPrEx>
        <w:trPr>
          <w:trHeight w:val="296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C49F9C">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CEFFE5B">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服务标识</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5795318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CA6BE1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统一命名规则、统一视觉识别、统一服务清单、统一服务规范。</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4F41775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3007" w:type="dxa"/>
            <w:tcBorders>
              <w:top w:val="single" w:color="auto" w:sz="4" w:space="0"/>
              <w:left w:val="single" w:color="auto" w:sz="4" w:space="0"/>
              <w:bottom w:val="single" w:color="auto" w:sz="4" w:space="0"/>
              <w:right w:val="single" w:color="auto" w:sz="4" w:space="0"/>
            </w:tcBorders>
            <w:shd w:val="clear" w:color="auto" w:fill="auto"/>
          </w:tcPr>
          <w:p w14:paraId="1CA2A5A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1.每发现1次标识标牌、徽标图案等损坏且不及时维修更换的，扣0.5分；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2.每发现1次命名规则、市场简介、服务背景、服务网点分布图、服务事项清单、服务标语、服务指引、服务时间、服务团队、管理服务规范等不符合要求或未及时更新内容的，扣0.5分；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3.每发现1次工作人员未统一着装或未配挂工牌的，扣0.1分。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本项合计最高扣3分。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1C36DAF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通过实地或查看监控摄像或即时录制现场小视频等方式考核。</w:t>
            </w:r>
          </w:p>
        </w:tc>
      </w:tr>
      <w:tr w14:paraId="75FC042C">
        <w:tblPrEx>
          <w:tblCellMar>
            <w:top w:w="0" w:type="dxa"/>
            <w:left w:w="108" w:type="dxa"/>
            <w:bottom w:w="0" w:type="dxa"/>
            <w:right w:w="108" w:type="dxa"/>
          </w:tblCellMar>
        </w:tblPrEx>
        <w:trPr>
          <w:trHeight w:val="154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897916">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5B18BF7A">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服务设施</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3433107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4F431569">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零工市场功能设备齐全，配备必要的电脑、办公桌、LED屏（发布信息）、休息座椅、饮水设备、空调、通风系统、充电插座等办公和便民服务设施设备。</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7B1C92D">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14F5A5B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1.对照规范配备标准，每发现1项配备不达标，扣1分；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2.每发现1次服务设备设施不能正常运行的，扣0.5分；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本项合计最高扣4分。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313F6DFA">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通过实地或查看监控摄像或即时录制现场小视频等方式考核。</w:t>
            </w:r>
          </w:p>
        </w:tc>
      </w:tr>
      <w:tr w14:paraId="0150C5AB">
        <w:tblPrEx>
          <w:tblCellMar>
            <w:top w:w="0" w:type="dxa"/>
            <w:left w:w="108" w:type="dxa"/>
            <w:bottom w:w="0" w:type="dxa"/>
            <w:right w:w="108" w:type="dxa"/>
          </w:tblCellMar>
        </w:tblPrEx>
        <w:trPr>
          <w:trHeight w:val="208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417ADE">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93F27A8">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服务队伍</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7CA3194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406E6D47">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至少配备4名人员（岭脚镇零工市场、木双镇零工市场至少安排1名专职人员按要求驻守站点，苍梧县零工市场需安排不少于2名专职人员），优先聘请有相关工作经验人员，组织开展岗前培训、业务培训，能独立完成各项业务办理。能够熟悉office办公软件，熟悉处理数据。</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1BB2F2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5</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7DD15D9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每少1人扣2.5分。                       本项合计最高扣5分。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52AA870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通过实地或查看监控摄像或即时录制现场小视频等方式考核。</w:t>
            </w:r>
          </w:p>
        </w:tc>
      </w:tr>
      <w:tr w14:paraId="15E833A6">
        <w:tblPrEx>
          <w:tblCellMar>
            <w:top w:w="0" w:type="dxa"/>
            <w:left w:w="108" w:type="dxa"/>
            <w:bottom w:w="0" w:type="dxa"/>
            <w:right w:w="108" w:type="dxa"/>
          </w:tblCellMar>
        </w:tblPrEx>
        <w:trPr>
          <w:trHeight w:val="186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608458">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202AA80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服务制度</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21B32D3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5</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26B0ED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建立并落实首问负责制、限时办结制、一次性告知制等工作制度，明确公共服务事项清单，规范服务流程，注重服务态度和服务礼仪，规范使用文明用语，严格遵守工作纪律。</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55A10B2E">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406C63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制定管理服务规范（含首问负责制、限时办结制、一次性告知制等）、安全生产管理、卫生管理、人员管理、设施设备管理、保密管理等制度并遵照执行，每发现1项不符合要求的，扣0.1分。                                 本项合计最高扣2分。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192F5D7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127540C5">
        <w:tblPrEx>
          <w:tblCellMar>
            <w:top w:w="0" w:type="dxa"/>
            <w:left w:w="108" w:type="dxa"/>
            <w:bottom w:w="0" w:type="dxa"/>
            <w:right w:w="108" w:type="dxa"/>
          </w:tblCellMar>
        </w:tblPrEx>
        <w:trPr>
          <w:trHeight w:val="228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798E79">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1C4D4621">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服务台账</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17FF0F2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6</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5A331B3E">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建立完善服务台账包括但不限于企业用工、求职登记、后续跟踪帮扶、业务开展情况等服务台账。</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6F1AFAB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5653D2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信息平台（无信息平台的通过纸质材料）对业务开展过程中产生的求职人员、用人单位的服务台账（包括但不限于咨询、求职、用工、就业服务和活动组织等内容）进行及时、分类归档（关键档案需提供原始纸质或影像材料支撑），每发现1项不符合要求的，扣0.5分。本项合计最高扣2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7E7E4B5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01ACF2B9">
        <w:tblPrEx>
          <w:tblCellMar>
            <w:top w:w="0" w:type="dxa"/>
            <w:left w:w="108" w:type="dxa"/>
            <w:bottom w:w="0" w:type="dxa"/>
            <w:right w:w="108" w:type="dxa"/>
          </w:tblCellMar>
        </w:tblPrEx>
        <w:trPr>
          <w:trHeight w:val="2540"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CB16FD">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（二）零工等信息收集与发布</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32FC99CB">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收集零工信息</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45D4CE07">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7</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8779D6E">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每周期合法规范、及时有效采集和发布非全日制用工、临时性和阶段性用工等零工招聘信息，服务用工主体不少于（含）20家次（本地用工主体要占比50%以上）；收集求职的零工信息对象不少于30人（需是站点所在镇的），采集零工岗位信息不少于50条。</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38DFDF8C">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607A36E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1.每周期服务用工主体少于20家次时，每少于1家次扣0.2分；本地用工主体要占比低于50%的，扣1分；                                2.收集零工信息对象不少于30人（需是站点所在镇的），每少1人扣0.1分；                                 3.采集零工岗位信息少于50条，每少1条扣0.1分，扣完为止。                              本项合计最高扣4分。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3F2F02A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72384F4A">
        <w:tblPrEx>
          <w:tblCellMar>
            <w:top w:w="0" w:type="dxa"/>
            <w:left w:w="108" w:type="dxa"/>
            <w:bottom w:w="0" w:type="dxa"/>
            <w:right w:w="108" w:type="dxa"/>
          </w:tblCellMar>
        </w:tblPrEx>
        <w:trPr>
          <w:trHeight w:val="260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DFD5C3">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2FAD9EB7">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录入及发布零工等信息</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06E930E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8</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8016AFB">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三个零工市场每周期录入广西“数智人社”系统“广西就业”平台岗位信息不少于1000条，信息及时更新至采购人指定小程序（如有）。发布的岗位招聘信息应包括但不限于：职业（工种）、技能要求、工作地点、工作时长、薪资待遇、计酬方式等内容，不得发布含有就业歧视性内容。</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C3914F4">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419228E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每周期录入岗位信息低于1000条时，每少100条扣1分，扣完该项分值为止。                           本项合计最高扣2分。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458184F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完成不了任务，三个零工市场均需扣相应分。查看有关工作台账，根据实际情况评分。</w:t>
            </w:r>
          </w:p>
        </w:tc>
      </w:tr>
      <w:tr w14:paraId="5E9CB991">
        <w:tblPrEx>
          <w:tblCellMar>
            <w:top w:w="0" w:type="dxa"/>
            <w:left w:w="108" w:type="dxa"/>
            <w:bottom w:w="0" w:type="dxa"/>
            <w:right w:w="108" w:type="dxa"/>
          </w:tblCellMar>
        </w:tblPrEx>
        <w:trPr>
          <w:trHeight w:val="623"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EB4C54">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（三）招聘服务</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470CDCD4">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常态化服务</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0E3ED7E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9</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79E718A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为灵活就业人员和用工主体提供常态化就业服务，根据采购人要求，在规定的开放时间内开展即时快招服务并受理各项经办业务。</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45AF4F6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89934F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1.为灵活就业人员和用工主体提供常态化就业服务，就业服务场所工作时间正常开放得3分，每发现一次不按工作时间开放的扣0.5分，扣完该项分值为止。</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2.开展即时快招服务得1分，每发现未开展即时快招服务或被投诉一例的扣0.5分，扣完该项分值为止。                               本项合计最高扣4分。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74F6153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4C397884">
        <w:tblPrEx>
          <w:tblCellMar>
            <w:top w:w="0" w:type="dxa"/>
            <w:left w:w="108" w:type="dxa"/>
            <w:bottom w:w="0" w:type="dxa"/>
            <w:right w:w="108" w:type="dxa"/>
          </w:tblCellMar>
        </w:tblPrEx>
        <w:trPr>
          <w:trHeight w:val="124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ADEEED">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585306B8">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数据分析</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6BF2DA8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10</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2A3A0D6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每月分行业、分群体开展相关数据分析工作，按月公布求人倍率最高和最低的行业及岗位排行信息、日均工资水平信息。</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432A895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611147E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开展相关数据分析工作，按月公布信息，不按规定公布信息扣2分。                      本项合计最高扣2分。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4C8F418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2C462BEA">
        <w:tblPrEx>
          <w:tblCellMar>
            <w:top w:w="0" w:type="dxa"/>
            <w:left w:w="108" w:type="dxa"/>
            <w:bottom w:w="0" w:type="dxa"/>
            <w:right w:w="108" w:type="dxa"/>
          </w:tblCellMar>
        </w:tblPrEx>
        <w:trPr>
          <w:trHeight w:val="2780"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4C09FC">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（四）求职和岗位推荐服务</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3B331718">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求职登记</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1BC8F9F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11</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1498FF2">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为求职人员登记基本信息、就业需求、培训需求、就业能力等内容，每周期收集不少于60人的求职信息。</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2802B96D">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6</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72FC778E">
            <w:pPr>
              <w:widowControl/>
              <w:numPr>
                <w:ilvl w:val="0"/>
                <w:numId w:val="3"/>
              </w:numPr>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对前来求职并有登记需求的人员，引导做好求职登记（含零工登记），每发现1人未引导登记的，扣0.5分；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2.对已做求职登记的人员，每发现1人关键信息[姓名、身份证号、联系电话、就业需求（含零工登记）、登记时间]登记不全或信息质量问题的，扣0.5分；                  </w:t>
            </w:r>
          </w:p>
          <w:p w14:paraId="53E1BDCF">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3.收集少于60人的，扣6分。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本项合计最高扣6分。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64DDD23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6AD96611">
        <w:tblPrEx>
          <w:tblCellMar>
            <w:top w:w="0" w:type="dxa"/>
            <w:left w:w="108" w:type="dxa"/>
            <w:bottom w:w="0" w:type="dxa"/>
            <w:right w:w="108" w:type="dxa"/>
          </w:tblCellMar>
        </w:tblPrEx>
        <w:trPr>
          <w:trHeight w:val="408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1CF403">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4F0B1B6D">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职业指导及岗位推荐</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1AD2199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12</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3952C72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为有灵活就业意愿的求职人员提供“一对一”职业指导，根据其求职意愿和就业能力推荐匹配的就业岗位。</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12AE54AA">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5</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29AF16AD">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1.对前来求职且有求职需求的人员，依据其实际情况，提供有针对性的就业方向及就业预期指导，每发现1名未按要求开展职业指导的，扣0.1分；                              2.对已做求职登记的人员，按照就业意愿每月推荐不少于5个就业岗位（不同用人单位），直至实现就业（或本人表示不再接受岗位推荐），并做好服务记录台账；在同一年度内向同一个求职人员推荐同一用人单位同一岗位不超过3次，每发现1次不符合要求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3.全年推荐并成功实现就业少于80人次，每少1人，扣0.1分；其中实现灵活就业少于40人次，每少1人，扣0.2分。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本项合计最高扣5分。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37C567FE">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查看工作台账、图片、现场核验为准。</w:t>
            </w:r>
          </w:p>
        </w:tc>
      </w:tr>
      <w:tr w14:paraId="43B6F939">
        <w:tblPrEx>
          <w:tblCellMar>
            <w:top w:w="0" w:type="dxa"/>
            <w:left w:w="108" w:type="dxa"/>
            <w:bottom w:w="0" w:type="dxa"/>
            <w:right w:w="108" w:type="dxa"/>
          </w:tblCellMar>
        </w:tblPrEx>
        <w:trPr>
          <w:trHeight w:val="142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5B4B49">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F44806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招聘会信息推送</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0DDF4A3C">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13</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3D92E91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引导灵活就业等人员参加线上线下招聘会</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6E7119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DAFEE23">
            <w:pPr>
              <w:widowControl/>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 xml:space="preserve">对已做求职登记的人员，按照就业意愿每月推荐不少于1场现场招聘会信息或直播带岗活动信息，每发现1次未做推荐的，扣0.5分。   </w:t>
            </w:r>
          </w:p>
          <w:p w14:paraId="1DA0208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本项合计最高扣3分。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1197796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58E02D10">
        <w:tblPrEx>
          <w:tblCellMar>
            <w:top w:w="0" w:type="dxa"/>
            <w:left w:w="108" w:type="dxa"/>
            <w:bottom w:w="0" w:type="dxa"/>
            <w:right w:w="108" w:type="dxa"/>
          </w:tblCellMar>
        </w:tblPrEx>
        <w:trPr>
          <w:trHeight w:val="2280" w:hRule="atLeast"/>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201D99BB">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（五）就业政策法规咨询</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434B15C1">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咨询服务</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0EB18B6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14</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22F4225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定期发布促进就业政策，通过综合服务窗口受理就业创业政策咨询，强化政策宣传力度。2.宣传养老保险政策并鼓励灵活就业人员参加企业职工基本养老保险，对新就业形态从业人员引导其按规定参加职业伤害保障。</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32A9B05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2C44CA7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1.定期发布促进就业政策，综合服务窗口受理就业创业政策咨询得2分，每少1次扣1分；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2.宣传养老保险政策并鼓励灵活就业人员参加企业职工基本养老保险，对新就业形态从业人员引导其按规定参加职业伤害保障得2分，未开展服务扣2分；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本项合计最高扣4分。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0D7DAED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查看工作台账、图片、现场核验。</w:t>
            </w:r>
          </w:p>
        </w:tc>
      </w:tr>
      <w:tr w14:paraId="71941613">
        <w:tblPrEx>
          <w:tblCellMar>
            <w:top w:w="0" w:type="dxa"/>
            <w:left w:w="108" w:type="dxa"/>
            <w:bottom w:w="0" w:type="dxa"/>
            <w:right w:w="108" w:type="dxa"/>
          </w:tblCellMar>
        </w:tblPrEx>
        <w:trPr>
          <w:trHeight w:val="3100"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B78405">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（六）重点群体就业帮扶服务</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F520F2A">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重点群体</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04ECF515">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15</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55C62A75">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对辖区登记失业人员、就业困难人员、退役军人、离校未就业高校毕业生、脱贫劳动力、防返贫监测户、农村返乡回流人员、雨露计划毕业生等重点群体提供就业跟踪帮扶。</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F6BDBD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5</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8844E0B">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1.对摸排收集和前来登记的辖区内登记失业人员、就业困难人员（大龄失业、长期失业、低保家庭、残疾人员、零就业家庭、失地人员、易地搬迁）、退役军人、离校未就业高校毕业生等重点群体进行身份标识，标识率达100%，每少1个百分点，扣0.1分；                2.按要求对重点群体开展“251”“1131”就业帮扶，就业帮扶率达100%，每少1个百分点，扣0.1分。                          本项合计最高扣5分。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586AB2AA">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043DD585">
        <w:tblPrEx>
          <w:tblCellMar>
            <w:top w:w="0" w:type="dxa"/>
            <w:left w:w="108" w:type="dxa"/>
            <w:bottom w:w="0" w:type="dxa"/>
            <w:right w:w="108" w:type="dxa"/>
          </w:tblCellMar>
        </w:tblPrEx>
        <w:trPr>
          <w:trHeight w:val="168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80C668">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25BC759">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分析服务</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796A5122">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16</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70C6A9E7">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建立灵活就业人员分级服务机制，对待工时间长、低收入家庭、残疾、大龄等就业困难人员实施优先扶持和重点帮扶。</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40FFFB57">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25487CF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建立灵活就业人员分级服务机制，对待工时间长、低收入家庭、残疾、大龄等就业困难人员实施优先扶持和重点帮扶得3分。未建立机制扣2分，未开展服务扣1分。               本项合计最高扣3分。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69C6DAD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3E061785">
        <w:tblPrEx>
          <w:tblCellMar>
            <w:top w:w="0" w:type="dxa"/>
            <w:left w:w="108" w:type="dxa"/>
            <w:bottom w:w="0" w:type="dxa"/>
            <w:right w:w="108" w:type="dxa"/>
          </w:tblCellMar>
        </w:tblPrEx>
        <w:trPr>
          <w:trHeight w:val="2540"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53301A">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（七）技能培训与创业指导服务</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3C8859B4">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技能培训服务</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520B9D0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17</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7B645AAF">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每周期更新发布职业技能培训项目和当地职业技能培训机构信息不少于3次。受理培训咨询，支持灵活就业人员就近参加技能提升培训。</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662FB75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098E801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1.每周期更新发布职业技能培训项目和当地职业技能培训机构信息不少于3次，每少1次扣0.5分；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2.受理培训咨询，支持灵活就业人员就近参加技能提升培训得1分。每发现不受理培训咨询业务或被投诉不受理一例的扣0.5分；                                  本项合计最高扣2分。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7CAE6B5A">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44AB3E78">
        <w:tblPrEx>
          <w:tblCellMar>
            <w:top w:w="0" w:type="dxa"/>
            <w:left w:w="108" w:type="dxa"/>
            <w:bottom w:w="0" w:type="dxa"/>
            <w:right w:w="108" w:type="dxa"/>
          </w:tblCellMar>
        </w:tblPrEx>
        <w:trPr>
          <w:trHeight w:val="126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36A89F">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3E8C3F01">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创业指导服务</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61B6E91D">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18</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531D8A03">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为有创业意愿的灵活就业等人员提供创业培训信息和项目推介，提供创业担保贷款咨询等创业指导服务。</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3FA4FA0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479817E6">
            <w:pPr>
              <w:widowControl/>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 xml:space="preserve">为有创业意愿的灵活就业等人员提供创业培训信息和项目推介，提供创业担保贷款咨询等创业指导服务得2分，未开展服务扣2分。       </w:t>
            </w:r>
          </w:p>
          <w:p w14:paraId="7A0ABAF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本项合计最高扣2分。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7E863A8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62D4B686">
        <w:tblPrEx>
          <w:tblCellMar>
            <w:top w:w="0" w:type="dxa"/>
            <w:left w:w="108" w:type="dxa"/>
            <w:bottom w:w="0" w:type="dxa"/>
            <w:right w:w="108" w:type="dxa"/>
          </w:tblCellMar>
        </w:tblPrEx>
        <w:trPr>
          <w:trHeight w:val="2487"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C7EDE8">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（八）公共就业活动服务</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7B85F84C">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就业大篷车活动</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2B420D9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19</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54B448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根据采购人要求，每周期至少组织开展2次就业大篷车等灵活就业专项服务活动。</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C97EEC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1FD8900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1.不按要求开展，每少1次扣2分；                       2.1次活动要覆盖3个村（社区），不按要求开展，该次活动无效，直接扣1分。                    本项合计最高扣4分。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1B1F9F7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核查工作台账、图片、视频等有关活动组织材料。</w:t>
            </w:r>
          </w:p>
        </w:tc>
      </w:tr>
      <w:tr w14:paraId="585DF8A3">
        <w:tblPrEx>
          <w:tblCellMar>
            <w:top w:w="0" w:type="dxa"/>
            <w:left w:w="108" w:type="dxa"/>
            <w:bottom w:w="0" w:type="dxa"/>
            <w:right w:w="108" w:type="dxa"/>
          </w:tblCellMar>
        </w:tblPrEx>
        <w:trPr>
          <w:trHeight w:val="9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84EFF0">
            <w:pPr>
              <w:jc w:val="center"/>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35F97B6">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组织招聘会</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2BA09152">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20</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4A87405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根据采购人要求，每周期至少组织1场现场招聘会</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180A03C7">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01FC494E">
            <w:pPr>
              <w:widowControl/>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 xml:space="preserve">不按要求组织现场招聘会，扣4分。                </w:t>
            </w:r>
          </w:p>
          <w:p w14:paraId="7E679F02">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本项合计最高扣4分。</w:t>
            </w:r>
          </w:p>
        </w:tc>
        <w:tc>
          <w:tcPr>
            <w:tcW w:w="17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151C9E">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核查工作台账、图片、视频等有关活动组织材料。</w:t>
            </w:r>
          </w:p>
        </w:tc>
      </w:tr>
      <w:tr w14:paraId="23D72386">
        <w:tblPrEx>
          <w:tblCellMar>
            <w:top w:w="0" w:type="dxa"/>
            <w:left w:w="108" w:type="dxa"/>
            <w:bottom w:w="0" w:type="dxa"/>
            <w:right w:w="108" w:type="dxa"/>
          </w:tblCellMar>
        </w:tblPrEx>
        <w:trPr>
          <w:trHeight w:val="82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871430">
            <w:pPr>
              <w:jc w:val="center"/>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F86BA6D">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开展直播带岗活动</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4736914D">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21</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65BA30E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根据采购人要求，每周期至少组织1次直播带岗活动</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2F4D61A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83174B4">
            <w:pPr>
              <w:widowControl/>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 xml:space="preserve">不按要求组织直播带岗活动，扣4分。                 </w:t>
            </w:r>
          </w:p>
          <w:p w14:paraId="680BAD9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本项合计最高扣4分。</w:t>
            </w:r>
          </w:p>
        </w:tc>
        <w:tc>
          <w:tcPr>
            <w:tcW w:w="1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CC174C">
            <w:pPr>
              <w:jc w:val="left"/>
              <w:rPr>
                <w:rFonts w:ascii="宋体" w:hAnsi="宋体" w:cs="宋体"/>
                <w:color w:val="auto"/>
                <w:sz w:val="22"/>
                <w:szCs w:val="22"/>
                <w:highlight w:val="none"/>
              </w:rPr>
            </w:pPr>
          </w:p>
        </w:tc>
      </w:tr>
      <w:tr w14:paraId="3C41E7D9">
        <w:tblPrEx>
          <w:tblCellMar>
            <w:top w:w="0" w:type="dxa"/>
            <w:left w:w="108" w:type="dxa"/>
            <w:bottom w:w="0" w:type="dxa"/>
            <w:right w:w="108" w:type="dxa"/>
          </w:tblCellMar>
        </w:tblPrEx>
        <w:trPr>
          <w:trHeight w:val="82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94277A">
            <w:pPr>
              <w:jc w:val="center"/>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431F0F9">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开展政策宣传活动</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0A41997B">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22</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44DCC13A">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根据采购人要求，每周期至少组织1次政策宣传活动</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7D791CE">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21BDE7D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不按要求组织政策宣传活动的，扣1分。                                     本项合计最高扣1分。</w:t>
            </w:r>
          </w:p>
        </w:tc>
        <w:tc>
          <w:tcPr>
            <w:tcW w:w="1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C3F7C6">
            <w:pPr>
              <w:jc w:val="left"/>
              <w:rPr>
                <w:rFonts w:ascii="宋体" w:hAnsi="宋体" w:cs="宋体"/>
                <w:color w:val="auto"/>
                <w:sz w:val="22"/>
                <w:szCs w:val="22"/>
                <w:highlight w:val="none"/>
              </w:rPr>
            </w:pPr>
          </w:p>
        </w:tc>
      </w:tr>
      <w:tr w14:paraId="177E9AAD">
        <w:tblPrEx>
          <w:tblCellMar>
            <w:top w:w="0" w:type="dxa"/>
            <w:left w:w="108" w:type="dxa"/>
            <w:bottom w:w="0" w:type="dxa"/>
            <w:right w:w="108" w:type="dxa"/>
          </w:tblCellMar>
        </w:tblPrEx>
        <w:trPr>
          <w:trHeight w:val="3180" w:hRule="atLeast"/>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6575A404">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（九）权益维护</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E56874C">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权益维护</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243B3FC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23</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5D202626">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在显著位置公开权益维护服务制度、服务热线、投诉举报方式、处理流程等事项。指导用工主体设定合理招聘条件，规范招聘流程及行为。督促用工主体依法用工，落实安全生产、薪资待遇、休息休假、社会保险缴纳等责任。</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654E7F5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1E1CE83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1.在显著位置公开权益维护服务制度、服务热线、投诉举报方式、处理流程等事项。每发现一次没有公开，扣1分。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2.指导用工主体设定合理招聘条件，规范招聘流程及行为，每发现一次没有开展指导，扣1分。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3.督促用工主体依法用工，落实安全生产、薪资待遇、休息休假、社会保险缴纳等责任。每发现一次没有开展督促，扣1分。                            本项合计最高扣2分。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78D89B4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70A37181">
        <w:tblPrEx>
          <w:tblCellMar>
            <w:top w:w="0" w:type="dxa"/>
            <w:left w:w="108" w:type="dxa"/>
            <w:bottom w:w="0" w:type="dxa"/>
            <w:right w:w="108" w:type="dxa"/>
          </w:tblCellMar>
        </w:tblPrEx>
        <w:trPr>
          <w:trHeight w:val="490" w:hRule="atLeast"/>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45BC7C42">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（十）跟踪回访服务及成效</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B9E09C9">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跟踪回访服务及成效</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74A7435E">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24</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7AC6CFE1">
            <w:pPr>
              <w:widowControl/>
              <w:rPr>
                <w:rFonts w:ascii="宋体" w:hAnsi="宋体" w:cs="宋体"/>
                <w:color w:val="auto"/>
                <w:sz w:val="22"/>
                <w:szCs w:val="22"/>
                <w:highlight w:val="none"/>
              </w:rPr>
            </w:pPr>
            <w:r>
              <w:rPr>
                <w:rFonts w:hint="eastAsia" w:ascii="宋体" w:hAnsi="宋体" w:cs="宋体"/>
                <w:color w:val="auto"/>
                <w:sz w:val="22"/>
                <w:szCs w:val="22"/>
                <w:highlight w:val="none"/>
                <w:lang w:bidi="ar"/>
              </w:rPr>
              <w:t>对已推荐岗位的求职人员进行跟踪回访服务，对于推荐不成功的求职者，继续推荐岗位不少于5次，推动求职成功就业人数比例不低于30%。苍梧县零工市场面向全县提供中枢服务，岭脚镇和木双镇零工市场辅助，收集汇总全县有关求职人员、企业用工、活动开展情况等信息数据，按要求形成苍梧县人力资源市场分析表</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1E2C859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7</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29E9F87E">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1.对已推荐岗位的求职人员进行跟踪回访服务，对于推荐不成功的求职者，继续推荐岗位不少于5次，每发现少1次扣0.5分；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2.推动求职成功就业人数比例不低于30%得7分，每低于一个百分点扣1分，扣完该项分值为止；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3.没有按要求汇总整理全县数据，三个站点各扣7分。                          本项合计最高扣7分。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128FB78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查看有关工作台账，根据实际情况评分。</w:t>
            </w:r>
          </w:p>
        </w:tc>
      </w:tr>
      <w:tr w14:paraId="7BB37247">
        <w:tblPrEx>
          <w:tblCellMar>
            <w:top w:w="0" w:type="dxa"/>
            <w:left w:w="108" w:type="dxa"/>
            <w:bottom w:w="0" w:type="dxa"/>
            <w:right w:w="108" w:type="dxa"/>
          </w:tblCellMar>
        </w:tblPrEx>
        <w:trPr>
          <w:trHeight w:val="3740"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88BC6E">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（十一）宣传服务</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16138EA">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资料配备</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43B6ECB0">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25</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6448E24F">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1.在市场内公告栏、政策取阅架等地方定期放置就业创业政策宣传材料（材料需经</w:t>
            </w:r>
            <w:r>
              <w:rPr>
                <w:color w:val="auto"/>
                <w:highlight w:val="none"/>
              </w:rPr>
              <w:t>采购人</w:t>
            </w:r>
            <w:r>
              <w:rPr>
                <w:rFonts w:hint="eastAsia" w:ascii="宋体" w:hAnsi="宋体" w:cs="宋体"/>
                <w:color w:val="auto"/>
                <w:sz w:val="22"/>
                <w:szCs w:val="22"/>
                <w:highlight w:val="none"/>
                <w:lang w:bidi="ar"/>
              </w:rPr>
              <w:t>审核），每周期印制各类宣传材料不少于500份。                                      2.每周期向灵活就业人员等求职者发放政策、用工信息等宣传资料不少于5000份。</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6B77D3A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5</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8343F7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 xml:space="preserve">1.在市场内公告栏、政策取阅架等地方定期放置就业创业政策宣传材料，每周期印制各类宣传材料不少于500份，每少1个百分点，扣0.1分；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2.每周期向灵活就业人员等求职者发放政策、用工信息等宣传资料不少于5000份，每少1个百分点，扣0.1分；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以上因政策调整或</w:t>
            </w:r>
            <w:r>
              <w:rPr>
                <w:color w:val="auto"/>
                <w:highlight w:val="none"/>
              </w:rPr>
              <w:t>采购人</w:t>
            </w:r>
            <w:r>
              <w:rPr>
                <w:rFonts w:hint="eastAsia" w:ascii="宋体" w:hAnsi="宋体" w:cs="宋体"/>
                <w:color w:val="auto"/>
                <w:sz w:val="22"/>
                <w:szCs w:val="22"/>
                <w:highlight w:val="none"/>
                <w:lang w:bidi="ar"/>
              </w:rPr>
              <w:t>要求，本服务周期内未能100%完成，可在下周期服务期内补足。政策材料也可根据</w:t>
            </w:r>
            <w:r>
              <w:rPr>
                <w:color w:val="auto"/>
                <w:highlight w:val="none"/>
              </w:rPr>
              <w:t>采购人</w:t>
            </w:r>
            <w:r>
              <w:rPr>
                <w:rFonts w:hint="eastAsia" w:ascii="宋体" w:hAnsi="宋体" w:cs="宋体"/>
                <w:color w:val="auto"/>
                <w:sz w:val="22"/>
                <w:szCs w:val="22"/>
                <w:highlight w:val="none"/>
                <w:lang w:bidi="ar"/>
              </w:rPr>
              <w:t xml:space="preserve">需求一次性完成全年任务。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本项合计最高扣5分。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339F3DDB">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通过核查工作台账或查阅资料材料或现场核查等方式考核评分。</w:t>
            </w:r>
          </w:p>
        </w:tc>
      </w:tr>
      <w:tr w14:paraId="105F59CB">
        <w:tblPrEx>
          <w:tblCellMar>
            <w:top w:w="0" w:type="dxa"/>
            <w:left w:w="108" w:type="dxa"/>
            <w:bottom w:w="0" w:type="dxa"/>
            <w:right w:w="108" w:type="dxa"/>
          </w:tblCellMar>
        </w:tblPrEx>
        <w:trPr>
          <w:trHeight w:val="368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1A7A74">
            <w:pPr>
              <w:jc w:val="center"/>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DFA21F7">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宣传推广</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18E47F5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26</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6C3E74D5">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1.通过各类网络媒体，开展市场相关服务宣传。全年在各类新闻媒介和网络媒体发布宣传视频或宣传文章不少于2篇。</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2.每周期在辖区全部村（社区）和其他人员密集场所、电子屏、移动宣传载体等发放或张贴服务二维码或宣传海报等，宣传零工市场不少于6处。</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3.全年制作零工市场经验类、推广类宣传视频不少于1条，视频时长不少于3分钟。</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3070DDA1">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4</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69A4324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1.通过各类网络媒体，开展市场相关服务宣传。全年在各类新闻媒介和网络媒体发布宣传视频或宣传文章不少于2篇，每少1篇，扣1分；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2.在辖区全部村（社区）和其他人员密集场所、电子屏、移动宣传载体等发放或张贴服务二维码或宣传海报等，宣传零工市场不少于6处，每发现少1处未开展的，扣0.5分；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3.制作零工市场经验类、推广类宣传视频不少于1条，视频时长不少于3分钟，无宣传视频或视频不符合要求的，扣1分。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本项合计最高扣4分。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0B56552D">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通过核查工作台账或查阅资料视频或现场核查等方式考核评分。</w:t>
            </w:r>
          </w:p>
        </w:tc>
      </w:tr>
      <w:tr w14:paraId="6266937E">
        <w:tblPrEx>
          <w:tblCellMar>
            <w:top w:w="0" w:type="dxa"/>
            <w:left w:w="108" w:type="dxa"/>
            <w:bottom w:w="0" w:type="dxa"/>
            <w:right w:w="108" w:type="dxa"/>
          </w:tblCellMar>
        </w:tblPrEx>
        <w:trPr>
          <w:trHeight w:val="4980" w:hRule="atLeast"/>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22030482">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（十二）管理服务</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22799BE7">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负责管理村级就业服务站</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7BBC6970">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27</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4B9ECEBB">
            <w:pPr>
              <w:widowControl/>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1.负责管理村级就业服务站，安排常规驻守人员（在采购人不能安置乡村公益性岗位或找不到符合条件的人员前提下）在规定时间开展就业服务，实现企业用工、求职者等就业信息共享。</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2.保持9个村级就业服务站（石桥镇学田村就业服务站、石桥镇奇冲村就业服务站、岭脚镇人和社区就业服务站、旺甫镇龙洞村就业服务站</w:t>
            </w:r>
          </w:p>
          <w:p w14:paraId="1E66487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、京南镇长发社区就业服务站、狮寨镇古东村就业服务站、京南镇合水村就业服务站、梨埠镇凤仪村就业服务站、沙头镇横江村就业服务站）正常运转。                           3.确保服务站点内各项设施设备、功能分区、服务标识等正常使用、运转、更新。          4.汇总整理各类市场主体用工信息、求职者信息。</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911BB0">
            <w:pPr>
              <w:widowControl/>
              <w:jc w:val="center"/>
              <w:rPr>
                <w:rFonts w:ascii="宋体" w:hAnsi="宋体" w:cs="宋体"/>
                <w:color w:val="auto"/>
                <w:sz w:val="24"/>
                <w:highlight w:val="none"/>
              </w:rPr>
            </w:pPr>
            <w:r>
              <w:rPr>
                <w:rFonts w:hint="eastAsia" w:ascii="宋体" w:hAnsi="宋体" w:cs="宋体"/>
                <w:color w:val="auto"/>
                <w:sz w:val="24"/>
                <w:highlight w:val="none"/>
                <w:lang w:bidi="ar"/>
              </w:rPr>
              <w:t>7</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5CF081CC">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1.如有1个村级站点不能按采购人要求安排人员在规定时间开展就业服务，扣采购人指定的一个零工市场7分；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2.每发现1次各项设施设备、功能分区、服务标识等不能正常使用、运转、更新的，扣1分。                                       3.没有汇总整理各类市场主体用工信息、求职者信息，扣3分。                                     本项合计最高扣7分。</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234F5509">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根据实际情况评分。</w:t>
            </w:r>
          </w:p>
        </w:tc>
      </w:tr>
      <w:tr w14:paraId="4B076CBC">
        <w:tblPrEx>
          <w:tblCellMar>
            <w:top w:w="0" w:type="dxa"/>
            <w:left w:w="108" w:type="dxa"/>
            <w:bottom w:w="0" w:type="dxa"/>
            <w:right w:w="108" w:type="dxa"/>
          </w:tblCellMar>
        </w:tblPrEx>
        <w:trPr>
          <w:trHeight w:val="1300"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54C49C">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（十三）加分项目</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155CA7D0">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被市、省、部级媒体报道</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5173B832">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28</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CFC29A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工作成绩成效突出，被媒体正面报道</w:t>
            </w:r>
          </w:p>
        </w:tc>
        <w:tc>
          <w:tcPr>
            <w:tcW w:w="6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33C5E7">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最高可加20分</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4DEE7706">
            <w:pPr>
              <w:widowControl/>
              <w:numPr>
                <w:ilvl w:val="0"/>
                <w:numId w:val="4"/>
              </w:numPr>
              <w:jc w:val="left"/>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 xml:space="preserve">中央媒体正面报道，一次加3分；            </w:t>
            </w:r>
          </w:p>
          <w:p w14:paraId="0E68D617">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2.省领导批示、省级媒体正面报道，一次加2分；                                    3.梧州市级媒体正面报道，一次加1分。</w:t>
            </w:r>
          </w:p>
        </w:tc>
        <w:tc>
          <w:tcPr>
            <w:tcW w:w="17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993DB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通过核查工作台账或查阅资料视频或现场核查等方式考核评分。如服务考核内容有一项为0分，该项设加分上限为5分。</w:t>
            </w:r>
          </w:p>
        </w:tc>
      </w:tr>
      <w:tr w14:paraId="7C8BC2F6">
        <w:tblPrEx>
          <w:tblCellMar>
            <w:top w:w="0" w:type="dxa"/>
            <w:left w:w="108" w:type="dxa"/>
            <w:bottom w:w="0" w:type="dxa"/>
            <w:right w:w="108" w:type="dxa"/>
          </w:tblCellMar>
        </w:tblPrEx>
        <w:trPr>
          <w:trHeight w:val="86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966DD2">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2C097597">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培育劳务品牌</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4A9F37C6">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29</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2744495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依托零工市场培育具有当地特色劳务品牌，具有一定的品牌效应。</w:t>
            </w:r>
          </w:p>
        </w:tc>
        <w:tc>
          <w:tcPr>
            <w:tcW w:w="6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1076DD">
            <w:pPr>
              <w:jc w:val="center"/>
              <w:rPr>
                <w:rFonts w:ascii="宋体" w:hAnsi="宋体" w:cs="宋体"/>
                <w:color w:val="auto"/>
                <w:sz w:val="22"/>
                <w:szCs w:val="22"/>
                <w:highlight w:val="none"/>
              </w:rPr>
            </w:pP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94B486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发展一项劳务品牌，加2分。</w:t>
            </w:r>
          </w:p>
        </w:tc>
        <w:tc>
          <w:tcPr>
            <w:tcW w:w="1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7F5FEB">
            <w:pPr>
              <w:jc w:val="left"/>
              <w:rPr>
                <w:rFonts w:ascii="宋体" w:hAnsi="宋体" w:cs="宋体"/>
                <w:color w:val="auto"/>
                <w:sz w:val="22"/>
                <w:szCs w:val="22"/>
                <w:highlight w:val="none"/>
              </w:rPr>
            </w:pPr>
          </w:p>
        </w:tc>
      </w:tr>
      <w:tr w14:paraId="3B52C04E">
        <w:tblPrEx>
          <w:tblCellMar>
            <w:top w:w="0" w:type="dxa"/>
            <w:left w:w="108" w:type="dxa"/>
            <w:bottom w:w="0" w:type="dxa"/>
            <w:right w:w="108" w:type="dxa"/>
          </w:tblCellMar>
        </w:tblPrEx>
        <w:trPr>
          <w:trHeight w:val="860" w:hRule="atLeast"/>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18D032">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4384B647">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得到采购人认可</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6F231AC3">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30</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25FFAD46">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工作上有突出成效，得到采购人认可的。</w:t>
            </w:r>
          </w:p>
        </w:tc>
        <w:tc>
          <w:tcPr>
            <w:tcW w:w="6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5833DD">
            <w:pPr>
              <w:jc w:val="center"/>
              <w:rPr>
                <w:rFonts w:ascii="宋体" w:hAnsi="宋体" w:cs="宋体"/>
                <w:color w:val="auto"/>
                <w:sz w:val="22"/>
                <w:szCs w:val="22"/>
                <w:highlight w:val="none"/>
              </w:rPr>
            </w:pP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4C6ED7F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在就业服务质量提升方面有工作亮点或突出成效的，经</w:t>
            </w:r>
            <w:r>
              <w:rPr>
                <w:color w:val="auto"/>
                <w:highlight w:val="none"/>
              </w:rPr>
              <w:t>采购人</w:t>
            </w:r>
            <w:r>
              <w:rPr>
                <w:rFonts w:hint="eastAsia" w:ascii="宋体" w:hAnsi="宋体" w:cs="宋体"/>
                <w:color w:val="auto"/>
                <w:sz w:val="22"/>
                <w:szCs w:val="22"/>
                <w:highlight w:val="none"/>
                <w:lang w:bidi="ar"/>
              </w:rPr>
              <w:t>认可的，给予加分，一项工作加2分。</w:t>
            </w:r>
          </w:p>
        </w:tc>
        <w:tc>
          <w:tcPr>
            <w:tcW w:w="1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8A2325">
            <w:pPr>
              <w:jc w:val="left"/>
              <w:rPr>
                <w:rFonts w:ascii="宋体" w:hAnsi="宋体" w:cs="宋体"/>
                <w:color w:val="auto"/>
                <w:sz w:val="22"/>
                <w:szCs w:val="22"/>
                <w:highlight w:val="none"/>
              </w:rPr>
            </w:pPr>
          </w:p>
        </w:tc>
      </w:tr>
      <w:tr w14:paraId="11AA58F0">
        <w:tblPrEx>
          <w:tblCellMar>
            <w:top w:w="0" w:type="dxa"/>
            <w:left w:w="108" w:type="dxa"/>
            <w:bottom w:w="0" w:type="dxa"/>
            <w:right w:w="108" w:type="dxa"/>
          </w:tblCellMar>
        </w:tblPrEx>
        <w:trPr>
          <w:trHeight w:val="620" w:hRule="atLeast"/>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536E01">
            <w:pPr>
              <w:widowControl/>
              <w:jc w:val="left"/>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（十四）扣分项目</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412C0C1C">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被服务对象投诉</w:t>
            </w: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4DEEB13E">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31</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7DD0C8FE">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被群众或用工主体投诉，影响了政府形象。</w:t>
            </w:r>
          </w:p>
        </w:tc>
        <w:tc>
          <w:tcPr>
            <w:tcW w:w="6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19861A">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最高可扣20分</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3A6A6564">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被投诉举报，核查属实，出现一次减2分</w:t>
            </w:r>
          </w:p>
        </w:tc>
        <w:tc>
          <w:tcPr>
            <w:tcW w:w="17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CCF2D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以实际收到材料评估考核。</w:t>
            </w:r>
          </w:p>
        </w:tc>
      </w:tr>
      <w:tr w14:paraId="7BD66225">
        <w:tblPrEx>
          <w:tblCellMar>
            <w:top w:w="0" w:type="dxa"/>
            <w:left w:w="108" w:type="dxa"/>
            <w:bottom w:w="0" w:type="dxa"/>
            <w:right w:w="108" w:type="dxa"/>
          </w:tblCellMar>
        </w:tblPrEx>
        <w:trPr>
          <w:trHeight w:val="620" w:hRule="atLeast"/>
        </w:trPr>
        <w:tc>
          <w:tcPr>
            <w:tcW w:w="739"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A9D675C">
            <w:pPr>
              <w:jc w:val="left"/>
              <w:rPr>
                <w:rFonts w:ascii="宋体" w:hAnsi="宋体" w:cs="宋体"/>
                <w:b/>
                <w:bCs/>
                <w:color w:val="auto"/>
                <w:sz w:val="22"/>
                <w:szCs w:val="22"/>
                <w:highlight w:val="none"/>
              </w:rPr>
            </w:pPr>
          </w:p>
        </w:tc>
        <w:tc>
          <w:tcPr>
            <w:tcW w:w="6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475F1CD">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工作上弄虚作假</w:t>
            </w:r>
          </w:p>
        </w:tc>
        <w:tc>
          <w:tcPr>
            <w:tcW w:w="463" w:type="dxa"/>
            <w:tcBorders>
              <w:top w:val="single" w:color="auto" w:sz="4" w:space="0"/>
              <w:left w:val="single" w:color="000000" w:sz="4" w:space="0"/>
              <w:bottom w:val="single" w:color="000000" w:sz="4" w:space="0"/>
              <w:right w:val="single" w:color="000000" w:sz="4" w:space="0"/>
            </w:tcBorders>
            <w:shd w:val="clear" w:color="auto" w:fill="auto"/>
            <w:vAlign w:val="center"/>
          </w:tcPr>
          <w:p w14:paraId="36480DA8">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32</w:t>
            </w:r>
          </w:p>
        </w:tc>
        <w:tc>
          <w:tcPr>
            <w:tcW w:w="2437" w:type="dxa"/>
            <w:tcBorders>
              <w:top w:val="single" w:color="auto" w:sz="4" w:space="0"/>
              <w:left w:val="single" w:color="000000" w:sz="4" w:space="0"/>
              <w:bottom w:val="single" w:color="000000" w:sz="4" w:space="0"/>
              <w:right w:val="single" w:color="000000" w:sz="4" w:space="0"/>
            </w:tcBorders>
            <w:shd w:val="clear" w:color="auto" w:fill="auto"/>
            <w:vAlign w:val="center"/>
          </w:tcPr>
          <w:p w14:paraId="4AE25EC3">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考核工作提供虚假材料或数据。</w:t>
            </w:r>
          </w:p>
        </w:tc>
        <w:tc>
          <w:tcPr>
            <w:tcW w:w="625"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2041C247">
            <w:pPr>
              <w:jc w:val="center"/>
              <w:rPr>
                <w:rFonts w:ascii="宋体" w:hAnsi="宋体" w:cs="宋体"/>
                <w:color w:val="auto"/>
                <w:sz w:val="22"/>
                <w:szCs w:val="22"/>
                <w:highlight w:val="none"/>
              </w:rPr>
            </w:pPr>
          </w:p>
        </w:tc>
        <w:tc>
          <w:tcPr>
            <w:tcW w:w="3007" w:type="dxa"/>
            <w:tcBorders>
              <w:top w:val="single" w:color="auto" w:sz="4" w:space="0"/>
              <w:left w:val="single" w:color="000000" w:sz="4" w:space="0"/>
              <w:bottom w:val="single" w:color="000000" w:sz="4" w:space="0"/>
              <w:right w:val="single" w:color="000000" w:sz="4" w:space="0"/>
            </w:tcBorders>
            <w:shd w:val="clear" w:color="auto" w:fill="auto"/>
            <w:vAlign w:val="center"/>
          </w:tcPr>
          <w:p w14:paraId="0C448048">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考核材料弄虚作假影响考核的，每次扣10分。</w:t>
            </w:r>
          </w:p>
        </w:tc>
        <w:tc>
          <w:tcPr>
            <w:tcW w:w="1725" w:type="dxa"/>
            <w:vMerge w:val="continue"/>
            <w:tcBorders>
              <w:top w:val="single" w:color="auto" w:sz="4" w:space="0"/>
              <w:left w:val="single" w:color="000000" w:sz="4" w:space="0"/>
              <w:bottom w:val="single" w:color="000000" w:sz="4" w:space="0"/>
              <w:right w:val="single" w:color="auto" w:sz="4" w:space="0"/>
            </w:tcBorders>
            <w:shd w:val="clear" w:color="auto" w:fill="auto"/>
            <w:vAlign w:val="center"/>
          </w:tcPr>
          <w:p w14:paraId="37022F03">
            <w:pPr>
              <w:jc w:val="left"/>
              <w:rPr>
                <w:rFonts w:ascii="宋体" w:hAnsi="宋体" w:cs="宋体"/>
                <w:color w:val="auto"/>
                <w:sz w:val="22"/>
                <w:szCs w:val="22"/>
                <w:highlight w:val="none"/>
              </w:rPr>
            </w:pPr>
          </w:p>
        </w:tc>
      </w:tr>
      <w:tr w14:paraId="3A922551">
        <w:tblPrEx>
          <w:tblCellMar>
            <w:top w:w="0" w:type="dxa"/>
            <w:left w:w="108" w:type="dxa"/>
            <w:bottom w:w="0" w:type="dxa"/>
            <w:right w:w="108" w:type="dxa"/>
          </w:tblCellMar>
        </w:tblPrEx>
        <w:trPr>
          <w:trHeight w:val="1220" w:hRule="atLeast"/>
        </w:trPr>
        <w:tc>
          <w:tcPr>
            <w:tcW w:w="739"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002A86A3">
            <w:pPr>
              <w:jc w:val="left"/>
              <w:rPr>
                <w:rFonts w:ascii="宋体" w:hAnsi="宋体" w:cs="宋体"/>
                <w:b/>
                <w:bCs/>
                <w:color w:val="auto"/>
                <w:sz w:val="22"/>
                <w:szCs w:val="22"/>
                <w:highlight w:val="none"/>
              </w:rPr>
            </w:pPr>
          </w:p>
        </w:tc>
        <w:tc>
          <w:tcPr>
            <w:tcW w:w="693" w:type="dxa"/>
            <w:tcBorders>
              <w:top w:val="single" w:color="000000" w:sz="4" w:space="0"/>
              <w:left w:val="single" w:color="000000" w:sz="4" w:space="0"/>
              <w:bottom w:val="single" w:color="auto" w:sz="4" w:space="0"/>
              <w:right w:val="single" w:color="000000" w:sz="4" w:space="0"/>
            </w:tcBorders>
            <w:shd w:val="clear" w:color="auto" w:fill="auto"/>
            <w:vAlign w:val="center"/>
          </w:tcPr>
          <w:p w14:paraId="1C469B3B">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lang w:bidi="ar"/>
              </w:rPr>
              <w:t>有其他不良影响</w:t>
            </w:r>
          </w:p>
        </w:tc>
        <w:tc>
          <w:tcPr>
            <w:tcW w:w="463" w:type="dxa"/>
            <w:tcBorders>
              <w:top w:val="single" w:color="000000" w:sz="4" w:space="0"/>
              <w:left w:val="single" w:color="000000" w:sz="4" w:space="0"/>
              <w:bottom w:val="single" w:color="auto" w:sz="4" w:space="0"/>
              <w:right w:val="single" w:color="000000" w:sz="4" w:space="0"/>
            </w:tcBorders>
            <w:shd w:val="clear" w:color="auto" w:fill="auto"/>
            <w:vAlign w:val="center"/>
          </w:tcPr>
          <w:p w14:paraId="39DF4E2F">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33</w:t>
            </w:r>
          </w:p>
        </w:tc>
        <w:tc>
          <w:tcPr>
            <w:tcW w:w="2437" w:type="dxa"/>
            <w:tcBorders>
              <w:top w:val="single" w:color="000000" w:sz="4" w:space="0"/>
              <w:left w:val="single" w:color="000000" w:sz="4" w:space="0"/>
              <w:bottom w:val="single" w:color="auto" w:sz="4" w:space="0"/>
              <w:right w:val="single" w:color="000000" w:sz="4" w:space="0"/>
            </w:tcBorders>
            <w:shd w:val="clear" w:color="auto" w:fill="auto"/>
            <w:vAlign w:val="center"/>
          </w:tcPr>
          <w:p w14:paraId="62FD4609">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开展业务工作中，有不良行为造成了不良影响</w:t>
            </w:r>
          </w:p>
        </w:tc>
        <w:tc>
          <w:tcPr>
            <w:tcW w:w="625"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459C00B">
            <w:pPr>
              <w:jc w:val="center"/>
              <w:rPr>
                <w:rFonts w:ascii="宋体" w:hAnsi="宋体" w:cs="宋体"/>
                <w:color w:val="auto"/>
                <w:sz w:val="22"/>
                <w:szCs w:val="22"/>
                <w:highlight w:val="none"/>
              </w:rPr>
            </w:pPr>
          </w:p>
        </w:tc>
        <w:tc>
          <w:tcPr>
            <w:tcW w:w="3007" w:type="dxa"/>
            <w:tcBorders>
              <w:top w:val="single" w:color="000000" w:sz="4" w:space="0"/>
              <w:left w:val="single" w:color="000000" w:sz="4" w:space="0"/>
              <w:bottom w:val="single" w:color="auto" w:sz="4" w:space="0"/>
              <w:right w:val="single" w:color="000000" w:sz="4" w:space="0"/>
            </w:tcBorders>
            <w:shd w:val="clear" w:color="auto" w:fill="auto"/>
            <w:vAlign w:val="center"/>
          </w:tcPr>
          <w:p w14:paraId="598315B0">
            <w:pPr>
              <w:widowControl/>
              <w:jc w:val="left"/>
              <w:rPr>
                <w:rFonts w:ascii="宋体" w:hAnsi="宋体" w:cs="宋体"/>
                <w:color w:val="auto"/>
                <w:sz w:val="22"/>
                <w:szCs w:val="22"/>
                <w:highlight w:val="none"/>
              </w:rPr>
            </w:pPr>
            <w:r>
              <w:rPr>
                <w:rFonts w:hint="eastAsia" w:ascii="宋体" w:hAnsi="宋体" w:cs="宋体"/>
                <w:color w:val="auto"/>
                <w:sz w:val="22"/>
                <w:szCs w:val="22"/>
                <w:highlight w:val="none"/>
                <w:lang w:bidi="ar"/>
              </w:rPr>
              <w:t>开展业务过程中造成不良影响的，一次最低扣5分，造成重大影响的，可以直接认定为考核不合格，直至终止合作；不良影响程度由采购人认定。</w:t>
            </w:r>
          </w:p>
        </w:tc>
        <w:tc>
          <w:tcPr>
            <w:tcW w:w="1725"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14:paraId="54A5BEB8">
            <w:pPr>
              <w:jc w:val="left"/>
              <w:rPr>
                <w:rFonts w:ascii="宋体" w:hAnsi="宋体" w:cs="宋体"/>
                <w:color w:val="auto"/>
                <w:sz w:val="22"/>
                <w:szCs w:val="22"/>
                <w:highlight w:val="none"/>
              </w:rPr>
            </w:pPr>
          </w:p>
        </w:tc>
      </w:tr>
      <w:tr w14:paraId="13E638FF">
        <w:tblPrEx>
          <w:tblCellMar>
            <w:top w:w="0" w:type="dxa"/>
            <w:left w:w="108" w:type="dxa"/>
            <w:bottom w:w="0" w:type="dxa"/>
            <w:right w:w="108" w:type="dxa"/>
          </w:tblCellMar>
        </w:tblPrEx>
        <w:trPr>
          <w:trHeight w:val="380" w:hRule="atLeast"/>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358C6543">
            <w:pPr>
              <w:jc w:val="left"/>
              <w:rPr>
                <w:rFonts w:ascii="宋体" w:hAnsi="宋体" w:cs="宋体"/>
                <w:b/>
                <w:bCs/>
                <w:color w:val="auto"/>
                <w:sz w:val="22"/>
                <w:szCs w:val="22"/>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7FB63418">
            <w:pPr>
              <w:jc w:val="center"/>
              <w:rPr>
                <w:rFonts w:ascii="宋体" w:hAnsi="宋体" w:cs="宋体"/>
                <w:b/>
                <w:bCs/>
                <w:color w:val="auto"/>
                <w:sz w:val="22"/>
                <w:szCs w:val="22"/>
                <w:highlight w:val="none"/>
              </w:rPr>
            </w:pPr>
          </w:p>
        </w:tc>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79A5571D">
            <w:pPr>
              <w:jc w:val="center"/>
              <w:rPr>
                <w:rFonts w:ascii="宋体" w:hAnsi="宋体" w:cs="宋体"/>
                <w:color w:val="auto"/>
                <w:sz w:val="22"/>
                <w:szCs w:val="22"/>
                <w:highlight w:val="none"/>
              </w:rPr>
            </w:pP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48E294FC">
            <w:pPr>
              <w:rPr>
                <w:rFonts w:ascii="宋体" w:hAnsi="宋体" w:cs="宋体"/>
                <w:color w:val="auto"/>
                <w:sz w:val="22"/>
                <w:szCs w:val="22"/>
                <w:highlight w:val="none"/>
              </w:rPr>
            </w:pP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5EDB968C">
            <w:pPr>
              <w:widowControl/>
              <w:jc w:val="center"/>
              <w:rPr>
                <w:rFonts w:ascii="宋体" w:hAnsi="宋体" w:cs="宋体"/>
                <w:color w:val="auto"/>
                <w:sz w:val="22"/>
                <w:szCs w:val="22"/>
                <w:highlight w:val="none"/>
              </w:rPr>
            </w:pPr>
            <w:r>
              <w:rPr>
                <w:rFonts w:hint="eastAsia" w:ascii="宋体" w:hAnsi="宋体" w:cs="宋体"/>
                <w:color w:val="auto"/>
                <w:sz w:val="22"/>
                <w:szCs w:val="22"/>
                <w:highlight w:val="none"/>
                <w:lang w:bidi="ar"/>
              </w:rPr>
              <w:t>100</w:t>
            </w:r>
          </w:p>
        </w:tc>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14:paraId="52F07D96">
            <w:pPr>
              <w:jc w:val="left"/>
              <w:rPr>
                <w:rFonts w:ascii="宋体" w:hAnsi="宋体" w:cs="宋体"/>
                <w:color w:val="auto"/>
                <w:sz w:val="22"/>
                <w:szCs w:val="22"/>
                <w:highlight w:val="none"/>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357935E5">
            <w:pPr>
              <w:jc w:val="left"/>
              <w:rPr>
                <w:rFonts w:ascii="宋体" w:hAnsi="宋体" w:cs="宋体"/>
                <w:color w:val="auto"/>
                <w:sz w:val="22"/>
                <w:szCs w:val="22"/>
                <w:highlight w:val="none"/>
              </w:rPr>
            </w:pPr>
          </w:p>
        </w:tc>
      </w:tr>
      <w:tr w14:paraId="43F2E6ED">
        <w:tblPrEx>
          <w:tblCellMar>
            <w:top w:w="0" w:type="dxa"/>
            <w:left w:w="108" w:type="dxa"/>
            <w:bottom w:w="0" w:type="dxa"/>
            <w:right w:w="108" w:type="dxa"/>
          </w:tblCellMar>
        </w:tblPrEx>
        <w:trPr>
          <w:trHeight w:val="3750" w:hRule="atLeast"/>
        </w:trPr>
        <w:tc>
          <w:tcPr>
            <w:tcW w:w="9689" w:type="dxa"/>
            <w:gridSpan w:val="7"/>
            <w:tcBorders>
              <w:top w:val="single" w:color="auto" w:sz="4" w:space="0"/>
              <w:left w:val="single" w:color="auto" w:sz="4" w:space="0"/>
              <w:bottom w:val="single" w:color="auto" w:sz="4" w:space="0"/>
              <w:right w:val="single" w:color="auto" w:sz="4" w:space="0"/>
            </w:tcBorders>
            <w:shd w:val="clear" w:color="auto" w:fill="auto"/>
          </w:tcPr>
          <w:p w14:paraId="3AFB50EC">
            <w:pPr>
              <w:widowControl/>
              <w:jc w:val="left"/>
              <w:rPr>
                <w:rFonts w:ascii="宋体" w:hAnsi="宋体" w:cs="宋体"/>
                <w:color w:val="auto"/>
                <w:sz w:val="32"/>
                <w:szCs w:val="32"/>
                <w:highlight w:val="none"/>
                <w:lang w:bidi="ar"/>
              </w:rPr>
            </w:pPr>
            <w:r>
              <w:rPr>
                <w:rFonts w:hint="eastAsia" w:ascii="宋体" w:hAnsi="宋体" w:cs="宋体"/>
                <w:color w:val="auto"/>
                <w:sz w:val="32"/>
                <w:szCs w:val="32"/>
                <w:highlight w:val="none"/>
                <w:lang w:bidi="ar"/>
              </w:rPr>
              <w:t xml:space="preserve">  </w:t>
            </w:r>
          </w:p>
          <w:p w14:paraId="23FBBF4A">
            <w:pPr>
              <w:widowControl/>
              <w:jc w:val="left"/>
              <w:rPr>
                <w:rFonts w:ascii="宋体" w:hAnsi="宋体" w:cs="宋体"/>
                <w:color w:val="auto"/>
                <w:sz w:val="22"/>
                <w:szCs w:val="22"/>
                <w:highlight w:val="none"/>
                <w:lang w:bidi="ar"/>
              </w:rPr>
            </w:pPr>
            <w:r>
              <w:rPr>
                <w:rFonts w:hint="eastAsia" w:ascii="宋体" w:hAnsi="宋体" w:cs="宋体"/>
                <w:color w:val="auto"/>
                <w:sz w:val="32"/>
                <w:szCs w:val="32"/>
                <w:highlight w:val="none"/>
                <w:lang w:bidi="ar"/>
              </w:rPr>
              <w:t xml:space="preserve"> </w:t>
            </w:r>
            <w:r>
              <w:rPr>
                <w:rFonts w:hint="eastAsia" w:ascii="宋体" w:hAnsi="宋体" w:cs="宋体"/>
                <w:color w:val="auto"/>
                <w:sz w:val="22"/>
                <w:szCs w:val="22"/>
                <w:highlight w:val="none"/>
                <w:lang w:bidi="ar"/>
              </w:rPr>
              <w:t>根据苍梧县零工市场的定位，经采购人和供应商双方研究，一致同意并确认以上考核项目、考核内容、分值、评分标准及考核方式等事项（以上考核内容为单个零工市场的考核内容，需要合并考核的内容在评分标准和考核方式等方面已有说明），一致同意针对第1至第27项考核内容，若供应商有任何一项未能完成，须提交书面说明，并在下一考核周期内完成整改。若同一项目连续两个周期仍未达标且未完成整改，采购人有权从该零工市场对应的总服务费中扣除10%作为违约金。按照以上考核内容及约定得出的考核结果采购人和供应商双方将予以认可。</w:t>
            </w:r>
            <w:r>
              <w:rPr>
                <w:rFonts w:hint="eastAsia" w:ascii="宋体" w:hAnsi="宋体" w:cs="宋体"/>
                <w:color w:val="auto"/>
                <w:sz w:val="22"/>
                <w:szCs w:val="22"/>
                <w:highlight w:val="none"/>
                <w:lang w:bidi="ar"/>
              </w:rPr>
              <w:br w:type="textWrapping"/>
            </w:r>
          </w:p>
          <w:p w14:paraId="76C81D59">
            <w:pPr>
              <w:widowControl/>
              <w:jc w:val="left"/>
              <w:rPr>
                <w:rFonts w:ascii="宋体" w:hAnsi="宋体" w:cs="宋体"/>
                <w:color w:val="auto"/>
                <w:sz w:val="22"/>
                <w:szCs w:val="22"/>
                <w:highlight w:val="none"/>
                <w:lang w:bidi="ar"/>
              </w:rPr>
            </w:pPr>
          </w:p>
          <w:p w14:paraId="08CFB223">
            <w:pPr>
              <w:widowControl/>
              <w:jc w:val="left"/>
              <w:rPr>
                <w:rFonts w:ascii="宋体" w:hAnsi="宋体" w:cs="宋体"/>
                <w:color w:val="auto"/>
                <w:sz w:val="32"/>
                <w:szCs w:val="32"/>
                <w:highlight w:val="none"/>
              </w:rPr>
            </w:pPr>
            <w:r>
              <w:rPr>
                <w:rFonts w:hint="eastAsia" w:ascii="宋体" w:hAnsi="宋体" w:cs="宋体"/>
                <w:color w:val="auto"/>
                <w:sz w:val="22"/>
                <w:szCs w:val="22"/>
                <w:highlight w:val="none"/>
                <w:lang w:bidi="ar"/>
              </w:rPr>
              <w:t xml:space="preserve">采购人（盖章）：                      供应商（盖章）：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法定代表人或授权代表：                法定代表人或授权代表：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确认日期：                            确认日期：</w:t>
            </w:r>
          </w:p>
        </w:tc>
      </w:tr>
    </w:tbl>
    <w:p w14:paraId="120ADC9B">
      <w:pPr>
        <w:pStyle w:val="30"/>
        <w:rPr>
          <w:color w:val="auto"/>
          <w:highlight w:val="none"/>
        </w:rPr>
      </w:pPr>
    </w:p>
    <w:p w14:paraId="24F2E297">
      <w:pP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40CBED13">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附件4：</w:t>
      </w:r>
    </w:p>
    <w:p w14:paraId="42AB97E9">
      <w:pPr>
        <w:spacing w:after="120"/>
        <w:jc w:val="center"/>
        <w:rPr>
          <w:b/>
          <w:color w:val="auto"/>
          <w:sz w:val="28"/>
          <w:szCs w:val="28"/>
          <w:highlight w:val="none"/>
        </w:rPr>
      </w:pPr>
      <w:r>
        <w:rPr>
          <w:rFonts w:hint="eastAsia"/>
          <w:b/>
          <w:color w:val="auto"/>
          <w:sz w:val="28"/>
          <w:szCs w:val="28"/>
          <w:highlight w:val="none"/>
        </w:rPr>
        <w:t>中小企业划型标准规定</w:t>
      </w:r>
    </w:p>
    <w:p w14:paraId="4A046373">
      <w:pPr>
        <w:spacing w:after="120"/>
        <w:jc w:val="center"/>
        <w:rPr>
          <w:rFonts w:ascii="宋体" w:hAnsi="宋体"/>
          <w:color w:val="auto"/>
          <w:szCs w:val="21"/>
          <w:highlight w:val="none"/>
        </w:rPr>
      </w:pPr>
      <w:r>
        <w:rPr>
          <w:rFonts w:hint="eastAsia" w:ascii="宋体" w:hAnsi="宋体"/>
          <w:color w:val="auto"/>
          <w:szCs w:val="21"/>
          <w:highlight w:val="none"/>
        </w:rPr>
        <w:t>工信部联企业〔2011〕300号</w:t>
      </w:r>
    </w:p>
    <w:p w14:paraId="48A32666">
      <w:pPr>
        <w:spacing w:after="120"/>
        <w:rPr>
          <w:color w:val="auto"/>
          <w:szCs w:val="21"/>
          <w:highlight w:val="none"/>
        </w:rPr>
      </w:pPr>
    </w:p>
    <w:p w14:paraId="07493849">
      <w:pPr>
        <w:spacing w:after="120"/>
        <w:ind w:firstLine="420"/>
        <w:rPr>
          <w:color w:val="auto"/>
          <w:szCs w:val="21"/>
          <w:highlight w:val="none"/>
        </w:rPr>
      </w:pPr>
      <w:r>
        <w:rPr>
          <w:rFonts w:hint="eastAsia"/>
          <w:color w:val="auto"/>
          <w:szCs w:val="21"/>
          <w:highlight w:val="none"/>
        </w:rPr>
        <w:t>一、根据《中华人民共和国中小企业促进法》和《国务院关于进一步促进中小企业发展的若干意见》（国发〔2009〕36号），制定本规定。</w:t>
      </w:r>
    </w:p>
    <w:p w14:paraId="5A3DADB6">
      <w:pPr>
        <w:spacing w:after="120"/>
        <w:ind w:firstLine="420"/>
        <w:rPr>
          <w:color w:val="auto"/>
          <w:szCs w:val="21"/>
          <w:highlight w:val="none"/>
        </w:rPr>
      </w:pPr>
      <w:r>
        <w:rPr>
          <w:rFonts w:hint="eastAsia"/>
          <w:color w:val="auto"/>
          <w:szCs w:val="21"/>
          <w:highlight w:val="none"/>
        </w:rPr>
        <w:t>二、中小企业划分为中型、小型、微型三种类型，具体标准根据企业从业人员、营业收入、资产总额等指标，结合行业特点制定。</w:t>
      </w:r>
    </w:p>
    <w:p w14:paraId="6C12C346">
      <w:pPr>
        <w:spacing w:after="120"/>
        <w:ind w:firstLine="420"/>
        <w:rPr>
          <w:color w:val="auto"/>
          <w:szCs w:val="21"/>
          <w:highlight w:val="none"/>
        </w:rPr>
      </w:pPr>
      <w:r>
        <w:rPr>
          <w:rFonts w:hint="eastAsia"/>
          <w:color w:val="auto"/>
          <w:szCs w:val="21"/>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9B0BBA2">
      <w:pPr>
        <w:spacing w:after="120"/>
        <w:ind w:firstLine="420"/>
        <w:rPr>
          <w:color w:val="auto"/>
          <w:szCs w:val="21"/>
          <w:highlight w:val="none"/>
        </w:rPr>
      </w:pPr>
      <w:r>
        <w:rPr>
          <w:rFonts w:hint="eastAsia"/>
          <w:color w:val="auto"/>
          <w:szCs w:val="21"/>
          <w:highlight w:val="none"/>
        </w:rPr>
        <w:t>四、各行业划型标准为：</w:t>
      </w:r>
    </w:p>
    <w:p w14:paraId="741B99D8">
      <w:pPr>
        <w:spacing w:after="120"/>
        <w:ind w:firstLine="420"/>
        <w:rPr>
          <w:color w:val="auto"/>
          <w:szCs w:val="21"/>
          <w:highlight w:val="none"/>
        </w:rPr>
      </w:pPr>
      <w:r>
        <w:rPr>
          <w:rFonts w:hint="eastAsia"/>
          <w:color w:val="auto"/>
          <w:szCs w:val="21"/>
          <w:highlight w:val="none"/>
        </w:rPr>
        <w:t>（一）农、林、牧、渔业。营业收入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6346889A">
      <w:pPr>
        <w:spacing w:after="120"/>
        <w:ind w:firstLine="420"/>
        <w:rPr>
          <w:color w:val="auto"/>
          <w:szCs w:val="21"/>
          <w:highlight w:val="none"/>
        </w:rPr>
      </w:pPr>
      <w:r>
        <w:rPr>
          <w:rFonts w:hint="eastAsia"/>
          <w:color w:val="auto"/>
          <w:szCs w:val="21"/>
          <w:highlight w:val="none"/>
        </w:rPr>
        <w:t>（二）工业。从业人员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2F94E411">
      <w:pPr>
        <w:spacing w:after="120"/>
        <w:ind w:firstLine="420"/>
        <w:rPr>
          <w:color w:val="auto"/>
          <w:szCs w:val="21"/>
          <w:highlight w:val="none"/>
        </w:rPr>
      </w:pPr>
      <w:r>
        <w:rPr>
          <w:rFonts w:hint="eastAsia"/>
          <w:color w:val="auto"/>
          <w:szCs w:val="21"/>
          <w:highlight w:val="none"/>
        </w:rPr>
        <w:t>（三）建筑业。营业收入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63099679">
      <w:pPr>
        <w:spacing w:after="120"/>
        <w:ind w:firstLine="420"/>
        <w:rPr>
          <w:color w:val="auto"/>
          <w:szCs w:val="21"/>
          <w:highlight w:val="none"/>
        </w:rPr>
      </w:pPr>
      <w:r>
        <w:rPr>
          <w:rFonts w:hint="eastAsia"/>
          <w:color w:val="auto"/>
          <w:szCs w:val="21"/>
          <w:highlight w:val="none"/>
        </w:rPr>
        <w:t>（四）批发业。从业人员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290D10DC">
      <w:pPr>
        <w:spacing w:after="120"/>
        <w:ind w:firstLine="420"/>
        <w:rPr>
          <w:color w:val="auto"/>
          <w:szCs w:val="21"/>
          <w:highlight w:val="none"/>
        </w:rPr>
      </w:pPr>
      <w:r>
        <w:rPr>
          <w:rFonts w:hint="eastAsia"/>
          <w:color w:val="auto"/>
          <w:szCs w:val="21"/>
          <w:highlight w:val="none"/>
        </w:rPr>
        <w:t>（五）零售业。从业人员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3B35D7E">
      <w:pPr>
        <w:spacing w:after="120"/>
        <w:ind w:firstLine="420"/>
        <w:rPr>
          <w:color w:val="auto"/>
          <w:szCs w:val="21"/>
          <w:highlight w:val="none"/>
        </w:rPr>
      </w:pPr>
      <w:r>
        <w:rPr>
          <w:rFonts w:hint="eastAsia"/>
          <w:color w:val="auto"/>
          <w:szCs w:val="21"/>
          <w:highlight w:val="none"/>
        </w:rPr>
        <w:t>（六）交通运输业。从业人员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2CB072FA">
      <w:pPr>
        <w:spacing w:after="120"/>
        <w:ind w:firstLine="420"/>
        <w:rPr>
          <w:color w:val="auto"/>
          <w:szCs w:val="21"/>
          <w:highlight w:val="none"/>
        </w:rPr>
      </w:pPr>
      <w:r>
        <w:rPr>
          <w:rFonts w:hint="eastAsia"/>
          <w:color w:val="auto"/>
          <w:szCs w:val="21"/>
          <w:highlight w:val="none"/>
        </w:rPr>
        <w:t>（七）仓储业。从业人员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87C4D7D">
      <w:pPr>
        <w:spacing w:after="120"/>
        <w:ind w:firstLine="420"/>
        <w:rPr>
          <w:color w:val="auto"/>
          <w:szCs w:val="21"/>
          <w:highlight w:val="none"/>
        </w:rPr>
      </w:pPr>
      <w:r>
        <w:rPr>
          <w:rFonts w:hint="eastAsia"/>
          <w:color w:val="auto"/>
          <w:szCs w:val="21"/>
          <w:highlight w:val="none"/>
        </w:rPr>
        <w:t>（八）邮政业。从业人员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3D1F9C1">
      <w:pPr>
        <w:spacing w:after="120"/>
        <w:ind w:firstLine="420"/>
        <w:rPr>
          <w:color w:val="auto"/>
          <w:szCs w:val="21"/>
          <w:highlight w:val="none"/>
        </w:rPr>
      </w:pPr>
      <w:r>
        <w:rPr>
          <w:rFonts w:hint="eastAsia"/>
          <w:color w:val="auto"/>
          <w:szCs w:val="21"/>
          <w:highlight w:val="none"/>
        </w:rPr>
        <w:t>（九）住宿业。从业人员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47E252">
      <w:pPr>
        <w:spacing w:after="120"/>
        <w:ind w:firstLine="420"/>
        <w:rPr>
          <w:color w:val="auto"/>
          <w:szCs w:val="21"/>
          <w:highlight w:val="none"/>
        </w:rPr>
      </w:pPr>
      <w:r>
        <w:rPr>
          <w:rFonts w:hint="eastAsia"/>
          <w:color w:val="auto"/>
          <w:szCs w:val="21"/>
          <w:highlight w:val="none"/>
        </w:rPr>
        <w:t>（十）餐饮业。从业人员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161BBF7">
      <w:pPr>
        <w:spacing w:after="120"/>
        <w:ind w:firstLine="420"/>
        <w:rPr>
          <w:color w:val="auto"/>
          <w:szCs w:val="21"/>
          <w:highlight w:val="none"/>
        </w:rPr>
      </w:pPr>
      <w:r>
        <w:rPr>
          <w:rFonts w:hint="eastAsia"/>
          <w:color w:val="auto"/>
          <w:szCs w:val="21"/>
          <w:highlight w:val="none"/>
        </w:rPr>
        <w:t>（十一）信息传输业。从业人员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84E747F">
      <w:pPr>
        <w:spacing w:after="120"/>
        <w:ind w:firstLine="420"/>
        <w:rPr>
          <w:color w:val="auto"/>
          <w:szCs w:val="21"/>
          <w:highlight w:val="none"/>
        </w:rPr>
      </w:pPr>
      <w:r>
        <w:rPr>
          <w:rFonts w:hint="eastAsia"/>
          <w:color w:val="auto"/>
          <w:szCs w:val="21"/>
          <w:highlight w:val="none"/>
        </w:rPr>
        <w:t>（十二）软件和信息技术服务业。从业人员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599ACCEE">
      <w:pPr>
        <w:spacing w:after="120"/>
        <w:ind w:firstLine="420"/>
        <w:rPr>
          <w:color w:val="auto"/>
          <w:szCs w:val="21"/>
          <w:highlight w:val="none"/>
        </w:rPr>
      </w:pPr>
      <w:r>
        <w:rPr>
          <w:rFonts w:hint="eastAsia"/>
          <w:color w:val="auto"/>
          <w:szCs w:val="21"/>
          <w:highlight w:val="none"/>
        </w:rPr>
        <w:t>（十三）房地产开发经营。营业收入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2FFB472B">
      <w:pPr>
        <w:spacing w:after="120"/>
        <w:ind w:firstLine="420"/>
        <w:rPr>
          <w:color w:val="auto"/>
          <w:szCs w:val="21"/>
          <w:highlight w:val="none"/>
        </w:rPr>
      </w:pPr>
      <w:r>
        <w:rPr>
          <w:rFonts w:hint="eastAsia"/>
          <w:color w:val="auto"/>
          <w:szCs w:val="21"/>
          <w:highlight w:val="none"/>
        </w:rPr>
        <w:t>（十四）物业管理。从业人员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35C167DE">
      <w:pPr>
        <w:spacing w:after="120"/>
        <w:ind w:firstLine="420"/>
        <w:rPr>
          <w:color w:val="auto"/>
          <w:szCs w:val="21"/>
          <w:highlight w:val="none"/>
        </w:rPr>
      </w:pPr>
      <w:r>
        <w:rPr>
          <w:rFonts w:hint="eastAsia"/>
          <w:color w:val="auto"/>
          <w:szCs w:val="21"/>
          <w:highlight w:val="none"/>
        </w:rPr>
        <w:t>（十五）租赁和商务服务业。从业人员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393C3614">
      <w:pPr>
        <w:spacing w:after="120"/>
        <w:ind w:firstLine="420"/>
        <w:rPr>
          <w:color w:val="auto"/>
          <w:szCs w:val="21"/>
          <w:highlight w:val="none"/>
        </w:rPr>
      </w:pPr>
      <w:r>
        <w:rPr>
          <w:rFonts w:hint="eastAsia"/>
          <w:color w:val="auto"/>
          <w:szCs w:val="21"/>
          <w:highlight w:val="none"/>
        </w:rPr>
        <w:t>（十六）其他未列明行业。从业人员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2267D8A2">
      <w:pPr>
        <w:spacing w:after="120"/>
        <w:ind w:firstLine="420"/>
        <w:rPr>
          <w:color w:val="auto"/>
          <w:szCs w:val="21"/>
          <w:highlight w:val="none"/>
        </w:rPr>
      </w:pPr>
      <w:r>
        <w:rPr>
          <w:rFonts w:hint="eastAsia"/>
          <w:color w:val="auto"/>
          <w:szCs w:val="21"/>
          <w:highlight w:val="none"/>
        </w:rPr>
        <w:t>五、企业类型的划分以统计部门的统计数据为依据。</w:t>
      </w:r>
    </w:p>
    <w:p w14:paraId="2C024AA9">
      <w:pPr>
        <w:spacing w:after="120"/>
        <w:ind w:firstLine="420"/>
        <w:rPr>
          <w:color w:val="auto"/>
          <w:szCs w:val="21"/>
          <w:highlight w:val="none"/>
        </w:rPr>
      </w:pPr>
      <w:r>
        <w:rPr>
          <w:rFonts w:hint="eastAsia"/>
          <w:color w:val="auto"/>
          <w:szCs w:val="21"/>
          <w:highlight w:val="none"/>
        </w:rPr>
        <w:t>六、本规定适用于在中华人民共和国境内依法设立的各类所有制和各种组织形式的企业。个体工商户和本规定以外的行业，参照本规定进行划型。</w:t>
      </w:r>
    </w:p>
    <w:p w14:paraId="12F1F0B1">
      <w:pPr>
        <w:spacing w:after="120"/>
        <w:ind w:firstLine="420"/>
        <w:rPr>
          <w:color w:val="auto"/>
          <w:szCs w:val="21"/>
          <w:highlight w:val="none"/>
        </w:rPr>
      </w:pPr>
      <w:r>
        <w:rPr>
          <w:rFonts w:hint="eastAsia"/>
          <w:color w:val="auto"/>
          <w:szCs w:val="21"/>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33F66E7F">
      <w:pPr>
        <w:spacing w:after="120"/>
        <w:ind w:firstLine="420"/>
        <w:rPr>
          <w:color w:val="auto"/>
          <w:szCs w:val="21"/>
          <w:highlight w:val="none"/>
        </w:rPr>
      </w:pPr>
      <w:r>
        <w:rPr>
          <w:rFonts w:hint="eastAsia"/>
          <w:color w:val="auto"/>
          <w:szCs w:val="21"/>
          <w:highlight w:val="none"/>
        </w:rPr>
        <w:t>八、本规定由工业和信息化部、国家统计局会同有关部门根据《国民经济行业分类》修订情况和企业发展变化情况适时修订。</w:t>
      </w:r>
    </w:p>
    <w:p w14:paraId="27F8ED09">
      <w:pPr>
        <w:spacing w:after="120"/>
        <w:ind w:firstLine="420"/>
        <w:rPr>
          <w:color w:val="auto"/>
          <w:szCs w:val="21"/>
          <w:highlight w:val="none"/>
        </w:rPr>
      </w:pPr>
      <w:r>
        <w:rPr>
          <w:rFonts w:hint="eastAsia"/>
          <w:color w:val="auto"/>
          <w:szCs w:val="21"/>
          <w:highlight w:val="none"/>
        </w:rPr>
        <w:t>九、本规定由工业和信息化部、国家统计局会同有关部门负责解释。</w:t>
      </w:r>
    </w:p>
    <w:p w14:paraId="268884ED">
      <w:pPr>
        <w:spacing w:after="120"/>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2C24B4D0">
      <w:pPr>
        <w:spacing w:line="360" w:lineRule="auto"/>
        <w:ind w:firstLine="542"/>
        <w:rPr>
          <w:rFonts w:ascii="宋体" w:hAnsi="宋体" w:cs="宋体"/>
          <w:color w:val="auto"/>
          <w:highlight w:val="none"/>
        </w:rPr>
      </w:pPr>
      <w:r>
        <w:rPr>
          <w:rFonts w:hint="eastAsia" w:ascii="仿宋_GB2312" w:hAnsi="仿宋_GB2312" w:eastAsia="仿宋_GB2312" w:cs="仿宋_GB2312"/>
          <w:b/>
          <w:bCs/>
          <w:color w:val="auto"/>
          <w:spacing w:val="-15"/>
          <w:sz w:val="30"/>
          <w:szCs w:val="30"/>
          <w:highlight w:val="none"/>
        </w:rPr>
        <w:br w:type="page" w:clear="all"/>
      </w:r>
    </w:p>
    <w:p w14:paraId="0DED32AD">
      <w:pPr>
        <w:rPr>
          <w:rFonts w:ascii="宋体" w:hAnsi="宋体" w:cs="宋体"/>
          <w:color w:val="auto"/>
          <w:highlight w:val="none"/>
        </w:rPr>
      </w:pPr>
    </w:p>
    <w:p w14:paraId="0032EAEE">
      <w:pPr>
        <w:pStyle w:val="3"/>
        <w:rPr>
          <w:rFonts w:ascii="宋体" w:hAnsi="宋体" w:cs="宋体"/>
          <w:color w:val="auto"/>
          <w:highlight w:val="none"/>
        </w:rPr>
      </w:pPr>
      <w:bookmarkStart w:id="90" w:name="_Toc74323459"/>
      <w:r>
        <w:rPr>
          <w:rFonts w:hint="eastAsia" w:ascii="宋体" w:hAnsi="宋体" w:cs="宋体"/>
          <w:color w:val="auto"/>
          <w:highlight w:val="none"/>
        </w:rPr>
        <w:t>第四章 评审程序、评审方法和评审标准</w:t>
      </w:r>
      <w:bookmarkEnd w:id="90"/>
    </w:p>
    <w:p w14:paraId="049D034A">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75F1D157">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1.资格审查</w:t>
      </w:r>
    </w:p>
    <w:p w14:paraId="1BB2C3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5679B4A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highlight w:val="none"/>
        </w:rPr>
        <w:t>磋商小组</w:t>
      </w:r>
      <w:r>
        <w:rPr>
          <w:rFonts w:hint="eastAsia" w:ascii="宋体" w:hAnsi="宋体" w:cs="宋体"/>
          <w:color w:val="auto"/>
          <w:szCs w:val="21"/>
          <w:highlight w:val="none"/>
        </w:rPr>
        <w:t>在资格审查结束前，对供应商进行信用查询。</w:t>
      </w:r>
    </w:p>
    <w:p w14:paraId="59547F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w:t>
      </w:r>
    </w:p>
    <w:p w14:paraId="048061C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6AAE1D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04CA496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40DE4BF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15E93DD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1103CE4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2D62934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2EF6C21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00390C7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11A8F60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不再参加该采购项目的其他采购活动的。</w:t>
      </w:r>
    </w:p>
    <w:p w14:paraId="7825514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1D174EEB">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2.符合性审查</w:t>
      </w:r>
    </w:p>
    <w:p w14:paraId="7E952B11">
      <w:pPr>
        <w:spacing w:line="360" w:lineRule="auto"/>
        <w:ind w:firstLine="420"/>
        <w:rPr>
          <w:rFonts w:ascii="宋体" w:hAnsi="宋体" w:cs="宋体"/>
          <w:color w:val="auto"/>
          <w:szCs w:val="21"/>
          <w:highlight w:val="none"/>
        </w:rPr>
      </w:pPr>
      <w:bookmarkStart w:id="91" w:name="_Hlk42528882"/>
      <w:r>
        <w:rPr>
          <w:rFonts w:hint="eastAsia" w:ascii="宋体" w:hAnsi="宋体" w:cs="宋体"/>
          <w:color w:val="auto"/>
          <w:szCs w:val="21"/>
          <w:highlight w:val="none"/>
        </w:rPr>
        <w:t>2.1由磋商小组对通过资格审查的合格供应商的响应文件的竞标报价、商务、技术等实质性要求进行符合性审查，以确定其是否满足磋商文件的实质性要求。</w:t>
      </w:r>
      <w:bookmarkEnd w:id="91"/>
    </w:p>
    <w:p w14:paraId="5025781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6F11938">
      <w:pPr>
        <w:spacing w:line="360" w:lineRule="auto"/>
        <w:ind w:firstLine="420"/>
        <w:rPr>
          <w:rFonts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auto"/>
          <w:highlight w:val="none"/>
        </w:rPr>
        <w:t>签章</w:t>
      </w:r>
      <w:r>
        <w:rPr>
          <w:rFonts w:hint="eastAsia" w:ascii="宋体" w:hAnsi="宋体" w:cs="宋体"/>
          <w:color w:val="auto"/>
          <w:spacing w:val="-6"/>
          <w:szCs w:val="21"/>
          <w:highlight w:val="none"/>
        </w:rPr>
        <w:t>。</w:t>
      </w:r>
    </w:p>
    <w:p w14:paraId="1447CA32">
      <w:pPr>
        <w:spacing w:line="360" w:lineRule="auto"/>
        <w:ind w:firstLine="420"/>
        <w:rPr>
          <w:rFonts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2CF72B2C">
      <w:pPr>
        <w:spacing w:line="360" w:lineRule="auto"/>
        <w:ind w:firstLine="396"/>
        <w:rPr>
          <w:rFonts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首次响应文件报价出现前后不一致的，按照下列规定修正：</w:t>
      </w:r>
    </w:p>
    <w:p w14:paraId="06CADEE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7AE496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97E05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5AEA03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D43A2E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61D40A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2.5商务技术报价评审</w:t>
      </w:r>
    </w:p>
    <w:p w14:paraId="17B001A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650D4B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64C5B38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29DFD4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2）委托代理人未能出具有效身份证或者出具的身份证与授权委托书中的信息不符的；</w:t>
      </w:r>
    </w:p>
    <w:p w14:paraId="6B5DA36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0438547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2096B2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5）商务条款允许负偏离的条款数超过“供应商须知前附表”规定项数的；</w:t>
      </w:r>
    </w:p>
    <w:p w14:paraId="3D6397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0D17159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465A85B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3D419DD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053E77D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10）属于“供应商须知正文”第7.5条情形；</w:t>
      </w:r>
    </w:p>
    <w:p w14:paraId="6BEC287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11）技术要求允许负偏离的条款数超过“供应商须知前附表”规定项数；</w:t>
      </w:r>
    </w:p>
    <w:p w14:paraId="1A141C9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4A902D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13）</w:t>
      </w:r>
      <w:bookmarkStart w:id="92"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92"/>
    </w:p>
    <w:p w14:paraId="72C47DE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69F08D2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b/>
          <w:color w:val="auto"/>
          <w:szCs w:val="21"/>
          <w:highlight w:val="none"/>
        </w:rPr>
        <w:t>竞争性磋商文件明确不允许分包，响应文件拟分包的；</w:t>
      </w:r>
    </w:p>
    <w:p w14:paraId="44C1802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16）未响应磋商文件实质性要求；</w:t>
      </w:r>
    </w:p>
    <w:p w14:paraId="5676694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372C670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（2）报价评审</w:t>
      </w:r>
    </w:p>
    <w:p w14:paraId="707EC2A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w:t>
      </w:r>
    </w:p>
    <w:p w14:paraId="200B2FC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327833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944C5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93" w:name="_Hlk42596405"/>
      <w:r>
        <w:rPr>
          <w:rFonts w:hint="eastAsia" w:ascii="宋体" w:hAnsi="宋体" w:cs="宋体"/>
          <w:color w:val="auto"/>
          <w:szCs w:val="21"/>
          <w:highlight w:val="none"/>
        </w:rPr>
        <w:t>竞标报价（包含首次报价、最后报价）</w:t>
      </w:r>
      <w:bookmarkEnd w:id="93"/>
      <w:bookmarkStart w:id="94" w:name="_Hlk42596276"/>
      <w:r>
        <w:rPr>
          <w:rFonts w:hint="eastAsia" w:ascii="宋体" w:hAnsi="宋体" w:cs="宋体"/>
          <w:color w:val="auto"/>
          <w:szCs w:val="21"/>
          <w:highlight w:val="none"/>
        </w:rPr>
        <w:t>超过磋商文件分项采购预算金额或者最高限价的</w:t>
      </w:r>
      <w:bookmarkEnd w:id="94"/>
      <w:r>
        <w:rPr>
          <w:rFonts w:hint="eastAsia" w:ascii="宋体" w:hAnsi="宋体" w:cs="宋体"/>
          <w:color w:val="auto"/>
          <w:szCs w:val="21"/>
          <w:highlight w:val="none"/>
        </w:rPr>
        <w:t>（如本项目公布了最高限价）；</w:t>
      </w:r>
    </w:p>
    <w:p w14:paraId="08C8C95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05EEFED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204509E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184DD66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2.7通过符合性审查的合格供应商不足3家的，不得进入磋商环节，采购人或者采购代理机构应当重新开展采购活动。</w:t>
      </w:r>
    </w:p>
    <w:p w14:paraId="6651962F">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3.磋商程序</w:t>
      </w:r>
    </w:p>
    <w:p w14:paraId="520B841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4ABFFEC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636234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3.3对磋商文件作出的实质性变动是磋商文件的有效组成部分，由磋商小组及时以电子澄清函形式同时通知所有参加磋商的供应商。</w:t>
      </w:r>
    </w:p>
    <w:p w14:paraId="3999569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025470F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3C362733">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3.6采购代理机构对磋商过程和重要磋商内容进行记录。</w:t>
      </w:r>
    </w:p>
    <w:p w14:paraId="318642F2">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cs="宋体"/>
          <w:color w:val="auto"/>
          <w:highlight w:val="none"/>
        </w:rPr>
        <w:t>根据《财政部关于政府采购竞争性磋商</w:t>
      </w:r>
      <w:r>
        <w:rPr>
          <w:color w:val="auto"/>
          <w:highlight w:val="none"/>
        </w:rPr>
        <w:t>采购方式</w:t>
      </w:r>
      <w:r>
        <w:rPr>
          <w:rFonts w:hint="eastAsia" w:ascii="宋体" w:hAnsi="宋体" w:cs="宋体"/>
          <w:color w:val="auto"/>
          <w:highlight w:val="none"/>
        </w:rPr>
        <w:t>管理暂行办法有关问题的补充通知》（财库〔2015〕124号）的规定，采用竞争性磋商</w:t>
      </w:r>
      <w:r>
        <w:rPr>
          <w:color w:val="auto"/>
          <w:highlight w:val="none"/>
        </w:rPr>
        <w:t>采购方式</w:t>
      </w:r>
      <w:r>
        <w:rPr>
          <w:rFonts w:hint="eastAsia" w:ascii="宋体" w:hAnsi="宋体" w:cs="宋体"/>
          <w:color w:val="auto"/>
          <w:highlight w:val="none"/>
        </w:rPr>
        <w:t>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09EBA9D">
      <w:pPr>
        <w:tabs>
          <w:tab w:val="left" w:pos="283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3.8除</w:t>
      </w:r>
      <w:r>
        <w:rPr>
          <w:rFonts w:hint="eastAsia" w:ascii="宋体" w:hAnsi="宋体" w:cs="宋体"/>
          <w:color w:val="auto"/>
          <w:highlight w:val="none"/>
        </w:rPr>
        <w:t>本章第3.7条情形外，</w:t>
      </w:r>
      <w:r>
        <w:rPr>
          <w:rFonts w:hint="eastAsia" w:ascii="宋体" w:hAnsi="宋体" w:cs="宋体"/>
          <w:color w:val="auto"/>
          <w:szCs w:val="21"/>
          <w:highlight w:val="none"/>
        </w:rPr>
        <w:t>对磋商过程提交的响应文件进行有效性、完整性和响应程度审查，通过审查的合格供应商不足3家的，采购人或者采购代理机构应当重新开展采购活动。</w:t>
      </w:r>
    </w:p>
    <w:p w14:paraId="74B82134">
      <w:pPr>
        <w:spacing w:line="360" w:lineRule="auto"/>
        <w:ind w:firstLine="482"/>
        <w:rPr>
          <w:rFonts w:ascii="宋体" w:hAnsi="宋体" w:cs="宋体"/>
          <w:color w:val="auto"/>
          <w:szCs w:val="21"/>
          <w:highlight w:val="none"/>
        </w:rPr>
      </w:pPr>
      <w:r>
        <w:rPr>
          <w:rFonts w:hint="eastAsia" w:ascii="宋体" w:hAnsi="宋体" w:cs="宋体"/>
          <w:b/>
          <w:bCs/>
          <w:color w:val="auto"/>
          <w:sz w:val="24"/>
          <w:highlight w:val="none"/>
        </w:rPr>
        <w:t>4.最后报价</w:t>
      </w:r>
    </w:p>
    <w:p w14:paraId="3F21ED5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04FB860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60A5821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4.3最后报价是供应商响应文件的有效组成部分。符合《政府采购竞争性磋商采购方式管理暂行办法》（财库〔2014〕214号）第三条第四项“市场竞争不充分的科研项目，以及需要扶持的科技成果转化项目”和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本章第3.7条情形的，</w:t>
      </w:r>
      <w:r>
        <w:rPr>
          <w:rFonts w:hint="eastAsia" w:ascii="宋体" w:hAnsi="宋体" w:cs="宋体"/>
          <w:color w:val="auto"/>
          <w:szCs w:val="21"/>
          <w:highlight w:val="none"/>
        </w:rPr>
        <w:t>提交最后报价的供应商可以为2家。</w:t>
      </w:r>
    </w:p>
    <w:p w14:paraId="76762D1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6C2DAA8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4.5供应商未在规定时间内提交最后报价的，视同退出磋商，其响应文件按无效处理。</w:t>
      </w:r>
    </w:p>
    <w:p w14:paraId="036CC3F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4.6最后报价统一开启后，磋商小组对最后报价进行有效性、完整性和响应程度的审查。</w:t>
      </w:r>
    </w:p>
    <w:p w14:paraId="5799762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4.7最后报价出现前后不一致的，按照本章第2.4条的规定修正。</w:t>
      </w:r>
    </w:p>
    <w:p w14:paraId="6473BE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14:paraId="775D51E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（1）供应商不确认的（全流程电子化评审采取在线确认）；</w:t>
      </w:r>
    </w:p>
    <w:p w14:paraId="57D96CF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12F8E6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3618C0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14:paraId="5B82375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482811D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4.11最后报价结束后，磋商小组不得再与供应商进行任何形式的商谈。</w:t>
      </w:r>
    </w:p>
    <w:p w14:paraId="05C48227">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5.比较与评价</w:t>
      </w:r>
    </w:p>
    <w:p w14:paraId="397127C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5.1评审方法：综合评分法。</w:t>
      </w:r>
    </w:p>
    <w:p w14:paraId="38625C1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5FA7E76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606BF48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016A5D8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5B0DA7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1C4CF406">
      <w:pPr>
        <w:spacing w:line="360" w:lineRule="auto"/>
        <w:ind w:firstLine="424"/>
        <w:jc w:val="left"/>
        <w:rPr>
          <w:rFonts w:ascii="宋体" w:hAnsi="宋体"/>
          <w:color w:val="auto"/>
          <w:spacing w:val="-6"/>
          <w:szCs w:val="21"/>
          <w:highlight w:val="none"/>
        </w:rPr>
      </w:pPr>
      <w:r>
        <w:rPr>
          <w:rFonts w:hint="eastAsia" w:ascii="宋体" w:hAnsi="宋体" w:cs="宋体"/>
          <w:color w:val="auto"/>
          <w:szCs w:val="21"/>
          <w:highlight w:val="none"/>
        </w:rPr>
        <w:t>5.5</w:t>
      </w:r>
      <w:r>
        <w:rPr>
          <w:rFonts w:hint="eastAsia" w:ascii="宋体" w:hAnsi="宋体"/>
          <w:color w:val="auto"/>
          <w:szCs w:val="21"/>
          <w:highlight w:val="none"/>
        </w:rPr>
        <w:t>异常低价响应审查</w:t>
      </w:r>
    </w:p>
    <w:p w14:paraId="737125FB">
      <w:pPr>
        <w:spacing w:line="360" w:lineRule="auto"/>
        <w:ind w:firstLine="420"/>
        <w:rPr>
          <w:rFonts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0B443286">
      <w:pPr>
        <w:spacing w:line="360" w:lineRule="auto"/>
        <w:ind w:firstLine="420"/>
        <w:rPr>
          <w:rFonts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4ED52F2F">
      <w:pPr>
        <w:spacing w:line="360" w:lineRule="auto"/>
        <w:ind w:firstLine="420"/>
        <w:rPr>
          <w:rFonts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w:t>
      </w:r>
    </w:p>
    <w:p w14:paraId="637FC702">
      <w:pPr>
        <w:spacing w:line="360" w:lineRule="auto"/>
        <w:ind w:firstLine="420"/>
        <w:rPr>
          <w:rFonts w:ascii="宋体" w:hAnsi="宋体"/>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p>
    <w:p w14:paraId="17CA9308">
      <w:pPr>
        <w:spacing w:line="360" w:lineRule="auto"/>
        <w:ind w:firstLine="420"/>
        <w:rPr>
          <w:rFonts w:ascii="宋体" w:hAnsi="宋体"/>
          <w:color w:val="auto"/>
          <w:szCs w:val="21"/>
          <w:highlight w:val="none"/>
        </w:rPr>
      </w:pPr>
      <w:r>
        <w:rPr>
          <w:rFonts w:hint="eastAsia" w:ascii="宋体" w:hAnsi="宋体"/>
          <w:color w:val="auto"/>
          <w:szCs w:val="21"/>
          <w:highlight w:val="none"/>
        </w:rPr>
        <w:t>④磋商小组基于专业判断，认为供应商报价过低，有可能影响产品质量或者不能诚信履约的其他情形。</w:t>
      </w:r>
    </w:p>
    <w:p w14:paraId="4052C6F4">
      <w:pPr>
        <w:spacing w:line="360" w:lineRule="auto"/>
        <w:ind w:firstLine="420"/>
        <w:rPr>
          <w:rFonts w:ascii="宋体" w:hAnsi="宋体"/>
          <w:color w:val="auto"/>
          <w:szCs w:val="21"/>
          <w:highlight w:val="none"/>
        </w:rPr>
      </w:pPr>
      <w:r>
        <w:rPr>
          <w:rFonts w:hint="eastAsia" w:ascii="宋体" w:hAnsi="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77FDC4A">
      <w:pPr>
        <w:spacing w:line="360" w:lineRule="auto"/>
        <w:ind w:firstLine="420"/>
        <w:rPr>
          <w:rFonts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2D186B9F">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31E9A57A">
      <w:pPr>
        <w:spacing w:line="360" w:lineRule="auto"/>
        <w:ind w:firstLine="42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7807F25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6CE69DB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4A227F">
      <w:pPr>
        <w:pStyle w:val="2"/>
        <w:rPr>
          <w:color w:val="auto"/>
          <w:highlight w:val="none"/>
        </w:rPr>
      </w:pPr>
    </w:p>
    <w:p w14:paraId="28FCF9E4">
      <w:pPr>
        <w:numPr>
          <w:ilvl w:val="0"/>
          <w:numId w:val="5"/>
        </w:num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评审标准</w:t>
      </w:r>
    </w:p>
    <w:p w14:paraId="4F3AFAC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46"/>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917"/>
      </w:tblGrid>
      <w:tr w14:paraId="2BBE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38DD3E54">
            <w:pPr>
              <w:jc w:val="center"/>
              <w:rPr>
                <w:b/>
                <w:bCs/>
                <w:color w:val="auto"/>
                <w:highlight w:val="none"/>
              </w:rPr>
            </w:pPr>
            <w:r>
              <w:rPr>
                <w:rFonts w:hint="eastAsia"/>
                <w:b/>
                <w:bCs/>
                <w:color w:val="auto"/>
                <w:highlight w:val="none"/>
              </w:rPr>
              <w:t>序号</w:t>
            </w:r>
          </w:p>
        </w:tc>
        <w:tc>
          <w:tcPr>
            <w:tcW w:w="1418" w:type="dxa"/>
            <w:vAlign w:val="center"/>
          </w:tcPr>
          <w:p w14:paraId="37D3188D">
            <w:pPr>
              <w:jc w:val="center"/>
              <w:rPr>
                <w:b/>
                <w:bCs/>
                <w:color w:val="auto"/>
                <w:highlight w:val="none"/>
              </w:rPr>
            </w:pPr>
            <w:r>
              <w:rPr>
                <w:rFonts w:hint="eastAsia"/>
                <w:b/>
                <w:bCs/>
                <w:color w:val="auto"/>
                <w:highlight w:val="none"/>
              </w:rPr>
              <w:t>评审因素</w:t>
            </w:r>
          </w:p>
        </w:tc>
        <w:tc>
          <w:tcPr>
            <w:tcW w:w="6917" w:type="dxa"/>
            <w:vAlign w:val="center"/>
          </w:tcPr>
          <w:p w14:paraId="22580DEE">
            <w:pPr>
              <w:jc w:val="center"/>
              <w:rPr>
                <w:b/>
                <w:bCs/>
                <w:color w:val="auto"/>
                <w:highlight w:val="none"/>
              </w:rPr>
            </w:pPr>
            <w:r>
              <w:rPr>
                <w:rFonts w:hint="eastAsia"/>
                <w:b/>
                <w:bCs/>
                <w:color w:val="auto"/>
                <w:highlight w:val="none"/>
              </w:rPr>
              <w:t>评审因素具体内容</w:t>
            </w:r>
          </w:p>
        </w:tc>
      </w:tr>
      <w:tr w14:paraId="6270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662D3D5E">
            <w:pPr>
              <w:spacing w:line="360" w:lineRule="auto"/>
              <w:jc w:val="center"/>
              <w:rPr>
                <w:color w:val="auto"/>
                <w:highlight w:val="none"/>
              </w:rPr>
            </w:pPr>
            <w:r>
              <w:rPr>
                <w:rFonts w:hint="eastAsia"/>
                <w:color w:val="auto"/>
                <w:highlight w:val="none"/>
              </w:rPr>
              <w:t>1</w:t>
            </w:r>
          </w:p>
        </w:tc>
        <w:tc>
          <w:tcPr>
            <w:tcW w:w="1418" w:type="dxa"/>
            <w:vAlign w:val="center"/>
          </w:tcPr>
          <w:p w14:paraId="2FC3240F">
            <w:pPr>
              <w:spacing w:line="360" w:lineRule="auto"/>
              <w:jc w:val="left"/>
              <w:rPr>
                <w:color w:val="auto"/>
                <w:highlight w:val="none"/>
              </w:rPr>
            </w:pPr>
            <w:r>
              <w:rPr>
                <w:rFonts w:hint="eastAsia"/>
                <w:color w:val="auto"/>
                <w:highlight w:val="none"/>
              </w:rPr>
              <w:t>价格分</w:t>
            </w:r>
          </w:p>
          <w:p w14:paraId="0083167F">
            <w:pPr>
              <w:spacing w:line="360" w:lineRule="auto"/>
              <w:jc w:val="left"/>
              <w:rPr>
                <w:color w:val="auto"/>
                <w:highlight w:val="none"/>
              </w:rPr>
            </w:pPr>
            <w:r>
              <w:rPr>
                <w:rFonts w:hint="eastAsia"/>
                <w:color w:val="auto"/>
                <w:highlight w:val="none"/>
              </w:rPr>
              <w:t>（满分20分）</w:t>
            </w:r>
          </w:p>
        </w:tc>
        <w:tc>
          <w:tcPr>
            <w:tcW w:w="6917" w:type="dxa"/>
            <w:vAlign w:val="center"/>
          </w:tcPr>
          <w:p w14:paraId="1E4D18B2">
            <w:pPr>
              <w:spacing w:line="360" w:lineRule="auto"/>
              <w:ind w:firstLine="420"/>
              <w:rPr>
                <w:color w:val="auto"/>
                <w:highlight w:val="none"/>
              </w:rPr>
            </w:pPr>
            <w:r>
              <w:rPr>
                <w:rFonts w:hint="eastAsia"/>
                <w:color w:val="auto"/>
                <w:highlight w:val="none"/>
              </w:rPr>
              <w:t>（1）本项目为专门面向中小企业采购的项目，不再执行价格评审优惠的扶持政策，评审价=最后报价。（如有修正，以确认修正后的最后报价为准）。</w:t>
            </w:r>
          </w:p>
          <w:p w14:paraId="25B9B17A">
            <w:pPr>
              <w:spacing w:line="360" w:lineRule="auto"/>
              <w:ind w:firstLine="420"/>
              <w:rPr>
                <w:color w:val="auto"/>
                <w:highlight w:val="none"/>
              </w:rPr>
            </w:pPr>
            <w:r>
              <w:rPr>
                <w:rFonts w:hint="eastAsia"/>
                <w:color w:val="auto"/>
                <w:highlight w:val="none"/>
              </w:rPr>
              <w:t>（2）以进入比较与评价环节的最低的评审价为基准价，基准价得分为20分。</w:t>
            </w:r>
          </w:p>
          <w:p w14:paraId="01130AC0">
            <w:pPr>
              <w:spacing w:line="360" w:lineRule="auto"/>
              <w:ind w:firstLine="420"/>
              <w:rPr>
                <w:color w:val="auto"/>
                <w:highlight w:val="none"/>
              </w:rPr>
            </w:pPr>
            <w:r>
              <w:rPr>
                <w:rFonts w:hint="eastAsia"/>
                <w:color w:val="auto"/>
                <w:highlight w:val="none"/>
              </w:rPr>
              <w:t>（3）价格分计算公式：</w:t>
            </w:r>
          </w:p>
          <w:p w14:paraId="5AC6EA06">
            <w:pPr>
              <w:spacing w:line="360" w:lineRule="auto"/>
              <w:ind w:firstLine="420"/>
              <w:rPr>
                <w:color w:val="auto"/>
                <w:highlight w:val="none"/>
              </w:rPr>
            </w:pPr>
            <w:r>
              <w:rPr>
                <w:rFonts w:hint="eastAsia"/>
                <w:color w:val="auto"/>
                <w:highlight w:val="none"/>
              </w:rPr>
              <w:t>报价得分=（基准价/最后报价）×20分</w:t>
            </w:r>
          </w:p>
        </w:tc>
      </w:tr>
      <w:tr w14:paraId="3EC6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1DE95BF3">
            <w:pPr>
              <w:spacing w:line="360" w:lineRule="auto"/>
              <w:jc w:val="center"/>
              <w:rPr>
                <w:color w:val="auto"/>
                <w:highlight w:val="none"/>
              </w:rPr>
            </w:pPr>
            <w:r>
              <w:rPr>
                <w:rFonts w:hint="eastAsia"/>
                <w:color w:val="auto"/>
                <w:highlight w:val="none"/>
              </w:rPr>
              <w:t>2</w:t>
            </w:r>
          </w:p>
        </w:tc>
        <w:tc>
          <w:tcPr>
            <w:tcW w:w="1418" w:type="dxa"/>
            <w:vAlign w:val="center"/>
          </w:tcPr>
          <w:p w14:paraId="3E846CD6">
            <w:pPr>
              <w:spacing w:line="360" w:lineRule="auto"/>
              <w:jc w:val="center"/>
              <w:rPr>
                <w:color w:val="auto"/>
                <w:highlight w:val="none"/>
              </w:rPr>
            </w:pPr>
            <w:r>
              <w:rPr>
                <w:rFonts w:hint="eastAsia"/>
                <w:color w:val="auto"/>
                <w:highlight w:val="none"/>
              </w:rPr>
              <w:t>技术分</w:t>
            </w:r>
          </w:p>
        </w:tc>
        <w:tc>
          <w:tcPr>
            <w:tcW w:w="6917" w:type="dxa"/>
            <w:vAlign w:val="center"/>
          </w:tcPr>
          <w:p w14:paraId="12255F9C">
            <w:pPr>
              <w:spacing w:line="360" w:lineRule="auto"/>
              <w:jc w:val="center"/>
              <w:rPr>
                <w:color w:val="auto"/>
                <w:highlight w:val="none"/>
              </w:rPr>
            </w:pPr>
            <w:r>
              <w:rPr>
                <w:rFonts w:hint="eastAsia"/>
                <w:color w:val="auto"/>
                <w:highlight w:val="none"/>
              </w:rPr>
              <w:t>评审因素</w:t>
            </w:r>
          </w:p>
        </w:tc>
      </w:tr>
      <w:tr w14:paraId="584B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533" w:type="dxa"/>
            <w:vAlign w:val="center"/>
          </w:tcPr>
          <w:p w14:paraId="6F63972F">
            <w:pPr>
              <w:spacing w:line="360" w:lineRule="auto"/>
              <w:jc w:val="center"/>
              <w:rPr>
                <w:color w:val="auto"/>
                <w:highlight w:val="none"/>
              </w:rPr>
            </w:pPr>
            <w:r>
              <w:rPr>
                <w:rFonts w:hint="eastAsia"/>
                <w:color w:val="auto"/>
                <w:highlight w:val="none"/>
              </w:rPr>
              <w:t>2.1</w:t>
            </w:r>
          </w:p>
        </w:tc>
        <w:tc>
          <w:tcPr>
            <w:tcW w:w="1418" w:type="dxa"/>
            <w:vAlign w:val="center"/>
          </w:tcPr>
          <w:p w14:paraId="3885288B">
            <w:pPr>
              <w:spacing w:line="360" w:lineRule="auto"/>
              <w:rPr>
                <w:color w:val="auto"/>
                <w:highlight w:val="none"/>
              </w:rPr>
            </w:pPr>
            <w:r>
              <w:rPr>
                <w:rFonts w:hint="eastAsia"/>
                <w:color w:val="auto"/>
                <w:highlight w:val="none"/>
              </w:rPr>
              <w:t>服务实施方案（满分57分）</w:t>
            </w:r>
          </w:p>
        </w:tc>
        <w:tc>
          <w:tcPr>
            <w:tcW w:w="6917" w:type="dxa"/>
            <w:vAlign w:val="center"/>
          </w:tcPr>
          <w:p w14:paraId="093F7E68">
            <w:pPr>
              <w:spacing w:line="360" w:lineRule="auto"/>
              <w:ind w:firstLine="420"/>
              <w:rPr>
                <w:color w:val="auto"/>
                <w:highlight w:val="none"/>
              </w:rPr>
            </w:pPr>
            <w:r>
              <w:rPr>
                <w:rFonts w:hint="eastAsia"/>
                <w:color w:val="auto"/>
                <w:highlight w:val="none"/>
              </w:rPr>
              <w:t>1.对本次项目服务内容的要求（满分30分）</w:t>
            </w:r>
          </w:p>
          <w:p w14:paraId="7B2F086F">
            <w:pPr>
              <w:spacing w:line="360" w:lineRule="auto"/>
              <w:ind w:firstLine="420"/>
              <w:rPr>
                <w:color w:val="auto"/>
                <w:highlight w:val="none"/>
              </w:rPr>
            </w:pPr>
            <w:r>
              <w:rPr>
                <w:rFonts w:hint="eastAsia"/>
                <w:color w:val="auto"/>
                <w:highlight w:val="none"/>
              </w:rPr>
              <w:t>① 服务目标：目标明确，对本项目背景有深入理解。</w:t>
            </w:r>
          </w:p>
          <w:p w14:paraId="4B015159">
            <w:pPr>
              <w:spacing w:line="360" w:lineRule="auto"/>
              <w:ind w:firstLine="420"/>
              <w:rPr>
                <w:color w:val="auto"/>
                <w:highlight w:val="none"/>
              </w:rPr>
            </w:pPr>
            <w:r>
              <w:rPr>
                <w:rFonts w:hint="eastAsia"/>
                <w:color w:val="auto"/>
                <w:highlight w:val="none"/>
              </w:rPr>
              <w:t>② 组织计划：计划合理可行，工作进度符合实际。</w:t>
            </w:r>
          </w:p>
          <w:p w14:paraId="289F8694">
            <w:pPr>
              <w:spacing w:line="360" w:lineRule="auto"/>
              <w:ind w:firstLine="420"/>
              <w:rPr>
                <w:color w:val="auto"/>
                <w:highlight w:val="none"/>
              </w:rPr>
            </w:pPr>
            <w:r>
              <w:rPr>
                <w:rFonts w:hint="eastAsia"/>
                <w:color w:val="auto"/>
                <w:highlight w:val="none"/>
              </w:rPr>
              <w:t>③ 服务质量保障措施：保障和服务措施得力，有利于项目的实施，能确保项目按质按量完成。</w:t>
            </w:r>
          </w:p>
          <w:p w14:paraId="76F7CE81">
            <w:pPr>
              <w:spacing w:line="360" w:lineRule="auto"/>
              <w:ind w:firstLine="420"/>
              <w:rPr>
                <w:color w:val="auto"/>
                <w:highlight w:val="none"/>
              </w:rPr>
            </w:pPr>
            <w:r>
              <w:rPr>
                <w:rFonts w:hint="eastAsia"/>
                <w:color w:val="auto"/>
                <w:highlight w:val="none"/>
              </w:rPr>
              <w:t>④ 管理措施：有管理制度、工作周期安排等。</w:t>
            </w:r>
          </w:p>
          <w:p w14:paraId="7D0A492E">
            <w:pPr>
              <w:spacing w:line="360" w:lineRule="auto"/>
              <w:ind w:firstLine="420"/>
              <w:rPr>
                <w:color w:val="auto"/>
                <w:highlight w:val="none"/>
              </w:rPr>
            </w:pPr>
            <w:r>
              <w:rPr>
                <w:rFonts w:hint="eastAsia"/>
                <w:color w:val="auto"/>
                <w:highlight w:val="none"/>
              </w:rPr>
              <w:t>⑤ 结合项目提出重点、难点分析。</w:t>
            </w:r>
          </w:p>
          <w:p w14:paraId="6B1623D9">
            <w:pPr>
              <w:spacing w:line="360" w:lineRule="auto"/>
              <w:ind w:firstLine="420"/>
              <w:rPr>
                <w:color w:val="auto"/>
                <w:highlight w:val="none"/>
              </w:rPr>
            </w:pPr>
            <w:r>
              <w:rPr>
                <w:rFonts w:hint="eastAsia"/>
                <w:color w:val="auto"/>
                <w:highlight w:val="none"/>
              </w:rPr>
              <w:t>⑥ 对本项目提出的建议，具有可操作性。</w:t>
            </w:r>
          </w:p>
          <w:p w14:paraId="7BCB0CAF">
            <w:pPr>
              <w:spacing w:line="360" w:lineRule="auto"/>
              <w:ind w:firstLine="420"/>
              <w:rPr>
                <w:b/>
                <w:bCs/>
                <w:color w:val="auto"/>
                <w:highlight w:val="none"/>
              </w:rPr>
            </w:pPr>
            <w:r>
              <w:rPr>
                <w:rFonts w:hint="eastAsia"/>
                <w:b/>
                <w:bCs/>
                <w:color w:val="auto"/>
                <w:highlight w:val="none"/>
              </w:rPr>
              <w:t>以上①至⑥评价标准：每项基础分为5分，其中，内容阐述全面（2 分）、对应本项目要求（2分）、实际操作性强（1分）、内容缺项或不对应（0 分）。</w:t>
            </w:r>
          </w:p>
          <w:p w14:paraId="79334227">
            <w:pPr>
              <w:spacing w:line="360" w:lineRule="auto"/>
              <w:ind w:firstLine="420"/>
              <w:rPr>
                <w:color w:val="auto"/>
                <w:highlight w:val="none"/>
              </w:rPr>
            </w:pPr>
            <w:r>
              <w:rPr>
                <w:rFonts w:hint="eastAsia"/>
                <w:color w:val="auto"/>
                <w:highlight w:val="none"/>
              </w:rPr>
              <w:t>2.组织活动进度保障措施（满分15分）</w:t>
            </w:r>
          </w:p>
          <w:p w14:paraId="41528941">
            <w:pPr>
              <w:spacing w:line="360" w:lineRule="auto"/>
              <w:ind w:firstLine="420"/>
              <w:rPr>
                <w:color w:val="auto"/>
                <w:highlight w:val="none"/>
              </w:rPr>
            </w:pPr>
            <w:r>
              <w:rPr>
                <w:rFonts w:hint="eastAsia"/>
                <w:color w:val="auto"/>
                <w:highlight w:val="none"/>
              </w:rPr>
              <w:t>①服务沟通机制：建立沟通渠道，充分掌握采购人的期望和需求，确保提供的服务；</w:t>
            </w:r>
          </w:p>
          <w:p w14:paraId="7F166518">
            <w:pPr>
              <w:spacing w:line="360" w:lineRule="auto"/>
              <w:ind w:firstLine="420"/>
              <w:rPr>
                <w:color w:val="auto"/>
                <w:highlight w:val="none"/>
              </w:rPr>
            </w:pPr>
            <w:r>
              <w:rPr>
                <w:rFonts w:hint="eastAsia"/>
                <w:color w:val="auto"/>
                <w:highlight w:val="none"/>
              </w:rPr>
              <w:t>②有具体的各进度保障措施；</w:t>
            </w:r>
          </w:p>
          <w:p w14:paraId="0FD2CB1C">
            <w:pPr>
              <w:spacing w:line="360" w:lineRule="auto"/>
              <w:ind w:firstLine="420"/>
              <w:rPr>
                <w:color w:val="auto"/>
                <w:highlight w:val="none"/>
              </w:rPr>
            </w:pPr>
            <w:r>
              <w:rPr>
                <w:rFonts w:hint="eastAsia"/>
                <w:color w:val="auto"/>
                <w:highlight w:val="none"/>
              </w:rPr>
              <w:t>③对求职端体验组织、培训安排；</w:t>
            </w:r>
          </w:p>
          <w:p w14:paraId="6F242B9D">
            <w:pPr>
              <w:spacing w:line="360" w:lineRule="auto"/>
              <w:ind w:firstLine="420"/>
              <w:rPr>
                <w:color w:val="auto"/>
                <w:highlight w:val="none"/>
              </w:rPr>
            </w:pPr>
            <w:r>
              <w:rPr>
                <w:rFonts w:hint="eastAsia"/>
                <w:color w:val="auto"/>
                <w:highlight w:val="none"/>
              </w:rPr>
              <w:t>④接到采购人电话后，承诺能在30分钟内到达采购人办公地点（苍梧县石桥镇务实路人社大楼二楼）【</w:t>
            </w:r>
            <w:r>
              <w:rPr>
                <w:color w:val="auto"/>
                <w:highlight w:val="none"/>
              </w:rPr>
              <w:t>参照或相当于</w:t>
            </w:r>
            <w:r>
              <w:rPr>
                <w:rFonts w:hint="eastAsia"/>
                <w:color w:val="auto"/>
                <w:highlight w:val="none"/>
              </w:rPr>
              <w:t>百度、高德等地图中路线截图，并注明供应商服务网点详细地址、联系人及联系电话等相关信息】</w:t>
            </w:r>
          </w:p>
          <w:p w14:paraId="44EAAF91">
            <w:pPr>
              <w:spacing w:line="360" w:lineRule="auto"/>
              <w:ind w:firstLine="420"/>
              <w:rPr>
                <w:b/>
                <w:bCs/>
                <w:color w:val="auto"/>
                <w:highlight w:val="none"/>
              </w:rPr>
            </w:pPr>
            <w:r>
              <w:rPr>
                <w:rFonts w:hint="eastAsia"/>
                <w:b/>
                <w:bCs/>
                <w:color w:val="auto"/>
                <w:highlight w:val="none"/>
              </w:rPr>
              <w:t>以上①至③项评价标准：每项基础分为4分，其中，内容阐述全面（2 分）、实际操作性强（1分）、对应本项目要求（1 分）、内容缺项或不对应（0 分）；符合</w:t>
            </w:r>
            <w:r>
              <w:rPr>
                <w:rFonts w:hint="eastAsia"/>
                <w:b/>
                <w:bCs/>
                <w:color w:val="auto"/>
                <w:highlight w:val="none"/>
              </w:rPr>
              <w:t>第</w:t>
            </w:r>
            <w:r>
              <w:rPr>
                <w:rFonts w:hint="eastAsia"/>
                <w:b/>
                <w:bCs/>
                <w:color w:val="auto"/>
                <w:highlight w:val="none"/>
              </w:rPr>
              <w:t>④项评价标准得3分，不符合得0分。</w:t>
            </w:r>
          </w:p>
          <w:p w14:paraId="377B19A5">
            <w:pPr>
              <w:spacing w:line="360" w:lineRule="auto"/>
              <w:ind w:firstLine="420"/>
              <w:rPr>
                <w:color w:val="auto"/>
                <w:highlight w:val="none"/>
              </w:rPr>
            </w:pPr>
            <w:r>
              <w:rPr>
                <w:rFonts w:hint="eastAsia"/>
                <w:color w:val="auto"/>
                <w:highlight w:val="none"/>
              </w:rPr>
              <w:t>3.安全保障（满分12分）</w:t>
            </w:r>
          </w:p>
          <w:p w14:paraId="10319804">
            <w:pPr>
              <w:spacing w:line="360" w:lineRule="auto"/>
              <w:ind w:firstLine="420"/>
              <w:rPr>
                <w:color w:val="auto"/>
                <w:highlight w:val="none"/>
              </w:rPr>
            </w:pPr>
            <w:r>
              <w:rPr>
                <w:rFonts w:hint="eastAsia"/>
                <w:color w:val="auto"/>
                <w:highlight w:val="none"/>
              </w:rPr>
              <w:t>①对本项目的安全保障问题有明确的人员安排、有岗位责任，有监督检查；</w:t>
            </w:r>
          </w:p>
          <w:p w14:paraId="217E7E55">
            <w:pPr>
              <w:spacing w:line="360" w:lineRule="auto"/>
              <w:ind w:firstLine="420"/>
              <w:rPr>
                <w:color w:val="auto"/>
                <w:highlight w:val="none"/>
              </w:rPr>
            </w:pPr>
            <w:r>
              <w:rPr>
                <w:rFonts w:hint="eastAsia"/>
                <w:color w:val="auto"/>
                <w:highlight w:val="none"/>
              </w:rPr>
              <w:t>②对项目进行期间可能发生的突发事件有详细的分析；</w:t>
            </w:r>
          </w:p>
          <w:p w14:paraId="0BEC00DE">
            <w:pPr>
              <w:spacing w:line="360" w:lineRule="auto"/>
              <w:ind w:firstLine="420"/>
              <w:rPr>
                <w:color w:val="auto"/>
                <w:highlight w:val="none"/>
              </w:rPr>
            </w:pPr>
            <w:r>
              <w:rPr>
                <w:rFonts w:hint="eastAsia"/>
                <w:color w:val="auto"/>
                <w:highlight w:val="none"/>
              </w:rPr>
              <w:t>③遇到不同性质的突发事件（包括但不限于天气、用水用电、疾病、盗窃火灾、打架斗殴、人员拥挤疏导等）有切实可行的应对措施。</w:t>
            </w:r>
          </w:p>
          <w:p w14:paraId="6B728D29">
            <w:pPr>
              <w:spacing w:line="360" w:lineRule="auto"/>
              <w:ind w:firstLine="420"/>
              <w:rPr>
                <w:color w:val="auto"/>
                <w:highlight w:val="none"/>
              </w:rPr>
            </w:pPr>
            <w:r>
              <w:rPr>
                <w:rFonts w:hint="eastAsia"/>
                <w:b/>
                <w:bCs/>
                <w:color w:val="auto"/>
                <w:highlight w:val="none"/>
              </w:rPr>
              <w:t>以上①至③项评价标准：每项基础分为4分，其中，内容阐述全面（2 分）、实际操作性强（1分）、对应本项目要求（1分）、内容缺项或不对应（0分）。</w:t>
            </w:r>
          </w:p>
        </w:tc>
      </w:tr>
      <w:tr w14:paraId="614D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533" w:type="dxa"/>
            <w:vAlign w:val="center"/>
          </w:tcPr>
          <w:p w14:paraId="0E28F0B2">
            <w:pPr>
              <w:spacing w:line="360" w:lineRule="auto"/>
              <w:jc w:val="center"/>
              <w:rPr>
                <w:color w:val="auto"/>
                <w:highlight w:val="none"/>
              </w:rPr>
            </w:pPr>
            <w:r>
              <w:rPr>
                <w:rFonts w:hint="eastAsia"/>
                <w:color w:val="auto"/>
                <w:highlight w:val="none"/>
              </w:rPr>
              <w:t>2.2</w:t>
            </w:r>
          </w:p>
        </w:tc>
        <w:tc>
          <w:tcPr>
            <w:tcW w:w="1418" w:type="dxa"/>
            <w:vAlign w:val="center"/>
          </w:tcPr>
          <w:p w14:paraId="213AE1FC">
            <w:pPr>
              <w:spacing w:line="360" w:lineRule="auto"/>
              <w:jc w:val="center"/>
              <w:rPr>
                <w:color w:val="auto"/>
                <w:highlight w:val="none"/>
              </w:rPr>
            </w:pPr>
            <w:r>
              <w:rPr>
                <w:rFonts w:hint="eastAsia"/>
                <w:color w:val="auto"/>
                <w:highlight w:val="none"/>
              </w:rPr>
              <w:t>服务人员（满分9分）</w:t>
            </w:r>
          </w:p>
        </w:tc>
        <w:tc>
          <w:tcPr>
            <w:tcW w:w="6917" w:type="dxa"/>
            <w:vAlign w:val="center"/>
          </w:tcPr>
          <w:p w14:paraId="2A55CB7E">
            <w:pPr>
              <w:spacing w:line="360" w:lineRule="auto"/>
              <w:ind w:firstLine="420"/>
              <w:rPr>
                <w:color w:val="auto"/>
                <w:highlight w:val="none"/>
              </w:rPr>
            </w:pPr>
            <w:r>
              <w:rPr>
                <w:rFonts w:hint="eastAsia"/>
                <w:color w:val="auto"/>
                <w:highlight w:val="none"/>
              </w:rPr>
              <w:t>拟投入该项目专职人员持有经济或人力资源类中级及以上职称或持有人力资源管理师证或职业指导师证或劳动关系协调师或人力资源专业毕业的人员，每提供一个证书得3分，本项满分9分。</w:t>
            </w:r>
          </w:p>
          <w:p w14:paraId="50A602AB">
            <w:pPr>
              <w:spacing w:line="360" w:lineRule="auto"/>
              <w:ind w:firstLine="422"/>
              <w:rPr>
                <w:color w:val="auto"/>
                <w:highlight w:val="none"/>
              </w:rPr>
            </w:pPr>
            <w:r>
              <w:rPr>
                <w:rFonts w:hint="eastAsia"/>
                <w:b/>
                <w:bCs/>
                <w:color w:val="auto"/>
                <w:highlight w:val="none"/>
              </w:rPr>
              <w:t>注：在响应文件中需提供以上人员聘用合同、身份证正反面、有效证书扫描件等相关证明材料并加盖供应商公章，否则不予计分。</w:t>
            </w:r>
          </w:p>
        </w:tc>
      </w:tr>
      <w:tr w14:paraId="2881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33" w:type="dxa"/>
            <w:vAlign w:val="center"/>
          </w:tcPr>
          <w:p w14:paraId="5405D46E">
            <w:pPr>
              <w:spacing w:line="360" w:lineRule="auto"/>
              <w:jc w:val="center"/>
              <w:rPr>
                <w:b/>
                <w:bCs/>
                <w:color w:val="auto"/>
                <w:highlight w:val="none"/>
              </w:rPr>
            </w:pPr>
            <w:r>
              <w:rPr>
                <w:rFonts w:hint="eastAsia"/>
                <w:b/>
                <w:bCs/>
                <w:color w:val="auto"/>
                <w:highlight w:val="none"/>
              </w:rPr>
              <w:t>3</w:t>
            </w:r>
          </w:p>
        </w:tc>
        <w:tc>
          <w:tcPr>
            <w:tcW w:w="1418" w:type="dxa"/>
            <w:vAlign w:val="center"/>
          </w:tcPr>
          <w:p w14:paraId="243022BD">
            <w:pPr>
              <w:spacing w:line="360" w:lineRule="auto"/>
              <w:jc w:val="center"/>
              <w:rPr>
                <w:b/>
                <w:bCs/>
                <w:color w:val="auto"/>
                <w:highlight w:val="none"/>
              </w:rPr>
            </w:pPr>
            <w:r>
              <w:rPr>
                <w:rFonts w:hint="eastAsia"/>
                <w:b/>
                <w:bCs/>
                <w:color w:val="auto"/>
                <w:highlight w:val="none"/>
              </w:rPr>
              <w:t>商务分</w:t>
            </w:r>
          </w:p>
        </w:tc>
        <w:tc>
          <w:tcPr>
            <w:tcW w:w="6917" w:type="dxa"/>
            <w:vAlign w:val="center"/>
          </w:tcPr>
          <w:p w14:paraId="45C5CB86">
            <w:pPr>
              <w:spacing w:line="360" w:lineRule="auto"/>
              <w:jc w:val="center"/>
              <w:rPr>
                <w:b/>
                <w:bCs/>
                <w:color w:val="auto"/>
                <w:highlight w:val="none"/>
              </w:rPr>
            </w:pPr>
            <w:r>
              <w:rPr>
                <w:rFonts w:hint="eastAsia"/>
                <w:b/>
                <w:bCs/>
                <w:color w:val="auto"/>
                <w:highlight w:val="none"/>
              </w:rPr>
              <w:t>评审因素</w:t>
            </w:r>
          </w:p>
        </w:tc>
      </w:tr>
      <w:tr w14:paraId="3040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33" w:type="dxa"/>
            <w:vAlign w:val="center"/>
          </w:tcPr>
          <w:p w14:paraId="3F6BEDE7">
            <w:pPr>
              <w:spacing w:line="360" w:lineRule="auto"/>
              <w:jc w:val="center"/>
              <w:rPr>
                <w:color w:val="auto"/>
                <w:highlight w:val="none"/>
              </w:rPr>
            </w:pPr>
            <w:r>
              <w:rPr>
                <w:rFonts w:hint="eastAsia"/>
                <w:color w:val="auto"/>
                <w:highlight w:val="none"/>
              </w:rPr>
              <w:t>3.1</w:t>
            </w:r>
          </w:p>
        </w:tc>
        <w:tc>
          <w:tcPr>
            <w:tcW w:w="1418" w:type="dxa"/>
            <w:vAlign w:val="center"/>
          </w:tcPr>
          <w:p w14:paraId="393577C1">
            <w:pPr>
              <w:spacing w:line="360" w:lineRule="auto"/>
              <w:jc w:val="center"/>
              <w:rPr>
                <w:color w:val="auto"/>
                <w:highlight w:val="none"/>
              </w:rPr>
            </w:pPr>
            <w:r>
              <w:rPr>
                <w:rFonts w:hint="eastAsia"/>
                <w:color w:val="auto"/>
                <w:highlight w:val="none"/>
              </w:rPr>
              <w:t>实力分（满分5分）</w:t>
            </w:r>
          </w:p>
        </w:tc>
        <w:tc>
          <w:tcPr>
            <w:tcW w:w="6917" w:type="dxa"/>
            <w:vAlign w:val="center"/>
          </w:tcPr>
          <w:p w14:paraId="3D77E5BE">
            <w:pPr>
              <w:spacing w:line="360" w:lineRule="auto"/>
              <w:ind w:firstLine="420"/>
              <w:rPr>
                <w:color w:val="auto"/>
                <w:highlight w:val="none"/>
              </w:rPr>
            </w:pPr>
            <w:r>
              <w:rPr>
                <w:rFonts w:hint="eastAsia"/>
                <w:color w:val="auto"/>
                <w:highlight w:val="none"/>
              </w:rPr>
              <w:t>1.供应商具备智能化招聘信息发布平台的技术实力，已有成功搭建</w:t>
            </w:r>
            <w:r>
              <w:rPr>
                <w:rFonts w:hint="eastAsia"/>
                <w:b/>
                <w:bCs/>
                <w:color w:val="auto"/>
                <w:highlight w:val="none"/>
              </w:rPr>
              <w:t>微信公众号</w:t>
            </w:r>
            <w:r>
              <w:rPr>
                <w:rFonts w:hint="eastAsia"/>
                <w:color w:val="auto"/>
                <w:highlight w:val="none"/>
              </w:rPr>
              <w:t>的，得2.5分。</w:t>
            </w:r>
          </w:p>
          <w:p w14:paraId="32C15A27">
            <w:pPr>
              <w:spacing w:line="360" w:lineRule="auto"/>
              <w:ind w:firstLine="420"/>
              <w:rPr>
                <w:b/>
                <w:bCs/>
                <w:color w:val="auto"/>
                <w:highlight w:val="none"/>
              </w:rPr>
            </w:pPr>
            <w:r>
              <w:rPr>
                <w:rFonts w:hint="eastAsia"/>
                <w:b/>
                <w:bCs/>
                <w:color w:val="auto"/>
                <w:highlight w:val="none"/>
              </w:rPr>
              <w:t>注：在响应文件中提供该公众号网页截图及能反映认证主体为该供应商名称的信息网页截图。</w:t>
            </w:r>
          </w:p>
          <w:p w14:paraId="215E2CF2">
            <w:pPr>
              <w:spacing w:line="360" w:lineRule="auto"/>
              <w:ind w:firstLine="420"/>
              <w:rPr>
                <w:color w:val="auto"/>
                <w:highlight w:val="none"/>
              </w:rPr>
            </w:pPr>
            <w:r>
              <w:rPr>
                <w:rFonts w:hint="eastAsia"/>
                <w:color w:val="auto"/>
                <w:highlight w:val="none"/>
              </w:rPr>
              <w:t>2.供应商具备智能化招聘信息发布平台的技术实力，已有成功搭建微</w:t>
            </w:r>
            <w:r>
              <w:rPr>
                <w:rFonts w:hint="eastAsia"/>
                <w:b/>
                <w:bCs/>
                <w:color w:val="auto"/>
                <w:highlight w:val="none"/>
              </w:rPr>
              <w:t>信小程序</w:t>
            </w:r>
            <w:r>
              <w:rPr>
                <w:rFonts w:hint="eastAsia"/>
                <w:color w:val="auto"/>
                <w:highlight w:val="none"/>
              </w:rPr>
              <w:t>的，得2.5分。</w:t>
            </w:r>
          </w:p>
          <w:p w14:paraId="41826DF9">
            <w:pPr>
              <w:spacing w:line="360" w:lineRule="auto"/>
              <w:ind w:firstLine="420"/>
              <w:rPr>
                <w:b/>
                <w:bCs/>
                <w:color w:val="auto"/>
                <w:highlight w:val="none"/>
              </w:rPr>
            </w:pPr>
            <w:r>
              <w:rPr>
                <w:rFonts w:hint="eastAsia"/>
                <w:b/>
                <w:bCs/>
                <w:color w:val="auto"/>
                <w:highlight w:val="none"/>
              </w:rPr>
              <w:t>注：在响应文件中提供该微信小程序网页截图及能反映认证主体为该供应商名称的信息网页截图。</w:t>
            </w:r>
          </w:p>
        </w:tc>
      </w:tr>
      <w:tr w14:paraId="2A3B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33" w:type="dxa"/>
            <w:vAlign w:val="center"/>
          </w:tcPr>
          <w:p w14:paraId="3C767394">
            <w:pPr>
              <w:spacing w:line="360" w:lineRule="auto"/>
              <w:jc w:val="center"/>
              <w:rPr>
                <w:color w:val="auto"/>
                <w:highlight w:val="none"/>
              </w:rPr>
            </w:pPr>
            <w:r>
              <w:rPr>
                <w:rFonts w:hint="eastAsia"/>
                <w:color w:val="auto"/>
                <w:highlight w:val="none"/>
              </w:rPr>
              <w:t>3.2</w:t>
            </w:r>
          </w:p>
        </w:tc>
        <w:tc>
          <w:tcPr>
            <w:tcW w:w="1418" w:type="dxa"/>
            <w:vAlign w:val="center"/>
          </w:tcPr>
          <w:p w14:paraId="0D6F0A4E">
            <w:pPr>
              <w:spacing w:line="360" w:lineRule="auto"/>
              <w:jc w:val="center"/>
              <w:rPr>
                <w:color w:val="auto"/>
                <w:highlight w:val="none"/>
              </w:rPr>
            </w:pPr>
            <w:r>
              <w:rPr>
                <w:rFonts w:hint="eastAsia"/>
                <w:color w:val="auto"/>
                <w:highlight w:val="none"/>
              </w:rPr>
              <w:t>类似业绩（满分9分）</w:t>
            </w:r>
          </w:p>
        </w:tc>
        <w:tc>
          <w:tcPr>
            <w:tcW w:w="6917" w:type="dxa"/>
            <w:vAlign w:val="center"/>
          </w:tcPr>
          <w:p w14:paraId="62D9CF52">
            <w:pPr>
              <w:spacing w:line="360" w:lineRule="auto"/>
              <w:ind w:firstLine="420"/>
              <w:rPr>
                <w:color w:val="auto"/>
                <w:highlight w:val="none"/>
              </w:rPr>
            </w:pPr>
          </w:p>
          <w:p w14:paraId="0E26E808">
            <w:pPr>
              <w:spacing w:line="360" w:lineRule="auto"/>
              <w:ind w:firstLine="420"/>
              <w:rPr>
                <w:color w:val="auto"/>
                <w:highlight w:val="none"/>
              </w:rPr>
            </w:pPr>
            <w:r>
              <w:rPr>
                <w:rFonts w:hint="eastAsia"/>
                <w:color w:val="auto"/>
                <w:highlight w:val="none"/>
              </w:rPr>
              <w:t>供应商</w:t>
            </w:r>
            <w:r>
              <w:rPr>
                <w:color w:val="auto"/>
                <w:highlight w:val="none"/>
              </w:rPr>
              <w:t>2023年1月1日</w:t>
            </w:r>
            <w:r>
              <w:rPr>
                <w:color w:val="auto"/>
                <w:highlight w:val="none"/>
              </w:rPr>
              <w:t>至</w:t>
            </w:r>
            <w:r>
              <w:rPr>
                <w:rFonts w:hint="eastAsia"/>
                <w:color w:val="auto"/>
                <w:highlight w:val="none"/>
              </w:rPr>
              <w:t>提交响应文件之日</w:t>
            </w:r>
            <w:r>
              <w:rPr>
                <w:color w:val="auto"/>
                <w:spacing w:val="2"/>
                <w:highlight w:val="none"/>
              </w:rPr>
              <w:t>，承接过类似</w:t>
            </w:r>
            <w:r>
              <w:rPr>
                <w:rFonts w:hint="eastAsia"/>
                <w:color w:val="auto"/>
                <w:spacing w:val="10"/>
                <w:highlight w:val="none"/>
              </w:rPr>
              <w:t>服务站运营</w:t>
            </w:r>
            <w:r>
              <w:rPr>
                <w:color w:val="auto"/>
                <w:spacing w:val="2"/>
                <w:highlight w:val="none"/>
              </w:rPr>
              <w:t>项目</w:t>
            </w:r>
            <w:r>
              <w:rPr>
                <w:rFonts w:hint="eastAsia"/>
                <w:color w:val="auto"/>
                <w:highlight w:val="none"/>
              </w:rPr>
              <w:t>，每项得3分，满分9分。</w:t>
            </w:r>
          </w:p>
          <w:p w14:paraId="55112F11">
            <w:pPr>
              <w:spacing w:line="360" w:lineRule="auto"/>
              <w:ind w:firstLine="422"/>
              <w:rPr>
                <w:color w:val="auto"/>
                <w:highlight w:val="none"/>
              </w:rPr>
            </w:pPr>
            <w:r>
              <w:rPr>
                <w:rFonts w:hint="eastAsia"/>
                <w:b/>
                <w:bCs/>
                <w:color w:val="auto"/>
                <w:highlight w:val="none"/>
              </w:rPr>
              <w:t>（注：以合同签订日期为准，需提供成交通知书或合同关键页等复印件材料核对，并加盖供应商的公章，不提供或资料不符不得分）</w:t>
            </w:r>
          </w:p>
        </w:tc>
      </w:tr>
      <w:tr w14:paraId="6283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8" w:type="dxa"/>
            <w:gridSpan w:val="3"/>
            <w:vAlign w:val="center"/>
          </w:tcPr>
          <w:p w14:paraId="3FFCD0F7">
            <w:pPr>
              <w:rPr>
                <w:color w:val="auto"/>
                <w:highlight w:val="none"/>
              </w:rPr>
            </w:pPr>
            <w:r>
              <w:rPr>
                <w:rFonts w:hint="eastAsia"/>
                <w:color w:val="auto"/>
                <w:highlight w:val="none"/>
              </w:rPr>
              <w:t>总得分为以上各项评审因素得分合计。</w:t>
            </w:r>
          </w:p>
        </w:tc>
      </w:tr>
    </w:tbl>
    <w:p w14:paraId="73896D38">
      <w:pPr>
        <w:spacing w:line="360" w:lineRule="auto"/>
        <w:ind w:firstLine="420"/>
        <w:rPr>
          <w:rFonts w:ascii="宋体" w:hAnsi="宋体" w:cs="宋体"/>
          <w:bCs/>
          <w:color w:val="auto"/>
          <w:szCs w:val="21"/>
          <w:highlight w:val="none"/>
        </w:rPr>
      </w:pPr>
    </w:p>
    <w:p w14:paraId="1A9AEAA7">
      <w:pPr>
        <w:spacing w:line="360" w:lineRule="auto"/>
        <w:ind w:firstLine="420"/>
        <w:rPr>
          <w:rFonts w:ascii="宋体" w:hAnsi="宋体" w:cs="宋体"/>
          <w:color w:val="auto"/>
          <w:highlight w:val="none"/>
        </w:rPr>
      </w:pPr>
      <w:r>
        <w:rPr>
          <w:rFonts w:hint="eastAsia" w:ascii="宋体" w:hAnsi="宋体" w:cs="宋体"/>
          <w:bCs/>
          <w:color w:val="auto"/>
          <w:szCs w:val="21"/>
          <w:highlight w:val="none"/>
        </w:rPr>
        <w:t>7.由磋商小组根据综合评分情况，按照评审得分由高到低顺序推荐3名及以上成交候选供应商，并编写评审报告，</w:t>
      </w:r>
      <w:r>
        <w:rPr>
          <w:rFonts w:hint="eastAsia" w:ascii="宋体" w:hAnsi="宋体" w:cs="宋体"/>
          <w:color w:val="auto"/>
          <w:highlight w:val="none"/>
        </w:rPr>
        <w:t>评审报告通过电子交易平台向采购人、采购代理机构提交。</w:t>
      </w:r>
      <w:r>
        <w:rPr>
          <w:rFonts w:hint="eastAsia" w:ascii="宋体" w:hAnsi="宋体" w:cs="宋体"/>
          <w:bCs/>
          <w:color w:val="auto"/>
          <w:szCs w:val="21"/>
          <w:highlight w:val="none"/>
        </w:rPr>
        <w:t>符合本章第4.3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技术要求偏离分均相同的，由磋商小组随机抽取推荐。</w:t>
      </w:r>
    </w:p>
    <w:p w14:paraId="141E36D9">
      <w:pPr>
        <w:pStyle w:val="3"/>
        <w:spacing w:line="360" w:lineRule="auto"/>
        <w:jc w:val="center"/>
        <w:rPr>
          <w:rFonts w:ascii="宋体" w:hAnsi="宋体" w:cs="宋体"/>
          <w:color w:val="auto"/>
          <w:highlight w:val="none"/>
        </w:rPr>
      </w:pPr>
    </w:p>
    <w:p w14:paraId="6B45652E">
      <w:pPr>
        <w:rPr>
          <w:rFonts w:ascii="宋体" w:hAnsi="宋体" w:cs="宋体"/>
          <w:color w:val="auto"/>
          <w:highlight w:val="none"/>
        </w:rPr>
      </w:pPr>
    </w:p>
    <w:p w14:paraId="10DA5A77">
      <w:pPr>
        <w:rPr>
          <w:rFonts w:ascii="宋体" w:hAnsi="宋体" w:cs="宋体"/>
          <w:color w:val="auto"/>
          <w:highlight w:val="none"/>
        </w:rPr>
      </w:pPr>
    </w:p>
    <w:p w14:paraId="530F9371">
      <w:pPr>
        <w:rPr>
          <w:rFonts w:ascii="宋体" w:hAnsi="宋体" w:cs="宋体"/>
          <w:color w:val="auto"/>
          <w:highlight w:val="none"/>
        </w:rPr>
      </w:pPr>
    </w:p>
    <w:p w14:paraId="173DE388">
      <w:pPr>
        <w:rPr>
          <w:rFonts w:ascii="宋体" w:hAnsi="宋体" w:cs="宋体"/>
          <w:color w:val="auto"/>
          <w:highlight w:val="none"/>
        </w:rPr>
      </w:pPr>
    </w:p>
    <w:p w14:paraId="5E43203B">
      <w:pPr>
        <w:rPr>
          <w:rFonts w:ascii="宋体" w:hAnsi="宋体" w:cs="宋体"/>
          <w:color w:val="auto"/>
          <w:highlight w:val="none"/>
        </w:rPr>
      </w:pPr>
    </w:p>
    <w:p w14:paraId="5740EB7B">
      <w:pPr>
        <w:rPr>
          <w:rFonts w:ascii="宋体" w:hAnsi="宋体" w:cs="宋体"/>
          <w:color w:val="auto"/>
          <w:highlight w:val="none"/>
        </w:rPr>
      </w:pPr>
    </w:p>
    <w:p w14:paraId="4C097C07">
      <w:pPr>
        <w:rPr>
          <w:rFonts w:ascii="宋体" w:hAnsi="宋体" w:cs="宋体"/>
          <w:color w:val="auto"/>
          <w:highlight w:val="none"/>
        </w:rPr>
      </w:pPr>
    </w:p>
    <w:p w14:paraId="4A7B42EA">
      <w:pPr>
        <w:rPr>
          <w:rFonts w:ascii="宋体" w:hAnsi="宋体" w:cs="宋体"/>
          <w:color w:val="auto"/>
          <w:highlight w:val="none"/>
        </w:rPr>
      </w:pPr>
    </w:p>
    <w:p w14:paraId="3AB511CA">
      <w:pPr>
        <w:rPr>
          <w:rFonts w:ascii="宋体" w:hAnsi="宋体" w:cs="宋体"/>
          <w:color w:val="auto"/>
          <w:highlight w:val="none"/>
        </w:rPr>
      </w:pPr>
    </w:p>
    <w:p w14:paraId="4EBBF54D">
      <w:pPr>
        <w:rPr>
          <w:rFonts w:ascii="宋体" w:hAnsi="宋体" w:cs="宋体"/>
          <w:color w:val="auto"/>
          <w:highlight w:val="none"/>
        </w:rPr>
      </w:pPr>
    </w:p>
    <w:p w14:paraId="03D12467">
      <w:pPr>
        <w:rPr>
          <w:rFonts w:ascii="宋体" w:hAnsi="宋体" w:cs="宋体"/>
          <w:color w:val="auto"/>
          <w:highlight w:val="none"/>
        </w:rPr>
      </w:pPr>
    </w:p>
    <w:p w14:paraId="625C7551">
      <w:pPr>
        <w:rPr>
          <w:rFonts w:ascii="宋体" w:hAnsi="宋体" w:cs="宋体"/>
          <w:color w:val="auto"/>
          <w:highlight w:val="none"/>
        </w:rPr>
      </w:pPr>
    </w:p>
    <w:p w14:paraId="3E1CD93D">
      <w:pPr>
        <w:rPr>
          <w:rFonts w:ascii="宋体" w:hAnsi="宋体" w:cs="宋体"/>
          <w:color w:val="auto"/>
          <w:highlight w:val="none"/>
        </w:rPr>
      </w:pPr>
    </w:p>
    <w:p w14:paraId="10B081DD">
      <w:pPr>
        <w:pStyle w:val="3"/>
        <w:jc w:val="center"/>
        <w:rPr>
          <w:rFonts w:ascii="宋体" w:hAnsi="宋体" w:cs="宋体"/>
          <w:color w:val="auto"/>
          <w:highlight w:val="none"/>
        </w:rPr>
      </w:pPr>
      <w:bookmarkStart w:id="95" w:name="_Toc74323460"/>
    </w:p>
    <w:p w14:paraId="197ED1A7">
      <w:pPr>
        <w:pStyle w:val="3"/>
        <w:jc w:val="center"/>
        <w:rPr>
          <w:rFonts w:ascii="宋体" w:hAnsi="宋体" w:cs="宋体"/>
          <w:color w:val="auto"/>
          <w:highlight w:val="none"/>
        </w:rPr>
      </w:pPr>
      <w:r>
        <w:rPr>
          <w:rFonts w:hint="eastAsia" w:ascii="宋体" w:hAnsi="宋体" w:cs="宋体"/>
          <w:color w:val="auto"/>
          <w:highlight w:val="none"/>
        </w:rPr>
        <w:t>第五章 响应文件格式</w:t>
      </w:r>
      <w:bookmarkEnd w:id="95"/>
    </w:p>
    <w:p w14:paraId="7DF654B1">
      <w:pPr>
        <w:spacing w:line="240" w:lineRule="atLeast"/>
        <w:rPr>
          <w:rFonts w:ascii="宋体" w:hAnsi="宋体" w:cs="宋体"/>
          <w:b/>
          <w:color w:val="auto"/>
          <w:sz w:val="32"/>
          <w:szCs w:val="32"/>
          <w:highlight w:val="none"/>
        </w:rPr>
      </w:pPr>
    </w:p>
    <w:p w14:paraId="0F2C1D87">
      <w:pPr>
        <w:spacing w:line="240" w:lineRule="atLeast"/>
        <w:rPr>
          <w:rFonts w:ascii="宋体" w:hAnsi="宋体" w:cs="宋体"/>
          <w:b/>
          <w:color w:val="auto"/>
          <w:sz w:val="32"/>
          <w:szCs w:val="32"/>
          <w:highlight w:val="none"/>
        </w:rPr>
      </w:pPr>
    </w:p>
    <w:p w14:paraId="269FA772">
      <w:pPr>
        <w:spacing w:line="240" w:lineRule="atLeast"/>
        <w:rPr>
          <w:rFonts w:ascii="宋体" w:hAnsi="宋体" w:cs="宋体"/>
          <w:b/>
          <w:color w:val="auto"/>
          <w:sz w:val="32"/>
          <w:szCs w:val="32"/>
          <w:highlight w:val="none"/>
        </w:rPr>
      </w:pPr>
    </w:p>
    <w:p w14:paraId="4A59FBDF">
      <w:pPr>
        <w:pStyle w:val="2"/>
        <w:rPr>
          <w:rFonts w:ascii="宋体" w:hAnsi="宋体" w:cs="宋体"/>
          <w:b/>
          <w:color w:val="auto"/>
          <w:sz w:val="32"/>
          <w:szCs w:val="32"/>
          <w:highlight w:val="none"/>
        </w:rPr>
      </w:pPr>
    </w:p>
    <w:p w14:paraId="431FA552">
      <w:pPr>
        <w:spacing w:line="240" w:lineRule="atLeast"/>
        <w:rPr>
          <w:rFonts w:ascii="宋体" w:hAnsi="宋体" w:cs="宋体"/>
          <w:b/>
          <w:color w:val="auto"/>
          <w:sz w:val="32"/>
          <w:szCs w:val="32"/>
          <w:highlight w:val="none"/>
        </w:rPr>
      </w:pPr>
    </w:p>
    <w:p w14:paraId="278A019E">
      <w:pPr>
        <w:rPr>
          <w:rFonts w:ascii="宋体" w:hAnsi="宋体" w:cs="宋体"/>
          <w:b/>
          <w:color w:val="auto"/>
          <w:sz w:val="32"/>
          <w:szCs w:val="32"/>
          <w:highlight w:val="none"/>
        </w:rPr>
      </w:pPr>
      <w:bookmarkStart w:id="96" w:name="_Toc35611438"/>
      <w:bookmarkStart w:id="97" w:name="_Toc35611516"/>
      <w:bookmarkStart w:id="98" w:name="_Toc31728084"/>
      <w:bookmarkStart w:id="99" w:name="_Toc31723070"/>
      <w:bookmarkStart w:id="100" w:name="_Toc44229899"/>
      <w:bookmarkStart w:id="101" w:name="_Toc71366186"/>
      <w:r>
        <w:rPr>
          <w:rFonts w:hint="eastAsia" w:ascii="宋体" w:hAnsi="宋体" w:cs="宋体"/>
          <w:b/>
          <w:color w:val="auto"/>
          <w:sz w:val="32"/>
          <w:szCs w:val="32"/>
          <w:highlight w:val="none"/>
        </w:rPr>
        <w:br w:type="page" w:clear="all"/>
      </w:r>
    </w:p>
    <w:p w14:paraId="11F954A5">
      <w:pPr>
        <w:rPr>
          <w:rFonts w:ascii="宋体" w:hAnsi="宋体" w:cs="宋体"/>
          <w:b/>
          <w:color w:val="auto"/>
          <w:sz w:val="32"/>
          <w:szCs w:val="32"/>
          <w:highlight w:val="none"/>
        </w:rPr>
      </w:pPr>
      <w:r>
        <w:rPr>
          <w:rFonts w:hint="eastAsia" w:ascii="宋体" w:hAnsi="宋体" w:cs="宋体"/>
          <w:b/>
          <w:color w:val="auto"/>
          <w:sz w:val="32"/>
          <w:szCs w:val="32"/>
          <w:highlight w:val="none"/>
        </w:rPr>
        <w:t>一、资格证明文件格式</w:t>
      </w:r>
      <w:bookmarkEnd w:id="96"/>
      <w:bookmarkEnd w:id="97"/>
      <w:bookmarkEnd w:id="98"/>
      <w:bookmarkEnd w:id="99"/>
      <w:bookmarkEnd w:id="100"/>
      <w:bookmarkEnd w:id="101"/>
    </w:p>
    <w:p w14:paraId="27D17564">
      <w:pPr>
        <w:spacing w:before="156"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p>
    <w:p w14:paraId="5AE73420">
      <w:pPr>
        <w:spacing w:before="156" w:after="50"/>
        <w:jc w:val="center"/>
        <w:rPr>
          <w:rFonts w:ascii="宋体" w:hAnsi="宋体" w:cs="宋体"/>
          <w:color w:val="auto"/>
          <w:sz w:val="44"/>
          <w:szCs w:val="44"/>
          <w:highlight w:val="none"/>
        </w:rPr>
      </w:pPr>
    </w:p>
    <w:p w14:paraId="15FC2F13">
      <w:pPr>
        <w:spacing w:before="156" w:after="50"/>
        <w:jc w:val="center"/>
        <w:rPr>
          <w:rFonts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4202C910">
      <w:pPr>
        <w:spacing w:before="156" w:after="50"/>
        <w:rPr>
          <w:rFonts w:ascii="宋体" w:hAnsi="宋体" w:cs="宋体"/>
          <w:color w:val="auto"/>
          <w:sz w:val="24"/>
          <w:szCs w:val="20"/>
          <w:highlight w:val="none"/>
        </w:rPr>
      </w:pPr>
    </w:p>
    <w:p w14:paraId="4B807255">
      <w:pPr>
        <w:spacing w:before="156"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44B290A8">
      <w:pPr>
        <w:spacing w:before="156" w:after="50"/>
        <w:rPr>
          <w:rFonts w:ascii="宋体" w:hAnsi="宋体" w:cs="宋体"/>
          <w:bCs/>
          <w:color w:val="auto"/>
          <w:sz w:val="24"/>
          <w:szCs w:val="20"/>
          <w:highlight w:val="none"/>
        </w:rPr>
      </w:pPr>
    </w:p>
    <w:p w14:paraId="0AACCB17">
      <w:pPr>
        <w:spacing w:before="156" w:after="50"/>
        <w:rPr>
          <w:rFonts w:ascii="宋体" w:hAnsi="宋体" w:cs="宋体"/>
          <w:bCs/>
          <w:color w:val="auto"/>
          <w:sz w:val="24"/>
          <w:szCs w:val="20"/>
          <w:highlight w:val="none"/>
        </w:rPr>
      </w:pPr>
    </w:p>
    <w:p w14:paraId="38237D2D">
      <w:pPr>
        <w:spacing w:before="156" w:after="50"/>
        <w:rPr>
          <w:rFonts w:ascii="宋体" w:hAnsi="宋体" w:cs="宋体"/>
          <w:bCs/>
          <w:color w:val="auto"/>
          <w:sz w:val="24"/>
          <w:szCs w:val="20"/>
          <w:highlight w:val="none"/>
        </w:rPr>
      </w:pPr>
    </w:p>
    <w:p w14:paraId="4165ADC6">
      <w:pPr>
        <w:spacing w:before="156" w:after="50"/>
        <w:rPr>
          <w:rFonts w:ascii="宋体" w:hAnsi="宋体" w:cs="宋体"/>
          <w:bCs/>
          <w:color w:val="auto"/>
          <w:sz w:val="24"/>
          <w:szCs w:val="20"/>
          <w:highlight w:val="none"/>
        </w:rPr>
      </w:pPr>
    </w:p>
    <w:p w14:paraId="6F2FE337">
      <w:pPr>
        <w:spacing w:before="156" w:after="50"/>
        <w:rPr>
          <w:rFonts w:ascii="宋体" w:hAnsi="宋体" w:cs="宋体"/>
          <w:bCs/>
          <w:color w:val="auto"/>
          <w:sz w:val="24"/>
          <w:szCs w:val="20"/>
          <w:highlight w:val="none"/>
        </w:rPr>
      </w:pPr>
    </w:p>
    <w:p w14:paraId="6AC534BF">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6D028ED">
      <w:pPr>
        <w:spacing w:before="156" w:after="50"/>
        <w:ind w:firstLine="720"/>
        <w:rPr>
          <w:rFonts w:ascii="宋体" w:hAnsi="宋体" w:cs="宋体"/>
          <w:bCs/>
          <w:color w:val="auto"/>
          <w:sz w:val="32"/>
          <w:szCs w:val="32"/>
          <w:highlight w:val="none"/>
        </w:rPr>
      </w:pPr>
    </w:p>
    <w:p w14:paraId="72B22339">
      <w:pPr>
        <w:spacing w:before="156" w:after="50"/>
        <w:ind w:firstLine="72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93F9BF2">
      <w:pPr>
        <w:spacing w:before="156" w:after="50"/>
        <w:ind w:firstLine="720"/>
        <w:rPr>
          <w:rFonts w:ascii="宋体" w:hAnsi="宋体" w:cs="宋体"/>
          <w:bCs/>
          <w:color w:val="auto"/>
          <w:sz w:val="32"/>
          <w:szCs w:val="32"/>
          <w:highlight w:val="none"/>
        </w:rPr>
      </w:pPr>
    </w:p>
    <w:p w14:paraId="1034D0DA">
      <w:pPr>
        <w:spacing w:before="156" w:after="50"/>
        <w:ind w:firstLine="72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6AE44EE6">
      <w:pPr>
        <w:spacing w:before="156" w:after="50"/>
        <w:ind w:firstLine="720"/>
        <w:rPr>
          <w:rFonts w:ascii="宋体" w:hAnsi="宋体" w:cs="宋体"/>
          <w:bCs/>
          <w:color w:val="auto"/>
          <w:sz w:val="32"/>
          <w:szCs w:val="32"/>
          <w:highlight w:val="none"/>
        </w:rPr>
      </w:pPr>
    </w:p>
    <w:p w14:paraId="6B4F2577">
      <w:pPr>
        <w:pStyle w:val="8"/>
        <w:spacing w:before="50" w:after="50"/>
        <w:ind w:firstLine="72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C1ACA8A">
      <w:pPr>
        <w:spacing w:before="156" w:after="50"/>
        <w:ind w:firstLine="640"/>
        <w:rPr>
          <w:rFonts w:ascii="宋体" w:hAnsi="宋体" w:cs="宋体"/>
          <w:bCs/>
          <w:color w:val="auto"/>
          <w:sz w:val="32"/>
          <w:szCs w:val="32"/>
          <w:highlight w:val="none"/>
        </w:rPr>
      </w:pPr>
    </w:p>
    <w:p w14:paraId="6BF6821C">
      <w:pPr>
        <w:pStyle w:val="8"/>
        <w:spacing w:before="50" w:after="50"/>
        <w:ind w:firstLine="720"/>
        <w:rPr>
          <w:rFonts w:ascii="宋体" w:hAnsi="宋体" w:cs="宋体"/>
          <w:bCs/>
          <w:color w:val="auto"/>
          <w:sz w:val="32"/>
          <w:szCs w:val="32"/>
          <w:highlight w:val="none"/>
        </w:rPr>
      </w:pPr>
    </w:p>
    <w:p w14:paraId="58E5C34C">
      <w:pPr>
        <w:pStyle w:val="8"/>
        <w:spacing w:before="50" w:after="50"/>
        <w:ind w:firstLine="720"/>
        <w:rPr>
          <w:rFonts w:ascii="宋体" w:hAnsi="宋体" w:cs="宋体"/>
          <w:bCs/>
          <w:color w:val="auto"/>
          <w:sz w:val="32"/>
          <w:szCs w:val="32"/>
          <w:highlight w:val="none"/>
        </w:rPr>
      </w:pPr>
    </w:p>
    <w:p w14:paraId="71F4E90D">
      <w:pPr>
        <w:pStyle w:val="8"/>
        <w:spacing w:before="50" w:after="50"/>
        <w:ind w:firstLine="1280"/>
        <w:rPr>
          <w:rFonts w:ascii="宋体" w:hAnsi="宋体" w:cs="宋体"/>
          <w:bCs/>
          <w:color w:val="auto"/>
          <w:sz w:val="32"/>
          <w:szCs w:val="32"/>
          <w:highlight w:val="none"/>
        </w:rPr>
      </w:pPr>
    </w:p>
    <w:p w14:paraId="36FFF270">
      <w:pPr>
        <w:spacing w:before="156"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10A64878">
      <w:pPr>
        <w:spacing w:before="156"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38DF9F40">
      <w:pPr>
        <w:spacing w:before="156" w:after="50" w:line="360" w:lineRule="auto"/>
        <w:ind w:firstLine="645"/>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2BD578">
      <w:pPr>
        <w:spacing w:before="156" w:after="50"/>
        <w:rPr>
          <w:rFonts w:ascii="宋体" w:hAnsi="宋体" w:cs="宋体"/>
          <w:color w:val="auto"/>
          <w:sz w:val="24"/>
          <w:szCs w:val="20"/>
          <w:highlight w:val="none"/>
        </w:rPr>
      </w:pPr>
    </w:p>
    <w:p w14:paraId="1B0BBE63">
      <w:pPr>
        <w:spacing w:line="300" w:lineRule="auto"/>
        <w:rPr>
          <w:rFonts w:ascii="宋体" w:hAnsi="宋体" w:cs="宋体"/>
          <w:color w:val="auto"/>
          <w:szCs w:val="21"/>
          <w:highlight w:val="none"/>
        </w:rPr>
      </w:pPr>
    </w:p>
    <w:p w14:paraId="136554DE">
      <w:pPr>
        <w:spacing w:line="300" w:lineRule="auto"/>
        <w:rPr>
          <w:rFonts w:ascii="宋体" w:hAnsi="宋体" w:cs="宋体"/>
          <w:color w:val="auto"/>
          <w:szCs w:val="21"/>
          <w:highlight w:val="none"/>
        </w:rPr>
      </w:pPr>
    </w:p>
    <w:p w14:paraId="5812349D">
      <w:pPr>
        <w:spacing w:line="300" w:lineRule="auto"/>
        <w:rPr>
          <w:rFonts w:ascii="宋体" w:hAnsi="宋体" w:cs="宋体"/>
          <w:color w:val="auto"/>
          <w:szCs w:val="21"/>
          <w:highlight w:val="none"/>
        </w:rPr>
      </w:pPr>
    </w:p>
    <w:p w14:paraId="150787C6">
      <w:pPr>
        <w:spacing w:line="300" w:lineRule="auto"/>
        <w:rPr>
          <w:rFonts w:ascii="宋体" w:hAnsi="宋体" w:cs="宋体"/>
          <w:color w:val="auto"/>
          <w:szCs w:val="21"/>
          <w:highlight w:val="none"/>
        </w:rPr>
      </w:pPr>
    </w:p>
    <w:p w14:paraId="3D04335A">
      <w:pPr>
        <w:spacing w:line="300" w:lineRule="auto"/>
        <w:rPr>
          <w:rFonts w:ascii="宋体" w:hAnsi="宋体" w:cs="宋体"/>
          <w:color w:val="auto"/>
          <w:szCs w:val="21"/>
          <w:highlight w:val="none"/>
        </w:rPr>
      </w:pPr>
    </w:p>
    <w:p w14:paraId="7BD2DD54">
      <w:pPr>
        <w:spacing w:line="300" w:lineRule="auto"/>
        <w:rPr>
          <w:rFonts w:ascii="宋体" w:hAnsi="宋体" w:cs="宋体"/>
          <w:color w:val="auto"/>
          <w:szCs w:val="21"/>
          <w:highlight w:val="none"/>
        </w:rPr>
      </w:pPr>
    </w:p>
    <w:p w14:paraId="69F7D85D">
      <w:pPr>
        <w:spacing w:line="300" w:lineRule="auto"/>
        <w:rPr>
          <w:rFonts w:ascii="宋体" w:hAnsi="宋体" w:cs="宋体"/>
          <w:color w:val="auto"/>
          <w:szCs w:val="21"/>
          <w:highlight w:val="none"/>
        </w:rPr>
      </w:pPr>
    </w:p>
    <w:p w14:paraId="29509BF3">
      <w:pPr>
        <w:spacing w:line="300" w:lineRule="auto"/>
        <w:rPr>
          <w:rFonts w:ascii="宋体" w:hAnsi="宋体" w:cs="宋体"/>
          <w:color w:val="auto"/>
          <w:szCs w:val="21"/>
          <w:highlight w:val="none"/>
        </w:rPr>
      </w:pPr>
    </w:p>
    <w:p w14:paraId="3BA285D5">
      <w:pPr>
        <w:spacing w:line="300" w:lineRule="auto"/>
        <w:rPr>
          <w:rFonts w:ascii="宋体" w:hAnsi="宋体" w:cs="宋体"/>
          <w:color w:val="auto"/>
          <w:szCs w:val="21"/>
          <w:highlight w:val="none"/>
        </w:rPr>
      </w:pPr>
    </w:p>
    <w:p w14:paraId="13287037">
      <w:pPr>
        <w:spacing w:line="300" w:lineRule="auto"/>
        <w:rPr>
          <w:rFonts w:ascii="宋体" w:hAnsi="宋体" w:cs="宋体"/>
          <w:color w:val="auto"/>
          <w:szCs w:val="21"/>
          <w:highlight w:val="none"/>
        </w:rPr>
      </w:pPr>
    </w:p>
    <w:p w14:paraId="783EFD3B">
      <w:pPr>
        <w:spacing w:line="300" w:lineRule="auto"/>
        <w:rPr>
          <w:rFonts w:ascii="宋体" w:hAnsi="宋体" w:cs="宋体"/>
          <w:color w:val="auto"/>
          <w:szCs w:val="21"/>
          <w:highlight w:val="none"/>
        </w:rPr>
      </w:pPr>
    </w:p>
    <w:p w14:paraId="1FD01F4A">
      <w:pPr>
        <w:spacing w:line="300" w:lineRule="auto"/>
        <w:rPr>
          <w:rFonts w:ascii="宋体" w:hAnsi="宋体" w:cs="宋体"/>
          <w:color w:val="auto"/>
          <w:szCs w:val="21"/>
          <w:highlight w:val="none"/>
        </w:rPr>
      </w:pPr>
    </w:p>
    <w:p w14:paraId="5295206F">
      <w:pPr>
        <w:spacing w:line="300" w:lineRule="auto"/>
        <w:rPr>
          <w:rFonts w:ascii="宋体" w:hAnsi="宋体" w:cs="宋体"/>
          <w:color w:val="auto"/>
          <w:szCs w:val="21"/>
          <w:highlight w:val="none"/>
        </w:rPr>
      </w:pPr>
    </w:p>
    <w:p w14:paraId="7DBD023E">
      <w:pPr>
        <w:spacing w:line="300" w:lineRule="auto"/>
        <w:rPr>
          <w:rFonts w:ascii="宋体" w:hAnsi="宋体" w:cs="宋体"/>
          <w:color w:val="auto"/>
          <w:szCs w:val="21"/>
          <w:highlight w:val="none"/>
        </w:rPr>
      </w:pPr>
    </w:p>
    <w:p w14:paraId="44FB39D6">
      <w:pPr>
        <w:spacing w:line="300" w:lineRule="auto"/>
        <w:rPr>
          <w:rFonts w:ascii="宋体" w:hAnsi="宋体" w:cs="宋体"/>
          <w:color w:val="auto"/>
          <w:szCs w:val="21"/>
          <w:highlight w:val="none"/>
        </w:rPr>
      </w:pPr>
    </w:p>
    <w:p w14:paraId="303F23F9">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br w:type="page" w:clear="all"/>
      </w:r>
    </w:p>
    <w:p w14:paraId="19D477D4">
      <w:pPr>
        <w:spacing w:before="156" w:after="50"/>
        <w:jc w:val="left"/>
        <w:rPr>
          <w:rFonts w:ascii="宋体" w:hAnsi="宋体"/>
          <w:b/>
          <w:color w:val="auto"/>
          <w:sz w:val="24"/>
          <w:highlight w:val="none"/>
        </w:rPr>
      </w:pPr>
      <w:r>
        <w:rPr>
          <w:rFonts w:hint="eastAsia" w:ascii="宋体" w:hAnsi="宋体"/>
          <w:b/>
          <w:color w:val="auto"/>
          <w:sz w:val="24"/>
          <w:highlight w:val="none"/>
        </w:rPr>
        <w:t>3.</w:t>
      </w:r>
      <w:r>
        <w:rPr>
          <w:rFonts w:hint="eastAsia" w:ascii="宋体" w:hAnsi="宋体"/>
          <w:b/>
          <w:color w:val="auto"/>
          <w:sz w:val="28"/>
          <w:szCs w:val="28"/>
          <w:highlight w:val="none"/>
        </w:rPr>
        <w:t>供应商直接控股股东信息表</w:t>
      </w:r>
    </w:p>
    <w:p w14:paraId="311B2A14">
      <w:pPr>
        <w:spacing w:before="50" w:after="156"/>
        <w:jc w:val="center"/>
        <w:rPr>
          <w:rFonts w:ascii="宋体" w:hAnsi="宋体"/>
          <w:b/>
          <w:color w:val="auto"/>
          <w:sz w:val="28"/>
          <w:szCs w:val="28"/>
          <w:highlight w:val="none"/>
        </w:rPr>
      </w:pPr>
    </w:p>
    <w:p w14:paraId="02B7E8D1">
      <w:pPr>
        <w:spacing w:before="50" w:after="156"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tbl>
      <w:tblPr>
        <w:tblStyle w:val="46"/>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BB0E20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3034A1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48B8AA">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9C0246">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FE2DC2">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C4F0D2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6FC0707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39922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B66856">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C101BE">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353E49">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55A31D">
            <w:pPr>
              <w:spacing w:line="360" w:lineRule="auto"/>
              <w:jc w:val="center"/>
              <w:rPr>
                <w:rFonts w:ascii="宋体" w:hAnsi="宋体" w:cs="宋体"/>
                <w:color w:val="auto"/>
                <w:sz w:val="24"/>
                <w:highlight w:val="none"/>
              </w:rPr>
            </w:pPr>
          </w:p>
        </w:tc>
      </w:tr>
      <w:tr w14:paraId="717FE16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3858A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32DC8D">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DA1A8E">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BE14CB">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271CA3">
            <w:pPr>
              <w:spacing w:line="360" w:lineRule="auto"/>
              <w:jc w:val="center"/>
              <w:rPr>
                <w:rFonts w:ascii="宋体" w:hAnsi="宋体" w:cs="宋体"/>
                <w:color w:val="auto"/>
                <w:sz w:val="24"/>
                <w:highlight w:val="none"/>
              </w:rPr>
            </w:pPr>
          </w:p>
        </w:tc>
      </w:tr>
      <w:tr w14:paraId="18B41D6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54321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13CAEB">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B3CB11">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8FCD72">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B132A4">
            <w:pPr>
              <w:spacing w:line="360" w:lineRule="auto"/>
              <w:jc w:val="center"/>
              <w:rPr>
                <w:rFonts w:ascii="宋体" w:hAnsi="宋体" w:cs="宋体"/>
                <w:color w:val="auto"/>
                <w:sz w:val="24"/>
                <w:highlight w:val="none"/>
              </w:rPr>
            </w:pPr>
          </w:p>
        </w:tc>
      </w:tr>
      <w:tr w14:paraId="5250A77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25E3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041A9D">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B8651F">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4447CC">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098C12">
            <w:pPr>
              <w:spacing w:line="360" w:lineRule="auto"/>
              <w:jc w:val="center"/>
              <w:rPr>
                <w:rFonts w:ascii="宋体" w:hAnsi="宋体" w:cs="宋体"/>
                <w:color w:val="auto"/>
                <w:sz w:val="24"/>
                <w:highlight w:val="none"/>
              </w:rPr>
            </w:pPr>
          </w:p>
        </w:tc>
      </w:tr>
    </w:tbl>
    <w:p w14:paraId="6905390B">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11F9B7F8">
      <w:pPr>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02FD2D4">
      <w:pPr>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3841BDBC">
      <w:pPr>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5F114BEA">
      <w:pPr>
        <w:spacing w:line="360" w:lineRule="auto"/>
        <w:jc w:val="left"/>
        <w:rPr>
          <w:rFonts w:ascii="宋体" w:hAnsi="宋体"/>
          <w:color w:val="auto"/>
          <w:sz w:val="24"/>
          <w:highlight w:val="none"/>
        </w:rPr>
      </w:pPr>
    </w:p>
    <w:p w14:paraId="1F5EFE1F">
      <w:pPr>
        <w:spacing w:line="360" w:lineRule="auto"/>
        <w:jc w:val="left"/>
        <w:rPr>
          <w:rFonts w:ascii="宋体" w:hAnsi="宋体"/>
          <w:color w:val="auto"/>
          <w:sz w:val="24"/>
          <w:highlight w:val="none"/>
        </w:rPr>
      </w:pPr>
    </w:p>
    <w:p w14:paraId="58FCDF74">
      <w:pPr>
        <w:spacing w:line="360" w:lineRule="auto"/>
        <w:jc w:val="left"/>
        <w:rPr>
          <w:rFonts w:ascii="宋体" w:hAnsi="宋体"/>
          <w:color w:val="auto"/>
          <w:sz w:val="24"/>
          <w:highlight w:val="none"/>
        </w:rPr>
      </w:pPr>
    </w:p>
    <w:p w14:paraId="7D15DD89">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6A96EA91">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供应商名称（电子签章）：</w:t>
      </w:r>
    </w:p>
    <w:p w14:paraId="5601938F">
      <w:pPr>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5D17A1CD">
      <w:pPr>
        <w:jc w:val="center"/>
        <w:rPr>
          <w:rFonts w:ascii="宋体" w:hAnsi="宋体"/>
          <w:b/>
          <w:color w:val="auto"/>
          <w:sz w:val="28"/>
          <w:szCs w:val="28"/>
          <w:highlight w:val="none"/>
        </w:rPr>
      </w:pPr>
    </w:p>
    <w:p w14:paraId="5F7BC342">
      <w:pPr>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clear="all"/>
      </w:r>
      <w:r>
        <w:rPr>
          <w:rFonts w:hint="eastAsia" w:ascii="宋体" w:hAnsi="宋体"/>
          <w:b/>
          <w:color w:val="auto"/>
          <w:sz w:val="24"/>
          <w:highlight w:val="none"/>
        </w:rPr>
        <w:t>4.</w:t>
      </w:r>
      <w:r>
        <w:rPr>
          <w:color w:val="auto"/>
          <w:highlight w:val="none"/>
        </w:rPr>
        <w:t xml:space="preserve"> </w:t>
      </w:r>
      <w:r>
        <w:rPr>
          <w:rFonts w:hint="eastAsia" w:ascii="宋体" w:hAnsi="宋体"/>
          <w:b/>
          <w:color w:val="auto"/>
          <w:sz w:val="28"/>
          <w:szCs w:val="28"/>
          <w:highlight w:val="none"/>
        </w:rPr>
        <w:t>供应商直接管理关系信息表</w:t>
      </w:r>
    </w:p>
    <w:p w14:paraId="7ABE9C5B">
      <w:pPr>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供应商直接管理关系信息表</w:t>
      </w:r>
    </w:p>
    <w:tbl>
      <w:tblPr>
        <w:tblStyle w:val="46"/>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432DF2E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E629E7">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2673B8">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2FEA5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58528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7D960E5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CDE1F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925675">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BD1470">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1CD676">
            <w:pPr>
              <w:spacing w:line="360" w:lineRule="auto"/>
              <w:jc w:val="center"/>
              <w:rPr>
                <w:rFonts w:ascii="宋体" w:hAnsi="宋体" w:cs="宋体"/>
                <w:color w:val="auto"/>
                <w:sz w:val="24"/>
                <w:highlight w:val="none"/>
              </w:rPr>
            </w:pPr>
          </w:p>
        </w:tc>
      </w:tr>
      <w:tr w14:paraId="0FC3404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A321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15B26D">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0D950E">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DEE29A">
            <w:pPr>
              <w:spacing w:line="360" w:lineRule="auto"/>
              <w:jc w:val="center"/>
              <w:rPr>
                <w:rFonts w:ascii="宋体" w:hAnsi="宋体" w:cs="宋体"/>
                <w:color w:val="auto"/>
                <w:sz w:val="24"/>
                <w:highlight w:val="none"/>
              </w:rPr>
            </w:pPr>
          </w:p>
        </w:tc>
      </w:tr>
      <w:tr w14:paraId="7506F39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D39B9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F05F32">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D01DB8">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8E9D72">
            <w:pPr>
              <w:spacing w:line="360" w:lineRule="auto"/>
              <w:jc w:val="center"/>
              <w:rPr>
                <w:rFonts w:ascii="宋体" w:hAnsi="宋体" w:cs="宋体"/>
                <w:color w:val="auto"/>
                <w:sz w:val="24"/>
                <w:highlight w:val="none"/>
              </w:rPr>
            </w:pPr>
          </w:p>
        </w:tc>
      </w:tr>
      <w:tr w14:paraId="6A04DD6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2A5E6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3E6EF8">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6D40AE">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51FEB3">
            <w:pPr>
              <w:spacing w:line="360" w:lineRule="auto"/>
              <w:jc w:val="center"/>
              <w:rPr>
                <w:rFonts w:ascii="宋体" w:hAnsi="宋体" w:cs="宋体"/>
                <w:color w:val="auto"/>
                <w:sz w:val="24"/>
                <w:highlight w:val="none"/>
              </w:rPr>
            </w:pPr>
          </w:p>
        </w:tc>
      </w:tr>
    </w:tbl>
    <w:p w14:paraId="19FBC0F8">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7C098AE4">
      <w:pPr>
        <w:spacing w:line="360" w:lineRule="auto"/>
        <w:ind w:firstLine="48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2227D5E0">
      <w:pPr>
        <w:spacing w:line="360" w:lineRule="auto"/>
        <w:ind w:firstLine="48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772B9629">
      <w:pPr>
        <w:spacing w:line="360" w:lineRule="auto"/>
        <w:ind w:firstLine="48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03B48856">
      <w:pPr>
        <w:spacing w:line="360" w:lineRule="auto"/>
        <w:jc w:val="left"/>
        <w:rPr>
          <w:rFonts w:ascii="宋体" w:hAnsi="宋体"/>
          <w:color w:val="auto"/>
          <w:sz w:val="24"/>
          <w:highlight w:val="none"/>
        </w:rPr>
      </w:pPr>
    </w:p>
    <w:p w14:paraId="0BC75D8F">
      <w:pPr>
        <w:spacing w:line="360" w:lineRule="auto"/>
        <w:jc w:val="left"/>
        <w:rPr>
          <w:rFonts w:ascii="宋体" w:hAnsi="宋体"/>
          <w:color w:val="auto"/>
          <w:sz w:val="24"/>
          <w:highlight w:val="none"/>
        </w:rPr>
      </w:pPr>
    </w:p>
    <w:p w14:paraId="6BEA9D0D">
      <w:pPr>
        <w:spacing w:line="360" w:lineRule="auto"/>
        <w:jc w:val="left"/>
        <w:rPr>
          <w:rFonts w:ascii="宋体" w:hAnsi="宋体"/>
          <w:color w:val="auto"/>
          <w:sz w:val="24"/>
          <w:highlight w:val="none"/>
        </w:rPr>
      </w:pPr>
    </w:p>
    <w:p w14:paraId="0AEC1560">
      <w:pPr>
        <w:spacing w:line="360" w:lineRule="auto"/>
        <w:jc w:val="left"/>
        <w:rPr>
          <w:color w:val="auto"/>
          <w:sz w:val="24"/>
          <w:highlight w:val="none"/>
        </w:rPr>
      </w:pPr>
    </w:p>
    <w:p w14:paraId="2219C3A9">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60175A67">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供应商名称（电子签章）：</w:t>
      </w:r>
    </w:p>
    <w:p w14:paraId="36D46B95">
      <w:pPr>
        <w:spacing w:line="360" w:lineRule="auto"/>
        <w:ind w:right="480" w:firstLine="24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6DB851BE">
      <w:pPr>
        <w:spacing w:before="156" w:after="50"/>
        <w:ind w:left="142"/>
        <w:jc w:val="left"/>
        <w:rPr>
          <w:rFonts w:ascii="宋体" w:hAnsi="宋体"/>
          <w:b/>
          <w:color w:val="auto"/>
          <w:sz w:val="24"/>
          <w:szCs w:val="20"/>
          <w:highlight w:val="none"/>
        </w:rPr>
      </w:pPr>
      <w:r>
        <w:rPr>
          <w:rFonts w:hint="eastAsia" w:ascii="宋体" w:hAnsi="宋体" w:cs="宋体"/>
          <w:color w:val="auto"/>
          <w:sz w:val="28"/>
          <w:szCs w:val="28"/>
          <w:highlight w:val="none"/>
        </w:rPr>
        <w:br w:type="page" w:clear="all"/>
      </w:r>
      <w:r>
        <w:rPr>
          <w:rFonts w:hint="eastAsia" w:ascii="宋体" w:hAnsi="宋体"/>
          <w:b/>
          <w:color w:val="auto"/>
          <w:sz w:val="24"/>
          <w:highlight w:val="none"/>
        </w:rPr>
        <w:t>5.竞标声明</w:t>
      </w:r>
    </w:p>
    <w:p w14:paraId="7A319B88">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竞标声明</w:t>
      </w:r>
    </w:p>
    <w:p w14:paraId="1C4E015D">
      <w:pPr>
        <w:spacing w:line="320" w:lineRule="exact"/>
        <w:jc w:val="center"/>
        <w:rPr>
          <w:rFonts w:ascii="宋体" w:hAnsi="宋体" w:cs="宋体"/>
          <w:color w:val="auto"/>
          <w:sz w:val="24"/>
          <w:szCs w:val="20"/>
          <w:highlight w:val="none"/>
        </w:rPr>
      </w:pPr>
    </w:p>
    <w:p w14:paraId="339309CF">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2AD39A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C00FC04">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37343EE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546570DB">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5C8EFD2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7533B70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E930B90">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2A97060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B29B2A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38D60CE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2BB040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4389228B">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692C564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42D71E0">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5A1B26E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010F3254">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5B39D7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994183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0B580F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 xml:space="preserve">□我方本次响应文件内容中未涉及商业秘密                        </w:t>
      </w:r>
    </w:p>
    <w:p w14:paraId="4C3DC8F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72C9464">
      <w:pPr>
        <w:pStyle w:val="25"/>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33852030">
      <w:pPr>
        <w:pStyle w:val="25"/>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电子邮箱：</w:t>
      </w:r>
      <w:r>
        <w:rPr>
          <w:rFonts w:hint="eastAsia" w:hAnsi="宋体" w:cs="宋体"/>
          <w:color w:val="auto"/>
          <w:sz w:val="24"/>
          <w:szCs w:val="24"/>
          <w:highlight w:val="none"/>
          <w:u w:val="single"/>
        </w:rPr>
        <w:t xml:space="preserve">                   </w:t>
      </w:r>
    </w:p>
    <w:p w14:paraId="3CEA23E5">
      <w:pPr>
        <w:pStyle w:val="21"/>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49011270">
      <w:pPr>
        <w:pStyle w:val="21"/>
        <w:tabs>
          <w:tab w:val="left" w:pos="939"/>
        </w:tabs>
        <w:spacing w:line="360" w:lineRule="auto"/>
        <w:ind w:left="0" w:firstLine="48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18CD65A5">
      <w:pPr>
        <w:pStyle w:val="21"/>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特此承诺。</w:t>
      </w:r>
    </w:p>
    <w:p w14:paraId="62E7235D">
      <w:pPr>
        <w:spacing w:line="360" w:lineRule="auto"/>
        <w:contextualSpacing/>
        <w:jc w:val="left"/>
        <w:rPr>
          <w:rFonts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1CB5CEA">
      <w:pPr>
        <w:spacing w:line="360" w:lineRule="auto"/>
        <w:contextualSpacing/>
        <w:jc w:val="left"/>
        <w:rPr>
          <w:rFonts w:ascii="宋体" w:hAnsi="宋体" w:cs="宋体"/>
          <w:color w:val="auto"/>
          <w:szCs w:val="21"/>
          <w:highlight w:val="none"/>
        </w:rPr>
      </w:pPr>
    </w:p>
    <w:p w14:paraId="12E17013">
      <w:pPr>
        <w:spacing w:line="360" w:lineRule="auto"/>
        <w:ind w:firstLine="1800"/>
        <w:contextualSpacing/>
        <w:rPr>
          <w:rFonts w:ascii="宋体" w:hAnsi="宋体" w:cs="宋体"/>
          <w:color w:val="auto"/>
          <w:sz w:val="24"/>
          <w:highlight w:val="none"/>
        </w:rPr>
      </w:pPr>
    </w:p>
    <w:p w14:paraId="71EB6B4D">
      <w:pPr>
        <w:spacing w:line="360" w:lineRule="auto"/>
        <w:ind w:firstLine="1800"/>
        <w:contextualSpacing/>
        <w:rPr>
          <w:rFonts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1289FCE4">
      <w:pPr>
        <w:spacing w:line="360" w:lineRule="auto"/>
        <w:ind w:firstLine="1800"/>
        <w:contextualSpacing/>
        <w:rPr>
          <w:rFonts w:ascii="宋体" w:hAnsi="宋体" w:cs="宋体"/>
          <w:color w:val="auto"/>
          <w:sz w:val="24"/>
          <w:highlight w:val="none"/>
        </w:rPr>
      </w:pPr>
      <w:r>
        <w:rPr>
          <w:rFonts w:hint="eastAsia" w:ascii="宋体" w:hAnsi="宋体" w:cs="宋体"/>
          <w:color w:val="auto"/>
          <w:sz w:val="24"/>
          <w:highlight w:val="none"/>
        </w:rPr>
        <w:t>供应商（电子签章）：</w:t>
      </w:r>
    </w:p>
    <w:p w14:paraId="51020189">
      <w:pPr>
        <w:pStyle w:val="21"/>
        <w:tabs>
          <w:tab w:val="left" w:pos="939"/>
        </w:tabs>
        <w:spacing w:line="360" w:lineRule="auto"/>
        <w:ind w:left="0" w:firstLine="420"/>
        <w:jc w:val="right"/>
        <w:rPr>
          <w:rFonts w:ascii="宋体" w:hAnsi="宋体" w:cs="宋体"/>
          <w:color w:val="auto"/>
          <w:sz w:val="24"/>
          <w:highlight w:val="none"/>
        </w:rPr>
      </w:pPr>
      <w:r>
        <w:rPr>
          <w:rFonts w:hint="eastAsia" w:ascii="宋体" w:hAnsi="宋体" w:cs="宋体"/>
          <w:color w:val="auto"/>
          <w:highlight w:val="none"/>
        </w:rPr>
        <w:t xml:space="preserve">      年    月    日</w:t>
      </w:r>
    </w:p>
    <w:p w14:paraId="1EA767CB">
      <w:pPr>
        <w:spacing w:line="360" w:lineRule="auto"/>
        <w:ind w:right="420"/>
        <w:contextualSpacing/>
        <w:jc w:val="left"/>
        <w:rPr>
          <w:rFonts w:ascii="宋体" w:hAnsi="宋体" w:cs="宋体"/>
          <w:b/>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报价文件格式</w:t>
      </w:r>
    </w:p>
    <w:p w14:paraId="7D40CE53">
      <w:pPr>
        <w:spacing w:before="156"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1779A27C">
      <w:pPr>
        <w:spacing w:before="156" w:after="50"/>
        <w:rPr>
          <w:rFonts w:ascii="宋体" w:hAnsi="宋体" w:cs="宋体"/>
          <w:bCs/>
          <w:color w:val="auto"/>
          <w:sz w:val="32"/>
          <w:szCs w:val="20"/>
          <w:highlight w:val="none"/>
        </w:rPr>
      </w:pPr>
    </w:p>
    <w:p w14:paraId="06C2A933">
      <w:pPr>
        <w:spacing w:before="156" w:after="50"/>
        <w:jc w:val="center"/>
        <w:rPr>
          <w:rFonts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2577B727">
      <w:pPr>
        <w:spacing w:before="156" w:after="50"/>
        <w:rPr>
          <w:rFonts w:ascii="宋体" w:hAnsi="宋体" w:cs="宋体"/>
          <w:color w:val="auto"/>
          <w:sz w:val="24"/>
          <w:szCs w:val="20"/>
          <w:highlight w:val="none"/>
        </w:rPr>
      </w:pPr>
    </w:p>
    <w:p w14:paraId="2177272C">
      <w:pPr>
        <w:spacing w:before="156" w:after="50"/>
        <w:rPr>
          <w:rFonts w:ascii="宋体" w:hAnsi="宋体" w:cs="宋体"/>
          <w:color w:val="auto"/>
          <w:sz w:val="24"/>
          <w:szCs w:val="20"/>
          <w:highlight w:val="none"/>
        </w:rPr>
      </w:pPr>
    </w:p>
    <w:p w14:paraId="749D3D5A">
      <w:pPr>
        <w:spacing w:before="156"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5ED9931A">
      <w:pPr>
        <w:spacing w:before="156" w:after="50"/>
        <w:rPr>
          <w:rFonts w:ascii="宋体" w:hAnsi="宋体" w:cs="宋体"/>
          <w:bCs/>
          <w:color w:val="auto"/>
          <w:sz w:val="24"/>
          <w:szCs w:val="20"/>
          <w:highlight w:val="none"/>
        </w:rPr>
      </w:pPr>
    </w:p>
    <w:p w14:paraId="03732C16">
      <w:pPr>
        <w:spacing w:before="156" w:after="50"/>
        <w:rPr>
          <w:rFonts w:ascii="宋体" w:hAnsi="宋体" w:cs="宋体"/>
          <w:bCs/>
          <w:color w:val="auto"/>
          <w:sz w:val="24"/>
          <w:szCs w:val="20"/>
          <w:highlight w:val="none"/>
        </w:rPr>
      </w:pPr>
    </w:p>
    <w:p w14:paraId="2991DB45">
      <w:pPr>
        <w:spacing w:before="156" w:after="50"/>
        <w:rPr>
          <w:rFonts w:ascii="宋体" w:hAnsi="宋体" w:cs="宋体"/>
          <w:bCs/>
          <w:color w:val="auto"/>
          <w:sz w:val="24"/>
          <w:szCs w:val="20"/>
          <w:highlight w:val="none"/>
        </w:rPr>
      </w:pPr>
    </w:p>
    <w:p w14:paraId="4EF562A7">
      <w:pPr>
        <w:spacing w:before="156" w:after="50"/>
        <w:rPr>
          <w:rFonts w:ascii="宋体" w:hAnsi="宋体" w:cs="宋体"/>
          <w:bCs/>
          <w:color w:val="auto"/>
          <w:sz w:val="24"/>
          <w:szCs w:val="20"/>
          <w:highlight w:val="none"/>
        </w:rPr>
      </w:pPr>
    </w:p>
    <w:p w14:paraId="5213C903">
      <w:pPr>
        <w:spacing w:before="156" w:after="50"/>
        <w:rPr>
          <w:rFonts w:ascii="宋体" w:hAnsi="宋体" w:cs="宋体"/>
          <w:bCs/>
          <w:color w:val="auto"/>
          <w:sz w:val="24"/>
          <w:szCs w:val="20"/>
          <w:highlight w:val="none"/>
        </w:rPr>
      </w:pPr>
    </w:p>
    <w:p w14:paraId="615BFA82">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ED9168A">
      <w:pPr>
        <w:spacing w:before="156" w:after="50"/>
        <w:ind w:firstLine="720"/>
        <w:rPr>
          <w:rFonts w:ascii="宋体" w:hAnsi="宋体" w:cs="宋体"/>
          <w:bCs/>
          <w:color w:val="auto"/>
          <w:sz w:val="32"/>
          <w:szCs w:val="32"/>
          <w:highlight w:val="none"/>
        </w:rPr>
      </w:pPr>
    </w:p>
    <w:p w14:paraId="4D298F7C">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685BC3C">
      <w:pPr>
        <w:spacing w:before="156" w:after="50"/>
        <w:ind w:firstLine="720"/>
        <w:rPr>
          <w:rFonts w:ascii="宋体" w:hAnsi="宋体" w:cs="宋体"/>
          <w:bCs/>
          <w:color w:val="auto"/>
          <w:sz w:val="32"/>
          <w:szCs w:val="32"/>
          <w:highlight w:val="none"/>
        </w:rPr>
      </w:pPr>
    </w:p>
    <w:p w14:paraId="140B426F">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3361D1F">
      <w:pPr>
        <w:spacing w:before="156" w:after="50"/>
        <w:ind w:firstLine="720"/>
        <w:rPr>
          <w:rFonts w:ascii="宋体" w:hAnsi="宋体" w:cs="宋体"/>
          <w:bCs/>
          <w:color w:val="auto"/>
          <w:sz w:val="32"/>
          <w:szCs w:val="32"/>
          <w:highlight w:val="none"/>
        </w:rPr>
      </w:pPr>
    </w:p>
    <w:p w14:paraId="6A2AB635">
      <w:pPr>
        <w:pStyle w:val="8"/>
        <w:spacing w:before="50"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5247270">
      <w:pPr>
        <w:pStyle w:val="8"/>
        <w:spacing w:before="50" w:after="50"/>
        <w:ind w:firstLine="640"/>
        <w:rPr>
          <w:rFonts w:ascii="宋体" w:hAnsi="宋体" w:cs="宋体"/>
          <w:bCs/>
          <w:color w:val="auto"/>
          <w:sz w:val="32"/>
          <w:szCs w:val="32"/>
          <w:highlight w:val="none"/>
        </w:rPr>
      </w:pPr>
    </w:p>
    <w:p w14:paraId="0566B52D">
      <w:pPr>
        <w:pStyle w:val="8"/>
        <w:spacing w:before="50" w:after="50"/>
        <w:ind w:firstLine="720"/>
        <w:rPr>
          <w:rFonts w:ascii="宋体" w:hAnsi="宋体" w:cs="宋体"/>
          <w:bCs/>
          <w:color w:val="auto"/>
          <w:sz w:val="32"/>
          <w:szCs w:val="32"/>
          <w:highlight w:val="none"/>
        </w:rPr>
      </w:pPr>
    </w:p>
    <w:p w14:paraId="484CD287">
      <w:pPr>
        <w:pStyle w:val="8"/>
        <w:spacing w:before="50" w:after="50"/>
        <w:ind w:firstLine="0"/>
        <w:rPr>
          <w:rFonts w:ascii="宋体" w:hAnsi="宋体" w:cs="宋体"/>
          <w:bCs/>
          <w:color w:val="auto"/>
          <w:sz w:val="32"/>
          <w:szCs w:val="32"/>
          <w:highlight w:val="none"/>
        </w:rPr>
      </w:pPr>
    </w:p>
    <w:p w14:paraId="41F4DCEF">
      <w:pPr>
        <w:pStyle w:val="8"/>
        <w:spacing w:before="50" w:after="50"/>
        <w:ind w:firstLine="1280"/>
        <w:rPr>
          <w:rFonts w:ascii="宋体" w:hAnsi="宋体" w:cs="宋体"/>
          <w:bCs/>
          <w:color w:val="auto"/>
          <w:sz w:val="32"/>
          <w:szCs w:val="32"/>
          <w:highlight w:val="none"/>
        </w:rPr>
      </w:pPr>
    </w:p>
    <w:p w14:paraId="761547C0">
      <w:pPr>
        <w:spacing w:before="156"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A8ED126">
      <w:pPr>
        <w:spacing w:before="156" w:after="50" w:line="360" w:lineRule="auto"/>
        <w:ind w:left="142"/>
        <w:jc w:val="left"/>
        <w:rPr>
          <w:rFonts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CBC2727">
      <w:pPr>
        <w:spacing w:line="520" w:lineRule="exact"/>
        <w:jc w:val="center"/>
        <w:rPr>
          <w:rFonts w:ascii="方正小标宋简体" w:hAnsi="方正小标宋简体" w:eastAsia="方正小标宋简体" w:cs="方正小标宋简体"/>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r>
        <w:rPr>
          <w:rFonts w:hint="eastAsia" w:ascii="方正小标宋简体" w:hAnsi="方正小标宋简体" w:eastAsia="方正小标宋简体" w:cs="方正小标宋简体"/>
          <w:bCs/>
          <w:color w:val="auto"/>
          <w:sz w:val="44"/>
          <w:szCs w:val="44"/>
          <w:highlight w:val="none"/>
        </w:rPr>
        <w:t>竞  标  报  价  表</w:t>
      </w:r>
    </w:p>
    <w:p w14:paraId="165F59C7">
      <w:pPr>
        <w:spacing w:line="440" w:lineRule="exact"/>
        <w:jc w:val="center"/>
        <w:rPr>
          <w:rFonts w:ascii="方正小标宋简体" w:hAnsi="方正小标宋简体" w:eastAsia="方正小标宋简体" w:cs="方正小标宋简体"/>
          <w:bCs/>
          <w:color w:val="auto"/>
          <w:sz w:val="32"/>
          <w:szCs w:val="32"/>
          <w:highlight w:val="none"/>
        </w:rPr>
      </w:pPr>
    </w:p>
    <w:p w14:paraId="42C95F3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6DC5004F">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357A710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610556F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单位：元</w:t>
      </w:r>
    </w:p>
    <w:p w14:paraId="2152276A">
      <w:pPr>
        <w:spacing w:line="360" w:lineRule="auto"/>
        <w:contextualSpacing/>
        <w:jc w:val="left"/>
        <w:rPr>
          <w:rFonts w:ascii="宋体" w:hAnsi="宋体" w:cs="仿宋_GB2312"/>
          <w:color w:val="auto"/>
          <w:sz w:val="24"/>
          <w:highlight w:val="none"/>
        </w:rPr>
      </w:pPr>
    </w:p>
    <w:tbl>
      <w:tblPr>
        <w:tblStyle w:val="46"/>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270"/>
        <w:gridCol w:w="1059"/>
        <w:gridCol w:w="617"/>
        <w:gridCol w:w="1339"/>
        <w:gridCol w:w="1305"/>
        <w:gridCol w:w="1918"/>
      </w:tblGrid>
      <w:tr w14:paraId="60C5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9A7B829">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270" w:type="dxa"/>
            <w:tcBorders>
              <w:top w:val="single" w:color="auto" w:sz="4" w:space="0"/>
              <w:left w:val="single" w:color="auto" w:sz="4" w:space="0"/>
              <w:bottom w:val="single" w:color="auto" w:sz="4" w:space="0"/>
              <w:right w:val="single" w:color="auto" w:sz="4" w:space="0"/>
            </w:tcBorders>
            <w:vAlign w:val="center"/>
          </w:tcPr>
          <w:p w14:paraId="5C84A282">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059" w:type="dxa"/>
            <w:tcBorders>
              <w:top w:val="single" w:color="auto" w:sz="4" w:space="0"/>
              <w:left w:val="single" w:color="auto" w:sz="4" w:space="0"/>
              <w:bottom w:val="single" w:color="auto" w:sz="4" w:space="0"/>
              <w:right w:val="single" w:color="auto" w:sz="4" w:space="0"/>
            </w:tcBorders>
            <w:vAlign w:val="center"/>
          </w:tcPr>
          <w:p w14:paraId="6E3215F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617" w:type="dxa"/>
            <w:tcBorders>
              <w:top w:val="single" w:color="auto" w:sz="4" w:space="0"/>
              <w:left w:val="single" w:color="auto" w:sz="4" w:space="0"/>
              <w:bottom w:val="single" w:color="auto" w:sz="4" w:space="0"/>
              <w:right w:val="single" w:color="auto" w:sz="4" w:space="0"/>
            </w:tcBorders>
            <w:vAlign w:val="center"/>
          </w:tcPr>
          <w:p w14:paraId="5280324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339" w:type="dxa"/>
            <w:tcBorders>
              <w:top w:val="single" w:color="auto" w:sz="4" w:space="0"/>
              <w:left w:val="single" w:color="auto" w:sz="4" w:space="0"/>
              <w:bottom w:val="single" w:color="auto" w:sz="4" w:space="0"/>
              <w:right w:val="single" w:color="auto" w:sz="4" w:space="0"/>
            </w:tcBorders>
            <w:vAlign w:val="center"/>
          </w:tcPr>
          <w:p w14:paraId="7C85A8E0">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单价</w:t>
            </w:r>
          </w:p>
        </w:tc>
        <w:tc>
          <w:tcPr>
            <w:tcW w:w="1305" w:type="dxa"/>
            <w:tcBorders>
              <w:top w:val="single" w:color="auto" w:sz="4" w:space="0"/>
              <w:left w:val="single" w:color="auto" w:sz="4" w:space="0"/>
              <w:bottom w:val="single" w:color="auto" w:sz="4" w:space="0"/>
              <w:right w:val="single" w:color="auto" w:sz="4" w:space="0"/>
            </w:tcBorders>
            <w:vAlign w:val="center"/>
          </w:tcPr>
          <w:p w14:paraId="2BC05125">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918" w:type="dxa"/>
            <w:tcBorders>
              <w:top w:val="single" w:color="auto" w:sz="4" w:space="0"/>
              <w:left w:val="single" w:color="auto" w:sz="4" w:space="0"/>
              <w:bottom w:val="single" w:color="auto" w:sz="4" w:space="0"/>
              <w:right w:val="single" w:color="auto" w:sz="4" w:space="0"/>
            </w:tcBorders>
            <w:vAlign w:val="center"/>
          </w:tcPr>
          <w:p w14:paraId="0A34AC06">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5344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7865EFF1">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270" w:type="dxa"/>
            <w:tcBorders>
              <w:top w:val="single" w:color="auto" w:sz="4" w:space="0"/>
              <w:left w:val="single" w:color="auto" w:sz="4" w:space="0"/>
              <w:bottom w:val="single" w:color="auto" w:sz="4" w:space="0"/>
              <w:right w:val="single" w:color="auto" w:sz="4" w:space="0"/>
            </w:tcBorders>
            <w:vAlign w:val="center"/>
          </w:tcPr>
          <w:p w14:paraId="5B98379B">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7个镇级就业服务站运营服务</w:t>
            </w:r>
          </w:p>
          <w:p w14:paraId="512BDA5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（含9个村级服务站运营服务）</w:t>
            </w:r>
          </w:p>
        </w:tc>
        <w:tc>
          <w:tcPr>
            <w:tcW w:w="1059" w:type="dxa"/>
            <w:tcBorders>
              <w:top w:val="single" w:color="auto" w:sz="4" w:space="0"/>
              <w:left w:val="single" w:color="auto" w:sz="4" w:space="0"/>
              <w:bottom w:val="single" w:color="auto" w:sz="4" w:space="0"/>
              <w:right w:val="single" w:color="auto" w:sz="4" w:space="0"/>
            </w:tcBorders>
            <w:vAlign w:val="center"/>
          </w:tcPr>
          <w:p w14:paraId="3C857770">
            <w:pPr>
              <w:spacing w:line="440" w:lineRule="exact"/>
              <w:jc w:val="center"/>
              <w:rPr>
                <w:rFonts w:ascii="宋体" w:hAnsi="宋体" w:cs="仿宋_GB2312"/>
                <w:color w:val="auto"/>
                <w:sz w:val="24"/>
                <w:highlight w:val="none"/>
              </w:rPr>
            </w:pPr>
            <w:r>
              <w:rPr>
                <w:rFonts w:hint="eastAsia" w:ascii="宋体" w:hAnsi="宋体" w:cs="宋体"/>
                <w:color w:val="auto"/>
                <w:sz w:val="24"/>
                <w:highlight w:val="none"/>
              </w:rPr>
              <w:t>1</w:t>
            </w:r>
          </w:p>
        </w:tc>
        <w:tc>
          <w:tcPr>
            <w:tcW w:w="617" w:type="dxa"/>
            <w:tcBorders>
              <w:top w:val="single" w:color="auto" w:sz="4" w:space="0"/>
              <w:left w:val="single" w:color="auto" w:sz="4" w:space="0"/>
              <w:bottom w:val="single" w:color="auto" w:sz="4" w:space="0"/>
              <w:right w:val="single" w:color="auto" w:sz="4" w:space="0"/>
            </w:tcBorders>
            <w:vAlign w:val="center"/>
          </w:tcPr>
          <w:p w14:paraId="774ECBE7">
            <w:pPr>
              <w:spacing w:line="440" w:lineRule="exact"/>
              <w:jc w:val="center"/>
              <w:rPr>
                <w:rFonts w:ascii="宋体" w:hAnsi="宋体" w:cs="仿宋_GB2312"/>
                <w:color w:val="auto"/>
                <w:sz w:val="24"/>
                <w:highlight w:val="none"/>
              </w:rPr>
            </w:pPr>
            <w:r>
              <w:rPr>
                <w:rFonts w:hint="eastAsia" w:ascii="宋体" w:hAnsi="宋体" w:cs="宋体"/>
                <w:color w:val="auto"/>
                <w:sz w:val="24"/>
                <w:highlight w:val="none"/>
              </w:rPr>
              <w:t>项</w:t>
            </w:r>
          </w:p>
        </w:tc>
        <w:tc>
          <w:tcPr>
            <w:tcW w:w="1339" w:type="dxa"/>
            <w:tcBorders>
              <w:top w:val="single" w:color="auto" w:sz="4" w:space="0"/>
              <w:left w:val="single" w:color="auto" w:sz="4" w:space="0"/>
              <w:bottom w:val="single" w:color="auto" w:sz="4" w:space="0"/>
              <w:right w:val="single" w:color="auto" w:sz="4" w:space="0"/>
            </w:tcBorders>
          </w:tcPr>
          <w:p w14:paraId="1EC60DD7">
            <w:pPr>
              <w:spacing w:line="360" w:lineRule="auto"/>
              <w:contextualSpacing/>
              <w:rPr>
                <w:rFonts w:ascii="宋体" w:hAnsi="宋体" w:cs="仿宋_GB2312"/>
                <w:color w:val="auto"/>
                <w:sz w:val="24"/>
                <w:highlight w:val="none"/>
              </w:rPr>
            </w:pPr>
          </w:p>
        </w:tc>
        <w:tc>
          <w:tcPr>
            <w:tcW w:w="1305" w:type="dxa"/>
            <w:tcBorders>
              <w:top w:val="single" w:color="auto" w:sz="4" w:space="0"/>
              <w:left w:val="single" w:color="auto" w:sz="4" w:space="0"/>
              <w:bottom w:val="single" w:color="auto" w:sz="4" w:space="0"/>
              <w:right w:val="single" w:color="auto" w:sz="4" w:space="0"/>
            </w:tcBorders>
          </w:tcPr>
          <w:p w14:paraId="6E2CDE9A">
            <w:pPr>
              <w:spacing w:line="360" w:lineRule="auto"/>
              <w:contextualSpacing/>
              <w:rPr>
                <w:rFonts w:ascii="宋体" w:hAnsi="宋体" w:cs="仿宋_GB2312"/>
                <w:color w:val="auto"/>
                <w:sz w:val="24"/>
                <w:highlight w:val="none"/>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14:paraId="7E70DA04">
            <w:pPr>
              <w:tabs>
                <w:tab w:val="left" w:pos="180"/>
                <w:tab w:val="left" w:pos="1620"/>
              </w:tabs>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本项最高限价105万元，</w:t>
            </w:r>
            <w:r>
              <w:rPr>
                <w:rFonts w:hint="eastAsia" w:ascii="宋体" w:hAnsi="宋体"/>
                <w:b/>
                <w:bCs/>
                <w:color w:val="auto"/>
                <w:szCs w:val="21"/>
                <w:highlight w:val="none"/>
              </w:rPr>
              <w:t>7个镇级就业服务站</w:t>
            </w:r>
            <w:r>
              <w:rPr>
                <w:rFonts w:hint="eastAsia" w:ascii="宋体" w:hAnsi="宋体" w:cs="宋体"/>
                <w:b/>
                <w:bCs/>
                <w:color w:val="auto"/>
                <w:szCs w:val="21"/>
                <w:highlight w:val="none"/>
              </w:rPr>
              <w:t>每个站点运营服务最高限价15万元。</w:t>
            </w:r>
          </w:p>
        </w:tc>
      </w:tr>
      <w:tr w14:paraId="3E87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E97E4BB">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2</w:t>
            </w:r>
          </w:p>
        </w:tc>
        <w:tc>
          <w:tcPr>
            <w:tcW w:w="2270" w:type="dxa"/>
            <w:tcBorders>
              <w:top w:val="single" w:color="auto" w:sz="4" w:space="0"/>
              <w:left w:val="single" w:color="auto" w:sz="4" w:space="0"/>
              <w:bottom w:val="single" w:color="auto" w:sz="4" w:space="0"/>
              <w:right w:val="single" w:color="auto" w:sz="4" w:space="0"/>
            </w:tcBorders>
            <w:vAlign w:val="center"/>
          </w:tcPr>
          <w:p w14:paraId="03C7901F">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3个零工市场运营服务</w:t>
            </w:r>
            <w:r>
              <w:rPr>
                <w:rFonts w:hint="eastAsia" w:ascii="宋体" w:hAnsi="宋体" w:cs="仿宋_GB2312"/>
                <w:color w:val="auto"/>
                <w:sz w:val="24"/>
                <w:highlight w:val="none"/>
              </w:rPr>
              <w:t>（含9个村级服务站运营服务）</w:t>
            </w:r>
          </w:p>
        </w:tc>
        <w:tc>
          <w:tcPr>
            <w:tcW w:w="1059" w:type="dxa"/>
            <w:tcBorders>
              <w:top w:val="single" w:color="auto" w:sz="4" w:space="0"/>
              <w:left w:val="single" w:color="auto" w:sz="4" w:space="0"/>
              <w:bottom w:val="single" w:color="auto" w:sz="4" w:space="0"/>
              <w:right w:val="single" w:color="auto" w:sz="4" w:space="0"/>
            </w:tcBorders>
            <w:vAlign w:val="center"/>
          </w:tcPr>
          <w:p w14:paraId="4C38AB0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617" w:type="dxa"/>
            <w:tcBorders>
              <w:top w:val="single" w:color="auto" w:sz="4" w:space="0"/>
              <w:left w:val="single" w:color="auto" w:sz="4" w:space="0"/>
              <w:bottom w:val="single" w:color="auto" w:sz="4" w:space="0"/>
              <w:right w:val="single" w:color="auto" w:sz="4" w:space="0"/>
            </w:tcBorders>
            <w:vAlign w:val="center"/>
          </w:tcPr>
          <w:p w14:paraId="70FFB590">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项</w:t>
            </w:r>
          </w:p>
        </w:tc>
        <w:tc>
          <w:tcPr>
            <w:tcW w:w="1339" w:type="dxa"/>
            <w:tcBorders>
              <w:top w:val="single" w:color="auto" w:sz="4" w:space="0"/>
              <w:left w:val="single" w:color="auto" w:sz="4" w:space="0"/>
              <w:bottom w:val="single" w:color="auto" w:sz="4" w:space="0"/>
              <w:right w:val="single" w:color="auto" w:sz="4" w:space="0"/>
            </w:tcBorders>
          </w:tcPr>
          <w:p w14:paraId="0155658E">
            <w:pPr>
              <w:spacing w:line="360" w:lineRule="auto"/>
              <w:contextualSpacing/>
              <w:rPr>
                <w:rFonts w:ascii="宋体" w:hAnsi="宋体" w:cs="仿宋_GB2312"/>
                <w:color w:val="auto"/>
                <w:sz w:val="24"/>
                <w:highlight w:val="none"/>
              </w:rPr>
            </w:pPr>
          </w:p>
        </w:tc>
        <w:tc>
          <w:tcPr>
            <w:tcW w:w="1305" w:type="dxa"/>
            <w:tcBorders>
              <w:top w:val="single" w:color="auto" w:sz="4" w:space="0"/>
              <w:left w:val="single" w:color="auto" w:sz="4" w:space="0"/>
              <w:bottom w:val="single" w:color="auto" w:sz="4" w:space="0"/>
              <w:right w:val="single" w:color="auto" w:sz="4" w:space="0"/>
            </w:tcBorders>
          </w:tcPr>
          <w:p w14:paraId="2A295EFA">
            <w:pPr>
              <w:spacing w:line="360" w:lineRule="auto"/>
              <w:contextualSpacing/>
              <w:rPr>
                <w:rFonts w:ascii="宋体" w:hAnsi="宋体" w:cs="仿宋_GB2312"/>
                <w:color w:val="auto"/>
                <w:sz w:val="24"/>
                <w:highlight w:val="none"/>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14:paraId="7F8E3F13">
            <w:pPr>
              <w:tabs>
                <w:tab w:val="left" w:pos="180"/>
                <w:tab w:val="left" w:pos="1620"/>
              </w:tabs>
              <w:spacing w:line="360" w:lineRule="auto"/>
              <w:rPr>
                <w:rFonts w:ascii="宋体" w:hAnsi="宋体" w:cs="宋体"/>
                <w:b/>
                <w:bCs/>
                <w:color w:val="auto"/>
                <w:szCs w:val="21"/>
                <w:highlight w:val="none"/>
              </w:rPr>
            </w:pPr>
            <w:r>
              <w:rPr>
                <w:rFonts w:hint="eastAsia" w:ascii="宋体" w:hAnsi="宋体"/>
                <w:b/>
                <w:bCs/>
                <w:color w:val="auto"/>
                <w:szCs w:val="21"/>
                <w:highlight w:val="none"/>
              </w:rPr>
              <w:t>本项最高限价60万元，3个零工市场每个市场运营服务最高限价20万元。</w:t>
            </w:r>
          </w:p>
        </w:tc>
      </w:tr>
      <w:tr w14:paraId="2339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14:paraId="112D9079">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55C26E20">
      <w:pPr>
        <w:spacing w:line="360" w:lineRule="auto"/>
        <w:ind w:firstLine="48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59AD6CBB">
      <w:pPr>
        <w:spacing w:line="360" w:lineRule="auto"/>
        <w:ind w:firstLine="48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报价一经涂改，应在涂改处加盖供应商公章或者加盖电子签章或者由法定代表人或者委托代理人签字（或者电子签名）</w:t>
      </w:r>
      <w:r>
        <w:rPr>
          <w:rFonts w:hint="eastAsia" w:ascii="宋体" w:hAnsi="宋体" w:cs="仿宋_GB2312"/>
          <w:b/>
          <w:color w:val="auto"/>
          <w:sz w:val="24"/>
          <w:highlight w:val="none"/>
        </w:rPr>
        <w:t>，否则其响应文件按无效处理。</w:t>
      </w:r>
    </w:p>
    <w:p w14:paraId="7AFE9351">
      <w:pPr>
        <w:spacing w:line="360" w:lineRule="auto"/>
        <w:ind w:right="-817"/>
        <w:contextualSpacing/>
        <w:rPr>
          <w:rFonts w:ascii="宋体" w:hAnsi="宋体" w:cs="仿宋_GB2312"/>
          <w:color w:val="auto"/>
          <w:sz w:val="24"/>
          <w:highlight w:val="none"/>
        </w:rPr>
      </w:pPr>
    </w:p>
    <w:p w14:paraId="37163264">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FED916B">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02E9DFDF">
      <w:pPr>
        <w:spacing w:line="360" w:lineRule="auto"/>
        <w:ind w:right="-817" w:firstLine="4080"/>
        <w:contextualSpacing/>
        <w:rPr>
          <w:rFonts w:ascii="宋体" w:hAnsi="宋体" w:cs="仿宋_GB2312"/>
          <w:b/>
          <w:color w:val="auto"/>
          <w:sz w:val="24"/>
          <w:highlight w:val="none"/>
        </w:rPr>
      </w:pPr>
      <w:r>
        <w:rPr>
          <w:rFonts w:hint="eastAsia" w:ascii="宋体" w:hAnsi="宋体" w:cs="仿宋_GB2312"/>
          <w:color w:val="auto"/>
          <w:sz w:val="24"/>
          <w:highlight w:val="none"/>
        </w:rPr>
        <w:t>日期：   年   月   日</w:t>
      </w:r>
    </w:p>
    <w:p w14:paraId="77273697">
      <w:pPr>
        <w:spacing w:line="360" w:lineRule="auto"/>
        <w:ind w:right="420"/>
        <w:contextualSpacing/>
        <w:jc w:val="right"/>
        <w:rPr>
          <w:rFonts w:ascii="宋体" w:hAnsi="宋体" w:cs="仿宋_GB2312"/>
          <w:color w:val="auto"/>
          <w:sz w:val="24"/>
          <w:highlight w:val="none"/>
        </w:rPr>
      </w:pPr>
    </w:p>
    <w:p w14:paraId="2657F6C7">
      <w:pPr>
        <w:rPr>
          <w:rFonts w:ascii="宋体" w:hAnsi="宋体" w:cs="仿宋_GB2312"/>
          <w:color w:val="auto"/>
          <w:sz w:val="24"/>
          <w:highlight w:val="none"/>
        </w:rPr>
      </w:pPr>
      <w:r>
        <w:rPr>
          <w:rFonts w:hint="eastAsia" w:ascii="宋体" w:hAnsi="宋体" w:cs="仿宋_GB2312"/>
          <w:color w:val="auto"/>
          <w:sz w:val="24"/>
          <w:highlight w:val="none"/>
        </w:rPr>
        <w:br w:type="page" w:clear="all"/>
      </w:r>
    </w:p>
    <w:p w14:paraId="1741FFFD">
      <w:pPr>
        <w:spacing w:line="360" w:lineRule="auto"/>
        <w:ind w:right="420"/>
        <w:contextualSpacing/>
        <w:jc w:val="left"/>
        <w:rPr>
          <w:rFonts w:ascii="宋体" w:hAnsi="宋体" w:cs="宋体"/>
          <w:b/>
          <w:color w:val="auto"/>
          <w:sz w:val="32"/>
          <w:szCs w:val="32"/>
          <w:highlight w:val="none"/>
        </w:rPr>
      </w:pP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商务技术文件格式</w:t>
      </w:r>
    </w:p>
    <w:p w14:paraId="686E9D99">
      <w:pPr>
        <w:spacing w:before="156"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1154DBF2">
      <w:pPr>
        <w:spacing w:before="156" w:after="50"/>
        <w:rPr>
          <w:rFonts w:ascii="宋体" w:hAnsi="宋体" w:cs="宋体"/>
          <w:bCs/>
          <w:color w:val="auto"/>
          <w:sz w:val="32"/>
          <w:szCs w:val="20"/>
          <w:highlight w:val="none"/>
        </w:rPr>
      </w:pPr>
    </w:p>
    <w:p w14:paraId="205034C2">
      <w:pPr>
        <w:spacing w:before="156" w:after="50"/>
        <w:jc w:val="center"/>
        <w:rPr>
          <w:rFonts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69B00555">
      <w:pPr>
        <w:spacing w:before="156" w:after="50"/>
        <w:rPr>
          <w:rFonts w:ascii="宋体" w:hAnsi="宋体" w:cs="宋体"/>
          <w:color w:val="auto"/>
          <w:sz w:val="24"/>
          <w:szCs w:val="20"/>
          <w:highlight w:val="none"/>
        </w:rPr>
      </w:pPr>
    </w:p>
    <w:p w14:paraId="766DCACC">
      <w:pPr>
        <w:spacing w:before="156" w:after="50"/>
        <w:rPr>
          <w:rFonts w:ascii="宋体" w:hAnsi="宋体" w:cs="宋体"/>
          <w:color w:val="auto"/>
          <w:sz w:val="24"/>
          <w:szCs w:val="20"/>
          <w:highlight w:val="none"/>
        </w:rPr>
      </w:pPr>
    </w:p>
    <w:p w14:paraId="3AFCD535">
      <w:pPr>
        <w:spacing w:before="156"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10CFCDCB">
      <w:pPr>
        <w:spacing w:before="156" w:after="50"/>
        <w:rPr>
          <w:rFonts w:ascii="宋体" w:hAnsi="宋体" w:cs="宋体"/>
          <w:bCs/>
          <w:color w:val="auto"/>
          <w:sz w:val="24"/>
          <w:szCs w:val="20"/>
          <w:highlight w:val="none"/>
        </w:rPr>
      </w:pPr>
    </w:p>
    <w:p w14:paraId="150C90FA">
      <w:pPr>
        <w:spacing w:before="156" w:after="50"/>
        <w:rPr>
          <w:rFonts w:ascii="宋体" w:hAnsi="宋体" w:cs="宋体"/>
          <w:bCs/>
          <w:color w:val="auto"/>
          <w:sz w:val="24"/>
          <w:szCs w:val="20"/>
          <w:highlight w:val="none"/>
        </w:rPr>
      </w:pPr>
    </w:p>
    <w:p w14:paraId="0BF2C59E">
      <w:pPr>
        <w:spacing w:before="156" w:after="50"/>
        <w:rPr>
          <w:rFonts w:ascii="宋体" w:hAnsi="宋体" w:cs="宋体"/>
          <w:bCs/>
          <w:color w:val="auto"/>
          <w:sz w:val="24"/>
          <w:szCs w:val="20"/>
          <w:highlight w:val="none"/>
        </w:rPr>
      </w:pPr>
    </w:p>
    <w:p w14:paraId="229BE2E0">
      <w:pPr>
        <w:spacing w:before="156" w:after="50"/>
        <w:rPr>
          <w:rFonts w:ascii="宋体" w:hAnsi="宋体" w:cs="宋体"/>
          <w:bCs/>
          <w:color w:val="auto"/>
          <w:sz w:val="24"/>
          <w:szCs w:val="20"/>
          <w:highlight w:val="none"/>
        </w:rPr>
      </w:pPr>
    </w:p>
    <w:p w14:paraId="070B3975">
      <w:pPr>
        <w:spacing w:before="156" w:after="50"/>
        <w:rPr>
          <w:rFonts w:ascii="宋体" w:hAnsi="宋体" w:cs="宋体"/>
          <w:bCs/>
          <w:color w:val="auto"/>
          <w:sz w:val="24"/>
          <w:szCs w:val="20"/>
          <w:highlight w:val="none"/>
        </w:rPr>
      </w:pPr>
    </w:p>
    <w:p w14:paraId="3D5B5C7C">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EE6119F">
      <w:pPr>
        <w:spacing w:before="156" w:after="50"/>
        <w:ind w:firstLine="720"/>
        <w:rPr>
          <w:rFonts w:ascii="宋体" w:hAnsi="宋体" w:cs="宋体"/>
          <w:bCs/>
          <w:color w:val="auto"/>
          <w:sz w:val="32"/>
          <w:szCs w:val="32"/>
          <w:highlight w:val="none"/>
        </w:rPr>
      </w:pPr>
    </w:p>
    <w:p w14:paraId="22697F42">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6EA7931">
      <w:pPr>
        <w:spacing w:before="156" w:after="50"/>
        <w:ind w:firstLine="720"/>
        <w:rPr>
          <w:rFonts w:ascii="宋体" w:hAnsi="宋体" w:cs="宋体"/>
          <w:bCs/>
          <w:color w:val="auto"/>
          <w:sz w:val="32"/>
          <w:szCs w:val="32"/>
          <w:highlight w:val="none"/>
        </w:rPr>
      </w:pPr>
    </w:p>
    <w:p w14:paraId="2C7F37E7">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4EAB2E7B">
      <w:pPr>
        <w:spacing w:before="156" w:after="50"/>
        <w:ind w:firstLine="720"/>
        <w:rPr>
          <w:rFonts w:ascii="宋体" w:hAnsi="宋体" w:cs="宋体"/>
          <w:bCs/>
          <w:color w:val="auto"/>
          <w:sz w:val="32"/>
          <w:szCs w:val="32"/>
          <w:highlight w:val="none"/>
        </w:rPr>
      </w:pPr>
    </w:p>
    <w:p w14:paraId="407F7C67">
      <w:pPr>
        <w:pStyle w:val="8"/>
        <w:spacing w:before="50"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620D98C">
      <w:pPr>
        <w:pStyle w:val="8"/>
        <w:spacing w:before="50" w:after="50"/>
        <w:ind w:firstLine="640"/>
        <w:rPr>
          <w:rFonts w:ascii="宋体" w:hAnsi="宋体" w:cs="宋体"/>
          <w:bCs/>
          <w:color w:val="auto"/>
          <w:sz w:val="32"/>
          <w:szCs w:val="32"/>
          <w:highlight w:val="none"/>
        </w:rPr>
      </w:pPr>
    </w:p>
    <w:p w14:paraId="1F3D34AC">
      <w:pPr>
        <w:pStyle w:val="8"/>
        <w:spacing w:before="50" w:after="50"/>
        <w:ind w:firstLine="720"/>
        <w:rPr>
          <w:rFonts w:ascii="宋体" w:hAnsi="宋体" w:cs="宋体"/>
          <w:bCs/>
          <w:color w:val="auto"/>
          <w:sz w:val="32"/>
          <w:szCs w:val="32"/>
          <w:highlight w:val="none"/>
        </w:rPr>
      </w:pPr>
    </w:p>
    <w:p w14:paraId="7BF10088">
      <w:pPr>
        <w:pStyle w:val="8"/>
        <w:spacing w:before="50" w:after="50"/>
        <w:ind w:firstLine="0"/>
        <w:rPr>
          <w:rFonts w:ascii="宋体" w:hAnsi="宋体" w:cs="宋体"/>
          <w:bCs/>
          <w:color w:val="auto"/>
          <w:sz w:val="32"/>
          <w:szCs w:val="32"/>
          <w:highlight w:val="none"/>
        </w:rPr>
      </w:pPr>
    </w:p>
    <w:p w14:paraId="4100F348">
      <w:pPr>
        <w:pStyle w:val="8"/>
        <w:spacing w:before="50" w:after="50"/>
        <w:ind w:firstLine="1280"/>
        <w:rPr>
          <w:rFonts w:ascii="宋体" w:hAnsi="宋体" w:cs="宋体"/>
          <w:bCs/>
          <w:color w:val="auto"/>
          <w:sz w:val="32"/>
          <w:szCs w:val="32"/>
          <w:highlight w:val="none"/>
        </w:rPr>
      </w:pPr>
    </w:p>
    <w:p w14:paraId="29261D9F">
      <w:pPr>
        <w:spacing w:before="156"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E1BB5ED">
      <w:pPr>
        <w:spacing w:before="156" w:after="50" w:line="360" w:lineRule="auto"/>
        <w:ind w:right="480" w:firstLine="240"/>
        <w:jc w:val="left"/>
        <w:rPr>
          <w:rFonts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6873134E">
      <w:pPr>
        <w:spacing w:before="156" w:after="50" w:line="360" w:lineRule="auto"/>
        <w:ind w:firstLine="640"/>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2EA5AA6B">
      <w:pPr>
        <w:spacing w:line="400" w:lineRule="exact"/>
        <w:rPr>
          <w:rFonts w:ascii="宋体" w:hAnsi="宋体" w:cs="宋体"/>
          <w:color w:val="auto"/>
          <w:sz w:val="32"/>
          <w:szCs w:val="32"/>
          <w:highlight w:val="none"/>
        </w:rPr>
      </w:pPr>
    </w:p>
    <w:p w14:paraId="425F6CB9">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无串通竞标行为的承诺函</w:t>
      </w:r>
    </w:p>
    <w:p w14:paraId="573BE70A">
      <w:pPr>
        <w:spacing w:line="360" w:lineRule="auto"/>
        <w:ind w:firstLine="482"/>
        <w:contextualSpacing/>
        <w:rPr>
          <w:rFonts w:ascii="宋体" w:hAnsi="宋体" w:cs="宋体"/>
          <w:b/>
          <w:bCs/>
          <w:color w:val="auto"/>
          <w:sz w:val="24"/>
          <w:highlight w:val="none"/>
        </w:rPr>
      </w:pPr>
    </w:p>
    <w:p w14:paraId="4B2AAE64">
      <w:pPr>
        <w:spacing w:line="360" w:lineRule="auto"/>
        <w:ind w:firstLine="482"/>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1DEA283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1.不同供应商的响应文件由同一单位或者个人编制；或不同供应商报名的IP地址一致的；或不同供应商竞标设备信息（包括但不限于：IP地址、MAC地址、硬盘号、CPU号、主板号）一致的；</w:t>
      </w:r>
    </w:p>
    <w:p w14:paraId="438CE58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13B92B3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CEA77A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4B17D3F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0059684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4B6544F0">
      <w:pPr>
        <w:spacing w:line="360" w:lineRule="auto"/>
        <w:ind w:firstLine="482"/>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236BAB2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B3BFAA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3A0ECAF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540D217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626774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51F204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4BD60E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1F7BE772">
      <w:pPr>
        <w:spacing w:line="360" w:lineRule="auto"/>
        <w:ind w:firstLine="482"/>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05BCB715">
      <w:pPr>
        <w:spacing w:line="360" w:lineRule="auto"/>
        <w:contextualSpacing/>
        <w:rPr>
          <w:rFonts w:ascii="宋体" w:hAnsi="宋体" w:cs="宋体"/>
          <w:color w:val="auto"/>
          <w:sz w:val="24"/>
          <w:highlight w:val="none"/>
        </w:rPr>
      </w:pPr>
    </w:p>
    <w:p w14:paraId="2E5AF58E">
      <w:pPr>
        <w:spacing w:line="360" w:lineRule="auto"/>
        <w:ind w:firstLine="3600"/>
        <w:contextualSpacing/>
        <w:rPr>
          <w:rFonts w:ascii="宋体" w:hAnsi="宋体" w:cs="宋体"/>
          <w:color w:val="auto"/>
          <w:sz w:val="24"/>
          <w:highlight w:val="none"/>
        </w:rPr>
      </w:pPr>
      <w:r>
        <w:rPr>
          <w:rFonts w:hint="eastAsia" w:ascii="宋体" w:hAnsi="宋体" w:cs="宋体"/>
          <w:color w:val="auto"/>
          <w:sz w:val="24"/>
          <w:highlight w:val="none"/>
        </w:rPr>
        <w:t>供应商（电子签章）：</w:t>
      </w:r>
    </w:p>
    <w:p w14:paraId="3C1DD8D1">
      <w:pPr>
        <w:spacing w:line="360" w:lineRule="auto"/>
        <w:ind w:firstLine="480"/>
        <w:contextualSpacing/>
        <w:jc w:val="center"/>
        <w:rPr>
          <w:rFonts w:ascii="宋体" w:hAnsi="宋体" w:cs="宋体"/>
          <w:bCs/>
          <w:color w:val="auto"/>
          <w:sz w:val="44"/>
          <w:szCs w:val="44"/>
          <w:highlight w:val="none"/>
        </w:rPr>
      </w:pPr>
      <w:r>
        <w:rPr>
          <w:rFonts w:hint="eastAsia" w:ascii="宋体" w:hAnsi="宋体" w:cs="宋体"/>
          <w:color w:val="auto"/>
          <w:sz w:val="24"/>
          <w:highlight w:val="none"/>
        </w:rPr>
        <w:t xml:space="preserve">                               年   月   日</w:t>
      </w:r>
    </w:p>
    <w:p w14:paraId="13F8DA4E">
      <w:pPr>
        <w:spacing w:line="520" w:lineRule="exact"/>
        <w:jc w:val="center"/>
        <w:rPr>
          <w:rFonts w:ascii="宋体" w:hAnsi="宋体" w:cs="宋体"/>
          <w:bCs/>
          <w:color w:val="auto"/>
          <w:sz w:val="44"/>
          <w:szCs w:val="44"/>
          <w:highlight w:val="none"/>
        </w:rPr>
      </w:pPr>
    </w:p>
    <w:p w14:paraId="3C9243FB">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70B3F18E">
      <w:pPr>
        <w:spacing w:line="520" w:lineRule="exact"/>
        <w:jc w:val="center"/>
        <w:rPr>
          <w:rFonts w:ascii="宋体" w:hAnsi="宋体" w:cs="宋体"/>
          <w:color w:val="auto"/>
          <w:sz w:val="32"/>
          <w:szCs w:val="32"/>
          <w:highlight w:val="none"/>
        </w:rPr>
      </w:pPr>
    </w:p>
    <w:p w14:paraId="642282A0">
      <w:pPr>
        <w:spacing w:line="360" w:lineRule="auto"/>
        <w:ind w:left="540"/>
        <w:contextualSpacing/>
        <w:rPr>
          <w:rFonts w:ascii="宋体" w:hAnsi="宋体" w:cs="宋体"/>
          <w:color w:val="auto"/>
          <w:sz w:val="32"/>
          <w:szCs w:val="32"/>
          <w:highlight w:val="none"/>
        </w:rPr>
      </w:pPr>
    </w:p>
    <w:p w14:paraId="366D3608">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2F2EBF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0EBE7B37">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     别：</w:t>
      </w:r>
      <w:r>
        <w:rPr>
          <w:rFonts w:hint="eastAsia" w:ascii="宋体" w:hAnsi="宋体" w:cs="宋体"/>
          <w:color w:val="auto"/>
          <w:sz w:val="24"/>
          <w:highlight w:val="none"/>
          <w:u w:val="single"/>
        </w:rPr>
        <w:t xml:space="preserve">       </w:t>
      </w:r>
    </w:p>
    <w:p w14:paraId="2EA8B6A9">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     务：</w:t>
      </w:r>
      <w:r>
        <w:rPr>
          <w:rFonts w:hint="eastAsia" w:ascii="宋体" w:hAnsi="宋体" w:cs="宋体"/>
          <w:color w:val="auto"/>
          <w:sz w:val="24"/>
          <w:highlight w:val="none"/>
          <w:u w:val="single"/>
        </w:rPr>
        <w:t xml:space="preserve">       </w:t>
      </w:r>
    </w:p>
    <w:p w14:paraId="7A9F1906">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0166A33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 xml:space="preserve">系 </w:t>
      </w:r>
      <w:r>
        <w:rPr>
          <w:rFonts w:hint="eastAsia" w:ascii="宋体" w:hAnsi="宋体" w:cs="宋体"/>
          <w:color w:val="auto"/>
          <w:sz w:val="24"/>
          <w:highlight w:val="none"/>
          <w:u w:val="single"/>
        </w:rPr>
        <w:t xml:space="preserve">                                   （供应商名称）</w:t>
      </w:r>
      <w:r>
        <w:rPr>
          <w:rFonts w:hint="eastAsia" w:ascii="宋体" w:hAnsi="宋体" w:cs="宋体"/>
          <w:color w:val="auto"/>
          <w:sz w:val="24"/>
          <w:highlight w:val="none"/>
        </w:rPr>
        <w:t>的法定代表人。</w:t>
      </w:r>
    </w:p>
    <w:p w14:paraId="2C0E4AF6">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2899F902">
      <w:pPr>
        <w:spacing w:line="360" w:lineRule="auto"/>
        <w:ind w:left="540"/>
        <w:contextualSpacing/>
        <w:rPr>
          <w:rFonts w:ascii="宋体" w:hAnsi="宋体" w:cs="宋体"/>
          <w:color w:val="auto"/>
          <w:sz w:val="24"/>
          <w:highlight w:val="none"/>
        </w:rPr>
      </w:pPr>
    </w:p>
    <w:p w14:paraId="3E444299">
      <w:pPr>
        <w:spacing w:line="360" w:lineRule="auto"/>
        <w:ind w:left="540"/>
        <w:contextualSpacing/>
        <w:rPr>
          <w:rFonts w:ascii="宋体" w:hAnsi="宋体" w:cs="宋体"/>
          <w:color w:val="auto"/>
          <w:sz w:val="24"/>
          <w:highlight w:val="none"/>
        </w:rPr>
      </w:pPr>
    </w:p>
    <w:p w14:paraId="1E0A024C">
      <w:pPr>
        <w:spacing w:line="360" w:lineRule="auto"/>
        <w:ind w:left="540"/>
        <w:contextualSpacing/>
        <w:rPr>
          <w:rFonts w:ascii="宋体" w:hAnsi="宋体" w:cs="宋体"/>
          <w:color w:val="auto"/>
          <w:sz w:val="24"/>
          <w:highlight w:val="none"/>
        </w:rPr>
      </w:pPr>
    </w:p>
    <w:p w14:paraId="3BC61D3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02E0707A">
      <w:pPr>
        <w:spacing w:line="360" w:lineRule="auto"/>
        <w:ind w:left="540"/>
        <w:contextualSpacing/>
        <w:rPr>
          <w:rFonts w:ascii="宋体" w:hAnsi="宋体" w:cs="宋体"/>
          <w:color w:val="auto"/>
          <w:sz w:val="24"/>
          <w:highlight w:val="none"/>
        </w:rPr>
      </w:pPr>
    </w:p>
    <w:p w14:paraId="488BDDCC">
      <w:pPr>
        <w:spacing w:line="360" w:lineRule="auto"/>
        <w:ind w:left="540"/>
        <w:contextualSpacing/>
        <w:jc w:val="center"/>
        <w:rPr>
          <w:rFonts w:ascii="宋体" w:hAnsi="宋体" w:cs="宋体"/>
          <w:color w:val="auto"/>
          <w:sz w:val="24"/>
          <w:highlight w:val="none"/>
        </w:rPr>
      </w:pPr>
      <w:r>
        <w:rPr>
          <w:rFonts w:hint="eastAsia" w:ascii="宋体" w:hAnsi="宋体" w:cs="宋体"/>
          <w:color w:val="auto"/>
          <w:sz w:val="24"/>
          <w:highlight w:val="none"/>
        </w:rPr>
        <w:t xml:space="preserve">                   供应商（电子签章）：</w:t>
      </w:r>
      <w:r>
        <w:rPr>
          <w:rFonts w:hint="eastAsia" w:ascii="宋体" w:hAnsi="宋体" w:cs="宋体"/>
          <w:color w:val="auto"/>
          <w:sz w:val="24"/>
          <w:highlight w:val="none"/>
          <w:u w:val="single"/>
        </w:rPr>
        <w:t xml:space="preserve">                  </w:t>
      </w:r>
    </w:p>
    <w:p w14:paraId="1E5B5DFE">
      <w:pPr>
        <w:spacing w:line="360" w:lineRule="auto"/>
        <w:ind w:firstLine="4080"/>
        <w:contextualSpacing/>
        <w:jc w:val="right"/>
        <w:rPr>
          <w:rFonts w:ascii="宋体" w:hAnsi="宋体" w:cs="宋体"/>
          <w:color w:val="auto"/>
          <w:sz w:val="24"/>
          <w:highlight w:val="none"/>
        </w:rPr>
      </w:pPr>
      <w:r>
        <w:rPr>
          <w:rFonts w:hint="eastAsia" w:ascii="宋体" w:hAnsi="宋体" w:cs="宋体"/>
          <w:color w:val="auto"/>
          <w:sz w:val="24"/>
          <w:highlight w:val="none"/>
        </w:rPr>
        <w:t xml:space="preserve">   年      月     日</w:t>
      </w:r>
    </w:p>
    <w:p w14:paraId="067AE8B9">
      <w:pPr>
        <w:spacing w:line="360" w:lineRule="auto"/>
        <w:contextualSpacing/>
        <w:jc w:val="center"/>
        <w:rPr>
          <w:rFonts w:ascii="宋体" w:hAnsi="宋体" w:cs="宋体"/>
          <w:b/>
          <w:color w:val="auto"/>
          <w:sz w:val="24"/>
          <w:highlight w:val="none"/>
        </w:rPr>
      </w:pPr>
    </w:p>
    <w:p w14:paraId="42B3AA75">
      <w:pPr>
        <w:spacing w:line="360" w:lineRule="auto"/>
        <w:contextualSpacing/>
        <w:jc w:val="left"/>
        <w:rPr>
          <w:rFonts w:ascii="宋体" w:hAnsi="宋体" w:cs="宋体"/>
          <w:color w:val="auto"/>
          <w:sz w:val="24"/>
          <w:highlight w:val="none"/>
        </w:rPr>
      </w:pPr>
    </w:p>
    <w:p w14:paraId="337C3C9C">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6CB60D4B">
      <w:pPr>
        <w:spacing w:line="300" w:lineRule="auto"/>
        <w:jc w:val="left"/>
        <w:rPr>
          <w:rFonts w:ascii="宋体" w:hAnsi="宋体" w:cs="宋体"/>
          <w:b/>
          <w:color w:val="auto"/>
          <w:szCs w:val="21"/>
          <w:highlight w:val="none"/>
        </w:rPr>
      </w:pPr>
    </w:p>
    <w:p w14:paraId="44E9CE0F">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clear="all"/>
      </w:r>
    </w:p>
    <w:p w14:paraId="0D3353F1">
      <w:pPr>
        <w:spacing w:line="520" w:lineRule="exact"/>
        <w:jc w:val="center"/>
        <w:rPr>
          <w:rFonts w:ascii="方正小标宋简体" w:hAnsi="方正小标宋简体" w:eastAsia="方正小标宋简体" w:cs="方正小标宋简体"/>
          <w:color w:val="auto"/>
          <w:sz w:val="44"/>
          <w:szCs w:val="44"/>
          <w:highlight w:val="none"/>
        </w:rPr>
      </w:pPr>
      <w:bookmarkStart w:id="102" w:name="_Hlk65853643"/>
    </w:p>
    <w:p w14:paraId="1963F82E">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w:t>
      </w:r>
    </w:p>
    <w:p w14:paraId="00589697">
      <w:pPr>
        <w:spacing w:line="52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7B523C6A">
      <w:pPr>
        <w:spacing w:line="520" w:lineRule="exact"/>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1CB8A2D8">
      <w:pPr>
        <w:spacing w:line="520" w:lineRule="exact"/>
        <w:rPr>
          <w:rFonts w:ascii="宋体" w:hAnsi="宋体" w:cs="宋体"/>
          <w:color w:val="auto"/>
          <w:sz w:val="32"/>
          <w:szCs w:val="32"/>
          <w:highlight w:val="none"/>
        </w:rPr>
      </w:pPr>
    </w:p>
    <w:p w14:paraId="4A2DEF6F">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22F8DF2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 xml:space="preserve"> 以我方的名义参加</w:t>
      </w:r>
      <w:r>
        <w:rPr>
          <w:rFonts w:hint="eastAsia" w:ascii="宋体" w:hAnsi="宋体" w:cs="宋体"/>
          <w:color w:val="auto"/>
          <w:sz w:val="24"/>
          <w:highlight w:val="none"/>
          <w:u w:val="single"/>
        </w:rPr>
        <w:t>（项目名称）</w:t>
      </w:r>
      <w:r>
        <w:rPr>
          <w:rFonts w:hint="eastAsia" w:ascii="宋体" w:hAnsi="宋体" w:cs="宋体"/>
          <w:color w:val="auto"/>
          <w:sz w:val="24"/>
          <w:highlight w:val="none"/>
        </w:rPr>
        <w:t>的竞标活动，并代表我方全权办理针对上述项目的所有采购程序和环节的具体事务和签署相关文件。</w:t>
      </w:r>
    </w:p>
    <w:p w14:paraId="598BA26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50CF83C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227EF75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46F10A7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630D5C5C">
      <w:pPr>
        <w:spacing w:line="360" w:lineRule="auto"/>
        <w:rPr>
          <w:rFonts w:ascii="宋体" w:hAnsi="宋体" w:cs="宋体"/>
          <w:color w:val="auto"/>
          <w:sz w:val="24"/>
          <w:highlight w:val="none"/>
        </w:rPr>
      </w:pPr>
    </w:p>
    <w:p w14:paraId="2ECAD509">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委托代理人（签字或者电子签名）：    </w:t>
      </w:r>
    </w:p>
    <w:p w14:paraId="412582B9">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法定代表人（签字或者电子签名）：                    </w:t>
      </w:r>
    </w:p>
    <w:p w14:paraId="09350557">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7AF92599">
      <w:pPr>
        <w:spacing w:line="360" w:lineRule="auto"/>
        <w:contextualSpacing/>
        <w:rPr>
          <w:rFonts w:ascii="宋体" w:hAnsi="宋体" w:cs="宋体"/>
          <w:color w:val="auto"/>
          <w:sz w:val="24"/>
          <w:highlight w:val="none"/>
        </w:rPr>
      </w:pPr>
    </w:p>
    <w:p w14:paraId="3F6D5C5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供应商（电子签章）：                      </w:t>
      </w:r>
    </w:p>
    <w:p w14:paraId="3C55A10E">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71FA4195">
      <w:pPr>
        <w:spacing w:line="360" w:lineRule="auto"/>
        <w:rPr>
          <w:rFonts w:ascii="宋体" w:hAnsi="宋体" w:cs="宋体"/>
          <w:color w:val="auto"/>
          <w:sz w:val="24"/>
          <w:highlight w:val="none"/>
        </w:rPr>
      </w:pPr>
    </w:p>
    <w:p w14:paraId="0429C413">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8974BD0">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w:t>
      </w:r>
      <w:bookmarkStart w:id="103" w:name="_Hlk65853109"/>
      <w:bookmarkStart w:id="104" w:name="_Hlk65853542"/>
      <w:r>
        <w:rPr>
          <w:rFonts w:hint="eastAsia" w:ascii="宋体" w:hAnsi="宋体" w:cs="宋体"/>
          <w:color w:val="auto"/>
          <w:sz w:val="24"/>
          <w:highlight w:val="none"/>
        </w:rPr>
        <w:t>法人、其他组织竞标时“我方”是指“我单位”，自然人竞标时“我方”是指“本人”。</w:t>
      </w:r>
      <w:bookmarkEnd w:id="102"/>
      <w:bookmarkEnd w:id="103"/>
      <w:bookmarkEnd w:id="104"/>
    </w:p>
    <w:p w14:paraId="19F7EE66">
      <w:pPr>
        <w:spacing w:line="360" w:lineRule="auto"/>
        <w:ind w:firstLine="420"/>
        <w:jc w:val="left"/>
        <w:rPr>
          <w:rFonts w:ascii="宋体" w:hAnsi="宋体" w:cs="宋体"/>
          <w:color w:val="auto"/>
          <w:szCs w:val="21"/>
          <w:highlight w:val="none"/>
        </w:rPr>
      </w:pPr>
    </w:p>
    <w:p w14:paraId="41D52C3D">
      <w:pPr>
        <w:spacing w:line="360" w:lineRule="auto"/>
        <w:jc w:val="left"/>
        <w:rPr>
          <w:rFonts w:ascii="宋体" w:hAnsi="宋体" w:cs="宋体"/>
          <w:color w:val="auto"/>
          <w:spacing w:val="-11"/>
          <w:sz w:val="24"/>
          <w:highlight w:val="none"/>
        </w:rPr>
      </w:pPr>
    </w:p>
    <w:p w14:paraId="23FAE7F0">
      <w:pPr>
        <w:spacing w:line="50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13736999">
      <w:pPr>
        <w:spacing w:line="500" w:lineRule="exact"/>
        <w:jc w:val="center"/>
        <w:rPr>
          <w:rFonts w:ascii="宋体" w:hAnsi="宋体" w:cs="宋体"/>
          <w:color w:val="auto"/>
          <w:sz w:val="32"/>
          <w:szCs w:val="32"/>
          <w:highlight w:val="none"/>
        </w:rPr>
      </w:pPr>
    </w:p>
    <w:p w14:paraId="6DBD81DF">
      <w:pPr>
        <w:spacing w:line="500" w:lineRule="exact"/>
        <w:jc w:val="center"/>
        <w:rPr>
          <w:rFonts w:ascii="宋体" w:hAnsi="宋体" w:cs="宋体"/>
          <w:color w:val="auto"/>
          <w:sz w:val="32"/>
          <w:szCs w:val="32"/>
          <w:highlight w:val="none"/>
        </w:rPr>
      </w:pPr>
    </w:p>
    <w:p w14:paraId="62F893BB">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商务要求偏离表格式</w:t>
      </w:r>
    </w:p>
    <w:p w14:paraId="76DB63EA">
      <w:pPr>
        <w:spacing w:line="360" w:lineRule="auto"/>
        <w:jc w:val="center"/>
        <w:rPr>
          <w:rFonts w:ascii="宋体" w:hAnsi="宋体" w:cs="宋体"/>
          <w:bCs/>
          <w:color w:val="auto"/>
          <w:sz w:val="44"/>
          <w:szCs w:val="44"/>
          <w:highlight w:val="none"/>
        </w:rPr>
      </w:pPr>
    </w:p>
    <w:tbl>
      <w:tblPr>
        <w:tblStyle w:val="46"/>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57"/>
        <w:gridCol w:w="3614"/>
        <w:gridCol w:w="3066"/>
        <w:gridCol w:w="1171"/>
      </w:tblGrid>
      <w:tr w14:paraId="4DCAE8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1C26A2B3">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项目</w:t>
            </w:r>
          </w:p>
        </w:tc>
        <w:tc>
          <w:tcPr>
            <w:tcW w:w="3614" w:type="dxa"/>
            <w:tcBorders>
              <w:top w:val="single" w:color="auto" w:sz="4" w:space="0"/>
              <w:left w:val="single" w:color="auto" w:sz="4" w:space="0"/>
              <w:bottom w:val="single" w:color="auto" w:sz="4" w:space="0"/>
              <w:right w:val="single" w:color="auto" w:sz="4" w:space="0"/>
            </w:tcBorders>
            <w:vAlign w:val="center"/>
          </w:tcPr>
          <w:p w14:paraId="145B46BB">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磋商文件商务条款要求</w:t>
            </w:r>
          </w:p>
        </w:tc>
        <w:tc>
          <w:tcPr>
            <w:tcW w:w="3066" w:type="dxa"/>
            <w:tcBorders>
              <w:top w:val="single" w:color="auto" w:sz="4" w:space="0"/>
              <w:left w:val="single" w:color="auto" w:sz="4" w:space="0"/>
              <w:bottom w:val="single" w:color="auto" w:sz="4" w:space="0"/>
              <w:right w:val="single" w:color="auto" w:sz="4" w:space="0"/>
            </w:tcBorders>
            <w:vAlign w:val="center"/>
          </w:tcPr>
          <w:p w14:paraId="2A3F6C0A">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供应商的响应</w:t>
            </w:r>
          </w:p>
        </w:tc>
        <w:tc>
          <w:tcPr>
            <w:tcW w:w="1171" w:type="dxa"/>
            <w:tcBorders>
              <w:top w:val="single" w:color="auto" w:sz="4" w:space="0"/>
              <w:left w:val="single" w:color="auto" w:sz="4" w:space="0"/>
              <w:bottom w:val="single" w:color="auto" w:sz="4" w:space="0"/>
              <w:right w:val="single" w:color="auto" w:sz="4" w:space="0"/>
            </w:tcBorders>
            <w:vAlign w:val="center"/>
          </w:tcPr>
          <w:p w14:paraId="518B6726">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417D3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25A8CC1A">
            <w:pPr>
              <w:spacing w:line="360" w:lineRule="auto"/>
              <w:jc w:val="center"/>
              <w:rPr>
                <w:rFonts w:ascii="宋体" w:hAnsi="宋体" w:cs="宋体"/>
                <w:b/>
                <w:color w:val="auto"/>
                <w:highlight w:val="none"/>
              </w:rPr>
            </w:pPr>
          </w:p>
        </w:tc>
        <w:tc>
          <w:tcPr>
            <w:tcW w:w="3614" w:type="dxa"/>
            <w:tcBorders>
              <w:top w:val="single" w:color="auto" w:sz="4" w:space="0"/>
              <w:left w:val="single" w:color="auto" w:sz="4" w:space="0"/>
              <w:bottom w:val="single" w:color="auto" w:sz="4" w:space="0"/>
              <w:right w:val="single" w:color="auto" w:sz="4" w:space="0"/>
            </w:tcBorders>
            <w:vAlign w:val="center"/>
          </w:tcPr>
          <w:p w14:paraId="5E7E734B">
            <w:pPr>
              <w:spacing w:line="360" w:lineRule="auto"/>
              <w:rPr>
                <w:rFonts w:ascii="宋体" w:hAnsi="宋体" w:cs="宋体"/>
                <w:color w:val="auto"/>
                <w:sz w:val="24"/>
                <w:highlight w:val="none"/>
              </w:rPr>
            </w:pPr>
          </w:p>
        </w:tc>
        <w:tc>
          <w:tcPr>
            <w:tcW w:w="3066" w:type="dxa"/>
            <w:tcBorders>
              <w:top w:val="single" w:color="auto" w:sz="4" w:space="0"/>
              <w:left w:val="single" w:color="auto" w:sz="4" w:space="0"/>
              <w:bottom w:val="single" w:color="auto" w:sz="4" w:space="0"/>
              <w:right w:val="single" w:color="auto" w:sz="4" w:space="0"/>
            </w:tcBorders>
            <w:vAlign w:val="center"/>
          </w:tcPr>
          <w:p w14:paraId="43091AD5">
            <w:pPr>
              <w:spacing w:line="360" w:lineRule="auto"/>
              <w:contextualSpacing/>
              <w:jc w:val="left"/>
              <w:rPr>
                <w:rFonts w:ascii="宋体" w:hAnsi="宋体" w:cs="宋体"/>
                <w:color w:val="auto"/>
                <w:sz w:val="24"/>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14:paraId="70A27016">
            <w:pPr>
              <w:spacing w:line="360" w:lineRule="auto"/>
              <w:contextualSpacing/>
              <w:jc w:val="left"/>
              <w:rPr>
                <w:rFonts w:ascii="宋体" w:hAnsi="宋体" w:cs="宋体"/>
                <w:color w:val="auto"/>
                <w:sz w:val="24"/>
                <w:highlight w:val="none"/>
              </w:rPr>
            </w:pPr>
          </w:p>
        </w:tc>
      </w:tr>
      <w:tr w14:paraId="6777C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5CC8A0E5">
            <w:pPr>
              <w:spacing w:line="360" w:lineRule="auto"/>
              <w:jc w:val="center"/>
              <w:rPr>
                <w:rFonts w:ascii="宋体" w:hAnsi="宋体" w:cs="宋体"/>
                <w:b/>
                <w:color w:val="auto"/>
                <w:highlight w:val="none"/>
              </w:rPr>
            </w:pPr>
          </w:p>
        </w:tc>
        <w:tc>
          <w:tcPr>
            <w:tcW w:w="3614" w:type="dxa"/>
            <w:tcBorders>
              <w:top w:val="single" w:color="auto" w:sz="4" w:space="0"/>
              <w:left w:val="single" w:color="auto" w:sz="4" w:space="0"/>
              <w:bottom w:val="single" w:color="auto" w:sz="4" w:space="0"/>
              <w:right w:val="single" w:color="auto" w:sz="4" w:space="0"/>
            </w:tcBorders>
            <w:vAlign w:val="center"/>
          </w:tcPr>
          <w:p w14:paraId="62AE75E8">
            <w:pPr>
              <w:spacing w:line="360" w:lineRule="auto"/>
              <w:rPr>
                <w:rFonts w:ascii="宋体" w:hAnsi="宋体" w:cs="宋体"/>
                <w:color w:val="auto"/>
                <w:sz w:val="24"/>
                <w:highlight w:val="none"/>
              </w:rPr>
            </w:pPr>
          </w:p>
        </w:tc>
        <w:tc>
          <w:tcPr>
            <w:tcW w:w="3066" w:type="dxa"/>
            <w:tcBorders>
              <w:top w:val="single" w:color="auto" w:sz="4" w:space="0"/>
              <w:left w:val="single" w:color="auto" w:sz="4" w:space="0"/>
              <w:bottom w:val="single" w:color="auto" w:sz="4" w:space="0"/>
              <w:right w:val="single" w:color="auto" w:sz="4" w:space="0"/>
            </w:tcBorders>
            <w:vAlign w:val="center"/>
          </w:tcPr>
          <w:p w14:paraId="3EAA2DEE">
            <w:pPr>
              <w:spacing w:line="360" w:lineRule="auto"/>
              <w:ind w:left="43"/>
              <w:contextualSpacing/>
              <w:jc w:val="left"/>
              <w:rPr>
                <w:rFonts w:ascii="宋体" w:hAnsi="宋体" w:cs="宋体"/>
                <w:color w:val="auto"/>
                <w:sz w:val="24"/>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14:paraId="6F033B3F">
            <w:pPr>
              <w:spacing w:line="360" w:lineRule="auto"/>
              <w:ind w:left="43"/>
              <w:contextualSpacing/>
              <w:jc w:val="left"/>
              <w:rPr>
                <w:rFonts w:ascii="宋体" w:hAnsi="宋体" w:cs="宋体"/>
                <w:color w:val="auto"/>
                <w:sz w:val="24"/>
                <w:highlight w:val="none"/>
              </w:rPr>
            </w:pPr>
          </w:p>
        </w:tc>
      </w:tr>
      <w:tr w14:paraId="45F46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61D8F785">
            <w:pPr>
              <w:pStyle w:val="25"/>
              <w:spacing w:line="360" w:lineRule="auto"/>
              <w:jc w:val="center"/>
              <w:outlineLvl w:val="0"/>
              <w:rPr>
                <w:rFonts w:hAnsi="宋体" w:cs="宋体"/>
                <w:b/>
                <w:color w:val="auto"/>
                <w:sz w:val="21"/>
                <w:highlight w:val="none"/>
              </w:rPr>
            </w:pPr>
          </w:p>
        </w:tc>
        <w:tc>
          <w:tcPr>
            <w:tcW w:w="3614" w:type="dxa"/>
            <w:tcBorders>
              <w:top w:val="single" w:color="auto" w:sz="4" w:space="0"/>
              <w:left w:val="single" w:color="auto" w:sz="4" w:space="0"/>
              <w:bottom w:val="single" w:color="auto" w:sz="4" w:space="0"/>
              <w:right w:val="single" w:color="auto" w:sz="4" w:space="0"/>
            </w:tcBorders>
            <w:vAlign w:val="center"/>
          </w:tcPr>
          <w:p w14:paraId="28A15FBC">
            <w:pPr>
              <w:spacing w:line="360" w:lineRule="auto"/>
              <w:rPr>
                <w:color w:val="auto"/>
                <w:highlight w:val="none"/>
              </w:rPr>
            </w:pPr>
          </w:p>
        </w:tc>
        <w:tc>
          <w:tcPr>
            <w:tcW w:w="3066" w:type="dxa"/>
            <w:tcBorders>
              <w:top w:val="single" w:color="auto" w:sz="4" w:space="0"/>
              <w:left w:val="single" w:color="auto" w:sz="4" w:space="0"/>
              <w:bottom w:val="single" w:color="auto" w:sz="4" w:space="0"/>
              <w:right w:val="single" w:color="auto" w:sz="4" w:space="0"/>
            </w:tcBorders>
            <w:vAlign w:val="center"/>
          </w:tcPr>
          <w:p w14:paraId="39D03645">
            <w:pPr>
              <w:spacing w:line="360" w:lineRule="auto"/>
              <w:contextualSpacing/>
              <w:jc w:val="left"/>
              <w:rPr>
                <w:rFonts w:ascii="宋体" w:hAnsi="宋体" w:cs="宋体"/>
                <w:color w:val="auto"/>
                <w:sz w:val="24"/>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14:paraId="74FDDF8D">
            <w:pPr>
              <w:spacing w:line="360" w:lineRule="auto"/>
              <w:contextualSpacing/>
              <w:jc w:val="left"/>
              <w:rPr>
                <w:rFonts w:ascii="宋体" w:hAnsi="宋体" w:cs="宋体"/>
                <w:color w:val="auto"/>
                <w:sz w:val="24"/>
                <w:highlight w:val="none"/>
              </w:rPr>
            </w:pPr>
          </w:p>
        </w:tc>
      </w:tr>
      <w:tr w14:paraId="758945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7A034777">
            <w:pPr>
              <w:pStyle w:val="25"/>
              <w:spacing w:line="360" w:lineRule="auto"/>
              <w:jc w:val="center"/>
              <w:outlineLvl w:val="0"/>
              <w:rPr>
                <w:rFonts w:hAnsi="宋体" w:cs="宋体"/>
                <w:color w:val="auto"/>
                <w:sz w:val="24"/>
                <w:highlight w:val="none"/>
              </w:rPr>
            </w:pPr>
          </w:p>
        </w:tc>
        <w:tc>
          <w:tcPr>
            <w:tcW w:w="3614" w:type="dxa"/>
            <w:tcBorders>
              <w:top w:val="single" w:color="auto" w:sz="4" w:space="0"/>
              <w:left w:val="single" w:color="auto" w:sz="4" w:space="0"/>
              <w:bottom w:val="single" w:color="auto" w:sz="4" w:space="0"/>
              <w:right w:val="single" w:color="auto" w:sz="4" w:space="0"/>
            </w:tcBorders>
            <w:vAlign w:val="center"/>
          </w:tcPr>
          <w:p w14:paraId="03874B75">
            <w:pPr>
              <w:spacing w:line="360" w:lineRule="auto"/>
              <w:rPr>
                <w:rFonts w:hAnsi="宋体" w:cs="宋体"/>
                <w:color w:val="auto"/>
                <w:sz w:val="24"/>
                <w:highlight w:val="none"/>
              </w:rPr>
            </w:pPr>
          </w:p>
        </w:tc>
        <w:tc>
          <w:tcPr>
            <w:tcW w:w="3066" w:type="dxa"/>
            <w:tcBorders>
              <w:top w:val="single" w:color="auto" w:sz="4" w:space="0"/>
              <w:left w:val="single" w:color="auto" w:sz="4" w:space="0"/>
              <w:bottom w:val="single" w:color="auto" w:sz="4" w:space="0"/>
              <w:right w:val="single" w:color="auto" w:sz="4" w:space="0"/>
            </w:tcBorders>
            <w:vAlign w:val="center"/>
          </w:tcPr>
          <w:p w14:paraId="0D33013D">
            <w:pPr>
              <w:spacing w:line="360" w:lineRule="auto"/>
              <w:contextualSpacing/>
              <w:jc w:val="left"/>
              <w:rPr>
                <w:rFonts w:ascii="宋体" w:hAnsi="宋体" w:cs="宋体"/>
                <w:color w:val="auto"/>
                <w:sz w:val="24"/>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14:paraId="2DB4C9CC">
            <w:pPr>
              <w:spacing w:line="360" w:lineRule="auto"/>
              <w:contextualSpacing/>
              <w:jc w:val="left"/>
              <w:rPr>
                <w:rFonts w:ascii="宋体" w:hAnsi="宋体" w:cs="宋体"/>
                <w:color w:val="auto"/>
                <w:sz w:val="24"/>
                <w:highlight w:val="none"/>
              </w:rPr>
            </w:pPr>
          </w:p>
        </w:tc>
      </w:tr>
      <w:tr w14:paraId="707BE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1108E683">
            <w:pPr>
              <w:spacing w:line="360" w:lineRule="auto"/>
              <w:jc w:val="center"/>
              <w:rPr>
                <w:rFonts w:ascii="宋体" w:hAnsi="宋体" w:cs="宋体"/>
                <w:color w:val="auto"/>
                <w:szCs w:val="21"/>
                <w:highlight w:val="none"/>
              </w:rPr>
            </w:pPr>
          </w:p>
        </w:tc>
        <w:tc>
          <w:tcPr>
            <w:tcW w:w="3614" w:type="dxa"/>
            <w:tcBorders>
              <w:top w:val="single" w:color="auto" w:sz="4" w:space="0"/>
              <w:left w:val="single" w:color="auto" w:sz="4" w:space="0"/>
              <w:bottom w:val="single" w:color="auto" w:sz="4" w:space="0"/>
              <w:right w:val="single" w:color="auto" w:sz="4" w:space="0"/>
            </w:tcBorders>
            <w:vAlign w:val="center"/>
          </w:tcPr>
          <w:p w14:paraId="2B48BDA3">
            <w:pPr>
              <w:spacing w:line="360" w:lineRule="auto"/>
              <w:rPr>
                <w:rFonts w:ascii="宋体" w:hAnsi="宋体" w:cs="宋体"/>
                <w:color w:val="auto"/>
                <w:szCs w:val="21"/>
                <w:highlight w:val="none"/>
              </w:rPr>
            </w:pPr>
          </w:p>
        </w:tc>
        <w:tc>
          <w:tcPr>
            <w:tcW w:w="3066" w:type="dxa"/>
            <w:tcBorders>
              <w:top w:val="single" w:color="auto" w:sz="4" w:space="0"/>
              <w:left w:val="single" w:color="auto" w:sz="4" w:space="0"/>
              <w:bottom w:val="single" w:color="auto" w:sz="4" w:space="0"/>
              <w:right w:val="single" w:color="auto" w:sz="4" w:space="0"/>
            </w:tcBorders>
            <w:vAlign w:val="center"/>
          </w:tcPr>
          <w:p w14:paraId="520CF65E">
            <w:pPr>
              <w:spacing w:line="360" w:lineRule="auto"/>
              <w:contextualSpacing/>
              <w:jc w:val="left"/>
              <w:rPr>
                <w:rFonts w:ascii="宋体" w:hAnsi="宋体" w:cs="宋体"/>
                <w:color w:val="auto"/>
                <w:sz w:val="24"/>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14:paraId="4C3504DE">
            <w:pPr>
              <w:spacing w:line="360" w:lineRule="auto"/>
              <w:contextualSpacing/>
              <w:jc w:val="left"/>
              <w:rPr>
                <w:rFonts w:ascii="宋体" w:hAnsi="宋体" w:cs="宋体"/>
                <w:color w:val="auto"/>
                <w:sz w:val="24"/>
                <w:highlight w:val="none"/>
              </w:rPr>
            </w:pPr>
          </w:p>
        </w:tc>
      </w:tr>
      <w:tr w14:paraId="4CA68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248AFFD7">
            <w:pPr>
              <w:spacing w:line="360" w:lineRule="auto"/>
              <w:jc w:val="center"/>
              <w:rPr>
                <w:rFonts w:ascii="宋体" w:hAnsi="宋体" w:cs="宋体"/>
                <w:color w:val="auto"/>
                <w:sz w:val="24"/>
                <w:highlight w:val="none"/>
              </w:rPr>
            </w:pPr>
          </w:p>
        </w:tc>
        <w:tc>
          <w:tcPr>
            <w:tcW w:w="3614" w:type="dxa"/>
            <w:tcBorders>
              <w:top w:val="single" w:color="auto" w:sz="4" w:space="0"/>
              <w:left w:val="single" w:color="auto" w:sz="4" w:space="0"/>
              <w:bottom w:val="single" w:color="auto" w:sz="4" w:space="0"/>
              <w:right w:val="single" w:color="auto" w:sz="4" w:space="0"/>
            </w:tcBorders>
            <w:vAlign w:val="center"/>
          </w:tcPr>
          <w:p w14:paraId="0C2C80A5">
            <w:pPr>
              <w:widowControl/>
              <w:spacing w:line="360" w:lineRule="auto"/>
              <w:jc w:val="left"/>
              <w:rPr>
                <w:rFonts w:ascii="宋体" w:hAnsi="宋体" w:cs="宋体"/>
                <w:color w:val="auto"/>
                <w:sz w:val="24"/>
                <w:highlight w:val="none"/>
              </w:rPr>
            </w:pPr>
          </w:p>
        </w:tc>
        <w:tc>
          <w:tcPr>
            <w:tcW w:w="3066" w:type="dxa"/>
            <w:tcBorders>
              <w:top w:val="single" w:color="auto" w:sz="4" w:space="0"/>
              <w:left w:val="single" w:color="auto" w:sz="4" w:space="0"/>
              <w:bottom w:val="single" w:color="auto" w:sz="4" w:space="0"/>
              <w:right w:val="single" w:color="auto" w:sz="4" w:space="0"/>
            </w:tcBorders>
            <w:vAlign w:val="center"/>
          </w:tcPr>
          <w:p w14:paraId="6C05F5F0">
            <w:pPr>
              <w:spacing w:line="360" w:lineRule="auto"/>
              <w:contextualSpacing/>
              <w:jc w:val="left"/>
              <w:rPr>
                <w:rFonts w:ascii="宋体" w:hAnsi="宋体" w:cs="宋体"/>
                <w:color w:val="auto"/>
                <w:sz w:val="24"/>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14:paraId="405B02F9">
            <w:pPr>
              <w:spacing w:line="360" w:lineRule="auto"/>
              <w:contextualSpacing/>
              <w:jc w:val="left"/>
              <w:rPr>
                <w:rFonts w:ascii="宋体" w:hAnsi="宋体" w:cs="宋体"/>
                <w:color w:val="auto"/>
                <w:sz w:val="24"/>
                <w:highlight w:val="none"/>
              </w:rPr>
            </w:pPr>
          </w:p>
        </w:tc>
      </w:tr>
      <w:tr w14:paraId="7B125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7A25074B">
            <w:pPr>
              <w:spacing w:line="360" w:lineRule="auto"/>
              <w:jc w:val="center"/>
              <w:rPr>
                <w:rFonts w:ascii="宋体" w:hAnsi="宋体" w:cs="宋体"/>
                <w:b/>
                <w:color w:val="auto"/>
                <w:szCs w:val="21"/>
                <w:highlight w:val="none"/>
              </w:rPr>
            </w:pPr>
          </w:p>
        </w:tc>
        <w:tc>
          <w:tcPr>
            <w:tcW w:w="3614" w:type="dxa"/>
            <w:tcBorders>
              <w:top w:val="single" w:color="auto" w:sz="4" w:space="0"/>
              <w:left w:val="single" w:color="auto" w:sz="4" w:space="0"/>
              <w:bottom w:val="single" w:color="auto" w:sz="4" w:space="0"/>
              <w:right w:val="single" w:color="auto" w:sz="4" w:space="0"/>
            </w:tcBorders>
            <w:vAlign w:val="center"/>
          </w:tcPr>
          <w:p w14:paraId="087536D3">
            <w:pPr>
              <w:widowControl/>
              <w:spacing w:line="360" w:lineRule="auto"/>
              <w:jc w:val="left"/>
              <w:rPr>
                <w:rFonts w:ascii="宋体" w:hAnsi="宋体" w:cs="宋体"/>
                <w:color w:val="auto"/>
                <w:szCs w:val="21"/>
                <w:highlight w:val="none"/>
              </w:rPr>
            </w:pPr>
          </w:p>
        </w:tc>
        <w:tc>
          <w:tcPr>
            <w:tcW w:w="3066" w:type="dxa"/>
            <w:tcBorders>
              <w:top w:val="single" w:color="auto" w:sz="4" w:space="0"/>
              <w:left w:val="single" w:color="auto" w:sz="4" w:space="0"/>
              <w:bottom w:val="single" w:color="auto" w:sz="4" w:space="0"/>
              <w:right w:val="single" w:color="auto" w:sz="4" w:space="0"/>
            </w:tcBorders>
            <w:vAlign w:val="center"/>
          </w:tcPr>
          <w:p w14:paraId="0809C84B">
            <w:pPr>
              <w:spacing w:line="360" w:lineRule="auto"/>
              <w:contextualSpacing/>
              <w:jc w:val="left"/>
              <w:rPr>
                <w:rFonts w:ascii="宋体" w:hAnsi="宋体" w:cs="宋体"/>
                <w:color w:val="auto"/>
                <w:sz w:val="24"/>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14:paraId="4990F414">
            <w:pPr>
              <w:spacing w:line="360" w:lineRule="auto"/>
              <w:contextualSpacing/>
              <w:jc w:val="left"/>
              <w:rPr>
                <w:rFonts w:ascii="宋体" w:hAnsi="宋体" w:cs="宋体"/>
                <w:color w:val="auto"/>
                <w:sz w:val="24"/>
                <w:highlight w:val="none"/>
              </w:rPr>
            </w:pPr>
          </w:p>
        </w:tc>
      </w:tr>
    </w:tbl>
    <w:p w14:paraId="7CF8E09B">
      <w:pPr>
        <w:pStyle w:val="18"/>
        <w:spacing w:after="0" w:line="360" w:lineRule="auto"/>
        <w:contextualSpacing/>
        <w:rPr>
          <w:rFonts w:ascii="宋体" w:hAnsi="宋体" w:cs="宋体"/>
          <w:color w:val="auto"/>
          <w:sz w:val="24"/>
          <w:szCs w:val="24"/>
          <w:highlight w:val="none"/>
        </w:rPr>
      </w:pPr>
      <w:r>
        <w:rPr>
          <w:rFonts w:hint="eastAsia" w:ascii="宋体" w:hAnsi="宋体" w:cs="宋体"/>
          <w:color w:val="auto"/>
          <w:sz w:val="24"/>
          <w:szCs w:val="24"/>
          <w:highlight w:val="none"/>
        </w:rPr>
        <w:t>注：</w:t>
      </w:r>
    </w:p>
    <w:p w14:paraId="3DA1A737">
      <w:pPr>
        <w:pStyle w:val="18"/>
        <w:spacing w:after="0" w:line="360" w:lineRule="auto"/>
        <w:contextualSpacing/>
        <w:rPr>
          <w:rFonts w:ascii="宋体" w:hAnsi="宋体" w:cs="宋体"/>
          <w:color w:val="auto"/>
          <w:sz w:val="24"/>
          <w:szCs w:val="24"/>
          <w:highlight w:val="none"/>
        </w:rPr>
      </w:pPr>
      <w:r>
        <w:rPr>
          <w:rFonts w:hint="eastAsia" w:ascii="宋体" w:hAnsi="宋体" w:cs="宋体"/>
          <w:color w:val="auto"/>
          <w:sz w:val="24"/>
          <w:szCs w:val="24"/>
          <w:highlight w:val="none"/>
        </w:rPr>
        <w:t>1.说明：应对照磋商文件“第三章 采购需求”中的商务条款逐条作出明确响应，并作出偏离说明。</w:t>
      </w:r>
    </w:p>
    <w:p w14:paraId="3B455587">
      <w:pPr>
        <w:spacing w:line="360" w:lineRule="auto"/>
        <w:contextualSpacing/>
        <w:jc w:val="left"/>
        <w:rPr>
          <w:rFonts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4F426998">
      <w:pPr>
        <w:spacing w:line="360" w:lineRule="auto"/>
        <w:ind w:right="-817"/>
        <w:contextualSpacing/>
        <w:rPr>
          <w:rFonts w:ascii="宋体" w:hAnsi="宋体" w:cs="宋体"/>
          <w:color w:val="auto"/>
          <w:sz w:val="24"/>
          <w:highlight w:val="none"/>
        </w:rPr>
      </w:pPr>
    </w:p>
    <w:p w14:paraId="73BD0971">
      <w:pPr>
        <w:spacing w:line="360" w:lineRule="auto"/>
        <w:ind w:right="-817"/>
        <w:contextualSpacing/>
        <w:jc w:val="center"/>
        <w:rPr>
          <w:rFonts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3F8ADB0B">
      <w:pPr>
        <w:spacing w:line="360" w:lineRule="auto"/>
        <w:ind w:right="-817" w:firstLine="4080"/>
        <w:contextualSpacing/>
        <w:rPr>
          <w:rFonts w:ascii="宋体" w:hAnsi="宋体" w:cs="宋体"/>
          <w:color w:val="auto"/>
          <w:sz w:val="24"/>
          <w:highlight w:val="none"/>
        </w:rPr>
      </w:pPr>
      <w:r>
        <w:rPr>
          <w:rFonts w:hint="eastAsia" w:ascii="宋体" w:hAnsi="宋体" w:cs="宋体"/>
          <w:color w:val="auto"/>
          <w:sz w:val="24"/>
          <w:highlight w:val="none"/>
        </w:rPr>
        <w:t xml:space="preserve">供应商（电子签章）：      </w:t>
      </w:r>
    </w:p>
    <w:p w14:paraId="21DC560D">
      <w:pPr>
        <w:spacing w:line="360" w:lineRule="auto"/>
        <w:ind w:right="-817" w:firstLine="4080"/>
        <w:contextualSpacing/>
        <w:rPr>
          <w:rFonts w:ascii="宋体" w:hAnsi="宋体" w:cs="宋体"/>
          <w:bCs/>
          <w:color w:val="auto"/>
          <w:sz w:val="44"/>
          <w:szCs w:val="44"/>
          <w:highlight w:val="none"/>
        </w:rPr>
      </w:pPr>
      <w:r>
        <w:rPr>
          <w:rFonts w:hint="eastAsia" w:ascii="宋体" w:hAnsi="宋体" w:cs="宋体"/>
          <w:color w:val="auto"/>
          <w:sz w:val="24"/>
          <w:highlight w:val="none"/>
        </w:rPr>
        <w:t>日期：   年   月   日</w:t>
      </w:r>
    </w:p>
    <w:p w14:paraId="6307E7B3">
      <w:pPr>
        <w:spacing w:line="30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clear="all"/>
      </w:r>
    </w:p>
    <w:p w14:paraId="22809EBE">
      <w:pPr>
        <w:spacing w:line="500" w:lineRule="exact"/>
        <w:jc w:val="center"/>
        <w:rPr>
          <w:rFonts w:ascii="方正小标宋简体" w:hAnsi="方正小标宋简体" w:eastAsia="方正小标宋简体" w:cs="方正小标宋简体"/>
          <w:bCs/>
          <w:color w:val="auto"/>
          <w:sz w:val="44"/>
          <w:szCs w:val="44"/>
          <w:highlight w:val="none"/>
        </w:rPr>
      </w:pPr>
    </w:p>
    <w:p w14:paraId="2B6A92C8">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技术需求偏离表</w:t>
      </w:r>
    </w:p>
    <w:p w14:paraId="34897DD9">
      <w:pPr>
        <w:spacing w:line="360" w:lineRule="auto"/>
        <w:contextualSpacing/>
        <w:rPr>
          <w:rFonts w:ascii="宋体" w:hAnsi="宋体" w:cs="宋体"/>
          <w:color w:val="auto"/>
          <w:sz w:val="24"/>
          <w:highlight w:val="none"/>
        </w:rPr>
      </w:pPr>
    </w:p>
    <w:p w14:paraId="478B47AA">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1D927817">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2FED6C35">
      <w:pPr>
        <w:pStyle w:val="223"/>
        <w:rPr>
          <w:color w:val="auto"/>
          <w:highlight w:val="none"/>
        </w:rPr>
      </w:pPr>
    </w:p>
    <w:tbl>
      <w:tblPr>
        <w:tblStyle w:val="46"/>
        <w:tblW w:w="903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9"/>
        <w:gridCol w:w="909"/>
        <w:gridCol w:w="3019"/>
        <w:gridCol w:w="2717"/>
        <w:gridCol w:w="1482"/>
      </w:tblGrid>
      <w:tr w14:paraId="75177C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4FD4228C">
            <w:pPr>
              <w:pStyle w:val="19"/>
              <w:spacing w:line="360" w:lineRule="auto"/>
              <w:ind w:firstLine="0"/>
              <w:contextualSpacing/>
              <w:jc w:val="center"/>
              <w:rPr>
                <w:rFonts w:ascii="宋体" w:hAnsi="宋体" w:eastAsia="宋体" w:cs="仿宋_GB2312"/>
                <w:color w:val="auto"/>
                <w:sz w:val="24"/>
                <w:szCs w:val="24"/>
                <w:highlight w:val="none"/>
              </w:rPr>
            </w:pPr>
            <w:bookmarkStart w:id="105" w:name="_Toc295404981"/>
            <w:bookmarkStart w:id="106" w:name="_Toc173211900"/>
            <w:bookmarkStart w:id="107" w:name="_Toc173066401"/>
            <w:bookmarkStart w:id="108" w:name="_Toc383699906"/>
            <w:bookmarkStart w:id="109" w:name="_Toc301781611"/>
            <w:bookmarkStart w:id="110" w:name="_Toc254970729"/>
            <w:bookmarkStart w:id="111" w:name="_Toc297193185"/>
            <w:bookmarkStart w:id="112" w:name="_Toc254970588"/>
            <w:bookmarkStart w:id="113" w:name="_Toc373333689"/>
            <w:r>
              <w:rPr>
                <w:rFonts w:hint="eastAsia" w:ascii="宋体" w:hAnsi="宋体" w:eastAsia="宋体" w:cs="仿宋_GB2312"/>
                <w:color w:val="auto"/>
                <w:sz w:val="24"/>
                <w:szCs w:val="24"/>
                <w:highlight w:val="none"/>
              </w:rPr>
              <w:t>序号</w:t>
            </w:r>
            <w:bookmarkEnd w:id="105"/>
            <w:bookmarkEnd w:id="106"/>
            <w:bookmarkEnd w:id="107"/>
            <w:bookmarkEnd w:id="108"/>
            <w:bookmarkEnd w:id="109"/>
            <w:bookmarkEnd w:id="110"/>
            <w:bookmarkEnd w:id="111"/>
            <w:bookmarkEnd w:id="112"/>
            <w:bookmarkEnd w:id="113"/>
          </w:p>
        </w:tc>
        <w:tc>
          <w:tcPr>
            <w:tcW w:w="909" w:type="dxa"/>
            <w:tcBorders>
              <w:right w:val="single" w:color="auto" w:sz="4" w:space="0"/>
            </w:tcBorders>
            <w:noWrap/>
            <w:vAlign w:val="center"/>
          </w:tcPr>
          <w:p w14:paraId="5120183E">
            <w:pPr>
              <w:pStyle w:val="19"/>
              <w:spacing w:line="360" w:lineRule="auto"/>
              <w:ind w:firstLine="0"/>
              <w:contextualSpacing/>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名称</w:t>
            </w:r>
          </w:p>
        </w:tc>
        <w:tc>
          <w:tcPr>
            <w:tcW w:w="3019" w:type="dxa"/>
            <w:tcBorders>
              <w:left w:val="single" w:color="auto" w:sz="4" w:space="0"/>
            </w:tcBorders>
            <w:noWrap/>
            <w:vAlign w:val="center"/>
          </w:tcPr>
          <w:p w14:paraId="42B51EDE">
            <w:pPr>
              <w:pStyle w:val="19"/>
              <w:spacing w:line="360" w:lineRule="auto"/>
              <w:ind w:firstLine="0"/>
              <w:contextualSpacing/>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磋商文件项目需求及服务要求</w:t>
            </w:r>
          </w:p>
        </w:tc>
        <w:tc>
          <w:tcPr>
            <w:tcW w:w="2717" w:type="dxa"/>
            <w:noWrap/>
            <w:vAlign w:val="center"/>
          </w:tcPr>
          <w:p w14:paraId="4AC429A5">
            <w:pPr>
              <w:pStyle w:val="19"/>
              <w:spacing w:line="360" w:lineRule="auto"/>
              <w:ind w:firstLine="0"/>
              <w:contextualSpacing/>
              <w:jc w:val="center"/>
              <w:rPr>
                <w:rFonts w:ascii="宋体" w:hAnsi="宋体" w:eastAsia="宋体" w:cs="仿宋_GB2312"/>
                <w:color w:val="auto"/>
                <w:sz w:val="24"/>
                <w:szCs w:val="24"/>
                <w:highlight w:val="none"/>
              </w:rPr>
            </w:pPr>
            <w:bookmarkStart w:id="114" w:name="_Toc173211902"/>
            <w:bookmarkStart w:id="115" w:name="_Toc373333691"/>
            <w:bookmarkStart w:id="116" w:name="_Toc383699908"/>
            <w:bookmarkStart w:id="117" w:name="_Toc297193187"/>
            <w:bookmarkStart w:id="118" w:name="_Toc254970590"/>
            <w:bookmarkStart w:id="119" w:name="_Toc295404983"/>
            <w:bookmarkStart w:id="120" w:name="_Toc173066403"/>
            <w:bookmarkStart w:id="121" w:name="_Toc301781613"/>
            <w:bookmarkStart w:id="122" w:name="_Toc254970731"/>
            <w:r>
              <w:rPr>
                <w:rFonts w:hint="eastAsia" w:ascii="宋体" w:hAnsi="宋体" w:eastAsia="宋体" w:cs="仿宋_GB2312"/>
                <w:color w:val="auto"/>
                <w:sz w:val="24"/>
                <w:szCs w:val="24"/>
                <w:highlight w:val="none"/>
              </w:rPr>
              <w:t>竞标响应</w:t>
            </w:r>
            <w:bookmarkEnd w:id="114"/>
            <w:bookmarkEnd w:id="115"/>
            <w:bookmarkEnd w:id="116"/>
            <w:bookmarkEnd w:id="117"/>
            <w:bookmarkEnd w:id="118"/>
            <w:bookmarkEnd w:id="119"/>
            <w:bookmarkEnd w:id="120"/>
            <w:bookmarkEnd w:id="121"/>
            <w:bookmarkEnd w:id="122"/>
          </w:p>
        </w:tc>
        <w:tc>
          <w:tcPr>
            <w:tcW w:w="1482" w:type="dxa"/>
            <w:noWrap/>
            <w:vAlign w:val="center"/>
          </w:tcPr>
          <w:p w14:paraId="2054F4A2">
            <w:pPr>
              <w:pStyle w:val="19"/>
              <w:spacing w:line="360" w:lineRule="auto"/>
              <w:ind w:firstLine="0"/>
              <w:contextualSpacing/>
              <w:jc w:val="center"/>
              <w:rPr>
                <w:rFonts w:ascii="宋体" w:hAnsi="宋体" w:eastAsia="宋体" w:cs="仿宋_GB2312"/>
                <w:color w:val="auto"/>
                <w:sz w:val="24"/>
                <w:szCs w:val="24"/>
                <w:highlight w:val="none"/>
              </w:rPr>
            </w:pPr>
            <w:bookmarkStart w:id="123" w:name="_Toc254970591"/>
            <w:bookmarkStart w:id="124" w:name="_Toc383699909"/>
            <w:bookmarkStart w:id="125" w:name="_Toc254970732"/>
            <w:bookmarkStart w:id="126" w:name="_Toc301781614"/>
            <w:bookmarkStart w:id="127" w:name="_Toc295404984"/>
            <w:bookmarkStart w:id="128" w:name="_Toc297193188"/>
            <w:bookmarkStart w:id="129" w:name="_Toc373333692"/>
            <w:bookmarkStart w:id="130" w:name="_Toc173211903"/>
            <w:bookmarkStart w:id="131" w:name="_Toc173066404"/>
            <w:r>
              <w:rPr>
                <w:rFonts w:hint="eastAsia" w:ascii="宋体" w:hAnsi="宋体" w:eastAsia="宋体" w:cs="仿宋_GB2312"/>
                <w:color w:val="auto"/>
                <w:sz w:val="24"/>
                <w:szCs w:val="24"/>
                <w:highlight w:val="none"/>
              </w:rPr>
              <w:t>偏离</w:t>
            </w:r>
            <w:bookmarkEnd w:id="123"/>
            <w:bookmarkEnd w:id="124"/>
            <w:bookmarkEnd w:id="125"/>
            <w:bookmarkEnd w:id="126"/>
            <w:bookmarkEnd w:id="127"/>
            <w:bookmarkEnd w:id="128"/>
            <w:bookmarkEnd w:id="129"/>
            <w:bookmarkEnd w:id="130"/>
            <w:bookmarkEnd w:id="131"/>
            <w:bookmarkStart w:id="132" w:name="_Toc254970592"/>
            <w:bookmarkStart w:id="133" w:name="_Toc173066405"/>
            <w:bookmarkStart w:id="134" w:name="_Toc383699910"/>
            <w:bookmarkStart w:id="135" w:name="_Toc173211904"/>
            <w:bookmarkStart w:id="136" w:name="_Toc254970733"/>
            <w:bookmarkStart w:id="137" w:name="_Toc301781615"/>
            <w:bookmarkStart w:id="138" w:name="_Toc373333693"/>
            <w:bookmarkStart w:id="139" w:name="_Toc297193189"/>
            <w:bookmarkStart w:id="140" w:name="_Toc295404985"/>
            <w:r>
              <w:rPr>
                <w:rFonts w:hint="eastAsia" w:ascii="宋体" w:hAnsi="宋体" w:eastAsia="宋体" w:cs="仿宋_GB2312"/>
                <w:color w:val="auto"/>
                <w:sz w:val="24"/>
                <w:szCs w:val="24"/>
                <w:highlight w:val="none"/>
              </w:rPr>
              <w:t>说明</w:t>
            </w:r>
            <w:bookmarkEnd w:id="132"/>
            <w:bookmarkEnd w:id="133"/>
            <w:bookmarkEnd w:id="134"/>
            <w:bookmarkEnd w:id="135"/>
            <w:bookmarkEnd w:id="136"/>
            <w:bookmarkEnd w:id="137"/>
            <w:bookmarkEnd w:id="138"/>
            <w:bookmarkEnd w:id="139"/>
            <w:bookmarkEnd w:id="140"/>
          </w:p>
        </w:tc>
      </w:tr>
      <w:tr w14:paraId="7A84A6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06AF7F14">
            <w:pPr>
              <w:pStyle w:val="19"/>
              <w:spacing w:line="360" w:lineRule="auto"/>
              <w:ind w:firstLine="0"/>
              <w:contextualSpacing/>
              <w:jc w:val="center"/>
              <w:rPr>
                <w:rFonts w:ascii="宋体" w:hAnsi="宋体" w:eastAsia="宋体" w:cs="仿宋_GB2312"/>
                <w:color w:val="auto"/>
                <w:sz w:val="24"/>
                <w:szCs w:val="24"/>
                <w:highlight w:val="none"/>
              </w:rPr>
            </w:pPr>
            <w:bookmarkStart w:id="141" w:name="_Toc373333694"/>
            <w:bookmarkStart w:id="142" w:name="_Toc254970734"/>
            <w:bookmarkStart w:id="143" w:name="_Toc297193190"/>
            <w:bookmarkStart w:id="144" w:name="_Toc301781616"/>
            <w:bookmarkStart w:id="145" w:name="_Toc254970593"/>
            <w:bookmarkStart w:id="146" w:name="_Toc173066406"/>
            <w:bookmarkStart w:id="147" w:name="_Toc295404986"/>
            <w:bookmarkStart w:id="148" w:name="_Toc173211905"/>
            <w:bookmarkStart w:id="149" w:name="_Toc383699911"/>
            <w:r>
              <w:rPr>
                <w:rFonts w:hint="eastAsia" w:ascii="宋体" w:hAnsi="宋体" w:eastAsia="宋体" w:cs="仿宋_GB2312"/>
                <w:color w:val="auto"/>
                <w:sz w:val="24"/>
                <w:szCs w:val="24"/>
                <w:highlight w:val="none"/>
              </w:rPr>
              <w:t>1</w:t>
            </w:r>
            <w:bookmarkEnd w:id="141"/>
            <w:bookmarkEnd w:id="142"/>
            <w:bookmarkEnd w:id="143"/>
            <w:bookmarkEnd w:id="144"/>
            <w:bookmarkEnd w:id="145"/>
            <w:bookmarkEnd w:id="146"/>
            <w:bookmarkEnd w:id="147"/>
            <w:bookmarkEnd w:id="148"/>
            <w:bookmarkEnd w:id="149"/>
          </w:p>
        </w:tc>
        <w:tc>
          <w:tcPr>
            <w:tcW w:w="909" w:type="dxa"/>
            <w:tcBorders>
              <w:right w:val="single" w:color="auto" w:sz="4" w:space="0"/>
            </w:tcBorders>
            <w:noWrap/>
            <w:vAlign w:val="center"/>
          </w:tcPr>
          <w:p w14:paraId="1B5C5E14">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47205E46">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4E6C9324">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1CDC906D">
            <w:pPr>
              <w:pStyle w:val="19"/>
              <w:spacing w:line="360" w:lineRule="auto"/>
              <w:ind w:firstLine="0"/>
              <w:contextualSpacing/>
              <w:jc w:val="center"/>
              <w:rPr>
                <w:rFonts w:ascii="宋体" w:hAnsi="宋体" w:eastAsia="宋体" w:cs="仿宋_GB2312"/>
                <w:color w:val="auto"/>
                <w:sz w:val="24"/>
                <w:szCs w:val="24"/>
                <w:highlight w:val="none"/>
              </w:rPr>
            </w:pPr>
          </w:p>
        </w:tc>
      </w:tr>
      <w:tr w14:paraId="7C595E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25D37CED">
            <w:pPr>
              <w:pStyle w:val="19"/>
              <w:spacing w:line="360" w:lineRule="auto"/>
              <w:ind w:firstLine="0"/>
              <w:contextualSpacing/>
              <w:jc w:val="center"/>
              <w:rPr>
                <w:rFonts w:ascii="宋体" w:hAnsi="宋体" w:eastAsia="宋体" w:cs="仿宋_GB2312"/>
                <w:color w:val="auto"/>
                <w:sz w:val="24"/>
                <w:szCs w:val="24"/>
                <w:highlight w:val="none"/>
              </w:rPr>
            </w:pPr>
            <w:bookmarkStart w:id="150" w:name="_Toc295404987"/>
            <w:bookmarkStart w:id="151" w:name="_Toc301781617"/>
            <w:bookmarkStart w:id="152" w:name="_Toc373333695"/>
            <w:bookmarkStart w:id="153" w:name="_Toc297193191"/>
            <w:bookmarkStart w:id="154" w:name="_Toc254970735"/>
            <w:bookmarkStart w:id="155" w:name="_Toc173066407"/>
            <w:bookmarkStart w:id="156" w:name="_Toc173211906"/>
            <w:bookmarkStart w:id="157" w:name="_Toc254970594"/>
            <w:bookmarkStart w:id="158" w:name="_Toc383699912"/>
            <w:r>
              <w:rPr>
                <w:rFonts w:hint="eastAsia" w:ascii="宋体" w:hAnsi="宋体" w:eastAsia="宋体" w:cs="仿宋_GB2312"/>
                <w:color w:val="auto"/>
                <w:sz w:val="24"/>
                <w:szCs w:val="24"/>
                <w:highlight w:val="none"/>
              </w:rPr>
              <w:t>2</w:t>
            </w:r>
            <w:bookmarkEnd w:id="150"/>
            <w:bookmarkEnd w:id="151"/>
            <w:bookmarkEnd w:id="152"/>
            <w:bookmarkEnd w:id="153"/>
            <w:bookmarkEnd w:id="154"/>
            <w:bookmarkEnd w:id="155"/>
            <w:bookmarkEnd w:id="156"/>
            <w:bookmarkEnd w:id="157"/>
            <w:bookmarkEnd w:id="158"/>
          </w:p>
        </w:tc>
        <w:tc>
          <w:tcPr>
            <w:tcW w:w="909" w:type="dxa"/>
            <w:tcBorders>
              <w:right w:val="single" w:color="auto" w:sz="4" w:space="0"/>
            </w:tcBorders>
            <w:noWrap/>
            <w:vAlign w:val="center"/>
          </w:tcPr>
          <w:p w14:paraId="41687C51">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30B77670">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019059E3">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0F057123">
            <w:pPr>
              <w:pStyle w:val="19"/>
              <w:spacing w:line="360" w:lineRule="auto"/>
              <w:ind w:firstLine="0"/>
              <w:contextualSpacing/>
              <w:jc w:val="center"/>
              <w:rPr>
                <w:rFonts w:ascii="宋体" w:hAnsi="宋体" w:eastAsia="宋体" w:cs="仿宋_GB2312"/>
                <w:color w:val="auto"/>
                <w:sz w:val="24"/>
                <w:szCs w:val="24"/>
                <w:highlight w:val="none"/>
              </w:rPr>
            </w:pPr>
          </w:p>
        </w:tc>
      </w:tr>
      <w:tr w14:paraId="3CCF7E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45983024">
            <w:pPr>
              <w:pStyle w:val="19"/>
              <w:spacing w:line="360" w:lineRule="auto"/>
              <w:ind w:firstLine="0"/>
              <w:contextualSpacing/>
              <w:jc w:val="center"/>
              <w:rPr>
                <w:rFonts w:ascii="宋体" w:hAnsi="宋体" w:eastAsia="宋体" w:cs="仿宋_GB2312"/>
                <w:color w:val="auto"/>
                <w:sz w:val="24"/>
                <w:szCs w:val="24"/>
                <w:highlight w:val="none"/>
              </w:rPr>
            </w:pPr>
            <w:bookmarkStart w:id="159" w:name="_Toc173066408"/>
            <w:bookmarkStart w:id="160" w:name="_Toc254970595"/>
            <w:bookmarkStart w:id="161" w:name="_Toc301781618"/>
            <w:bookmarkStart w:id="162" w:name="_Toc373333696"/>
            <w:bookmarkStart w:id="163" w:name="_Toc295404988"/>
            <w:bookmarkStart w:id="164" w:name="_Toc254970736"/>
            <w:bookmarkStart w:id="165" w:name="_Toc297193192"/>
            <w:bookmarkStart w:id="166" w:name="_Toc383699913"/>
            <w:bookmarkStart w:id="167" w:name="_Toc173211907"/>
            <w:r>
              <w:rPr>
                <w:rFonts w:hint="eastAsia" w:ascii="宋体" w:hAnsi="宋体" w:eastAsia="宋体" w:cs="仿宋_GB2312"/>
                <w:color w:val="auto"/>
                <w:sz w:val="24"/>
                <w:szCs w:val="24"/>
                <w:highlight w:val="none"/>
              </w:rPr>
              <w:t>3</w:t>
            </w:r>
            <w:bookmarkEnd w:id="159"/>
            <w:bookmarkEnd w:id="160"/>
            <w:bookmarkEnd w:id="161"/>
            <w:bookmarkEnd w:id="162"/>
            <w:bookmarkEnd w:id="163"/>
            <w:bookmarkEnd w:id="164"/>
            <w:bookmarkEnd w:id="165"/>
            <w:bookmarkEnd w:id="166"/>
            <w:bookmarkEnd w:id="167"/>
          </w:p>
        </w:tc>
        <w:tc>
          <w:tcPr>
            <w:tcW w:w="909" w:type="dxa"/>
            <w:tcBorders>
              <w:right w:val="single" w:color="auto" w:sz="4" w:space="0"/>
            </w:tcBorders>
            <w:noWrap/>
            <w:vAlign w:val="center"/>
          </w:tcPr>
          <w:p w14:paraId="58A0845C">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284D8428">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23E516C6">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2650BE4D">
            <w:pPr>
              <w:pStyle w:val="19"/>
              <w:spacing w:line="360" w:lineRule="auto"/>
              <w:ind w:firstLine="0"/>
              <w:contextualSpacing/>
              <w:jc w:val="center"/>
              <w:rPr>
                <w:rFonts w:ascii="宋体" w:hAnsi="宋体" w:eastAsia="宋体" w:cs="仿宋_GB2312"/>
                <w:color w:val="auto"/>
                <w:sz w:val="24"/>
                <w:szCs w:val="24"/>
                <w:highlight w:val="none"/>
              </w:rPr>
            </w:pPr>
          </w:p>
        </w:tc>
      </w:tr>
      <w:tr w14:paraId="630338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1A293220">
            <w:pPr>
              <w:pStyle w:val="19"/>
              <w:spacing w:line="360" w:lineRule="auto"/>
              <w:ind w:firstLine="0"/>
              <w:contextualSpacing/>
              <w:jc w:val="center"/>
              <w:rPr>
                <w:rFonts w:ascii="宋体" w:hAnsi="宋体" w:eastAsia="宋体" w:cs="仿宋_GB2312"/>
                <w:color w:val="auto"/>
                <w:sz w:val="24"/>
                <w:szCs w:val="24"/>
                <w:highlight w:val="none"/>
              </w:rPr>
            </w:pPr>
            <w:bookmarkStart w:id="168" w:name="_Toc373333697"/>
            <w:bookmarkStart w:id="169" w:name="_Toc173211908"/>
            <w:bookmarkStart w:id="170" w:name="_Toc173066409"/>
            <w:bookmarkStart w:id="171" w:name="_Toc301781619"/>
            <w:bookmarkStart w:id="172" w:name="_Toc254970737"/>
            <w:bookmarkStart w:id="173" w:name="_Toc254970596"/>
            <w:bookmarkStart w:id="174" w:name="_Toc383699914"/>
            <w:bookmarkStart w:id="175" w:name="_Toc297193193"/>
            <w:bookmarkStart w:id="176" w:name="_Toc295404989"/>
            <w:r>
              <w:rPr>
                <w:rFonts w:hint="eastAsia" w:ascii="宋体" w:hAnsi="宋体" w:eastAsia="宋体" w:cs="仿宋_GB2312"/>
                <w:color w:val="auto"/>
                <w:sz w:val="24"/>
                <w:szCs w:val="24"/>
                <w:highlight w:val="none"/>
              </w:rPr>
              <w:t>4</w:t>
            </w:r>
            <w:bookmarkEnd w:id="168"/>
            <w:bookmarkEnd w:id="169"/>
            <w:bookmarkEnd w:id="170"/>
            <w:bookmarkEnd w:id="171"/>
            <w:bookmarkEnd w:id="172"/>
            <w:bookmarkEnd w:id="173"/>
            <w:bookmarkEnd w:id="174"/>
            <w:bookmarkEnd w:id="175"/>
            <w:bookmarkEnd w:id="176"/>
          </w:p>
        </w:tc>
        <w:tc>
          <w:tcPr>
            <w:tcW w:w="909" w:type="dxa"/>
            <w:tcBorders>
              <w:right w:val="single" w:color="auto" w:sz="4" w:space="0"/>
            </w:tcBorders>
            <w:noWrap/>
            <w:vAlign w:val="center"/>
          </w:tcPr>
          <w:p w14:paraId="27EC4AF5">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2B3A952D">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732789D9">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5587C7B0">
            <w:pPr>
              <w:pStyle w:val="19"/>
              <w:spacing w:line="360" w:lineRule="auto"/>
              <w:ind w:firstLine="0"/>
              <w:contextualSpacing/>
              <w:jc w:val="center"/>
              <w:rPr>
                <w:rFonts w:ascii="宋体" w:hAnsi="宋体" w:eastAsia="宋体" w:cs="仿宋_GB2312"/>
                <w:color w:val="auto"/>
                <w:sz w:val="24"/>
                <w:szCs w:val="24"/>
                <w:highlight w:val="none"/>
              </w:rPr>
            </w:pPr>
          </w:p>
        </w:tc>
      </w:tr>
      <w:tr w14:paraId="1C84D0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3816E730">
            <w:pPr>
              <w:pStyle w:val="19"/>
              <w:spacing w:line="360" w:lineRule="auto"/>
              <w:ind w:firstLine="0"/>
              <w:contextualSpacing/>
              <w:jc w:val="center"/>
              <w:rPr>
                <w:rFonts w:ascii="宋体" w:hAnsi="宋体" w:eastAsia="宋体" w:cs="仿宋_GB2312"/>
                <w:color w:val="auto"/>
                <w:sz w:val="24"/>
                <w:szCs w:val="24"/>
                <w:highlight w:val="none"/>
              </w:rPr>
            </w:pPr>
            <w:bookmarkStart w:id="177" w:name="_Toc254970738"/>
            <w:bookmarkStart w:id="178" w:name="_Toc173211909"/>
            <w:bookmarkStart w:id="179" w:name="_Toc254970597"/>
            <w:bookmarkStart w:id="180" w:name="_Toc297193194"/>
            <w:bookmarkStart w:id="181" w:name="_Toc383699915"/>
            <w:bookmarkStart w:id="182" w:name="_Toc301781620"/>
            <w:bookmarkStart w:id="183" w:name="_Toc173066410"/>
            <w:bookmarkStart w:id="184" w:name="_Toc373333698"/>
            <w:bookmarkStart w:id="185" w:name="_Toc295404990"/>
            <w:r>
              <w:rPr>
                <w:rFonts w:hint="eastAsia" w:ascii="宋体" w:hAnsi="宋体" w:eastAsia="宋体" w:cs="仿宋_GB2312"/>
                <w:color w:val="auto"/>
                <w:sz w:val="24"/>
                <w:szCs w:val="24"/>
                <w:highlight w:val="none"/>
              </w:rPr>
              <w:t>5</w:t>
            </w:r>
            <w:bookmarkEnd w:id="177"/>
            <w:bookmarkEnd w:id="178"/>
            <w:bookmarkEnd w:id="179"/>
            <w:bookmarkEnd w:id="180"/>
            <w:bookmarkEnd w:id="181"/>
            <w:bookmarkEnd w:id="182"/>
            <w:bookmarkEnd w:id="183"/>
            <w:bookmarkEnd w:id="184"/>
            <w:bookmarkEnd w:id="185"/>
          </w:p>
        </w:tc>
        <w:tc>
          <w:tcPr>
            <w:tcW w:w="909" w:type="dxa"/>
            <w:tcBorders>
              <w:right w:val="single" w:color="auto" w:sz="4" w:space="0"/>
            </w:tcBorders>
            <w:noWrap/>
            <w:vAlign w:val="center"/>
          </w:tcPr>
          <w:p w14:paraId="68375049">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7EAF2C42">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6CAD5559">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3CEB8E97">
            <w:pPr>
              <w:pStyle w:val="19"/>
              <w:spacing w:line="360" w:lineRule="auto"/>
              <w:ind w:firstLine="0"/>
              <w:contextualSpacing/>
              <w:jc w:val="center"/>
              <w:rPr>
                <w:rFonts w:ascii="宋体" w:hAnsi="宋体" w:eastAsia="宋体" w:cs="仿宋_GB2312"/>
                <w:color w:val="auto"/>
                <w:sz w:val="24"/>
                <w:szCs w:val="24"/>
                <w:highlight w:val="none"/>
              </w:rPr>
            </w:pPr>
          </w:p>
        </w:tc>
      </w:tr>
      <w:tr w14:paraId="30EF3F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9" w:type="dxa"/>
            <w:noWrap/>
            <w:vAlign w:val="center"/>
          </w:tcPr>
          <w:p w14:paraId="4741D43E">
            <w:pPr>
              <w:pStyle w:val="19"/>
              <w:spacing w:line="360" w:lineRule="auto"/>
              <w:ind w:firstLine="0"/>
              <w:contextualSpacing/>
              <w:jc w:val="center"/>
              <w:rPr>
                <w:rFonts w:ascii="宋体" w:hAnsi="宋体" w:eastAsia="宋体" w:cs="仿宋_GB2312"/>
                <w:color w:val="auto"/>
                <w:sz w:val="24"/>
                <w:szCs w:val="24"/>
                <w:highlight w:val="none"/>
              </w:rPr>
            </w:pPr>
            <w:bookmarkStart w:id="186" w:name="_Toc373333699"/>
            <w:bookmarkStart w:id="187" w:name="_Toc297193195"/>
            <w:bookmarkStart w:id="188" w:name="_Toc383699916"/>
            <w:bookmarkStart w:id="189" w:name="_Toc295404991"/>
            <w:bookmarkStart w:id="190" w:name="_Toc254970602"/>
            <w:bookmarkStart w:id="191" w:name="_Toc173211914"/>
            <w:bookmarkStart w:id="192" w:name="_Toc254970743"/>
            <w:bookmarkStart w:id="193" w:name="_Toc173066415"/>
            <w:bookmarkStart w:id="194" w:name="_Toc301781621"/>
            <w:r>
              <w:rPr>
                <w:rFonts w:hint="eastAsia" w:ascii="宋体" w:hAnsi="宋体" w:eastAsia="宋体" w:cs="仿宋_GB2312"/>
                <w:color w:val="auto"/>
                <w:sz w:val="24"/>
                <w:szCs w:val="24"/>
                <w:highlight w:val="none"/>
              </w:rPr>
              <w:t>…</w:t>
            </w:r>
            <w:bookmarkEnd w:id="186"/>
            <w:bookmarkEnd w:id="187"/>
            <w:bookmarkEnd w:id="188"/>
            <w:bookmarkEnd w:id="189"/>
            <w:bookmarkEnd w:id="190"/>
            <w:bookmarkEnd w:id="191"/>
            <w:bookmarkEnd w:id="192"/>
            <w:bookmarkEnd w:id="193"/>
            <w:bookmarkEnd w:id="194"/>
          </w:p>
        </w:tc>
        <w:tc>
          <w:tcPr>
            <w:tcW w:w="909" w:type="dxa"/>
            <w:tcBorders>
              <w:right w:val="single" w:color="auto" w:sz="4" w:space="0"/>
            </w:tcBorders>
            <w:noWrap/>
            <w:vAlign w:val="center"/>
          </w:tcPr>
          <w:p w14:paraId="49594870">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07D6DC84">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3D0C7611">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tcBorders>
              <w:right w:val="single" w:color="auto" w:sz="4" w:space="0"/>
            </w:tcBorders>
            <w:noWrap/>
            <w:vAlign w:val="center"/>
          </w:tcPr>
          <w:p w14:paraId="790E729C">
            <w:pPr>
              <w:pStyle w:val="19"/>
              <w:spacing w:line="360" w:lineRule="auto"/>
              <w:ind w:firstLine="0"/>
              <w:contextualSpacing/>
              <w:jc w:val="center"/>
              <w:rPr>
                <w:rFonts w:ascii="宋体" w:hAnsi="宋体" w:eastAsia="宋体" w:cs="仿宋_GB2312"/>
                <w:color w:val="auto"/>
                <w:sz w:val="24"/>
                <w:szCs w:val="24"/>
                <w:highlight w:val="none"/>
              </w:rPr>
            </w:pPr>
          </w:p>
        </w:tc>
      </w:tr>
    </w:tbl>
    <w:p w14:paraId="22DA45AA">
      <w:pPr>
        <w:pStyle w:val="19"/>
        <w:spacing w:line="360" w:lineRule="auto"/>
        <w:ind w:firstLine="0"/>
        <w:contextualSpacing/>
        <w:rPr>
          <w:rFonts w:ascii="宋体" w:hAnsi="宋体" w:eastAsia="宋体" w:cs="宋体"/>
          <w:color w:val="auto"/>
          <w:sz w:val="24"/>
          <w:szCs w:val="24"/>
          <w:highlight w:val="none"/>
        </w:rPr>
      </w:pPr>
    </w:p>
    <w:p w14:paraId="07044FEE">
      <w:pPr>
        <w:pStyle w:val="19"/>
        <w:spacing w:line="360" w:lineRule="auto"/>
        <w:ind w:firstLine="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9E8585F">
      <w:pPr>
        <w:pStyle w:val="19"/>
        <w:spacing w:line="360" w:lineRule="auto"/>
        <w:ind w:left="29" w:hanging="228"/>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1.说明：应对照磋商文件“第三章 采购需求”中的</w:t>
      </w:r>
      <w:r>
        <w:rPr>
          <w:rFonts w:hint="eastAsia" w:ascii="宋体" w:hAnsi="宋体" w:eastAsia="宋体" w:cs="宋体"/>
          <w:b/>
          <w:bCs/>
          <w:color w:val="auto"/>
          <w:sz w:val="24"/>
          <w:szCs w:val="24"/>
          <w:highlight w:val="none"/>
        </w:rPr>
        <w:t>项目需求及服务要求</w:t>
      </w:r>
      <w:r>
        <w:rPr>
          <w:rFonts w:hint="eastAsia" w:ascii="宋体" w:hAnsi="宋体" w:eastAsia="宋体" w:cs="宋体"/>
          <w:color w:val="auto"/>
          <w:sz w:val="24"/>
          <w:szCs w:val="24"/>
          <w:highlight w:val="none"/>
        </w:rPr>
        <w:t>逐条作出明确响应，并作出偏离说明。</w:t>
      </w:r>
    </w:p>
    <w:p w14:paraId="69425D2F">
      <w:pPr>
        <w:pStyle w:val="19"/>
        <w:spacing w:line="360" w:lineRule="auto"/>
        <w:ind w:left="29" w:hanging="228"/>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w:t>
      </w:r>
    </w:p>
    <w:p w14:paraId="34FE4440">
      <w:pPr>
        <w:spacing w:line="360" w:lineRule="auto"/>
        <w:ind w:right="-817"/>
        <w:contextualSpacing/>
        <w:rPr>
          <w:rFonts w:ascii="宋体" w:hAnsi="宋体" w:cs="宋体"/>
          <w:color w:val="auto"/>
          <w:sz w:val="24"/>
          <w:highlight w:val="none"/>
        </w:rPr>
      </w:pPr>
    </w:p>
    <w:p w14:paraId="61B93728">
      <w:pPr>
        <w:spacing w:line="360" w:lineRule="auto"/>
        <w:ind w:right="-817"/>
        <w:contextualSpacing/>
        <w:jc w:val="right"/>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0BA94452">
      <w:pPr>
        <w:spacing w:line="360" w:lineRule="auto"/>
        <w:ind w:right="-817"/>
        <w:contextualSpacing/>
        <w:jc w:val="center"/>
        <w:rPr>
          <w:rFonts w:ascii="宋体" w:hAnsi="宋体" w:cs="宋体"/>
          <w:color w:val="auto"/>
          <w:sz w:val="24"/>
          <w:highlight w:val="none"/>
        </w:rPr>
      </w:pPr>
      <w:r>
        <w:rPr>
          <w:rFonts w:hint="eastAsia" w:ascii="宋体" w:hAnsi="宋体" w:cs="宋体"/>
          <w:color w:val="auto"/>
          <w:sz w:val="24"/>
          <w:highlight w:val="none"/>
        </w:rPr>
        <w:t xml:space="preserve">                                      供应商（电子签章）：           </w:t>
      </w:r>
    </w:p>
    <w:p w14:paraId="6A1632CC">
      <w:pPr>
        <w:spacing w:line="360" w:lineRule="auto"/>
        <w:ind w:right="-817" w:firstLine="4080"/>
        <w:contextualSpacing/>
        <w:jc w:val="right"/>
        <w:rPr>
          <w:rFonts w:ascii="宋体" w:hAnsi="宋体" w:cs="宋体"/>
          <w:color w:val="auto"/>
          <w:sz w:val="24"/>
          <w:highlight w:val="none"/>
        </w:rPr>
      </w:pPr>
      <w:r>
        <w:rPr>
          <w:rFonts w:hint="eastAsia" w:ascii="宋体" w:hAnsi="宋体" w:cs="宋体"/>
          <w:color w:val="auto"/>
          <w:sz w:val="24"/>
          <w:highlight w:val="none"/>
        </w:rPr>
        <w:t>日期：   年   月   日</w:t>
      </w:r>
    </w:p>
    <w:p w14:paraId="2C232197">
      <w:pPr>
        <w:spacing w:before="156" w:after="50"/>
        <w:ind w:left="142"/>
        <w:jc w:val="left"/>
        <w:rPr>
          <w:rFonts w:ascii="宋体" w:hAnsi="宋体" w:cs="宋体"/>
          <w:b/>
          <w:color w:val="auto"/>
          <w:sz w:val="24"/>
          <w:highlight w:val="none"/>
        </w:rPr>
      </w:pPr>
      <w:r>
        <w:rPr>
          <w:rFonts w:hint="eastAsia" w:ascii="宋体" w:hAnsi="宋体" w:cs="宋体"/>
          <w:color w:val="auto"/>
          <w:sz w:val="24"/>
          <w:highlight w:val="none"/>
        </w:rPr>
        <w:br w:type="page" w:clear="all"/>
      </w:r>
      <w:r>
        <w:rPr>
          <w:rFonts w:hint="eastAsia" w:ascii="宋体" w:hAnsi="宋体" w:cs="宋体"/>
          <w:b/>
          <w:color w:val="auto"/>
          <w:sz w:val="24"/>
          <w:highlight w:val="none"/>
        </w:rPr>
        <w:t>项目实施人员一览表格式</w:t>
      </w:r>
    </w:p>
    <w:p w14:paraId="16791FC2">
      <w:pPr>
        <w:spacing w:before="156" w:after="50"/>
        <w:ind w:left="142"/>
        <w:jc w:val="left"/>
        <w:rPr>
          <w:rFonts w:ascii="宋体" w:hAnsi="宋体" w:cs="宋体"/>
          <w:b/>
          <w:color w:val="auto"/>
          <w:sz w:val="24"/>
          <w:highlight w:val="none"/>
        </w:rPr>
      </w:pPr>
    </w:p>
    <w:p w14:paraId="33159A8E">
      <w:pPr>
        <w:spacing w:line="360" w:lineRule="auto"/>
        <w:ind w:left="142"/>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14:paraId="110798ED">
      <w:pPr>
        <w:pStyle w:val="25"/>
        <w:spacing w:line="360" w:lineRule="auto"/>
        <w:contextualSpacing/>
        <w:rPr>
          <w:rFonts w:hAnsi="宋体" w:cs="宋体"/>
          <w:color w:val="auto"/>
          <w:sz w:val="24"/>
          <w:szCs w:val="24"/>
          <w:highlight w:val="none"/>
        </w:rPr>
      </w:pPr>
      <w:r>
        <w:rPr>
          <w:rFonts w:hint="eastAsia" w:hAnsi="宋体" w:cs="宋体"/>
          <w:color w:val="auto"/>
          <w:sz w:val="24"/>
          <w:szCs w:val="24"/>
          <w:highlight w:val="none"/>
        </w:rPr>
        <w:t>所竞分标：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tbl>
      <w:tblPr>
        <w:tblStyle w:val="46"/>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2692"/>
      </w:tblGrid>
      <w:tr w14:paraId="5545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24FFF101">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noWrap/>
            <w:vAlign w:val="center"/>
          </w:tcPr>
          <w:p w14:paraId="6F417117">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1701" w:type="dxa"/>
            <w:noWrap/>
            <w:vAlign w:val="center"/>
          </w:tcPr>
          <w:p w14:paraId="1F4FFECF">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420" w:type="dxa"/>
            <w:noWrap/>
            <w:vAlign w:val="center"/>
          </w:tcPr>
          <w:p w14:paraId="706372B2">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698" w:type="dxa"/>
            <w:noWrap/>
            <w:vAlign w:val="center"/>
          </w:tcPr>
          <w:p w14:paraId="5F9CA605">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14:paraId="651EF3F6">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2692" w:type="dxa"/>
            <w:noWrap/>
            <w:vAlign w:val="center"/>
          </w:tcPr>
          <w:p w14:paraId="439071A5">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备注</w:t>
            </w:r>
          </w:p>
        </w:tc>
      </w:tr>
      <w:tr w14:paraId="4D65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69AE0686">
            <w:pPr>
              <w:spacing w:line="360" w:lineRule="auto"/>
              <w:contextualSpacing/>
              <w:jc w:val="center"/>
              <w:rPr>
                <w:rFonts w:ascii="宋体" w:hAnsi="宋体" w:cs="宋体"/>
                <w:color w:val="auto"/>
                <w:sz w:val="24"/>
                <w:szCs w:val="20"/>
                <w:highlight w:val="none"/>
              </w:rPr>
            </w:pPr>
          </w:p>
        </w:tc>
        <w:tc>
          <w:tcPr>
            <w:tcW w:w="709" w:type="dxa"/>
            <w:noWrap/>
            <w:vAlign w:val="center"/>
          </w:tcPr>
          <w:p w14:paraId="748027D4">
            <w:pPr>
              <w:spacing w:line="360" w:lineRule="auto"/>
              <w:contextualSpacing/>
              <w:jc w:val="center"/>
              <w:rPr>
                <w:rFonts w:ascii="宋体" w:hAnsi="宋体" w:cs="宋体"/>
                <w:color w:val="auto"/>
                <w:sz w:val="24"/>
                <w:szCs w:val="20"/>
                <w:highlight w:val="none"/>
              </w:rPr>
            </w:pPr>
          </w:p>
        </w:tc>
        <w:tc>
          <w:tcPr>
            <w:tcW w:w="1701" w:type="dxa"/>
            <w:noWrap/>
            <w:vAlign w:val="center"/>
          </w:tcPr>
          <w:p w14:paraId="2A75720D">
            <w:pPr>
              <w:spacing w:line="360" w:lineRule="auto"/>
              <w:contextualSpacing/>
              <w:jc w:val="center"/>
              <w:rPr>
                <w:rFonts w:ascii="宋体" w:hAnsi="宋体" w:cs="宋体"/>
                <w:color w:val="auto"/>
                <w:sz w:val="24"/>
                <w:szCs w:val="20"/>
                <w:highlight w:val="none"/>
              </w:rPr>
            </w:pPr>
          </w:p>
        </w:tc>
        <w:tc>
          <w:tcPr>
            <w:tcW w:w="1420" w:type="dxa"/>
            <w:noWrap/>
            <w:vAlign w:val="center"/>
          </w:tcPr>
          <w:p w14:paraId="2CC71A87">
            <w:pPr>
              <w:spacing w:line="360" w:lineRule="auto"/>
              <w:contextualSpacing/>
              <w:jc w:val="center"/>
              <w:rPr>
                <w:rFonts w:ascii="宋体" w:hAnsi="宋体" w:cs="宋体"/>
                <w:color w:val="auto"/>
                <w:sz w:val="24"/>
                <w:szCs w:val="20"/>
                <w:highlight w:val="none"/>
              </w:rPr>
            </w:pPr>
          </w:p>
        </w:tc>
        <w:tc>
          <w:tcPr>
            <w:tcW w:w="1698" w:type="dxa"/>
            <w:noWrap/>
            <w:vAlign w:val="center"/>
          </w:tcPr>
          <w:p w14:paraId="0D6FBA46">
            <w:pPr>
              <w:spacing w:line="360" w:lineRule="auto"/>
              <w:contextualSpacing/>
              <w:jc w:val="center"/>
              <w:rPr>
                <w:rFonts w:ascii="宋体" w:hAnsi="宋体" w:cs="宋体"/>
                <w:color w:val="auto"/>
                <w:sz w:val="24"/>
                <w:szCs w:val="20"/>
                <w:highlight w:val="none"/>
              </w:rPr>
            </w:pPr>
          </w:p>
        </w:tc>
        <w:tc>
          <w:tcPr>
            <w:tcW w:w="2692" w:type="dxa"/>
            <w:noWrap/>
            <w:vAlign w:val="center"/>
          </w:tcPr>
          <w:p w14:paraId="3CAD723C">
            <w:pPr>
              <w:spacing w:line="360" w:lineRule="auto"/>
              <w:contextualSpacing/>
              <w:jc w:val="center"/>
              <w:rPr>
                <w:rFonts w:ascii="宋体" w:hAnsi="宋体" w:cs="宋体"/>
                <w:color w:val="auto"/>
                <w:sz w:val="24"/>
                <w:szCs w:val="20"/>
                <w:highlight w:val="none"/>
              </w:rPr>
            </w:pPr>
          </w:p>
        </w:tc>
      </w:tr>
      <w:tr w14:paraId="1705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125592EC">
            <w:pPr>
              <w:spacing w:line="360" w:lineRule="auto"/>
              <w:contextualSpacing/>
              <w:jc w:val="center"/>
              <w:rPr>
                <w:rFonts w:ascii="宋体" w:hAnsi="宋体" w:cs="宋体"/>
                <w:color w:val="auto"/>
                <w:sz w:val="24"/>
                <w:szCs w:val="20"/>
                <w:highlight w:val="none"/>
              </w:rPr>
            </w:pPr>
          </w:p>
        </w:tc>
        <w:tc>
          <w:tcPr>
            <w:tcW w:w="709" w:type="dxa"/>
            <w:noWrap/>
            <w:vAlign w:val="center"/>
          </w:tcPr>
          <w:p w14:paraId="0BBF1C1D">
            <w:pPr>
              <w:spacing w:line="360" w:lineRule="auto"/>
              <w:contextualSpacing/>
              <w:jc w:val="center"/>
              <w:rPr>
                <w:rFonts w:ascii="宋体" w:hAnsi="宋体" w:cs="宋体"/>
                <w:color w:val="auto"/>
                <w:sz w:val="24"/>
                <w:szCs w:val="20"/>
                <w:highlight w:val="none"/>
              </w:rPr>
            </w:pPr>
          </w:p>
        </w:tc>
        <w:tc>
          <w:tcPr>
            <w:tcW w:w="1701" w:type="dxa"/>
            <w:noWrap/>
            <w:vAlign w:val="center"/>
          </w:tcPr>
          <w:p w14:paraId="5D505ED4">
            <w:pPr>
              <w:spacing w:line="360" w:lineRule="auto"/>
              <w:contextualSpacing/>
              <w:jc w:val="center"/>
              <w:rPr>
                <w:rFonts w:ascii="宋体" w:hAnsi="宋体" w:cs="宋体"/>
                <w:color w:val="auto"/>
                <w:sz w:val="24"/>
                <w:szCs w:val="20"/>
                <w:highlight w:val="none"/>
              </w:rPr>
            </w:pPr>
          </w:p>
        </w:tc>
        <w:tc>
          <w:tcPr>
            <w:tcW w:w="1420" w:type="dxa"/>
            <w:noWrap/>
            <w:vAlign w:val="center"/>
          </w:tcPr>
          <w:p w14:paraId="43554D79">
            <w:pPr>
              <w:spacing w:line="360" w:lineRule="auto"/>
              <w:contextualSpacing/>
              <w:jc w:val="center"/>
              <w:rPr>
                <w:rFonts w:ascii="宋体" w:hAnsi="宋体" w:cs="宋体"/>
                <w:color w:val="auto"/>
                <w:sz w:val="24"/>
                <w:szCs w:val="20"/>
                <w:highlight w:val="none"/>
              </w:rPr>
            </w:pPr>
          </w:p>
        </w:tc>
        <w:tc>
          <w:tcPr>
            <w:tcW w:w="1698" w:type="dxa"/>
            <w:noWrap/>
            <w:vAlign w:val="center"/>
          </w:tcPr>
          <w:p w14:paraId="7DEC2382">
            <w:pPr>
              <w:spacing w:line="360" w:lineRule="auto"/>
              <w:contextualSpacing/>
              <w:jc w:val="center"/>
              <w:rPr>
                <w:rFonts w:ascii="宋体" w:hAnsi="宋体" w:cs="宋体"/>
                <w:color w:val="auto"/>
                <w:sz w:val="24"/>
                <w:szCs w:val="20"/>
                <w:highlight w:val="none"/>
              </w:rPr>
            </w:pPr>
          </w:p>
        </w:tc>
        <w:tc>
          <w:tcPr>
            <w:tcW w:w="2692" w:type="dxa"/>
            <w:noWrap/>
            <w:vAlign w:val="center"/>
          </w:tcPr>
          <w:p w14:paraId="07078F75">
            <w:pPr>
              <w:spacing w:line="360" w:lineRule="auto"/>
              <w:contextualSpacing/>
              <w:jc w:val="center"/>
              <w:rPr>
                <w:rFonts w:ascii="宋体" w:hAnsi="宋体" w:cs="宋体"/>
                <w:color w:val="auto"/>
                <w:sz w:val="24"/>
                <w:szCs w:val="20"/>
                <w:highlight w:val="none"/>
              </w:rPr>
            </w:pPr>
          </w:p>
        </w:tc>
      </w:tr>
      <w:tr w14:paraId="133B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25CD81D3">
            <w:pPr>
              <w:spacing w:line="360" w:lineRule="auto"/>
              <w:contextualSpacing/>
              <w:jc w:val="center"/>
              <w:rPr>
                <w:rFonts w:ascii="宋体" w:hAnsi="宋体" w:cs="宋体"/>
                <w:color w:val="auto"/>
                <w:sz w:val="24"/>
                <w:szCs w:val="20"/>
                <w:highlight w:val="none"/>
              </w:rPr>
            </w:pPr>
          </w:p>
        </w:tc>
        <w:tc>
          <w:tcPr>
            <w:tcW w:w="709" w:type="dxa"/>
            <w:noWrap/>
            <w:vAlign w:val="center"/>
          </w:tcPr>
          <w:p w14:paraId="7115B405">
            <w:pPr>
              <w:spacing w:line="360" w:lineRule="auto"/>
              <w:contextualSpacing/>
              <w:jc w:val="center"/>
              <w:rPr>
                <w:rFonts w:ascii="宋体" w:hAnsi="宋体" w:cs="宋体"/>
                <w:color w:val="auto"/>
                <w:sz w:val="24"/>
                <w:szCs w:val="20"/>
                <w:highlight w:val="none"/>
              </w:rPr>
            </w:pPr>
          </w:p>
        </w:tc>
        <w:tc>
          <w:tcPr>
            <w:tcW w:w="1701" w:type="dxa"/>
            <w:noWrap/>
            <w:vAlign w:val="center"/>
          </w:tcPr>
          <w:p w14:paraId="7782A01F">
            <w:pPr>
              <w:spacing w:line="360" w:lineRule="auto"/>
              <w:contextualSpacing/>
              <w:jc w:val="center"/>
              <w:rPr>
                <w:rFonts w:ascii="宋体" w:hAnsi="宋体" w:cs="宋体"/>
                <w:color w:val="auto"/>
                <w:sz w:val="24"/>
                <w:szCs w:val="20"/>
                <w:highlight w:val="none"/>
              </w:rPr>
            </w:pPr>
          </w:p>
        </w:tc>
        <w:tc>
          <w:tcPr>
            <w:tcW w:w="1420" w:type="dxa"/>
            <w:noWrap/>
            <w:vAlign w:val="center"/>
          </w:tcPr>
          <w:p w14:paraId="4B4E1F3F">
            <w:pPr>
              <w:spacing w:line="360" w:lineRule="auto"/>
              <w:contextualSpacing/>
              <w:jc w:val="center"/>
              <w:rPr>
                <w:rFonts w:ascii="宋体" w:hAnsi="宋体" w:cs="宋体"/>
                <w:color w:val="auto"/>
                <w:sz w:val="24"/>
                <w:szCs w:val="20"/>
                <w:highlight w:val="none"/>
              </w:rPr>
            </w:pPr>
          </w:p>
        </w:tc>
        <w:tc>
          <w:tcPr>
            <w:tcW w:w="1698" w:type="dxa"/>
            <w:noWrap/>
            <w:vAlign w:val="center"/>
          </w:tcPr>
          <w:p w14:paraId="68E955C2">
            <w:pPr>
              <w:spacing w:line="360" w:lineRule="auto"/>
              <w:contextualSpacing/>
              <w:jc w:val="center"/>
              <w:rPr>
                <w:rFonts w:ascii="宋体" w:hAnsi="宋体" w:cs="宋体"/>
                <w:color w:val="auto"/>
                <w:sz w:val="24"/>
                <w:szCs w:val="20"/>
                <w:highlight w:val="none"/>
              </w:rPr>
            </w:pPr>
          </w:p>
        </w:tc>
        <w:tc>
          <w:tcPr>
            <w:tcW w:w="2692" w:type="dxa"/>
            <w:noWrap/>
            <w:vAlign w:val="center"/>
          </w:tcPr>
          <w:p w14:paraId="5CAB14FF">
            <w:pPr>
              <w:spacing w:line="360" w:lineRule="auto"/>
              <w:contextualSpacing/>
              <w:jc w:val="center"/>
              <w:rPr>
                <w:rFonts w:ascii="宋体" w:hAnsi="宋体" w:cs="宋体"/>
                <w:color w:val="auto"/>
                <w:sz w:val="24"/>
                <w:szCs w:val="20"/>
                <w:highlight w:val="none"/>
              </w:rPr>
            </w:pPr>
          </w:p>
        </w:tc>
      </w:tr>
    </w:tbl>
    <w:p w14:paraId="61692713">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注：</w:t>
      </w:r>
    </w:p>
    <w:p w14:paraId="543BD5B8">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1.在填写时，如本表格不适合供应商的实际情况，可根据本表格式自行制表填写。</w:t>
      </w:r>
    </w:p>
    <w:p w14:paraId="2C8C4BFE">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2.供应商应当附本表所列证书的复印件并加盖供应商电子签章。</w:t>
      </w:r>
    </w:p>
    <w:p w14:paraId="027F6C43">
      <w:pPr>
        <w:spacing w:line="360" w:lineRule="auto"/>
        <w:contextualSpacing/>
        <w:rPr>
          <w:rFonts w:ascii="宋体" w:hAnsi="宋体" w:cs="宋体"/>
          <w:color w:val="auto"/>
          <w:sz w:val="24"/>
          <w:highlight w:val="none"/>
        </w:rPr>
      </w:pPr>
    </w:p>
    <w:p w14:paraId="0E26DE79">
      <w:pPr>
        <w:spacing w:line="360" w:lineRule="auto"/>
        <w:contextualSpacing/>
        <w:rPr>
          <w:rFonts w:ascii="宋体" w:hAnsi="宋体" w:cs="宋体"/>
          <w:color w:val="auto"/>
          <w:sz w:val="24"/>
          <w:highlight w:val="none"/>
        </w:rPr>
      </w:pPr>
    </w:p>
    <w:p w14:paraId="0F6C36EA">
      <w:pPr>
        <w:spacing w:line="360" w:lineRule="auto"/>
        <w:contextualSpacing/>
        <w:jc w:val="center"/>
        <w:rPr>
          <w:rFonts w:ascii="宋体" w:hAnsi="宋体" w:cs="宋体"/>
          <w:color w:val="auto"/>
          <w:sz w:val="24"/>
          <w:highlight w:val="none"/>
        </w:rPr>
      </w:pPr>
    </w:p>
    <w:p w14:paraId="09ADF22D">
      <w:pPr>
        <w:spacing w:line="360" w:lineRule="auto"/>
        <w:contextualSpacing/>
        <w:jc w:val="center"/>
        <w:rPr>
          <w:rFonts w:ascii="宋体" w:hAnsi="宋体" w:cs="宋体"/>
          <w:color w:val="auto"/>
          <w:spacing w:val="20"/>
          <w:sz w:val="24"/>
          <w:szCs w:val="20"/>
          <w:highlight w:val="none"/>
          <w:u w:val="single"/>
        </w:rPr>
      </w:pPr>
      <w:r>
        <w:rPr>
          <w:rFonts w:hint="eastAsia" w:ascii="宋体" w:hAnsi="宋体" w:cs="宋体"/>
          <w:color w:val="auto"/>
          <w:spacing w:val="20"/>
          <w:sz w:val="24"/>
          <w:highlight w:val="none"/>
        </w:rPr>
        <w:t>法定代表人或者委托代理人（签字或者电子签名）：</w:t>
      </w:r>
    </w:p>
    <w:p w14:paraId="07C8AF94">
      <w:pPr>
        <w:spacing w:line="360" w:lineRule="auto"/>
        <w:contextualSpacing/>
        <w:jc w:val="center"/>
        <w:rPr>
          <w:rFonts w:ascii="宋体" w:hAnsi="宋体" w:cs="宋体"/>
          <w:color w:val="auto"/>
          <w:spacing w:val="20"/>
          <w:sz w:val="24"/>
          <w:highlight w:val="none"/>
        </w:rPr>
      </w:pPr>
      <w:r>
        <w:rPr>
          <w:rFonts w:hint="eastAsia" w:ascii="宋体" w:hAnsi="宋体" w:cs="宋体"/>
          <w:color w:val="auto"/>
          <w:spacing w:val="20"/>
          <w:sz w:val="24"/>
          <w:highlight w:val="none"/>
        </w:rPr>
        <w:t xml:space="preserve">      供应商（电子签章）：</w:t>
      </w:r>
    </w:p>
    <w:p w14:paraId="4ECCE583">
      <w:pPr>
        <w:spacing w:line="360" w:lineRule="auto"/>
        <w:contextualSpacing/>
        <w:jc w:val="center"/>
        <w:rPr>
          <w:rFonts w:ascii="宋体" w:hAnsi="宋体" w:cs="宋体"/>
          <w:color w:val="auto"/>
          <w:sz w:val="24"/>
          <w:szCs w:val="20"/>
          <w:highlight w:val="none"/>
        </w:rPr>
      </w:pPr>
      <w:r>
        <w:rPr>
          <w:rFonts w:hint="eastAsia" w:ascii="宋体" w:hAnsi="宋体" w:cs="宋体"/>
          <w:color w:val="auto"/>
          <w:spacing w:val="20"/>
          <w:sz w:val="24"/>
          <w:highlight w:val="none"/>
        </w:rPr>
        <w:t xml:space="preserve">                 日 期：</w:t>
      </w:r>
    </w:p>
    <w:p w14:paraId="3ED77B49">
      <w:pPr>
        <w:spacing w:before="50" w:after="156"/>
        <w:jc w:val="left"/>
        <w:rPr>
          <w:rFonts w:ascii="宋体" w:hAnsi="宋体" w:cs="宋体"/>
          <w:color w:val="auto"/>
          <w:sz w:val="24"/>
          <w:szCs w:val="20"/>
          <w:highlight w:val="none"/>
        </w:rPr>
      </w:pPr>
    </w:p>
    <w:p w14:paraId="484AC44E">
      <w:pPr>
        <w:spacing w:before="50" w:after="50" w:line="360" w:lineRule="auto"/>
        <w:ind w:right="-817" w:firstLine="5461"/>
        <w:rPr>
          <w:rFonts w:ascii="宋体" w:hAnsi="宋体" w:cs="宋体"/>
          <w:b/>
          <w:color w:val="auto"/>
          <w:sz w:val="32"/>
          <w:szCs w:val="32"/>
          <w:highlight w:val="none"/>
        </w:rPr>
      </w:pPr>
    </w:p>
    <w:p w14:paraId="73D9F51F">
      <w:pPr>
        <w:spacing w:line="300" w:lineRule="auto"/>
        <w:rPr>
          <w:rFonts w:ascii="宋体" w:hAnsi="宋体" w:cs="宋体"/>
          <w:color w:val="auto"/>
          <w:szCs w:val="21"/>
          <w:highlight w:val="none"/>
        </w:rPr>
      </w:pPr>
      <w:r>
        <w:rPr>
          <w:rFonts w:hint="eastAsia" w:ascii="宋体" w:hAnsi="宋体" w:cs="宋体"/>
          <w:b/>
          <w:bCs/>
          <w:color w:val="auto"/>
          <w:sz w:val="24"/>
          <w:highlight w:val="none"/>
        </w:rPr>
        <w:br w:type="page" w:clear="all"/>
      </w:r>
      <w:r>
        <w:rPr>
          <w:rFonts w:hint="eastAsia" w:ascii="宋体" w:hAnsi="宋体" w:cs="宋体"/>
          <w:b/>
          <w:bCs/>
          <w:color w:val="auto"/>
          <w:sz w:val="24"/>
          <w:highlight w:val="none"/>
        </w:rPr>
        <w:t>其他文书、文件格式</w:t>
      </w:r>
    </w:p>
    <w:p w14:paraId="4A2E1EE5">
      <w:pPr>
        <w:jc w:val="center"/>
        <w:rPr>
          <w:rFonts w:ascii="宋体" w:hAnsi="宋体" w:cs="宋体"/>
          <w:color w:val="auto"/>
          <w:sz w:val="44"/>
          <w:szCs w:val="44"/>
          <w:highlight w:val="none"/>
        </w:rPr>
      </w:pPr>
      <w:bookmarkStart w:id="195" w:name="_Toc71365926"/>
    </w:p>
    <w:p w14:paraId="1AA1AFA3">
      <w:pPr>
        <w:jc w:val="center"/>
        <w:rPr>
          <w:rFonts w:ascii="宋体" w:hAnsi="宋体" w:cs="宋体"/>
          <w:color w:val="auto"/>
          <w:sz w:val="44"/>
          <w:szCs w:val="44"/>
          <w:highlight w:val="none"/>
        </w:rPr>
      </w:pPr>
      <w:r>
        <w:rPr>
          <w:rFonts w:hint="eastAsia" w:ascii="宋体" w:hAnsi="宋体" w:cs="宋体"/>
          <w:color w:val="auto"/>
          <w:sz w:val="44"/>
          <w:szCs w:val="44"/>
          <w:highlight w:val="none"/>
        </w:rPr>
        <w:t>中小企业声明函（服务）</w:t>
      </w:r>
      <w:bookmarkEnd w:id="195"/>
    </w:p>
    <w:p w14:paraId="32FD3F59">
      <w:pPr>
        <w:spacing w:before="2" w:line="500" w:lineRule="exact"/>
        <w:ind w:firstLine="708"/>
        <w:rPr>
          <w:rFonts w:ascii="宋体" w:hAnsi="宋体" w:cs="宋体"/>
          <w:b/>
          <w:bCs/>
          <w:color w:val="auto"/>
          <w:sz w:val="24"/>
          <w:highlight w:val="none"/>
        </w:rPr>
      </w:pPr>
    </w:p>
    <w:p w14:paraId="543E9776">
      <w:pPr>
        <w:pStyle w:val="2"/>
        <w:spacing w:line="500" w:lineRule="exact"/>
        <w:ind w:right="142" w:firstLine="705"/>
        <w:rPr>
          <w:rFonts w:ascii="宋体" w:hAnsi="宋体"/>
          <w:color w:val="auto"/>
          <w:sz w:val="24"/>
          <w:highlight w:val="none"/>
        </w:rPr>
      </w:pPr>
      <w:r>
        <w:rPr>
          <w:rFonts w:ascii="宋体" w:hAnsi="宋体"/>
          <w:color w:val="auto"/>
          <w:sz w:val="24"/>
          <w:highlight w:val="none"/>
        </w:rPr>
        <w:t>本公司（联合体）郑重声明，根据《政府采购促进中小企业发展管理办法》</w:t>
      </w:r>
      <w:r>
        <w:rPr>
          <w:rFonts w:hint="eastAsia" w:ascii="宋体" w:hAnsi="宋体"/>
          <w:color w:val="auto"/>
          <w:sz w:val="24"/>
          <w:highlight w:val="none"/>
        </w:rPr>
        <w:t>（财库〔2020〕46号）</w:t>
      </w:r>
      <w:r>
        <w:rPr>
          <w:rFonts w:ascii="宋体" w:hAnsi="宋体"/>
          <w:color w:val="auto"/>
          <w:sz w:val="24"/>
          <w:highlight w:val="none"/>
        </w:rPr>
        <w:t>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56C6D7EC">
      <w:pPr>
        <w:tabs>
          <w:tab w:val="left" w:pos="1384"/>
          <w:tab w:val="left" w:pos="4562"/>
          <w:tab w:val="left" w:pos="6803"/>
        </w:tabs>
        <w:spacing w:before="13" w:line="500" w:lineRule="exact"/>
        <w:ind w:right="142" w:firstLine="772"/>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u w:val="single"/>
        </w:rPr>
        <w:t>7个镇级就业服务站运营服务（含9个村级服务站运营服务</w:t>
      </w:r>
      <w:r>
        <w:rPr>
          <w:rFonts w:hint="eastAsia" w:ascii="宋体" w:hAnsi="宋体"/>
          <w:color w:val="auto"/>
          <w:sz w:val="24"/>
          <w:highlight w:val="none"/>
        </w:rPr>
        <w:t>）</w:t>
      </w:r>
      <w:r>
        <w:rPr>
          <w:rFonts w:ascii="宋体" w:hAnsi="宋体"/>
          <w:color w:val="auto"/>
          <w:sz w:val="24"/>
          <w:highlight w:val="none"/>
        </w:rPr>
        <w:t>，属于</w:t>
      </w:r>
      <w:r>
        <w:rPr>
          <w:rFonts w:hint="eastAsia" w:ascii="宋体" w:hAnsi="宋体"/>
          <w:color w:val="auto"/>
          <w:sz w:val="24"/>
          <w:highlight w:val="none"/>
          <w:u w:val="single"/>
        </w:rPr>
        <w:t>其他未列明行业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8D91A32">
      <w:pPr>
        <w:tabs>
          <w:tab w:val="left" w:pos="1384"/>
          <w:tab w:val="left" w:pos="4562"/>
          <w:tab w:val="left" w:pos="6803"/>
        </w:tabs>
        <w:spacing w:before="13" w:line="500" w:lineRule="exact"/>
        <w:ind w:right="142" w:firstLine="772"/>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u w:val="single"/>
        </w:rPr>
        <w:t>3个零工市场运营服务（含9个村级服务站运营服务）</w:t>
      </w:r>
      <w:r>
        <w:rPr>
          <w:rFonts w:ascii="宋体" w:hAnsi="宋体"/>
          <w:color w:val="auto"/>
          <w:sz w:val="24"/>
          <w:highlight w:val="none"/>
        </w:rPr>
        <w:t>，属于</w:t>
      </w:r>
      <w:r>
        <w:rPr>
          <w:rFonts w:hint="eastAsia" w:ascii="宋体" w:hAnsi="宋体"/>
          <w:color w:val="auto"/>
          <w:sz w:val="24"/>
          <w:highlight w:val="none"/>
          <w:u w:val="single"/>
        </w:rPr>
        <w:t>其他未列明行业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230C9DDD">
      <w:pPr>
        <w:pStyle w:val="8"/>
        <w:rPr>
          <w:color w:val="auto"/>
          <w:highlight w:val="none"/>
        </w:rPr>
      </w:pPr>
    </w:p>
    <w:p w14:paraId="25704EB8">
      <w:pPr>
        <w:pStyle w:val="2"/>
        <w:spacing w:before="34" w:line="500" w:lineRule="exact"/>
        <w:ind w:right="142" w:firstLine="705"/>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1AEEA6CA">
      <w:pPr>
        <w:pStyle w:val="2"/>
        <w:spacing w:before="25" w:line="500" w:lineRule="exact"/>
        <w:ind w:right="142" w:firstLine="705"/>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37341E19">
      <w:pPr>
        <w:pStyle w:val="2"/>
        <w:spacing w:before="56" w:line="500" w:lineRule="exact"/>
        <w:ind w:right="1808"/>
        <w:rPr>
          <w:rFonts w:ascii="宋体" w:hAnsi="宋体" w:cs="宋体"/>
          <w:color w:val="auto"/>
          <w:sz w:val="24"/>
          <w:highlight w:val="none"/>
        </w:rPr>
      </w:pPr>
    </w:p>
    <w:p w14:paraId="4850F631">
      <w:pPr>
        <w:pStyle w:val="2"/>
        <w:spacing w:line="560" w:lineRule="exact"/>
        <w:jc w:val="center"/>
        <w:rPr>
          <w:rFonts w:ascii="宋体" w:hAnsi="宋体" w:cs="宋体"/>
          <w:color w:val="auto"/>
          <w:sz w:val="24"/>
          <w:highlight w:val="none"/>
        </w:rPr>
      </w:pPr>
      <w:r>
        <w:rPr>
          <w:rFonts w:hint="eastAsia" w:ascii="宋体" w:hAnsi="宋体" w:cs="宋体"/>
          <w:color w:val="auto"/>
          <w:sz w:val="24"/>
          <w:highlight w:val="none"/>
        </w:rPr>
        <w:t>企业名称（</w:t>
      </w:r>
      <w:r>
        <w:rPr>
          <w:color w:val="auto"/>
          <w:highlight w:val="none"/>
        </w:rPr>
        <w:t>盖</w:t>
      </w:r>
      <w:r>
        <w:rPr>
          <w:rFonts w:hint="eastAsia" w:ascii="宋体" w:hAnsi="宋体" w:cs="宋体"/>
          <w:color w:val="auto"/>
          <w:sz w:val="24"/>
          <w:highlight w:val="none"/>
        </w:rPr>
        <w:t xml:space="preserve">章）：          </w:t>
      </w:r>
    </w:p>
    <w:p w14:paraId="30A52252">
      <w:pPr>
        <w:pStyle w:val="2"/>
        <w:spacing w:line="560" w:lineRule="exact"/>
        <w:jc w:val="right"/>
        <w:rPr>
          <w:rFonts w:ascii="宋体" w:hAnsi="宋体" w:cs="宋体"/>
          <w:color w:val="auto"/>
          <w:sz w:val="24"/>
          <w:highlight w:val="none"/>
        </w:rPr>
      </w:pPr>
      <w:r>
        <w:rPr>
          <w:rFonts w:hint="eastAsia" w:ascii="宋体" w:hAnsi="宋体" w:cs="宋体"/>
          <w:color w:val="auto"/>
          <w:sz w:val="24"/>
          <w:highlight w:val="none"/>
        </w:rPr>
        <w:t xml:space="preserve">日  期：          </w:t>
      </w:r>
    </w:p>
    <w:p w14:paraId="62973492">
      <w:pPr>
        <w:spacing w:line="520" w:lineRule="exact"/>
        <w:jc w:val="left"/>
        <w:rPr>
          <w:rFonts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CFF0F7D">
      <w:pPr>
        <w:spacing w:line="520" w:lineRule="exact"/>
        <w:jc w:val="center"/>
        <w:rPr>
          <w:rFonts w:ascii="宋体" w:hAnsi="宋体" w:cs="宋体"/>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color w:val="auto"/>
          <w:sz w:val="44"/>
          <w:szCs w:val="44"/>
          <w:highlight w:val="none"/>
        </w:rPr>
        <w:t>残疾人福利性单位声明函</w:t>
      </w:r>
    </w:p>
    <w:p w14:paraId="703AB096">
      <w:pPr>
        <w:spacing w:line="360" w:lineRule="auto"/>
        <w:contextualSpacing/>
        <w:rPr>
          <w:rFonts w:ascii="宋体" w:hAnsi="宋体" w:cs="宋体"/>
          <w:color w:val="auto"/>
          <w:sz w:val="32"/>
          <w:szCs w:val="32"/>
          <w:highlight w:val="none"/>
        </w:rPr>
      </w:pPr>
    </w:p>
    <w:p w14:paraId="7149A15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名称）的（项目名称）采购活动提供本单位制造的货物（由本单位承担工程/提供服务），或者提供其他残疾人福利性单位制造的货物（不包括使用非残疾人福利性单位注册商标的货物）。</w:t>
      </w:r>
    </w:p>
    <w:p w14:paraId="1E7F8E8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63660818">
      <w:pPr>
        <w:spacing w:line="360" w:lineRule="auto"/>
        <w:contextualSpacing/>
        <w:rPr>
          <w:rFonts w:ascii="宋体" w:hAnsi="宋体" w:cs="宋体"/>
          <w:color w:val="auto"/>
          <w:sz w:val="24"/>
          <w:highlight w:val="none"/>
        </w:rPr>
      </w:pPr>
    </w:p>
    <w:p w14:paraId="2369FF71">
      <w:pPr>
        <w:spacing w:line="360" w:lineRule="auto"/>
        <w:contextualSpacing/>
        <w:rPr>
          <w:rFonts w:ascii="宋体" w:hAnsi="宋体" w:cs="宋体"/>
          <w:color w:val="auto"/>
          <w:sz w:val="24"/>
          <w:highlight w:val="none"/>
        </w:rPr>
      </w:pPr>
    </w:p>
    <w:p w14:paraId="76BDF77B">
      <w:pPr>
        <w:spacing w:line="360" w:lineRule="auto"/>
        <w:contextualSpacing/>
        <w:rPr>
          <w:rFonts w:ascii="宋体" w:hAnsi="宋体" w:cs="宋体"/>
          <w:color w:val="auto"/>
          <w:sz w:val="24"/>
          <w:highlight w:val="none"/>
        </w:rPr>
      </w:pPr>
    </w:p>
    <w:p w14:paraId="639ECC3E">
      <w:pPr>
        <w:spacing w:line="360" w:lineRule="auto"/>
        <w:ind w:firstLine="2400"/>
        <w:contextualSpacing/>
        <w:jc w:val="right"/>
        <w:rPr>
          <w:rFonts w:ascii="宋体" w:hAnsi="宋体" w:cs="宋体"/>
          <w:color w:val="auto"/>
          <w:sz w:val="24"/>
          <w:highlight w:val="none"/>
        </w:rPr>
      </w:pPr>
      <w:r>
        <w:rPr>
          <w:rFonts w:hint="eastAsia" w:ascii="宋体" w:hAnsi="宋体" w:cs="宋体"/>
          <w:color w:val="auto"/>
          <w:sz w:val="24"/>
          <w:highlight w:val="none"/>
        </w:rPr>
        <w:t xml:space="preserve">单位名称（盖章）：            </w:t>
      </w:r>
    </w:p>
    <w:p w14:paraId="6DDAD28F">
      <w:pPr>
        <w:spacing w:line="360" w:lineRule="auto"/>
        <w:ind w:firstLine="3600"/>
        <w:contextualSpacing/>
        <w:jc w:val="right"/>
        <w:rPr>
          <w:rFonts w:ascii="宋体" w:hAnsi="宋体" w:cs="宋体"/>
          <w:color w:val="auto"/>
          <w:sz w:val="24"/>
          <w:highlight w:val="none"/>
        </w:rPr>
      </w:pPr>
      <w:r>
        <w:rPr>
          <w:rFonts w:hint="eastAsia" w:ascii="宋体" w:hAnsi="宋体" w:cs="宋体"/>
          <w:color w:val="auto"/>
          <w:sz w:val="24"/>
          <w:highlight w:val="none"/>
        </w:rPr>
        <w:t xml:space="preserve">日  期：            </w:t>
      </w:r>
    </w:p>
    <w:p w14:paraId="5EA1479F">
      <w:pPr>
        <w:spacing w:line="360" w:lineRule="auto"/>
        <w:contextualSpacing/>
        <w:rPr>
          <w:rFonts w:ascii="宋体" w:hAnsi="宋体" w:cs="宋体"/>
          <w:color w:val="auto"/>
          <w:sz w:val="24"/>
          <w:highlight w:val="none"/>
        </w:rPr>
      </w:pPr>
    </w:p>
    <w:p w14:paraId="434286CA">
      <w:pPr>
        <w:spacing w:line="360" w:lineRule="auto"/>
        <w:contextualSpacing/>
        <w:rPr>
          <w:rFonts w:ascii="宋体" w:hAnsi="宋体" w:cs="宋体"/>
          <w:color w:val="auto"/>
          <w:sz w:val="24"/>
          <w:highlight w:val="none"/>
        </w:rPr>
      </w:pPr>
    </w:p>
    <w:p w14:paraId="2C28641A">
      <w:pPr>
        <w:spacing w:line="360" w:lineRule="auto"/>
        <w:contextualSpacing/>
        <w:rPr>
          <w:rFonts w:ascii="宋体" w:hAnsi="宋体" w:cs="宋体"/>
          <w:color w:val="auto"/>
          <w:sz w:val="24"/>
          <w:highlight w:val="none"/>
        </w:rPr>
      </w:pPr>
    </w:p>
    <w:p w14:paraId="38939D5C">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38AF6181">
      <w:pPr>
        <w:rPr>
          <w:rFonts w:ascii="宋体" w:hAnsi="宋体" w:cs="宋体"/>
          <w:b/>
          <w:color w:val="auto"/>
          <w:sz w:val="44"/>
          <w:szCs w:val="44"/>
          <w:highlight w:val="none"/>
        </w:rPr>
      </w:pPr>
      <w:r>
        <w:rPr>
          <w:rFonts w:hint="eastAsia" w:ascii="宋体" w:hAnsi="宋体" w:cs="宋体"/>
          <w:b/>
          <w:color w:val="auto"/>
          <w:sz w:val="44"/>
          <w:szCs w:val="44"/>
          <w:highlight w:val="none"/>
        </w:rPr>
        <w:br w:type="page" w:clear="all"/>
      </w:r>
    </w:p>
    <w:p w14:paraId="31ED2934">
      <w:pPr>
        <w:spacing w:before="156" w:after="50"/>
        <w:jc w:val="center"/>
        <w:rPr>
          <w:rFonts w:ascii="方正小标宋简体" w:hAnsi="方正小标宋简体" w:eastAsia="方正小标宋简体" w:cs="方正小标宋简体"/>
          <w:bCs/>
          <w:color w:val="auto"/>
          <w:sz w:val="44"/>
          <w:szCs w:val="44"/>
          <w:highlight w:val="none"/>
        </w:rPr>
      </w:pPr>
      <w:r>
        <w:rPr>
          <w:rFonts w:hint="eastAsia" w:ascii="宋体" w:hAnsi="宋体" w:cs="宋体"/>
          <w:b/>
          <w:color w:val="auto"/>
          <w:sz w:val="44"/>
          <w:szCs w:val="44"/>
          <w:highlight w:val="none"/>
        </w:rPr>
        <w:t>采购代理服务费承诺书</w:t>
      </w:r>
    </w:p>
    <w:p w14:paraId="5337CE9D">
      <w:pPr>
        <w:spacing w:before="156" w:after="50"/>
        <w:jc w:val="center"/>
        <w:rPr>
          <w:rFonts w:ascii="宋体" w:hAnsi="宋体"/>
          <w:b/>
          <w:color w:val="auto"/>
          <w:sz w:val="24"/>
          <w:highlight w:val="none"/>
        </w:rPr>
      </w:pPr>
    </w:p>
    <w:p w14:paraId="409B341A">
      <w:pPr>
        <w:spacing w:line="360" w:lineRule="auto"/>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云之龙咨询集团有限公司</w:t>
      </w:r>
    </w:p>
    <w:p w14:paraId="72510F57">
      <w:pPr>
        <w:spacing w:line="360" w:lineRule="auto"/>
        <w:ind w:firstLine="480"/>
        <w:rPr>
          <w:rFonts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项目，在此说明如下：</w:t>
      </w:r>
    </w:p>
    <w:p w14:paraId="473A7FBF">
      <w:pPr>
        <w:spacing w:line="440" w:lineRule="exact"/>
        <w:ind w:firstLine="360"/>
        <w:rPr>
          <w:rFonts w:ascii="宋体" w:hAnsi="宋体"/>
          <w:color w:val="auto"/>
          <w:sz w:val="24"/>
          <w:highlight w:val="none"/>
        </w:rPr>
      </w:pPr>
      <w:r>
        <w:rPr>
          <w:rFonts w:hint="eastAsia" w:ascii="宋体" w:hAnsi="宋体"/>
          <w:color w:val="auto"/>
          <w:sz w:val="24"/>
          <w:highlight w:val="none"/>
        </w:rPr>
        <w:t>1.我方承诺，若本单位成交，保证在发出成交通知书之后，按本项目竞争性磋商文件的规定标准向贵单位一次性足额支付采购代理服务费。</w:t>
      </w:r>
    </w:p>
    <w:p w14:paraId="0BAD7E49">
      <w:pPr>
        <w:spacing w:line="440" w:lineRule="exact"/>
        <w:ind w:firstLine="360"/>
        <w:rPr>
          <w:rFonts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种方式作为采购代理服务费开票类型：</w:t>
      </w:r>
    </w:p>
    <w:p w14:paraId="6C223EF2">
      <w:pPr>
        <w:spacing w:line="440" w:lineRule="exact"/>
        <w:ind w:firstLine="360"/>
        <w:rPr>
          <w:rFonts w:ascii="宋体" w:hAnsi="宋体"/>
          <w:color w:val="auto"/>
          <w:sz w:val="24"/>
          <w:highlight w:val="none"/>
        </w:rPr>
      </w:pPr>
      <w:r>
        <w:rPr>
          <w:rFonts w:hint="eastAsia" w:ascii="宋体" w:hAnsi="宋体"/>
          <w:color w:val="auto"/>
          <w:sz w:val="24"/>
          <w:highlight w:val="none"/>
        </w:rPr>
        <w:t>第一种方式：开具增值税普通发票。开票信息如下：</w:t>
      </w:r>
    </w:p>
    <w:p w14:paraId="68955711">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5986E1D5">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514A2329">
      <w:pPr>
        <w:spacing w:line="440" w:lineRule="exact"/>
        <w:ind w:firstLine="360"/>
        <w:rPr>
          <w:rFonts w:ascii="宋体" w:hAnsi="宋体"/>
          <w:color w:val="auto"/>
          <w:sz w:val="24"/>
          <w:highlight w:val="none"/>
        </w:rPr>
      </w:pPr>
      <w:r>
        <w:rPr>
          <w:rFonts w:hint="eastAsia" w:ascii="宋体" w:hAnsi="宋体"/>
          <w:color w:val="auto"/>
          <w:sz w:val="24"/>
          <w:highlight w:val="none"/>
        </w:rPr>
        <w:t>第二种方式：开具增值税专用发票，开票信息如下：</w:t>
      </w:r>
    </w:p>
    <w:p w14:paraId="69778A35">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1F1A830A">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9D68022">
      <w:pPr>
        <w:spacing w:line="440" w:lineRule="exact"/>
        <w:ind w:firstLine="360"/>
        <w:rPr>
          <w:rFonts w:ascii="宋体" w:hAnsi="宋体"/>
          <w:color w:val="auto"/>
          <w:sz w:val="24"/>
          <w:highlight w:val="none"/>
        </w:rPr>
      </w:pPr>
      <w:r>
        <w:rPr>
          <w:rFonts w:hint="eastAsia" w:ascii="宋体" w:hAnsi="宋体"/>
          <w:color w:val="auto"/>
          <w:sz w:val="24"/>
          <w:highlight w:val="none"/>
        </w:rPr>
        <w:t>（3）在税务局登记的地址</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DF530A5">
      <w:pPr>
        <w:spacing w:line="440" w:lineRule="exact"/>
        <w:ind w:firstLine="360"/>
        <w:rPr>
          <w:rFonts w:ascii="宋体" w:hAnsi="宋体"/>
          <w:color w:val="auto"/>
          <w:sz w:val="24"/>
          <w:highlight w:val="none"/>
        </w:rPr>
      </w:pPr>
      <w:r>
        <w:rPr>
          <w:rFonts w:hint="eastAsia" w:ascii="宋体" w:hAnsi="宋体"/>
          <w:color w:val="auto"/>
          <w:sz w:val="24"/>
          <w:highlight w:val="none"/>
        </w:rPr>
        <w:t>（4）在税务局登记的电话</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A9AD7BE">
      <w:pPr>
        <w:spacing w:line="440" w:lineRule="exact"/>
        <w:ind w:firstLine="360"/>
        <w:rPr>
          <w:rFonts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1AA28028">
      <w:pPr>
        <w:spacing w:line="440" w:lineRule="exact"/>
        <w:ind w:firstLine="360"/>
        <w:rPr>
          <w:rFonts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F1189B4">
      <w:pPr>
        <w:spacing w:line="440" w:lineRule="exact"/>
        <w:rPr>
          <w:rFonts w:ascii="宋体" w:hAnsi="宋体"/>
          <w:color w:val="auto"/>
          <w:sz w:val="24"/>
          <w:highlight w:val="none"/>
        </w:rPr>
      </w:pPr>
    </w:p>
    <w:p w14:paraId="23B12F6E">
      <w:pPr>
        <w:spacing w:line="440" w:lineRule="exact"/>
        <w:rPr>
          <w:rFonts w:ascii="宋体" w:hAnsi="宋体"/>
          <w:color w:val="auto"/>
          <w:sz w:val="24"/>
          <w:highlight w:val="none"/>
        </w:rPr>
      </w:pPr>
    </w:p>
    <w:p w14:paraId="2088A171">
      <w:pPr>
        <w:spacing w:line="440" w:lineRule="exact"/>
        <w:rPr>
          <w:rFonts w:ascii="宋体" w:hAnsi="宋体"/>
          <w:color w:val="auto"/>
          <w:sz w:val="24"/>
          <w:highlight w:val="none"/>
        </w:rPr>
      </w:pPr>
    </w:p>
    <w:p w14:paraId="7AED7BD4">
      <w:pPr>
        <w:spacing w:line="360" w:lineRule="auto"/>
        <w:ind w:left="-2" w:right="-817" w:firstLine="1920"/>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p>
    <w:p w14:paraId="71B59111">
      <w:pPr>
        <w:spacing w:line="360" w:lineRule="auto"/>
        <w:ind w:left="-3" w:right="-817" w:hanging="28"/>
        <w:rPr>
          <w:rFonts w:ascii="宋体" w:hAnsi="宋体"/>
          <w:color w:val="auto"/>
          <w:sz w:val="24"/>
          <w:highlight w:val="none"/>
          <w:u w:val="single"/>
        </w:rPr>
      </w:pPr>
      <w:r>
        <w:rPr>
          <w:rFonts w:hint="eastAsia" w:ascii="宋体" w:hAnsi="宋体"/>
          <w:color w:val="auto"/>
          <w:sz w:val="24"/>
          <w:highlight w:val="none"/>
        </w:rPr>
        <w:t xml:space="preserve">                                    供应商名称（电子签章）：</w:t>
      </w:r>
      <w:r>
        <w:rPr>
          <w:rFonts w:hint="eastAsia" w:ascii="宋体" w:hAnsi="宋体"/>
          <w:color w:val="auto"/>
          <w:sz w:val="24"/>
          <w:highlight w:val="none"/>
          <w:u w:val="single"/>
        </w:rPr>
        <w:t xml:space="preserve">           </w:t>
      </w:r>
    </w:p>
    <w:p w14:paraId="69FC9C54">
      <w:pPr>
        <w:spacing w:line="360" w:lineRule="auto"/>
        <w:ind w:right="480" w:firstLine="240"/>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A08B8E5">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clear="all"/>
      </w:r>
    </w:p>
    <w:p w14:paraId="4E509525">
      <w:pPr>
        <w:spacing w:line="360" w:lineRule="auto"/>
        <w:jc w:val="center"/>
        <w:rPr>
          <w:rFonts w:ascii="宋体" w:hAnsi="宋体" w:cs="宋体"/>
          <w:b/>
          <w:bCs/>
          <w:color w:val="auto"/>
          <w:sz w:val="32"/>
          <w:szCs w:val="32"/>
          <w:highlight w:val="none"/>
        </w:rPr>
      </w:pPr>
      <w:r>
        <w:rPr>
          <w:rFonts w:hint="eastAsia" w:ascii="宋体" w:hAnsi="宋体" w:cs="宋体"/>
          <w:color w:val="auto"/>
          <w:sz w:val="44"/>
          <w:szCs w:val="44"/>
          <w:highlight w:val="none"/>
        </w:rPr>
        <w:t>质疑函（格式）</w:t>
      </w:r>
    </w:p>
    <w:p w14:paraId="4D6F6B53">
      <w:pPr>
        <w:pStyle w:val="25"/>
        <w:spacing w:line="360" w:lineRule="auto"/>
        <w:ind w:firstLine="482"/>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1E41A71">
      <w:pPr>
        <w:pStyle w:val="25"/>
        <w:spacing w:line="360" w:lineRule="auto"/>
        <w:ind w:firstLine="48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861986D">
      <w:pPr>
        <w:pStyle w:val="25"/>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1D53495">
      <w:pPr>
        <w:pStyle w:val="25"/>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5BEBEE5">
      <w:pPr>
        <w:pStyle w:val="25"/>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4DD0B8A2">
      <w:pPr>
        <w:pStyle w:val="25"/>
        <w:spacing w:line="360" w:lineRule="auto"/>
        <w:ind w:firstLine="48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A565E0C">
      <w:pPr>
        <w:pStyle w:val="25"/>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0BCA13ED">
      <w:pPr>
        <w:pStyle w:val="25"/>
        <w:spacing w:line="360" w:lineRule="auto"/>
        <w:ind w:firstLine="482"/>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58C36E2C">
      <w:pPr>
        <w:pStyle w:val="25"/>
        <w:spacing w:line="360" w:lineRule="auto"/>
        <w:ind w:left="25" w:firstLine="472"/>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5C5F51DA">
      <w:pPr>
        <w:pStyle w:val="25"/>
        <w:spacing w:line="360" w:lineRule="auto"/>
        <w:ind w:left="25" w:firstLine="472"/>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39A7B5F">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31EF0B5">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w:t>
      </w:r>
    </w:p>
    <w:p w14:paraId="4A1A4AD4">
      <w:pPr>
        <w:pStyle w:val="25"/>
        <w:spacing w:line="360" w:lineRule="auto"/>
        <w:ind w:left="25" w:firstLine="352"/>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534D4BE2">
      <w:pPr>
        <w:pStyle w:val="25"/>
        <w:spacing w:line="360" w:lineRule="auto"/>
        <w:ind w:left="25" w:firstLine="352"/>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5B3A5B8F">
      <w:pPr>
        <w:pStyle w:val="25"/>
        <w:spacing w:line="360" w:lineRule="auto"/>
        <w:ind w:left="25" w:firstLine="352"/>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51B86F10">
      <w:pPr>
        <w:pStyle w:val="25"/>
        <w:spacing w:line="360" w:lineRule="auto"/>
        <w:ind w:left="25" w:firstLine="472"/>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53693620">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78DC6634">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2A0C8A10">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6B26895E">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6B2475C3">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4CF1272D">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3C1759F">
      <w:pPr>
        <w:pStyle w:val="25"/>
        <w:spacing w:line="360" w:lineRule="auto"/>
        <w:ind w:left="25" w:firstLine="352"/>
        <w:contextualSpacing/>
        <w:rPr>
          <w:rFonts w:hAnsi="宋体" w:cs="宋体"/>
          <w:color w:val="auto"/>
          <w:sz w:val="24"/>
          <w:szCs w:val="24"/>
          <w:highlight w:val="none"/>
        </w:rPr>
      </w:pPr>
    </w:p>
    <w:p w14:paraId="5709702F">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4D35804F">
      <w:pPr>
        <w:pStyle w:val="25"/>
        <w:spacing w:line="360" w:lineRule="auto"/>
        <w:ind w:firstLine="480"/>
        <w:contextualSpacing/>
        <w:rPr>
          <w:rFonts w:hAnsi="宋体" w:cs="宋体"/>
          <w:b/>
          <w:color w:val="auto"/>
          <w:sz w:val="24"/>
          <w:szCs w:val="24"/>
          <w:highlight w:val="none"/>
        </w:rPr>
      </w:pPr>
      <w:r>
        <w:rPr>
          <w:rFonts w:hint="eastAsia" w:hAnsi="宋体" w:cs="宋体"/>
          <w:color w:val="auto"/>
          <w:sz w:val="24"/>
          <w:szCs w:val="24"/>
          <w:highlight w:val="none"/>
        </w:rPr>
        <w:t>日期：</w:t>
      </w:r>
    </w:p>
    <w:p w14:paraId="4C1E7713">
      <w:pPr>
        <w:pStyle w:val="25"/>
        <w:spacing w:line="360" w:lineRule="auto"/>
        <w:contextualSpacing/>
        <w:rPr>
          <w:rFonts w:hAnsi="宋体" w:cs="宋体"/>
          <w:b/>
          <w:color w:val="auto"/>
          <w:sz w:val="24"/>
          <w:szCs w:val="24"/>
          <w:highlight w:val="none"/>
        </w:rPr>
      </w:pPr>
      <w:r>
        <w:rPr>
          <w:rFonts w:hint="eastAsia" w:hAnsi="宋体" w:cs="宋体"/>
          <w:b/>
          <w:color w:val="auto"/>
          <w:sz w:val="24"/>
          <w:szCs w:val="24"/>
          <w:highlight w:val="none"/>
        </w:rPr>
        <w:t>说明：</w:t>
      </w:r>
    </w:p>
    <w:p w14:paraId="59EF043D">
      <w:pPr>
        <w:pStyle w:val="25"/>
        <w:spacing w:line="360" w:lineRule="auto"/>
        <w:ind w:left="25" w:firstLine="354"/>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0AB7956">
      <w:pPr>
        <w:pStyle w:val="25"/>
        <w:spacing w:line="360" w:lineRule="auto"/>
        <w:ind w:left="25" w:firstLine="354"/>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9DFBC01">
      <w:pPr>
        <w:pStyle w:val="25"/>
        <w:spacing w:line="360" w:lineRule="auto"/>
        <w:ind w:left="25" w:firstLine="354"/>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7274FDB5">
      <w:pPr>
        <w:pStyle w:val="25"/>
        <w:spacing w:line="360" w:lineRule="auto"/>
        <w:ind w:left="25" w:firstLine="354"/>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1A8C65B6">
      <w:pPr>
        <w:pStyle w:val="25"/>
        <w:spacing w:line="360" w:lineRule="auto"/>
        <w:ind w:left="25" w:firstLine="354"/>
        <w:contextualSpacing/>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245A658C">
      <w:pPr>
        <w:pStyle w:val="25"/>
        <w:rPr>
          <w:rFonts w:hAnsi="宋体" w:cs="宋体"/>
          <w:b/>
          <w:color w:val="auto"/>
          <w:sz w:val="24"/>
          <w:szCs w:val="24"/>
          <w:highlight w:val="none"/>
        </w:rPr>
      </w:pPr>
    </w:p>
    <w:p w14:paraId="0CFF6DDC">
      <w:pPr>
        <w:rPr>
          <w:rFonts w:ascii="宋体" w:hAnsi="宋体" w:cs="宋体"/>
          <w:color w:val="auto"/>
          <w:sz w:val="32"/>
          <w:szCs w:val="40"/>
          <w:highlight w:val="none"/>
        </w:rPr>
      </w:pPr>
    </w:p>
    <w:p w14:paraId="738927D3">
      <w:pPr>
        <w:rPr>
          <w:rFonts w:ascii="宋体" w:hAnsi="宋体" w:cs="宋体"/>
          <w:color w:val="auto"/>
          <w:sz w:val="32"/>
          <w:szCs w:val="40"/>
          <w:highlight w:val="none"/>
        </w:rPr>
      </w:pPr>
    </w:p>
    <w:p w14:paraId="6DE55F98">
      <w:pPr>
        <w:rPr>
          <w:rFonts w:ascii="宋体" w:hAnsi="宋体" w:cs="宋体"/>
          <w:color w:val="auto"/>
          <w:sz w:val="32"/>
          <w:szCs w:val="40"/>
          <w:highlight w:val="none"/>
        </w:rPr>
      </w:pPr>
    </w:p>
    <w:p w14:paraId="7D9A53C5">
      <w:pPr>
        <w:rPr>
          <w:rFonts w:ascii="宋体" w:hAnsi="宋体" w:cs="宋体"/>
          <w:color w:val="auto"/>
          <w:sz w:val="32"/>
          <w:szCs w:val="40"/>
          <w:highlight w:val="none"/>
        </w:rPr>
      </w:pPr>
    </w:p>
    <w:p w14:paraId="7FA5977F">
      <w:pPr>
        <w:rPr>
          <w:rFonts w:ascii="宋体" w:hAnsi="宋体" w:cs="宋体"/>
          <w:color w:val="auto"/>
          <w:sz w:val="32"/>
          <w:szCs w:val="40"/>
          <w:highlight w:val="none"/>
        </w:rPr>
      </w:pPr>
    </w:p>
    <w:p w14:paraId="20F7273B">
      <w:pPr>
        <w:rPr>
          <w:rFonts w:ascii="宋体" w:hAnsi="宋体" w:cs="宋体"/>
          <w:color w:val="auto"/>
          <w:sz w:val="32"/>
          <w:szCs w:val="40"/>
          <w:highlight w:val="none"/>
        </w:rPr>
      </w:pPr>
    </w:p>
    <w:p w14:paraId="475CD087">
      <w:pPr>
        <w:rPr>
          <w:rFonts w:ascii="宋体" w:hAnsi="宋体" w:cs="宋体"/>
          <w:color w:val="auto"/>
          <w:sz w:val="32"/>
          <w:szCs w:val="40"/>
          <w:highlight w:val="none"/>
        </w:rPr>
      </w:pPr>
    </w:p>
    <w:p w14:paraId="7A89BB0C">
      <w:pPr>
        <w:rPr>
          <w:rFonts w:ascii="宋体" w:hAnsi="宋体" w:cs="宋体"/>
          <w:color w:val="auto"/>
          <w:sz w:val="32"/>
          <w:szCs w:val="40"/>
          <w:highlight w:val="none"/>
        </w:rPr>
      </w:pPr>
    </w:p>
    <w:p w14:paraId="6BF148AC">
      <w:pPr>
        <w:rPr>
          <w:rFonts w:ascii="宋体" w:hAnsi="宋体" w:cs="宋体"/>
          <w:color w:val="auto"/>
          <w:sz w:val="32"/>
          <w:szCs w:val="40"/>
          <w:highlight w:val="none"/>
        </w:rPr>
      </w:pPr>
    </w:p>
    <w:p w14:paraId="2188BA26">
      <w:pPr>
        <w:rPr>
          <w:rFonts w:ascii="宋体" w:hAnsi="宋体" w:cs="宋体"/>
          <w:color w:val="auto"/>
          <w:sz w:val="32"/>
          <w:szCs w:val="40"/>
          <w:highlight w:val="none"/>
        </w:rPr>
      </w:pPr>
    </w:p>
    <w:p w14:paraId="16332878">
      <w:pPr>
        <w:rPr>
          <w:rFonts w:ascii="宋体" w:hAnsi="宋体" w:cs="宋体"/>
          <w:color w:val="auto"/>
          <w:sz w:val="32"/>
          <w:szCs w:val="40"/>
          <w:highlight w:val="none"/>
        </w:rPr>
      </w:pPr>
    </w:p>
    <w:p w14:paraId="37A0D8BA">
      <w:pPr>
        <w:rPr>
          <w:rFonts w:ascii="宋体" w:hAnsi="宋体" w:cs="宋体"/>
          <w:color w:val="auto"/>
          <w:sz w:val="32"/>
          <w:szCs w:val="40"/>
          <w:highlight w:val="none"/>
        </w:rPr>
      </w:pPr>
    </w:p>
    <w:p w14:paraId="66B4C05F">
      <w:pPr>
        <w:rPr>
          <w:rFonts w:ascii="宋体" w:hAnsi="宋体" w:cs="宋体"/>
          <w:color w:val="auto"/>
          <w:sz w:val="32"/>
          <w:szCs w:val="40"/>
          <w:highlight w:val="none"/>
        </w:rPr>
      </w:pPr>
    </w:p>
    <w:p w14:paraId="6006B52C">
      <w:pPr>
        <w:pStyle w:val="2"/>
        <w:rPr>
          <w:rFonts w:ascii="宋体" w:hAnsi="宋体" w:cs="宋体"/>
          <w:color w:val="auto"/>
          <w:sz w:val="32"/>
          <w:szCs w:val="40"/>
          <w:highlight w:val="none"/>
        </w:rPr>
      </w:pPr>
    </w:p>
    <w:p w14:paraId="283F5E29">
      <w:pPr>
        <w:rPr>
          <w:rFonts w:ascii="宋体" w:hAnsi="宋体" w:cs="宋体"/>
          <w:color w:val="auto"/>
          <w:sz w:val="32"/>
          <w:szCs w:val="40"/>
          <w:highlight w:val="none"/>
        </w:rPr>
      </w:pPr>
    </w:p>
    <w:p w14:paraId="3D7CD95F">
      <w:pPr>
        <w:rPr>
          <w:rFonts w:ascii="宋体" w:hAnsi="宋体" w:cs="宋体"/>
          <w:color w:val="auto"/>
          <w:sz w:val="44"/>
          <w:szCs w:val="44"/>
          <w:highlight w:val="none"/>
        </w:rPr>
      </w:pPr>
      <w:r>
        <w:rPr>
          <w:rFonts w:hint="eastAsia" w:ascii="宋体" w:hAnsi="宋体" w:cs="宋体"/>
          <w:color w:val="auto"/>
          <w:sz w:val="44"/>
          <w:szCs w:val="44"/>
          <w:highlight w:val="none"/>
        </w:rPr>
        <w:br w:type="page" w:clear="all"/>
      </w:r>
    </w:p>
    <w:p w14:paraId="0226AF1E">
      <w:pP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投诉书（格式）</w:t>
      </w:r>
    </w:p>
    <w:p w14:paraId="1614FBF7">
      <w:pPr>
        <w:pStyle w:val="25"/>
        <w:spacing w:line="360" w:lineRule="auto"/>
        <w:ind w:firstLine="482"/>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554BF97A">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p>
    <w:p w14:paraId="142523D2">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66AE198E">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00F19D48">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7C19DC8">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08799CC">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29A10D9A">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06D88C26">
      <w:pPr>
        <w:pStyle w:val="25"/>
        <w:spacing w:line="360" w:lineRule="auto"/>
        <w:ind w:firstLine="480"/>
        <w:rPr>
          <w:rFonts w:hAnsi="宋体" w:cs="宋体"/>
          <w:bCs/>
          <w:color w:val="auto"/>
          <w:sz w:val="24"/>
          <w:szCs w:val="24"/>
          <w:highlight w:val="none"/>
        </w:rPr>
      </w:pPr>
    </w:p>
    <w:p w14:paraId="5CBF0999">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被投诉人1：</w:t>
      </w:r>
    </w:p>
    <w:p w14:paraId="2931FDA6">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940ADA1">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2FDEAD44">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A01B23D">
      <w:pPr>
        <w:pStyle w:val="25"/>
        <w:spacing w:line="360" w:lineRule="auto"/>
        <w:ind w:firstLine="480"/>
        <w:rPr>
          <w:rFonts w:hAnsi="宋体" w:cs="宋体"/>
          <w:bCs/>
          <w:color w:val="auto"/>
          <w:sz w:val="24"/>
          <w:szCs w:val="24"/>
          <w:highlight w:val="none"/>
        </w:rPr>
      </w:pPr>
    </w:p>
    <w:p w14:paraId="2E850883">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被投诉人2：</w:t>
      </w:r>
    </w:p>
    <w:p w14:paraId="26E4F915">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41201FD6">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13FA6E16">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C858472">
      <w:pPr>
        <w:pStyle w:val="25"/>
        <w:spacing w:line="360" w:lineRule="auto"/>
        <w:ind w:firstLine="482"/>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765DD5A0">
      <w:pPr>
        <w:pStyle w:val="25"/>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3D4D4FAE">
      <w:pPr>
        <w:pStyle w:val="25"/>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6F500EA">
      <w:pPr>
        <w:pStyle w:val="25"/>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0075C615">
      <w:pPr>
        <w:pStyle w:val="25"/>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6A117FE5">
      <w:pPr>
        <w:pStyle w:val="25"/>
        <w:spacing w:line="360" w:lineRule="auto"/>
        <w:ind w:left="25" w:firstLine="472"/>
        <w:rPr>
          <w:rFonts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2871E1A2">
      <w:pPr>
        <w:pStyle w:val="25"/>
        <w:spacing w:line="360" w:lineRule="auto"/>
        <w:ind w:left="25" w:firstLine="472"/>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5FF4084">
      <w:pPr>
        <w:pStyle w:val="25"/>
        <w:spacing w:line="360" w:lineRule="auto"/>
        <w:ind w:left="25" w:firstLine="472"/>
        <w:rPr>
          <w:rFonts w:hAnsi="宋体" w:cs="宋体"/>
          <w:b/>
          <w:color w:val="auto"/>
          <w:sz w:val="24"/>
          <w:szCs w:val="24"/>
          <w:highlight w:val="none"/>
        </w:rPr>
      </w:pPr>
      <w:r>
        <w:rPr>
          <w:rFonts w:hint="eastAsia" w:hAnsi="宋体" w:cs="宋体"/>
          <w:b/>
          <w:color w:val="auto"/>
          <w:sz w:val="24"/>
          <w:szCs w:val="24"/>
          <w:highlight w:val="none"/>
        </w:rPr>
        <w:t>三、质疑基本情况</w:t>
      </w:r>
    </w:p>
    <w:p w14:paraId="374470C3">
      <w:pPr>
        <w:pStyle w:val="25"/>
        <w:spacing w:line="360" w:lineRule="auto"/>
        <w:ind w:firstLine="48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27A77D06">
      <w:pPr>
        <w:pStyle w:val="25"/>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u w:val="single"/>
        </w:rPr>
        <w:t xml:space="preserve">                                                                       </w:t>
      </w:r>
    </w:p>
    <w:p w14:paraId="7E8BA65C">
      <w:pPr>
        <w:pStyle w:val="25"/>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u w:val="single"/>
        </w:rPr>
        <w:t xml:space="preserve">                                                                       </w:t>
      </w:r>
    </w:p>
    <w:p w14:paraId="1E1E7C11">
      <w:pPr>
        <w:pStyle w:val="25"/>
        <w:spacing w:line="360" w:lineRule="auto"/>
        <w:ind w:firstLine="48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就质疑事项作出了答复/没有在法定期限内作出答复。</w:t>
      </w:r>
    </w:p>
    <w:p w14:paraId="6A59B365">
      <w:pPr>
        <w:pStyle w:val="25"/>
        <w:spacing w:line="360" w:lineRule="auto"/>
        <w:ind w:left="25" w:firstLine="472"/>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5BF2227A">
      <w:pPr>
        <w:pStyle w:val="25"/>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5C1B6101">
      <w:pPr>
        <w:pStyle w:val="25"/>
        <w:spacing w:line="360" w:lineRule="auto"/>
        <w:ind w:firstLine="480"/>
        <w:rPr>
          <w:rFonts w:hAnsi="宋体" w:cs="宋体"/>
          <w:bCs/>
          <w:color w:val="auto"/>
          <w:sz w:val="24"/>
          <w:szCs w:val="24"/>
          <w:highlight w:val="none"/>
          <w:u w:val="single"/>
        </w:rPr>
      </w:pPr>
      <w:bookmarkStart w:id="196" w:name="OLE_LINK2"/>
      <w:r>
        <w:rPr>
          <w:rFonts w:hint="eastAsia" w:hAnsi="宋体" w:cs="宋体"/>
          <w:bCs/>
          <w:color w:val="auto"/>
          <w:sz w:val="24"/>
          <w:szCs w:val="24"/>
          <w:highlight w:val="none"/>
        </w:rPr>
        <w:t>事实依据：</w:t>
      </w:r>
      <w:r>
        <w:rPr>
          <w:rFonts w:hint="eastAsia" w:hAnsi="宋体" w:cs="宋体"/>
          <w:bCs/>
          <w:color w:val="auto"/>
          <w:sz w:val="24"/>
          <w:szCs w:val="24"/>
          <w:highlight w:val="none"/>
          <w:u w:val="single"/>
        </w:rPr>
        <w:t xml:space="preserve">                                                            </w:t>
      </w:r>
    </w:p>
    <w:p w14:paraId="67A4F994">
      <w:pPr>
        <w:pStyle w:val="25"/>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07958D5D">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35E89C1">
      <w:pPr>
        <w:pStyle w:val="25"/>
        <w:spacing w:line="360" w:lineRule="auto"/>
        <w:ind w:left="25" w:firstLine="352"/>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bookmarkEnd w:id="196"/>
    </w:p>
    <w:p w14:paraId="220CDC2B">
      <w:pPr>
        <w:pStyle w:val="25"/>
        <w:spacing w:line="360" w:lineRule="auto"/>
        <w:ind w:left="25" w:firstLine="472"/>
        <w:rPr>
          <w:rFonts w:hAnsi="宋体" w:cs="宋体"/>
          <w:color w:val="auto"/>
          <w:sz w:val="24"/>
          <w:szCs w:val="24"/>
          <w:highlight w:val="none"/>
        </w:rPr>
      </w:pPr>
    </w:p>
    <w:p w14:paraId="46705FCF">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投诉事项2：</w:t>
      </w:r>
    </w:p>
    <w:p w14:paraId="089F80B0">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bCs/>
          <w:color w:val="auto"/>
          <w:sz w:val="24"/>
          <w:szCs w:val="24"/>
          <w:highlight w:val="none"/>
          <w:u w:val="single"/>
        </w:rPr>
        <w:t xml:space="preserve">                                                            </w:t>
      </w:r>
    </w:p>
    <w:p w14:paraId="60DBFB04">
      <w:pPr>
        <w:pStyle w:val="25"/>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52A07B0A">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CF80BAC">
      <w:pPr>
        <w:pStyle w:val="25"/>
        <w:spacing w:line="360" w:lineRule="auto"/>
        <w:ind w:left="25" w:firstLine="352"/>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04CB898B">
      <w:pPr>
        <w:pStyle w:val="25"/>
        <w:spacing w:line="360" w:lineRule="auto"/>
        <w:ind w:left="25" w:firstLine="472"/>
        <w:rPr>
          <w:rFonts w:hAnsi="宋体" w:cs="宋体"/>
          <w:bCs/>
          <w:color w:val="auto"/>
          <w:sz w:val="24"/>
          <w:szCs w:val="24"/>
          <w:highlight w:val="none"/>
        </w:rPr>
      </w:pPr>
    </w:p>
    <w:p w14:paraId="0BF05E8D">
      <w:pPr>
        <w:pStyle w:val="25"/>
        <w:spacing w:line="360" w:lineRule="auto"/>
        <w:ind w:left="25" w:firstLine="472"/>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43C3C36">
      <w:pPr>
        <w:pStyle w:val="25"/>
        <w:spacing w:line="360" w:lineRule="auto"/>
        <w:ind w:left="25" w:firstLine="472"/>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421F7E5">
      <w:pPr>
        <w:pStyle w:val="25"/>
        <w:spacing w:line="360" w:lineRule="auto"/>
        <w:ind w:left="25" w:firstLine="352"/>
        <w:rPr>
          <w:rFonts w:hAnsi="宋体" w:cs="宋体"/>
          <w:color w:val="auto"/>
          <w:sz w:val="24"/>
          <w:szCs w:val="24"/>
          <w:highlight w:val="none"/>
        </w:rPr>
      </w:pPr>
    </w:p>
    <w:p w14:paraId="51749827">
      <w:pPr>
        <w:pStyle w:val="25"/>
        <w:spacing w:line="360" w:lineRule="auto"/>
        <w:ind w:left="25" w:firstLine="472"/>
        <w:rPr>
          <w:rFonts w:hAnsi="宋体" w:cs="宋体"/>
          <w:color w:val="auto"/>
          <w:sz w:val="24"/>
          <w:szCs w:val="24"/>
          <w:highlight w:val="none"/>
        </w:rPr>
      </w:pPr>
      <w:r>
        <w:rPr>
          <w:rFonts w:hint="eastAsia" w:hAnsi="宋体" w:cs="宋体"/>
          <w:color w:val="auto"/>
          <w:sz w:val="24"/>
          <w:szCs w:val="24"/>
          <w:highlight w:val="none"/>
        </w:rPr>
        <w:t>签字（签章）：                                       公章：</w:t>
      </w:r>
    </w:p>
    <w:p w14:paraId="48ED271F">
      <w:pPr>
        <w:pStyle w:val="25"/>
        <w:spacing w:line="360" w:lineRule="auto"/>
        <w:ind w:left="25" w:firstLine="352"/>
        <w:rPr>
          <w:rFonts w:hAnsi="宋体" w:cs="宋体"/>
          <w:color w:val="auto"/>
          <w:sz w:val="24"/>
          <w:szCs w:val="24"/>
          <w:highlight w:val="none"/>
        </w:rPr>
      </w:pPr>
    </w:p>
    <w:p w14:paraId="1186C96C">
      <w:pPr>
        <w:pStyle w:val="25"/>
        <w:spacing w:line="360" w:lineRule="auto"/>
        <w:ind w:left="25" w:firstLine="472"/>
        <w:rPr>
          <w:rFonts w:hAnsi="宋体" w:cs="宋体"/>
          <w:b/>
          <w:color w:val="auto"/>
          <w:sz w:val="24"/>
          <w:szCs w:val="24"/>
          <w:highlight w:val="none"/>
        </w:rPr>
      </w:pPr>
      <w:r>
        <w:rPr>
          <w:rFonts w:hint="eastAsia" w:hAnsi="宋体" w:cs="宋体"/>
          <w:color w:val="auto"/>
          <w:sz w:val="24"/>
          <w:szCs w:val="24"/>
          <w:highlight w:val="none"/>
        </w:rPr>
        <w:t>日期：</w:t>
      </w:r>
      <w:r>
        <w:rPr>
          <w:rFonts w:hint="eastAsia" w:hAnsi="宋体" w:cs="宋体"/>
          <w:bCs/>
          <w:color w:val="auto"/>
          <w:sz w:val="24"/>
          <w:szCs w:val="24"/>
          <w:highlight w:val="none"/>
        </w:rPr>
        <w:t xml:space="preserve">                                                                      </w:t>
      </w:r>
    </w:p>
    <w:p w14:paraId="1DB3F1DE">
      <w:pPr>
        <w:pStyle w:val="25"/>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0ADF1233">
      <w:pPr>
        <w:pStyle w:val="25"/>
        <w:spacing w:line="360" w:lineRule="auto"/>
        <w:ind w:left="25" w:firstLine="354"/>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1EFDBE99">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B6A9A08">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4C29A2F7">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6BAA3504">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42053390">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3E54E685">
      <w:pPr>
        <w:rPr>
          <w:rFonts w:ascii="宋体" w:hAnsi="宋体" w:cs="宋体"/>
          <w:color w:val="auto"/>
          <w:highlight w:val="none"/>
        </w:rPr>
      </w:pPr>
      <w:bookmarkStart w:id="197" w:name="_Toc74323461"/>
    </w:p>
    <w:p w14:paraId="66B2DED4">
      <w:pPr>
        <w:rPr>
          <w:rFonts w:ascii="宋体" w:hAnsi="宋体" w:cs="宋体"/>
          <w:color w:val="auto"/>
          <w:highlight w:val="none"/>
        </w:rPr>
      </w:pPr>
      <w:r>
        <w:rPr>
          <w:rFonts w:hint="eastAsia" w:ascii="宋体" w:hAnsi="宋体" w:cs="宋体"/>
          <w:color w:val="auto"/>
          <w:highlight w:val="none"/>
        </w:rPr>
        <w:br w:type="page" w:clear="all"/>
      </w:r>
    </w:p>
    <w:p w14:paraId="2AA59F61">
      <w:pPr>
        <w:pStyle w:val="3"/>
        <w:jc w:val="center"/>
        <w:rPr>
          <w:rFonts w:ascii="宋体" w:hAnsi="宋体" w:cs="宋体"/>
          <w:color w:val="auto"/>
          <w:highlight w:val="none"/>
        </w:rPr>
      </w:pPr>
      <w:r>
        <w:rPr>
          <w:rFonts w:hint="eastAsia" w:ascii="宋体" w:hAnsi="宋体" w:cs="宋体"/>
          <w:color w:val="auto"/>
          <w:highlight w:val="none"/>
        </w:rPr>
        <w:t>第六章 合同文本</w:t>
      </w:r>
      <w:bookmarkEnd w:id="197"/>
    </w:p>
    <w:p w14:paraId="2649A6E6">
      <w:pPr>
        <w:spacing w:line="440" w:lineRule="exact"/>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u w:val="single"/>
        </w:rPr>
        <w:t xml:space="preserve">                          </w:t>
      </w:r>
    </w:p>
    <w:p w14:paraId="5D934412">
      <w:pPr>
        <w:spacing w:line="440" w:lineRule="exact"/>
        <w:rPr>
          <w:rFonts w:ascii="宋体" w:hAnsi="宋体"/>
          <w:color w:val="auto"/>
          <w:sz w:val="24"/>
          <w:highlight w:val="none"/>
          <w:u w:val="single"/>
        </w:rPr>
      </w:pPr>
      <w:r>
        <w:rPr>
          <w:rFonts w:hint="eastAsia" w:ascii="宋体" w:hAnsi="宋体"/>
          <w:color w:val="auto"/>
          <w:sz w:val="24"/>
          <w:highlight w:val="none"/>
        </w:rPr>
        <w:t>供应商（乙方）：</w:t>
      </w:r>
      <w:r>
        <w:rPr>
          <w:rFonts w:hint="eastAsia" w:ascii="宋体" w:hAnsi="宋体"/>
          <w:color w:val="auto"/>
          <w:sz w:val="24"/>
          <w:highlight w:val="none"/>
          <w:u w:val="single"/>
        </w:rPr>
        <w:t xml:space="preserve">                          </w:t>
      </w:r>
    </w:p>
    <w:p w14:paraId="284F2B59">
      <w:pPr>
        <w:spacing w:line="440" w:lineRule="exact"/>
        <w:rPr>
          <w:rFonts w:ascii="宋体" w:hAnsi="宋体"/>
          <w:color w:val="auto"/>
          <w:sz w:val="24"/>
          <w:highlight w:val="none"/>
        </w:rPr>
      </w:pPr>
      <w:r>
        <w:rPr>
          <w:rFonts w:hint="eastAsia" w:ascii="宋体" w:hAnsi="宋体"/>
          <w:color w:val="auto"/>
          <w:spacing w:val="-20"/>
          <w:sz w:val="24"/>
          <w:highlight w:val="none"/>
        </w:rPr>
        <w:t>采 购 计 划 号：</w:t>
      </w:r>
      <w:r>
        <w:rPr>
          <w:rFonts w:hint="eastAsia" w:ascii="宋体" w:hAnsi="宋体"/>
          <w:color w:val="auto"/>
          <w:sz w:val="24"/>
          <w:highlight w:val="none"/>
          <w:u w:val="single"/>
        </w:rPr>
        <w:t xml:space="preserve">                              </w:t>
      </w:r>
    </w:p>
    <w:p w14:paraId="70EED559">
      <w:pPr>
        <w:spacing w:line="440" w:lineRule="exact"/>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p>
    <w:p w14:paraId="7E998350">
      <w:pPr>
        <w:spacing w:line="440" w:lineRule="exact"/>
        <w:rPr>
          <w:rFonts w:ascii="宋体" w:hAnsi="宋体"/>
          <w:color w:val="auto"/>
          <w:sz w:val="24"/>
          <w:highlight w:val="none"/>
          <w:u w:val="single"/>
        </w:rPr>
      </w:pPr>
      <w:r>
        <w:rPr>
          <w:rFonts w:hint="eastAsia" w:ascii="宋体" w:hAnsi="宋体"/>
          <w:color w:val="auto"/>
          <w:sz w:val="24"/>
          <w:highlight w:val="none"/>
        </w:rPr>
        <w:t>项目编号：</w:t>
      </w:r>
      <w:r>
        <w:rPr>
          <w:rFonts w:hint="eastAsia" w:ascii="宋体" w:hAnsi="宋体"/>
          <w:color w:val="auto"/>
          <w:sz w:val="24"/>
          <w:highlight w:val="none"/>
          <w:u w:val="single"/>
        </w:rPr>
        <w:t xml:space="preserve">                       </w:t>
      </w:r>
    </w:p>
    <w:p w14:paraId="0D6CB271">
      <w:pPr>
        <w:spacing w:line="440" w:lineRule="exact"/>
        <w:rPr>
          <w:rFonts w:ascii="宋体" w:hAnsi="宋体"/>
          <w:color w:val="auto"/>
          <w:sz w:val="24"/>
          <w:highlight w:val="none"/>
        </w:rPr>
      </w:pPr>
      <w:r>
        <w:rPr>
          <w:rFonts w:hint="eastAsia" w:ascii="宋体" w:hAnsi="宋体"/>
          <w:color w:val="auto"/>
          <w:sz w:val="24"/>
          <w:highlight w:val="none"/>
        </w:rPr>
        <w:t>合同类型：</w:t>
      </w:r>
      <w:r>
        <w:rPr>
          <w:rFonts w:hint="eastAsia" w:ascii="宋体" w:hAnsi="宋体"/>
          <w:color w:val="auto"/>
          <w:sz w:val="24"/>
          <w:highlight w:val="none"/>
          <w:u w:val="single"/>
        </w:rPr>
        <w:t xml:space="preserve">        </w:t>
      </w:r>
      <w:r>
        <w:rPr>
          <w:rFonts w:hint="eastAsia" w:ascii="宋体" w:hAnsi="宋体"/>
          <w:color w:val="auto"/>
          <w:sz w:val="24"/>
          <w:highlight w:val="none"/>
        </w:rPr>
        <w:t>合同</w:t>
      </w:r>
    </w:p>
    <w:p w14:paraId="7D9A1FAF">
      <w:pPr>
        <w:spacing w:line="440" w:lineRule="exact"/>
        <w:rPr>
          <w:rFonts w:ascii="宋体" w:hAnsi="宋体" w:cs="宋体"/>
          <w:color w:val="auto"/>
          <w:spacing w:val="9"/>
          <w:sz w:val="24"/>
          <w:highlight w:val="none"/>
        </w:rPr>
      </w:pPr>
      <w:r>
        <w:rPr>
          <w:rFonts w:hint="eastAsia" w:ascii="宋体" w:hAnsi="宋体" w:cs="宋体"/>
          <w:color w:val="auto"/>
          <w:sz w:val="24"/>
          <w:highlight w:val="none"/>
        </w:rPr>
        <w:t>本合同是否为中小企业预留合同：</w:t>
      </w:r>
      <w:r>
        <w:rPr>
          <w:rFonts w:hint="eastAsia" w:ascii="宋体" w:hAnsi="宋体" w:cs="宋体"/>
          <w:i/>
          <w:color w:val="auto"/>
          <w:sz w:val="24"/>
          <w:highlight w:val="none"/>
          <w:u w:val="single"/>
        </w:rPr>
        <w:t xml:space="preserve">  </w:t>
      </w:r>
      <w:r>
        <w:rPr>
          <w:rFonts w:hint="eastAsia" w:ascii="宋体" w:hAnsi="宋体" w:cs="宋体"/>
          <w:color w:val="auto"/>
          <w:sz w:val="24"/>
          <w:highlight w:val="none"/>
          <w:u w:val="single"/>
        </w:rPr>
        <w:t>（是）</w:t>
      </w:r>
      <w:r>
        <w:rPr>
          <w:rFonts w:hint="eastAsia" w:ascii="宋体" w:hAnsi="宋体" w:cs="宋体"/>
          <w:i/>
          <w:color w:val="auto"/>
          <w:sz w:val="24"/>
          <w:highlight w:val="none"/>
          <w:u w:val="single"/>
        </w:rPr>
        <w:t xml:space="preserve">  </w:t>
      </w:r>
      <w:r>
        <w:rPr>
          <w:rFonts w:hint="eastAsia" w:ascii="宋体" w:hAnsi="宋体" w:cs="宋体"/>
          <w:color w:val="auto"/>
          <w:sz w:val="24"/>
          <w:highlight w:val="none"/>
        </w:rPr>
        <w:t>。</w:t>
      </w:r>
    </w:p>
    <w:p w14:paraId="40F457ED">
      <w:pPr>
        <w:spacing w:line="440" w:lineRule="exact"/>
        <w:ind w:firstLine="480"/>
        <w:rPr>
          <w:rFonts w:ascii="宋体" w:hAnsi="宋体"/>
          <w:color w:val="auto"/>
          <w:sz w:val="24"/>
          <w:highlight w:val="none"/>
        </w:rPr>
      </w:pPr>
    </w:p>
    <w:p w14:paraId="4EE4CC3C">
      <w:pPr>
        <w:spacing w:line="440" w:lineRule="exact"/>
        <w:ind w:firstLine="480"/>
        <w:rPr>
          <w:rFonts w:ascii="宋体" w:hAnsi="宋体"/>
          <w:color w:val="auto"/>
          <w:sz w:val="24"/>
          <w:highlight w:val="none"/>
        </w:rPr>
      </w:pPr>
      <w:r>
        <w:rPr>
          <w:rFonts w:hint="eastAsia" w:ascii="宋体" w:hAnsi="宋体"/>
          <w:color w:val="auto"/>
          <w:sz w:val="24"/>
          <w:highlight w:val="none"/>
        </w:rPr>
        <w:t>根据《中华人民共和国政府采购法》《中华人民共和国民法典》等法律、法规规定，按照采购文件规定条款和乙方响应承诺，甲乙双方签订本合同。</w:t>
      </w:r>
    </w:p>
    <w:p w14:paraId="6360FC54">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第一条 合同标的</w:t>
      </w:r>
    </w:p>
    <w:p w14:paraId="3A6F3ACF">
      <w:pPr>
        <w:spacing w:before="155" w:line="440" w:lineRule="exact"/>
        <w:ind w:left="627"/>
        <w:rPr>
          <w:rFonts w:ascii="宋体" w:hAnsi="宋体" w:cs="宋体"/>
          <w:color w:val="auto"/>
          <w:sz w:val="24"/>
          <w:highlight w:val="none"/>
        </w:rPr>
      </w:pPr>
      <w:r>
        <w:rPr>
          <w:rFonts w:hint="eastAsia" w:ascii="宋体" w:hAnsi="宋体" w:cs="宋体"/>
          <w:color w:val="auto"/>
          <w:spacing w:val="5"/>
          <w:sz w:val="24"/>
          <w:highlight w:val="none"/>
        </w:rPr>
        <w:t>1.项目一览表</w:t>
      </w:r>
    </w:p>
    <w:tbl>
      <w:tblPr>
        <w:tblStyle w:val="46"/>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01"/>
        <w:gridCol w:w="2212"/>
        <w:gridCol w:w="1320"/>
        <w:gridCol w:w="1200"/>
        <w:gridCol w:w="1300"/>
        <w:gridCol w:w="1207"/>
      </w:tblGrid>
      <w:tr w14:paraId="3F5B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0EF55A97">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序号</w:t>
            </w:r>
          </w:p>
        </w:tc>
        <w:tc>
          <w:tcPr>
            <w:tcW w:w="1401" w:type="dxa"/>
            <w:tcBorders>
              <w:top w:val="single" w:color="auto" w:sz="4" w:space="0"/>
              <w:left w:val="single" w:color="auto" w:sz="4" w:space="0"/>
              <w:bottom w:val="single" w:color="auto" w:sz="4" w:space="0"/>
              <w:right w:val="single" w:color="auto" w:sz="4" w:space="0"/>
            </w:tcBorders>
            <w:vAlign w:val="center"/>
          </w:tcPr>
          <w:p w14:paraId="4C45697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2212" w:type="dxa"/>
            <w:tcBorders>
              <w:top w:val="single" w:color="auto" w:sz="4" w:space="0"/>
              <w:left w:val="single" w:color="auto" w:sz="4" w:space="0"/>
              <w:bottom w:val="single" w:color="auto" w:sz="4" w:space="0"/>
              <w:right w:val="single" w:color="auto" w:sz="4" w:space="0"/>
            </w:tcBorders>
            <w:vAlign w:val="center"/>
          </w:tcPr>
          <w:p w14:paraId="12357D27">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7A721C5B">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25DFE6C4">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单位</w:t>
            </w:r>
          </w:p>
        </w:tc>
        <w:tc>
          <w:tcPr>
            <w:tcW w:w="1300" w:type="dxa"/>
            <w:tcBorders>
              <w:top w:val="single" w:color="auto" w:sz="4" w:space="0"/>
              <w:left w:val="single" w:color="auto" w:sz="4" w:space="0"/>
              <w:bottom w:val="single" w:color="auto" w:sz="4" w:space="0"/>
              <w:right w:val="single" w:color="auto" w:sz="4" w:space="0"/>
            </w:tcBorders>
            <w:vAlign w:val="center"/>
          </w:tcPr>
          <w:p w14:paraId="12149B46">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单  价</w:t>
            </w:r>
          </w:p>
          <w:p w14:paraId="2C8E99F4">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（元）</w:t>
            </w:r>
          </w:p>
        </w:tc>
        <w:tc>
          <w:tcPr>
            <w:tcW w:w="1207" w:type="dxa"/>
            <w:tcBorders>
              <w:top w:val="single" w:color="auto" w:sz="4" w:space="0"/>
              <w:left w:val="single" w:color="auto" w:sz="4" w:space="0"/>
              <w:bottom w:val="single" w:color="auto" w:sz="4" w:space="0"/>
              <w:right w:val="single" w:color="auto" w:sz="4" w:space="0"/>
            </w:tcBorders>
            <w:vAlign w:val="center"/>
          </w:tcPr>
          <w:p w14:paraId="74AFB78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总  价</w:t>
            </w:r>
          </w:p>
          <w:p w14:paraId="1333248C">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（元）</w:t>
            </w:r>
          </w:p>
        </w:tc>
      </w:tr>
      <w:tr w14:paraId="1D05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4543674A">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1401" w:type="dxa"/>
            <w:tcBorders>
              <w:top w:val="single" w:color="auto" w:sz="4" w:space="0"/>
              <w:left w:val="single" w:color="auto" w:sz="4" w:space="0"/>
              <w:bottom w:val="single" w:color="auto" w:sz="4" w:space="0"/>
              <w:right w:val="single" w:color="auto" w:sz="4" w:space="0"/>
            </w:tcBorders>
            <w:vAlign w:val="center"/>
          </w:tcPr>
          <w:p w14:paraId="4753BEAE">
            <w:pPr>
              <w:spacing w:line="440" w:lineRule="exact"/>
              <w:jc w:val="center"/>
              <w:rPr>
                <w:rFonts w:ascii="宋体" w:hAnsi="宋体" w:cs="宋体"/>
                <w:color w:val="auto"/>
                <w:sz w:val="24"/>
                <w:highlight w:val="none"/>
              </w:rPr>
            </w:pPr>
          </w:p>
        </w:tc>
        <w:tc>
          <w:tcPr>
            <w:tcW w:w="2212" w:type="dxa"/>
            <w:tcBorders>
              <w:top w:val="single" w:color="auto" w:sz="4" w:space="0"/>
              <w:left w:val="single" w:color="auto" w:sz="4" w:space="0"/>
              <w:bottom w:val="single" w:color="auto" w:sz="4" w:space="0"/>
              <w:right w:val="single" w:color="auto" w:sz="4" w:space="0"/>
            </w:tcBorders>
            <w:vAlign w:val="center"/>
          </w:tcPr>
          <w:p w14:paraId="7E924DE9">
            <w:pPr>
              <w:spacing w:line="440" w:lineRule="exact"/>
              <w:jc w:val="center"/>
              <w:rPr>
                <w:rFonts w:ascii="宋体" w:hAnsi="宋体" w:cs="宋体"/>
                <w:color w:val="auto"/>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41702323">
            <w:pPr>
              <w:spacing w:line="440" w:lineRule="exact"/>
              <w:jc w:val="center"/>
              <w:rPr>
                <w:rFonts w:ascii="宋体" w:hAnsi="宋体" w:cs="宋体"/>
                <w:color w:val="auto"/>
                <w:sz w:val="24"/>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786725D7">
            <w:pPr>
              <w:spacing w:line="440" w:lineRule="exact"/>
              <w:jc w:val="center"/>
              <w:rPr>
                <w:rFonts w:ascii="宋体" w:hAnsi="宋体" w:cs="宋体"/>
                <w:color w:val="auto"/>
                <w:sz w:val="24"/>
                <w:highlight w:val="none"/>
              </w:rPr>
            </w:pPr>
          </w:p>
        </w:tc>
        <w:tc>
          <w:tcPr>
            <w:tcW w:w="1300" w:type="dxa"/>
            <w:tcBorders>
              <w:top w:val="single" w:color="auto" w:sz="4" w:space="0"/>
              <w:left w:val="single" w:color="auto" w:sz="4" w:space="0"/>
              <w:bottom w:val="single" w:color="auto" w:sz="4" w:space="0"/>
              <w:right w:val="single" w:color="auto" w:sz="4" w:space="0"/>
            </w:tcBorders>
            <w:vAlign w:val="center"/>
          </w:tcPr>
          <w:p w14:paraId="14B2FEEA">
            <w:pPr>
              <w:spacing w:line="440" w:lineRule="exact"/>
              <w:jc w:val="center"/>
              <w:rPr>
                <w:rFonts w:ascii="宋体" w:hAnsi="宋体" w:cs="宋体"/>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vAlign w:val="center"/>
          </w:tcPr>
          <w:p w14:paraId="6F65723F">
            <w:pPr>
              <w:spacing w:line="440" w:lineRule="exact"/>
              <w:jc w:val="center"/>
              <w:rPr>
                <w:rFonts w:ascii="宋体" w:hAnsi="宋体" w:cs="宋体"/>
                <w:color w:val="auto"/>
                <w:sz w:val="24"/>
                <w:highlight w:val="none"/>
              </w:rPr>
            </w:pPr>
          </w:p>
        </w:tc>
      </w:tr>
      <w:tr w14:paraId="6FA7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9742190">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1401" w:type="dxa"/>
            <w:tcBorders>
              <w:top w:val="single" w:color="auto" w:sz="4" w:space="0"/>
              <w:left w:val="single" w:color="auto" w:sz="4" w:space="0"/>
              <w:bottom w:val="single" w:color="auto" w:sz="4" w:space="0"/>
              <w:right w:val="single" w:color="auto" w:sz="4" w:space="0"/>
            </w:tcBorders>
            <w:vAlign w:val="center"/>
          </w:tcPr>
          <w:p w14:paraId="276CD939">
            <w:pPr>
              <w:spacing w:line="440" w:lineRule="exact"/>
              <w:jc w:val="center"/>
              <w:rPr>
                <w:rFonts w:ascii="宋体" w:hAnsi="宋体" w:cs="宋体"/>
                <w:color w:val="auto"/>
                <w:sz w:val="24"/>
                <w:highlight w:val="none"/>
              </w:rPr>
            </w:pPr>
          </w:p>
        </w:tc>
        <w:tc>
          <w:tcPr>
            <w:tcW w:w="2212" w:type="dxa"/>
            <w:tcBorders>
              <w:top w:val="single" w:color="auto" w:sz="4" w:space="0"/>
              <w:left w:val="single" w:color="auto" w:sz="4" w:space="0"/>
              <w:bottom w:val="single" w:color="auto" w:sz="4" w:space="0"/>
              <w:right w:val="single" w:color="auto" w:sz="4" w:space="0"/>
            </w:tcBorders>
            <w:vAlign w:val="center"/>
          </w:tcPr>
          <w:p w14:paraId="26CD0587">
            <w:pPr>
              <w:spacing w:line="440" w:lineRule="exact"/>
              <w:jc w:val="center"/>
              <w:rPr>
                <w:rFonts w:ascii="宋体" w:hAnsi="宋体" w:cs="宋体"/>
                <w:color w:val="auto"/>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16FFB9C3">
            <w:pPr>
              <w:spacing w:line="440" w:lineRule="exact"/>
              <w:jc w:val="center"/>
              <w:rPr>
                <w:rFonts w:ascii="宋体" w:hAnsi="宋体" w:cs="宋体"/>
                <w:color w:val="auto"/>
                <w:sz w:val="24"/>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4EAC447">
            <w:pPr>
              <w:spacing w:line="440" w:lineRule="exact"/>
              <w:jc w:val="center"/>
              <w:rPr>
                <w:rFonts w:ascii="宋体" w:hAnsi="宋体" w:cs="宋体"/>
                <w:color w:val="auto"/>
                <w:sz w:val="24"/>
                <w:highlight w:val="none"/>
              </w:rPr>
            </w:pPr>
          </w:p>
        </w:tc>
        <w:tc>
          <w:tcPr>
            <w:tcW w:w="1300" w:type="dxa"/>
            <w:tcBorders>
              <w:top w:val="single" w:color="auto" w:sz="4" w:space="0"/>
              <w:left w:val="single" w:color="auto" w:sz="4" w:space="0"/>
              <w:bottom w:val="single" w:color="auto" w:sz="4" w:space="0"/>
              <w:right w:val="single" w:color="auto" w:sz="4" w:space="0"/>
            </w:tcBorders>
            <w:vAlign w:val="center"/>
          </w:tcPr>
          <w:p w14:paraId="02962EC4">
            <w:pPr>
              <w:spacing w:line="440" w:lineRule="exact"/>
              <w:jc w:val="center"/>
              <w:rPr>
                <w:rFonts w:ascii="宋体" w:hAnsi="宋体" w:cs="宋体"/>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vAlign w:val="center"/>
          </w:tcPr>
          <w:p w14:paraId="08E66E11">
            <w:pPr>
              <w:spacing w:line="440" w:lineRule="exact"/>
              <w:jc w:val="center"/>
              <w:rPr>
                <w:rFonts w:ascii="宋体" w:hAnsi="宋体" w:cs="宋体"/>
                <w:color w:val="auto"/>
                <w:sz w:val="24"/>
                <w:highlight w:val="none"/>
              </w:rPr>
            </w:pPr>
          </w:p>
        </w:tc>
      </w:tr>
      <w:tr w14:paraId="41B2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vAlign w:val="center"/>
          </w:tcPr>
          <w:p w14:paraId="022A9745">
            <w:pPr>
              <w:spacing w:line="440" w:lineRule="exact"/>
              <w:rPr>
                <w:rFonts w:ascii="宋体" w:hAnsi="宋体" w:cs="宋体"/>
                <w:color w:val="auto"/>
                <w:sz w:val="24"/>
                <w:highlight w:val="none"/>
              </w:rPr>
            </w:pPr>
            <w:r>
              <w:rPr>
                <w:rFonts w:hint="eastAsia" w:ascii="宋体" w:hAnsi="宋体" w:cs="宋体"/>
                <w:color w:val="auto"/>
                <w:sz w:val="24"/>
                <w:highlight w:val="none"/>
              </w:rPr>
              <w:t>合计金额（人民币）：</w:t>
            </w:r>
            <w:r>
              <w:rPr>
                <w:rFonts w:hint="eastAsia" w:ascii="宋体" w:hAnsi="宋体" w:cs="宋体"/>
                <w:color w:val="auto"/>
                <w:sz w:val="24"/>
                <w:highlight w:val="none"/>
                <w:u w:val="single"/>
              </w:rPr>
              <w:t xml:space="preserve">（大写）                          （小写）                   </w:t>
            </w:r>
            <w:r>
              <w:rPr>
                <w:rFonts w:hint="eastAsia" w:ascii="宋体" w:hAnsi="宋体" w:cs="宋体"/>
                <w:color w:val="auto"/>
                <w:sz w:val="24"/>
                <w:highlight w:val="none"/>
              </w:rPr>
              <w:t xml:space="preserve">             </w:t>
            </w:r>
          </w:p>
        </w:tc>
      </w:tr>
    </w:tbl>
    <w:p w14:paraId="675B04A6">
      <w:pPr>
        <w:spacing w:before="139" w:line="440" w:lineRule="exact"/>
        <w:ind w:left="12" w:firstLine="602"/>
        <w:rPr>
          <w:rFonts w:ascii="宋体" w:hAnsi="宋体" w:cs="宋体"/>
          <w:color w:val="auto"/>
          <w:sz w:val="24"/>
          <w:highlight w:val="none"/>
        </w:rPr>
      </w:pPr>
      <w:r>
        <w:rPr>
          <w:rFonts w:hint="eastAsia" w:ascii="宋体" w:hAnsi="宋体" w:cs="宋体"/>
          <w:color w:val="auto"/>
          <w:spacing w:val="8"/>
          <w:sz w:val="24"/>
          <w:highlight w:val="none"/>
        </w:rPr>
        <w:t>2.合同合计金额是履行合同的最终价格，</w:t>
      </w:r>
      <w:r>
        <w:rPr>
          <w:rFonts w:hint="eastAsia" w:ascii="宋体" w:hAnsi="宋体" w:cs="宋体"/>
          <w:color w:val="auto"/>
          <w:sz w:val="24"/>
          <w:highlight w:val="none"/>
        </w:rPr>
        <w:t>包含但不限于苍梧县7个就业服务站和3个零工市场站点以及9个村级就业服务站驻场人员薪资福利费、宣传费用、服务对接、电费、税费、管理费用等运营项目所产生的所有费用。</w:t>
      </w:r>
      <w:r>
        <w:rPr>
          <w:rFonts w:hint="eastAsia" w:ascii="宋体" w:hAnsi="宋体" w:cs="宋体"/>
          <w:color w:val="auto"/>
          <w:sz w:val="24"/>
          <w:highlight w:val="none"/>
        </w:rPr>
        <w:t>乙方</w:t>
      </w:r>
      <w:r>
        <w:rPr>
          <w:rFonts w:hint="eastAsia" w:ascii="宋体" w:hAnsi="宋体" w:cs="宋体"/>
          <w:color w:val="auto"/>
          <w:sz w:val="24"/>
          <w:highlight w:val="none"/>
        </w:rPr>
        <w:t>应将上述费用综合考虑在报价中，</w:t>
      </w:r>
      <w:r>
        <w:rPr>
          <w:rFonts w:hint="eastAsia" w:ascii="宋体" w:hAnsi="宋体"/>
          <w:bCs/>
          <w:color w:val="auto"/>
          <w:sz w:val="24"/>
          <w:highlight w:val="none"/>
        </w:rPr>
        <w:t>除合同价款及</w:t>
      </w:r>
      <w:r>
        <w:rPr>
          <w:rFonts w:hint="eastAsia" w:ascii="宋体" w:hAnsi="宋体"/>
          <w:bCs/>
          <w:color w:val="auto"/>
          <w:sz w:val="24"/>
          <w:highlight w:val="none"/>
        </w:rPr>
        <w:t>甲方</w:t>
      </w:r>
      <w:r>
        <w:rPr>
          <w:rFonts w:hint="eastAsia" w:ascii="宋体" w:hAnsi="宋体"/>
          <w:bCs/>
          <w:color w:val="auto"/>
          <w:sz w:val="24"/>
          <w:highlight w:val="none"/>
        </w:rPr>
        <w:t>认可的特殊情况外，</w:t>
      </w:r>
      <w:r>
        <w:rPr>
          <w:rFonts w:hint="eastAsia" w:ascii="宋体" w:hAnsi="宋体"/>
          <w:bCs/>
          <w:color w:val="auto"/>
          <w:sz w:val="24"/>
          <w:highlight w:val="none"/>
        </w:rPr>
        <w:t>甲方不再为本项目另付其他任何费用</w:t>
      </w:r>
      <w:r>
        <w:rPr>
          <w:rFonts w:hint="eastAsia" w:ascii="宋体" w:hAnsi="宋体" w:cs="宋体"/>
          <w:color w:val="auto"/>
          <w:sz w:val="24"/>
          <w:highlight w:val="none"/>
        </w:rPr>
        <w:t>给乙方</w:t>
      </w:r>
      <w:r>
        <w:rPr>
          <w:rFonts w:hint="eastAsia" w:ascii="宋体" w:hAnsi="宋体" w:cs="宋体"/>
          <w:color w:val="auto"/>
          <w:sz w:val="24"/>
          <w:highlight w:val="none"/>
        </w:rPr>
        <w:t>。</w:t>
      </w:r>
    </w:p>
    <w:p w14:paraId="7538F120">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第二条　标的质量</w:t>
      </w:r>
    </w:p>
    <w:p w14:paraId="0642D957">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乙方所提供的服务及服务内容必须与响应承诺相一致，且满足项目实施要求，有国家强制性标准的，还必须符合国家强制性标准的规定，没有国家强制性标准但有其他强制性标准的，必须符合其他强制性标准的规定。</w:t>
      </w:r>
    </w:p>
    <w:p w14:paraId="63DDC4C0">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第三条  甲乙方权利和义务</w:t>
      </w:r>
    </w:p>
    <w:p w14:paraId="4881E70A">
      <w:pPr>
        <w:pStyle w:val="2"/>
        <w:spacing w:after="0" w:line="440" w:lineRule="exact"/>
        <w:ind w:firstLine="542"/>
        <w:outlineLvl w:val="4"/>
        <w:rPr>
          <w:rFonts w:ascii="宋体" w:hAnsi="宋体" w:cs="宋体"/>
          <w:color w:val="auto"/>
          <w:sz w:val="24"/>
          <w:highlight w:val="none"/>
        </w:rPr>
      </w:pPr>
      <w:r>
        <w:rPr>
          <w:rFonts w:hint="eastAsia" w:ascii="宋体" w:hAnsi="宋体" w:cs="宋体"/>
          <w:b/>
          <w:bCs/>
          <w:color w:val="auto"/>
          <w:spacing w:val="15"/>
          <w:sz w:val="24"/>
          <w:highlight w:val="none"/>
        </w:rPr>
        <w:t>(一)甲方权利和义务</w:t>
      </w:r>
    </w:p>
    <w:p w14:paraId="1E544095">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1.甲方有权对乙方违反合同有关条款的行为提出书面意见，并要求乙方7日内予以改正；甲方对乙方员工的安排可以提出建议和要求，对不符合岗位需求的，可要求乙方更换，并就更换原因提供书面材料。</w:t>
      </w:r>
    </w:p>
    <w:p w14:paraId="5FE09DBB">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2.甲方有权对乙方提供服务内容和质量进行定期考评，并建立详细的服务质量评估和反馈机制。甲方将择期对乙方的服务质量进行评估，并将评估结果反馈给乙方，以确保乙方的服务始终符合合同要求。</w:t>
      </w:r>
    </w:p>
    <w:p w14:paraId="41044B4B">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3.对不服从工作安排、工作不负责或因工作失职给甲方造成不良影响的乙方员工，甲方有权书面通知乙方于限期内进行调换或辞退。</w:t>
      </w:r>
    </w:p>
    <w:p w14:paraId="6867C0F5">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4.甲方有权检查监督乙方管理工作的实施及制度的执行情况。</w:t>
      </w:r>
    </w:p>
    <w:p w14:paraId="76C55513">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5.因乙方违反双方签订的合同，不能满足甲方正常服务需求，给甲方造成工作不便或不良影响的，甲方有权终止合同(或协议)并要求乙方承担违约责任，乙方应无条件接受。</w:t>
      </w:r>
    </w:p>
    <w:p w14:paraId="792150EB">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6.甲方因业务工作范围或管理项目增加或减少，经双方核定确定有关费用，</w:t>
      </w:r>
      <w:r>
        <w:rPr>
          <w:rFonts w:hint="eastAsia" w:ascii="宋体" w:hAnsi="宋体" w:cs="宋体"/>
          <w:color w:val="auto"/>
          <w:spacing w:val="7"/>
          <w:sz w:val="24"/>
          <w:highlight w:val="none"/>
        </w:rPr>
        <w:t>增加部分不增加服务费，减少部分双方核定后相应减少服务费</w:t>
      </w:r>
      <w:r>
        <w:rPr>
          <w:rFonts w:hint="eastAsia" w:ascii="宋体" w:hAnsi="宋体" w:cs="宋体"/>
          <w:color w:val="auto"/>
          <w:spacing w:val="8"/>
          <w:sz w:val="24"/>
          <w:highlight w:val="none"/>
        </w:rPr>
        <w:t>。</w:t>
      </w:r>
    </w:p>
    <w:p w14:paraId="59FB8D5D">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7.甲方不得要求员工从事违规、违章操作和危害公益的工作。如因违规、违章操作和危害公益行为给乙方或员工造成损害，甲方应赔偿由此而产生的经济损失。</w:t>
      </w:r>
    </w:p>
    <w:p w14:paraId="398AC625">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mc:AlternateContent>
          <mc:Choice Requires="wps">
            <w:drawing>
              <wp:anchor distT="0" distB="0" distL="114300" distR="114300" simplePos="0" relativeHeight="251659264" behindDoc="0" locked="0" layoutInCell="1" allowOverlap="1">
                <wp:simplePos x="0" y="0"/>
                <wp:positionH relativeFrom="column">
                  <wp:posOffset>6667500</wp:posOffset>
                </wp:positionH>
                <wp:positionV relativeFrom="paragraph">
                  <wp:posOffset>564515</wp:posOffset>
                </wp:positionV>
                <wp:extent cx="92710" cy="201295"/>
                <wp:effectExtent l="0" t="0" r="0" b="0"/>
                <wp:wrapNone/>
                <wp:docPr id="5" name="文本框 6"/>
                <wp:cNvGraphicFramePr/>
                <a:graphic xmlns:a="http://schemas.openxmlformats.org/drawingml/2006/main">
                  <a:graphicData uri="http://schemas.microsoft.com/office/word/2010/wordprocessingShape">
                    <wps:wsp>
                      <wps:cNvSpPr txBox="1"/>
                      <wps:spPr bwMode="auto">
                        <a:xfrm>
                          <a:off x="0" y="0"/>
                          <a:ext cx="92710" cy="201295"/>
                        </a:xfrm>
                        <a:prstGeom prst="rect">
                          <a:avLst/>
                        </a:prstGeom>
                        <a:noFill/>
                        <a:ln>
                          <a:noFill/>
                        </a:ln>
                        <a:effectLst/>
                      </wps:spPr>
                      <wps:txbx>
                        <w:txbxContent>
                          <w:p w14:paraId="25DFB4F7">
                            <w:pPr>
                              <w:pStyle w:val="2"/>
                              <w:spacing w:before="20" w:line="222" w:lineRule="auto"/>
                              <w:ind w:left="20"/>
                              <w:rPr>
                                <w:sz w:val="23"/>
                                <w:szCs w:val="23"/>
                              </w:rPr>
                            </w:pPr>
                            <w:bookmarkStart w:id="198" w:name="REVIEW_BM_253"/>
                            <w:bookmarkStart w:id="199" w:name="REVIEW_BM_362"/>
                            <w:r>
                              <w:rPr>
                                <w:color w:val="C04050"/>
                                <w:sz w:val="23"/>
                                <w:szCs w:val="23"/>
                                <w:highlight w:val="cyan"/>
                              </w:rPr>
                              <w:t>)</w:t>
                            </w:r>
                            <w:bookmarkEnd w:id="198"/>
                            <w:bookmarkEnd w:id="199"/>
                          </w:p>
                        </w:txbxContent>
                      </wps:txbx>
                      <wps:bodyPr lIns="0" tIns="0" rIns="0" bIns="0" upright="1"/>
                    </wps:wsp>
                  </a:graphicData>
                </a:graphic>
              </wp:anchor>
            </w:drawing>
          </mc:Choice>
          <mc:Fallback>
            <w:pict>
              <v:shape id="文本框 6" o:spid="_x0000_s1026" o:spt="202" type="#_x0000_t202" style="position:absolute;left:0pt;margin-left:525pt;margin-top:44.45pt;height:15.85pt;width:7.3pt;z-index:251659264;mso-width-relative:page;mso-height-relative:page;" filled="f" stroked="f" coordsize="21600,21600" o:gfxdata="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j7ucY2QAAAAwBAAAPAAAAAAAAAAEAIAAAACIAAABkcnMvZG93&#10;bnJldi54bWxQSwECFAAUAAAACACHTuJA7W5s7MYBAACMAwAADgAAAAAAAAABACAAAAAoAQAAZHJz&#10;L2Uyb0RvYy54bWxQSwUGAAAAAAYABgBZAQAAYAUAAAAA&#10;">
                <v:fill on="f" focussize="0,0"/>
                <v:stroke on="f"/>
                <v:imagedata o:title=""/>
                <o:lock v:ext="edit" aspectratio="f"/>
                <v:textbox inset="0mm,0mm,0mm,0mm">
                  <w:txbxContent>
                    <w:p w14:paraId="25DFB4F7">
                      <w:pPr>
                        <w:pStyle w:val="2"/>
                        <w:spacing w:before="20" w:line="222" w:lineRule="auto"/>
                        <w:ind w:left="20"/>
                        <w:rPr>
                          <w:sz w:val="23"/>
                          <w:szCs w:val="23"/>
                        </w:rPr>
                      </w:pPr>
                      <w:bookmarkStart w:id="198" w:name="REVIEW_BM_253"/>
                      <w:bookmarkStart w:id="199" w:name="REVIEW_BM_362"/>
                      <w:r>
                        <w:rPr>
                          <w:color w:val="C04050"/>
                          <w:sz w:val="23"/>
                          <w:szCs w:val="23"/>
                          <w:highlight w:val="cyan"/>
                        </w:rPr>
                        <w:t>)</w:t>
                      </w:r>
                      <w:bookmarkEnd w:id="198"/>
                      <w:bookmarkEnd w:id="199"/>
                    </w:p>
                  </w:txbxContent>
                </v:textbox>
              </v:shape>
            </w:pict>
          </mc:Fallback>
        </mc:AlternateContent>
      </w:r>
      <w:r>
        <w:rPr>
          <w:rFonts w:hint="eastAsia" w:ascii="宋体" w:hAnsi="宋体" w:cs="宋体"/>
          <w:color w:val="auto"/>
          <w:spacing w:val="8"/>
          <w:sz w:val="24"/>
          <w:highlight w:val="none"/>
        </w:rPr>
        <w:t>8.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41510690">
      <w:pPr>
        <w:pStyle w:val="2"/>
        <w:spacing w:after="0" w:line="440" w:lineRule="exact"/>
        <w:ind w:firstLine="554"/>
        <w:outlineLvl w:val="4"/>
        <w:rPr>
          <w:rFonts w:ascii="宋体" w:hAnsi="宋体" w:cs="宋体"/>
          <w:color w:val="auto"/>
          <w:sz w:val="24"/>
          <w:highlight w:val="none"/>
        </w:rPr>
      </w:pPr>
      <w:r>
        <w:rPr>
          <w:rFonts w:hint="eastAsia" w:ascii="宋体" w:hAnsi="宋体" w:cs="宋体"/>
          <w:b/>
          <w:bCs/>
          <w:color w:val="auto"/>
          <w:spacing w:val="18"/>
          <w:sz w:val="24"/>
          <w:highlight w:val="none"/>
        </w:rPr>
        <w:t>(二)乙方权利和义务</w:t>
      </w:r>
    </w:p>
    <w:p w14:paraId="57CA889F">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1.乙方应设立专职现场管理人员处理日常人力资源服务事务（包括与员工沟通、满意度调查、政策咨询、答疑解惑等），与甲方随时保持沟通和交流，针对甲方或员工提出的需求或建议整理成报告形式后递交至甲方，并将其管理制度及办法抄送甲方备案。乙方在提供服务时应严格遵守国家和地方的相关法律法规、行业标准以及甲方提出的特定质量标准，确保服务质量符合甲方的要求。</w:t>
      </w:r>
    </w:p>
    <w:p w14:paraId="6A051B75">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2.乙方应按国家等相关法律法规，与员工签订劳动合同及相关保密协议，并履行相关用工手续，严格考核，对特殊岗位做到持证上岗，为甲方提供优质服务。</w:t>
      </w:r>
    </w:p>
    <w:p w14:paraId="67EDA35D">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mc:AlternateContent>
          <mc:Choice Requires="wps">
            <w:drawing>
              <wp:anchor distT="0" distB="0" distL="114300" distR="114300" simplePos="0" relativeHeight="251661312" behindDoc="0" locked="0" layoutInCell="1" allowOverlap="1">
                <wp:simplePos x="0" y="0"/>
                <wp:positionH relativeFrom="column">
                  <wp:posOffset>6673850</wp:posOffset>
                </wp:positionH>
                <wp:positionV relativeFrom="paragraph">
                  <wp:posOffset>356235</wp:posOffset>
                </wp:positionV>
                <wp:extent cx="151130" cy="83185"/>
                <wp:effectExtent l="0" t="0" r="0" b="0"/>
                <wp:wrapNone/>
                <wp:docPr id="6" name="文本框 7"/>
                <wp:cNvGraphicFramePr/>
                <a:graphic xmlns:a="http://schemas.openxmlformats.org/drawingml/2006/main">
                  <a:graphicData uri="http://schemas.microsoft.com/office/word/2010/wordprocessingShape">
                    <wps:wsp>
                      <wps:cNvSpPr txBox="1"/>
                      <wps:spPr bwMode="auto">
                        <a:xfrm>
                          <a:off x="0" y="0"/>
                          <a:ext cx="151130" cy="83185"/>
                        </a:xfrm>
                        <a:prstGeom prst="rect">
                          <a:avLst/>
                        </a:prstGeom>
                        <a:noFill/>
                        <a:ln>
                          <a:noFill/>
                        </a:ln>
                        <a:effectLst/>
                      </wps:spPr>
                      <wps:txbx>
                        <w:txbxContent>
                          <w:p w14:paraId="35D17962">
                            <w:pPr>
                              <w:spacing w:before="20" w:line="188" w:lineRule="auto"/>
                              <w:ind w:left="20"/>
                              <w:rPr>
                                <w:rFonts w:eastAsia="Times New Roman"/>
                                <w:sz w:val="10"/>
                                <w:szCs w:val="10"/>
                              </w:rPr>
                            </w:pPr>
                            <w:bookmarkStart w:id="200" w:name="REVIEW_BM_255"/>
                            <w:bookmarkStart w:id="201" w:name="REVIEW_BM_266"/>
                            <w:bookmarkStart w:id="202" w:name="REVIEW_BM_364"/>
                            <w:r>
                              <w:rPr>
                                <w:rFonts w:eastAsia="Times New Roman"/>
                                <w:color w:val="A04060"/>
                                <w:spacing w:val="-5"/>
                                <w:sz w:val="10"/>
                                <w:szCs w:val="10"/>
                                <w:highlight w:val="cyan"/>
                              </w:rPr>
                              <w:t>1</w:t>
                            </w:r>
                            <w:bookmarkEnd w:id="200"/>
                            <w:r>
                              <w:rPr>
                                <w:rFonts w:eastAsia="Times New Roman"/>
                                <w:color w:val="A04060"/>
                                <w:spacing w:val="6"/>
                                <w:sz w:val="10"/>
                                <w:szCs w:val="10"/>
                                <w:highlight w:val="cyan"/>
                              </w:rPr>
                              <w:t xml:space="preserve"> </w:t>
                            </w:r>
                            <w:bookmarkEnd w:id="201"/>
                            <w:r>
                              <w:rPr>
                                <w:rFonts w:eastAsia="Times New Roman"/>
                                <w:color w:val="A04060"/>
                                <w:spacing w:val="6"/>
                                <w:sz w:val="10"/>
                                <w:szCs w:val="10"/>
                                <w:highlight w:val="cyan"/>
                              </w:rPr>
                              <w:t xml:space="preserve"> </w:t>
                            </w:r>
                            <w:bookmarkEnd w:id="202"/>
                            <w:r>
                              <w:rPr>
                                <w:rFonts w:eastAsia="Times New Roman"/>
                                <w:color w:val="B06080"/>
                                <w:spacing w:val="-5"/>
                                <w:sz w:val="10"/>
                                <w:szCs w:val="10"/>
                              </w:rPr>
                              <w:t>21</w:t>
                            </w:r>
                          </w:p>
                        </w:txbxContent>
                      </wps:txbx>
                      <wps:bodyPr lIns="0" tIns="0" rIns="0" bIns="0" upright="1"/>
                    </wps:wsp>
                  </a:graphicData>
                </a:graphic>
              </wp:anchor>
            </w:drawing>
          </mc:Choice>
          <mc:Fallback>
            <w:pict>
              <v:shape id="文本框 7" o:spid="_x0000_s1026" o:spt="202" type="#_x0000_t202" style="position:absolute;left:0pt;margin-left:525.5pt;margin-top:28.05pt;height:6.55pt;width:11.9pt;z-index:251661312;mso-width-relative:page;mso-height-relative:page;" filled="f" stroked="f" coordsize="21600,21600" o:gfxdata="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PLES92QAAAAsBAAAPAAAAAAAAAAEAIAAAACIAAABkcnMvZG93&#10;bnJldi54bWxQSwECFAAUAAAACACHTuJAb/Oi4sYBAACMAwAADgAAAAAAAAABACAAAAAoAQAAZHJz&#10;L2Uyb0RvYy54bWxQSwUGAAAAAAYABgBZAQAAYAUAAAAA&#10;">
                <v:fill on="f" focussize="0,0"/>
                <v:stroke on="f"/>
                <v:imagedata o:title=""/>
                <o:lock v:ext="edit" aspectratio="f"/>
                <v:textbox inset="0mm,0mm,0mm,0mm">
                  <w:txbxContent>
                    <w:p w14:paraId="35D17962">
                      <w:pPr>
                        <w:spacing w:before="20" w:line="188" w:lineRule="auto"/>
                        <w:ind w:left="20"/>
                        <w:rPr>
                          <w:rFonts w:eastAsia="Times New Roman"/>
                          <w:sz w:val="10"/>
                          <w:szCs w:val="10"/>
                        </w:rPr>
                      </w:pPr>
                      <w:bookmarkStart w:id="200" w:name="REVIEW_BM_255"/>
                      <w:bookmarkStart w:id="201" w:name="REVIEW_BM_266"/>
                      <w:bookmarkStart w:id="202" w:name="REVIEW_BM_364"/>
                      <w:r>
                        <w:rPr>
                          <w:rFonts w:eastAsia="Times New Roman"/>
                          <w:color w:val="A04060"/>
                          <w:spacing w:val="-5"/>
                          <w:sz w:val="10"/>
                          <w:szCs w:val="10"/>
                          <w:highlight w:val="cyan"/>
                        </w:rPr>
                        <w:t>1</w:t>
                      </w:r>
                      <w:bookmarkEnd w:id="200"/>
                      <w:r>
                        <w:rPr>
                          <w:rFonts w:eastAsia="Times New Roman"/>
                          <w:color w:val="A04060"/>
                          <w:spacing w:val="6"/>
                          <w:sz w:val="10"/>
                          <w:szCs w:val="10"/>
                          <w:highlight w:val="cyan"/>
                        </w:rPr>
                        <w:t xml:space="preserve"> </w:t>
                      </w:r>
                      <w:bookmarkEnd w:id="201"/>
                      <w:r>
                        <w:rPr>
                          <w:rFonts w:eastAsia="Times New Roman"/>
                          <w:color w:val="A04060"/>
                          <w:spacing w:val="6"/>
                          <w:sz w:val="10"/>
                          <w:szCs w:val="10"/>
                          <w:highlight w:val="cyan"/>
                        </w:rPr>
                        <w:t xml:space="preserve"> </w:t>
                      </w:r>
                      <w:bookmarkEnd w:id="202"/>
                      <w:r>
                        <w:rPr>
                          <w:rFonts w:eastAsia="Times New Roman"/>
                          <w:color w:val="B06080"/>
                          <w:spacing w:val="-5"/>
                          <w:sz w:val="10"/>
                          <w:szCs w:val="10"/>
                        </w:rPr>
                        <w:t>21</w:t>
                      </w:r>
                    </w:p>
                  </w:txbxContent>
                </v:textbox>
              </v:shape>
            </w:pict>
          </mc:Fallback>
        </mc:AlternateContent>
      </w:r>
      <w:r>
        <w:rPr>
          <w:rFonts w:hint="eastAsia" w:ascii="宋体" w:hAnsi="宋体" w:cs="宋体"/>
          <w:color w:val="auto"/>
          <w:spacing w:val="8"/>
          <w:sz w:val="24"/>
          <w:highlight w:val="none"/>
        </w:rPr>
        <mc:AlternateContent>
          <mc:Choice Requires="wps">
            <w:drawing>
              <wp:anchor distT="0" distB="0" distL="114300" distR="114300" simplePos="0" relativeHeight="251660288" behindDoc="0" locked="0" layoutInCell="1" allowOverlap="1">
                <wp:simplePos x="0" y="0"/>
                <wp:positionH relativeFrom="column">
                  <wp:posOffset>6597650</wp:posOffset>
                </wp:positionH>
                <wp:positionV relativeFrom="paragraph">
                  <wp:posOffset>465455</wp:posOffset>
                </wp:positionV>
                <wp:extent cx="38100" cy="72390"/>
                <wp:effectExtent l="0" t="0" r="0" b="0"/>
                <wp:wrapNone/>
                <wp:docPr id="7" name="文本框 8"/>
                <wp:cNvGraphicFramePr/>
                <a:graphic xmlns:a="http://schemas.openxmlformats.org/drawingml/2006/main">
                  <a:graphicData uri="http://schemas.microsoft.com/office/word/2010/wordprocessingShape">
                    <wps:wsp>
                      <wps:cNvSpPr txBox="1"/>
                      <wps:spPr bwMode="auto">
                        <a:xfrm>
                          <a:off x="0" y="0"/>
                          <a:ext cx="38100" cy="72390"/>
                        </a:xfrm>
                        <a:prstGeom prst="rect">
                          <a:avLst/>
                        </a:prstGeom>
                        <a:noFill/>
                        <a:ln>
                          <a:noFill/>
                        </a:ln>
                        <a:effectLst/>
                      </wps:spPr>
                      <wps:txbx>
                        <w:txbxContent>
                          <w:p w14:paraId="14422B6B">
                            <w:pPr>
                              <w:spacing w:before="20" w:line="192" w:lineRule="auto"/>
                              <w:ind w:left="20"/>
                              <w:rPr>
                                <w:rFonts w:eastAsia="Times New Roman"/>
                                <w:sz w:val="8"/>
                                <w:szCs w:val="8"/>
                              </w:rPr>
                            </w:pPr>
                            <w:bookmarkStart w:id="203" w:name="REVIEW_BM_267"/>
                            <w:bookmarkStart w:id="204" w:name="REVIEW_BM_365"/>
                            <w:bookmarkStart w:id="205" w:name="REVIEW_BM_256"/>
                            <w:r>
                              <w:rPr>
                                <w:rFonts w:eastAsia="Times New Roman"/>
                                <w:color w:val="B08090"/>
                                <w:sz w:val="8"/>
                                <w:szCs w:val="8"/>
                                <w:highlight w:val="cyan"/>
                              </w:rPr>
                              <w:t>l</w:t>
                            </w:r>
                            <w:bookmarkEnd w:id="203"/>
                            <w:bookmarkEnd w:id="204"/>
                            <w:bookmarkEnd w:id="205"/>
                          </w:p>
                        </w:txbxContent>
                      </wps:txbx>
                      <wps:bodyPr lIns="0" tIns="0" rIns="0" bIns="0" upright="1"/>
                    </wps:wsp>
                  </a:graphicData>
                </a:graphic>
              </wp:anchor>
            </w:drawing>
          </mc:Choice>
          <mc:Fallback>
            <w:pict>
              <v:shape id="文本框 8" o:spid="_x0000_s1026" o:spt="202" type="#_x0000_t202" style="position:absolute;left:0pt;margin-left:519.5pt;margin-top:36.65pt;height:5.7pt;width:3pt;z-index:251660288;mso-width-relative:page;mso-height-relative:page;" filled="f" stroked="f" coordsize="21600,21600" o:gfxdata="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kjkd9dkAAAALAQAADwAAAAAAAAABACAAAAAiAAAAZHJzL2Rv&#10;d25yZXYueG1sUEsBAhQAFAAAAAgAh07iQOl8duLHAQAAiwMAAA4AAAAAAAAAAQAgAAAAKAEAAGRy&#10;cy9lMm9Eb2MueG1sUEsFBgAAAAAGAAYAWQEAAGEFAAAAAA==&#10;">
                <v:fill on="f" focussize="0,0"/>
                <v:stroke on="f"/>
                <v:imagedata o:title=""/>
                <o:lock v:ext="edit" aspectratio="f"/>
                <v:textbox inset="0mm,0mm,0mm,0mm">
                  <w:txbxContent>
                    <w:p w14:paraId="14422B6B">
                      <w:pPr>
                        <w:spacing w:before="20" w:line="192" w:lineRule="auto"/>
                        <w:ind w:left="20"/>
                        <w:rPr>
                          <w:rFonts w:eastAsia="Times New Roman"/>
                          <w:sz w:val="8"/>
                          <w:szCs w:val="8"/>
                        </w:rPr>
                      </w:pPr>
                      <w:bookmarkStart w:id="203" w:name="REVIEW_BM_267"/>
                      <w:bookmarkStart w:id="204" w:name="REVIEW_BM_365"/>
                      <w:bookmarkStart w:id="205" w:name="REVIEW_BM_256"/>
                      <w:r>
                        <w:rPr>
                          <w:rFonts w:eastAsia="Times New Roman"/>
                          <w:color w:val="B08090"/>
                          <w:sz w:val="8"/>
                          <w:szCs w:val="8"/>
                          <w:highlight w:val="cyan"/>
                        </w:rPr>
                        <w:t>l</w:t>
                      </w:r>
                      <w:bookmarkEnd w:id="203"/>
                      <w:bookmarkEnd w:id="204"/>
                      <w:bookmarkEnd w:id="205"/>
                    </w:p>
                  </w:txbxContent>
                </v:textbox>
              </v:shape>
            </w:pict>
          </mc:Fallback>
        </mc:AlternateContent>
      </w:r>
      <w:r>
        <w:rPr>
          <w:rFonts w:hint="eastAsia" w:ascii="宋体" w:hAnsi="宋体" w:cs="宋体"/>
          <w:color w:val="auto"/>
          <w:spacing w:val="8"/>
          <w:sz w:val="24"/>
          <w:highlight w:val="none"/>
        </w:rPr>
        <w:t>3.乙方按月支付员工工资待遇；乙方应按时足额向员工支付劳动报酬，按时足额为员工缴纳各项社会保险费，无正当理由不得克扣、拖欠员工的工资或各项社会保险，由此造成的行政、劳动、民事等纠纷由乙方负责。若乙方未能按时支付员工工资或社会保险费，甲方有权要求乙方支付每日按未支付金额0.5‰的违约金，直至支付完毕为止。</w:t>
      </w:r>
    </w:p>
    <w:p w14:paraId="5A3623FD">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4.乙方负责员工社会保险缴费、年审、稽核、变更、转移合并、待遇办理最新流程咨询和解读。</w:t>
      </w:r>
    </w:p>
    <w:p w14:paraId="342B642C">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5.乙方及其员工、分包商、顾问以及其他与本项目相关的人员均应严格保守与甲方业务有关包括但不限于以下类型的资料和信息，不得以任何形式泄露：</w:t>
      </w:r>
    </w:p>
    <w:p w14:paraId="72457E73">
      <w:pPr>
        <w:spacing w:line="440" w:lineRule="exact"/>
        <w:ind w:firstLine="480"/>
        <w:rPr>
          <w:rFonts w:ascii="宋体" w:hAnsi="宋体" w:cs="宋体"/>
          <w:color w:val="auto"/>
          <w:sz w:val="24"/>
          <w:highlight w:val="none"/>
        </w:rPr>
      </w:pPr>
      <w:r>
        <w:rPr>
          <w:rFonts w:hint="eastAsia" w:ascii="宋体" w:hAnsi="宋体" w:cs="宋体"/>
          <w:color w:val="auto"/>
          <w:sz w:val="24"/>
          <w:highlight w:val="none"/>
        </w:rPr>
        <w:t>（1）甲方的商业秘密，包括但不限于客户名单、市场策略、财务信息、未公开的业务计划等；</w:t>
      </w:r>
      <w:r>
        <w:rPr>
          <w:rFonts w:hint="eastAsia" w:ascii="宋体" w:hAnsi="宋体" w:cs="宋体"/>
          <w:color w:val="auto"/>
          <w:sz w:val="24"/>
          <w:highlight w:val="none"/>
        </w:rPr>
        <w:br w:type="textWrapping"/>
      </w:r>
      <w:r>
        <w:rPr>
          <w:rFonts w:hint="eastAsia" w:ascii="宋体" w:hAnsi="宋体" w:cs="宋体"/>
          <w:color w:val="auto"/>
          <w:sz w:val="24"/>
          <w:highlight w:val="none"/>
        </w:rPr>
        <w:t xml:space="preserve">    （2）甲方的技术秘密，包括但不限于技术方案、研发成果、源代码等；</w:t>
      </w:r>
      <w:r>
        <w:rPr>
          <w:rFonts w:hint="eastAsia" w:ascii="宋体" w:hAnsi="宋体" w:cs="宋体"/>
          <w:color w:val="auto"/>
          <w:sz w:val="24"/>
          <w:highlight w:val="none"/>
        </w:rPr>
        <w:br w:type="textWrapping"/>
      </w:r>
      <w:r>
        <w:rPr>
          <w:rFonts w:hint="eastAsia" w:ascii="宋体" w:hAnsi="宋体" w:cs="宋体"/>
          <w:color w:val="auto"/>
          <w:sz w:val="24"/>
          <w:highlight w:val="none"/>
        </w:rPr>
        <w:t xml:space="preserve">    （3）甲方的内部管理文件，包括但不限于人事档案、会议纪要、内部邮件等。</w:t>
      </w:r>
    </w:p>
    <w:p w14:paraId="788D92EE">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若乙方或其相关人员因工作失职或故意行为导致甲方商业秘密或敏感信息泄露，乙方应立即采取补救措施，并向甲方支付相当于合同总金额20%的违约金，同时承担因此给甲方造成的全部直接和间接损失。</w:t>
      </w:r>
    </w:p>
    <w:p w14:paraId="42AA18FB">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6.乙方员工因个人原因发生的治安和刑事案件由乙方负责处理，但若该行为与履行职务有关联，乙方应承担相应的法律责任，确保甲方免受因此带来的法律风险。</w:t>
      </w:r>
    </w:p>
    <w:p w14:paraId="1B02EA50">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7.负责劳动争议处理，并承担相应的法律风险与经济责任(符合法律法规规定解除或终止劳动关系产生的经济补偿)；凡乙方违反《中华人民共和国民法典》等相关法律法规给员工造成实际经济损失乙方应依法承担赔偿责任。</w:t>
      </w:r>
    </w:p>
    <w:p w14:paraId="6CCCB733">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8.乙方负责组织和实施招聘岗位员工的岗前培训。</w:t>
      </w:r>
    </w:p>
    <w:p w14:paraId="051F4C53">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9.国家法律法规、政策规定应由乙方承担的其他责任和义务。</w:t>
      </w:r>
    </w:p>
    <w:p w14:paraId="319C4137">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10.其他人力资源管理相关事宜。</w:t>
      </w:r>
    </w:p>
    <w:p w14:paraId="0BA3A871">
      <w:pPr>
        <w:spacing w:line="440" w:lineRule="exact"/>
        <w:ind w:firstLine="512"/>
        <w:rPr>
          <w:rFonts w:ascii="宋体" w:hAnsi="宋体" w:cs="宋体"/>
          <w:color w:val="auto"/>
          <w:spacing w:val="8"/>
          <w:sz w:val="24"/>
          <w:highlight w:val="none"/>
        </w:rPr>
      </w:pPr>
      <w:r>
        <w:rPr>
          <w:rFonts w:hint="eastAsia" w:ascii="宋体" w:hAnsi="宋体" w:cs="宋体"/>
          <w:color w:val="auto"/>
          <w:spacing w:val="8"/>
          <w:sz w:val="24"/>
          <w:highlight w:val="none"/>
        </w:rPr>
        <w:t>11、乙方应保证所提供服务在使用时不会侵犯任何第三方的专利权、商标权、工业设计权等知识产权及其他合法权利，且所有权、处分权等没有受到任何限制；如侵犯任何第三方知识产权及其他合法权利的，均视同甲方完全不知情且无过错，由乙方自行承担有关法律责任。</w:t>
      </w:r>
    </w:p>
    <w:p w14:paraId="62D26D14">
      <w:pPr>
        <w:spacing w:line="440" w:lineRule="exact"/>
        <w:ind w:firstLine="500"/>
        <w:rPr>
          <w:rFonts w:ascii="宋体" w:hAnsi="宋体" w:cs="宋体"/>
          <w:color w:val="auto"/>
          <w:spacing w:val="5"/>
          <w:sz w:val="24"/>
          <w:highlight w:val="none"/>
        </w:rPr>
      </w:pPr>
      <w:r>
        <w:rPr>
          <w:rFonts w:hint="eastAsia" w:ascii="宋体" w:hAnsi="宋体" w:cs="宋体"/>
          <w:color w:val="auto"/>
          <w:spacing w:val="8"/>
          <w:sz w:val="24"/>
          <w:highlight w:val="none"/>
        </w:rPr>
        <w:t>12.乙方承担在提供服务期间所发生于现场管理下或紧密关联部门、位置的</w:t>
      </w:r>
      <w:r>
        <w:rPr>
          <w:rFonts w:hint="eastAsia" w:ascii="宋体" w:hAnsi="宋体" w:cs="宋体"/>
          <w:color w:val="auto"/>
          <w:spacing w:val="5"/>
          <w:sz w:val="24"/>
          <w:highlight w:val="none"/>
        </w:rPr>
        <w:t>员工或第三人的安全保障义务。乙方应制定并实施详细的安全保障计划，包括但不限于安全培训、设施设备检查、应急预案等，并确保所有参与服务的员工接受充分的安全培训。如因乙方未履行上述安全保障义务造成员工或第三人损失的，乙方支付相当于合同金额10%的违约金，并赔偿因此造成的全部损失（具体赔偿标准参照国家相关法律法规及行业标准执行），与甲方无关。</w:t>
      </w:r>
    </w:p>
    <w:p w14:paraId="63509A0B">
      <w:pPr>
        <w:spacing w:line="440" w:lineRule="exact"/>
        <w:ind w:firstLine="500"/>
        <w:rPr>
          <w:rFonts w:ascii="宋体" w:hAnsi="宋体" w:cs="宋体"/>
          <w:b/>
          <w:bCs/>
          <w:color w:val="auto"/>
          <w:sz w:val="24"/>
          <w:highlight w:val="none"/>
        </w:rPr>
      </w:pPr>
      <w:r>
        <w:rPr>
          <w:rFonts w:hint="eastAsia" w:ascii="宋体" w:hAnsi="宋体" w:cs="宋体"/>
          <w:b/>
          <w:bCs/>
          <w:color w:val="auto"/>
          <w:spacing w:val="5"/>
          <w:sz w:val="24"/>
          <w:highlight w:val="none"/>
        </w:rPr>
        <w:t>第四条  交付和验</w:t>
      </w:r>
      <w:r>
        <w:rPr>
          <w:rFonts w:hint="eastAsia" w:ascii="宋体" w:hAnsi="宋体" w:cs="宋体"/>
          <w:b/>
          <w:bCs/>
          <w:color w:val="auto"/>
          <w:sz w:val="24"/>
          <w:highlight w:val="none"/>
        </w:rPr>
        <w:t>收</w:t>
      </w:r>
    </w:p>
    <w:p w14:paraId="0B219345">
      <w:pPr>
        <w:spacing w:line="440" w:lineRule="exact"/>
        <w:ind w:firstLine="500"/>
        <w:rPr>
          <w:rFonts w:ascii="宋体" w:hAnsi="宋体" w:cs="宋体"/>
          <w:color w:val="auto"/>
          <w:spacing w:val="5"/>
          <w:sz w:val="24"/>
          <w:highlight w:val="none"/>
        </w:rPr>
      </w:pPr>
      <w:r>
        <w:rPr>
          <w:rFonts w:hint="eastAsia" w:ascii="宋体" w:hAnsi="宋体" w:cs="宋体"/>
          <w:color w:val="auto"/>
          <w:spacing w:val="5"/>
          <w:sz w:val="24"/>
          <w:highlight w:val="none"/>
        </w:rPr>
        <w:t>1.合同履约期：</w:t>
      </w:r>
      <w:r>
        <w:rPr>
          <w:rFonts w:hint="eastAsia" w:ascii="宋体" w:hAnsi="宋体" w:cs="宋体"/>
          <w:color w:val="auto"/>
          <w:spacing w:val="5"/>
          <w:sz w:val="24"/>
          <w:highlight w:val="none"/>
          <w:u w:val="single"/>
        </w:rPr>
        <w:t xml:space="preserve">                </w:t>
      </w:r>
      <w:r>
        <w:rPr>
          <w:rFonts w:hint="eastAsia" w:ascii="宋体" w:hAnsi="宋体" w:cs="宋体"/>
          <w:color w:val="auto"/>
          <w:spacing w:val="5"/>
          <w:sz w:val="24"/>
          <w:highlight w:val="none"/>
        </w:rPr>
        <w:t>，服务地点：</w:t>
      </w:r>
      <w:r>
        <w:rPr>
          <w:rFonts w:hint="eastAsia" w:ascii="宋体" w:hAnsi="宋体" w:cs="宋体"/>
          <w:color w:val="auto"/>
          <w:spacing w:val="4"/>
          <w:sz w:val="24"/>
          <w:highlight w:val="none"/>
          <w:u w:val="single"/>
        </w:rPr>
        <w:t xml:space="preserve">                    </w:t>
      </w:r>
      <w:r>
        <w:rPr>
          <w:rFonts w:hint="eastAsia" w:ascii="宋体" w:hAnsi="宋体" w:cs="宋体"/>
          <w:color w:val="auto"/>
          <w:spacing w:val="5"/>
          <w:sz w:val="24"/>
          <w:highlight w:val="none"/>
        </w:rPr>
        <w:t>。如遇政策变化、不可抗力等特殊情况，双方应协商调整服务期限，并以书面形式确认调整后的服务期限。</w:t>
      </w:r>
    </w:p>
    <w:p w14:paraId="77C6FB42">
      <w:pPr>
        <w:pStyle w:val="8"/>
        <w:spacing w:line="440" w:lineRule="exact"/>
        <w:rPr>
          <w:rFonts w:ascii="宋体" w:hAnsi="宋体" w:cs="宋体"/>
          <w:color w:val="auto"/>
          <w:spacing w:val="5"/>
          <w:sz w:val="24"/>
          <w:szCs w:val="24"/>
          <w:highlight w:val="none"/>
        </w:rPr>
      </w:pPr>
      <w:r>
        <w:rPr>
          <w:rFonts w:hint="eastAsia" w:ascii="宋体" w:hAnsi="宋体" w:cs="宋体"/>
          <w:color w:val="auto"/>
          <w:spacing w:val="5"/>
          <w:sz w:val="24"/>
          <w:szCs w:val="24"/>
          <w:highlight w:val="none"/>
        </w:rPr>
        <w:t>2.验收方式及标准：</w:t>
      </w:r>
    </w:p>
    <w:p w14:paraId="6C1452C6">
      <w:pPr>
        <w:spacing w:line="440" w:lineRule="exact"/>
        <w:ind w:firstLine="500"/>
        <w:rPr>
          <w:rFonts w:ascii="宋体" w:hAnsi="宋体" w:cs="宋体"/>
          <w:color w:val="auto"/>
          <w:spacing w:val="5"/>
          <w:sz w:val="24"/>
          <w:highlight w:val="none"/>
        </w:rPr>
      </w:pPr>
      <w:r>
        <w:rPr>
          <w:rFonts w:hint="eastAsia" w:ascii="宋体" w:hAnsi="宋体" w:cs="宋体"/>
          <w:color w:val="auto"/>
          <w:spacing w:val="5"/>
          <w:sz w:val="24"/>
          <w:highlight w:val="none"/>
        </w:rPr>
        <w:t>由甲方工作专班组成考核小组负责对运营服务工作进行全程监督检查，对乙方年内工作完成情况进行考核，其中部分指标为整体完成指标，完成整体任务则整体加分，完成不了则各个站点相应扣分。除本次采购服务费用外，不再另行支付成交供应商任何费用。合同到期后，要求乙方确保场点的设施及设备完整完好，并移交给后续运营服务方。</w:t>
      </w:r>
    </w:p>
    <w:p w14:paraId="2E09FA0D">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第五条  售后服务及培训</w:t>
      </w:r>
    </w:p>
    <w:p w14:paraId="2CD64FE4">
      <w:pPr>
        <w:spacing w:line="440" w:lineRule="exact"/>
        <w:ind w:firstLine="508"/>
        <w:rPr>
          <w:rFonts w:ascii="宋体" w:hAnsi="宋体" w:cs="宋体"/>
          <w:color w:val="auto"/>
          <w:sz w:val="24"/>
          <w:highlight w:val="none"/>
        </w:rPr>
      </w:pPr>
      <w:r>
        <w:rPr>
          <w:rFonts w:hint="eastAsia" w:ascii="宋体" w:hAnsi="宋体" w:cs="宋体"/>
          <w:color w:val="auto"/>
          <w:spacing w:val="7"/>
          <w:sz w:val="24"/>
          <w:highlight w:val="none"/>
        </w:rPr>
        <w:t>1.乙方应按照国家有关法律法规和响应文件的要求为甲方提供相</w:t>
      </w:r>
      <w:r>
        <w:rPr>
          <w:rFonts w:hint="eastAsia" w:ascii="宋体" w:hAnsi="宋体" w:cs="宋体"/>
          <w:color w:val="auto"/>
          <w:spacing w:val="6"/>
          <w:sz w:val="24"/>
          <w:highlight w:val="none"/>
        </w:rPr>
        <w:t>应的售</w:t>
      </w:r>
      <w:r>
        <w:rPr>
          <w:rFonts w:hint="eastAsia" w:ascii="宋体" w:hAnsi="宋体" w:cs="宋体"/>
          <w:color w:val="auto"/>
          <w:spacing w:val="4"/>
          <w:sz w:val="24"/>
          <w:highlight w:val="none"/>
        </w:rPr>
        <w:t>后服务。</w:t>
      </w:r>
    </w:p>
    <w:p w14:paraId="24084EB4">
      <w:pPr>
        <w:spacing w:line="440" w:lineRule="exact"/>
        <w:ind w:firstLine="504"/>
        <w:rPr>
          <w:rFonts w:ascii="宋体" w:hAnsi="宋体" w:cs="宋体"/>
          <w:color w:val="auto"/>
          <w:sz w:val="24"/>
          <w:highlight w:val="none"/>
        </w:rPr>
      </w:pPr>
      <w:r>
        <w:rPr>
          <w:rFonts w:hint="eastAsia" w:ascii="宋体" w:hAnsi="宋体" w:cs="宋体"/>
          <w:color w:val="auto"/>
          <w:spacing w:val="6"/>
          <w:sz w:val="24"/>
          <w:highlight w:val="none"/>
        </w:rPr>
        <w:t>2.甲方应提供必要测试条件（如场地、</w:t>
      </w:r>
      <w:r>
        <w:rPr>
          <w:rFonts w:hint="eastAsia" w:ascii="宋体" w:hAnsi="宋体" w:cs="宋体"/>
          <w:color w:val="auto"/>
          <w:spacing w:val="-42"/>
          <w:sz w:val="24"/>
          <w:highlight w:val="none"/>
        </w:rPr>
        <w:t xml:space="preserve"> </w:t>
      </w:r>
      <w:r>
        <w:rPr>
          <w:rFonts w:hint="eastAsia" w:ascii="宋体" w:hAnsi="宋体" w:cs="宋体"/>
          <w:color w:val="auto"/>
          <w:spacing w:val="6"/>
          <w:sz w:val="24"/>
          <w:highlight w:val="none"/>
        </w:rPr>
        <w:t>电源、水源等）。</w:t>
      </w:r>
    </w:p>
    <w:p w14:paraId="5E77769F">
      <w:pPr>
        <w:pStyle w:val="8"/>
        <w:spacing w:line="440" w:lineRule="exact"/>
        <w:ind w:firstLine="508"/>
        <w:rPr>
          <w:color w:val="auto"/>
          <w:sz w:val="24"/>
          <w:szCs w:val="24"/>
          <w:highlight w:val="none"/>
        </w:rPr>
      </w:pPr>
      <w:r>
        <w:rPr>
          <w:rFonts w:hint="eastAsia" w:ascii="宋体" w:hAnsi="宋体" w:cs="宋体"/>
          <w:color w:val="auto"/>
          <w:spacing w:val="7"/>
          <w:sz w:val="24"/>
          <w:szCs w:val="24"/>
          <w:highlight w:val="none"/>
        </w:rPr>
        <w:t>3.乙方负责甲方有关人员的培训。培训时间、地点：</w:t>
      </w:r>
      <w:r>
        <w:rPr>
          <w:rFonts w:hint="eastAsia" w:ascii="宋体" w:hAnsi="宋体" w:cs="宋体"/>
          <w:color w:val="auto"/>
          <w:spacing w:val="7"/>
          <w:sz w:val="24"/>
          <w:szCs w:val="24"/>
          <w:highlight w:val="none"/>
          <w:u w:val="single"/>
        </w:rPr>
        <w:t xml:space="preserve">   /     </w:t>
      </w:r>
      <w:r>
        <w:rPr>
          <w:rFonts w:hint="eastAsia" w:ascii="宋体" w:hAnsi="宋体" w:cs="宋体"/>
          <w:color w:val="auto"/>
          <w:spacing w:val="7"/>
          <w:sz w:val="24"/>
          <w:szCs w:val="24"/>
          <w:highlight w:val="none"/>
        </w:rPr>
        <w:t>。</w:t>
      </w:r>
    </w:p>
    <w:p w14:paraId="18BDAE67">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第六条  付款方式</w:t>
      </w:r>
    </w:p>
    <w:p w14:paraId="40B3FB9D">
      <w:pPr>
        <w:spacing w:line="440" w:lineRule="exact"/>
        <w:ind w:firstLine="516"/>
        <w:rPr>
          <w:rFonts w:ascii="宋体" w:hAnsi="宋体" w:cs="宋体"/>
          <w:color w:val="auto"/>
          <w:spacing w:val="9"/>
          <w:sz w:val="24"/>
          <w:highlight w:val="none"/>
        </w:rPr>
      </w:pPr>
      <w:r>
        <w:rPr>
          <w:rFonts w:hint="eastAsia" w:ascii="宋体" w:hAnsi="宋体" w:cs="宋体"/>
          <w:color w:val="auto"/>
          <w:spacing w:val="9"/>
          <w:sz w:val="24"/>
          <w:highlight w:val="none"/>
        </w:rPr>
        <w:t>采用“预付款+周期考核结算”的支付模式，具体规则如下：</w:t>
      </w:r>
    </w:p>
    <w:p w14:paraId="769EB0B5">
      <w:pPr>
        <w:spacing w:line="440" w:lineRule="exact"/>
        <w:ind w:firstLine="518"/>
        <w:rPr>
          <w:rFonts w:ascii="宋体" w:hAnsi="宋体" w:cs="宋体"/>
          <w:color w:val="auto"/>
          <w:spacing w:val="7"/>
          <w:sz w:val="24"/>
          <w:highlight w:val="none"/>
        </w:rPr>
      </w:pPr>
      <w:r>
        <w:rPr>
          <w:rFonts w:hint="eastAsia" w:ascii="宋体" w:hAnsi="宋体" w:cs="宋体"/>
          <w:b/>
          <w:bCs/>
          <w:color w:val="auto"/>
          <w:spacing w:val="9"/>
          <w:sz w:val="24"/>
          <w:highlight w:val="none"/>
        </w:rPr>
        <w:t>1.周期基准运营服务费。</w:t>
      </w:r>
      <w:r>
        <w:rPr>
          <w:rFonts w:hint="eastAsia" w:ascii="宋体" w:hAnsi="宋体" w:cs="宋体"/>
          <w:color w:val="auto"/>
          <w:spacing w:val="7"/>
          <w:sz w:val="24"/>
          <w:highlight w:val="none"/>
        </w:rPr>
        <w:t>以单个站点为独立结算单位，每个镇级就业服务站的周期基准运营服务费 = 7个镇级就业服务站运营服务（即为标的1）合同金额  × 25% ÷ 7，每个零工市场的周期基准运营服务费=3个零工市场运营服务（即为标的2）合同金额 × 25% ÷ 3。标的1和标的2合同剩余款项按服务周期分期支付。各站点的当期支付金额均以其“单站周期基准运营服务费”为计算基数。</w:t>
      </w:r>
    </w:p>
    <w:p w14:paraId="07323C2F">
      <w:pPr>
        <w:spacing w:line="440" w:lineRule="exact"/>
        <w:ind w:firstLine="518"/>
        <w:rPr>
          <w:rFonts w:ascii="宋体" w:hAnsi="宋体" w:cs="宋体"/>
          <w:color w:val="auto"/>
          <w:spacing w:val="9"/>
          <w:sz w:val="24"/>
          <w:highlight w:val="none"/>
        </w:rPr>
      </w:pPr>
      <w:r>
        <w:rPr>
          <w:rFonts w:hint="eastAsia" w:ascii="宋体" w:hAnsi="宋体" w:cs="宋体"/>
          <w:b/>
          <w:bCs/>
          <w:color w:val="auto"/>
          <w:spacing w:val="9"/>
          <w:sz w:val="24"/>
          <w:highlight w:val="none"/>
        </w:rPr>
        <w:t>2.预付款支付。</w:t>
      </w:r>
      <w:r>
        <w:rPr>
          <w:rFonts w:hint="eastAsia" w:ascii="宋体" w:hAnsi="宋体" w:cs="宋体"/>
          <w:color w:val="auto"/>
          <w:spacing w:val="9"/>
          <w:sz w:val="24"/>
          <w:highlight w:val="none"/>
        </w:rPr>
        <w:t>合同签订后，向乙方支付合同总金额的30%作为预付款。</w:t>
      </w:r>
    </w:p>
    <w:p w14:paraId="3CE9CD57">
      <w:pPr>
        <w:spacing w:line="440" w:lineRule="exact"/>
        <w:ind w:firstLine="518"/>
        <w:rPr>
          <w:rFonts w:ascii="宋体" w:hAnsi="宋体" w:cs="宋体"/>
          <w:b/>
          <w:bCs/>
          <w:color w:val="auto"/>
          <w:spacing w:val="9"/>
          <w:sz w:val="24"/>
          <w:highlight w:val="none"/>
        </w:rPr>
      </w:pPr>
      <w:r>
        <w:rPr>
          <w:rFonts w:hint="eastAsia" w:ascii="宋体" w:hAnsi="宋体" w:cs="宋体"/>
          <w:b/>
          <w:bCs/>
          <w:color w:val="auto"/>
          <w:spacing w:val="9"/>
          <w:sz w:val="24"/>
          <w:highlight w:val="none"/>
        </w:rPr>
        <w:t>3.考核得分与周期基准服务费挂钩。</w:t>
      </w:r>
    </w:p>
    <w:p w14:paraId="7E74A5FE">
      <w:pPr>
        <w:spacing w:line="440" w:lineRule="exact"/>
        <w:ind w:firstLine="516"/>
        <w:rPr>
          <w:rFonts w:ascii="宋体" w:hAnsi="宋体" w:cs="宋体"/>
          <w:color w:val="auto"/>
          <w:spacing w:val="9"/>
          <w:sz w:val="24"/>
          <w:highlight w:val="none"/>
        </w:rPr>
      </w:pPr>
      <w:r>
        <w:rPr>
          <w:rFonts w:hint="eastAsia" w:ascii="宋体" w:hAnsi="宋体" w:cs="宋体"/>
          <w:color w:val="auto"/>
          <w:spacing w:val="9"/>
          <w:sz w:val="24"/>
          <w:highlight w:val="none"/>
        </w:rPr>
        <w:t>各站点依据考核指标逐项累计得分并单独考核评分，考核工作在每个服务周期结束后15日内完成。根据各站点的考核得分进行结算，</w:t>
      </w:r>
      <w:r>
        <w:rPr>
          <w:rFonts w:hint="eastAsia" w:ascii="宋体" w:hAnsi="宋体" w:cs="宋体"/>
          <w:color w:val="auto"/>
          <w:spacing w:val="9"/>
          <w:sz w:val="24"/>
          <w:highlight w:val="none"/>
        </w:rPr>
        <w:t>所有站点</w:t>
      </w:r>
      <w:r>
        <w:rPr>
          <w:rFonts w:hint="eastAsia" w:ascii="宋体" w:hAnsi="宋体" w:cs="宋体"/>
          <w:color w:val="auto"/>
          <w:spacing w:val="9"/>
          <w:sz w:val="24"/>
          <w:highlight w:val="none"/>
        </w:rPr>
        <w:t>考核得分在90分（含）以上，全额支付该期基准服务费用（在原来已支付预付款的基础上，再支付合同总剩余款项的25%）。单个站点考核得分在80分（含）—89.99分的，支付该站点该期基准服务费用的90%费用（在原来已支付预付款的基础上，再支付单个站点剩余合同款项的25%扣减一个周期10%的基准运营服务费用）；考核得分在70分（含）—79.99分的，支付该期基准服务费用的80%费用（在原来已支付预付款的基础上，再支付单个站点剩余合同款项的25%扣减一个周期20%的周期基准运营服务费）；考核得分在60分（含）-69.99</w:t>
      </w:r>
      <w:r>
        <w:rPr>
          <w:rFonts w:hint="eastAsia" w:ascii="宋体" w:hAnsi="宋体" w:cs="宋体"/>
          <w:color w:val="auto"/>
          <w:spacing w:val="9"/>
          <w:sz w:val="24"/>
          <w:highlight w:val="none"/>
          <w:lang w:val="en-US" w:eastAsia="zh-CN"/>
        </w:rPr>
        <w:t>分</w:t>
      </w:r>
      <w:r>
        <w:rPr>
          <w:rFonts w:hint="eastAsia" w:ascii="宋体" w:hAnsi="宋体" w:cs="宋体"/>
          <w:color w:val="auto"/>
          <w:spacing w:val="9"/>
          <w:sz w:val="24"/>
          <w:highlight w:val="none"/>
        </w:rPr>
        <w:t>的，支付该期基准服务费用的70%费用（在原来已支付预付款的基础上，再支付单个站点剩余合同款项的25%扣减一个周期30%的周期基准运营服务费）；考核得分在50分（含）—59.99 分的，支付该期基准服务费用的60%费用（在原来已支付预付款的基础上，再支付单个站点剩余合同款项的25%扣减一个周期40%的周期基准运营服务费）；考核平均分低于50分的将不支付该期基准服务费用，该期的服务费用列入下一期运营服务中开支</w:t>
      </w:r>
      <w:r>
        <w:rPr>
          <w:rFonts w:hint="eastAsia" w:ascii="宋体" w:hAnsi="宋体" w:cs="宋体"/>
          <w:color w:val="auto"/>
          <w:spacing w:val="9"/>
          <w:sz w:val="24"/>
          <w:highlight w:val="none"/>
        </w:rPr>
        <w:t>。</w:t>
      </w:r>
    </w:p>
    <w:p w14:paraId="0B25730C">
      <w:pPr>
        <w:spacing w:line="440" w:lineRule="exact"/>
        <w:ind w:firstLine="516"/>
        <w:rPr>
          <w:rFonts w:ascii="宋体" w:hAnsi="宋体" w:cs="宋体"/>
          <w:color w:val="auto"/>
          <w:spacing w:val="9"/>
          <w:sz w:val="24"/>
          <w:highlight w:val="none"/>
        </w:rPr>
      </w:pPr>
      <w:r>
        <w:rPr>
          <w:rFonts w:hint="eastAsia" w:ascii="宋体" w:hAnsi="宋体" w:cs="宋体"/>
          <w:color w:val="auto"/>
          <w:spacing w:val="9"/>
          <w:sz w:val="24"/>
          <w:highlight w:val="none"/>
        </w:rPr>
        <w:t>4.</w:t>
      </w:r>
      <w:r>
        <w:rPr>
          <w:rFonts w:ascii="宋体" w:hAnsi="宋体" w:cs="宋体"/>
          <w:color w:val="auto"/>
          <w:spacing w:val="9"/>
          <w:sz w:val="24"/>
          <w:highlight w:val="none"/>
        </w:rPr>
        <w:t>严重考核不达标的处理（50分以下）</w:t>
      </w:r>
      <w:r>
        <w:rPr>
          <w:rFonts w:hint="eastAsia" w:ascii="宋体" w:hAnsi="宋体" w:cs="宋体"/>
          <w:color w:val="auto"/>
          <w:spacing w:val="9"/>
          <w:sz w:val="24"/>
          <w:highlight w:val="none"/>
        </w:rPr>
        <w:t>。</w:t>
      </w:r>
    </w:p>
    <w:p w14:paraId="4E2023C8">
      <w:pPr>
        <w:spacing w:line="440" w:lineRule="exact"/>
        <w:ind w:firstLine="516"/>
        <w:rPr>
          <w:rFonts w:ascii="宋体" w:hAnsi="宋体" w:cs="宋体"/>
          <w:color w:val="auto"/>
          <w:spacing w:val="9"/>
          <w:sz w:val="24"/>
          <w:highlight w:val="none"/>
        </w:rPr>
      </w:pPr>
      <w:r>
        <w:rPr>
          <w:rFonts w:ascii="宋体" w:hAnsi="宋体" w:cs="宋体"/>
          <w:color w:val="auto"/>
          <w:spacing w:val="9"/>
          <w:sz w:val="24"/>
          <w:highlight w:val="none"/>
        </w:rPr>
        <w:t>若</w:t>
      </w:r>
      <w:r>
        <w:rPr>
          <w:rFonts w:hint="eastAsia" w:ascii="宋体" w:hAnsi="宋体" w:cs="宋体"/>
          <w:color w:val="auto"/>
          <w:spacing w:val="9"/>
          <w:sz w:val="24"/>
          <w:highlight w:val="none"/>
        </w:rPr>
        <w:t>超过30%的</w:t>
      </w:r>
      <w:r>
        <w:rPr>
          <w:rFonts w:ascii="宋体" w:hAnsi="宋体" w:cs="宋体"/>
          <w:color w:val="auto"/>
          <w:spacing w:val="9"/>
          <w:sz w:val="24"/>
          <w:highlight w:val="none"/>
        </w:rPr>
        <w:t>站点考核</w:t>
      </w:r>
      <w:r>
        <w:rPr>
          <w:rFonts w:hint="eastAsia" w:ascii="宋体" w:hAnsi="宋体" w:cs="宋体"/>
          <w:color w:val="auto"/>
          <w:spacing w:val="9"/>
          <w:sz w:val="24"/>
          <w:highlight w:val="none"/>
        </w:rPr>
        <w:t>得分</w:t>
      </w:r>
      <w:r>
        <w:rPr>
          <w:rFonts w:ascii="宋体" w:hAnsi="宋体" w:cs="宋体"/>
          <w:color w:val="auto"/>
          <w:spacing w:val="9"/>
          <w:sz w:val="24"/>
          <w:highlight w:val="none"/>
        </w:rPr>
        <w:t>低于50分，将触发违约处理机制</w:t>
      </w:r>
      <w:r>
        <w:rPr>
          <w:rFonts w:hint="eastAsia" w:ascii="宋体" w:hAnsi="宋体" w:cs="宋体"/>
          <w:color w:val="auto"/>
          <w:spacing w:val="9"/>
          <w:sz w:val="24"/>
          <w:highlight w:val="none"/>
        </w:rPr>
        <w:t>，一是</w:t>
      </w:r>
      <w:r>
        <w:rPr>
          <w:rFonts w:ascii="宋体" w:hAnsi="宋体" w:cs="宋体"/>
          <w:color w:val="auto"/>
          <w:spacing w:val="9"/>
          <w:sz w:val="24"/>
          <w:highlight w:val="none"/>
        </w:rPr>
        <w:t>费用停付：不予支付</w:t>
      </w:r>
      <w:r>
        <w:rPr>
          <w:rFonts w:hint="eastAsia" w:ascii="宋体" w:hAnsi="宋体" w:cs="宋体"/>
          <w:color w:val="auto"/>
          <w:spacing w:val="9"/>
          <w:sz w:val="24"/>
          <w:highlight w:val="none"/>
        </w:rPr>
        <w:t>所有站点</w:t>
      </w:r>
      <w:r>
        <w:rPr>
          <w:rFonts w:ascii="宋体" w:hAnsi="宋体" w:cs="宋体"/>
          <w:color w:val="auto"/>
          <w:spacing w:val="9"/>
          <w:sz w:val="24"/>
          <w:highlight w:val="none"/>
        </w:rPr>
        <w:t>当期的任何服务费用</w:t>
      </w:r>
      <w:r>
        <w:rPr>
          <w:rFonts w:hint="eastAsia" w:ascii="宋体" w:hAnsi="宋体" w:cs="宋体"/>
          <w:color w:val="auto"/>
          <w:spacing w:val="9"/>
          <w:sz w:val="24"/>
          <w:highlight w:val="none"/>
        </w:rPr>
        <w:t>，同时向乙方追回有关预付款项。二是</w:t>
      </w:r>
      <w:r>
        <w:rPr>
          <w:rFonts w:ascii="宋体" w:hAnsi="宋体" w:cs="宋体"/>
          <w:color w:val="auto"/>
          <w:spacing w:val="9"/>
          <w:sz w:val="24"/>
          <w:highlight w:val="none"/>
        </w:rPr>
        <w:t>预算划转：所有站点当期未支付的服务费用，将直接列入下一期运营服务预算，用于支付给其他</w:t>
      </w:r>
      <w:r>
        <w:rPr>
          <w:rFonts w:hint="eastAsia" w:ascii="宋体" w:hAnsi="宋体" w:cs="宋体"/>
          <w:color w:val="auto"/>
          <w:spacing w:val="9"/>
          <w:sz w:val="24"/>
          <w:highlight w:val="none"/>
        </w:rPr>
        <w:t>成交供应商</w:t>
      </w:r>
      <w:r>
        <w:rPr>
          <w:rFonts w:ascii="宋体" w:hAnsi="宋体" w:cs="宋体"/>
          <w:color w:val="auto"/>
          <w:spacing w:val="9"/>
          <w:sz w:val="24"/>
          <w:highlight w:val="none"/>
        </w:rPr>
        <w:t>。</w:t>
      </w:r>
      <w:r>
        <w:rPr>
          <w:rFonts w:hint="eastAsia" w:ascii="宋体" w:hAnsi="宋体" w:cs="宋体"/>
          <w:color w:val="auto"/>
          <w:spacing w:val="9"/>
          <w:sz w:val="24"/>
          <w:highlight w:val="none"/>
        </w:rPr>
        <w:t>三是</w:t>
      </w:r>
      <w:r>
        <w:rPr>
          <w:rFonts w:ascii="宋体" w:hAnsi="宋体" w:cs="宋体"/>
          <w:color w:val="auto"/>
          <w:spacing w:val="9"/>
          <w:sz w:val="24"/>
          <w:highlight w:val="none"/>
        </w:rPr>
        <w:t>资格取消：</w:t>
      </w:r>
      <w:r>
        <w:rPr>
          <w:rFonts w:hint="eastAsia" w:ascii="宋体" w:hAnsi="宋体" w:cs="宋体"/>
          <w:color w:val="auto"/>
          <w:spacing w:val="9"/>
          <w:sz w:val="24"/>
          <w:highlight w:val="none"/>
        </w:rPr>
        <w:t>乙方</w:t>
      </w:r>
      <w:r>
        <w:rPr>
          <w:rFonts w:ascii="宋体" w:hAnsi="宋体" w:cs="宋体"/>
          <w:color w:val="auto"/>
          <w:spacing w:val="9"/>
          <w:sz w:val="24"/>
          <w:highlight w:val="none"/>
        </w:rPr>
        <w:t>将被永久取消承接该站点下一期委托服务的资格。</w:t>
      </w:r>
    </w:p>
    <w:p w14:paraId="309BDD90">
      <w:pPr>
        <w:spacing w:line="440" w:lineRule="exact"/>
        <w:ind w:firstLine="516"/>
        <w:rPr>
          <w:rFonts w:ascii="宋体" w:hAnsi="宋体" w:cs="宋体"/>
          <w:color w:val="auto"/>
          <w:spacing w:val="9"/>
          <w:sz w:val="24"/>
          <w:highlight w:val="none"/>
        </w:rPr>
      </w:pPr>
      <w:r>
        <w:rPr>
          <w:rFonts w:hint="eastAsia" w:ascii="宋体" w:hAnsi="宋体" w:cs="宋体"/>
          <w:color w:val="auto"/>
          <w:spacing w:val="9"/>
          <w:sz w:val="24"/>
          <w:highlight w:val="none"/>
        </w:rPr>
        <w:t>5.根据苍梧县就业服务站和零工市场运营服务实际需求，“乙方同意并确认按附件1和附件2考核项目、考核内容、分值、评分标准及考核方式等事项（考核内容为单个镇级就业服务站、零工市场的考核内容，需要合并考核的内容在评分标准和考核方式等方面已有说明），若乙方有任何一项未能完成，须提交书面说明，并在下一考核周期内完成整改。若同一项目连续两个周期仍未达标且未完成整改，</w:t>
      </w:r>
      <w:r>
        <w:rPr>
          <w:rFonts w:hint="eastAsia" w:ascii="宋体" w:hAnsi="宋体" w:cs="宋体"/>
          <w:color w:val="auto"/>
          <w:spacing w:val="9"/>
          <w:sz w:val="24"/>
          <w:highlight w:val="none"/>
        </w:rPr>
        <w:t>甲方有权从7个镇级就业服务站运营服务（含9个村级服务站运营服务）或3个零工市场运营服务（含9个村级服务站运营服务）成交的合同金额服务费用中扣除10%作为违约金。</w:t>
      </w:r>
      <w:r>
        <w:rPr>
          <w:rFonts w:hint="eastAsia" w:ascii="宋体" w:hAnsi="宋体" w:cs="宋体"/>
          <w:color w:val="auto"/>
          <w:spacing w:val="9"/>
          <w:sz w:val="24"/>
          <w:highlight w:val="none"/>
        </w:rPr>
        <w:t>按照以上考核内容及约定得出的考核结果甲乙双方将予以认可。</w:t>
      </w:r>
    </w:p>
    <w:p w14:paraId="586C8511">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第七条  履约保证金</w:t>
      </w:r>
    </w:p>
    <w:p w14:paraId="53394B30">
      <w:pPr>
        <w:spacing w:line="440" w:lineRule="exact"/>
        <w:ind w:firstLine="512"/>
        <w:rPr>
          <w:rFonts w:ascii="宋体" w:hAnsi="宋体" w:cs="宋体"/>
          <w:color w:val="auto"/>
          <w:sz w:val="24"/>
          <w:highlight w:val="none"/>
        </w:rPr>
      </w:pPr>
      <w:r>
        <w:rPr>
          <w:rFonts w:hint="eastAsia" w:ascii="宋体" w:hAnsi="宋体" w:cs="宋体"/>
          <w:color w:val="auto"/>
          <w:spacing w:val="8"/>
          <w:sz w:val="24"/>
          <w:highlight w:val="none"/>
        </w:rPr>
        <w:t>本项目无需缴纳履约保证金。</w:t>
      </w:r>
    </w:p>
    <w:p w14:paraId="0AD51B4B">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第八条  税费</w:t>
      </w:r>
    </w:p>
    <w:p w14:paraId="28498CCA">
      <w:pPr>
        <w:spacing w:line="440" w:lineRule="exact"/>
        <w:ind w:firstLine="516"/>
        <w:rPr>
          <w:color w:val="auto"/>
          <w:sz w:val="24"/>
          <w:highlight w:val="none"/>
        </w:rPr>
      </w:pPr>
      <w:r>
        <w:rPr>
          <w:rFonts w:hint="eastAsia" w:ascii="宋体" w:hAnsi="宋体" w:cs="宋体"/>
          <w:color w:val="auto"/>
          <w:spacing w:val="9"/>
          <w:sz w:val="24"/>
          <w:highlight w:val="none"/>
        </w:rPr>
        <w:t>本合同执行中相关的一切税费均由乙方负担，合同另有约定的除外。</w:t>
      </w:r>
    </w:p>
    <w:p w14:paraId="30810491">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第九条　违约责任</w:t>
      </w:r>
    </w:p>
    <w:p w14:paraId="52306527">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1.合同一方不履行合同义务、履行合同义务不符合约定或者违反合同项下所作保证的， 应向对方承担继续履行补救措施或者赔偿损失等违约责任。</w:t>
      </w:r>
    </w:p>
    <w:p w14:paraId="0EE78B57">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2.乙方未能按时交付服务的，应向甲方支付迟延交付违约金。迟延交付违约金的计算方法如下：</w:t>
      </w:r>
    </w:p>
    <w:p w14:paraId="7F04AF45">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（1）从迟交的第一周到第四周，每周迟延交付违约金为合同价款（报酬）的</w:t>
      </w:r>
      <w:r>
        <w:rPr>
          <w:rFonts w:hint="eastAsia" w:hAnsi="宋体" w:cs="宋体"/>
          <w:color w:val="auto"/>
          <w:sz w:val="24"/>
          <w:szCs w:val="24"/>
          <w:highlight w:val="none"/>
          <w:u w:val="single"/>
        </w:rPr>
        <w:t xml:space="preserve"> 0.5%</w:t>
      </w:r>
      <w:r>
        <w:rPr>
          <w:rFonts w:hint="eastAsia" w:hAnsi="宋体" w:cs="宋体"/>
          <w:color w:val="auto"/>
          <w:sz w:val="24"/>
          <w:szCs w:val="24"/>
          <w:highlight w:val="none"/>
        </w:rPr>
        <w:t>；</w:t>
      </w:r>
    </w:p>
    <w:p w14:paraId="296E2D98">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（2）从迟交的第五周到第八周，每周迟延交付违约金为合同价款（报酬）的</w:t>
      </w:r>
      <w:r>
        <w:rPr>
          <w:rFonts w:hint="eastAsia" w:hAnsi="宋体" w:cs="宋体"/>
          <w:color w:val="auto"/>
          <w:sz w:val="24"/>
          <w:szCs w:val="24"/>
          <w:highlight w:val="none"/>
          <w:u w:val="single"/>
        </w:rPr>
        <w:t xml:space="preserve"> 1%</w:t>
      </w:r>
      <w:r>
        <w:rPr>
          <w:rFonts w:hint="eastAsia" w:hAnsi="宋体" w:cs="宋体"/>
          <w:color w:val="auto"/>
          <w:sz w:val="24"/>
          <w:szCs w:val="24"/>
          <w:highlight w:val="none"/>
        </w:rPr>
        <w:t>；</w:t>
      </w:r>
    </w:p>
    <w:p w14:paraId="3A1082A7">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（3）从迟交第九周起，每周迟延交付违约金为合同价款（报酬）的</w:t>
      </w:r>
      <w:r>
        <w:rPr>
          <w:rFonts w:hint="eastAsia" w:hAnsi="宋体" w:cs="宋体"/>
          <w:color w:val="auto"/>
          <w:sz w:val="24"/>
          <w:szCs w:val="24"/>
          <w:highlight w:val="none"/>
          <w:u w:val="single"/>
        </w:rPr>
        <w:t xml:space="preserve"> 1.5%</w:t>
      </w:r>
      <w:r>
        <w:rPr>
          <w:rFonts w:hint="eastAsia" w:hAnsi="宋体" w:cs="宋体"/>
          <w:color w:val="auto"/>
          <w:sz w:val="24"/>
          <w:szCs w:val="24"/>
          <w:highlight w:val="none"/>
        </w:rPr>
        <w:t>。在计算迟延交付违约金时，迟交不足一周的按一周计算。迟延交付违约金的总额不得超过合同价款（报酬）的</w:t>
      </w:r>
      <w:r>
        <w:rPr>
          <w:rFonts w:hint="eastAsia" w:hAnsi="宋体" w:cs="宋体"/>
          <w:color w:val="auto"/>
          <w:sz w:val="24"/>
          <w:szCs w:val="24"/>
          <w:highlight w:val="none"/>
          <w:u w:val="single"/>
        </w:rPr>
        <w:t xml:space="preserve"> 10%</w:t>
      </w:r>
      <w:r>
        <w:rPr>
          <w:rFonts w:hint="eastAsia" w:hAnsi="宋体" w:cs="宋体"/>
          <w:color w:val="auto"/>
          <w:sz w:val="24"/>
          <w:szCs w:val="24"/>
          <w:highlight w:val="none"/>
        </w:rPr>
        <w:t>。迟延交付违约金的支付不能免除乙方继续交付相关合同服务的义务，但如迟延交付必然导致合同服务实施、调试、验收等工作推迟的，相关工作应相应顺延。</w:t>
      </w:r>
    </w:p>
    <w:p w14:paraId="6BCD6F6B">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3.乙方未按本合同和响应文件承诺提供售后服务的，乙方应按本合同价款（报酬）的5%向甲方支付违约金。</w:t>
      </w:r>
    </w:p>
    <w:p w14:paraId="346140D9">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4.其他违约责任按《中华人民共和国民法典》处理。</w:t>
      </w:r>
    </w:p>
    <w:p w14:paraId="36369FA1">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第十条  不可抗力事件处理</w:t>
      </w:r>
    </w:p>
    <w:p w14:paraId="34DE873C">
      <w:pPr>
        <w:spacing w:line="440" w:lineRule="exact"/>
        <w:ind w:firstLine="508"/>
        <w:rPr>
          <w:rFonts w:ascii="宋体" w:hAnsi="宋体" w:cs="宋体"/>
          <w:color w:val="auto"/>
          <w:sz w:val="24"/>
          <w:highlight w:val="none"/>
        </w:rPr>
      </w:pPr>
      <w:r>
        <w:rPr>
          <w:rFonts w:hint="eastAsia" w:ascii="宋体" w:hAnsi="宋体" w:cs="宋体"/>
          <w:color w:val="auto"/>
          <w:spacing w:val="7"/>
          <w:sz w:val="24"/>
          <w:highlight w:val="none"/>
        </w:rPr>
        <w:t>1.在合同有效期内，任何一方因不可抗力事件（包括但不限于自然灾害、战争、政府行为、公共卫生事件等）导致不能履行合同，则合同履行期可延</w:t>
      </w:r>
      <w:r>
        <w:rPr>
          <w:rFonts w:hint="eastAsia" w:ascii="宋体" w:hAnsi="宋体" w:cs="宋体"/>
          <w:color w:val="auto"/>
          <w:spacing w:val="6"/>
          <w:sz w:val="24"/>
          <w:highlight w:val="none"/>
        </w:rPr>
        <w:t>长，其</w:t>
      </w:r>
      <w:r>
        <w:rPr>
          <w:rFonts w:hint="eastAsia" w:ascii="宋体" w:hAnsi="宋体" w:cs="宋体"/>
          <w:color w:val="auto"/>
          <w:spacing w:val="8"/>
          <w:sz w:val="24"/>
          <w:highlight w:val="none"/>
        </w:rPr>
        <w:t>延长期与不可抗力影响期相同,</w:t>
      </w:r>
      <w:r>
        <w:rPr>
          <w:rFonts w:hint="eastAsia" w:ascii="宋体" w:hAnsi="宋体" w:cs="宋体"/>
          <w:color w:val="auto"/>
          <w:spacing w:val="7"/>
          <w:sz w:val="24"/>
          <w:highlight w:val="none"/>
        </w:rPr>
        <w:t>即该不可抗力消失或停止之日起继续计算合同服务期。不可抗力事件发生后，受影响方应在事件发生后5个工作日内书面通知对方，并提供相关权威机构出具的证明文件。受影响方应采取合理措施减少损失，并在不可抗力事件结束后尽快恢复履行合同。</w:t>
      </w:r>
    </w:p>
    <w:p w14:paraId="51C454A1">
      <w:pPr>
        <w:spacing w:line="440" w:lineRule="exact"/>
        <w:ind w:firstLine="516"/>
        <w:rPr>
          <w:rFonts w:ascii="宋体" w:hAnsi="宋体" w:cs="宋体"/>
          <w:color w:val="auto"/>
          <w:sz w:val="24"/>
          <w:highlight w:val="none"/>
        </w:rPr>
      </w:pPr>
      <w:r>
        <w:rPr>
          <w:rFonts w:hint="eastAsia" w:ascii="宋体" w:hAnsi="宋体" w:cs="宋体"/>
          <w:color w:val="auto"/>
          <w:spacing w:val="9"/>
          <w:sz w:val="24"/>
          <w:highlight w:val="none"/>
        </w:rPr>
        <w:t>2.不可抗力事件延续一百二十天以上，双方应通过友好协商，确定是否继续履行合同。在此期间，受影响方应继续采取一切合理措施减少损失，并在不可抗力事件结束后尽快恢复履行合同。</w:t>
      </w:r>
    </w:p>
    <w:p w14:paraId="05AAB897">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第十一条  合同争议解决</w:t>
      </w:r>
    </w:p>
    <w:p w14:paraId="32BADA52">
      <w:pPr>
        <w:spacing w:line="440" w:lineRule="exact"/>
        <w:ind w:firstLine="432"/>
        <w:rPr>
          <w:rFonts w:ascii="宋体" w:hAnsi="宋体" w:cs="宋体"/>
          <w:color w:val="auto"/>
          <w:sz w:val="24"/>
          <w:highlight w:val="none"/>
        </w:rPr>
      </w:pPr>
      <w:r>
        <w:rPr>
          <w:rFonts w:hint="eastAsia" w:ascii="宋体" w:hAnsi="宋体" w:cs="宋体"/>
          <w:color w:val="auto"/>
          <w:spacing w:val="3"/>
          <w:sz w:val="24"/>
          <w:highlight w:val="none"/>
        </w:rPr>
        <w:t>1.因服务质量问题发生争议的，应邀请国家认可的质量检测机构进行鉴定。经鉴定，服务符合标准的，</w:t>
      </w:r>
      <w:r>
        <w:rPr>
          <w:rFonts w:hint="eastAsia" w:ascii="宋体" w:hAnsi="宋体" w:cs="宋体"/>
          <w:color w:val="auto"/>
          <w:spacing w:val="9"/>
          <w:sz w:val="24"/>
          <w:highlight w:val="none"/>
        </w:rPr>
        <w:t>鉴定费由甲方承担；服务不符合标准的，鉴定费由乙方承担。</w:t>
      </w:r>
    </w:p>
    <w:p w14:paraId="6BF5B100">
      <w:pPr>
        <w:spacing w:line="440" w:lineRule="exact"/>
        <w:ind w:firstLine="421"/>
        <w:rPr>
          <w:rFonts w:ascii="宋体" w:hAnsi="宋体" w:cs="宋体"/>
          <w:color w:val="auto"/>
          <w:sz w:val="24"/>
          <w:highlight w:val="none"/>
        </w:rPr>
      </w:pPr>
      <w:r>
        <w:rPr>
          <w:rFonts w:hint="eastAsia" w:ascii="宋体" w:hAnsi="宋体" w:cs="宋体"/>
          <w:color w:val="auto"/>
          <w:spacing w:val="7"/>
          <w:sz w:val="24"/>
          <w:highlight w:val="none"/>
        </w:rPr>
        <w:t>2.因履行本合同引起的或者与本合同有关的争议，甲乙双方应首先通过友好协商解决，如果</w:t>
      </w:r>
      <w:r>
        <w:rPr>
          <w:rFonts w:hint="eastAsia" w:ascii="宋体" w:hAnsi="宋体" w:cs="宋体"/>
          <w:color w:val="auto"/>
          <w:spacing w:val="9"/>
          <w:sz w:val="24"/>
          <w:highlight w:val="none"/>
        </w:rPr>
        <w:t>协商不能解决，可向甲方所在地有管辖权的人民法院提起诉讼。</w:t>
      </w:r>
    </w:p>
    <w:p w14:paraId="0A0FA7B6">
      <w:pPr>
        <w:spacing w:line="440" w:lineRule="exact"/>
        <w:ind w:firstLine="508"/>
        <w:rPr>
          <w:rFonts w:ascii="宋体" w:hAnsi="宋体" w:cs="宋体"/>
          <w:b/>
          <w:color w:val="auto"/>
          <w:sz w:val="24"/>
          <w:highlight w:val="none"/>
        </w:rPr>
      </w:pPr>
      <w:r>
        <w:rPr>
          <w:rFonts w:hint="eastAsia" w:ascii="宋体" w:hAnsi="宋体" w:cs="宋体"/>
          <w:color w:val="auto"/>
          <w:spacing w:val="7"/>
          <w:sz w:val="24"/>
          <w:highlight w:val="none"/>
        </w:rPr>
        <w:t>3.诉讼期间，本合同继续履行。</w:t>
      </w:r>
    </w:p>
    <w:p w14:paraId="6AAEF60F">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第十二条　合同的变更、中止或者终止</w:t>
      </w:r>
    </w:p>
    <w:p w14:paraId="60E980BE">
      <w:pPr>
        <w:spacing w:line="440" w:lineRule="exact"/>
        <w:ind w:firstLine="432"/>
        <w:rPr>
          <w:rFonts w:ascii="宋体" w:hAnsi="宋体" w:cs="宋体"/>
          <w:color w:val="auto"/>
          <w:spacing w:val="3"/>
          <w:sz w:val="24"/>
          <w:highlight w:val="none"/>
        </w:rPr>
      </w:pPr>
      <w:r>
        <w:rPr>
          <w:rFonts w:hint="eastAsia" w:ascii="宋体" w:hAnsi="宋体" w:cs="宋体"/>
          <w:color w:val="auto"/>
          <w:spacing w:val="7"/>
          <w:sz w:val="24"/>
          <w:highlight w:val="none"/>
        </w:rPr>
        <w:t>1.除《</w:t>
      </w:r>
      <w:r>
        <w:rPr>
          <w:rFonts w:hint="eastAsia" w:ascii="宋体" w:hAnsi="宋体" w:cs="宋体"/>
          <w:color w:val="auto"/>
          <w:spacing w:val="3"/>
          <w:sz w:val="24"/>
          <w:highlight w:val="none"/>
        </w:rPr>
        <w:t>中华人民共和国政府采购法》第五十条规定的情形外，本合同一经签订，甲乙双方不得擅自变更、中止或者终止合同。</w:t>
      </w:r>
    </w:p>
    <w:p w14:paraId="74B5EF00">
      <w:pPr>
        <w:spacing w:line="440" w:lineRule="exact"/>
        <w:ind w:firstLine="432"/>
        <w:rPr>
          <w:rFonts w:ascii="宋体" w:hAnsi="宋体" w:cs="宋体"/>
          <w:color w:val="auto"/>
          <w:spacing w:val="3"/>
          <w:sz w:val="24"/>
          <w:highlight w:val="none"/>
        </w:rPr>
      </w:pPr>
      <w:r>
        <w:rPr>
          <w:rFonts w:hint="eastAsia" w:ascii="宋体" w:hAnsi="宋体" w:cs="宋体"/>
          <w:color w:val="auto"/>
          <w:spacing w:val="3"/>
          <w:sz w:val="24"/>
          <w:highlight w:val="none"/>
        </w:rPr>
        <w:t>2.采购合同继续履行将损害国家利益和社会公共利益的，双方当事人应当变更、中止或者终止合同。有过错的一方应当承担赔偿责任，双方都有过错的，各自承担相应的责任。</w:t>
      </w:r>
    </w:p>
    <w:p w14:paraId="6C70F160">
      <w:pPr>
        <w:spacing w:line="440" w:lineRule="exact"/>
        <w:ind w:firstLine="432"/>
        <w:rPr>
          <w:rFonts w:ascii="宋体" w:hAnsi="宋体" w:cs="宋体"/>
          <w:color w:val="auto"/>
          <w:spacing w:val="3"/>
          <w:sz w:val="24"/>
          <w:highlight w:val="none"/>
        </w:rPr>
      </w:pPr>
      <w:r>
        <w:rPr>
          <w:rFonts w:hint="eastAsia" w:ascii="宋体" w:hAnsi="宋体" w:cs="宋体"/>
          <w:color w:val="auto"/>
          <w:spacing w:val="3"/>
          <w:sz w:val="24"/>
          <w:highlight w:val="none"/>
        </w:rPr>
        <w:t>3.乙方不得擅自转让其应履行的合同义务。</w:t>
      </w:r>
    </w:p>
    <w:p w14:paraId="030F04E1">
      <w:pPr>
        <w:spacing w:line="440" w:lineRule="exact"/>
        <w:ind w:firstLine="432"/>
        <w:rPr>
          <w:rFonts w:ascii="宋体" w:hAnsi="宋体" w:cs="宋体"/>
          <w:b/>
          <w:color w:val="auto"/>
          <w:sz w:val="24"/>
          <w:highlight w:val="none"/>
        </w:rPr>
      </w:pPr>
      <w:r>
        <w:rPr>
          <w:rFonts w:hint="eastAsia" w:ascii="宋体" w:hAnsi="宋体" w:cs="宋体"/>
          <w:b/>
          <w:color w:val="auto"/>
          <w:sz w:val="24"/>
          <w:highlight w:val="none"/>
        </w:rPr>
        <w:t>第十三条  签订本合同依据</w:t>
      </w:r>
    </w:p>
    <w:p w14:paraId="30B6D39F">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 xml:space="preserve">1.成交通知书； </w:t>
      </w:r>
    </w:p>
    <w:p w14:paraId="20E06455">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2.竞标报价表；</w:t>
      </w:r>
    </w:p>
    <w:p w14:paraId="4F4008E5">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 xml:space="preserve">3.商务条款偏离表和技术需求偏离表； </w:t>
      </w:r>
    </w:p>
    <w:p w14:paraId="7EE36429">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4.服务实施方案；</w:t>
      </w:r>
    </w:p>
    <w:p w14:paraId="49BF8907">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5.响应文件中的其他相关文件。</w:t>
      </w:r>
    </w:p>
    <w:p w14:paraId="73C158E5">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6.上述合同文件互相补充和解释。如果合同文件之间存在矛盾或者不一致之处，以上述文件的排列顺序在先者为准。</w:t>
      </w:r>
    </w:p>
    <w:p w14:paraId="04E62E3F">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第十四条　知识产权和保密要求</w:t>
      </w:r>
    </w:p>
    <w:p w14:paraId="47651C7C">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1.甲方在履行合同过程中提供给乙方的全部图纸、文件和其他含有数据和信息的资料，其知识产权属于甲方。</w:t>
      </w:r>
    </w:p>
    <w:p w14:paraId="54EC48FD">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2.除采购文件采购需求另有约定外，甲方不因签署和履行合同而享有乙方在履行合同过程中提供给甲方的图纸、文件、配套软件、电子辅助程序和其他含有数据和信息的资料的知识产权。</w:t>
      </w:r>
    </w:p>
    <w:p w14:paraId="48AF1404">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3.乙方应保证所提供服务及货物在使用时不会侵犯任何第三方的知识产权或者其他权利。如合同服务或货物涉及知识产权，则乙方保证甲方在使用合同服务或货物过程中免于受到第三方提出的有关知识产权侵权的主张、索赔或诉讼的伤害。</w:t>
      </w:r>
    </w:p>
    <w:p w14:paraId="062657D1">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7380A3FB">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0CE4B2F4">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第十五条  其他事项</w:t>
      </w:r>
    </w:p>
    <w:p w14:paraId="3A4985E8">
      <w:pPr>
        <w:spacing w:line="440" w:lineRule="exact"/>
        <w:ind w:firstLine="508"/>
        <w:rPr>
          <w:rFonts w:ascii="宋体" w:hAnsi="宋体" w:cs="宋体"/>
          <w:color w:val="auto"/>
          <w:spacing w:val="7"/>
          <w:sz w:val="24"/>
          <w:highlight w:val="none"/>
        </w:rPr>
      </w:pPr>
      <w:r>
        <w:rPr>
          <w:rFonts w:hint="eastAsia" w:ascii="宋体" w:hAnsi="宋体" w:cs="宋体"/>
          <w:color w:val="auto"/>
          <w:spacing w:val="7"/>
          <w:sz w:val="24"/>
          <w:highlight w:val="none"/>
        </w:rPr>
        <w:t>1.合同期内，因政策或其他原因，甲方提出终止合同，乙方应无条件接受，并且不得向甲方提出任何形式的索赔。</w:t>
      </w:r>
    </w:p>
    <w:p w14:paraId="55FD3609">
      <w:pPr>
        <w:spacing w:line="440" w:lineRule="exact"/>
        <w:ind w:firstLine="508"/>
        <w:rPr>
          <w:rFonts w:ascii="宋体" w:hAnsi="宋体" w:cs="宋体"/>
          <w:color w:val="auto"/>
          <w:spacing w:val="7"/>
          <w:sz w:val="24"/>
          <w:highlight w:val="none"/>
        </w:rPr>
      </w:pPr>
      <w:r>
        <w:rPr>
          <w:rFonts w:hint="eastAsia" w:ascii="宋体" w:hAnsi="宋体" w:cs="宋体"/>
          <w:color w:val="auto"/>
          <w:spacing w:val="7"/>
          <w:sz w:val="24"/>
          <w:highlight w:val="none"/>
        </w:rPr>
        <w:t>2.合同期内，甲方因业务工作范围或管理项目造成合同服务内容增加或减少的，</w:t>
      </w:r>
      <w:r>
        <w:rPr>
          <w:rFonts w:hint="eastAsia" w:ascii="宋体" w:hAnsi="宋体" w:cs="宋体"/>
          <w:color w:val="auto"/>
          <w:spacing w:val="7"/>
          <w:sz w:val="24"/>
          <w:highlight w:val="none"/>
        </w:rPr>
        <w:t>增加部分不增加服务费，减少部分双方核定后相应减少服务费</w:t>
      </w:r>
      <w:r>
        <w:rPr>
          <w:rFonts w:hint="eastAsia" w:ascii="宋体" w:hAnsi="宋体" w:cs="宋体"/>
          <w:color w:val="auto"/>
          <w:spacing w:val="7"/>
          <w:sz w:val="24"/>
          <w:highlight w:val="none"/>
        </w:rPr>
        <w:t>。</w:t>
      </w:r>
    </w:p>
    <w:p w14:paraId="7E0E6A2C">
      <w:pPr>
        <w:spacing w:line="440" w:lineRule="exact"/>
        <w:ind w:firstLine="508"/>
        <w:rPr>
          <w:color w:val="auto"/>
          <w:sz w:val="24"/>
          <w:highlight w:val="none"/>
        </w:rPr>
      </w:pPr>
      <w:r>
        <w:rPr>
          <w:rFonts w:hint="eastAsia" w:ascii="宋体" w:hAnsi="宋体" w:cs="宋体"/>
          <w:color w:val="auto"/>
          <w:spacing w:val="7"/>
          <w:sz w:val="24"/>
          <w:highlight w:val="none"/>
        </w:rPr>
        <w:t>3.合同到期后，乙方应确保场点的设施及设备完整完好（由甲方清点验收设施及设备是否完整完好），甲方在运营服务期结束前10日内对现场设施及设备进行验收，双方签字确认，对现场设施及设备不完整将从服务费中按设施造价、设备采购价进行相应扣减。甲方确认后，由乙方移交下一运营服务方。</w:t>
      </w:r>
    </w:p>
    <w:p w14:paraId="3AAB166F">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第十六条  合同生效及其他</w:t>
      </w:r>
    </w:p>
    <w:p w14:paraId="17E0763E">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1.合同经双方法定代表人或者委托代理人签字并加盖单位公章后生效（委托代理人签字的需后附授权委托书，格式自拟）。</w:t>
      </w:r>
    </w:p>
    <w:p w14:paraId="670D4AE7">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2.合同执行中涉及采购资金和采购内容修改或者补充的，双方应签订书面补充协议并报财政部门备案，方可作为主合同不可分割的一部分。</w:t>
      </w:r>
    </w:p>
    <w:p w14:paraId="31C20B33">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3.合同生效后，甲乙双方不得因姓名、名称的变更或者法定代表人、负责人、承办人的变动而不履行合同义务。</w:t>
      </w:r>
    </w:p>
    <w:p w14:paraId="58D49D89">
      <w:pPr>
        <w:pStyle w:val="25"/>
        <w:spacing w:line="440" w:lineRule="exact"/>
        <w:ind w:firstLine="420"/>
        <w:rPr>
          <w:rFonts w:hAnsi="宋体" w:cs="宋体"/>
          <w:color w:val="auto"/>
          <w:sz w:val="24"/>
          <w:szCs w:val="24"/>
          <w:highlight w:val="none"/>
        </w:rPr>
      </w:pPr>
      <w:r>
        <w:rPr>
          <w:rFonts w:hint="eastAsia" w:hAnsi="宋体" w:cs="宋体"/>
          <w:color w:val="auto"/>
          <w:sz w:val="24"/>
          <w:szCs w:val="24"/>
          <w:highlight w:val="none"/>
        </w:rPr>
        <w:t>4.本合同未尽事宜，遵照《中华人民共和国民法典》有关条文执行。</w:t>
      </w:r>
    </w:p>
    <w:p w14:paraId="2F5AF207">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5.本合同自签订之日起2个工作日内，甲方应当将采购合同在广西壮族自治区财政厅指定的媒体上公告。</w:t>
      </w:r>
    </w:p>
    <w:p w14:paraId="3A2E19F9">
      <w:pPr>
        <w:pStyle w:val="8"/>
        <w:rPr>
          <w:rFonts w:ascii="宋体" w:hAnsi="宋体" w:cs="宋体"/>
          <w:color w:val="auto"/>
          <w:sz w:val="24"/>
          <w:szCs w:val="24"/>
          <w:highlight w:val="none"/>
        </w:rPr>
      </w:pPr>
      <w:r>
        <w:rPr>
          <w:rFonts w:hint="eastAsia" w:ascii="宋体" w:hAnsi="宋体" w:cs="宋体"/>
          <w:color w:val="auto"/>
          <w:sz w:val="24"/>
          <w:szCs w:val="24"/>
          <w:highlight w:val="none"/>
        </w:rPr>
        <w:t>6.附件1：苍梧县镇级就业服务站第二期运营服务考核内容</w:t>
      </w:r>
    </w:p>
    <w:p w14:paraId="788B4DEB">
      <w:pPr>
        <w:pStyle w:val="8"/>
        <w:ind w:firstLine="638"/>
        <w:rPr>
          <w:rFonts w:ascii="宋体" w:hAnsi="宋体" w:cs="宋体"/>
          <w:color w:val="auto"/>
          <w:sz w:val="24"/>
          <w:szCs w:val="24"/>
          <w:highlight w:val="none"/>
        </w:rPr>
      </w:pPr>
      <w:r>
        <w:rPr>
          <w:rFonts w:hint="eastAsia" w:ascii="宋体" w:hAnsi="宋体" w:cs="宋体"/>
          <w:color w:val="auto"/>
          <w:sz w:val="24"/>
          <w:szCs w:val="24"/>
          <w:highlight w:val="none"/>
        </w:rPr>
        <w:t>附件2：苍梧县零工市场、岭脚镇零工市场、木双镇零工市场                               第二期运营服务考核内容</w:t>
      </w:r>
    </w:p>
    <w:tbl>
      <w:tblPr>
        <w:tblStyle w:val="257"/>
        <w:tblW w:w="91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3"/>
        <w:gridCol w:w="4585"/>
      </w:tblGrid>
      <w:tr w14:paraId="5CA7B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0" w:hRule="atLeast"/>
        </w:trPr>
        <w:tc>
          <w:tcPr>
            <w:tcW w:w="4583" w:type="dxa"/>
          </w:tcPr>
          <w:p w14:paraId="1B9CD3E5">
            <w:pPr>
              <w:pStyle w:val="259"/>
              <w:spacing w:before="263" w:line="440" w:lineRule="exact"/>
              <w:ind w:left="174"/>
              <w:rPr>
                <w:color w:val="auto"/>
                <w:sz w:val="24"/>
                <w:szCs w:val="24"/>
                <w:highlight w:val="none"/>
              </w:rPr>
            </w:pPr>
            <w:r>
              <w:rPr>
                <w:color w:val="auto"/>
                <w:spacing w:val="6"/>
                <w:sz w:val="24"/>
                <w:szCs w:val="24"/>
                <w:highlight w:val="none"/>
              </w:rPr>
              <w:t>甲方</w:t>
            </w:r>
            <w:r>
              <w:rPr>
                <w:color w:val="auto"/>
                <w:spacing w:val="-4"/>
                <w:sz w:val="24"/>
                <w:szCs w:val="24"/>
                <w:highlight w:val="none"/>
              </w:rPr>
              <w:t>：（</w:t>
            </w:r>
            <w:r>
              <w:rPr>
                <w:color w:val="auto"/>
                <w:spacing w:val="6"/>
                <w:sz w:val="24"/>
                <w:szCs w:val="24"/>
                <w:highlight w:val="none"/>
              </w:rPr>
              <w:t>章）</w:t>
            </w:r>
          </w:p>
          <w:p w14:paraId="29DD9152">
            <w:pPr>
              <w:spacing w:line="440" w:lineRule="exact"/>
              <w:rPr>
                <w:rFonts w:ascii="Arial"/>
                <w:color w:val="auto"/>
                <w:sz w:val="24"/>
                <w:highlight w:val="none"/>
              </w:rPr>
            </w:pPr>
          </w:p>
          <w:p w14:paraId="2920140E">
            <w:pPr>
              <w:spacing w:line="440" w:lineRule="exact"/>
              <w:rPr>
                <w:rFonts w:ascii="Arial"/>
                <w:color w:val="auto"/>
                <w:sz w:val="24"/>
                <w:highlight w:val="none"/>
              </w:rPr>
            </w:pPr>
          </w:p>
          <w:p w14:paraId="36305D86">
            <w:pPr>
              <w:spacing w:line="440" w:lineRule="exact"/>
              <w:rPr>
                <w:rFonts w:ascii="Arial"/>
                <w:color w:val="auto"/>
                <w:sz w:val="24"/>
                <w:highlight w:val="none"/>
              </w:rPr>
            </w:pPr>
          </w:p>
          <w:p w14:paraId="65BA27DE">
            <w:pPr>
              <w:spacing w:line="440" w:lineRule="exact"/>
              <w:rPr>
                <w:rFonts w:ascii="Arial"/>
                <w:color w:val="auto"/>
                <w:sz w:val="24"/>
                <w:highlight w:val="none"/>
              </w:rPr>
            </w:pPr>
          </w:p>
          <w:p w14:paraId="14261721">
            <w:pPr>
              <w:spacing w:line="440" w:lineRule="exact"/>
              <w:rPr>
                <w:rFonts w:ascii="Arial"/>
                <w:color w:val="auto"/>
                <w:sz w:val="24"/>
                <w:highlight w:val="none"/>
              </w:rPr>
            </w:pPr>
          </w:p>
          <w:p w14:paraId="416392AE">
            <w:pPr>
              <w:spacing w:line="440" w:lineRule="exact"/>
              <w:rPr>
                <w:rFonts w:ascii="Arial"/>
                <w:color w:val="auto"/>
                <w:sz w:val="24"/>
                <w:highlight w:val="none"/>
              </w:rPr>
            </w:pPr>
          </w:p>
          <w:p w14:paraId="61642FCB">
            <w:pPr>
              <w:spacing w:line="440" w:lineRule="exact"/>
              <w:rPr>
                <w:rFonts w:ascii="Arial"/>
                <w:color w:val="auto"/>
                <w:sz w:val="24"/>
                <w:highlight w:val="none"/>
              </w:rPr>
            </w:pPr>
          </w:p>
          <w:p w14:paraId="47163D3B">
            <w:pPr>
              <w:pStyle w:val="259"/>
              <w:spacing w:before="61" w:line="440" w:lineRule="exact"/>
              <w:jc w:val="right"/>
              <w:rPr>
                <w:color w:val="auto"/>
                <w:sz w:val="24"/>
                <w:szCs w:val="24"/>
                <w:highlight w:val="none"/>
              </w:rPr>
            </w:pPr>
            <w:r>
              <w:rPr>
                <w:color w:val="auto"/>
                <w:spacing w:val="-13"/>
                <w:sz w:val="24"/>
                <w:szCs w:val="24"/>
                <w:highlight w:val="none"/>
              </w:rPr>
              <w:t>年</w:t>
            </w:r>
            <w:r>
              <w:rPr>
                <w:color w:val="auto"/>
                <w:spacing w:val="27"/>
                <w:sz w:val="24"/>
                <w:szCs w:val="24"/>
                <w:highlight w:val="none"/>
              </w:rPr>
              <w:t xml:space="preserve">   </w:t>
            </w:r>
            <w:r>
              <w:rPr>
                <w:color w:val="auto"/>
                <w:spacing w:val="-13"/>
                <w:sz w:val="24"/>
                <w:szCs w:val="24"/>
                <w:highlight w:val="none"/>
              </w:rPr>
              <w:t>月</w:t>
            </w:r>
            <w:r>
              <w:rPr>
                <w:color w:val="auto"/>
                <w:spacing w:val="19"/>
                <w:sz w:val="24"/>
                <w:szCs w:val="24"/>
                <w:highlight w:val="none"/>
              </w:rPr>
              <w:t xml:space="preserve">    </w:t>
            </w:r>
            <w:r>
              <w:rPr>
                <w:color w:val="auto"/>
                <w:spacing w:val="-13"/>
                <w:sz w:val="24"/>
                <w:szCs w:val="24"/>
                <w:highlight w:val="none"/>
              </w:rPr>
              <w:t>日</w:t>
            </w:r>
          </w:p>
        </w:tc>
        <w:tc>
          <w:tcPr>
            <w:tcW w:w="4585" w:type="dxa"/>
          </w:tcPr>
          <w:p w14:paraId="5B2FCD6B">
            <w:pPr>
              <w:pStyle w:val="259"/>
              <w:spacing w:before="263" w:line="440" w:lineRule="exact"/>
              <w:ind w:left="162"/>
              <w:rPr>
                <w:color w:val="auto"/>
                <w:sz w:val="24"/>
                <w:szCs w:val="24"/>
                <w:highlight w:val="none"/>
              </w:rPr>
            </w:pPr>
            <w:r>
              <w:rPr>
                <w:color w:val="auto"/>
                <w:spacing w:val="9"/>
                <w:sz w:val="24"/>
                <w:szCs w:val="24"/>
                <w:highlight w:val="none"/>
              </w:rPr>
              <w:t>乙方</w:t>
            </w:r>
            <w:r>
              <w:rPr>
                <w:color w:val="auto"/>
                <w:spacing w:val="-2"/>
                <w:sz w:val="24"/>
                <w:szCs w:val="24"/>
                <w:highlight w:val="none"/>
              </w:rPr>
              <w:t>：（</w:t>
            </w:r>
            <w:r>
              <w:rPr>
                <w:color w:val="auto"/>
                <w:spacing w:val="9"/>
                <w:sz w:val="24"/>
                <w:szCs w:val="24"/>
                <w:highlight w:val="none"/>
              </w:rPr>
              <w:t>章）</w:t>
            </w:r>
          </w:p>
          <w:p w14:paraId="2EF4338C">
            <w:pPr>
              <w:spacing w:line="440" w:lineRule="exact"/>
              <w:rPr>
                <w:rFonts w:ascii="Arial"/>
                <w:color w:val="auto"/>
                <w:sz w:val="24"/>
                <w:highlight w:val="none"/>
              </w:rPr>
            </w:pPr>
          </w:p>
          <w:p w14:paraId="1E2A3CDA">
            <w:pPr>
              <w:spacing w:line="440" w:lineRule="exact"/>
              <w:rPr>
                <w:rFonts w:ascii="Arial"/>
                <w:color w:val="auto"/>
                <w:sz w:val="24"/>
                <w:highlight w:val="none"/>
              </w:rPr>
            </w:pPr>
          </w:p>
          <w:p w14:paraId="344FC356">
            <w:pPr>
              <w:spacing w:line="440" w:lineRule="exact"/>
              <w:rPr>
                <w:rFonts w:ascii="Arial"/>
                <w:color w:val="auto"/>
                <w:sz w:val="24"/>
                <w:highlight w:val="none"/>
              </w:rPr>
            </w:pPr>
          </w:p>
          <w:p w14:paraId="0FF1D28F">
            <w:pPr>
              <w:spacing w:line="440" w:lineRule="exact"/>
              <w:rPr>
                <w:rFonts w:ascii="Arial"/>
                <w:color w:val="auto"/>
                <w:sz w:val="24"/>
                <w:highlight w:val="none"/>
              </w:rPr>
            </w:pPr>
          </w:p>
          <w:p w14:paraId="5EBC5130">
            <w:pPr>
              <w:spacing w:line="440" w:lineRule="exact"/>
              <w:rPr>
                <w:rFonts w:ascii="Arial"/>
                <w:color w:val="auto"/>
                <w:sz w:val="24"/>
                <w:highlight w:val="none"/>
              </w:rPr>
            </w:pPr>
          </w:p>
          <w:p w14:paraId="5ED1127B">
            <w:pPr>
              <w:spacing w:line="440" w:lineRule="exact"/>
              <w:rPr>
                <w:rFonts w:ascii="Arial"/>
                <w:color w:val="auto"/>
                <w:sz w:val="24"/>
                <w:highlight w:val="none"/>
              </w:rPr>
            </w:pPr>
          </w:p>
          <w:p w14:paraId="567864D2">
            <w:pPr>
              <w:spacing w:line="440" w:lineRule="exact"/>
              <w:rPr>
                <w:rFonts w:ascii="Arial"/>
                <w:color w:val="auto"/>
                <w:sz w:val="24"/>
                <w:highlight w:val="none"/>
              </w:rPr>
            </w:pPr>
          </w:p>
          <w:p w14:paraId="5B581D15">
            <w:pPr>
              <w:pStyle w:val="259"/>
              <w:spacing w:before="61" w:line="440" w:lineRule="exact"/>
              <w:jc w:val="right"/>
              <w:rPr>
                <w:color w:val="auto"/>
                <w:sz w:val="24"/>
                <w:szCs w:val="24"/>
                <w:highlight w:val="none"/>
              </w:rPr>
            </w:pPr>
            <w:r>
              <w:rPr>
                <w:color w:val="auto"/>
                <w:spacing w:val="-8"/>
                <w:sz w:val="24"/>
                <w:szCs w:val="24"/>
                <w:highlight w:val="none"/>
              </w:rPr>
              <w:t>年    月</w:t>
            </w:r>
            <w:r>
              <w:rPr>
                <w:color w:val="auto"/>
                <w:spacing w:val="19"/>
                <w:sz w:val="24"/>
                <w:szCs w:val="24"/>
                <w:highlight w:val="none"/>
              </w:rPr>
              <w:t xml:space="preserve">    </w:t>
            </w:r>
            <w:r>
              <w:rPr>
                <w:color w:val="auto"/>
                <w:spacing w:val="-8"/>
                <w:sz w:val="24"/>
                <w:szCs w:val="24"/>
                <w:highlight w:val="none"/>
              </w:rPr>
              <w:t>日</w:t>
            </w:r>
          </w:p>
        </w:tc>
      </w:tr>
      <w:tr w14:paraId="35B29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583" w:type="dxa"/>
          </w:tcPr>
          <w:p w14:paraId="27CAE2B7">
            <w:pPr>
              <w:pStyle w:val="259"/>
              <w:spacing w:before="88" w:line="440" w:lineRule="exact"/>
              <w:ind w:left="126"/>
              <w:rPr>
                <w:color w:val="auto"/>
                <w:sz w:val="24"/>
                <w:szCs w:val="24"/>
                <w:highlight w:val="none"/>
              </w:rPr>
            </w:pPr>
            <w:r>
              <w:rPr>
                <w:color w:val="auto"/>
                <w:spacing w:val="11"/>
                <w:sz w:val="24"/>
                <w:szCs w:val="24"/>
                <w:highlight w:val="none"/>
              </w:rPr>
              <w:t>单位地址：</w:t>
            </w:r>
          </w:p>
        </w:tc>
        <w:tc>
          <w:tcPr>
            <w:tcW w:w="4585" w:type="dxa"/>
          </w:tcPr>
          <w:p w14:paraId="68303E00">
            <w:pPr>
              <w:pStyle w:val="259"/>
              <w:spacing w:before="88" w:line="440" w:lineRule="exact"/>
              <w:ind w:left="125"/>
              <w:rPr>
                <w:color w:val="auto"/>
                <w:sz w:val="24"/>
                <w:szCs w:val="24"/>
                <w:highlight w:val="none"/>
              </w:rPr>
            </w:pPr>
            <w:r>
              <w:rPr>
                <w:color w:val="auto"/>
                <w:spacing w:val="11"/>
                <w:sz w:val="24"/>
                <w:szCs w:val="24"/>
                <w:highlight w:val="none"/>
              </w:rPr>
              <w:t>单位地址：</w:t>
            </w:r>
          </w:p>
        </w:tc>
      </w:tr>
      <w:tr w14:paraId="6C598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583" w:type="dxa"/>
          </w:tcPr>
          <w:p w14:paraId="5FAED989">
            <w:pPr>
              <w:pStyle w:val="259"/>
              <w:spacing w:before="91" w:line="440" w:lineRule="exact"/>
              <w:ind w:left="123"/>
              <w:rPr>
                <w:color w:val="auto"/>
                <w:sz w:val="24"/>
                <w:szCs w:val="24"/>
                <w:highlight w:val="none"/>
              </w:rPr>
            </w:pPr>
            <w:r>
              <w:rPr>
                <w:color w:val="auto"/>
                <w:spacing w:val="14"/>
                <w:sz w:val="24"/>
                <w:szCs w:val="24"/>
                <w:highlight w:val="none"/>
              </w:rPr>
              <w:t>法定代表人：</w:t>
            </w:r>
          </w:p>
        </w:tc>
        <w:tc>
          <w:tcPr>
            <w:tcW w:w="4585" w:type="dxa"/>
          </w:tcPr>
          <w:p w14:paraId="7736BF05">
            <w:pPr>
              <w:pStyle w:val="259"/>
              <w:spacing w:before="91" w:line="440" w:lineRule="exact"/>
              <w:ind w:left="121"/>
              <w:rPr>
                <w:color w:val="auto"/>
                <w:sz w:val="24"/>
                <w:szCs w:val="24"/>
                <w:highlight w:val="none"/>
              </w:rPr>
            </w:pPr>
            <w:r>
              <w:rPr>
                <w:color w:val="auto"/>
                <w:spacing w:val="14"/>
                <w:sz w:val="24"/>
                <w:szCs w:val="24"/>
                <w:highlight w:val="none"/>
              </w:rPr>
              <w:t>法定代表人：</w:t>
            </w:r>
          </w:p>
        </w:tc>
      </w:tr>
      <w:tr w14:paraId="6BC58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583" w:type="dxa"/>
          </w:tcPr>
          <w:p w14:paraId="455142EB">
            <w:pPr>
              <w:pStyle w:val="259"/>
              <w:spacing w:before="91" w:line="440" w:lineRule="exact"/>
              <w:ind w:left="121"/>
              <w:rPr>
                <w:color w:val="auto"/>
                <w:sz w:val="24"/>
                <w:szCs w:val="24"/>
                <w:highlight w:val="none"/>
              </w:rPr>
            </w:pPr>
            <w:r>
              <w:rPr>
                <w:color w:val="auto"/>
                <w:spacing w:val="14"/>
                <w:sz w:val="24"/>
                <w:szCs w:val="24"/>
                <w:highlight w:val="none"/>
              </w:rPr>
              <w:t>委托代理人：</w:t>
            </w:r>
          </w:p>
        </w:tc>
        <w:tc>
          <w:tcPr>
            <w:tcW w:w="4585" w:type="dxa"/>
          </w:tcPr>
          <w:p w14:paraId="44B04B42">
            <w:pPr>
              <w:pStyle w:val="259"/>
              <w:spacing w:before="91" w:line="440" w:lineRule="exact"/>
              <w:ind w:left="120"/>
              <w:rPr>
                <w:color w:val="auto"/>
                <w:sz w:val="24"/>
                <w:szCs w:val="24"/>
                <w:highlight w:val="none"/>
              </w:rPr>
            </w:pPr>
            <w:r>
              <w:rPr>
                <w:color w:val="auto"/>
                <w:spacing w:val="14"/>
                <w:sz w:val="24"/>
                <w:szCs w:val="24"/>
                <w:highlight w:val="none"/>
              </w:rPr>
              <w:t>委托代理人：</w:t>
            </w:r>
          </w:p>
        </w:tc>
      </w:tr>
      <w:tr w14:paraId="34A0C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583" w:type="dxa"/>
          </w:tcPr>
          <w:p w14:paraId="31949FD6">
            <w:pPr>
              <w:pStyle w:val="259"/>
              <w:spacing w:before="91" w:line="440" w:lineRule="exact"/>
              <w:ind w:left="169"/>
              <w:rPr>
                <w:color w:val="auto"/>
                <w:sz w:val="24"/>
                <w:szCs w:val="24"/>
                <w:highlight w:val="none"/>
              </w:rPr>
            </w:pPr>
            <w:r>
              <w:rPr>
                <w:color w:val="auto"/>
                <w:spacing w:val="-8"/>
                <w:sz w:val="24"/>
                <w:szCs w:val="24"/>
                <w:highlight w:val="none"/>
              </w:rPr>
              <w:t>电话：</w:t>
            </w:r>
          </w:p>
        </w:tc>
        <w:tc>
          <w:tcPr>
            <w:tcW w:w="4585" w:type="dxa"/>
          </w:tcPr>
          <w:p w14:paraId="354C73C0">
            <w:pPr>
              <w:pStyle w:val="259"/>
              <w:spacing w:before="91" w:line="440" w:lineRule="exact"/>
              <w:ind w:left="168"/>
              <w:rPr>
                <w:color w:val="auto"/>
                <w:sz w:val="24"/>
                <w:szCs w:val="24"/>
                <w:highlight w:val="none"/>
              </w:rPr>
            </w:pPr>
            <w:r>
              <w:rPr>
                <w:color w:val="auto"/>
                <w:spacing w:val="-8"/>
                <w:sz w:val="24"/>
                <w:szCs w:val="24"/>
                <w:highlight w:val="none"/>
              </w:rPr>
              <w:t>电话：</w:t>
            </w:r>
          </w:p>
        </w:tc>
      </w:tr>
      <w:tr w14:paraId="57011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583" w:type="dxa"/>
          </w:tcPr>
          <w:p w14:paraId="4920A8AE">
            <w:pPr>
              <w:pStyle w:val="259"/>
              <w:spacing w:before="94" w:line="440" w:lineRule="exact"/>
              <w:ind w:left="123"/>
              <w:rPr>
                <w:color w:val="auto"/>
                <w:sz w:val="24"/>
                <w:szCs w:val="24"/>
                <w:highlight w:val="none"/>
              </w:rPr>
            </w:pPr>
            <w:r>
              <w:rPr>
                <w:color w:val="auto"/>
                <w:spacing w:val="11"/>
                <w:sz w:val="24"/>
                <w:szCs w:val="24"/>
                <w:highlight w:val="none"/>
              </w:rPr>
              <w:t>开户银行：</w:t>
            </w:r>
          </w:p>
        </w:tc>
        <w:tc>
          <w:tcPr>
            <w:tcW w:w="4585" w:type="dxa"/>
          </w:tcPr>
          <w:p w14:paraId="1BE3A595">
            <w:pPr>
              <w:pStyle w:val="259"/>
              <w:spacing w:before="94" w:line="440" w:lineRule="exact"/>
              <w:ind w:left="121"/>
              <w:rPr>
                <w:color w:val="auto"/>
                <w:sz w:val="24"/>
                <w:szCs w:val="24"/>
                <w:highlight w:val="none"/>
              </w:rPr>
            </w:pPr>
            <w:r>
              <w:rPr>
                <w:color w:val="auto"/>
                <w:spacing w:val="11"/>
                <w:sz w:val="24"/>
                <w:szCs w:val="24"/>
                <w:highlight w:val="none"/>
              </w:rPr>
              <w:t>开户银行：</w:t>
            </w:r>
          </w:p>
        </w:tc>
      </w:tr>
      <w:tr w14:paraId="78595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583" w:type="dxa"/>
          </w:tcPr>
          <w:p w14:paraId="3487BB4D">
            <w:pPr>
              <w:pStyle w:val="259"/>
              <w:spacing w:before="93" w:line="440" w:lineRule="exact"/>
              <w:ind w:left="128"/>
              <w:rPr>
                <w:color w:val="auto"/>
                <w:sz w:val="24"/>
                <w:szCs w:val="24"/>
                <w:highlight w:val="none"/>
              </w:rPr>
            </w:pPr>
            <w:r>
              <w:rPr>
                <w:color w:val="auto"/>
                <w:spacing w:val="4"/>
                <w:sz w:val="24"/>
                <w:szCs w:val="24"/>
                <w:highlight w:val="none"/>
              </w:rPr>
              <w:t>账号：</w:t>
            </w:r>
          </w:p>
        </w:tc>
        <w:tc>
          <w:tcPr>
            <w:tcW w:w="4585" w:type="dxa"/>
          </w:tcPr>
          <w:p w14:paraId="730DC187">
            <w:pPr>
              <w:pStyle w:val="259"/>
              <w:spacing w:before="93" w:line="440" w:lineRule="exact"/>
              <w:ind w:left="126"/>
              <w:rPr>
                <w:color w:val="auto"/>
                <w:sz w:val="24"/>
                <w:szCs w:val="24"/>
                <w:highlight w:val="none"/>
              </w:rPr>
            </w:pPr>
            <w:r>
              <w:rPr>
                <w:color w:val="auto"/>
                <w:spacing w:val="4"/>
                <w:sz w:val="24"/>
                <w:szCs w:val="24"/>
                <w:highlight w:val="none"/>
              </w:rPr>
              <w:t>账号：</w:t>
            </w:r>
          </w:p>
        </w:tc>
      </w:tr>
      <w:tr w14:paraId="08B02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4583" w:type="dxa"/>
          </w:tcPr>
          <w:p w14:paraId="60D0DE1C">
            <w:pPr>
              <w:pStyle w:val="259"/>
              <w:spacing w:before="95" w:line="228" w:lineRule="auto"/>
              <w:ind w:left="151"/>
              <w:rPr>
                <w:color w:val="auto"/>
                <w:sz w:val="21"/>
                <w:szCs w:val="21"/>
                <w:highlight w:val="none"/>
              </w:rPr>
            </w:pPr>
            <w:r>
              <w:rPr>
                <w:color w:val="auto"/>
                <w:spacing w:val="5"/>
                <w:sz w:val="21"/>
                <w:szCs w:val="21"/>
                <w:highlight w:val="none"/>
              </w:rPr>
              <w:t>邮政编码：</w:t>
            </w:r>
          </w:p>
        </w:tc>
        <w:tc>
          <w:tcPr>
            <w:tcW w:w="4585" w:type="dxa"/>
          </w:tcPr>
          <w:p w14:paraId="33FF08D8">
            <w:pPr>
              <w:pStyle w:val="259"/>
              <w:spacing w:before="95" w:line="228" w:lineRule="auto"/>
              <w:ind w:left="152"/>
              <w:rPr>
                <w:color w:val="auto"/>
                <w:sz w:val="21"/>
                <w:szCs w:val="21"/>
                <w:highlight w:val="none"/>
              </w:rPr>
            </w:pPr>
            <w:r>
              <w:rPr>
                <w:color w:val="auto"/>
                <w:spacing w:val="5"/>
                <w:sz w:val="21"/>
                <w:szCs w:val="21"/>
                <w:highlight w:val="none"/>
              </w:rPr>
              <w:t>邮政编码：</w:t>
            </w:r>
          </w:p>
        </w:tc>
      </w:tr>
    </w:tbl>
    <w:p w14:paraId="46B1078E">
      <w:pPr>
        <w:tabs>
          <w:tab w:val="left" w:pos="4395"/>
        </w:tabs>
        <w:spacing w:line="360" w:lineRule="auto"/>
        <w:ind w:firstLine="4410"/>
        <w:rPr>
          <w:rFonts w:ascii="宋体" w:hAnsi="宋体" w:cs="宋体"/>
          <w:color w:val="auto"/>
          <w:szCs w:val="21"/>
          <w:highlight w:val="none"/>
        </w:rPr>
      </w:pPr>
    </w:p>
    <w:sectPr>
      <w:footerReference r:id="rId8" w:type="first"/>
      <w:footerReference r:id="rId7" w:type="default"/>
      <w:pgSz w:w="11906" w:h="16838"/>
      <w:pgMar w:top="1440" w:right="1499" w:bottom="1440" w:left="1587" w:header="851" w:footer="992"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5069E">
    <w:pPr>
      <w:pStyle w:val="30"/>
      <w:tabs>
        <w:tab w:val="center" w:pos="4439"/>
        <w:tab w:val="clear" w:pos="4153"/>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5CB9538B">
                          <w:pPr>
                            <w:pStyle w:val="3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XTDArtMBAACsAwAADgAAAAAAAAABACAAAAAeAQAA&#10;ZHJzL2Uyb0RvYy54bWxQSwUGAAAAAAYABgBZAQAAYwUAAAAA&#10;">
              <v:fill on="f" focussize="0,0"/>
              <v:stroke on="f"/>
              <v:imagedata o:title=""/>
              <o:lock v:ext="edit" aspectratio="f"/>
              <v:textbox inset="0mm,0mm,0mm,0mm" style="mso-fit-shape-to-text:t;">
                <w:txbxContent>
                  <w:p w14:paraId="5CB9538B">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4885205E">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B5D73">
    <w:pPr>
      <w:pStyle w:val="30"/>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1C33A291"/>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FyFGp1QEAAKwDAAAOAAAAAAAAAAEAIAAAAB4B&#10;AABkcnMvZTJvRG9jLnhtbFBLBQYAAAAABgAGAFkBAABlBQAAAAA=&#10;">
              <v:fill on="f" focussize="0,0"/>
              <v:stroke on="f"/>
              <v:imagedata o:title=""/>
              <o:lock v:ext="edit" aspectratio="f"/>
              <v:textbox inset="0mm,0mm,0mm,0mm" style="mso-fit-shape-to-text:t;">
                <w:txbxContent>
                  <w:p w14:paraId="1C33A291"/>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42A14">
    <w:pPr>
      <w:pStyle w:val="3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63072B7E">
                          <w:pPr>
                            <w:pStyle w:val="30"/>
                            <w:jc w:val="center"/>
                          </w:pPr>
                          <w:r>
                            <w:fldChar w:fldCharType="begin"/>
                          </w:r>
                          <w:r>
                            <w:instrText xml:space="preserve"> PAGE  \* MERGEFORMAT </w:instrText>
                          </w:r>
                          <w:r>
                            <w:fldChar w:fldCharType="separate"/>
                          </w:r>
                          <w:r>
                            <w:t>63</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Exv09vUAQAArAMAAA4AAAAAAAAAAQAgAAAAHgEA&#10;AGRycy9lMm9Eb2MueG1sUEsFBgAAAAAGAAYAWQEAAGQFAAAAAA==&#10;">
              <v:fill on="f" focussize="0,0"/>
              <v:stroke on="f"/>
              <v:imagedata o:title=""/>
              <o:lock v:ext="edit" aspectratio="f"/>
              <v:textbox inset="0mm,0mm,0mm,0mm" style="mso-fit-shape-to-text:t;">
                <w:txbxContent>
                  <w:p w14:paraId="63072B7E">
                    <w:pPr>
                      <w:pStyle w:val="30"/>
                      <w:jc w:val="center"/>
                    </w:pPr>
                    <w:r>
                      <w:fldChar w:fldCharType="begin"/>
                    </w:r>
                    <w:r>
                      <w:instrText xml:space="preserve"> PAGE  \* MERGEFORMAT </w:instrText>
                    </w:r>
                    <w:r>
                      <w:fldChar w:fldCharType="separate"/>
                    </w:r>
                    <w:r>
                      <w:t>63</w:t>
                    </w:r>
                    <w:r>
                      <w:fldChar w:fldCharType="end"/>
                    </w:r>
                  </w:p>
                </w:txbxContent>
              </v:textbox>
            </v:shape>
          </w:pict>
        </mc:Fallback>
      </mc:AlternateContent>
    </w:r>
  </w:p>
  <w:p w14:paraId="50D4919D">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9EB9B">
    <w:pPr>
      <w:pStyle w:val="3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324546FD">
                          <w:pPr>
                            <w:pStyle w:val="30"/>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2KWQ21QEAAKwDAAAOAAAAAAAAAAEAIAAAAB4B&#10;AABkcnMvZTJvRG9jLnhtbFBLBQYAAAAABgAGAFkBAABlBQAAAAA=&#10;">
              <v:fill on="f" focussize="0,0"/>
              <v:stroke on="f"/>
              <v:imagedata o:title=""/>
              <o:lock v:ext="edit" aspectratio="f"/>
              <v:textbox inset="0mm,0mm,0mm,0mm" style="mso-fit-shape-to-text:t;">
                <w:txbxContent>
                  <w:p w14:paraId="324546FD">
                    <w:pPr>
                      <w:pStyle w:val="30"/>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7933F">
    <w:pPr>
      <w:pStyle w:val="31"/>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60BB4">
    <w:pPr>
      <w:pStyle w:val="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B51F6"/>
    <w:multiLevelType w:val="multilevel"/>
    <w:tmpl w:val="845B51F6"/>
    <w:lvl w:ilvl="0" w:tentative="0">
      <w:start w:val="2"/>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D2F696F9"/>
    <w:multiLevelType w:val="multilevel"/>
    <w:tmpl w:val="D2F696F9"/>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48CA1A72"/>
    <w:multiLevelType w:val="multilevel"/>
    <w:tmpl w:val="48CA1A72"/>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51BB3A11"/>
    <w:multiLevelType w:val="multilevel"/>
    <w:tmpl w:val="51BB3A11"/>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7DE39475"/>
    <w:multiLevelType w:val="multilevel"/>
    <w:tmpl w:val="7DE39475"/>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hideSpellingErrors/>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B8C"/>
    <w:rsid w:val="00196F87"/>
    <w:rsid w:val="00644A85"/>
    <w:rsid w:val="00786414"/>
    <w:rsid w:val="008E2B8C"/>
    <w:rsid w:val="00CE10E6"/>
    <w:rsid w:val="00E2053D"/>
    <w:rsid w:val="0CCB6ED5"/>
    <w:rsid w:val="0FDE4C34"/>
    <w:rsid w:val="27497612"/>
    <w:rsid w:val="342E0AE6"/>
    <w:rsid w:val="48952B97"/>
    <w:rsid w:val="4D540EB8"/>
    <w:rsid w:val="57FA261B"/>
    <w:rsid w:val="5EB2604D"/>
    <w:rsid w:val="60280030"/>
    <w:rsid w:val="645A1743"/>
    <w:rsid w:val="64F91A66"/>
    <w:rsid w:val="697B2FE5"/>
    <w:rsid w:val="767C2E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0"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qFormat="1"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211"/>
    <w:qFormat/>
    <w:uiPriority w:val="9"/>
    <w:pPr>
      <w:keepNext/>
      <w:keepLines/>
      <w:spacing w:before="340" w:after="330" w:line="578" w:lineRule="auto"/>
      <w:outlineLvl w:val="0"/>
    </w:pPr>
    <w:rPr>
      <w:b/>
      <w:bCs/>
      <w:sz w:val="44"/>
      <w:szCs w:val="44"/>
    </w:rPr>
  </w:style>
  <w:style w:type="paragraph" w:styleId="4">
    <w:name w:val="heading 2"/>
    <w:basedOn w:val="1"/>
    <w:next w:val="1"/>
    <w:link w:val="212"/>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184"/>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213"/>
    <w:qFormat/>
    <w:uiPriority w:val="9"/>
    <w:pPr>
      <w:keepNext/>
      <w:keepLines/>
      <w:spacing w:before="280" w:after="290" w:line="376" w:lineRule="auto"/>
      <w:outlineLvl w:val="4"/>
    </w:pPr>
    <w:rPr>
      <w:b/>
      <w:bCs/>
      <w:sz w:val="28"/>
      <w:szCs w:val="28"/>
    </w:rPr>
  </w:style>
  <w:style w:type="paragraph" w:styleId="9">
    <w:name w:val="heading 6"/>
    <w:basedOn w:val="1"/>
    <w:next w:val="1"/>
    <w:link w:val="187"/>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10">
    <w:name w:val="heading 7"/>
    <w:basedOn w:val="1"/>
    <w:next w:val="1"/>
    <w:link w:val="188"/>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14"/>
    <w:qFormat/>
    <w:uiPriority w:val="9"/>
    <w:pPr>
      <w:keepNext/>
      <w:keepLines/>
      <w:spacing w:before="240" w:after="64" w:line="320" w:lineRule="auto"/>
      <w:outlineLvl w:val="7"/>
    </w:pPr>
    <w:rPr>
      <w:rFonts w:ascii="等线 Light" w:hAnsi="等线 Light" w:eastAsia="等线 Light"/>
      <w:sz w:val="24"/>
    </w:rPr>
  </w:style>
  <w:style w:type="paragraph" w:styleId="12">
    <w:name w:val="heading 9"/>
    <w:basedOn w:val="1"/>
    <w:next w:val="1"/>
    <w:link w:val="190"/>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0"/>
    <w:unhideWhenUsed/>
    <w:qFormat/>
    <w:uiPriority w:val="0"/>
    <w:pPr>
      <w:spacing w:after="120"/>
    </w:p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spacing w:after="100"/>
      <w:ind w:left="1320"/>
    </w:pPr>
  </w:style>
  <w:style w:type="paragraph" w:styleId="14">
    <w:name w:val="List Number"/>
    <w:basedOn w:val="1"/>
    <w:qFormat/>
    <w:uiPriority w:val="0"/>
    <w:pPr>
      <w:widowControl/>
      <w:tabs>
        <w:tab w:val="left" w:pos="454"/>
        <w:tab w:val="left" w:pos="720"/>
        <w:tab w:val="left" w:pos="840"/>
      </w:tabs>
      <w:ind w:left="454" w:hanging="284"/>
      <w:jc w:val="left"/>
    </w:pPr>
    <w:rPr>
      <w:sz w:val="24"/>
      <w:szCs w:val="20"/>
    </w:rPr>
  </w:style>
  <w:style w:type="paragraph" w:styleId="15">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6">
    <w:name w:val="toa heading"/>
    <w:basedOn w:val="1"/>
    <w:next w:val="1"/>
    <w:qFormat/>
    <w:uiPriority w:val="0"/>
    <w:rPr>
      <w:rFonts w:ascii="Arial" w:hAnsi="Arial"/>
      <w:sz w:val="24"/>
    </w:rPr>
  </w:style>
  <w:style w:type="paragraph" w:styleId="17">
    <w:name w:val="annotation text"/>
    <w:basedOn w:val="1"/>
    <w:link w:val="215"/>
    <w:qFormat/>
    <w:uiPriority w:val="0"/>
    <w:pPr>
      <w:jc w:val="left"/>
    </w:pPr>
  </w:style>
  <w:style w:type="paragraph" w:styleId="18">
    <w:name w:val="Body Text 3"/>
    <w:basedOn w:val="1"/>
    <w:link w:val="216"/>
    <w:unhideWhenUsed/>
    <w:qFormat/>
    <w:uiPriority w:val="99"/>
    <w:pPr>
      <w:spacing w:after="120"/>
    </w:pPr>
    <w:rPr>
      <w:sz w:val="16"/>
      <w:szCs w:val="16"/>
    </w:rPr>
  </w:style>
  <w:style w:type="paragraph" w:styleId="19">
    <w:name w:val="Body Text Indent"/>
    <w:basedOn w:val="1"/>
    <w:next w:val="20"/>
    <w:link w:val="217"/>
    <w:qFormat/>
    <w:uiPriority w:val="0"/>
    <w:pPr>
      <w:ind w:firstLine="830"/>
    </w:pPr>
    <w:rPr>
      <w:rFonts w:ascii="仿宋_GB2312" w:eastAsia="仿宋_GB2312"/>
      <w:sz w:val="32"/>
      <w:szCs w:val="20"/>
    </w:rPr>
  </w:style>
  <w:style w:type="paragraph" w:styleId="20">
    <w:name w:val="envelope return"/>
    <w:basedOn w:val="1"/>
    <w:qFormat/>
    <w:uiPriority w:val="0"/>
    <w:pPr>
      <w:widowControl/>
      <w:spacing w:after="200"/>
      <w:jc w:val="left"/>
    </w:pPr>
    <w:rPr>
      <w:rFonts w:ascii="Arial" w:hAnsi="Arial" w:eastAsia="微软雅黑"/>
      <w:sz w:val="22"/>
      <w:szCs w:val="22"/>
    </w:rPr>
  </w:style>
  <w:style w:type="paragraph" w:styleId="21">
    <w:name w:val="List 2"/>
    <w:basedOn w:val="1"/>
    <w:unhideWhenUsed/>
    <w:qFormat/>
    <w:uiPriority w:val="99"/>
    <w:pPr>
      <w:ind w:left="100" w:hanging="200"/>
      <w:contextualSpacing/>
    </w:pPr>
  </w:style>
  <w:style w:type="paragraph" w:styleId="22">
    <w:name w:val="index 4"/>
    <w:basedOn w:val="1"/>
    <w:next w:val="1"/>
    <w:semiHidden/>
    <w:qFormat/>
    <w:uiPriority w:val="99"/>
    <w:pPr>
      <w:ind w:left="600"/>
    </w:pPr>
    <w:rPr>
      <w:szCs w:val="21"/>
    </w:rPr>
  </w:style>
  <w:style w:type="paragraph" w:styleId="23">
    <w:name w:val="toc 5"/>
    <w:basedOn w:val="1"/>
    <w:next w:val="1"/>
    <w:unhideWhenUsed/>
    <w:qFormat/>
    <w:uiPriority w:val="39"/>
    <w:pPr>
      <w:spacing w:after="100"/>
      <w:ind w:left="880"/>
    </w:pPr>
  </w:style>
  <w:style w:type="paragraph" w:styleId="24">
    <w:name w:val="toc 3"/>
    <w:basedOn w:val="1"/>
    <w:next w:val="1"/>
    <w:unhideWhenUsed/>
    <w:qFormat/>
    <w:uiPriority w:val="39"/>
    <w:pPr>
      <w:spacing w:after="100"/>
      <w:ind w:left="440"/>
    </w:pPr>
  </w:style>
  <w:style w:type="paragraph" w:styleId="25">
    <w:name w:val="Plain Text"/>
    <w:basedOn w:val="1"/>
    <w:link w:val="218"/>
    <w:qFormat/>
    <w:uiPriority w:val="0"/>
    <w:rPr>
      <w:rFonts w:ascii="宋体" w:hAnsi="Courier New"/>
      <w:sz w:val="20"/>
      <w:szCs w:val="21"/>
    </w:rPr>
  </w:style>
  <w:style w:type="paragraph" w:styleId="26">
    <w:name w:val="toc 8"/>
    <w:basedOn w:val="1"/>
    <w:next w:val="1"/>
    <w:unhideWhenUsed/>
    <w:qFormat/>
    <w:uiPriority w:val="39"/>
    <w:pPr>
      <w:spacing w:after="100"/>
      <w:ind w:left="1540"/>
    </w:pPr>
  </w:style>
  <w:style w:type="paragraph" w:styleId="27">
    <w:name w:val="Date"/>
    <w:basedOn w:val="1"/>
    <w:next w:val="1"/>
    <w:link w:val="219"/>
    <w:unhideWhenUsed/>
    <w:qFormat/>
    <w:uiPriority w:val="99"/>
    <w:pPr>
      <w:ind w:left="100"/>
    </w:pPr>
  </w:style>
  <w:style w:type="paragraph" w:styleId="28">
    <w:name w:val="endnote text"/>
    <w:basedOn w:val="1"/>
    <w:link w:val="206"/>
    <w:semiHidden/>
    <w:unhideWhenUsed/>
    <w:qFormat/>
    <w:uiPriority w:val="99"/>
    <w:rPr>
      <w:sz w:val="20"/>
      <w:szCs w:val="20"/>
    </w:rPr>
  </w:style>
  <w:style w:type="paragraph" w:styleId="29">
    <w:name w:val="Balloon Text"/>
    <w:basedOn w:val="1"/>
    <w:semiHidden/>
    <w:qFormat/>
    <w:uiPriority w:val="0"/>
    <w:rPr>
      <w:sz w:val="18"/>
      <w:szCs w:val="18"/>
    </w:rPr>
  </w:style>
  <w:style w:type="paragraph" w:styleId="30">
    <w:name w:val="footer"/>
    <w:basedOn w:val="1"/>
    <w:next w:val="1"/>
    <w:link w:val="220"/>
    <w:unhideWhenUsed/>
    <w:qFormat/>
    <w:uiPriority w:val="99"/>
    <w:pPr>
      <w:tabs>
        <w:tab w:val="center" w:pos="4153"/>
        <w:tab w:val="right" w:pos="8306"/>
      </w:tabs>
      <w:jc w:val="left"/>
    </w:pPr>
    <w:rPr>
      <w:sz w:val="18"/>
      <w:szCs w:val="18"/>
    </w:rPr>
  </w:style>
  <w:style w:type="paragraph" w:styleId="31">
    <w:name w:val="header"/>
    <w:basedOn w:val="1"/>
    <w:link w:val="221"/>
    <w:unhideWhenUsed/>
    <w:qFormat/>
    <w:uiPriority w:val="99"/>
    <w:pPr>
      <w:pBdr>
        <w:bottom w:val="single" w:color="000000" w:sz="6" w:space="1"/>
      </w:pBdr>
      <w:tabs>
        <w:tab w:val="center" w:pos="4153"/>
        <w:tab w:val="right" w:pos="8306"/>
      </w:tabs>
      <w:jc w:val="center"/>
    </w:pPr>
    <w:rPr>
      <w:sz w:val="18"/>
      <w:szCs w:val="18"/>
    </w:rPr>
  </w:style>
  <w:style w:type="paragraph" w:styleId="32">
    <w:name w:val="toc 1"/>
    <w:basedOn w:val="1"/>
    <w:next w:val="1"/>
    <w:unhideWhenUsed/>
    <w:qFormat/>
    <w:uiPriority w:val="39"/>
  </w:style>
  <w:style w:type="paragraph" w:styleId="33">
    <w:name w:val="toc 4"/>
    <w:basedOn w:val="1"/>
    <w:next w:val="1"/>
    <w:unhideWhenUsed/>
    <w:qFormat/>
    <w:uiPriority w:val="39"/>
    <w:pPr>
      <w:spacing w:after="100"/>
      <w:ind w:left="660"/>
    </w:pPr>
  </w:style>
  <w:style w:type="paragraph" w:styleId="34">
    <w:name w:val="Subtitle"/>
    <w:basedOn w:val="1"/>
    <w:next w:val="1"/>
    <w:link w:val="19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5">
    <w:name w:val="footnote text"/>
    <w:basedOn w:val="1"/>
    <w:link w:val="205"/>
    <w:semiHidden/>
    <w:unhideWhenUsed/>
    <w:qFormat/>
    <w:uiPriority w:val="99"/>
    <w:rPr>
      <w:sz w:val="20"/>
      <w:szCs w:val="20"/>
    </w:rPr>
  </w:style>
  <w:style w:type="paragraph" w:styleId="36">
    <w:name w:val="toc 6"/>
    <w:basedOn w:val="1"/>
    <w:next w:val="1"/>
    <w:unhideWhenUsed/>
    <w:qFormat/>
    <w:uiPriority w:val="39"/>
    <w:pPr>
      <w:spacing w:after="100"/>
      <w:ind w:left="1100"/>
    </w:pPr>
  </w:style>
  <w:style w:type="paragraph" w:styleId="37">
    <w:name w:val="table of figures"/>
    <w:basedOn w:val="1"/>
    <w:next w:val="1"/>
    <w:unhideWhenUsed/>
    <w:qFormat/>
    <w:uiPriority w:val="99"/>
  </w:style>
  <w:style w:type="paragraph" w:styleId="38">
    <w:name w:val="toc 2"/>
    <w:basedOn w:val="1"/>
    <w:next w:val="1"/>
    <w:unhideWhenUsed/>
    <w:qFormat/>
    <w:uiPriority w:val="39"/>
    <w:pPr>
      <w:tabs>
        <w:tab w:val="right" w:leader="dot" w:pos="8296"/>
      </w:tabs>
      <w:ind w:left="420"/>
    </w:pPr>
  </w:style>
  <w:style w:type="paragraph" w:styleId="39">
    <w:name w:val="toc 9"/>
    <w:basedOn w:val="1"/>
    <w:next w:val="1"/>
    <w:unhideWhenUsed/>
    <w:qFormat/>
    <w:uiPriority w:val="39"/>
    <w:pPr>
      <w:spacing w:after="100"/>
      <w:ind w:left="1760"/>
    </w:pPr>
  </w:style>
  <w:style w:type="paragraph" w:styleId="40">
    <w:name w:val="Body Text 2"/>
    <w:basedOn w:val="1"/>
    <w:next w:val="2"/>
    <w:qFormat/>
    <w:uiPriority w:val="0"/>
    <w:pPr>
      <w:spacing w:after="120" w:line="480" w:lineRule="auto"/>
    </w:pPr>
    <w:rPr>
      <w:lang w:val="zh-CN"/>
    </w:rPr>
  </w:style>
  <w:style w:type="paragraph" w:styleId="41">
    <w:name w:val="Normal (Web)"/>
    <w:basedOn w:val="1"/>
    <w:unhideWhenUsed/>
    <w:qFormat/>
    <w:uiPriority w:val="99"/>
    <w:rPr>
      <w:rFonts w:ascii="Calibri" w:hAnsi="Calibri"/>
      <w:sz w:val="24"/>
    </w:rPr>
  </w:style>
  <w:style w:type="paragraph" w:styleId="42">
    <w:name w:val="Title"/>
    <w:basedOn w:val="1"/>
    <w:next w:val="1"/>
    <w:link w:val="191"/>
    <w:qFormat/>
    <w:uiPriority w:val="10"/>
    <w:pPr>
      <w:spacing w:after="80"/>
      <w:contextualSpacing/>
    </w:pPr>
    <w:rPr>
      <w:rFonts w:ascii="Arial" w:hAnsi="Arial" w:eastAsia="Arial" w:cs="Arial"/>
      <w:spacing w:val="-10"/>
      <w:sz w:val="56"/>
      <w:szCs w:val="56"/>
    </w:rPr>
  </w:style>
  <w:style w:type="paragraph" w:styleId="43">
    <w:name w:val="annotation subject"/>
    <w:basedOn w:val="17"/>
    <w:next w:val="17"/>
    <w:link w:val="222"/>
    <w:qFormat/>
    <w:uiPriority w:val="99"/>
    <w:rPr>
      <w:b/>
      <w:bCs/>
    </w:rPr>
  </w:style>
  <w:style w:type="paragraph" w:styleId="44">
    <w:name w:val="Body Text First Indent"/>
    <w:basedOn w:val="2"/>
    <w:qFormat/>
    <w:uiPriority w:val="0"/>
    <w:pPr>
      <w:ind w:firstLine="420"/>
    </w:pPr>
    <w:rPr>
      <w:szCs w:val="20"/>
    </w:rPr>
  </w:style>
  <w:style w:type="paragraph" w:styleId="45">
    <w:name w:val="Body Text First Indent 2"/>
    <w:basedOn w:val="19"/>
    <w:qFormat/>
    <w:uiPriority w:val="99"/>
    <w:pPr>
      <w:widowControl/>
      <w:spacing w:line="360" w:lineRule="auto"/>
      <w:ind w:left="-358" w:firstLine="560"/>
      <w:jc w:val="left"/>
    </w:pPr>
    <w:rPr>
      <w:sz w:val="28"/>
    </w:rPr>
  </w:style>
  <w:style w:type="table" w:styleId="47">
    <w:name w:val="Table Grid"/>
    <w:basedOn w:val="4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9">
    <w:name w:val="Strong"/>
    <w:basedOn w:val="48"/>
    <w:qFormat/>
    <w:uiPriority w:val="22"/>
    <w:rPr>
      <w:b/>
    </w:rPr>
  </w:style>
  <w:style w:type="character" w:styleId="50">
    <w:name w:val="endnote reference"/>
    <w:unhideWhenUsed/>
    <w:qFormat/>
    <w:uiPriority w:val="99"/>
    <w:rPr>
      <w:vertAlign w:val="superscript"/>
    </w:rPr>
  </w:style>
  <w:style w:type="character" w:styleId="51">
    <w:name w:val="FollowedHyperlink"/>
    <w:basedOn w:val="48"/>
    <w:semiHidden/>
    <w:unhideWhenUsed/>
    <w:qFormat/>
    <w:uiPriority w:val="99"/>
    <w:rPr>
      <w:color w:val="800080" w:themeColor="followedHyperlink"/>
      <w:u w:val="single"/>
      <w14:textFill>
        <w14:solidFill>
          <w14:schemeClr w14:val="folHlink"/>
        </w14:solidFill>
      </w14:textFill>
    </w:rPr>
  </w:style>
  <w:style w:type="character" w:styleId="52">
    <w:name w:val="Emphasis"/>
    <w:basedOn w:val="48"/>
    <w:qFormat/>
    <w:uiPriority w:val="20"/>
    <w:rPr>
      <w:i/>
    </w:rPr>
  </w:style>
  <w:style w:type="character" w:styleId="53">
    <w:name w:val="Hyperlink"/>
    <w:unhideWhenUsed/>
    <w:qFormat/>
    <w:uiPriority w:val="99"/>
    <w:rPr>
      <w:color w:val="0000FF"/>
      <w:u w:val="single"/>
    </w:rPr>
  </w:style>
  <w:style w:type="character" w:styleId="54">
    <w:name w:val="annotation reference"/>
    <w:qFormat/>
    <w:uiPriority w:val="0"/>
    <w:rPr>
      <w:sz w:val="21"/>
      <w:szCs w:val="21"/>
    </w:rPr>
  </w:style>
  <w:style w:type="character" w:styleId="55">
    <w:name w:val="footnote reference"/>
    <w:basedOn w:val="48"/>
    <w:semiHidden/>
    <w:unhideWhenUsed/>
    <w:qFormat/>
    <w:uiPriority w:val="99"/>
    <w:rPr>
      <w:vertAlign w:val="superscript"/>
    </w:rPr>
  </w:style>
  <w:style w:type="character" w:styleId="56">
    <w:name w:val="HTML Sample"/>
    <w:unhideWhenUsed/>
    <w:qFormat/>
    <w:uiPriority w:val="99"/>
    <w:rPr>
      <w:rFonts w:ascii="Courier New" w:hAnsi="Courier New"/>
    </w:rPr>
  </w:style>
  <w:style w:type="table" w:customStyle="1" w:styleId="57">
    <w:name w:val="Table Grid Light"/>
    <w:basedOn w:val="46"/>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8">
    <w:name w:val="无格式表格 11"/>
    <w:basedOn w:val="46"/>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无格式表格 21"/>
    <w:basedOn w:val="46"/>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无格式表格 31"/>
    <w:basedOn w:val="46"/>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41"/>
    <w:basedOn w:val="46"/>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51"/>
    <w:basedOn w:val="46"/>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网格表 1 浅色1"/>
    <w:basedOn w:val="46"/>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basedOn w:val="46"/>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5">
    <w:name w:val="Grid Table 1 Light - Accent 2"/>
    <w:basedOn w:val="46"/>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6">
    <w:name w:val="Grid Table 1 Light - Accent 3"/>
    <w:basedOn w:val="46"/>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7">
    <w:name w:val="Grid Table 1 Light - Accent 4"/>
    <w:basedOn w:val="46"/>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8">
    <w:name w:val="Grid Table 1 Light - Accent 5"/>
    <w:basedOn w:val="46"/>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9">
    <w:name w:val="Grid Table 1 Light - Accent 6"/>
    <w:basedOn w:val="4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0">
    <w:name w:val="网格表 21"/>
    <w:basedOn w:val="46"/>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basedOn w:val="46"/>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2">
    <w:name w:val="Grid Table 2 - Accent 2"/>
    <w:basedOn w:val="46"/>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3">
    <w:name w:val="Grid Table 2 - Accent 3"/>
    <w:basedOn w:val="46"/>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4">
    <w:name w:val="Grid Table 2 - Accent 4"/>
    <w:basedOn w:val="46"/>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5">
    <w:name w:val="Grid Table 2 - Accent 5"/>
    <w:basedOn w:val="46"/>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6">
    <w:name w:val="Grid Table 2 - Accent 6"/>
    <w:basedOn w:val="4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7">
    <w:name w:val="网格表 31"/>
    <w:basedOn w:val="46"/>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basedOn w:val="46"/>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9">
    <w:name w:val="Grid Table 3 - Accent 2"/>
    <w:basedOn w:val="46"/>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0">
    <w:name w:val="Grid Table 3 - Accent 3"/>
    <w:basedOn w:val="46"/>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1">
    <w:name w:val="Grid Table 3 - Accent 4"/>
    <w:basedOn w:val="46"/>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2">
    <w:name w:val="Grid Table 3 - Accent 5"/>
    <w:basedOn w:val="46"/>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3">
    <w:name w:val="Grid Table 3 - Accent 6"/>
    <w:basedOn w:val="4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4">
    <w:name w:val="网格表 41"/>
    <w:basedOn w:val="46"/>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basedOn w:val="46"/>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6">
    <w:name w:val="Grid Table 4 - Accent 2"/>
    <w:basedOn w:val="46"/>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7">
    <w:name w:val="Grid Table 4 - Accent 3"/>
    <w:basedOn w:val="46"/>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8">
    <w:name w:val="Grid Table 4 - Accent 4"/>
    <w:basedOn w:val="46"/>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9">
    <w:name w:val="Grid Table 4 - Accent 5"/>
    <w:basedOn w:val="46"/>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0">
    <w:name w:val="Grid Table 4 - Accent 6"/>
    <w:basedOn w:val="4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1">
    <w:name w:val="网格表 5 深色1"/>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3">
    <w:name w:val="Grid Table 5 Dark - Accent 2"/>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4">
    <w:name w:val="Grid Table 5 Dark - Accent 3"/>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5">
    <w:name w:val="Grid Table 5 Dark- Accent 4"/>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6">
    <w:name w:val="Grid Table 5 Dark - Accent 5"/>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7">
    <w:name w:val="Grid Table 5 Dark - Accent 6"/>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8">
    <w:name w:val="网格表 6 彩色1"/>
    <w:basedOn w:val="46"/>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basedOn w:val="46"/>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basedOn w:val="46"/>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basedOn w:val="46"/>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2">
    <w:name w:val="Grid Table 6 Colorful - Accent 4"/>
    <w:basedOn w:val="46"/>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basedOn w:val="46"/>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4">
    <w:name w:val="Grid Table 6 Colorful - Accent 6"/>
    <w:basedOn w:val="4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5">
    <w:name w:val="网格表 7 彩色1"/>
    <w:basedOn w:val="46"/>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basedOn w:val="46"/>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basedOn w:val="46"/>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basedOn w:val="46"/>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9">
    <w:name w:val="Grid Table 7 Colorful - Accent 4"/>
    <w:basedOn w:val="46"/>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basedOn w:val="46"/>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1">
    <w:name w:val="Grid Table 7 Colorful - Accent 6"/>
    <w:basedOn w:val="4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2">
    <w:name w:val="清单表 1 浅色1"/>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4">
    <w:name w:val="List Table 1 Light - Accent 2"/>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5">
    <w:name w:val="List Table 1 Light - Accent 3"/>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6">
    <w:name w:val="List Table 1 Light - Accent 4"/>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7">
    <w:name w:val="List Table 1 Light - Accent 5"/>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8">
    <w:name w:val="List Table 1 Light - Accent 6"/>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9">
    <w:name w:val="清单表 21"/>
    <w:basedOn w:val="46"/>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basedOn w:val="46"/>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1">
    <w:name w:val="List Table 2 - Accent 2"/>
    <w:basedOn w:val="46"/>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2">
    <w:name w:val="List Table 2 - Accent 3"/>
    <w:basedOn w:val="46"/>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3">
    <w:name w:val="List Table 2 - Accent 4"/>
    <w:basedOn w:val="46"/>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4">
    <w:name w:val="List Table 2 - Accent 5"/>
    <w:basedOn w:val="46"/>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5">
    <w:name w:val="List Table 2 - Accent 6"/>
    <w:basedOn w:val="4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6">
    <w:name w:val="清单表 31"/>
    <w:basedOn w:val="46"/>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basedOn w:val="46"/>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8">
    <w:name w:val="List Table 3 - Accent 2"/>
    <w:basedOn w:val="46"/>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9">
    <w:name w:val="List Table 3 - Accent 3"/>
    <w:basedOn w:val="46"/>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0">
    <w:name w:val="List Table 3 - Accent 4"/>
    <w:basedOn w:val="46"/>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1">
    <w:name w:val="List Table 3 - Accent 5"/>
    <w:basedOn w:val="46"/>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2">
    <w:name w:val="List Table 3 - Accent 6"/>
    <w:basedOn w:val="4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3">
    <w:name w:val="清单表 41"/>
    <w:basedOn w:val="46"/>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basedOn w:val="46"/>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5">
    <w:name w:val="List Table 4 - Accent 2"/>
    <w:basedOn w:val="46"/>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6">
    <w:name w:val="List Table 4 - Accent 3"/>
    <w:basedOn w:val="46"/>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7">
    <w:name w:val="List Table 4 - Accent 4"/>
    <w:basedOn w:val="46"/>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8">
    <w:name w:val="List Table 4 - Accent 5"/>
    <w:basedOn w:val="46"/>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9">
    <w:name w:val="List Table 4 - Accent 6"/>
    <w:basedOn w:val="4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0">
    <w:name w:val="清单表 5 深色1"/>
    <w:basedOn w:val="46"/>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basedOn w:val="46"/>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2">
    <w:name w:val="List Table 5 Dark - Accent 2"/>
    <w:basedOn w:val="46"/>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3">
    <w:name w:val="List Table 5 Dark - Accent 3"/>
    <w:basedOn w:val="46"/>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4">
    <w:name w:val="List Table 5 Dark - Accent 4"/>
    <w:basedOn w:val="46"/>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5">
    <w:name w:val="List Table 5 Dark - Accent 5"/>
    <w:basedOn w:val="46"/>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6">
    <w:name w:val="List Table 5 Dark - Accent 6"/>
    <w:basedOn w:val="4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7">
    <w:name w:val="清单表 6 彩色1"/>
    <w:basedOn w:val="46"/>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basedOn w:val="46"/>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9">
    <w:name w:val="List Table 6 Colorful - Accent 2"/>
    <w:basedOn w:val="46"/>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basedOn w:val="46"/>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basedOn w:val="46"/>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basedOn w:val="46"/>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basedOn w:val="46"/>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4">
    <w:name w:val="清单表 7 彩色1"/>
    <w:basedOn w:val="46"/>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basedOn w:val="46"/>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6">
    <w:name w:val="List Table 7 Colorful - Accent 2"/>
    <w:basedOn w:val="46"/>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basedOn w:val="46"/>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basedOn w:val="46"/>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basedOn w:val="46"/>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basedOn w:val="46"/>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1">
    <w:name w:val="Lined - Accent"/>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3">
    <w:name w:val="Lined - Accent 2"/>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4">
    <w:name w:val="Lined - Accent 3"/>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5">
    <w:name w:val="Lined - Accent 4"/>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6">
    <w:name w:val="Lined - Accent 5"/>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7">
    <w:name w:val="Lined - Accent 6"/>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8">
    <w:name w:val="Bordered &amp; Lined - Accent"/>
    <w:basedOn w:val="46"/>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basedOn w:val="46"/>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0">
    <w:name w:val="Bordered &amp; Lined - Accent 2"/>
    <w:basedOn w:val="46"/>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1">
    <w:name w:val="Bordered &amp; Lined - Accent 3"/>
    <w:basedOn w:val="46"/>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2">
    <w:name w:val="Bordered &amp; Lined - Accent 4"/>
    <w:basedOn w:val="46"/>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3">
    <w:name w:val="Bordered &amp; Lined - Accent 5"/>
    <w:basedOn w:val="46"/>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4">
    <w:name w:val="Bordered &amp; Lined - Accent 6"/>
    <w:basedOn w:val="4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5">
    <w:name w:val="Bordered"/>
    <w:basedOn w:val="46"/>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basedOn w:val="46"/>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7">
    <w:name w:val="Bordered - Accent 2"/>
    <w:basedOn w:val="46"/>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8">
    <w:name w:val="Bordered - Accent 3"/>
    <w:basedOn w:val="46"/>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9">
    <w:name w:val="Bordered - Accent 4"/>
    <w:basedOn w:val="46"/>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0">
    <w:name w:val="Bordered - Accent 5"/>
    <w:basedOn w:val="46"/>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1">
    <w:name w:val="Bordered - Accent 6"/>
    <w:basedOn w:val="4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2">
    <w:name w:val="Heading 1 Char"/>
    <w:basedOn w:val="48"/>
    <w:qFormat/>
    <w:uiPriority w:val="9"/>
    <w:rPr>
      <w:rFonts w:ascii="Arial" w:hAnsi="Arial" w:eastAsia="Arial" w:cs="Arial"/>
      <w:color w:val="376092" w:themeColor="accent1" w:themeShade="BF"/>
      <w:sz w:val="40"/>
      <w:szCs w:val="40"/>
    </w:rPr>
  </w:style>
  <w:style w:type="character" w:customStyle="1" w:styleId="183">
    <w:name w:val="Heading 2 Char"/>
    <w:basedOn w:val="48"/>
    <w:qFormat/>
    <w:uiPriority w:val="9"/>
    <w:rPr>
      <w:rFonts w:ascii="Arial" w:hAnsi="Arial" w:eastAsia="Arial" w:cs="Arial"/>
      <w:color w:val="376092" w:themeColor="accent1" w:themeShade="BF"/>
      <w:sz w:val="32"/>
      <w:szCs w:val="32"/>
    </w:rPr>
  </w:style>
  <w:style w:type="character" w:customStyle="1" w:styleId="184">
    <w:name w:val="标题 3 Char"/>
    <w:basedOn w:val="48"/>
    <w:link w:val="5"/>
    <w:qFormat/>
    <w:uiPriority w:val="9"/>
    <w:rPr>
      <w:rFonts w:ascii="Arial" w:hAnsi="Arial" w:eastAsia="Arial" w:cs="Arial"/>
      <w:color w:val="376092" w:themeColor="accent1" w:themeShade="BF"/>
      <w:sz w:val="28"/>
      <w:szCs w:val="28"/>
    </w:rPr>
  </w:style>
  <w:style w:type="character" w:customStyle="1" w:styleId="185">
    <w:name w:val="Heading 4 Char"/>
    <w:basedOn w:val="48"/>
    <w:qFormat/>
    <w:uiPriority w:val="9"/>
    <w:rPr>
      <w:rFonts w:ascii="Arial" w:hAnsi="Arial" w:eastAsia="Arial" w:cs="Arial"/>
      <w:i/>
      <w:iCs/>
      <w:color w:val="376092" w:themeColor="accent1" w:themeShade="BF"/>
    </w:rPr>
  </w:style>
  <w:style w:type="character" w:customStyle="1" w:styleId="186">
    <w:name w:val="Heading 5 Char"/>
    <w:basedOn w:val="48"/>
    <w:qFormat/>
    <w:uiPriority w:val="9"/>
    <w:rPr>
      <w:rFonts w:ascii="Arial" w:hAnsi="Arial" w:eastAsia="Arial" w:cs="Arial"/>
      <w:color w:val="376092" w:themeColor="accent1" w:themeShade="BF"/>
    </w:rPr>
  </w:style>
  <w:style w:type="character" w:customStyle="1" w:styleId="187">
    <w:name w:val="标题 6 Char"/>
    <w:basedOn w:val="48"/>
    <w:link w:val="9"/>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8">
    <w:name w:val="标题 7 Char"/>
    <w:basedOn w:val="48"/>
    <w:link w:val="10"/>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9">
    <w:name w:val="Heading 8 Char"/>
    <w:basedOn w:val="4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0">
    <w:name w:val="标题 9 Char"/>
    <w:basedOn w:val="48"/>
    <w:link w:val="12"/>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1">
    <w:name w:val="标题 Char"/>
    <w:basedOn w:val="48"/>
    <w:link w:val="42"/>
    <w:qFormat/>
    <w:uiPriority w:val="10"/>
    <w:rPr>
      <w:rFonts w:ascii="Arial" w:hAnsi="Arial" w:eastAsia="Arial" w:cs="Arial"/>
      <w:spacing w:val="-10"/>
      <w:sz w:val="56"/>
      <w:szCs w:val="56"/>
    </w:rPr>
  </w:style>
  <w:style w:type="character" w:customStyle="1" w:styleId="192">
    <w:name w:val="副标题 Char"/>
    <w:basedOn w:val="48"/>
    <w:link w:val="3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3">
    <w:name w:val="Quote"/>
    <w:basedOn w:val="1"/>
    <w:next w:val="1"/>
    <w:link w:val="19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4">
    <w:name w:val="引用 Char"/>
    <w:basedOn w:val="48"/>
    <w:link w:val="193"/>
    <w:qFormat/>
    <w:uiPriority w:val="29"/>
    <w:rPr>
      <w:i/>
      <w:iCs/>
      <w:color w:val="404040" w:themeColor="text1" w:themeTint="BF"/>
      <w14:textFill>
        <w14:solidFill>
          <w14:schemeClr w14:val="tx1">
            <w14:lumMod w14:val="75000"/>
            <w14:lumOff w14:val="25000"/>
          </w14:schemeClr>
        </w14:solidFill>
      </w14:textFill>
    </w:rPr>
  </w:style>
  <w:style w:type="character" w:customStyle="1" w:styleId="195">
    <w:name w:val="明显强调1"/>
    <w:basedOn w:val="48"/>
    <w:qFormat/>
    <w:uiPriority w:val="21"/>
    <w:rPr>
      <w:i/>
      <w:iCs/>
      <w:color w:val="376092" w:themeColor="accent1" w:themeShade="BF"/>
    </w:rPr>
  </w:style>
  <w:style w:type="paragraph" w:styleId="196">
    <w:name w:val="Intense Quote"/>
    <w:basedOn w:val="1"/>
    <w:next w:val="1"/>
    <w:link w:val="197"/>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97">
    <w:name w:val="明显引用 Char"/>
    <w:basedOn w:val="48"/>
    <w:link w:val="196"/>
    <w:qFormat/>
    <w:uiPriority w:val="30"/>
    <w:rPr>
      <w:i/>
      <w:iCs/>
      <w:color w:val="376092" w:themeColor="accent1" w:themeShade="BF"/>
    </w:rPr>
  </w:style>
  <w:style w:type="character" w:customStyle="1" w:styleId="198">
    <w:name w:val="明显参考1"/>
    <w:basedOn w:val="48"/>
    <w:qFormat/>
    <w:uiPriority w:val="32"/>
    <w:rPr>
      <w:b/>
      <w:bCs/>
      <w:smallCaps/>
      <w:color w:val="376092" w:themeColor="accent1" w:themeShade="BF"/>
      <w:spacing w:val="5"/>
    </w:rPr>
  </w:style>
  <w:style w:type="paragraph" w:styleId="199">
    <w:name w:val="No Spacing"/>
    <w:basedOn w:val="1"/>
    <w:qFormat/>
    <w:uiPriority w:val="1"/>
  </w:style>
  <w:style w:type="character" w:customStyle="1" w:styleId="200">
    <w:name w:val="不明显强调1"/>
    <w:basedOn w:val="48"/>
    <w:qFormat/>
    <w:uiPriority w:val="19"/>
    <w:rPr>
      <w:i/>
      <w:iCs/>
      <w:color w:val="404040" w:themeColor="text1" w:themeTint="BF"/>
      <w14:textFill>
        <w14:solidFill>
          <w14:schemeClr w14:val="tx1">
            <w14:lumMod w14:val="75000"/>
            <w14:lumOff w14:val="25000"/>
          </w14:schemeClr>
        </w14:solidFill>
      </w14:textFill>
    </w:rPr>
  </w:style>
  <w:style w:type="character" w:customStyle="1" w:styleId="201">
    <w:name w:val="不明显参考1"/>
    <w:basedOn w:val="48"/>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2">
    <w:name w:val="书籍标题1"/>
    <w:basedOn w:val="48"/>
    <w:qFormat/>
    <w:uiPriority w:val="33"/>
    <w:rPr>
      <w:b/>
      <w:bCs/>
      <w:i/>
      <w:iCs/>
      <w:spacing w:val="5"/>
    </w:rPr>
  </w:style>
  <w:style w:type="character" w:customStyle="1" w:styleId="203">
    <w:name w:val="Header Char"/>
    <w:basedOn w:val="48"/>
    <w:qFormat/>
    <w:uiPriority w:val="99"/>
  </w:style>
  <w:style w:type="character" w:customStyle="1" w:styleId="204">
    <w:name w:val="Footer Char"/>
    <w:basedOn w:val="48"/>
    <w:qFormat/>
    <w:uiPriority w:val="99"/>
  </w:style>
  <w:style w:type="character" w:customStyle="1" w:styleId="205">
    <w:name w:val="脚注文本 Char"/>
    <w:basedOn w:val="48"/>
    <w:link w:val="35"/>
    <w:semiHidden/>
    <w:qFormat/>
    <w:uiPriority w:val="99"/>
    <w:rPr>
      <w:sz w:val="20"/>
      <w:szCs w:val="20"/>
    </w:rPr>
  </w:style>
  <w:style w:type="character" w:customStyle="1" w:styleId="206">
    <w:name w:val="尾注文本 Char"/>
    <w:basedOn w:val="48"/>
    <w:link w:val="28"/>
    <w:semiHidden/>
    <w:qFormat/>
    <w:uiPriority w:val="99"/>
    <w:rPr>
      <w:sz w:val="20"/>
      <w:szCs w:val="20"/>
    </w:rPr>
  </w:style>
  <w:style w:type="character" w:styleId="207">
    <w:name w:val="Placeholder Text"/>
    <w:basedOn w:val="48"/>
    <w:semiHidden/>
    <w:qFormat/>
    <w:uiPriority w:val="99"/>
    <w:rPr>
      <w:color w:val="666666"/>
    </w:rPr>
  </w:style>
  <w:style w:type="paragraph" w:customStyle="1" w:styleId="208">
    <w:name w:val="TOC 标题1"/>
    <w:unhideWhenUsed/>
    <w:qFormat/>
    <w:uiPriority w:val="39"/>
    <w:rPr>
      <w:rFonts w:ascii="Times New Roman" w:hAnsi="Times New Roman" w:eastAsia="宋体" w:cs="Times New Roman"/>
      <w:lang w:val="en-US" w:eastAsia="zh-CN" w:bidi="ar-SA"/>
    </w:rPr>
  </w:style>
  <w:style w:type="paragraph" w:customStyle="1" w:styleId="209">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character" w:customStyle="1" w:styleId="210">
    <w:name w:val="正文文本 Char1"/>
    <w:link w:val="2"/>
    <w:qFormat/>
    <w:uiPriority w:val="0"/>
    <w:rPr>
      <w:rFonts w:ascii="Times New Roman" w:hAnsi="Times New Roman"/>
      <w:sz w:val="21"/>
      <w:szCs w:val="24"/>
    </w:rPr>
  </w:style>
  <w:style w:type="character" w:customStyle="1" w:styleId="211">
    <w:name w:val="标题 1 Char"/>
    <w:link w:val="3"/>
    <w:qFormat/>
    <w:uiPriority w:val="9"/>
    <w:rPr>
      <w:b/>
      <w:bCs/>
      <w:sz w:val="44"/>
      <w:szCs w:val="44"/>
    </w:rPr>
  </w:style>
  <w:style w:type="character" w:customStyle="1" w:styleId="212">
    <w:name w:val="标题 2 Char1"/>
    <w:link w:val="4"/>
    <w:qFormat/>
    <w:uiPriority w:val="9"/>
    <w:rPr>
      <w:rFonts w:ascii="Cambria" w:hAnsi="Cambria" w:eastAsia="宋体" w:cs="Times New Roman"/>
      <w:b/>
      <w:bCs/>
      <w:sz w:val="32"/>
      <w:szCs w:val="32"/>
    </w:rPr>
  </w:style>
  <w:style w:type="character" w:customStyle="1" w:styleId="213">
    <w:name w:val="标题 5 Char"/>
    <w:link w:val="7"/>
    <w:semiHidden/>
    <w:qFormat/>
    <w:uiPriority w:val="9"/>
    <w:rPr>
      <w:rFonts w:ascii="Times New Roman" w:hAnsi="Times New Roman"/>
      <w:b/>
      <w:bCs/>
      <w:sz w:val="28"/>
      <w:szCs w:val="28"/>
    </w:rPr>
  </w:style>
  <w:style w:type="character" w:customStyle="1" w:styleId="214">
    <w:name w:val="标题 8 Char1"/>
    <w:link w:val="11"/>
    <w:semiHidden/>
    <w:qFormat/>
    <w:uiPriority w:val="9"/>
    <w:rPr>
      <w:rFonts w:ascii="等线 Light" w:hAnsi="等线 Light" w:eastAsia="等线 Light" w:cs="Times New Roman"/>
      <w:sz w:val="24"/>
      <w:szCs w:val="24"/>
    </w:rPr>
  </w:style>
  <w:style w:type="character" w:customStyle="1" w:styleId="215">
    <w:name w:val="批注文字 Char1"/>
    <w:link w:val="17"/>
    <w:qFormat/>
    <w:uiPriority w:val="0"/>
    <w:rPr>
      <w:rFonts w:ascii="Times New Roman" w:hAnsi="Times New Roman"/>
      <w:sz w:val="21"/>
      <w:szCs w:val="24"/>
    </w:rPr>
  </w:style>
  <w:style w:type="character" w:customStyle="1" w:styleId="216">
    <w:name w:val="正文文本 3 Char"/>
    <w:link w:val="18"/>
    <w:semiHidden/>
    <w:qFormat/>
    <w:uiPriority w:val="99"/>
    <w:rPr>
      <w:sz w:val="16"/>
      <w:szCs w:val="16"/>
    </w:rPr>
  </w:style>
  <w:style w:type="character" w:customStyle="1" w:styleId="217">
    <w:name w:val="正文文本缩进 Char"/>
    <w:link w:val="19"/>
    <w:qFormat/>
    <w:uiPriority w:val="0"/>
    <w:rPr>
      <w:rFonts w:ascii="仿宋_GB2312" w:hAnsi="Times New Roman" w:eastAsia="仿宋_GB2312" w:cs="Times New Roman"/>
      <w:sz w:val="32"/>
      <w:szCs w:val="20"/>
    </w:rPr>
  </w:style>
  <w:style w:type="character" w:customStyle="1" w:styleId="218">
    <w:name w:val="纯文本 Char1"/>
    <w:link w:val="25"/>
    <w:qFormat/>
    <w:uiPriority w:val="0"/>
    <w:rPr>
      <w:rFonts w:ascii="宋体" w:hAnsi="Courier New" w:eastAsia="宋体" w:cs="Courier New"/>
      <w:szCs w:val="21"/>
    </w:rPr>
  </w:style>
  <w:style w:type="character" w:customStyle="1" w:styleId="219">
    <w:name w:val="日期 Char"/>
    <w:link w:val="27"/>
    <w:semiHidden/>
    <w:qFormat/>
    <w:uiPriority w:val="99"/>
    <w:rPr>
      <w:rFonts w:ascii="Times New Roman" w:hAnsi="Times New Roman"/>
      <w:sz w:val="21"/>
      <w:szCs w:val="24"/>
    </w:rPr>
  </w:style>
  <w:style w:type="character" w:customStyle="1" w:styleId="220">
    <w:name w:val="页脚 Char"/>
    <w:link w:val="30"/>
    <w:qFormat/>
    <w:uiPriority w:val="99"/>
    <w:rPr>
      <w:sz w:val="18"/>
      <w:szCs w:val="18"/>
    </w:rPr>
  </w:style>
  <w:style w:type="character" w:customStyle="1" w:styleId="221">
    <w:name w:val="页眉 Char"/>
    <w:link w:val="31"/>
    <w:qFormat/>
    <w:uiPriority w:val="99"/>
    <w:rPr>
      <w:sz w:val="18"/>
      <w:szCs w:val="18"/>
    </w:rPr>
  </w:style>
  <w:style w:type="character" w:customStyle="1" w:styleId="222">
    <w:name w:val="批注主题 Char"/>
    <w:link w:val="43"/>
    <w:qFormat/>
    <w:uiPriority w:val="99"/>
    <w:rPr>
      <w:rFonts w:ascii="Times New Roman" w:hAnsi="Times New Roman"/>
      <w:b/>
      <w:bCs/>
      <w:sz w:val="21"/>
      <w:szCs w:val="24"/>
    </w:rPr>
  </w:style>
  <w:style w:type="paragraph" w:customStyle="1" w:styleId="223">
    <w:name w:val="表格文字"/>
    <w:basedOn w:val="1"/>
    <w:qFormat/>
    <w:uiPriority w:val="0"/>
    <w:pPr>
      <w:spacing w:before="25" w:after="25"/>
      <w:jc w:val="left"/>
    </w:pPr>
    <w:rPr>
      <w:bCs/>
      <w:spacing w:val="10"/>
      <w:sz w:val="24"/>
    </w:rPr>
  </w:style>
  <w:style w:type="character" w:customStyle="1" w:styleId="224">
    <w:name w:val="标题 2 Char"/>
    <w:qFormat/>
    <w:uiPriority w:val="9"/>
    <w:rPr>
      <w:rFonts w:ascii="Cambria" w:hAnsi="Cambria" w:eastAsia="宋体" w:cs="Times New Roman"/>
      <w:b/>
      <w:bCs/>
      <w:sz w:val="32"/>
      <w:szCs w:val="32"/>
    </w:rPr>
  </w:style>
  <w:style w:type="character" w:customStyle="1" w:styleId="225">
    <w:name w:val="纯文本 字符1"/>
    <w:qFormat/>
    <w:uiPriority w:val="0"/>
    <w:rPr>
      <w:rFonts w:ascii="宋体" w:hAnsi="Courier New"/>
    </w:rPr>
  </w:style>
  <w:style w:type="character" w:customStyle="1" w:styleId="226">
    <w:name w:val="textcontents"/>
    <w:qFormat/>
    <w:uiPriority w:val="0"/>
  </w:style>
  <w:style w:type="character" w:customStyle="1" w:styleId="227">
    <w:name w:val="纯文本 字符2"/>
    <w:qFormat/>
    <w:uiPriority w:val="0"/>
    <w:rPr>
      <w:rFonts w:ascii="宋体" w:hAnsi="Courier New" w:eastAsia="宋体" w:cs="Courier New"/>
      <w:szCs w:val="21"/>
    </w:rPr>
  </w:style>
  <w:style w:type="character" w:customStyle="1" w:styleId="228">
    <w:name w:val="批注文字 字符"/>
    <w:qFormat/>
    <w:uiPriority w:val="0"/>
    <w:rPr>
      <w:rFonts w:ascii="Times New Roman" w:hAnsi="Times New Roman"/>
      <w:sz w:val="21"/>
      <w:szCs w:val="24"/>
    </w:rPr>
  </w:style>
  <w:style w:type="character" w:customStyle="1" w:styleId="229">
    <w:name w:val="批注文字 Char2"/>
    <w:qFormat/>
    <w:uiPriority w:val="0"/>
    <w:rPr>
      <w:rFonts w:ascii="Times New Roman" w:hAnsi="Times New Roman"/>
      <w:sz w:val="21"/>
      <w:szCs w:val="24"/>
    </w:rPr>
  </w:style>
  <w:style w:type="character" w:customStyle="1" w:styleId="230">
    <w:name w:val="批注文字 字符1"/>
    <w:qFormat/>
    <w:uiPriority w:val="0"/>
    <w:rPr>
      <w:rFonts w:ascii="Times New Roman" w:hAnsi="Times New Roman"/>
      <w:sz w:val="21"/>
      <w:szCs w:val="24"/>
    </w:rPr>
  </w:style>
  <w:style w:type="character" w:customStyle="1" w:styleId="231">
    <w:name w:val="标题 8 Char"/>
    <w:qFormat/>
    <w:uiPriority w:val="0"/>
    <w:rPr>
      <w:rFonts w:ascii="Arial" w:hAnsi="Arial" w:eastAsia="黑体"/>
      <w:sz w:val="24"/>
      <w:szCs w:val="24"/>
    </w:rPr>
  </w:style>
  <w:style w:type="character" w:customStyle="1" w:styleId="232">
    <w:name w:val="批注文字 Char"/>
    <w:qFormat/>
    <w:uiPriority w:val="0"/>
    <w:rPr>
      <w:rFonts w:ascii="Times New Roman" w:hAnsi="Times New Roman"/>
      <w:sz w:val="21"/>
      <w:szCs w:val="24"/>
    </w:rPr>
  </w:style>
  <w:style w:type="character" w:customStyle="1" w:styleId="233">
    <w:name w:val="标题 1 字符1"/>
    <w:qFormat/>
    <w:uiPriority w:val="0"/>
    <w:rPr>
      <w:b/>
      <w:bCs/>
      <w:sz w:val="44"/>
      <w:szCs w:val="44"/>
    </w:rPr>
  </w:style>
  <w:style w:type="character" w:customStyle="1" w:styleId="234">
    <w:name w:val="纯文本 字符"/>
    <w:qFormat/>
    <w:uiPriority w:val="0"/>
    <w:rPr>
      <w:rFonts w:ascii="宋体" w:hAnsi="Courier New" w:eastAsia="宋体" w:cs="Courier New"/>
      <w:szCs w:val="21"/>
    </w:rPr>
  </w:style>
  <w:style w:type="character" w:customStyle="1" w:styleId="235">
    <w:name w:val="正文文本 Char"/>
    <w:qFormat/>
    <w:uiPriority w:val="0"/>
    <w:rPr>
      <w:rFonts w:ascii="Times New Roman" w:hAnsi="Times New Roman"/>
      <w:sz w:val="21"/>
      <w:szCs w:val="24"/>
    </w:rPr>
  </w:style>
  <w:style w:type="character" w:customStyle="1" w:styleId="236">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37">
    <w:name w:val="正文文本 字符"/>
    <w:qFormat/>
    <w:uiPriority w:val="0"/>
    <w:rPr>
      <w:rFonts w:ascii="Times New Roman" w:hAnsi="Times New Roman"/>
      <w:sz w:val="21"/>
      <w:szCs w:val="24"/>
    </w:rPr>
  </w:style>
  <w:style w:type="character" w:customStyle="1" w:styleId="238">
    <w:name w:val="apple-style-span"/>
    <w:qFormat/>
    <w:uiPriority w:val="0"/>
  </w:style>
  <w:style w:type="character" w:customStyle="1" w:styleId="239">
    <w:name w:val="纯文本 Char"/>
    <w:qFormat/>
    <w:uiPriority w:val="0"/>
    <w:rPr>
      <w:rFonts w:ascii="宋体" w:hAnsi="Courier New" w:eastAsia="宋体" w:cs="Courier New"/>
      <w:szCs w:val="21"/>
    </w:rPr>
  </w:style>
  <w:style w:type="character" w:customStyle="1" w:styleId="240">
    <w:name w:val="正文2 Char Char"/>
    <w:link w:val="241"/>
    <w:qFormat/>
    <w:uiPriority w:val="0"/>
    <w:rPr>
      <w:sz w:val="24"/>
    </w:rPr>
  </w:style>
  <w:style w:type="paragraph" w:customStyle="1" w:styleId="241">
    <w:name w:val="正文2"/>
    <w:basedOn w:val="1"/>
    <w:link w:val="240"/>
    <w:qFormat/>
    <w:uiPriority w:val="0"/>
    <w:pPr>
      <w:spacing w:before="156" w:line="360" w:lineRule="auto"/>
      <w:ind w:firstLine="510"/>
    </w:pPr>
    <w:rPr>
      <w:sz w:val="24"/>
      <w:szCs w:val="20"/>
    </w:rPr>
  </w:style>
  <w:style w:type="paragraph" w:customStyle="1" w:styleId="242">
    <w:name w:val="默认段落字体 Para Char Char Char Char Char Char Char Char Char1 Char Char Char Char"/>
    <w:basedOn w:val="1"/>
    <w:qFormat/>
    <w:uiPriority w:val="0"/>
    <w:rPr>
      <w:rFonts w:ascii="Tahoma" w:hAnsi="Tahoma"/>
      <w:sz w:val="24"/>
      <w:szCs w:val="20"/>
    </w:rPr>
  </w:style>
  <w:style w:type="paragraph" w:customStyle="1" w:styleId="243">
    <w:name w:val="Table Paragraph"/>
    <w:basedOn w:val="1"/>
    <w:qFormat/>
    <w:uiPriority w:val="1"/>
    <w:pPr>
      <w:jc w:val="left"/>
    </w:pPr>
    <w:rPr>
      <w:rFonts w:ascii="Calibri" w:hAnsi="Calibri"/>
      <w:sz w:val="22"/>
      <w:szCs w:val="22"/>
      <w:lang w:eastAsia="en-US"/>
    </w:rPr>
  </w:style>
  <w:style w:type="paragraph" w:customStyle="1" w:styleId="244">
    <w:name w:val="Default"/>
    <w:qFormat/>
    <w:uiPriority w:val="0"/>
    <w:pPr>
      <w:widowControl w:val="0"/>
    </w:pPr>
    <w:rPr>
      <w:rFonts w:ascii="黑体" w:hAnsi="Times New Roman" w:eastAsia="黑体" w:cs="Times New Roman"/>
      <w:lang w:val="en-US" w:eastAsia="zh-CN" w:bidi="ar-SA"/>
    </w:rPr>
  </w:style>
  <w:style w:type="paragraph" w:customStyle="1" w:styleId="245">
    <w:name w:val="表内文字"/>
    <w:basedOn w:val="1"/>
    <w:qFormat/>
    <w:uiPriority w:val="0"/>
    <w:pPr>
      <w:spacing w:before="50" w:after="50"/>
      <w:jc w:val="center"/>
    </w:pPr>
    <w:rPr>
      <w:rFonts w:ascii="仿宋_GB2312" w:hAnsi="宋体" w:eastAsia="仿宋_GB2312"/>
      <w:b/>
      <w:color w:val="000000"/>
      <w:sz w:val="32"/>
      <w:szCs w:val="32"/>
    </w:rPr>
  </w:style>
  <w:style w:type="paragraph" w:styleId="246">
    <w:name w:val="List Paragraph"/>
    <w:basedOn w:val="1"/>
    <w:qFormat/>
    <w:uiPriority w:val="34"/>
    <w:pPr>
      <w:ind w:firstLine="420"/>
    </w:pPr>
  </w:style>
  <w:style w:type="paragraph" w:customStyle="1" w:styleId="247">
    <w:name w:val="UserStyle_27"/>
    <w:basedOn w:val="1"/>
    <w:qFormat/>
    <w:uiPriority w:val="0"/>
    <w:pPr>
      <w:ind w:firstLine="420"/>
    </w:pPr>
  </w:style>
  <w:style w:type="paragraph" w:customStyle="1" w:styleId="248">
    <w:name w:val="目录 42"/>
    <w:next w:val="1"/>
    <w:qFormat/>
    <w:uiPriority w:val="99"/>
    <w:pPr>
      <w:ind w:left="850"/>
      <w:jc w:val="both"/>
    </w:pPr>
    <w:rPr>
      <w:rFonts w:ascii="Times New Roman" w:hAnsi="Times New Roman" w:eastAsia="宋体" w:cs="Times New Roman"/>
      <w:sz w:val="21"/>
      <w:lang w:val="en-US" w:eastAsia="zh-CN" w:bidi="ar-SA"/>
    </w:rPr>
  </w:style>
  <w:style w:type="paragraph" w:customStyle="1" w:styleId="249">
    <w:name w:val="正文-公11"/>
    <w:basedOn w:val="1"/>
    <w:qFormat/>
    <w:uiPriority w:val="0"/>
    <w:pPr>
      <w:ind w:firstLine="200"/>
      <w:jc w:val="left"/>
    </w:pPr>
    <w:rPr>
      <w:rFonts w:eastAsia="仿宋_GB2312"/>
    </w:rPr>
  </w:style>
  <w:style w:type="paragraph" w:customStyle="1" w:styleId="250">
    <w:name w:val="_Style 3"/>
    <w:basedOn w:val="1"/>
    <w:qFormat/>
    <w:uiPriority w:val="0"/>
  </w:style>
  <w:style w:type="paragraph" w:customStyle="1" w:styleId="251">
    <w:name w:val="表 靠左"/>
    <w:basedOn w:val="252"/>
    <w:qFormat/>
    <w:uiPriority w:val="0"/>
    <w:pPr>
      <w:jc w:val="left"/>
    </w:pPr>
    <w:rPr>
      <w:rFonts w:ascii="宋体" w:hAnsi="宋体"/>
    </w:rPr>
  </w:style>
  <w:style w:type="paragraph" w:customStyle="1" w:styleId="252">
    <w:name w:val="表"/>
    <w:basedOn w:val="1"/>
    <w:next w:val="1"/>
    <w:qFormat/>
    <w:uiPriority w:val="0"/>
    <w:pPr>
      <w:jc w:val="center"/>
    </w:pPr>
  </w:style>
  <w:style w:type="paragraph" w:customStyle="1" w:styleId="253">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4">
    <w:name w:val="表格内容"/>
    <w:basedOn w:val="1"/>
    <w:qFormat/>
    <w:uiPriority w:val="0"/>
    <w:pPr>
      <w:spacing w:line="300" w:lineRule="exact"/>
      <w:jc w:val="center"/>
    </w:pPr>
  </w:style>
  <w:style w:type="paragraph" w:customStyle="1" w:styleId="255">
    <w:name w:val="纯文本1"/>
    <w:basedOn w:val="1"/>
    <w:qFormat/>
    <w:uiPriority w:val="0"/>
    <w:rPr>
      <w:rFonts w:ascii="宋体" w:hAnsi="Courier New"/>
      <w:sz w:val="20"/>
      <w:szCs w:val="21"/>
    </w:rPr>
  </w:style>
  <w:style w:type="paragraph" w:customStyle="1" w:styleId="256">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table" w:customStyle="1" w:styleId="257">
    <w:name w:val="Table Normal"/>
    <w:unhideWhenUsed/>
    <w:qFormat/>
    <w:uiPriority w:val="0"/>
    <w:tblPr>
      <w:tblCellMar>
        <w:top w:w="0" w:type="dxa"/>
        <w:left w:w="0" w:type="dxa"/>
        <w:bottom w:w="0" w:type="dxa"/>
        <w:right w:w="0" w:type="dxa"/>
      </w:tblCellMar>
    </w:tblPr>
  </w:style>
  <w:style w:type="paragraph" w:customStyle="1" w:styleId="258">
    <w:name w:val="页脚1"/>
    <w:basedOn w:val="1"/>
    <w:unhideWhenUsed/>
    <w:qFormat/>
    <w:uiPriority w:val="99"/>
    <w:pPr>
      <w:tabs>
        <w:tab w:val="center" w:pos="4153"/>
        <w:tab w:val="right" w:pos="8306"/>
      </w:tabs>
      <w:jc w:val="left"/>
    </w:pPr>
    <w:rPr>
      <w:sz w:val="18"/>
      <w:szCs w:val="18"/>
    </w:rPr>
  </w:style>
  <w:style w:type="paragraph" w:customStyle="1" w:styleId="259">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1da3a23e-aff9-4df7-a771-89bc88fbb614</errorID>
      <errorWord>：</errorWord>
      <group>L1_AI</group>
      <groupName>深度校对</groupName>
      <ability>L2_AI_Punc</ability>
      <abilityName>标点纠错</abilityName>
      <candidateList>
        <item>:</item>
      </candidateList>
      <explain/>
      <paraID>2DE8E858</paraID>
      <start>46</start>
      <end>47</end>
      <status>unmodified</status>
      <modifiedWord/>
      <trackRevisions>false</trackRevisions>
    </reviewItem>
    <reviewItem>
      <errorID>39db8f30-b691-48fa-8316-9f7e7337b21d</errorID>
      <errorWord>，</errorWord>
      <group>L1_AI</group>
      <groupName>深度校对</groupName>
      <ability>L2_AI_Punc</ability>
      <abilityName>标点纠错</abilityName>
      <candidateList>
        <item>；</item>
      </candidateList>
      <explain/>
      <paraID>7DF14FA4</paraID>
      <start>116</start>
      <end>117</end>
      <status>unmodified</status>
      <modifiedWord/>
      <trackRevisions>false</trackRevisions>
    </reviewItem>
    <reviewItem>
      <errorID>f6a6b02a-1527-4b7f-8974-fc08cb9f0b16</errorID>
      <errorWord>提供</errorWord>
      <group>L1_AI</group>
      <groupName>深度校对</groupName>
      <ability>L2_AI_Punc</ability>
      <abilityName>标点纠错</abilityName>
      <candidateList>
        <item>，提供</item>
      </candidateList>
      <explain/>
      <paraID>7DF14FA4</paraID>
      <start>124</start>
      <end>126</end>
      <status>unmodified</status>
      <modifiedWord/>
      <trackRevisions>false</trackRevisions>
    </reviewItem>
    <reviewItem>
      <errorID>022374a4-ccee-451c-bb0b-8a639bf3e0c8</errorID>
      <errorWord>】；</errorWord>
      <group>L1_AI</group>
      <groupName>深度校对</groupName>
      <ability>L2_AI_Word</ability>
      <abilityName>字词纠错</abilityName>
      <candidateList>
        <item>）。</item>
      </candidateList>
      <explain/>
      <paraID>7DF14FA4</paraID>
      <start>167</start>
      <end>169</end>
      <status>unmodified</status>
      <modifiedWord/>
      <trackRevisions>false</trackRevisions>
    </reviewItem>
    <reviewItem>
      <errorID>499eeae8-b6fa-4cdf-96bb-536f60ce0906</errorID>
      <errorWord>：</errorWord>
      <group>L1_Format</group>
      <groupName>格式问题</groupName>
      <ability>L2_HalfPunc</ability>
      <abilityName>全半角检查</abilityName>
      <candidateList>
        <item>:</item>
      </candidateList>
      <explain>文本全半角错误。</explain>
      <paraID>7D47AE1</paraID>
      <start>34</start>
      <end>35</end>
      <status>unmodified</status>
      <modifiedWord/>
      <trackRevisions>false</trackRevisions>
    </reviewItem>
    <reviewItem>
      <errorID>f7964eb4-ae17-4df9-a868-b5194a886d49</errorID>
      <errorWord>：</errorWord>
      <group>L1_Format</group>
      <groupName>格式问题</groupName>
      <ability>L2_HalfPunc</ability>
      <abilityName>全半角检查</abilityName>
      <candidateList>
        <item>:</item>
      </candidateList>
      <explain>文本全半角错误。</explain>
      <paraID>7D47AE1</paraID>
      <start>40</start>
      <end>41</end>
      <status>unmodified</status>
      <modifiedWord/>
      <trackRevisions>false</trackRevisions>
    </reviewItem>
    <reviewItem>
      <errorID>f43eb204-4eae-4dc4-bd07-8563d9b658ca</errorID>
      <errorWord>：</errorWord>
      <group>L1_Format</group>
      <groupName>格式问题</groupName>
      <ability>L2_HalfPunc</ability>
      <abilityName>全半角检查</abilityName>
      <candidateList>
        <item>:</item>
      </candidateList>
      <explain>文本全半角错误。</explain>
      <paraID>7D47AE1</paraID>
      <start>47</start>
      <end>48</end>
      <status>unmodified</status>
      <modifiedWord/>
      <trackRevisions>false</trackRevisions>
    </reviewItem>
    <reviewItem>
      <errorID>10bfe333-5749-4c02-a852-39d38e71f785</errorID>
      <errorWord>：</errorWord>
      <group>L1_Format</group>
      <groupName>格式问题</groupName>
      <ability>L2_HalfPunc</ability>
      <abilityName>全半角检查</abilityName>
      <candidateList>
        <item>:</item>
      </candidateList>
      <explain>文本全半角错误。</explain>
      <paraID>7D47AE1</paraID>
      <start>52</start>
      <end>53</end>
      <status>unmodified</status>
      <modifiedWord/>
      <trackRevisions>false</trackRevisions>
    </reviewItem>
    <reviewItem>
      <errorID>75dfc2bf-570b-49e1-bd34-c37be709cba8</errorID>
      <errorWord>：</errorWord>
      <group>L1_AI</group>
      <groupName>深度校对</groupName>
      <ability>L2_AI_Punc</ability>
      <abilityName>标点纠错</abilityName>
      <candidateList>
        <item>:</item>
      </candidateList>
      <explain/>
      <paraID>6A7464BC</paraID>
      <start>54</start>
      <end>55</end>
      <status>unmodified</status>
      <modifiedWord/>
      <trackRevisions>false</trackRevisions>
    </reviewItem>
    <reviewItem>
      <errorID>fe5aef16-7f64-4b3a-abc2-b31345481826</errorID>
      <errorWord>-</errorWord>
      <group>L1_AI</group>
      <groupName>深度校对</groupName>
      <ability>L2_AI_Punc</ability>
      <abilityName>标点纠错</abilityName>
      <candidateList>
        <item>，</item>
      </candidateList>
      <explain/>
      <paraID>6A7464BC</paraID>
      <start>83</start>
      <end>84</end>
      <status>unmodified</status>
      <modifiedWord/>
      <trackRevisions>false</trackRevisions>
    </reviewItem>
    <reviewItem>
      <errorID>568f2974-ce84-4992-b33d-16bd30e0392b</errorID>
      <errorWord>在</errorWord>
      <group>L1_AI</group>
      <groupName>深度校对</groupName>
      <ability>L2_AI_Punc</ability>
      <abilityName>标点纠错</abilityName>
      <candidateList>
        <item>，在</item>
      </candidateList>
      <explain/>
      <paraID>32133BB5</paraID>
      <start>108</start>
      <end>109</end>
      <status>unmodified</status>
      <modifiedWord/>
      <trackRevisions>false</trackRevisions>
    </reviewItem>
    <reviewItem>
      <errorID>7d27307e-4f91-476f-b78f-ada4fb232e09</errorID>
      <errorWord>，</errorWord>
      <group>L1_AI</group>
      <groupName>深度校对</groupName>
      <ability>L2_AI_Punc</ability>
      <abilityName>标点纠错</abilityName>
      <candidateList>
        <item>。</item>
      </candidateList>
      <explain/>
      <paraID>32133BB5</paraID>
      <start>162</start>
      <end>163</end>
      <status>unmodified</status>
      <modifiedWord/>
      <trackRevisions>false</trackRevisions>
    </reviewItem>
    <reviewItem>
      <errorID>38d3f007-2e4d-4660-ae40-132a4d7484bb</errorID>
      <errorWord>-</errorWord>
      <group>L1_Format</group>
      <groupName>格式问题</groupName>
      <ability>L2_HalfPunc</ability>
      <abilityName>全半角检查</abilityName>
      <candidateList>
        <item>－</item>
      </candidateList>
      <explain>文本全半角错误。</explain>
      <paraID>32133BB5</paraID>
      <start>229</start>
      <end>230</end>
      <status>unmodified</status>
      <modifiedWord/>
      <trackRevisions>false</trackRevisions>
    </reviewItem>
    <reviewItem>
      <errorID>c53493c8-801e-4f13-90b4-ecc28648801a</errorID>
      <errorWord>-</errorWord>
      <group>L1_Format</group>
      <groupName>格式问题</groupName>
      <ability>L2_HalfPunc</ability>
      <abilityName>全半角检查</abilityName>
      <candidateList>
        <item>－</item>
      </candidateList>
      <explain>文本全半角错误。</explain>
      <paraID>32133BB5</paraID>
      <start>234</start>
      <end>235</end>
      <status>unmodified</status>
      <modifiedWord/>
      <trackRevisions>false</trackRevisions>
    </reviewItem>
    <reviewItem>
      <errorID>572c2a8b-ed00-4cf7-b500-21207a221271</errorID>
      <errorWord>-</errorWord>
      <group>L1_Format</group>
      <groupName>格式问题</groupName>
      <ability>L2_HalfPunc</ability>
      <abilityName>全半角检查</abilityName>
      <candidateList>
        <item>－</item>
      </candidateList>
      <explain>文本全半角错误。</explain>
      <paraID>32133BB5</paraID>
      <start>239</start>
      <end>240</end>
      <status>unmodified</status>
      <modifiedWord/>
      <trackRevisions>false</trackRevisions>
    </reviewItem>
    <reviewItem>
      <errorID>bd9ed7ca-120e-4af7-8db1-eeebf81d5521</errorID>
      <errorWord>-</errorWord>
      <group>L1_Format</group>
      <groupName>格式问题</groupName>
      <ability>L2_HalfPunc</ability>
      <abilityName>全半角检查</abilityName>
      <candidateList>
        <item>－</item>
      </candidateList>
      <explain>文本全半角错误。</explain>
      <paraID>32133BB5</paraID>
      <start>245</start>
      <end>246</end>
      <status>unmodified</status>
      <modifiedWord/>
      <trackRevisions>false</trackRevisions>
    </reviewItem>
    <reviewItem>
      <errorID>0c5e6dac-1c16-49fc-b6ee-57670d789d27</errorID>
      <errorWord>-</errorWord>
      <group>L1_Format</group>
      <groupName>格式问题</groupName>
      <ability>L2_HalfPunc</ability>
      <abilityName>全半角检查</abilityName>
      <candidateList>
        <item>－</item>
      </candidateList>
      <explain>文本全半角错误。</explain>
      <paraID>32133BB5</paraID>
      <start>262</start>
      <end>263</end>
      <status>unmodified</status>
      <modifiedWord/>
      <trackRevisions>false</trackRevisions>
    </reviewItem>
    <reviewItem>
      <errorID>8f5149ba-335b-413b-b321-0a33c2b5c9e0</errorID>
      <errorWord>-</errorWord>
      <group>L1_Format</group>
      <groupName>格式问题</groupName>
      <ability>L2_HalfPunc</ability>
      <abilityName>全半角检查</abilityName>
      <candidateList>
        <item>－</item>
      </candidateList>
      <explain>文本全半角错误。</explain>
      <paraID>26E653EA</paraID>
      <start>112</start>
      <end>113</end>
      <status>unmodified</status>
      <modifiedWord/>
      <trackRevisions>false</trackRevisions>
    </reviewItem>
    <reviewItem>
      <errorID>3db01086-62c6-42f4-a43e-344868d66ac2</errorID>
      <errorWord>-</errorWord>
      <group>L1_Format</group>
      <groupName>格式问题</groupName>
      <ability>L2_HalfPunc</ability>
      <abilityName>全半角检查</abilityName>
      <candidateList>
        <item>－</item>
      </candidateList>
      <explain>文本全半角错误。</explain>
      <paraID>26E653EA</paraID>
      <start>141</start>
      <end>142</end>
      <status>unmodified</status>
      <modifiedWord/>
      <trackRevisions>false</trackRevisions>
    </reviewItem>
    <reviewItem>
      <errorID>e33986c3-d2fc-4b32-ae64-a063d7a53d09</errorID>
      <errorWord>操作合</errorWord>
      <group>L1_Word</group>
      <groupName>字词问题</groupName>
      <ability>L2_Typo</ability>
      <abilityName>字词错误</abilityName>
      <candidateList>
        <item>操作台</item>
      </candidateList>
      <explain/>
      <paraID>1972BA66</paraID>
      <start>9</start>
      <end>12</end>
      <status>unmodified</status>
      <modifiedWord/>
      <trackRevisions>false</trackRevisions>
    </reviewItem>
    <reviewItem>
      <errorID>0a63acca-cc90-4244-9af9-e81faa836ae8</errorID>
      <errorWord>，</errorWord>
      <group>L1_Word</group>
      <groupName>字词问题</groupName>
      <ability>L2_Typo</ability>
      <abilityName>字词错误</abilityName>
      <candidateList>
        <item>，在</item>
      </candidateList>
      <explain/>
      <paraID>1972BA66</paraID>
      <start>120</start>
      <end>121</end>
      <status>unmodified</status>
      <modifiedWord/>
      <trackRevisions>false</trackRevisions>
    </reviewItem>
    <reviewItem>
      <errorID>35205568-1763-4bac-89e1-3f00dea31696</errorID>
      <errorWord>具备有</errorWord>
      <group>L1_Word</group>
      <groupName>字词问题</groupName>
      <ability>L2_Typo</ability>
      <abilityName>字词错误</abilityName>
      <candidateList>
        <item>具备</item>
      </candidateList>
      <explain/>
      <paraID>61658EAE</paraID>
      <start>9</start>
      <end>12</end>
      <status>unmodified</status>
      <modifiedWord/>
      <trackRevisions>false</trackRevisions>
    </reviewItem>
    <reviewItem>
      <errorID>c057cad9-9621-421c-90d6-fb1c3c75a97e</errorID>
      <errorWord>，</errorWord>
      <group>L1_AI</group>
      <groupName>深度校对</groupName>
      <ability>L2_AI_Punc</ability>
      <abilityName>标点纠错</abilityName>
      <candidateList>
        <item/>
      </candidateList>
      <explain/>
      <paraID>5D408170</paraID>
      <start>5</start>
      <end>8</end>
      <status>unmodified</status>
      <modifiedWord/>
      <trackRevisions>false</trackRevisions>
    </reviewItem>
    <reviewItem>
      <errorID>1d3445ca-0331-41ec-a62f-dfbcbd16fbf0</errorID>
      <errorWord>（</errorWord>
      <group>L1_Punc</group>
      <groupName>标点问题</groupName>
      <ability>L2_Punc</ability>
      <abilityName>标点符号检查</abilityName>
      <candidateList/>
      <explain>同一形式括号套用。</explain>
      <paraID>4181CDC</paraID>
      <start>64</start>
      <end>65</end>
      <status>unmodified</status>
      <modifiedWord/>
      <trackRevisions>false</trackRevisions>
    </reviewItem>
    <reviewItem>
      <errorID>5b8a9092-fead-4bfd-9190-f4be83330159</errorID>
      <errorWord>）</errorWord>
      <group>L1_Punc</group>
      <groupName>标点问题</groupName>
      <ability>L2_Punc</ability>
      <abilityName>标点符号检查</abilityName>
      <candidateList/>
      <explain>同一形式括号套用。</explain>
      <paraID>4181CDC</paraID>
      <start>93</start>
      <end>94</end>
      <status>unmodified</status>
      <modifiedWord/>
      <trackRevisions>false</trackRevisions>
    </reviewItem>
    <reviewItem>
      <errorID>1af71c06-0c6c-4fb2-8247-997096e814af</errorID>
      <errorWord>（</errorWord>
      <group>L1_Punc</group>
      <groupName>标点问题</groupName>
      <ability>L2_Punc</ability>
      <abilityName>标点符号检查</abilityName>
      <candidateList/>
      <explain>同一形式括号套用。</explain>
      <paraID>599AF24F</paraID>
      <start>102</start>
      <end>103</end>
      <status>unmodified</status>
      <modifiedWord/>
      <trackRevisions>false</trackRevisions>
    </reviewItem>
    <reviewItem>
      <errorID>49866375-0887-4231-bc31-8f0977302753</errorID>
      <errorWord>）</errorWord>
      <group>L1_Punc</group>
      <groupName>标点问题</groupName>
      <ability>L2_Punc</ability>
      <abilityName>标点符号检查</abilityName>
      <candidateList/>
      <explain>同一形式括号套用。</explain>
      <paraID>599AF24F</paraID>
      <start>116</start>
      <end>117</end>
      <status>unmodified</status>
      <modifiedWord/>
      <trackRevisions>false</trackRevisions>
    </reviewItem>
    <reviewItem>
      <errorID>925c5a11-a160-42c7-8652-f0b8c6bd26c9</errorID>
      <errorWord>..</errorWord>
      <group>L1_Punc</group>
      <groupName>标点问题</groupName>
      <ability>L2_Punc</ability>
      <abilityName>标点符号检查</abilityName>
      <candidateList>
        <item>.</item>
      </candidateList>
      <explain/>
      <paraID>3A000EE4</paraID>
      <start>1</start>
      <end>3</end>
      <status>unmodified</status>
      <modifiedWord/>
      <trackRevisions>false</trackRevisions>
    </reviewItem>
    <reviewItem>
      <errorID>0a2cdf13-6083-4c32-9c79-760b763cc389</errorID>
      <errorWord>：/</errorWord>
      <group>L1_Punc</group>
      <groupName>标点问题</groupName>
      <ability>L2_Punc</ability>
      <abilityName>标点符号检查</abilityName>
      <candidateList>
        <item>：</item>
      </candidateList>
      <explain/>
      <paraID>57DE1A5E</paraID>
      <start>4</start>
      <end>6</end>
      <status>unmodified</status>
      <modifiedWord/>
      <trackRevisions>false</trackRevisions>
    </reviewItem>
    <reviewItem>
      <errorID>8ce4eeab-02a0-46e9-8185-51ee54542dee</errorID>
      <errorWord>：/</errorWord>
      <group>L1_Punc</group>
      <groupName>标点问题</groupName>
      <ability>L2_Punc</ability>
      <abilityName>标点符号检查</abilityName>
      <candidateList>
        <item>：</item>
      </candidateList>
      <explain/>
      <paraID>7CED29F9</paraID>
      <start>4</start>
      <end>6</end>
      <status>unmodified</status>
      <modifiedWord/>
      <trackRevisions>false</trackRevisions>
    </reviewItem>
    <reviewItem>
      <errorID>28009f35-dc8f-4409-8cce-faa390fb86eb</errorID>
      <errorWord>，</errorWord>
      <group>L1_Word</group>
      <groupName>字词问题</groupName>
      <ability>L2_Typo</ability>
      <abilityName>字词错误</abilityName>
      <candidateList>
        <item>，使</item>
      </candidateList>
      <explain/>
      <paraID>71D8A7A9</paraID>
      <start>32</start>
      <end>33</end>
      <status>unmodified</status>
      <modifiedWord/>
      <trackRevisions>false</trackRevisions>
    </reviewItem>
    <reviewItem>
      <errorID>4e703b2b-2301-4d77-ad21-6435bcb2f7ec</errorID>
      <errorWord>操作合</errorWord>
      <group>L1_Word</group>
      <groupName>字词问题</groupName>
      <ability>L2_Typo</ability>
      <abilityName>字词错误</abilityName>
      <candidateList>
        <item>操作台</item>
      </candidateList>
      <explain/>
      <paraID>3C579480</paraID>
      <start>9</start>
      <end>12</end>
      <status>unmodified</status>
      <modifiedWord/>
      <trackRevisions>false</trackRevisions>
    </reviewItem>
    <reviewItem>
      <errorID>8933b378-7529-426c-8d2f-4bf30c040cd8</errorID>
      <errorWord>接受</errorWord>
      <group>L1_Word</group>
      <groupName>字词问题</groupName>
      <ability>L2_Typo</ability>
      <abilityName>字词错误</abilityName>
      <candidateList>
        <item>接收</item>
      </candidateList>
      <explain>存在发音相同字词的误用。</explain>
      <paraID>2F145F0E</paraID>
      <start>35</start>
      <end>37</end>
      <status>unmodified</status>
      <modifiedWord/>
      <trackRevisions>false</trackRevisions>
    </reviewItem>
    <reviewItem>
      <errorID>418f1e4e-6a92-445a-a07f-fcfe4061809b</errorID>
      <errorWord>详见在</errorWord>
      <group>L1_Word</group>
      <groupName>字词问题</groupName>
      <ability>L2_Typo</ability>
      <abilityName>字词错误</abilityName>
      <candidateList>
        <item>详见</item>
      </candidateList>
      <explain/>
      <paraID>2F145F0E</paraID>
      <start>45</start>
      <end>48</end>
      <status>unmodified</status>
      <modifiedWord/>
      <trackRevisions>false</trackRevisions>
    </reviewItem>
    <reviewItem>
      <errorID>df312527-7445-459f-85e6-92ee25d9c2a8</errorID>
      <errorWord>，</errorWord>
      <group>L1_Word</group>
      <groupName>字词问题</groupName>
      <ability>L2_Typo</ability>
      <abilityName>字词错误</abilityName>
      <candidateList>
        <item>，在</item>
      </candidateList>
      <explain/>
      <paraID>6996C390</paraID>
      <start>36</start>
      <end>37</end>
      <status>unmodified</status>
      <modifiedWord/>
      <trackRevisions>false</trackRevisions>
    </reviewItem>
    <reviewItem>
      <errorID>cee40538-fa4e-4139-b7e4-4a052213a3a6</errorID>
      <errorWord>间</errorWord>
      <group>L1_Word</group>
      <groupName>字词问题</groupName>
      <ability>L2_Typo</ability>
      <abilityName>字词错误</abilityName>
      <candidateList>
        <item>间之</item>
      </candidateList>
      <explain/>
      <paraID>57D9678B</paraID>
      <start>14</start>
      <end>15</end>
      <status>unmodified</status>
      <modifiedWord/>
      <trackRevisions>false</trackRevisions>
    </reviewItem>
    <reviewItem>
      <errorID>afcbc678-4f40-4d77-b587-3e44086e746d</errorID>
      <errorWord>(</errorWord>
      <group>L1_Format</group>
      <groupName>格式问题</groupName>
      <ability>L2_HalfPunc</ability>
      <abilityName>全半角检查</abilityName>
      <candidateList>
        <item>（</item>
      </candidateList>
      <explain>文本全半角错误。</explain>
      <paraID>7EF2CE64</paraID>
      <start>70</start>
      <end>71</end>
      <status>unmodified</status>
      <modifiedWord/>
      <trackRevisions>false</trackRevisions>
    </reviewItem>
    <reviewItem>
      <errorID>872d5d64-782b-45be-9f61-88c814f10a68</errorID>
      <errorWord>)</errorWord>
      <group>L1_Format</group>
      <groupName>格式问题</groupName>
      <ability>L2_HalfPunc</ability>
      <abilityName>全半角检查</abilityName>
      <candidateList>
        <item>）</item>
      </candidateList>
      <explain>文本全半角错误。</explain>
      <paraID>7EF2CE64</paraID>
      <start>79</start>
      <end>80</end>
      <status>unmodified</status>
      <modifiedWord/>
      <trackRevisions>false</trackRevisions>
    </reviewItem>
    <reviewItem>
      <errorID>c011ad60-a37a-4d17-8a86-5d764aa494cd</errorID>
      <errorWord>:</errorWord>
      <group>L1_Format</group>
      <groupName>格式问题</groupName>
      <ability>L2_HalfPunc</ability>
      <abilityName>全半角检查</abilityName>
      <candidateList>
        <item>：</item>
      </candidateList>
      <explain>文本全半角错误。</explain>
      <paraID>2E11E978</paraID>
      <start>10</start>
      <end>11</end>
      <status>unmodified</status>
      <modifiedWord/>
      <trackRevisions>false</trackRevisions>
    </reviewItem>
    <reviewItem>
      <errorID>5c6e4988-02a4-46f4-a82b-e1bafcf28f70</errorID>
      <errorWord>(</errorWord>
      <group>L1_Format</group>
      <groupName>格式问题</groupName>
      <ability>L2_HalfPunc</ability>
      <abilityName>全半角检查</abilityName>
      <candidateList>
        <item>（</item>
      </candidateList>
      <explain>文本全半角错误。</explain>
      <paraID>4A206798</paraID>
      <start>11</start>
      <end>12</end>
      <status>unmodified</status>
      <modifiedWord/>
      <trackRevisions>false</trackRevisions>
    </reviewItem>
    <reviewItem>
      <errorID>0374d7bc-926f-411d-bcc6-d6cafc60a39f</errorID>
      <errorWord>)</errorWord>
      <group>L1_Format</group>
      <groupName>格式问题</groupName>
      <ability>L2_HalfPunc</ability>
      <abilityName>全半角检查</abilityName>
      <candidateList>
        <item>）</item>
      </candidateList>
      <explain>文本全半角错误。</explain>
      <paraID>4A206798</paraID>
      <start>15</start>
      <end>16</end>
      <status>unmodified</status>
      <modifiedWord/>
      <trackRevisions>false</trackRevisions>
    </reviewItem>
    <reviewItem>
      <errorID>133d14ee-dd27-439b-bffe-cb0e5589b804</errorID>
      <errorWord>(</errorWord>
      <group>L1_Format</group>
      <groupName>格式问题</groupName>
      <ability>L2_HalfPunc</ability>
      <abilityName>全半角检查</abilityName>
      <candidateList>
        <item>（</item>
      </candidateList>
      <explain>文本全半角错误。</explain>
      <paraID>52611E57</paraID>
      <start>42</start>
      <end>43</end>
      <status>unmodified</status>
      <modifiedWord/>
      <trackRevisions>false</trackRevisions>
    </reviewItem>
    <reviewItem>
      <errorID>7cc70d06-d027-4009-bf01-ad50bb51d60c</errorID>
      <errorWord>)</errorWord>
      <group>L1_Format</group>
      <groupName>格式问题</groupName>
      <ability>L2_HalfPunc</ability>
      <abilityName>全半角检查</abilityName>
      <candidateList>
        <item>）</item>
      </candidateList>
      <explain>文本全半角错误。</explain>
      <paraID>52611E57</paraID>
      <start>61</start>
      <end>62</end>
      <status>unmodified</status>
      <modifiedWord/>
      <trackRevisions>false</trackRevisions>
    </reviewItem>
    <reviewItem>
      <errorID>cbdf5ba0-82a5-4a44-856b-b4c4f4ebeee9</errorID>
      <errorWord>(</errorWord>
      <group>L1_Format</group>
      <groupName>格式问题</groupName>
      <ability>L2_HalfPunc</ability>
      <abilityName>全半角检查</abilityName>
      <candidateList>
        <item>（</item>
      </candidateList>
      <explain>文本全半角错误。</explain>
      <paraID>7AA7EC90</paraID>
      <start>16</start>
      <end>17</end>
      <status>unmodified</status>
      <modifiedWord/>
      <trackRevisions>false</trackRevisions>
    </reviewItem>
    <reviewItem>
      <errorID>3365b3e8-90a7-436a-b02f-3341d101c367</errorID>
      <errorWord>)</errorWord>
      <group>L1_Format</group>
      <groupName>格式问题</groupName>
      <ability>L2_HalfPunc</ability>
      <abilityName>全半角检查</abilityName>
      <candidateList>
        <item>）</item>
      </candidateList>
      <explain>文本全半角错误。</explain>
      <paraID>7AA7EC90</paraID>
      <start>19</start>
      <end>20</end>
      <status>unmodified</status>
      <modifiedWord/>
      <trackRevisions>false</trackRevisions>
    </reviewItem>
    <reviewItem>
      <errorID>bd79a4ae-e11e-431a-aeeb-2b3dfb1ddef2</errorID>
      <errorWord>扣完</errorWord>
      <group>L1_Word</group>
      <groupName>字词问题</groupName>
      <ability>L2_Typo</ability>
      <abilityName>字词错误</abilityName>
      <candidateList>
        <item>扣</item>
      </candidateList>
      <explain/>
      <paraID>59E317BA</paraID>
      <start>18</start>
      <end>20</end>
      <status>unmodified</status>
      <modifiedWord/>
      <trackRevisions>false</trackRevisions>
    </reviewItem>
    <reviewItem>
      <errorID>1861fa94-a76a-4184-abe5-798a1bea82b3</errorID>
      <errorWord>(</errorWord>
      <group>L1_Format</group>
      <groupName>格式问题</groupName>
      <ability>L2_HalfPunc</ability>
      <abilityName>全半角检查</abilityName>
      <candidateList>
        <item>（</item>
      </candidateList>
      <explain>文本全半角错误。</explain>
      <paraID>36961FF0</paraID>
      <start>7</start>
      <end>8</end>
      <status>unmodified</status>
      <modifiedWord/>
      <trackRevisions>false</trackRevisions>
    </reviewItem>
    <reviewItem>
      <errorID>1294bb65-3774-420b-b060-6ef44c3f531b</errorID>
      <errorWord>)</errorWord>
      <group>L1_Format</group>
      <groupName>格式问题</groupName>
      <ability>L2_HalfPunc</ability>
      <abilityName>全半角检查</abilityName>
      <candidateList>
        <item>）</item>
      </candidateList>
      <explain>文本全半角错误。</explain>
      <paraID>36961FF0</paraID>
      <start>10</start>
      <end>11</end>
      <status>unmodified</status>
      <modifiedWord/>
      <trackRevisions>false</trackRevisions>
    </reviewItem>
    <reviewItem>
      <errorID>89166f87-1c4e-45f6-98af-337125c724c2</errorID>
      <errorWord>扣完</errorWord>
      <group>L1_Word</group>
      <groupName>字词问题</groupName>
      <ability>L2_Typo</ability>
      <abilityName>字词错误</abilityName>
      <candidateList>
        <item>扣</item>
      </candidateList>
      <explain/>
      <paraID>4797244D</paraID>
      <start>14</start>
      <end>16</end>
      <status>unmodified</status>
      <modifiedWord/>
      <trackRevisions>false</trackRevisions>
    </reviewItem>
    <reviewItem>
      <errorID>b767e233-233e-4e88-bef1-e80fa8b9a24b</errorID>
      <errorWord>噪音</errorWord>
      <group>L1_Word</group>
      <groupName>字词问题</groupName>
      <ability>L2_Alias</ability>
      <abilityName>也作/曾用词</abilityName>
      <candidateList>
        <item>噪声</item>
      </candidateList>
      <explain>词汇[噪音]为不规范表述或旧称，其规范书面表述为[噪声]。</explain>
      <paraID>408000C6</paraID>
      <start>0</start>
      <end>2</end>
      <status>unmodified</status>
      <modifiedWord/>
      <trackRevisions>false</trackRevisions>
    </reviewItem>
    <reviewItem>
      <errorID>c6204ccc-ec5d-4901-8c2d-bc684697afe1</errorID>
      <errorWord>(</errorWord>
      <group>L1_Format</group>
      <groupName>格式问题</groupName>
      <ability>L2_HalfPunc</ability>
      <abilityName>全半角检查</abilityName>
      <candidateList>
        <item>（</item>
      </candidateList>
      <explain>文本全半角错误。</explain>
      <paraID>408000C6</paraID>
      <start>10</start>
      <end>11</end>
      <status>unmodified</status>
      <modifiedWord/>
      <trackRevisions>false</trackRevisions>
    </reviewItem>
    <reviewItem>
      <errorID>c754b119-9e55-4cc6-ac9f-5ac951347799</errorID>
      <errorWord>)</errorWord>
      <group>L1_Format</group>
      <groupName>格式问题</groupName>
      <ability>L2_HalfPunc</ability>
      <abilityName>全半角检查</abilityName>
      <candidateList>
        <item>）</item>
      </candidateList>
      <explain>文本全半角错误。</explain>
      <paraID>408000C6</paraID>
      <start>13</start>
      <end>14</end>
      <status>unmodified</status>
      <modifiedWord/>
      <trackRevisions>false</trackRevisions>
    </reviewItem>
    <reviewItem>
      <errorID>7d0337bd-fa5d-438f-b51f-cfeabdd04fe5</errorID>
      <errorWord>噪音</errorWord>
      <group>L1_Word</group>
      <groupName>字词问题</groupName>
      <ability>L2_Alias</ability>
      <abilityName>也作/曾用词</abilityName>
      <candidateList>
        <item>噪声</item>
      </candidateList>
      <explain>词汇[噪音]为不规范表述或旧称，其规范书面表述为[噪声]。</explain>
      <paraID>6A0A1188</paraID>
      <start>9</start>
      <end>11</end>
      <status>unmodified</status>
      <modifiedWord/>
      <trackRevisions>false</trackRevisions>
    </reviewItem>
    <reviewItem>
      <errorID>e8c29acc-f9b0-4e5b-a85d-c25fd5ae60eb</errorID>
      <errorWord>(</errorWord>
      <group>L1_Format</group>
      <groupName>格式问题</groupName>
      <ability>L2_HalfPunc</ability>
      <abilityName>全半角检查</abilityName>
      <candidateList>
        <item>（</item>
      </candidateList>
      <explain>文本全半角错误。</explain>
      <paraID>1B32D1D2</paraID>
      <start>0</start>
      <end>1</end>
      <status>unmodified</status>
      <modifiedWord/>
      <trackRevisions>false</trackRevisions>
    </reviewItem>
    <reviewItem>
      <errorID>3c807aa2-326c-4cb0-a1f7-1233c0f49efd</errorID>
      <errorWord>)</errorWord>
      <group>L1_Format</group>
      <groupName>格式问题</groupName>
      <ability>L2_HalfPunc</ability>
      <abilityName>全半角检查</abilityName>
      <candidateList>
        <item>）</item>
      </candidateList>
      <explain>文本全半角错误。</explain>
      <paraID>1B32D1D2</paraID>
      <start>4</start>
      <end>5</end>
      <status>unmodified</status>
      <modifiedWord/>
      <trackRevisions>false</trackRevisions>
    </reviewItem>
    <reviewItem>
      <errorID>85605a9a-2551-4924-82ab-5311b258a895</errorID>
      <errorWord>比比</errorWord>
      <group>L1_Word</group>
      <groupName>字词问题</groupName>
      <ability>L2_Typo</ability>
      <abilityName>字词错误</abilityName>
      <candidateList>
        <item>比</item>
      </candidateList>
      <explain/>
      <paraID>657D9B9F</paraID>
      <start>11</start>
      <end>13</end>
      <status>unmodified</status>
      <modifiedWord/>
      <trackRevisions>false</trackRevisions>
    </reviewItem>
    <reviewItem>
      <errorID>d2d99cc5-a1b4-4192-920f-c61e6bab8d44</errorID>
      <errorWord>每</errorWord>
      <group>L1_Word</group>
      <groupName>字词问题</groupName>
      <ability>L2_Typo</ability>
      <abilityName>字词错误</abilityName>
      <candidateList>
        <item>每降</item>
      </candidateList>
      <explain/>
      <paraID>657D9B9F</paraID>
      <start>13</start>
      <end>14</end>
      <status>unmodified</status>
      <modifiedWord/>
      <trackRevisions>false</trackRevisions>
    </reviewItem>
    <reviewItem>
      <errorID>71c9216a-cd85-4e5e-8687-c66cc258d27e</errorID>
      <errorWord>比比</errorWord>
      <group>L1_Word</group>
      <groupName>字词问题</groupName>
      <ability>L2_Typo</ability>
      <abilityName>字词错误</abilityName>
      <candidateList>
        <item>比</item>
      </candidateList>
      <explain/>
      <paraID>657D9B9F</paraID>
      <start>42</start>
      <end>44</end>
      <status>unmodified</status>
      <modifiedWord/>
      <trackRevisions>false</trackRevisions>
    </reviewItem>
    <reviewItem>
      <errorID>a969d2b9-5e32-490e-8ce1-268a4eb3e28a</errorID>
      <errorWord>:</errorWord>
      <group>L1_Format</group>
      <groupName>格式问题</groupName>
      <ability>L2_HalfPunc</ability>
      <abilityName>全半角检查</abilityName>
      <candidateList>
        <item>：</item>
      </candidateList>
      <explain>文本全半角错误。</explain>
      <paraID>248EFB72</paraID>
      <start>19</start>
      <end>20</end>
      <status>unmodified</status>
      <modifiedWord/>
      <trackRevisions>false</trackRevisions>
    </reviewItem>
    <reviewItem>
      <errorID>6bf46b13-6375-4801-9e1e-f52877d5e1b2</errorID>
      <errorWord>(</errorWord>
      <group>L1_Format</group>
      <groupName>格式问题</groupName>
      <ability>L2_HalfPunc</ability>
      <abilityName>全半角检查</abilityName>
      <candidateList>
        <item>（</item>
      </candidateList>
      <explain>文本全半角错误。</explain>
      <paraID>103008F3</paraID>
      <start>10</start>
      <end>11</end>
      <status>unmodified</status>
      <modifiedWord/>
      <trackRevisions>false</trackRevisions>
    </reviewItem>
    <reviewItem>
      <errorID>021b535a-c325-4cfb-91ea-3509c2a726a5</errorID>
      <errorWord>:</errorWord>
      <group>L1_Format</group>
      <groupName>格式问题</groupName>
      <ability>L2_HalfPunc</ability>
      <abilityName>全半角检查</abilityName>
      <candidateList>
        <item>：</item>
      </candidateList>
      <explain>文本全半角错误。</explain>
      <paraID>103008F3</paraID>
      <start>27</start>
      <end>28</end>
      <status>unmodified</status>
      <modifiedWord/>
      <trackRevisions>false</trackRevisions>
    </reviewItem>
    <reviewItem>
      <errorID>39ce056c-dee3-45d8-9a76-c3133fd27007</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103008F3</paraID>
      <start>39</start>
      <end>45</end>
      <status>unmodified</status>
      <modifiedWord/>
      <trackRevisions>false</trackRevisions>
    </reviewItem>
    <reviewItem>
      <errorID>0adddf4f-d3c9-4999-bb9e-dc7f8538b857</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103008F3</paraID>
      <start>49</start>
      <end>55</end>
      <status>unmodified</status>
      <modifiedWord/>
      <trackRevisions>false</trackRevisions>
    </reviewItem>
    <reviewItem>
      <errorID>8e8738f5-43e2-4e11-9464-6994dc5aca99</errorID>
      <errorWord>(</errorWord>
      <group>L1_Format</group>
      <groupName>格式问题</groupName>
      <ability>L2_HalfPunc</ability>
      <abilityName>全半角检查</abilityName>
      <candidateList>
        <item>（</item>
      </candidateList>
      <explain>文本全半角错误。</explain>
      <paraID>73C780F9</paraID>
      <start>10</start>
      <end>11</end>
      <status>unmodified</status>
      <modifiedWord/>
      <trackRevisions>false</trackRevisions>
    </reviewItem>
    <reviewItem>
      <errorID>2cfe9199-f340-4ce2-bb24-a234934c21f8</errorID>
      <errorWord>:</errorWord>
      <group>L1_Format</group>
      <groupName>格式问题</groupName>
      <ability>L2_HalfPunc</ability>
      <abilityName>全半角检查</abilityName>
      <candidateList>
        <item>：</item>
      </candidateList>
      <explain>文本全半角错误。</explain>
      <paraID>73C780F9</paraID>
      <start>29</start>
      <end>30</end>
      <status>unmodified</status>
      <modifiedWord/>
      <trackRevisions>false</trackRevisions>
    </reviewItem>
    <reviewItem>
      <errorID>7b8c042c-b501-417f-92c1-3dea89b9b897</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73C780F9</paraID>
      <start>41</start>
      <end>47</end>
      <status>unmodified</status>
      <modifiedWord/>
      <trackRevisions>false</trackRevisions>
    </reviewItem>
    <reviewItem>
      <errorID>8ab07fcf-ef62-4f5f-9bdb-cd9151f5574b</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73C780F9</paraID>
      <start>51</start>
      <end>57</end>
      <status>unmodified</status>
      <modifiedWord/>
      <trackRevisions>false</trackRevisions>
    </reviewItem>
    <reviewItem>
      <errorID>475207bc-b9c0-48cf-87f4-70f5f0fd0527</errorID>
      <errorWord>(</errorWord>
      <group>L1_Format</group>
      <groupName>格式问题</groupName>
      <ability>L2_HalfPunc</ability>
      <abilityName>全半角检查</abilityName>
      <candidateList>
        <item>（</item>
      </candidateList>
      <explain>文本全半角错误。</explain>
      <paraID>366EDFE6</paraID>
      <start>0</start>
      <end>1</end>
      <status>unmodified</status>
      <modifiedWord/>
      <trackRevisions>false</trackRevisions>
    </reviewItem>
    <reviewItem>
      <errorID>e34de243-d513-4f38-823b-c5bcb994651e</errorID>
      <errorWord>)</errorWord>
      <group>L1_Format</group>
      <groupName>格式问题</groupName>
      <ability>L2_HalfPunc</ability>
      <abilityName>全半角检查</abilityName>
      <candidateList>
        <item>）</item>
      </candidateList>
      <explain>文本全半角错误。</explain>
      <paraID>366EDFE6</paraID>
      <start>3</start>
      <end>4</end>
      <status>unmodified</status>
      <modifiedWord/>
      <trackRevisions>false</trackRevisions>
    </reviewItem>
    <reviewItem>
      <errorID>4eaf040d-0a8b-4ca9-885e-6875d2fe2ddf</errorID>
      <errorWord>(</errorWord>
      <group>L1_Format</group>
      <groupName>格式问题</groupName>
      <ability>L2_HalfPunc</ability>
      <abilityName>全半角检查</abilityName>
      <candidateList>
        <item>（</item>
      </candidateList>
      <explain>文本全半角错误。</explain>
      <paraID>32281F2D</paraID>
      <start>0</start>
      <end>1</end>
      <status>unmodified</status>
      <modifiedWord/>
      <trackRevisions>false</trackRevisions>
    </reviewItem>
    <reviewItem>
      <errorID>64294a18-3bed-4abf-87ff-93a9009dde48</errorID>
      <errorWord>)</errorWord>
      <group>L1_Format</group>
      <groupName>格式问题</groupName>
      <ability>L2_HalfPunc</ability>
      <abilityName>全半角检查</abilityName>
      <candidateList>
        <item>）</item>
      </candidateList>
      <explain>文本全半角错误。</explain>
      <paraID>32281F2D</paraID>
      <start>3</start>
      <end>4</end>
      <status>unmodified</status>
      <modifiedWord/>
      <trackRevisions>false</trackRevisions>
    </reviewItem>
    <reviewItem>
      <errorID>4c5cb85e-6646-4609-b6c9-2d3d7629c8a2</errorID>
      <errorWord>(</errorWord>
      <group>L1_Format</group>
      <groupName>格式问题</groupName>
      <ability>L2_HalfPunc</ability>
      <abilityName>全半角检查</abilityName>
      <candidateList>
        <item>（</item>
      </candidateList>
      <explain>文本全半角错误。</explain>
      <paraID>352FEA53</paraID>
      <start>8</start>
      <end>9</end>
      <status>unmodified</status>
      <modifiedWord/>
      <trackRevisions>false</trackRevisions>
    </reviewItem>
    <reviewItem>
      <errorID>3f83f76a-6415-4b97-91a6-2db4bda2cdd7</errorID>
      <errorWord>)</errorWord>
      <group>L1_Format</group>
      <groupName>格式问题</groupName>
      <ability>L2_HalfPunc</ability>
      <abilityName>全半角检查</abilityName>
      <candidateList>
        <item>）</item>
      </candidateList>
      <explain>文本全半角错误。</explain>
      <paraID>352FEA53</paraID>
      <start>12</start>
      <end>13</end>
      <status>unmodified</status>
      <modifiedWord/>
      <trackRevisions>false</trackRevisions>
    </reviewItem>
    <reviewItem>
      <errorID>773362ab-12dd-47f2-b8c0-34fc5be0a963</errorID>
      <errorWord>(</errorWord>
      <group>L1_Format</group>
      <groupName>格式问题</groupName>
      <ability>L2_HalfPunc</ability>
      <abilityName>全半角检查</abilityName>
      <candidateList>
        <item>（</item>
      </candidateList>
      <explain>文本全半角错误。</explain>
      <paraID>3451691D</paraID>
      <start>20</start>
      <end>21</end>
      <status>unmodified</status>
      <modifiedWord/>
      <trackRevisions>false</trackRevisions>
    </reviewItem>
    <reviewItem>
      <errorID>347de581-0429-4ed6-bd1b-a1d59a78dc2b</errorID>
      <errorWord>)</errorWord>
      <group>L1_Format</group>
      <groupName>格式问题</groupName>
      <ability>L2_HalfPunc</ability>
      <abilityName>全半角检查</abilityName>
      <candidateList>
        <item>）</item>
      </candidateList>
      <explain>文本全半角错误。</explain>
      <paraID>3451691D</paraID>
      <start>24</start>
      <end>25</end>
      <status>unmodified</status>
      <modifiedWord/>
      <trackRevisions>false</trackRevisions>
    </reviewItem>
    <reviewItem>
      <errorID>081d4efc-5072-411b-894b-942b555fed66</errorID>
      <errorWord>(</errorWord>
      <group>L1_Format</group>
      <groupName>格式问题</groupName>
      <ability>L2_HalfPunc</ability>
      <abilityName>全半角检查</abilityName>
      <candidateList>
        <item>（</item>
      </candidateList>
      <explain>文本全半角错误。</explain>
      <paraID>515C9ADC</paraID>
      <start>8</start>
      <end>9</end>
      <status>unmodified</status>
      <modifiedWord/>
      <trackRevisions>false</trackRevisions>
    </reviewItem>
    <reviewItem>
      <errorID>286d5373-5752-4b0f-bd60-bef688c28687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578D38E2</paraID>
      <start>45</start>
      <end>46</end>
      <status>unmodified</status>
      <modifiedWord/>
      <trackRevisions>false</trackRevisions>
    </reviewItem>
    <reviewItem>
      <errorID>75a782a4-225f-481c-a6b1-bf172fff4eb1</errorID>
      <errorWord>1万-10万</errorWord>
      <group>L1_Knowledge</group>
      <groupName>知识性问题</groupName>
      <ability>L2_Knowledge</ability>
      <abilityName>其他知识</abilityName>
      <candidateList>
        <item>1万—10万</item>
      </candidateList>
      <explain>1. “1万-10万”中的单位“万”仅出现在后一个数字上，容易引起歧义；根据《现代汉语标点符号数字用法规范手册》，数字表示范围两边需要使用统一的格式。2.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578D38E2</paraID>
      <start>53</start>
      <end>59</end>
      <status>unmodified</status>
      <modifiedWord/>
      <trackRevisions>false</trackRevisions>
    </reviewItem>
    <reviewItem>
      <errorID>d8206d08-8877-45ca-8d43-3b9c74b9c784</errorID>
      <errorWord>(</errorWord>
      <group>L1_Format</group>
      <groupName>格式问题</groupName>
      <ability>L2_HalfPunc</ability>
      <abilityName>全半角检查</abilityName>
      <candidateList>
        <item>（</item>
      </candidateList>
      <explain>文本全半角错误。</explain>
      <paraID>130F164D</paraID>
      <start>0</start>
      <end>1</end>
      <status>unmodified</status>
      <modifiedWord/>
      <trackRevisions>false</trackRevisions>
    </reviewItem>
    <reviewItem>
      <errorID>b52ea1e0-1749-42be-a68f-f72ac8725c1a</errorID>
      <errorWord>)</errorWord>
      <group>L1_Format</group>
      <groupName>格式问题</groupName>
      <ability>L2_HalfPunc</ability>
      <abilityName>全半角检查</abilityName>
      <candidateList>
        <item>）</item>
      </candidateList>
      <explain>文本全半角错误。</explain>
      <paraID>130F164D</paraID>
      <start>33</start>
      <end>34</end>
      <status>unmodified</status>
      <modifiedWord/>
      <trackRevisions>false</trackRevisions>
    </reviewItem>
    <reviewItem>
      <errorID>8f1c5af5-6fa1-4d2c-b6e4-89556ffbe370</errorID>
      <errorWord>(</errorWord>
      <group>L1_Format</group>
      <groupName>格式问题</groupName>
      <ability>L2_HalfPunc</ability>
      <abilityName>全半角检查</abilityName>
      <candidateList>
        <item>（</item>
      </candidateList>
      <explain>文本全半角错误。</explain>
      <paraID>22CFA152</paraID>
      <start>8</start>
      <end>9</end>
      <status>unmodified</status>
      <modifiedWord/>
      <trackRevisions>false</trackRevisions>
    </reviewItem>
    <reviewItem>
      <errorID>b76a92fb-cb46-4551-a49f-a8987a1628b7</errorID>
      <errorWord>)</errorWord>
      <group>L1_Format</group>
      <groupName>格式问题</groupName>
      <ability>L2_HalfPunc</ability>
      <abilityName>全半角检查</abilityName>
      <candidateList>
        <item>）</item>
      </candidateList>
      <explain>文本全半角错误。</explain>
      <paraID>22CFA152</paraID>
      <start>12</start>
      <end>13</end>
      <status>unmodified</status>
      <modifiedWord/>
      <trackRevisions>false</trackRevisions>
    </reviewItem>
    <reviewItem>
      <errorID>39749411-b565-4efb-a343-25371b9f6b04</errorID>
      <errorWord>(</errorWord>
      <group>L1_Format</group>
      <groupName>格式问题</groupName>
      <ability>L2_HalfPunc</ability>
      <abilityName>全半角检查</abilityName>
      <candidateList>
        <item>（</item>
      </candidateList>
      <explain>文本全半角错误。</explain>
      <paraID>48C0A83A</paraID>
      <start>0</start>
      <end>1</end>
      <status>unmodified</status>
      <modifiedWord/>
      <trackRevisions>false</trackRevisions>
    </reviewItem>
    <reviewItem>
      <errorID>d655b162-f680-48ef-9bd2-9cef12345618</errorID>
      <errorWord>)</errorWord>
      <group>L1_Format</group>
      <groupName>格式问题</groupName>
      <ability>L2_HalfPunc</ability>
      <abilityName>全半角检查</abilityName>
      <candidateList>
        <item>）</item>
      </candidateList>
      <explain>文本全半角错误。</explain>
      <paraID>48C0A83A</paraID>
      <start>3</start>
      <end>4</end>
      <status>unmodified</status>
      <modifiedWord/>
      <trackRevisions>false</trackRevisions>
    </reviewItem>
    <reviewItem>
      <errorID>fb077e6e-a5e8-4956-9f57-b35fd9ce30a7</errorID>
      <errorWord>；</errorWord>
      <group>L1_Word</group>
      <groupName>字词问题</groupName>
      <ability>L2_Typo</ability>
      <abilityName>字词错误</abilityName>
      <candidateList>
        <item>；设</item>
      </candidateList>
      <explain/>
      <paraID>4F9CCDB</paraID>
      <start>133</start>
      <end>134</end>
      <status>unmodified</status>
      <modifiedWord/>
      <trackRevisions>false</trackRevisions>
    </reviewItem>
    <reviewItem>
      <errorID>2b440206-5048-42f5-b396-ee0460334f36</errorID>
      <errorWord>(</errorWord>
      <group>L1_Format</group>
      <groupName>格式问题</groupName>
      <ability>L2_HalfPunc</ability>
      <abilityName>全半角检查</abilityName>
      <candidateList>
        <item>（</item>
      </candidateList>
      <explain>文本全半角错误。</explain>
      <paraID>42B304B8</paraID>
      <start>0</start>
      <end>1</end>
      <status>unmodified</status>
      <modifiedWord/>
      <trackRevisions>false</trackRevisions>
    </reviewItem>
    <reviewItem>
      <errorID>d7f15daa-a17b-4868-b784-0df5b1d5b0f6</errorID>
      <errorWord>)</errorWord>
      <group>L1_Format</group>
      <groupName>格式问题</groupName>
      <ability>L2_HalfPunc</ability>
      <abilityName>全半角检查</abilityName>
      <candidateList>
        <item>）</item>
      </candidateList>
      <explain>文本全半角错误。</explain>
      <paraID>42B304B8</paraID>
      <start>4</start>
      <end>5</end>
      <status>unmodified</status>
      <modifiedWord/>
      <trackRevisions>false</trackRevisions>
    </reviewItem>
    <reviewItem>
      <errorID>f8c61eff-1d11-4258-8a59-1d4c973eaf23</errorID>
      <errorWord>(</errorWord>
      <group>L1_Format</group>
      <groupName>格式问题</groupName>
      <ability>L2_HalfPunc</ability>
      <abilityName>全半角检查</abilityName>
      <candidateList>
        <item>（</item>
      </candidateList>
      <explain>文本全半角错误。</explain>
      <paraID>A84DCA1</paraID>
      <start>8</start>
      <end>9</end>
      <status>unmodified</status>
      <modifiedWord/>
      <trackRevisions>false</trackRevisions>
    </reviewItem>
    <reviewItem>
      <errorID>ff9e7958-4364-40ab-a5f6-9e952114ff4d</errorID>
      <errorWord>)</errorWord>
      <group>L1_Format</group>
      <groupName>格式问题</groupName>
      <ability>L2_HalfPunc</ability>
      <abilityName>全半角检查</abilityName>
      <candidateList>
        <item>）</item>
      </candidateList>
      <explain>文本全半角错误。</explain>
      <paraID>A84DCA1</paraID>
      <start>11</start>
      <end>12</end>
      <status>unmodified</status>
      <modifiedWord/>
      <trackRevisions>false</trackRevisions>
    </reviewItem>
    <reviewItem>
      <errorID>d7707dac-7bac-40e6-b552-27cfe63a0f08</errorID>
      <errorWord>(</errorWord>
      <group>L1_Format</group>
      <groupName>格式问题</groupName>
      <ability>L2_HalfPunc</ability>
      <abilityName>全半角检查</abilityName>
      <candidateList>
        <item>（</item>
      </candidateList>
      <explain>文本全半角错误。</explain>
      <paraID>78B65A3B</paraID>
      <start>0</start>
      <end>1</end>
      <status>unmodified</status>
      <modifiedWord/>
      <trackRevisions>false</trackRevisions>
    </reviewItem>
    <reviewItem>
      <errorID>674ae348-32f9-4000-9f4e-9262415557ea</errorID>
      <errorWord>)</errorWord>
      <group>L1_Format</group>
      <groupName>格式问题</groupName>
      <ability>L2_HalfPunc</ability>
      <abilityName>全半角检查</abilityName>
      <candidateList>
        <item>）</item>
      </candidateList>
      <explain>文本全半角错误。</explain>
      <paraID>78B65A3B</paraID>
      <start>3</start>
      <end>4</end>
      <status>unmodified</status>
      <modifiedWord/>
      <trackRevisions>false</trackRevisions>
    </reviewItem>
    <reviewItem>
      <errorID>bd3dce38-94b6-4b23-9837-174de31e947b</errorID>
      <errorWord>(</errorWord>
      <group>L1_Format</group>
      <groupName>格式问题</groupName>
      <ability>L2_HalfPunc</ability>
      <abilityName>全半角检查</abilityName>
      <candidateList>
        <item>（</item>
      </candidateList>
      <explain>文本全半角错误。</explain>
      <paraID>24FE6BE2</paraID>
      <start>0</start>
      <end>1</end>
      <status>unmodified</status>
      <modifiedWord/>
      <trackRevisions>false</trackRevisions>
    </reviewItem>
    <reviewItem>
      <errorID>119cc3e4-f783-453e-ba97-cfcc08371003</errorID>
      <errorWord>)</errorWord>
      <group>L1_Format</group>
      <groupName>格式问题</groupName>
      <ability>L2_HalfPunc</ability>
      <abilityName>全半角检查</abilityName>
      <candidateList>
        <item>）</item>
      </candidateList>
      <explain>文本全半角错误。</explain>
      <paraID>24FE6BE2</paraID>
      <start>3</start>
      <end>4</end>
      <status>unmodified</status>
      <modifiedWord/>
      <trackRevisions>false</trackRevisions>
    </reviewItem>
    <reviewItem>
      <errorID>d15a8f40-af65-4068-b7d1-e64ae5874b37</errorID>
      <errorWord>(</errorWord>
      <group>L1_Format</group>
      <groupName>格式问题</groupName>
      <ability>L2_HalfPunc</ability>
      <abilityName>全半角检查</abilityName>
      <candidateList>
        <item>（</item>
      </candidateList>
      <explain>文本全半角错误。</explain>
      <paraID>32745C10</paraID>
      <start>46</start>
      <end>47</end>
      <status>unmodified</status>
      <modifiedWord/>
      <trackRevisions>false</trackRevisions>
    </reviewItem>
    <reviewItem>
      <errorID>7c86f25b-18ab-41b4-8ef1-e2149a20cb4e</errorID>
      <errorWord>)</errorWord>
      <group>L1_Format</group>
      <groupName>格式问题</groupName>
      <ability>L2_HalfPunc</ability>
      <abilityName>全半角检查</abilityName>
      <candidateList>
        <item>）</item>
      </candidateList>
      <explain>文本全半角错误。</explain>
      <paraID>32745C10</paraID>
      <start>58</start>
      <end>59</end>
      <status>unmodified</status>
      <modifiedWord/>
      <trackRevisions>false</trackRevisions>
    </reviewItem>
    <reviewItem>
      <errorID>b7a38350-c60f-4473-82c7-b26147d609eb</errorID>
      <errorWord>(</errorWord>
      <group>L1_Format</group>
      <groupName>格式问题</groupName>
      <ability>L2_HalfPunc</ability>
      <abilityName>全半角检查</abilityName>
      <candidateList>
        <item>（</item>
      </candidateList>
      <explain>文本全半角错误。</explain>
      <paraID>18AE293A</paraID>
      <start>16</start>
      <end>17</end>
      <status>unmodified</status>
      <modifiedWord/>
      <trackRevisions>false</trackRevisions>
    </reviewItem>
    <reviewItem>
      <errorID>ee371080-0ed4-494b-8c06-e5dadba7c869</errorID>
      <errorWord>)</errorWord>
      <group>L1_Format</group>
      <groupName>格式问题</groupName>
      <ability>L2_HalfPunc</ability>
      <abilityName>全半角检查</abilityName>
      <candidateList>
        <item>）</item>
      </candidateList>
      <explain>文本全半角错误。</explain>
      <paraID>18AE293A</paraID>
      <start>39</start>
      <end>40</end>
      <status>unmodified</status>
      <modifiedWord/>
      <trackRevisions>false</trackRevisions>
    </reviewItem>
    <reviewItem>
      <errorID>9ab487d3-3100-447a-81cc-b9e002b4bf6f</errorID>
      <errorWord>(</errorWord>
      <group>L1_Format</group>
      <groupName>格式问题</groupName>
      <ability>L2_HalfPunc</ability>
      <abilityName>全半角检查</abilityName>
      <candidateList>
        <item>（</item>
      </candidateList>
      <explain>文本全半角错误。</explain>
      <paraID>18AE293A</paraID>
      <start>48</start>
      <end>49</end>
      <status>unmodified</status>
      <modifiedWord/>
      <trackRevisions>false</trackRevisions>
    </reviewItem>
    <reviewItem>
      <errorID>ca1d75fb-b4f0-42fd-90da-48ac4f3e6519</errorID>
      <errorWord>)</errorWord>
      <group>L1_Format</group>
      <groupName>格式问题</groupName>
      <ability>L2_HalfPunc</ability>
      <abilityName>全半角检查</abilityName>
      <candidateList>
        <item>）</item>
      </candidateList>
      <explain>文本全半角错误。</explain>
      <paraID>18AE293A</paraID>
      <start>64</start>
      <end>65</end>
      <status>unmodified</status>
      <modifiedWord/>
      <trackRevisions>false</trackRevisions>
    </reviewItem>
    <reviewItem>
      <errorID>40bad396-0c3a-41d5-9952-c12a16583dd4</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71101D95</paraID>
      <start>19</start>
      <end>21</end>
      <status>unmodified</status>
      <modifiedWord/>
      <trackRevisions>false</trackRevisions>
    </reviewItem>
    <reviewItem>
      <errorID>efb49067-95d4-4163-9357-4d0ad91c56fc</errorID>
      <errorWord>-</errorWord>
      <group>L1_Format</group>
      <groupName>格式问题</groupName>
      <ability>L2_HalfPunc</ability>
      <abilityName>全半角检查</abilityName>
      <candidateList>
        <item>－</item>
      </candidateList>
      <explain>文本全半角错误。</explain>
      <paraID>16CDB5F1</paraID>
      <start>20</start>
      <end>21</end>
      <status>unmodified</status>
      <modifiedWord/>
      <trackRevisions>false</trackRevisions>
    </reviewItem>
    <reviewItem>
      <errorID>5f7f3dab-f41c-4411-a915-7197ecc83179</errorID>
      <errorWord>(</errorWord>
      <group>L1_Format</group>
      <groupName>格式问题</groupName>
      <ability>L2_HalfPunc</ability>
      <abilityName>全半角检查</abilityName>
      <candidateList>
        <item>（</item>
      </candidateList>
      <explain>文本全半角错误。</explain>
      <paraID>657B041F</paraID>
      <start>4</start>
      <end>5</end>
      <status>unmodified</status>
      <modifiedWord/>
      <trackRevisions>false</trackRevisions>
    </reviewItem>
    <reviewItem>
      <errorID>454644ff-b3c4-4bfb-b2bb-2b7e9a266c01</errorID>
      <errorWord>)</errorWord>
      <group>L1_Format</group>
      <groupName>格式问题</groupName>
      <ability>L2_HalfPunc</ability>
      <abilityName>全半角检查</abilityName>
      <candidateList>
        <item>）</item>
      </candidateList>
      <explain>文本全半角错误。</explain>
      <paraID>657B041F</paraID>
      <start>6</start>
      <end>7</end>
      <status>unmodified</status>
      <modifiedWord/>
      <trackRevisions>false</trackRevisions>
    </reviewItem>
    <reviewItem>
      <errorID>9580f9bf-b103-4a34-b0ce-a34fc608819e</errorID>
      <errorWord>股东大会</errorWord>
      <group>L1_Word</group>
      <groupName>字词问题</groupName>
      <ability>L2_Typo</ability>
      <abilityName>字词错误</abilityName>
      <candidateList>
        <item>股东会</item>
      </candidateList>
      <explain/>
      <paraID>13C68FC1</paraID>
      <start>113</start>
      <end>117</end>
      <status>unmodified</status>
      <modifiedWord/>
      <trackRevisions>false</trackRevisions>
    </reviewItem>
    <reviewItem>
      <errorID>74292424-6109-4cbe-8c9d-2afcacaea08e</errorID>
      <errorWord>》</errorWord>
      <group>L1_Word</group>
      <groupName>字词问题</groupName>
      <ability>L2_Typo</ability>
      <abilityName>字词错误</abilityName>
      <candidateList>
        <item>》和</item>
      </candidateList>
      <explain/>
      <paraID>B6F7445</paraID>
      <start>15</start>
      <end>16</end>
      <status>unmodified</status>
      <modifiedWord/>
      <trackRevisions>false</trackRevisions>
    </reviewItem>
    <reviewItem>
      <errorID>ef4d3994-aa62-434a-8731-2fbaf112565a</errorID>
      <errorWord>进行实施</errorWord>
      <group>L1_Word</group>
      <groupName>字词问题</groupName>
      <ability>L2_Typo</ability>
      <abilityName>字词错误</abilityName>
      <candidateList>
        <item>实施</item>
      </candidateList>
      <explain>〈动〉实行（法令、政策等）：付诸～｜～细则｜～新的办法。</explain>
      <paraID>7D01DF37</paraID>
      <start>27</start>
      <end>29</end>
      <status>modified</status>
      <modifiedWord>实施</modifiedWord>
      <trackRevisions>false</trackRevisions>
    </reviewItem>
    <reviewItem>
      <errorID>c631033e-a696-46fa-af59-2d1c5d991e51</errorID>
      <errorWord>:</errorWord>
      <group>L1_Format</group>
      <groupName>格式问题</groupName>
      <ability>L2_HalfPunc</ability>
      <abilityName>全半角检查</abilityName>
      <candidateList>
        <item>：</item>
      </candidateList>
      <explain>文本全半角错误。</explain>
      <paraID>5B4209E0</paraID>
      <start>13</start>
      <end>14</end>
      <status>unmodified</status>
      <modifiedWord/>
      <trackRevisions>false</trackRevisions>
    </reviewItem>
    <reviewItem>
      <errorID>b9eea940-c0ff-4b7c-ac82-4ffa6694b2ea</errorID>
      <errorWord>其它</errorWord>
      <group>L1_Word</group>
      <groupName>字词问题</groupName>
      <ability>L2_Alias</ability>
      <abilityName>也作/曾用词</abilityName>
      <candidateList>
        <item>其他</item>
      </candidateList>
      <explain>词汇[其它]为不规范表述或旧称，其规范书面表述为[其他]。</explain>
      <paraID>4CA8FACE</paraID>
      <start>2</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BAFB6D-E5D7-4ECF-8D9C-3036E4158430}">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99</Pages>
  <Words>20079</Words>
  <Characters>21340</Characters>
  <Lines>515</Lines>
  <Paragraphs>145</Paragraphs>
  <TotalTime>135</TotalTime>
  <ScaleCrop>false</ScaleCrop>
  <LinksUpToDate>false</LinksUpToDate>
  <CharactersWithSpaces>21479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2024-05-20T07:55:00Z</dcterms:created>
  <dc:creator>唐冰</dc:creator>
  <cp:lastModifiedBy>WPS_1650876841</cp:lastModifiedBy>
  <dcterms:modified xsi:type="dcterms:W3CDTF">2026-08-14T07:40:40Z</dcterms:modified>
  <dc:title>竞争性谈判文件规范</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48CB1219E918428AB59A2120F81B6FAA</vt:lpwstr>
  </property>
  <property fmtid="{D5CDD505-2E9C-101B-9397-08002B2CF9AE}" pid="4" name="KSOTemplateDocerSaveRecord">
    <vt:lpwstr>eyJoZGlkIjoiN2ZiZjUyYTc5YzM4OTI2MGM5Mzg0NzRlMzgyMzk0ODEiLCJ1c2VySWQiOiIxMzY0MzUzNjI4In0=</vt:lpwstr>
  </property>
</Properties>
</file>