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641D2">
      <w:pPr>
        <w:pStyle w:val="26"/>
        <w:rPr>
          <w:color w:val="auto"/>
          <w:highlight w:val="none"/>
        </w:rPr>
      </w:pPr>
    </w:p>
    <w:p w14:paraId="3A11D5DD">
      <w:pPr>
        <w:pStyle w:val="13"/>
        <w:ind w:firstLine="420"/>
        <w:rPr>
          <w:color w:val="auto"/>
          <w:highlight w:val="none"/>
        </w:rPr>
      </w:pPr>
    </w:p>
    <w:p w14:paraId="6AFA91A1">
      <w:pPr>
        <w:pStyle w:val="26"/>
        <w:jc w:val="center"/>
        <w:rPr>
          <w:rFonts w:ascii="华文新魏" w:eastAsia="华文新魏"/>
          <w:b/>
          <w:bCs/>
          <w:color w:val="auto"/>
          <w:spacing w:val="80"/>
          <w:sz w:val="60"/>
          <w:szCs w:val="60"/>
          <w:highlight w:val="none"/>
        </w:rPr>
      </w:pPr>
      <w:r>
        <w:rPr>
          <w:rFonts w:hint="eastAsia" w:ascii="华文新魏" w:eastAsia="华文新魏"/>
          <w:b/>
          <w:bCs/>
          <w:color w:val="auto"/>
          <w:spacing w:val="80"/>
          <w:sz w:val="60"/>
          <w:szCs w:val="60"/>
          <w:highlight w:val="none"/>
        </w:rPr>
        <w:t>云之龙咨询集团有限公司</w:t>
      </w:r>
    </w:p>
    <w:p w14:paraId="4B897A4B">
      <w:pPr>
        <w:pStyle w:val="26"/>
        <w:jc w:val="center"/>
        <w:rPr>
          <w:rFonts w:ascii="华文新魏" w:eastAsia="华文新魏"/>
          <w:b/>
          <w:bCs/>
          <w:color w:val="auto"/>
          <w:spacing w:val="80"/>
          <w:sz w:val="72"/>
          <w:highlight w:val="none"/>
        </w:rPr>
      </w:pPr>
    </w:p>
    <w:p w14:paraId="30A4565A">
      <w:pPr>
        <w:pStyle w:val="26"/>
        <w:jc w:val="center"/>
        <w:rPr>
          <w:rFonts w:ascii="楷体_GB2312" w:eastAsia="楷体_GB2312"/>
          <w:b/>
          <w:bCs/>
          <w:color w:val="auto"/>
          <w:sz w:val="72"/>
          <w:highlight w:val="none"/>
        </w:rPr>
      </w:pPr>
    </w:p>
    <w:p w14:paraId="2C0D5D8F">
      <w:pPr>
        <w:pStyle w:val="26"/>
        <w:jc w:val="center"/>
        <w:rPr>
          <w:color w:val="auto"/>
          <w:highlight w:val="none"/>
        </w:rPr>
      </w:pPr>
    </w:p>
    <w:p w14:paraId="443502E3">
      <w:pPr>
        <w:spacing w:line="1400" w:lineRule="exact"/>
        <w:jc w:val="center"/>
        <w:rPr>
          <w:rFonts w:ascii="楷体_GB2312" w:eastAsia="楷体_GB2312"/>
          <w:b/>
          <w:color w:val="auto"/>
          <w:spacing w:val="60"/>
          <w:sz w:val="132"/>
          <w:szCs w:val="132"/>
          <w:highlight w:val="none"/>
        </w:rPr>
      </w:pPr>
      <w:r>
        <w:rPr>
          <w:rFonts w:hint="eastAsia" w:ascii="楷体_GB2312" w:eastAsia="楷体_GB2312"/>
          <w:b/>
          <w:color w:val="auto"/>
          <w:spacing w:val="60"/>
          <w:sz w:val="132"/>
          <w:szCs w:val="132"/>
          <w:highlight w:val="none"/>
        </w:rPr>
        <w:t>招标文件</w:t>
      </w:r>
    </w:p>
    <w:p w14:paraId="4FA9D08E">
      <w:pPr>
        <w:pStyle w:val="26"/>
        <w:rPr>
          <w:color w:val="auto"/>
          <w:highlight w:val="none"/>
        </w:rPr>
      </w:pPr>
    </w:p>
    <w:p w14:paraId="7C856F35">
      <w:pPr>
        <w:pStyle w:val="26"/>
        <w:ind w:firstLine="3885" w:firstLineChars="1850"/>
        <w:rPr>
          <w:color w:val="auto"/>
          <w:highlight w:val="none"/>
        </w:rPr>
      </w:pPr>
    </w:p>
    <w:p w14:paraId="47B30F25">
      <w:pPr>
        <w:pStyle w:val="26"/>
        <w:rPr>
          <w:color w:val="auto"/>
          <w:highlight w:val="none"/>
        </w:rPr>
      </w:pPr>
    </w:p>
    <w:p w14:paraId="4A58735F">
      <w:pPr>
        <w:pStyle w:val="26"/>
        <w:rPr>
          <w:color w:val="auto"/>
          <w:highlight w:val="none"/>
        </w:rPr>
      </w:pPr>
    </w:p>
    <w:p w14:paraId="3376470F">
      <w:pPr>
        <w:pStyle w:val="26"/>
        <w:rPr>
          <w:color w:val="auto"/>
          <w:highlight w:val="none"/>
        </w:rPr>
      </w:pPr>
    </w:p>
    <w:p w14:paraId="6BB4E674">
      <w:pPr>
        <w:ind w:left="2823" w:leftChars="608" w:hanging="1546" w:hangingChars="500"/>
        <w:rPr>
          <w:rFonts w:ascii="宋体" w:hAnsi="宋体"/>
          <w:b/>
          <w:bCs/>
          <w:color w:val="auto"/>
          <w:spacing w:val="-6"/>
          <w:sz w:val="32"/>
          <w:highlight w:val="none"/>
        </w:rPr>
      </w:pPr>
      <w:r>
        <w:rPr>
          <w:rFonts w:hint="eastAsia" w:ascii="宋体" w:hAnsi="宋体"/>
          <w:b/>
          <w:bCs/>
          <w:color w:val="auto"/>
          <w:spacing w:val="-6"/>
          <w:sz w:val="32"/>
          <w:highlight w:val="none"/>
        </w:rPr>
        <w:t>项目名称：桂林市中西医结合医院医疗设备一批采购项目</w:t>
      </w:r>
    </w:p>
    <w:p w14:paraId="55A7A039">
      <w:pPr>
        <w:ind w:firstLine="1237" w:firstLineChars="400"/>
        <w:rPr>
          <w:rFonts w:ascii="宋体" w:hAnsi="宋体"/>
          <w:b/>
          <w:bCs/>
          <w:color w:val="auto"/>
          <w:spacing w:val="-6"/>
          <w:sz w:val="32"/>
          <w:highlight w:val="none"/>
        </w:rPr>
      </w:pPr>
      <w:r>
        <w:rPr>
          <w:rFonts w:hint="eastAsia" w:ascii="宋体" w:hAnsi="宋体"/>
          <w:b/>
          <w:bCs/>
          <w:color w:val="auto"/>
          <w:spacing w:val="-6"/>
          <w:sz w:val="32"/>
          <w:highlight w:val="none"/>
        </w:rPr>
        <w:t>项目编号：GLZC2026-G1-990422-YZLZ</w:t>
      </w:r>
    </w:p>
    <w:p w14:paraId="10F809A2">
      <w:pPr>
        <w:ind w:firstLine="1237" w:firstLineChars="400"/>
        <w:rPr>
          <w:rFonts w:hint="eastAsia" w:ascii="宋体" w:hAnsi="宋体" w:eastAsia="宋体"/>
          <w:b/>
          <w:bCs/>
          <w:color w:val="auto"/>
          <w:spacing w:val="-6"/>
          <w:sz w:val="32"/>
          <w:highlight w:val="none"/>
          <w:lang w:eastAsia="zh-CN"/>
        </w:rPr>
      </w:pPr>
      <w:r>
        <w:rPr>
          <w:rFonts w:hint="eastAsia" w:ascii="宋体" w:hAnsi="宋体"/>
          <w:b/>
          <w:bCs/>
          <w:color w:val="auto"/>
          <w:spacing w:val="-6"/>
          <w:sz w:val="32"/>
          <w:highlight w:val="none"/>
        </w:rPr>
        <w:t>代理编号：YZLGL2026-G1-033-GLZC</w:t>
      </w:r>
    </w:p>
    <w:p w14:paraId="6B8A277F">
      <w:pPr>
        <w:ind w:left="-2" w:leftChars="-1" w:firstLine="1446" w:firstLineChars="400"/>
        <w:rPr>
          <w:color w:val="auto"/>
          <w:highlight w:val="none"/>
        </w:rPr>
      </w:pPr>
      <w:r>
        <w:rPr>
          <w:rFonts w:hint="eastAsia" w:ascii="宋体" w:hAnsi="宋体"/>
          <w:b/>
          <w:bCs/>
          <w:color w:val="auto"/>
          <w:sz w:val="36"/>
          <w:highlight w:val="none"/>
        </w:rPr>
        <w:t xml:space="preserve">        </w:t>
      </w:r>
      <w:r>
        <w:rPr>
          <w:rFonts w:hint="eastAsia"/>
          <w:color w:val="auto"/>
          <w:highlight w:val="none"/>
        </w:rPr>
        <w:cr/>
      </w:r>
    </w:p>
    <w:p w14:paraId="43001E1C">
      <w:pPr>
        <w:ind w:left="-2" w:leftChars="-1" w:firstLine="840" w:firstLineChars="400"/>
        <w:rPr>
          <w:color w:val="auto"/>
          <w:highlight w:val="none"/>
        </w:rPr>
      </w:pPr>
    </w:p>
    <w:p w14:paraId="53B1A0C7">
      <w:pPr>
        <w:ind w:left="-2" w:leftChars="-1" w:firstLine="630" w:firstLineChars="300"/>
        <w:rPr>
          <w:color w:val="auto"/>
          <w:highlight w:val="none"/>
        </w:rPr>
      </w:pPr>
      <w:r>
        <w:rPr>
          <w:rFonts w:hint="eastAsia"/>
          <w:color w:val="auto"/>
          <w:highlight w:val="none"/>
        </w:rPr>
        <w:t>　</w:t>
      </w:r>
      <w:r>
        <w:rPr>
          <w:color w:val="auto"/>
          <w:highlight w:val="none"/>
        </w:rPr>
        <w:tab/>
      </w:r>
    </w:p>
    <w:p w14:paraId="0F240BB0">
      <w:pPr>
        <w:ind w:left="103" w:leftChars="49" w:firstLine="1470" w:firstLineChars="700"/>
        <w:jc w:val="center"/>
        <w:rPr>
          <w:color w:val="auto"/>
          <w:highlight w:val="none"/>
        </w:rPr>
      </w:pPr>
    </w:p>
    <w:p w14:paraId="2239F86B">
      <w:pPr>
        <w:ind w:left="103" w:leftChars="49" w:firstLine="1470" w:firstLineChars="700"/>
        <w:jc w:val="center"/>
        <w:rPr>
          <w:color w:val="auto"/>
          <w:highlight w:val="none"/>
        </w:rPr>
      </w:pPr>
    </w:p>
    <w:p w14:paraId="04AAC4F9">
      <w:pPr>
        <w:ind w:left="103" w:leftChars="49" w:firstLine="1470" w:firstLineChars="700"/>
        <w:jc w:val="center"/>
        <w:rPr>
          <w:color w:val="auto"/>
          <w:highlight w:val="none"/>
        </w:rPr>
      </w:pPr>
    </w:p>
    <w:p w14:paraId="71F02956">
      <w:pPr>
        <w:ind w:left="103" w:leftChars="49" w:firstLine="1470" w:firstLineChars="700"/>
        <w:jc w:val="center"/>
        <w:rPr>
          <w:rFonts w:hint="eastAsia" w:ascii="宋体" w:hAnsi="宋体" w:eastAsia="黑体"/>
          <w:b/>
          <w:bCs/>
          <w:color w:val="auto"/>
          <w:spacing w:val="8"/>
          <w:kern w:val="0"/>
          <w:sz w:val="32"/>
          <w:highlight w:val="none"/>
          <w:lang w:eastAsia="zh-CN"/>
        </w:rPr>
      </w:pPr>
      <w:r>
        <w:rPr>
          <w:color w:val="auto"/>
          <w:highlight w:val="none"/>
        </w:rPr>
        <w:cr/>
      </w:r>
      <w:r>
        <w:rPr>
          <w:rFonts w:hint="eastAsia" w:ascii="宋体" w:hAnsi="宋体"/>
          <w:b/>
          <w:bCs/>
          <w:color w:val="auto"/>
          <w:spacing w:val="23"/>
          <w:kern w:val="0"/>
          <w:sz w:val="32"/>
          <w:highlight w:val="none"/>
          <w:fitText w:val="2520" w:id="99222528"/>
        </w:rPr>
        <w:t>采购代理机构</w:t>
      </w:r>
      <w:r>
        <w:rPr>
          <w:rFonts w:hint="eastAsia" w:ascii="宋体" w:hAnsi="宋体"/>
          <w:b/>
          <w:bCs/>
          <w:color w:val="auto"/>
          <w:spacing w:val="2"/>
          <w:kern w:val="0"/>
          <w:sz w:val="32"/>
          <w:highlight w:val="none"/>
          <w:fitText w:val="2520" w:id="99222528"/>
        </w:rPr>
        <w:t>：</w:t>
      </w:r>
      <w:r>
        <w:rPr>
          <w:rFonts w:hint="eastAsia" w:ascii="宋体" w:hAnsi="宋体"/>
          <w:b/>
          <w:bCs/>
          <w:color w:val="auto"/>
          <w:spacing w:val="20"/>
          <w:kern w:val="0"/>
          <w:sz w:val="32"/>
          <w:highlight w:val="none"/>
          <w:fitText w:val="3925" w:id="99222529"/>
        </w:rPr>
        <w:t>云之龙咨询集团有限公</w:t>
      </w:r>
      <w:r>
        <w:rPr>
          <w:rFonts w:hint="eastAsia" w:ascii="宋体" w:hAnsi="宋体"/>
          <w:b/>
          <w:bCs/>
          <w:color w:val="auto"/>
          <w:spacing w:val="2"/>
          <w:kern w:val="0"/>
          <w:sz w:val="32"/>
          <w:highlight w:val="none"/>
          <w:fitText w:val="3925" w:id="99222529"/>
        </w:rPr>
        <w:t>司</w:t>
      </w:r>
      <w:r>
        <w:rPr>
          <w:rFonts w:hint="eastAsia" w:ascii="宋体" w:hAnsi="宋体"/>
          <w:b/>
          <w:bCs/>
          <w:color w:val="auto"/>
          <w:spacing w:val="40"/>
          <w:sz w:val="32"/>
          <w:highlight w:val="none"/>
        </w:rPr>
        <w:cr/>
      </w:r>
      <w:r>
        <w:rPr>
          <w:rFonts w:hint="eastAsia" w:ascii="黑体" w:eastAsia="黑体"/>
          <w:color w:val="auto"/>
          <w:spacing w:val="-8"/>
          <w:sz w:val="32"/>
          <w:highlight w:val="none"/>
        </w:rPr>
        <w:t xml:space="preserve"> </w:t>
      </w:r>
      <w:r>
        <w:rPr>
          <w:rFonts w:ascii="黑体" w:eastAsia="黑体"/>
          <w:color w:val="auto"/>
          <w:spacing w:val="-8"/>
          <w:sz w:val="32"/>
          <w:highlight w:val="none"/>
        </w:rPr>
        <w:t xml:space="preserve"> </w:t>
      </w:r>
      <w:r>
        <w:rPr>
          <w:rFonts w:hint="eastAsia" w:ascii="宋体" w:hAnsi="宋体"/>
          <w:b/>
          <w:bCs/>
          <w:color w:val="auto"/>
          <w:spacing w:val="107"/>
          <w:kern w:val="0"/>
          <w:sz w:val="32"/>
          <w:highlight w:val="none"/>
          <w:fitText w:val="3925" w:id="99222529"/>
          <w:lang w:eastAsia="zh-CN"/>
        </w:rPr>
        <w:t>2026年</w:t>
      </w:r>
      <w:r>
        <w:rPr>
          <w:rFonts w:hint="eastAsia" w:ascii="宋体" w:hAnsi="宋体"/>
          <w:b/>
          <w:bCs/>
          <w:color w:val="auto"/>
          <w:spacing w:val="107"/>
          <w:kern w:val="0"/>
          <w:sz w:val="32"/>
          <w:highlight w:val="none"/>
          <w:fitText w:val="3925" w:id="99222529"/>
          <w:lang w:val="en-US" w:eastAsia="zh-CN"/>
        </w:rPr>
        <w:t>9</w:t>
      </w:r>
      <w:r>
        <w:rPr>
          <w:rFonts w:hint="eastAsia" w:ascii="宋体" w:hAnsi="宋体"/>
          <w:b/>
          <w:bCs/>
          <w:color w:val="auto"/>
          <w:spacing w:val="107"/>
          <w:kern w:val="0"/>
          <w:sz w:val="32"/>
          <w:highlight w:val="none"/>
          <w:fitText w:val="3925" w:id="99222529"/>
          <w:lang w:eastAsia="zh-CN"/>
        </w:rPr>
        <w:t>月</w:t>
      </w:r>
      <w:r>
        <w:rPr>
          <w:rFonts w:hint="eastAsia" w:ascii="宋体" w:hAnsi="宋体"/>
          <w:b/>
          <w:bCs/>
          <w:color w:val="auto"/>
          <w:spacing w:val="107"/>
          <w:kern w:val="0"/>
          <w:sz w:val="32"/>
          <w:highlight w:val="none"/>
          <w:fitText w:val="3925" w:id="99222529"/>
          <w:lang w:val="en-US" w:eastAsia="zh-CN"/>
        </w:rPr>
        <w:t>16</w:t>
      </w:r>
      <w:r>
        <w:rPr>
          <w:rFonts w:hint="eastAsia" w:ascii="宋体" w:hAnsi="宋体"/>
          <w:b/>
          <w:bCs/>
          <w:color w:val="auto"/>
          <w:spacing w:val="0"/>
          <w:kern w:val="0"/>
          <w:sz w:val="32"/>
          <w:highlight w:val="none"/>
          <w:fitText w:val="3925" w:id="99222529"/>
          <w:lang w:eastAsia="zh-CN"/>
        </w:rPr>
        <w:t>日</w:t>
      </w:r>
    </w:p>
    <w:p w14:paraId="6766BA79">
      <w:pPr>
        <w:ind w:left="103" w:leftChars="49" w:firstLine="2240" w:firstLineChars="700"/>
        <w:jc w:val="center"/>
        <w:rPr>
          <w:rFonts w:ascii="黑体" w:eastAsia="黑体"/>
          <w:color w:val="auto"/>
          <w:sz w:val="32"/>
          <w:highlight w:val="none"/>
        </w:rPr>
      </w:pPr>
    </w:p>
    <w:p w14:paraId="58F69BD0">
      <w:pPr>
        <w:pStyle w:val="26"/>
        <w:spacing w:line="440" w:lineRule="exact"/>
        <w:jc w:val="center"/>
        <w:rPr>
          <w:rFonts w:ascii="隶书" w:eastAsia="隶书"/>
          <w:color w:val="auto"/>
          <w:sz w:val="44"/>
          <w:highlight w:val="none"/>
        </w:rPr>
      </w:pPr>
    </w:p>
    <w:p w14:paraId="509B591D">
      <w:pPr>
        <w:pStyle w:val="26"/>
        <w:spacing w:line="440" w:lineRule="exact"/>
        <w:jc w:val="center"/>
        <w:rPr>
          <w:rFonts w:ascii="隶书" w:eastAsia="隶书"/>
          <w:color w:val="auto"/>
          <w:sz w:val="44"/>
          <w:highlight w:val="none"/>
        </w:rPr>
      </w:pPr>
    </w:p>
    <w:p w14:paraId="243D00C8">
      <w:pPr>
        <w:pStyle w:val="26"/>
        <w:spacing w:line="440" w:lineRule="exact"/>
        <w:jc w:val="center"/>
        <w:rPr>
          <w:rFonts w:ascii="隶书" w:eastAsia="隶书"/>
          <w:color w:val="auto"/>
          <w:sz w:val="44"/>
          <w:highlight w:val="none"/>
        </w:rPr>
      </w:pPr>
    </w:p>
    <w:p w14:paraId="68453DB4">
      <w:pPr>
        <w:pStyle w:val="26"/>
        <w:spacing w:line="440" w:lineRule="exact"/>
        <w:jc w:val="center"/>
        <w:rPr>
          <w:rFonts w:ascii="隶书" w:eastAsia="隶书"/>
          <w:color w:val="auto"/>
          <w:sz w:val="44"/>
          <w:highlight w:val="none"/>
        </w:rPr>
      </w:pPr>
      <w:r>
        <w:rPr>
          <w:rFonts w:hint="eastAsia" w:ascii="隶书" w:eastAsia="隶书"/>
          <w:color w:val="auto"/>
          <w:sz w:val="44"/>
          <w:highlight w:val="none"/>
        </w:rPr>
        <w:t>目     录</w:t>
      </w:r>
    </w:p>
    <w:p w14:paraId="3C02507C">
      <w:pPr>
        <w:pStyle w:val="26"/>
        <w:jc w:val="center"/>
        <w:rPr>
          <w:rFonts w:ascii="隶书" w:eastAsia="隶书"/>
          <w:color w:val="auto"/>
          <w:highlight w:val="none"/>
        </w:rPr>
      </w:pPr>
    </w:p>
    <w:p w14:paraId="0927EEEE">
      <w:pPr>
        <w:tabs>
          <w:tab w:val="left" w:pos="8860"/>
          <w:tab w:val="left" w:pos="9140"/>
        </w:tabs>
        <w:ind w:firstLine="735"/>
        <w:rPr>
          <w:rFonts w:ascii="隶书" w:hAnsi="Courier New" w:eastAsia="隶书"/>
          <w:color w:val="auto"/>
          <w:sz w:val="32"/>
          <w:szCs w:val="22"/>
          <w:highlight w:val="none"/>
        </w:rPr>
      </w:pPr>
      <w:r>
        <w:rPr>
          <w:rFonts w:hint="eastAsia" w:ascii="隶书" w:hAnsi="Courier New" w:eastAsia="隶书"/>
          <w:color w:val="auto"/>
          <w:sz w:val="32"/>
          <w:szCs w:val="22"/>
          <w:highlight w:val="none"/>
        </w:rPr>
        <w:t>第一章：招标公告……………………………………………2</w:t>
      </w:r>
    </w:p>
    <w:p w14:paraId="6F5B67F0">
      <w:pPr>
        <w:tabs>
          <w:tab w:val="left" w:pos="1800"/>
          <w:tab w:val="left" w:pos="8860"/>
          <w:tab w:val="left" w:pos="9140"/>
        </w:tabs>
        <w:ind w:firstLine="735"/>
        <w:rPr>
          <w:rFonts w:hint="eastAsia" w:ascii="隶书" w:hAnsi="Courier New" w:eastAsia="隶书"/>
          <w:color w:val="auto"/>
          <w:sz w:val="32"/>
          <w:szCs w:val="22"/>
          <w:highlight w:val="none"/>
          <w:lang w:eastAsia="zh-CN"/>
        </w:rPr>
      </w:pPr>
      <w:r>
        <w:rPr>
          <w:rFonts w:hint="eastAsia" w:ascii="隶书" w:hAnsi="Courier New" w:eastAsia="隶书"/>
          <w:color w:val="auto"/>
          <w:sz w:val="32"/>
          <w:szCs w:val="22"/>
          <w:highlight w:val="none"/>
        </w:rPr>
        <w:t>第二章：投标人须知…………………………………………</w:t>
      </w:r>
      <w:r>
        <w:rPr>
          <w:rFonts w:hint="eastAsia" w:ascii="隶书" w:hAnsi="Courier New" w:eastAsia="隶书"/>
          <w:color w:val="auto"/>
          <w:sz w:val="32"/>
          <w:szCs w:val="22"/>
          <w:highlight w:val="none"/>
          <w:lang w:val="en-US" w:eastAsia="zh-CN"/>
        </w:rPr>
        <w:t>5</w:t>
      </w:r>
    </w:p>
    <w:p w14:paraId="5D5E4B82">
      <w:pPr>
        <w:ind w:firstLine="735"/>
        <w:rPr>
          <w:rFonts w:hint="default" w:ascii="隶书" w:hAnsi="Courier New" w:eastAsia="隶书"/>
          <w:color w:val="auto"/>
          <w:sz w:val="32"/>
          <w:szCs w:val="22"/>
          <w:highlight w:val="none"/>
          <w:lang w:val="en-US" w:eastAsia="zh-CN"/>
        </w:rPr>
      </w:pPr>
      <w:r>
        <w:rPr>
          <w:rFonts w:hint="eastAsia" w:ascii="隶书" w:hAnsi="Courier New" w:eastAsia="隶书"/>
          <w:color w:val="auto"/>
          <w:sz w:val="32"/>
          <w:szCs w:val="22"/>
          <w:highlight w:val="none"/>
        </w:rPr>
        <w:t>第三章：采购需求……………………………………………</w:t>
      </w:r>
      <w:r>
        <w:rPr>
          <w:rFonts w:hint="eastAsia" w:ascii="隶书" w:hAnsi="Courier New" w:eastAsia="隶书"/>
          <w:color w:val="auto"/>
          <w:sz w:val="32"/>
          <w:szCs w:val="22"/>
          <w:highlight w:val="none"/>
          <w:lang w:val="en-US" w:eastAsia="zh-CN"/>
        </w:rPr>
        <w:t>31</w:t>
      </w:r>
    </w:p>
    <w:p w14:paraId="20BC6CD0">
      <w:pPr>
        <w:tabs>
          <w:tab w:val="left" w:pos="8930"/>
          <w:tab w:val="left" w:pos="9105"/>
        </w:tabs>
        <w:ind w:left="2011" w:leftChars="348" w:hanging="1280" w:hangingChars="400"/>
        <w:rPr>
          <w:rFonts w:hint="default" w:ascii="隶书" w:hAnsi="Courier New" w:eastAsia="隶书"/>
          <w:color w:val="auto"/>
          <w:sz w:val="32"/>
          <w:szCs w:val="22"/>
          <w:highlight w:val="none"/>
          <w:lang w:val="en-US" w:eastAsia="zh-CN"/>
        </w:rPr>
      </w:pPr>
      <w:r>
        <w:rPr>
          <w:rFonts w:hint="eastAsia" w:ascii="隶书" w:hAnsi="Courier New" w:eastAsia="隶书"/>
          <w:color w:val="auto"/>
          <w:sz w:val="32"/>
          <w:szCs w:val="22"/>
          <w:highlight w:val="none"/>
        </w:rPr>
        <w:t>第四章：评标办法……………………………………………</w:t>
      </w:r>
      <w:r>
        <w:rPr>
          <w:rFonts w:hint="eastAsia" w:ascii="隶书" w:hAnsi="Courier New" w:eastAsia="隶书"/>
          <w:color w:val="auto"/>
          <w:sz w:val="32"/>
          <w:szCs w:val="22"/>
          <w:highlight w:val="none"/>
          <w:lang w:val="en-US" w:eastAsia="zh-CN"/>
        </w:rPr>
        <w:t>53</w:t>
      </w:r>
    </w:p>
    <w:p w14:paraId="59A94530">
      <w:pPr>
        <w:ind w:firstLine="735"/>
        <w:rPr>
          <w:rFonts w:hint="default" w:ascii="隶书" w:hAnsi="Courier New" w:eastAsia="隶书"/>
          <w:color w:val="auto"/>
          <w:sz w:val="32"/>
          <w:szCs w:val="22"/>
          <w:highlight w:val="none"/>
          <w:lang w:val="en-US" w:eastAsia="zh-CN"/>
        </w:rPr>
      </w:pPr>
      <w:r>
        <w:rPr>
          <w:rFonts w:hint="eastAsia" w:ascii="隶书" w:hAnsi="Courier New" w:eastAsia="隶书"/>
          <w:color w:val="auto"/>
          <w:sz w:val="32"/>
          <w:szCs w:val="22"/>
          <w:highlight w:val="none"/>
        </w:rPr>
        <w:t>第五章：政府采购合同（合同主要条款及格式）…………</w:t>
      </w:r>
      <w:r>
        <w:rPr>
          <w:rFonts w:hint="eastAsia" w:ascii="隶书" w:hAnsi="Courier New" w:eastAsia="隶书"/>
          <w:color w:val="auto"/>
          <w:sz w:val="32"/>
          <w:szCs w:val="22"/>
          <w:highlight w:val="none"/>
          <w:lang w:val="en-US" w:eastAsia="zh-CN"/>
        </w:rPr>
        <w:t>57</w:t>
      </w:r>
    </w:p>
    <w:p w14:paraId="7C340403">
      <w:pPr>
        <w:ind w:firstLine="735"/>
        <w:rPr>
          <w:rFonts w:hint="default" w:ascii="隶书" w:hAnsi="Courier New" w:eastAsia="隶书"/>
          <w:color w:val="auto"/>
          <w:sz w:val="32"/>
          <w:szCs w:val="22"/>
          <w:highlight w:val="none"/>
          <w:lang w:val="en-US" w:eastAsia="zh-CN"/>
        </w:rPr>
      </w:pPr>
      <w:r>
        <w:rPr>
          <w:rFonts w:hint="eastAsia" w:ascii="隶书" w:hAnsi="Courier New" w:eastAsia="隶书"/>
          <w:color w:val="auto"/>
          <w:sz w:val="32"/>
          <w:szCs w:val="22"/>
          <w:highlight w:val="none"/>
        </w:rPr>
        <w:t>第六章：投标文件（格式）…………………………………</w:t>
      </w:r>
      <w:r>
        <w:rPr>
          <w:rFonts w:hint="eastAsia" w:ascii="隶书" w:hAnsi="Courier New" w:eastAsia="隶书"/>
          <w:color w:val="auto"/>
          <w:sz w:val="32"/>
          <w:szCs w:val="22"/>
          <w:highlight w:val="none"/>
          <w:lang w:val="en-US" w:eastAsia="zh-CN"/>
        </w:rPr>
        <w:t>62</w:t>
      </w:r>
    </w:p>
    <w:p w14:paraId="61794AB1">
      <w:pPr>
        <w:ind w:firstLine="2730" w:firstLineChars="1300"/>
        <w:rPr>
          <w:color w:val="auto"/>
          <w:szCs w:val="21"/>
          <w:highlight w:val="none"/>
        </w:rPr>
      </w:pPr>
    </w:p>
    <w:p w14:paraId="3DC17C14">
      <w:pPr>
        <w:ind w:firstLine="2730" w:firstLineChars="1300"/>
        <w:rPr>
          <w:color w:val="auto"/>
          <w:szCs w:val="21"/>
          <w:highlight w:val="none"/>
        </w:rPr>
      </w:pPr>
    </w:p>
    <w:p w14:paraId="4CFA2F5F">
      <w:pPr>
        <w:ind w:firstLine="2730" w:firstLineChars="1300"/>
        <w:rPr>
          <w:color w:val="auto"/>
          <w:szCs w:val="21"/>
          <w:highlight w:val="none"/>
        </w:rPr>
      </w:pPr>
    </w:p>
    <w:p w14:paraId="6A91ABD4">
      <w:pPr>
        <w:ind w:firstLine="2730" w:firstLineChars="1300"/>
        <w:rPr>
          <w:color w:val="auto"/>
          <w:szCs w:val="21"/>
          <w:highlight w:val="none"/>
        </w:rPr>
      </w:pPr>
    </w:p>
    <w:p w14:paraId="3B57131D">
      <w:pPr>
        <w:ind w:firstLine="2730" w:firstLineChars="1300"/>
        <w:rPr>
          <w:color w:val="auto"/>
          <w:szCs w:val="21"/>
          <w:highlight w:val="none"/>
        </w:rPr>
      </w:pPr>
    </w:p>
    <w:p w14:paraId="3C966D20">
      <w:pPr>
        <w:ind w:firstLine="2730" w:firstLineChars="1300"/>
        <w:rPr>
          <w:color w:val="auto"/>
          <w:szCs w:val="21"/>
          <w:highlight w:val="none"/>
        </w:rPr>
      </w:pPr>
    </w:p>
    <w:p w14:paraId="170CB51C">
      <w:pPr>
        <w:jc w:val="center"/>
        <w:rPr>
          <w:rFonts w:ascii="宋体" w:hAnsi="宋体"/>
          <w:b/>
          <w:color w:val="auto"/>
          <w:sz w:val="32"/>
          <w:szCs w:val="32"/>
          <w:highlight w:val="none"/>
        </w:rPr>
      </w:pPr>
    </w:p>
    <w:p w14:paraId="1A6A2C9D">
      <w:pPr>
        <w:jc w:val="center"/>
        <w:rPr>
          <w:rFonts w:ascii="宋体" w:hAnsi="宋体"/>
          <w:b/>
          <w:color w:val="auto"/>
          <w:sz w:val="32"/>
          <w:szCs w:val="32"/>
          <w:highlight w:val="none"/>
        </w:rPr>
      </w:pPr>
    </w:p>
    <w:p w14:paraId="2A2E93FF">
      <w:pPr>
        <w:jc w:val="center"/>
        <w:rPr>
          <w:rFonts w:ascii="宋体" w:hAnsi="宋体"/>
          <w:b/>
          <w:color w:val="auto"/>
          <w:sz w:val="32"/>
          <w:szCs w:val="32"/>
          <w:highlight w:val="none"/>
        </w:rPr>
      </w:pPr>
    </w:p>
    <w:p w14:paraId="790AD681">
      <w:pPr>
        <w:jc w:val="center"/>
        <w:rPr>
          <w:rFonts w:ascii="宋体" w:hAnsi="宋体"/>
          <w:b/>
          <w:color w:val="auto"/>
          <w:sz w:val="32"/>
          <w:szCs w:val="32"/>
          <w:highlight w:val="none"/>
        </w:rPr>
      </w:pPr>
    </w:p>
    <w:p w14:paraId="0D4B795A">
      <w:pPr>
        <w:jc w:val="center"/>
        <w:rPr>
          <w:rFonts w:ascii="宋体" w:hAnsi="宋体"/>
          <w:b/>
          <w:color w:val="auto"/>
          <w:sz w:val="32"/>
          <w:szCs w:val="32"/>
          <w:highlight w:val="none"/>
        </w:rPr>
      </w:pPr>
    </w:p>
    <w:p w14:paraId="45143C6A">
      <w:pPr>
        <w:jc w:val="center"/>
        <w:rPr>
          <w:rFonts w:ascii="宋体" w:hAnsi="宋体"/>
          <w:b/>
          <w:color w:val="auto"/>
          <w:sz w:val="32"/>
          <w:szCs w:val="32"/>
          <w:highlight w:val="none"/>
        </w:rPr>
      </w:pPr>
    </w:p>
    <w:p w14:paraId="72E2FE49">
      <w:pPr>
        <w:jc w:val="center"/>
        <w:rPr>
          <w:rFonts w:ascii="宋体" w:hAnsi="宋体"/>
          <w:b/>
          <w:color w:val="auto"/>
          <w:sz w:val="32"/>
          <w:szCs w:val="32"/>
          <w:highlight w:val="none"/>
        </w:rPr>
      </w:pPr>
    </w:p>
    <w:p w14:paraId="0996A827">
      <w:pPr>
        <w:jc w:val="center"/>
        <w:rPr>
          <w:rFonts w:ascii="宋体" w:hAnsi="宋体"/>
          <w:b/>
          <w:color w:val="auto"/>
          <w:sz w:val="32"/>
          <w:szCs w:val="32"/>
          <w:highlight w:val="none"/>
        </w:rPr>
      </w:pPr>
    </w:p>
    <w:p w14:paraId="18B942C2">
      <w:pPr>
        <w:jc w:val="center"/>
        <w:rPr>
          <w:rFonts w:ascii="宋体" w:hAnsi="宋体"/>
          <w:b/>
          <w:color w:val="auto"/>
          <w:sz w:val="32"/>
          <w:szCs w:val="32"/>
          <w:highlight w:val="none"/>
        </w:rPr>
      </w:pPr>
    </w:p>
    <w:p w14:paraId="780B3FF3">
      <w:pPr>
        <w:jc w:val="center"/>
        <w:rPr>
          <w:rFonts w:ascii="宋体" w:hAnsi="宋体"/>
          <w:b/>
          <w:color w:val="auto"/>
          <w:sz w:val="32"/>
          <w:szCs w:val="32"/>
          <w:highlight w:val="none"/>
        </w:rPr>
      </w:pPr>
    </w:p>
    <w:p w14:paraId="14FC6E87">
      <w:pPr>
        <w:jc w:val="center"/>
        <w:rPr>
          <w:rFonts w:ascii="宋体" w:hAnsi="宋体"/>
          <w:b/>
          <w:color w:val="auto"/>
          <w:sz w:val="32"/>
          <w:szCs w:val="32"/>
          <w:highlight w:val="none"/>
        </w:rPr>
      </w:pPr>
    </w:p>
    <w:p w14:paraId="1CCA1BBC">
      <w:pPr>
        <w:jc w:val="center"/>
        <w:rPr>
          <w:rFonts w:hint="eastAsia" w:ascii="宋体" w:hAnsi="宋体"/>
          <w:b/>
          <w:color w:val="auto"/>
          <w:sz w:val="32"/>
          <w:szCs w:val="32"/>
          <w:highlight w:val="none"/>
        </w:rPr>
      </w:pPr>
    </w:p>
    <w:p w14:paraId="68C35170">
      <w:pPr>
        <w:jc w:val="center"/>
        <w:rPr>
          <w:rFonts w:ascii="宋体" w:hAnsi="宋体"/>
          <w:color w:val="auto"/>
          <w:highlight w:val="none"/>
        </w:rPr>
      </w:pPr>
      <w:r>
        <w:rPr>
          <w:rFonts w:hint="eastAsia" w:ascii="宋体" w:hAnsi="宋体"/>
          <w:b/>
          <w:color w:val="auto"/>
          <w:sz w:val="32"/>
          <w:szCs w:val="32"/>
          <w:highlight w:val="none"/>
        </w:rPr>
        <w:t>第一章</w:t>
      </w:r>
      <w:r>
        <w:rPr>
          <w:rFonts w:hint="eastAsia" w:ascii="宋体" w:hAnsi="宋体"/>
          <w:color w:val="auto"/>
          <w:highlight w:val="none"/>
        </w:rPr>
        <w:t xml:space="preserve">  </w:t>
      </w:r>
      <w:bookmarkStart w:id="0" w:name="OLE_LINK23"/>
      <w:r>
        <w:rPr>
          <w:rFonts w:hint="eastAsia" w:ascii="宋体" w:hAnsi="宋体"/>
          <w:b/>
          <w:color w:val="auto"/>
          <w:sz w:val="32"/>
          <w:szCs w:val="32"/>
          <w:highlight w:val="none"/>
        </w:rPr>
        <w:t>招标公告</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4"/>
      </w:tblGrid>
      <w:tr w14:paraId="485D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tcPr>
          <w:p w14:paraId="426B59E0">
            <w:pPr>
              <w:spacing w:line="360" w:lineRule="exact"/>
              <w:jc w:val="left"/>
              <w:rPr>
                <w:rFonts w:ascii="宋体" w:hAnsi="宋体"/>
                <w:color w:val="auto"/>
                <w:highlight w:val="none"/>
              </w:rPr>
            </w:pPr>
            <w:r>
              <w:rPr>
                <w:rFonts w:hint="eastAsia" w:ascii="宋体" w:hAnsi="宋体"/>
                <w:color w:val="auto"/>
                <w:highlight w:val="none"/>
              </w:rPr>
              <w:t>项目概况</w:t>
            </w:r>
          </w:p>
          <w:p w14:paraId="2402FACC">
            <w:pPr>
              <w:spacing w:line="360" w:lineRule="exact"/>
              <w:ind w:firstLine="525" w:firstLineChars="250"/>
              <w:jc w:val="left"/>
              <w:rPr>
                <w:rFonts w:ascii="宋体" w:hAnsi="宋体"/>
                <w:color w:val="auto"/>
                <w:highlight w:val="none"/>
              </w:rPr>
            </w:pPr>
            <w:r>
              <w:rPr>
                <w:rFonts w:hint="eastAsia" w:ascii="宋体" w:hAnsi="宋体"/>
                <w:color w:val="auto"/>
                <w:highlight w:val="none"/>
              </w:rPr>
              <w:t>桂林市中西医结合医院医疗设备一批采购项目的潜在投标</w:t>
            </w:r>
            <w:r>
              <w:rPr>
                <w:rFonts w:hint="eastAsia" w:ascii="宋体" w:hAnsi="宋体"/>
                <w:color w:val="auto"/>
                <w:szCs w:val="21"/>
                <w:highlight w:val="none"/>
              </w:rPr>
              <w:t>人应在</w:t>
            </w:r>
            <w:r>
              <w:rPr>
                <w:rFonts w:hint="eastAsia" w:ascii="宋体" w:hAnsi="宋体" w:cs="宋体"/>
                <w:color w:val="auto"/>
                <w:highlight w:val="none"/>
              </w:rPr>
              <w:t>广西政府采购云平台</w:t>
            </w:r>
            <w:r>
              <w:rPr>
                <w:rFonts w:ascii="宋体" w:hAnsi="宋体"/>
                <w:color w:val="auto"/>
                <w:highlight w:val="none"/>
              </w:rPr>
              <w:t>（</w:t>
            </w:r>
            <w:r>
              <w:rPr>
                <w:rFonts w:hint="eastAsia" w:ascii="宋体" w:hAnsi="宋体"/>
                <w:color w:val="auto"/>
                <w:highlight w:val="none"/>
              </w:rPr>
              <w:t>www.gcy.zfcg.gxzf.gov.cn</w:t>
            </w:r>
            <w:r>
              <w:rPr>
                <w:rFonts w:ascii="宋体" w:hAnsi="宋体"/>
                <w:color w:val="auto"/>
                <w:highlight w:val="none"/>
              </w:rPr>
              <w:t>）</w:t>
            </w:r>
            <w:r>
              <w:rPr>
                <w:rFonts w:hint="eastAsia" w:ascii="宋体" w:hAnsi="宋体"/>
                <w:color w:val="auto"/>
                <w:szCs w:val="21"/>
                <w:highlight w:val="none"/>
              </w:rPr>
              <w:t>下载招标文件电子版，</w:t>
            </w:r>
            <w:r>
              <w:rPr>
                <w:rFonts w:hint="eastAsia" w:ascii="宋体" w:hAnsi="宋体"/>
                <w:color w:val="auto"/>
                <w:highlight w:val="none"/>
              </w:rPr>
              <w:t>并于2026年10月9日</w:t>
            </w:r>
            <w:r>
              <w:rPr>
                <w:rFonts w:hint="eastAsia" w:ascii="宋体" w:hAnsi="宋体"/>
                <w:bCs/>
                <w:color w:val="auto"/>
                <w:highlight w:val="none"/>
              </w:rPr>
              <w:t>上午9:30（北京时间）</w:t>
            </w:r>
            <w:r>
              <w:rPr>
                <w:rFonts w:hint="eastAsia" w:ascii="宋体" w:hAnsi="宋体"/>
                <w:color w:val="auto"/>
                <w:highlight w:val="none"/>
              </w:rPr>
              <w:t>前递交投标</w:t>
            </w:r>
            <w:r>
              <w:rPr>
                <w:rFonts w:ascii="宋体" w:hAnsi="宋体"/>
                <w:color w:val="auto"/>
                <w:highlight w:val="none"/>
              </w:rPr>
              <w:t>文件</w:t>
            </w:r>
            <w:r>
              <w:rPr>
                <w:rFonts w:hint="eastAsia" w:ascii="宋体" w:hAnsi="宋体"/>
                <w:color w:val="auto"/>
                <w:highlight w:val="none"/>
              </w:rPr>
              <w:t>。</w:t>
            </w:r>
          </w:p>
        </w:tc>
      </w:tr>
    </w:tbl>
    <w:p w14:paraId="1584F81B">
      <w:pPr>
        <w:keepNext w:val="0"/>
        <w:keepLines w:val="0"/>
        <w:pageBreakBefore w:val="0"/>
        <w:numPr>
          <w:ilvl w:val="0"/>
          <w:numId w:val="4"/>
        </w:numPr>
        <w:kinsoku/>
        <w:wordWrap/>
        <w:overflowPunct/>
        <w:topLinePunct w:val="0"/>
        <w:bidi w:val="0"/>
        <w:adjustRightInd/>
        <w:spacing w:line="400" w:lineRule="exact"/>
        <w:textAlignment w:val="auto"/>
        <w:rPr>
          <w:rFonts w:ascii="宋体" w:hAnsi="宋体"/>
          <w:bCs/>
          <w:color w:val="auto"/>
          <w:szCs w:val="21"/>
          <w:highlight w:val="none"/>
        </w:rPr>
      </w:pPr>
      <w:r>
        <w:rPr>
          <w:rFonts w:hint="eastAsia" w:ascii="宋体" w:hAnsi="宋体" w:cs="宋体"/>
          <w:b/>
          <w:color w:val="auto"/>
          <w:szCs w:val="21"/>
          <w:highlight w:val="none"/>
        </w:rPr>
        <w:t>项目基本情况</w:t>
      </w:r>
    </w:p>
    <w:p w14:paraId="7EDD3A9B">
      <w:pPr>
        <w:keepNext w:val="0"/>
        <w:keepLines w:val="0"/>
        <w:pageBreakBefore w:val="0"/>
        <w:widowControl/>
        <w:shd w:val="clear" w:color="auto" w:fill="FFFFFF"/>
        <w:kinsoku/>
        <w:wordWrap/>
        <w:overflowPunct/>
        <w:topLinePunct w:val="0"/>
        <w:autoSpaceDE/>
        <w:autoSpaceDN/>
        <w:bidi w:val="0"/>
        <w:adjustRightInd/>
        <w:snapToGrid/>
        <w:spacing w:line="400" w:lineRule="exact"/>
        <w:ind w:left="105" w:right="360" w:firstLine="315" w:firstLineChars="150"/>
        <w:jc w:val="left"/>
        <w:textAlignment w:val="auto"/>
        <w:rPr>
          <w:rFonts w:ascii="宋体" w:hAnsi="宋体"/>
          <w:bCs/>
          <w:color w:val="auto"/>
          <w:szCs w:val="21"/>
          <w:highlight w:val="none"/>
        </w:rPr>
      </w:pPr>
      <w:r>
        <w:rPr>
          <w:rFonts w:hint="eastAsia" w:ascii="宋体" w:hAnsi="宋体"/>
          <w:bCs/>
          <w:color w:val="auto"/>
          <w:szCs w:val="21"/>
          <w:highlight w:val="none"/>
        </w:rPr>
        <w:t>项目编号：GLZC2026-G1-990422-YZLZ</w:t>
      </w:r>
    </w:p>
    <w:p w14:paraId="59D8FD0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bCs/>
          <w:color w:val="auto"/>
          <w:szCs w:val="21"/>
          <w:highlight w:val="none"/>
          <w:lang w:eastAsia="zh-CN"/>
        </w:rPr>
      </w:pPr>
      <w:r>
        <w:rPr>
          <w:rFonts w:hint="eastAsia" w:ascii="宋体" w:hAnsi="宋体"/>
          <w:color w:val="auto"/>
          <w:szCs w:val="21"/>
          <w:highlight w:val="none"/>
        </w:rPr>
        <w:t>项目名称</w:t>
      </w:r>
      <w:r>
        <w:rPr>
          <w:rFonts w:hint="eastAsia" w:ascii="宋体" w:hAnsi="宋体"/>
          <w:bCs/>
          <w:color w:val="auto"/>
          <w:szCs w:val="21"/>
          <w:highlight w:val="none"/>
        </w:rPr>
        <w:t>：桂林市中西医结合医院医疗设备一批采购项目</w:t>
      </w:r>
    </w:p>
    <w:p w14:paraId="5C2DDEE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bCs/>
          <w:color w:val="auto"/>
          <w:szCs w:val="21"/>
          <w:highlight w:val="none"/>
          <w:lang w:val="en-US" w:eastAsia="zh-CN"/>
        </w:rPr>
      </w:pPr>
      <w:r>
        <w:rPr>
          <w:rFonts w:hint="eastAsia" w:ascii="宋体" w:hAnsi="宋体"/>
          <w:color w:val="auto"/>
          <w:highlight w:val="none"/>
        </w:rPr>
        <w:t>预算总金</w:t>
      </w:r>
      <w:r>
        <w:rPr>
          <w:rFonts w:hint="eastAsia" w:ascii="宋体" w:hAnsi="宋体"/>
          <w:bCs/>
          <w:color w:val="auto"/>
          <w:szCs w:val="21"/>
          <w:highlight w:val="none"/>
        </w:rPr>
        <w:t>额（元）：1177200</w:t>
      </w:r>
      <w:r>
        <w:rPr>
          <w:rFonts w:hint="eastAsia" w:ascii="宋体" w:hAnsi="宋体"/>
          <w:bCs/>
          <w:color w:val="auto"/>
          <w:szCs w:val="21"/>
          <w:highlight w:val="none"/>
          <w:lang w:val="en-US" w:eastAsia="zh-CN"/>
        </w:rPr>
        <w:t>.00</w:t>
      </w:r>
    </w:p>
    <w:p w14:paraId="0AF9ABB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bCs/>
          <w:color w:val="auto"/>
          <w:szCs w:val="21"/>
          <w:highlight w:val="none"/>
          <w:lang w:val="en-US" w:eastAsia="zh-CN"/>
        </w:rPr>
      </w:pPr>
      <w:r>
        <w:rPr>
          <w:rFonts w:hint="eastAsia" w:ascii="宋体" w:hAnsi="宋体"/>
          <w:color w:val="auto"/>
          <w:highlight w:val="none"/>
        </w:rPr>
        <w:t>最高限价</w:t>
      </w:r>
      <w:r>
        <w:rPr>
          <w:rFonts w:hint="default" w:ascii="宋体" w:hAnsi="宋体"/>
          <w:bCs/>
          <w:color w:val="auto"/>
          <w:szCs w:val="21"/>
          <w:highlight w:val="none"/>
          <w:lang w:val="en-US" w:eastAsia="zh-CN"/>
        </w:rPr>
        <w:t>总价（元）：1157100.00</w:t>
      </w:r>
    </w:p>
    <w:p w14:paraId="7EA0B31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highlight w:val="none"/>
        </w:rPr>
      </w:pPr>
      <w:r>
        <w:rPr>
          <w:rFonts w:hint="eastAsia" w:ascii="宋体" w:hAnsi="宋体"/>
          <w:color w:val="auto"/>
          <w:highlight w:val="none"/>
        </w:rPr>
        <w:t>采购需求：</w:t>
      </w:r>
    </w:p>
    <w:p w14:paraId="0490898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分标1</w:t>
      </w:r>
    </w:p>
    <w:p w14:paraId="3046499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olor w:val="auto"/>
          <w:highlight w:val="none"/>
          <w:lang w:val="en-US" w:eastAsia="zh-CN"/>
        </w:rPr>
      </w:pPr>
      <w:r>
        <w:rPr>
          <w:rFonts w:hint="eastAsia" w:ascii="宋体" w:hAnsi="宋体"/>
          <w:color w:val="auto"/>
          <w:highlight w:val="none"/>
        </w:rPr>
        <w:t>（1）标项名称：康复科、脾胃病科</w:t>
      </w:r>
      <w:r>
        <w:rPr>
          <w:rFonts w:hint="eastAsia" w:ascii="宋体" w:hAnsi="宋体"/>
          <w:color w:val="auto"/>
          <w:highlight w:val="none"/>
          <w:lang w:val="en-US" w:eastAsia="zh-CN"/>
        </w:rPr>
        <w:t>设备</w:t>
      </w:r>
    </w:p>
    <w:p w14:paraId="52A7421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highlight w:val="none"/>
        </w:rPr>
      </w:pPr>
      <w:r>
        <w:rPr>
          <w:rFonts w:hint="eastAsia" w:ascii="宋体" w:hAnsi="宋体"/>
          <w:color w:val="auto"/>
          <w:highlight w:val="none"/>
        </w:rPr>
        <w:t>（2）数量：1</w:t>
      </w:r>
      <w:r>
        <w:rPr>
          <w:rFonts w:hint="eastAsia" w:ascii="宋体" w:hAnsi="宋体"/>
          <w:color w:val="auto"/>
          <w:highlight w:val="none"/>
          <w:lang w:val="en-US" w:eastAsia="zh-CN"/>
        </w:rPr>
        <w:t>批</w:t>
      </w:r>
      <w:r>
        <w:rPr>
          <w:rFonts w:hint="eastAsia" w:ascii="宋体" w:hAnsi="宋体"/>
          <w:color w:val="auto"/>
          <w:highlight w:val="none"/>
        </w:rPr>
        <w:t>。</w:t>
      </w:r>
    </w:p>
    <w:p w14:paraId="4813ACD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olor w:val="auto"/>
          <w:highlight w:val="none"/>
          <w:lang w:val="en-US" w:eastAsia="zh-CN"/>
        </w:rPr>
      </w:pPr>
      <w:r>
        <w:rPr>
          <w:rFonts w:hint="eastAsia" w:ascii="宋体" w:hAnsi="宋体"/>
          <w:color w:val="auto"/>
          <w:highlight w:val="none"/>
        </w:rPr>
        <w:t>（3）预算金额</w:t>
      </w:r>
      <w:r>
        <w:rPr>
          <w:rFonts w:hint="eastAsia" w:ascii="宋体" w:hAnsi="宋体"/>
          <w:bCs/>
          <w:color w:val="auto"/>
          <w:szCs w:val="21"/>
          <w:highlight w:val="none"/>
        </w:rPr>
        <w:t>（元）</w:t>
      </w:r>
      <w:r>
        <w:rPr>
          <w:rFonts w:hint="eastAsia" w:ascii="宋体" w:hAnsi="宋体"/>
          <w:color w:val="auto"/>
          <w:highlight w:val="none"/>
        </w:rPr>
        <w:t>：285800.00</w:t>
      </w:r>
    </w:p>
    <w:p w14:paraId="0B76EC0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olor w:val="auto"/>
          <w:highlight w:val="none"/>
          <w:lang w:val="en-US" w:eastAsia="zh-CN"/>
        </w:rPr>
      </w:pPr>
      <w:r>
        <w:rPr>
          <w:rFonts w:hint="eastAsia" w:ascii="宋体" w:hAnsi="宋体"/>
          <w:color w:val="auto"/>
          <w:highlight w:val="none"/>
        </w:rPr>
        <w:t>（4）最高限价（元）：</w:t>
      </w:r>
      <w:r>
        <w:rPr>
          <w:rFonts w:hint="eastAsia" w:ascii="宋体" w:hAnsi="宋体"/>
          <w:bCs/>
          <w:color w:val="auto"/>
          <w:szCs w:val="21"/>
          <w:highlight w:val="none"/>
        </w:rPr>
        <w:t>2761</w:t>
      </w:r>
      <w:r>
        <w:rPr>
          <w:rFonts w:hint="eastAsia" w:ascii="宋体" w:hAnsi="宋体"/>
          <w:bCs/>
          <w:color w:val="auto"/>
          <w:szCs w:val="21"/>
          <w:highlight w:val="none"/>
          <w:lang w:val="en-US" w:eastAsia="zh-CN"/>
        </w:rPr>
        <w:t>00.00</w:t>
      </w:r>
    </w:p>
    <w:p w14:paraId="1B8F4E9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highlight w:val="none"/>
        </w:rPr>
      </w:pPr>
      <w:r>
        <w:rPr>
          <w:rFonts w:hint="eastAsia" w:ascii="宋体" w:hAnsi="宋体"/>
          <w:color w:val="auto"/>
          <w:highlight w:val="none"/>
        </w:rPr>
        <w:t>（5）</w:t>
      </w:r>
      <w:r>
        <w:rPr>
          <w:rFonts w:ascii="宋体" w:hAnsi="宋体" w:eastAsia="宋体" w:cs="Times New Roman"/>
          <w:color w:val="auto"/>
          <w:highlight w:val="none"/>
        </w:rPr>
        <w:t>简要规格描述或项目基本概况介绍、用途</w:t>
      </w:r>
      <w:r>
        <w:rPr>
          <w:rFonts w:hint="eastAsia" w:ascii="宋体" w:hAnsi="宋体" w:eastAsia="宋体" w:cs="Times New Roman"/>
          <w:color w:val="auto"/>
          <w:highlight w:val="none"/>
        </w:rPr>
        <w:t>：①标的的名称、数量及单位：壁挂式等离子体空气消毒器</w:t>
      </w:r>
      <w:r>
        <w:rPr>
          <w:rFonts w:hint="eastAsia" w:ascii="宋体" w:hAnsi="宋体" w:cs="Times New Roman"/>
          <w:color w:val="auto"/>
          <w:highlight w:val="none"/>
          <w:lang w:eastAsia="zh-CN"/>
        </w:rPr>
        <w:t>4台、肌电生物反馈刺激仪6台、内镜用二氧化碳送气装置1台、输液泵3台、体外振动排痰机1台、医用转运车5台、治疗车5台</w:t>
      </w:r>
      <w:r>
        <w:rPr>
          <w:rFonts w:hint="eastAsia" w:ascii="宋体" w:hAnsi="宋体" w:eastAsia="宋体" w:cs="Times New Roman"/>
          <w:color w:val="auto"/>
          <w:highlight w:val="none"/>
        </w:rPr>
        <w:t>；②简要技术需求或者服务要求：</w:t>
      </w:r>
      <w:r>
        <w:rPr>
          <w:rFonts w:hint="eastAsia" w:ascii="宋体" w:hAnsi="宋体" w:eastAsia="宋体" w:cs="Times New Roman"/>
          <w:color w:val="auto"/>
          <w:highlight w:val="none"/>
          <w:lang w:val="en-US" w:eastAsia="zh-CN"/>
        </w:rPr>
        <w:t>按国家有关产品三包规定执行“三包”，</w:t>
      </w:r>
      <w:r>
        <w:rPr>
          <w:rFonts w:hint="eastAsia" w:ascii="宋体" w:hAnsi="宋体" w:cs="Times New Roman"/>
          <w:color w:val="auto"/>
          <w:highlight w:val="none"/>
          <w:lang w:val="en-US" w:eastAsia="zh-CN"/>
        </w:rPr>
        <w:t>质保期</w:t>
      </w:r>
      <w:r>
        <w:rPr>
          <w:rFonts w:hint="eastAsia" w:ascii="宋体" w:hAnsi="宋体" w:eastAsia="宋体" w:cs="Times New Roman"/>
          <w:color w:val="auto"/>
          <w:highlight w:val="none"/>
          <w:lang w:val="en-US" w:eastAsia="zh-CN"/>
        </w:rPr>
        <w:t>：</w:t>
      </w:r>
      <w:r>
        <w:rPr>
          <w:rFonts w:hint="eastAsia" w:ascii="宋体" w:hAnsi="宋体" w:cs="Times New Roman"/>
          <w:b w:val="0"/>
          <w:bCs w:val="0"/>
          <w:color w:val="auto"/>
          <w:highlight w:val="none"/>
          <w:lang w:val="en-US" w:eastAsia="zh-CN"/>
        </w:rPr>
        <w:t>质保期</w:t>
      </w:r>
      <w:r>
        <w:rPr>
          <w:rFonts w:hint="eastAsia" w:ascii="宋体" w:hAnsi="宋体" w:eastAsia="宋体" w:cs="Times New Roman"/>
          <w:b w:val="0"/>
          <w:bCs w:val="0"/>
          <w:color w:val="auto"/>
          <w:highlight w:val="none"/>
          <w:lang w:val="en-US" w:eastAsia="zh-CN"/>
        </w:rPr>
        <w:t>不少于</w:t>
      </w:r>
      <w:r>
        <w:rPr>
          <w:rFonts w:hint="eastAsia" w:ascii="宋体" w:hAnsi="宋体" w:cs="Times New Roman"/>
          <w:b w:val="0"/>
          <w:bCs w:val="0"/>
          <w:color w:val="auto"/>
          <w:highlight w:val="none"/>
          <w:lang w:val="en-US" w:eastAsia="zh-CN"/>
        </w:rPr>
        <w:t>2</w:t>
      </w:r>
      <w:r>
        <w:rPr>
          <w:rFonts w:hint="eastAsia" w:ascii="宋体" w:hAnsi="宋体" w:eastAsia="宋体" w:cs="Times New Roman"/>
          <w:b w:val="0"/>
          <w:bCs w:val="0"/>
          <w:color w:val="auto"/>
          <w:highlight w:val="none"/>
          <w:lang w:val="en-US" w:eastAsia="zh-CN"/>
        </w:rPr>
        <w:t>年（从验收合格之日起计算）</w:t>
      </w:r>
      <w:r>
        <w:rPr>
          <w:rFonts w:hint="eastAsia" w:ascii="宋体" w:hAnsi="宋体" w:cs="Times New Roman"/>
          <w:color w:val="auto"/>
          <w:highlight w:val="none"/>
          <w:lang w:eastAsia="zh-CN"/>
        </w:rPr>
        <w:t>，</w:t>
      </w:r>
      <w:r>
        <w:rPr>
          <w:rFonts w:hint="eastAsia" w:ascii="宋体" w:hAnsi="宋体" w:eastAsia="宋体" w:cs="Times New Roman"/>
          <w:color w:val="auto"/>
          <w:highlight w:val="none"/>
        </w:rPr>
        <w:t>具体详见采购</w:t>
      </w:r>
      <w:r>
        <w:rPr>
          <w:rFonts w:hint="eastAsia" w:ascii="宋体" w:hAnsi="宋体"/>
          <w:color w:val="auto"/>
          <w:highlight w:val="none"/>
        </w:rPr>
        <w:t>需求。</w:t>
      </w:r>
    </w:p>
    <w:p w14:paraId="6DC8782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highlight w:val="none"/>
        </w:rPr>
      </w:pPr>
      <w:r>
        <w:rPr>
          <w:rFonts w:hint="eastAsia" w:ascii="宋体" w:hAnsi="宋体"/>
          <w:color w:val="auto"/>
          <w:highlight w:val="none"/>
        </w:rPr>
        <w:t>（6）合同履行期限：自签订合同之日起</w:t>
      </w:r>
      <w:r>
        <w:rPr>
          <w:rFonts w:hint="eastAsia" w:ascii="宋体" w:hAnsi="宋体"/>
          <w:color w:val="auto"/>
          <w:highlight w:val="none"/>
          <w:lang w:val="en-US" w:eastAsia="zh-CN"/>
        </w:rPr>
        <w:t>10</w:t>
      </w:r>
      <w:r>
        <w:rPr>
          <w:rFonts w:hint="eastAsia" w:ascii="宋体" w:hAnsi="宋体"/>
          <w:color w:val="auto"/>
          <w:highlight w:val="none"/>
        </w:rPr>
        <w:t>个工作日内到货并全部安装调试合格完毕。</w:t>
      </w:r>
    </w:p>
    <w:p w14:paraId="5437464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highlight w:val="none"/>
        </w:rPr>
      </w:pPr>
      <w:r>
        <w:rPr>
          <w:rFonts w:hint="eastAsia" w:ascii="宋体" w:hAnsi="宋体"/>
          <w:color w:val="auto"/>
          <w:highlight w:val="none"/>
        </w:rPr>
        <w:t>（7）本</w:t>
      </w:r>
      <w:r>
        <w:rPr>
          <w:rFonts w:hint="eastAsia" w:ascii="宋体" w:hAnsi="宋体"/>
          <w:color w:val="auto"/>
          <w:highlight w:val="none"/>
          <w:lang w:val="en-US" w:eastAsia="zh-CN"/>
        </w:rPr>
        <w:t>分标</w:t>
      </w:r>
      <w:r>
        <w:rPr>
          <w:rFonts w:hint="eastAsia" w:ascii="宋体" w:hAnsi="宋体"/>
          <w:color w:val="auto"/>
          <w:highlight w:val="none"/>
        </w:rPr>
        <w:t>不接受联合体投标。</w:t>
      </w:r>
    </w:p>
    <w:p w14:paraId="1C350AC6">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分标2</w:t>
      </w:r>
    </w:p>
    <w:p w14:paraId="7A14F40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olor w:val="auto"/>
          <w:highlight w:val="none"/>
          <w:lang w:val="en-US" w:eastAsia="zh-CN"/>
        </w:rPr>
      </w:pPr>
      <w:r>
        <w:rPr>
          <w:rFonts w:hint="eastAsia" w:ascii="宋体" w:hAnsi="宋体"/>
          <w:color w:val="auto"/>
          <w:highlight w:val="none"/>
        </w:rPr>
        <w:t>（1）标项名称：消毒供应室、心电图室</w:t>
      </w:r>
      <w:r>
        <w:rPr>
          <w:rFonts w:hint="eastAsia" w:ascii="宋体" w:hAnsi="宋体"/>
          <w:color w:val="auto"/>
          <w:highlight w:val="none"/>
          <w:lang w:val="en-US" w:eastAsia="zh-CN"/>
        </w:rPr>
        <w:t>设备</w:t>
      </w:r>
    </w:p>
    <w:p w14:paraId="025AFFB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highlight w:val="none"/>
        </w:rPr>
      </w:pPr>
      <w:r>
        <w:rPr>
          <w:rFonts w:hint="eastAsia" w:ascii="宋体" w:hAnsi="宋体"/>
          <w:color w:val="auto"/>
          <w:highlight w:val="none"/>
        </w:rPr>
        <w:t>（2）数量：1</w:t>
      </w:r>
      <w:r>
        <w:rPr>
          <w:rFonts w:hint="eastAsia" w:ascii="宋体" w:hAnsi="宋体"/>
          <w:color w:val="auto"/>
          <w:highlight w:val="none"/>
          <w:lang w:val="en-US" w:eastAsia="zh-CN"/>
        </w:rPr>
        <w:t>批</w:t>
      </w:r>
      <w:r>
        <w:rPr>
          <w:rFonts w:hint="eastAsia" w:ascii="宋体" w:hAnsi="宋体"/>
          <w:color w:val="auto"/>
          <w:highlight w:val="none"/>
        </w:rPr>
        <w:t>。</w:t>
      </w:r>
    </w:p>
    <w:p w14:paraId="1FD0216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olor w:val="auto"/>
          <w:highlight w:val="none"/>
          <w:lang w:val="en-US" w:eastAsia="zh-CN"/>
        </w:rPr>
      </w:pPr>
      <w:r>
        <w:rPr>
          <w:rFonts w:hint="eastAsia" w:ascii="宋体" w:hAnsi="宋体"/>
          <w:color w:val="auto"/>
          <w:highlight w:val="none"/>
        </w:rPr>
        <w:t>（3）预算金额</w:t>
      </w:r>
      <w:r>
        <w:rPr>
          <w:rFonts w:hint="eastAsia" w:ascii="宋体" w:hAnsi="宋体"/>
          <w:bCs/>
          <w:color w:val="auto"/>
          <w:szCs w:val="21"/>
          <w:highlight w:val="none"/>
        </w:rPr>
        <w:t>（元）</w:t>
      </w:r>
      <w:r>
        <w:rPr>
          <w:rFonts w:hint="eastAsia" w:ascii="宋体" w:hAnsi="宋体"/>
          <w:color w:val="auto"/>
          <w:highlight w:val="none"/>
        </w:rPr>
        <w:t>：401400</w:t>
      </w:r>
      <w:r>
        <w:rPr>
          <w:rFonts w:hint="eastAsia" w:ascii="宋体" w:hAnsi="宋体"/>
          <w:color w:val="auto"/>
          <w:highlight w:val="none"/>
          <w:lang w:val="en-US" w:eastAsia="zh-CN"/>
        </w:rPr>
        <w:t>.00</w:t>
      </w:r>
    </w:p>
    <w:p w14:paraId="24BB859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olor w:val="auto"/>
          <w:highlight w:val="none"/>
          <w:lang w:val="en-US" w:eastAsia="zh-CN"/>
        </w:rPr>
      </w:pPr>
      <w:r>
        <w:rPr>
          <w:rFonts w:hint="eastAsia" w:ascii="宋体" w:hAnsi="宋体"/>
          <w:color w:val="auto"/>
          <w:highlight w:val="none"/>
        </w:rPr>
        <w:t>（4）最高限价（元）：</w:t>
      </w:r>
      <w:r>
        <w:rPr>
          <w:rFonts w:hint="eastAsia" w:ascii="宋体" w:hAnsi="宋体"/>
          <w:color w:val="auto"/>
          <w:highlight w:val="none"/>
          <w:lang w:val="en-US" w:eastAsia="zh-CN"/>
        </w:rPr>
        <w:t>393000.00</w:t>
      </w:r>
      <w:bookmarkStart w:id="17" w:name="_GoBack"/>
      <w:bookmarkEnd w:id="17"/>
    </w:p>
    <w:p w14:paraId="473066C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highlight w:val="none"/>
        </w:rPr>
      </w:pPr>
      <w:r>
        <w:rPr>
          <w:rFonts w:hint="eastAsia" w:ascii="宋体" w:hAnsi="宋体"/>
          <w:color w:val="auto"/>
          <w:highlight w:val="none"/>
        </w:rPr>
        <w:t>（5）</w:t>
      </w:r>
      <w:r>
        <w:rPr>
          <w:rFonts w:ascii="宋体" w:hAnsi="宋体" w:eastAsia="宋体" w:cs="Times New Roman"/>
          <w:color w:val="auto"/>
          <w:highlight w:val="none"/>
        </w:rPr>
        <w:t>简要规格描述或项目基本概况介绍、用途</w:t>
      </w:r>
      <w:r>
        <w:rPr>
          <w:rFonts w:hint="eastAsia" w:ascii="宋体" w:hAnsi="宋体" w:eastAsia="宋体" w:cs="Times New Roman"/>
          <w:color w:val="auto"/>
          <w:highlight w:val="none"/>
        </w:rPr>
        <w:t>：①标的的名称、数量及单位：电热蒸汽发生器1台</w:t>
      </w:r>
      <w:r>
        <w:rPr>
          <w:rFonts w:hint="eastAsia" w:ascii="宋体" w:hAnsi="宋体" w:cs="Times New Roman"/>
          <w:color w:val="auto"/>
          <w:highlight w:val="none"/>
          <w:lang w:eastAsia="zh-CN"/>
        </w:rPr>
        <w:t>、</w:t>
      </w:r>
      <w:r>
        <w:rPr>
          <w:rFonts w:hint="eastAsia" w:ascii="宋体" w:hAnsi="宋体" w:eastAsia="宋体" w:cs="Times New Roman"/>
          <w:color w:val="auto"/>
          <w:highlight w:val="none"/>
        </w:rPr>
        <w:t>脉动真空灭菌器1台</w:t>
      </w:r>
      <w:r>
        <w:rPr>
          <w:rFonts w:hint="eastAsia" w:ascii="宋体" w:hAnsi="宋体" w:cs="Times New Roman"/>
          <w:color w:val="auto"/>
          <w:highlight w:val="none"/>
          <w:lang w:eastAsia="zh-CN"/>
        </w:rPr>
        <w:t>、</w:t>
      </w:r>
      <w:r>
        <w:rPr>
          <w:rFonts w:hint="eastAsia" w:ascii="宋体" w:hAnsi="宋体" w:eastAsia="宋体" w:cs="Times New Roman"/>
          <w:color w:val="auto"/>
          <w:highlight w:val="none"/>
        </w:rPr>
        <w:t>数字多道心电图机1台</w:t>
      </w:r>
      <w:r>
        <w:rPr>
          <w:rFonts w:hint="eastAsia" w:ascii="宋体" w:hAnsi="宋体" w:cs="Times New Roman"/>
          <w:color w:val="auto"/>
          <w:highlight w:val="none"/>
          <w:lang w:eastAsia="zh-CN"/>
        </w:rPr>
        <w:t>、</w:t>
      </w:r>
      <w:r>
        <w:rPr>
          <w:rFonts w:hint="eastAsia" w:ascii="宋体" w:hAnsi="宋体" w:eastAsia="宋体" w:cs="Times New Roman"/>
          <w:color w:val="auto"/>
          <w:highlight w:val="none"/>
        </w:rPr>
        <w:t>医用封口机1台；②简要技术需求或者服务要求：按国家有关产品“三包”规定执行“三包”</w:t>
      </w:r>
      <w:r>
        <w:rPr>
          <w:rFonts w:hint="eastAsia" w:ascii="宋体" w:hAnsi="宋体" w:eastAsia="宋体" w:cs="Times New Roman"/>
          <w:color w:val="auto"/>
          <w:highlight w:val="none"/>
          <w:lang w:val="en-US" w:eastAsia="zh-CN"/>
        </w:rPr>
        <w:t>，</w:t>
      </w:r>
      <w:r>
        <w:rPr>
          <w:rFonts w:hint="eastAsia" w:ascii="宋体" w:hAnsi="宋体" w:cs="Times New Roman"/>
          <w:color w:val="auto"/>
          <w:highlight w:val="none"/>
          <w:lang w:val="en-US" w:eastAsia="zh-CN"/>
        </w:rPr>
        <w:t>质保期</w:t>
      </w:r>
      <w:r>
        <w:rPr>
          <w:rFonts w:hint="eastAsia" w:ascii="宋体" w:hAnsi="宋体" w:eastAsia="宋体" w:cs="Times New Roman"/>
          <w:color w:val="auto"/>
          <w:highlight w:val="none"/>
          <w:lang w:val="en-US" w:eastAsia="zh-CN"/>
        </w:rPr>
        <w:t>：</w:t>
      </w:r>
      <w:r>
        <w:rPr>
          <w:rFonts w:hint="eastAsia" w:ascii="宋体" w:hAnsi="宋体" w:cs="Times New Roman"/>
          <w:color w:val="auto"/>
          <w:highlight w:val="none"/>
          <w:lang w:val="en-US" w:eastAsia="zh-CN"/>
        </w:rPr>
        <w:t>第2项号标的“</w:t>
      </w:r>
      <w:r>
        <w:rPr>
          <w:rFonts w:hint="eastAsia" w:ascii="宋体" w:hAnsi="宋体" w:eastAsia="宋体" w:cs="Times New Roman"/>
          <w:color w:val="auto"/>
          <w:highlight w:val="none"/>
        </w:rPr>
        <w:t>脉动真空灭菌器</w:t>
      </w:r>
      <w:r>
        <w:rPr>
          <w:rFonts w:hint="eastAsia" w:ascii="宋体" w:hAnsi="宋体" w:cs="Times New Roman"/>
          <w:color w:val="auto"/>
          <w:highlight w:val="none"/>
          <w:lang w:eastAsia="zh-CN"/>
        </w:rPr>
        <w:t>”</w:t>
      </w:r>
      <w:r>
        <w:rPr>
          <w:rFonts w:hint="eastAsia" w:ascii="宋体" w:hAnsi="宋体" w:cs="Times New Roman"/>
          <w:b w:val="0"/>
          <w:bCs w:val="0"/>
          <w:color w:val="auto"/>
          <w:highlight w:val="none"/>
          <w:lang w:val="en-US" w:eastAsia="zh-CN"/>
        </w:rPr>
        <w:t>质保期</w:t>
      </w:r>
      <w:r>
        <w:rPr>
          <w:rFonts w:hint="eastAsia" w:ascii="宋体" w:hAnsi="宋体" w:eastAsia="宋体" w:cs="Times New Roman"/>
          <w:b w:val="0"/>
          <w:bCs w:val="0"/>
          <w:color w:val="auto"/>
          <w:highlight w:val="none"/>
          <w:lang w:val="en-US" w:eastAsia="zh-CN"/>
        </w:rPr>
        <w:t>不少于</w:t>
      </w:r>
      <w:r>
        <w:rPr>
          <w:rFonts w:hint="eastAsia" w:ascii="宋体" w:hAnsi="宋体" w:cs="Times New Roman"/>
          <w:b w:val="0"/>
          <w:bCs w:val="0"/>
          <w:color w:val="auto"/>
          <w:highlight w:val="none"/>
          <w:lang w:val="en-US" w:eastAsia="zh-CN"/>
        </w:rPr>
        <w:t>2</w:t>
      </w:r>
      <w:r>
        <w:rPr>
          <w:rFonts w:hint="eastAsia" w:ascii="宋体" w:hAnsi="宋体" w:eastAsia="宋体" w:cs="Times New Roman"/>
          <w:b w:val="0"/>
          <w:bCs w:val="0"/>
          <w:color w:val="auto"/>
          <w:highlight w:val="none"/>
          <w:lang w:val="en-US" w:eastAsia="zh-CN"/>
        </w:rPr>
        <w:t>年</w:t>
      </w:r>
      <w:r>
        <w:rPr>
          <w:rFonts w:hint="eastAsia" w:ascii="宋体" w:hAnsi="宋体" w:cs="Times New Roman"/>
          <w:b w:val="0"/>
          <w:bCs w:val="0"/>
          <w:color w:val="auto"/>
          <w:highlight w:val="none"/>
          <w:lang w:val="en-US" w:eastAsia="zh-CN"/>
        </w:rPr>
        <w:t>，其余标的质保期不少于2年</w:t>
      </w:r>
      <w:r>
        <w:rPr>
          <w:rFonts w:hint="eastAsia" w:ascii="宋体" w:hAnsi="宋体" w:eastAsia="宋体" w:cs="Times New Roman"/>
          <w:b w:val="0"/>
          <w:bCs w:val="0"/>
          <w:color w:val="auto"/>
          <w:highlight w:val="none"/>
          <w:lang w:val="en-US" w:eastAsia="zh-CN"/>
        </w:rPr>
        <w:t>（从验收合格之日起计算）</w:t>
      </w:r>
      <w:r>
        <w:rPr>
          <w:rFonts w:hint="eastAsia" w:ascii="宋体" w:hAnsi="宋体" w:cs="Times New Roman"/>
          <w:color w:val="auto"/>
          <w:highlight w:val="none"/>
          <w:lang w:eastAsia="zh-CN"/>
        </w:rPr>
        <w:t>，</w:t>
      </w:r>
      <w:r>
        <w:rPr>
          <w:rFonts w:hint="eastAsia" w:ascii="宋体" w:hAnsi="宋体" w:eastAsia="宋体" w:cs="Times New Roman"/>
          <w:color w:val="auto"/>
          <w:highlight w:val="none"/>
        </w:rPr>
        <w:t>具体详见采购</w:t>
      </w:r>
      <w:r>
        <w:rPr>
          <w:rFonts w:hint="eastAsia" w:ascii="宋体" w:hAnsi="宋体"/>
          <w:color w:val="auto"/>
          <w:highlight w:val="none"/>
        </w:rPr>
        <w:t>需求。</w:t>
      </w:r>
    </w:p>
    <w:p w14:paraId="3BEFF05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olor w:val="auto"/>
          <w:highlight w:val="none"/>
          <w:lang w:eastAsia="zh-CN"/>
        </w:rPr>
      </w:pPr>
      <w:r>
        <w:rPr>
          <w:rFonts w:hint="eastAsia" w:ascii="宋体" w:hAnsi="宋体"/>
          <w:color w:val="auto"/>
          <w:highlight w:val="none"/>
        </w:rPr>
        <w:t>（6）合同履行期限：第</w:t>
      </w:r>
      <w:r>
        <w:rPr>
          <w:rFonts w:hint="eastAsia" w:ascii="宋体" w:hAnsi="宋体"/>
          <w:color w:val="auto"/>
          <w:highlight w:val="none"/>
          <w:lang w:val="en-US" w:eastAsia="zh-CN"/>
        </w:rPr>
        <w:t>2</w:t>
      </w:r>
      <w:r>
        <w:rPr>
          <w:rFonts w:hint="eastAsia" w:ascii="宋体" w:hAnsi="宋体"/>
          <w:color w:val="auto"/>
          <w:highlight w:val="none"/>
        </w:rPr>
        <w:t>项号标的“脉动真空灭菌器”自签订合同之日起1个月内到货并全部安装调试合格完毕，其余标的自签订合同之日起10个工作日内到货并全部安装调试合格完毕。</w:t>
      </w:r>
    </w:p>
    <w:p w14:paraId="435D032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highlight w:val="none"/>
        </w:rPr>
      </w:pPr>
      <w:r>
        <w:rPr>
          <w:rFonts w:hint="eastAsia" w:ascii="宋体" w:hAnsi="宋体"/>
          <w:color w:val="auto"/>
          <w:highlight w:val="none"/>
        </w:rPr>
        <w:t>（7）本</w:t>
      </w:r>
      <w:r>
        <w:rPr>
          <w:rFonts w:hint="eastAsia" w:ascii="宋体" w:hAnsi="宋体"/>
          <w:color w:val="auto"/>
          <w:highlight w:val="none"/>
          <w:lang w:val="en-US" w:eastAsia="zh-CN"/>
        </w:rPr>
        <w:t>分标</w:t>
      </w:r>
      <w:r>
        <w:rPr>
          <w:rFonts w:hint="eastAsia" w:ascii="宋体" w:hAnsi="宋体"/>
          <w:color w:val="auto"/>
          <w:highlight w:val="none"/>
        </w:rPr>
        <w:t>不接受联合体投标。</w:t>
      </w:r>
    </w:p>
    <w:p w14:paraId="6B87A84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分标3</w:t>
      </w:r>
    </w:p>
    <w:p w14:paraId="58ACEC9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olor w:val="auto"/>
          <w:highlight w:val="none"/>
          <w:lang w:val="en-US" w:eastAsia="zh-CN"/>
        </w:rPr>
      </w:pPr>
      <w:r>
        <w:rPr>
          <w:rFonts w:hint="eastAsia" w:ascii="宋体" w:hAnsi="宋体"/>
          <w:color w:val="auto"/>
          <w:highlight w:val="none"/>
        </w:rPr>
        <w:t>（1）标项名称：老年病肺病科，脾胃病科</w:t>
      </w:r>
      <w:r>
        <w:rPr>
          <w:rFonts w:hint="eastAsia" w:ascii="宋体" w:hAnsi="宋体"/>
          <w:color w:val="auto"/>
          <w:highlight w:val="none"/>
          <w:lang w:val="en-US" w:eastAsia="zh-CN"/>
        </w:rPr>
        <w:t>设备</w:t>
      </w:r>
    </w:p>
    <w:p w14:paraId="27AD7483">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highlight w:val="none"/>
        </w:rPr>
      </w:pPr>
      <w:r>
        <w:rPr>
          <w:rFonts w:hint="eastAsia" w:ascii="宋体" w:hAnsi="宋体"/>
          <w:color w:val="auto"/>
          <w:highlight w:val="none"/>
        </w:rPr>
        <w:t>（2）数量：1</w:t>
      </w:r>
      <w:r>
        <w:rPr>
          <w:rFonts w:hint="eastAsia" w:ascii="宋体" w:hAnsi="宋体"/>
          <w:color w:val="auto"/>
          <w:highlight w:val="none"/>
          <w:lang w:val="en-US" w:eastAsia="zh-CN"/>
        </w:rPr>
        <w:t>批</w:t>
      </w:r>
      <w:r>
        <w:rPr>
          <w:rFonts w:hint="eastAsia" w:ascii="宋体" w:hAnsi="宋体"/>
          <w:color w:val="auto"/>
          <w:highlight w:val="none"/>
        </w:rPr>
        <w:t>。</w:t>
      </w:r>
    </w:p>
    <w:p w14:paraId="7DA61224">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bCs/>
          <w:color w:val="auto"/>
          <w:szCs w:val="21"/>
          <w:highlight w:val="none"/>
          <w:lang w:val="en-US" w:eastAsia="zh-CN"/>
        </w:rPr>
      </w:pPr>
      <w:r>
        <w:rPr>
          <w:rFonts w:hint="eastAsia" w:ascii="宋体" w:hAnsi="宋体"/>
          <w:color w:val="auto"/>
          <w:highlight w:val="none"/>
        </w:rPr>
        <w:t>（3）预算金额</w:t>
      </w:r>
      <w:r>
        <w:rPr>
          <w:rFonts w:hint="eastAsia" w:ascii="宋体" w:hAnsi="宋体"/>
          <w:bCs/>
          <w:color w:val="auto"/>
          <w:szCs w:val="21"/>
          <w:highlight w:val="none"/>
        </w:rPr>
        <w:t>（元）</w:t>
      </w:r>
      <w:r>
        <w:rPr>
          <w:rFonts w:hint="eastAsia" w:ascii="宋体" w:hAnsi="宋体"/>
          <w:color w:val="auto"/>
          <w:highlight w:val="none"/>
        </w:rPr>
        <w:t>：490000</w:t>
      </w:r>
      <w:r>
        <w:rPr>
          <w:rFonts w:hint="eastAsia" w:ascii="宋体" w:hAnsi="宋体"/>
          <w:color w:val="auto"/>
          <w:highlight w:val="none"/>
          <w:lang w:val="en-US" w:eastAsia="zh-CN"/>
        </w:rPr>
        <w:t>.00</w:t>
      </w:r>
    </w:p>
    <w:p w14:paraId="436147F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bCs/>
          <w:color w:val="auto"/>
          <w:szCs w:val="21"/>
          <w:highlight w:val="none"/>
          <w:lang w:val="en-US" w:eastAsia="zh-CN"/>
        </w:rPr>
      </w:pPr>
      <w:r>
        <w:rPr>
          <w:rFonts w:hint="eastAsia" w:ascii="宋体" w:hAnsi="宋体"/>
          <w:color w:val="auto"/>
          <w:highlight w:val="none"/>
        </w:rPr>
        <w:t>（4）最高限价（元）：</w:t>
      </w:r>
      <w:r>
        <w:rPr>
          <w:rFonts w:hint="eastAsia" w:ascii="宋体" w:hAnsi="宋体"/>
          <w:bCs/>
          <w:color w:val="auto"/>
          <w:szCs w:val="21"/>
          <w:highlight w:val="none"/>
        </w:rPr>
        <w:t>488000</w:t>
      </w:r>
      <w:r>
        <w:rPr>
          <w:rFonts w:hint="eastAsia" w:ascii="宋体" w:hAnsi="宋体"/>
          <w:bCs/>
          <w:color w:val="auto"/>
          <w:szCs w:val="21"/>
          <w:highlight w:val="none"/>
          <w:lang w:val="en-US" w:eastAsia="zh-CN"/>
        </w:rPr>
        <w:t>.00</w:t>
      </w:r>
    </w:p>
    <w:p w14:paraId="45FD661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highlight w:val="none"/>
        </w:rPr>
      </w:pPr>
      <w:r>
        <w:rPr>
          <w:rFonts w:hint="eastAsia" w:ascii="宋体" w:hAnsi="宋体"/>
          <w:color w:val="auto"/>
          <w:highlight w:val="none"/>
        </w:rPr>
        <w:t>（5）</w:t>
      </w:r>
      <w:r>
        <w:rPr>
          <w:rFonts w:ascii="宋体" w:hAnsi="宋体" w:eastAsia="宋体" w:cs="Times New Roman"/>
          <w:color w:val="auto"/>
          <w:highlight w:val="none"/>
        </w:rPr>
        <w:t>简要规格描述或项目基本概况介绍、用途</w:t>
      </w:r>
      <w:r>
        <w:rPr>
          <w:rFonts w:hint="eastAsia" w:ascii="宋体" w:hAnsi="宋体" w:eastAsia="宋体" w:cs="Times New Roman"/>
          <w:color w:val="auto"/>
          <w:highlight w:val="none"/>
        </w:rPr>
        <w:t>：①标的的名称、数量及单位：内镜清洗工作站1套</w:t>
      </w:r>
      <w:r>
        <w:rPr>
          <w:rFonts w:hint="eastAsia" w:ascii="宋体" w:hAnsi="宋体" w:cs="Times New Roman"/>
          <w:color w:val="auto"/>
          <w:highlight w:val="none"/>
          <w:lang w:eastAsia="zh-CN"/>
        </w:rPr>
        <w:t>、</w:t>
      </w:r>
      <w:r>
        <w:rPr>
          <w:rFonts w:hint="eastAsia" w:ascii="宋体" w:hAnsi="宋体" w:eastAsia="宋体" w:cs="Times New Roman"/>
          <w:color w:val="auto"/>
          <w:highlight w:val="none"/>
        </w:rPr>
        <w:t>智能肌少症与跌倒风险测评系统1套；②简要技术需求或者服务要求：按国家有关产品“三包”规定执行</w:t>
      </w:r>
      <w:r>
        <w:rPr>
          <w:rFonts w:hint="eastAsia" w:ascii="宋体" w:hAnsi="宋体" w:eastAsia="宋体" w:cs="Times New Roman"/>
          <w:color w:val="auto"/>
          <w:highlight w:val="none"/>
        </w:rPr>
        <w:t>“三包”，</w:t>
      </w:r>
      <w:r>
        <w:rPr>
          <w:rFonts w:hint="eastAsia" w:ascii="宋体" w:hAnsi="宋体" w:cs="Times New Roman"/>
          <w:color w:val="auto"/>
          <w:highlight w:val="none"/>
          <w:lang w:val="en-US" w:eastAsia="zh-CN"/>
        </w:rPr>
        <w:t>质保期</w:t>
      </w:r>
      <w:r>
        <w:rPr>
          <w:rFonts w:hint="eastAsia" w:ascii="宋体" w:hAnsi="宋体" w:eastAsia="宋体" w:cs="Times New Roman"/>
          <w:color w:val="auto"/>
          <w:highlight w:val="none"/>
          <w:lang w:val="en-US" w:eastAsia="zh-CN"/>
        </w:rPr>
        <w:t>：</w:t>
      </w:r>
      <w:r>
        <w:rPr>
          <w:rFonts w:hint="eastAsia" w:ascii="宋体" w:hAnsi="宋体" w:cs="Times New Roman"/>
          <w:color w:val="auto"/>
          <w:highlight w:val="none"/>
          <w:lang w:val="en-US" w:eastAsia="zh-CN"/>
        </w:rPr>
        <w:t>整机</w:t>
      </w:r>
      <w:r>
        <w:rPr>
          <w:rFonts w:hint="eastAsia" w:ascii="宋体" w:hAnsi="宋体" w:cs="Times New Roman"/>
          <w:b w:val="0"/>
          <w:bCs w:val="0"/>
          <w:color w:val="auto"/>
          <w:highlight w:val="none"/>
          <w:lang w:val="en-US" w:eastAsia="zh-CN"/>
        </w:rPr>
        <w:t>质保期</w:t>
      </w:r>
      <w:r>
        <w:rPr>
          <w:rFonts w:hint="eastAsia" w:ascii="宋体" w:hAnsi="宋体" w:eastAsia="宋体" w:cs="Times New Roman"/>
          <w:b w:val="0"/>
          <w:bCs w:val="0"/>
          <w:color w:val="auto"/>
          <w:highlight w:val="none"/>
          <w:lang w:val="en-US" w:eastAsia="zh-CN"/>
        </w:rPr>
        <w:t>不少于</w:t>
      </w:r>
      <w:r>
        <w:rPr>
          <w:rFonts w:hint="eastAsia" w:ascii="宋体" w:hAnsi="宋体" w:cs="Times New Roman"/>
          <w:b w:val="0"/>
          <w:bCs w:val="0"/>
          <w:color w:val="auto"/>
          <w:highlight w:val="none"/>
          <w:lang w:val="en-US" w:eastAsia="zh-CN"/>
        </w:rPr>
        <w:t>3</w:t>
      </w:r>
      <w:r>
        <w:rPr>
          <w:rFonts w:hint="eastAsia" w:ascii="宋体" w:hAnsi="宋体" w:eastAsia="宋体" w:cs="Times New Roman"/>
          <w:b w:val="0"/>
          <w:bCs w:val="0"/>
          <w:color w:val="auto"/>
          <w:highlight w:val="none"/>
          <w:lang w:val="en-US" w:eastAsia="zh-CN"/>
        </w:rPr>
        <w:t>年（从验收合格之日起计算）</w:t>
      </w:r>
      <w:r>
        <w:rPr>
          <w:rFonts w:hint="eastAsia" w:ascii="宋体" w:hAnsi="宋体" w:cs="Times New Roman"/>
          <w:color w:val="auto"/>
          <w:highlight w:val="none"/>
          <w:lang w:eastAsia="zh-CN"/>
        </w:rPr>
        <w:t>，第</w:t>
      </w:r>
      <w:r>
        <w:rPr>
          <w:rFonts w:hint="eastAsia" w:ascii="宋体" w:hAnsi="宋体" w:cs="Times New Roman"/>
          <w:color w:val="auto"/>
          <w:highlight w:val="none"/>
          <w:lang w:val="en-US" w:eastAsia="zh-CN"/>
        </w:rPr>
        <w:t>2项号标的“</w:t>
      </w:r>
      <w:r>
        <w:rPr>
          <w:rFonts w:hint="eastAsia" w:ascii="宋体" w:hAnsi="宋体" w:cs="Times New Roman"/>
          <w:color w:val="auto"/>
          <w:highlight w:val="none"/>
          <w:lang w:eastAsia="zh-CN"/>
        </w:rPr>
        <w:t>智能肌少症与跌倒风险测评系统软件”</w:t>
      </w:r>
      <w:r>
        <w:rPr>
          <w:rFonts w:hint="eastAsia" w:ascii="宋体" w:hAnsi="宋体" w:cs="Times New Roman"/>
          <w:color w:val="auto"/>
          <w:highlight w:val="none"/>
          <w:lang w:val="en-US" w:eastAsia="zh-CN"/>
        </w:rPr>
        <w:t>5年内负责升级</w:t>
      </w:r>
      <w:r>
        <w:rPr>
          <w:rFonts w:hint="eastAsia" w:ascii="宋体" w:hAnsi="宋体" w:cs="Times New Roman"/>
          <w:b w:val="0"/>
          <w:bCs w:val="0"/>
          <w:color w:val="auto"/>
          <w:highlight w:val="none"/>
          <w:lang w:val="en-US" w:eastAsia="zh-CN"/>
        </w:rPr>
        <w:t>（</w:t>
      </w:r>
      <w:r>
        <w:rPr>
          <w:rFonts w:hint="eastAsia" w:ascii="宋体" w:hAnsi="宋体" w:cs="宋体"/>
          <w:b w:val="0"/>
          <w:bCs w:val="0"/>
          <w:color w:val="auto"/>
          <w:szCs w:val="21"/>
          <w:highlight w:val="none"/>
        </w:rPr>
        <w:t>包含在投标报价中，采购人不再就此另行支付</w:t>
      </w:r>
      <w:r>
        <w:rPr>
          <w:rFonts w:hint="eastAsia" w:ascii="宋体" w:hAnsi="宋体" w:cs="Times New Roman"/>
          <w:b w:val="0"/>
          <w:bCs w:val="0"/>
          <w:color w:val="auto"/>
          <w:highlight w:val="none"/>
          <w:lang w:val="en-US" w:eastAsia="zh-CN"/>
        </w:rPr>
        <w:t>）</w:t>
      </w:r>
      <w:r>
        <w:rPr>
          <w:rFonts w:hint="eastAsia" w:ascii="宋体" w:hAnsi="宋体" w:cs="Times New Roman"/>
          <w:color w:val="auto"/>
          <w:highlight w:val="none"/>
          <w:lang w:val="en-US" w:eastAsia="zh-CN"/>
        </w:rPr>
        <w:t>，</w:t>
      </w:r>
      <w:r>
        <w:rPr>
          <w:rFonts w:hint="eastAsia" w:ascii="宋体" w:hAnsi="宋体" w:eastAsia="宋体" w:cs="Times New Roman"/>
          <w:color w:val="auto"/>
          <w:highlight w:val="none"/>
        </w:rPr>
        <w:t>具体详见采购</w:t>
      </w:r>
      <w:r>
        <w:rPr>
          <w:rFonts w:hint="eastAsia" w:ascii="宋体" w:hAnsi="宋体"/>
          <w:color w:val="auto"/>
          <w:highlight w:val="none"/>
        </w:rPr>
        <w:t>需求。</w:t>
      </w:r>
    </w:p>
    <w:p w14:paraId="11A7994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olor w:val="auto"/>
          <w:highlight w:val="none"/>
          <w:lang w:eastAsia="zh-CN"/>
        </w:rPr>
      </w:pPr>
      <w:r>
        <w:rPr>
          <w:rFonts w:hint="eastAsia" w:ascii="宋体" w:hAnsi="宋体"/>
          <w:color w:val="auto"/>
          <w:highlight w:val="none"/>
        </w:rPr>
        <w:t>（6）合同履行期限：自签订合同之日起</w:t>
      </w:r>
      <w:r>
        <w:rPr>
          <w:rFonts w:hint="eastAsia" w:ascii="宋体" w:hAnsi="宋体"/>
          <w:color w:val="auto"/>
          <w:highlight w:val="none"/>
          <w:lang w:val="en-US" w:eastAsia="zh-CN"/>
        </w:rPr>
        <w:t>20个工作日</w:t>
      </w:r>
      <w:r>
        <w:rPr>
          <w:rFonts w:hint="eastAsia" w:ascii="宋体" w:hAnsi="宋体"/>
          <w:color w:val="auto"/>
          <w:highlight w:val="none"/>
        </w:rPr>
        <w:t>内到货并全部安装调试合格完毕</w:t>
      </w:r>
      <w:r>
        <w:rPr>
          <w:rFonts w:hint="eastAsia" w:ascii="宋体" w:hAnsi="宋体"/>
          <w:color w:val="auto"/>
          <w:highlight w:val="none"/>
          <w:lang w:eastAsia="zh-CN"/>
        </w:rPr>
        <w:t>。</w:t>
      </w:r>
    </w:p>
    <w:p w14:paraId="66C6A09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highlight w:val="none"/>
        </w:rPr>
      </w:pPr>
      <w:r>
        <w:rPr>
          <w:rFonts w:hint="eastAsia" w:ascii="宋体" w:hAnsi="宋体"/>
          <w:color w:val="auto"/>
          <w:highlight w:val="none"/>
        </w:rPr>
        <w:t>（7）本</w:t>
      </w:r>
      <w:r>
        <w:rPr>
          <w:rFonts w:hint="eastAsia" w:ascii="宋体" w:hAnsi="宋体"/>
          <w:color w:val="auto"/>
          <w:highlight w:val="none"/>
          <w:lang w:val="en-US" w:eastAsia="zh-CN"/>
        </w:rPr>
        <w:t>分标</w:t>
      </w:r>
      <w:r>
        <w:rPr>
          <w:rFonts w:hint="eastAsia" w:ascii="宋体" w:hAnsi="宋体"/>
          <w:color w:val="auto"/>
          <w:highlight w:val="none"/>
        </w:rPr>
        <w:t>不接受联合体投标。</w:t>
      </w:r>
    </w:p>
    <w:p w14:paraId="2D8ED4E9">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宋体" w:hAnsi="宋体"/>
          <w:b/>
          <w:color w:val="auto"/>
          <w:szCs w:val="21"/>
          <w:highlight w:val="none"/>
        </w:rPr>
      </w:pPr>
      <w:r>
        <w:rPr>
          <w:rFonts w:hint="eastAsia" w:ascii="宋体" w:hAnsi="宋体"/>
          <w:b/>
          <w:color w:val="auto"/>
          <w:highlight w:val="none"/>
        </w:rPr>
        <w:t>二</w:t>
      </w:r>
      <w:r>
        <w:rPr>
          <w:rFonts w:hint="eastAsia" w:ascii="宋体" w:hAnsi="宋体"/>
          <w:b/>
          <w:color w:val="auto"/>
          <w:szCs w:val="21"/>
          <w:highlight w:val="none"/>
        </w:rPr>
        <w:t>、申请人的资格要求：</w:t>
      </w:r>
    </w:p>
    <w:p w14:paraId="3F592A0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highlight w:val="none"/>
        </w:rPr>
      </w:pPr>
      <w:r>
        <w:rPr>
          <w:rFonts w:hint="eastAsia" w:ascii="宋体" w:hAnsi="宋体"/>
          <w:color w:val="auto"/>
          <w:highlight w:val="none"/>
        </w:rPr>
        <w:t>1.满足《中华人民共和国政府采购法》第二十二条规定；</w:t>
      </w:r>
    </w:p>
    <w:p w14:paraId="23ED6F6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highlight w:val="none"/>
        </w:rPr>
      </w:pPr>
      <w:r>
        <w:rPr>
          <w:rFonts w:hint="eastAsia" w:ascii="宋体" w:hAnsi="宋体"/>
          <w:color w:val="auto"/>
          <w:highlight w:val="none"/>
        </w:rPr>
        <w:t>2.落实政府采购政策需满足的资格要求：无；</w:t>
      </w:r>
    </w:p>
    <w:p w14:paraId="2148F2E8">
      <w:pPr>
        <w:keepNext w:val="0"/>
        <w:keepLines w:val="0"/>
        <w:pageBreakBefore w:val="0"/>
        <w:kinsoku/>
        <w:wordWrap/>
        <w:overflowPunct/>
        <w:topLinePunct w:val="0"/>
        <w:autoSpaceDE w:val="0"/>
        <w:autoSpaceDN w:val="0"/>
        <w:bidi w:val="0"/>
        <w:adjustRightInd/>
        <w:snapToGrid w:val="0"/>
        <w:spacing w:line="400" w:lineRule="exact"/>
        <w:ind w:firstLine="411" w:firstLineChars="196"/>
        <w:jc w:val="left"/>
        <w:textAlignment w:val="auto"/>
        <w:rPr>
          <w:rFonts w:hint="eastAsia" w:ascii="宋体" w:hAnsi="宋体"/>
          <w:color w:val="auto"/>
          <w:highlight w:val="none"/>
        </w:rPr>
      </w:pPr>
      <w:r>
        <w:rPr>
          <w:rFonts w:hint="eastAsia" w:ascii="宋体" w:hAnsi="宋体"/>
          <w:color w:val="auto"/>
          <w:highlight w:val="none"/>
        </w:rPr>
        <w:t>3.本项目的特定资格要求：</w:t>
      </w:r>
    </w:p>
    <w:p w14:paraId="6027630D">
      <w:pPr>
        <w:keepNext w:val="0"/>
        <w:keepLines w:val="0"/>
        <w:pageBreakBefore w:val="0"/>
        <w:kinsoku/>
        <w:wordWrap/>
        <w:overflowPunct/>
        <w:topLinePunct w:val="0"/>
        <w:autoSpaceDE w:val="0"/>
        <w:autoSpaceDN w:val="0"/>
        <w:bidi w:val="0"/>
        <w:adjustRightInd/>
        <w:snapToGrid w:val="0"/>
        <w:spacing w:line="400" w:lineRule="exact"/>
        <w:ind w:firstLine="413" w:firstLineChars="196"/>
        <w:jc w:val="left"/>
        <w:textAlignment w:val="auto"/>
        <w:rPr>
          <w:rFonts w:hint="eastAsia" w:hAnsi="宋体"/>
          <w:b/>
          <w:color w:val="auto"/>
          <w:highlight w:val="none"/>
        </w:rPr>
      </w:pPr>
      <w:r>
        <w:rPr>
          <w:rFonts w:hint="eastAsia" w:hAnsi="宋体"/>
          <w:b/>
          <w:color w:val="auto"/>
          <w:highlight w:val="none"/>
          <w:lang w:eastAsia="zh-CN"/>
        </w:rPr>
        <w:t>①</w:t>
      </w:r>
      <w:r>
        <w:rPr>
          <w:rFonts w:hint="eastAsia" w:hAnsi="宋体"/>
          <w:b/>
          <w:color w:val="auto"/>
          <w:highlight w:val="none"/>
        </w:rPr>
        <w:t>项目有第二类医疗器械的，应提供承诺函（格式自拟），承诺供货时按《医疗器械监督管理条例》（国务院令第739号）医疗器械分类管理要求提供有效的医疗器械经营备案凭证，且经营范围必须包含采购标的[符合《医疗器械监督管理条例》第四十一条第二款规定的除外]；</w:t>
      </w:r>
    </w:p>
    <w:p w14:paraId="3DA4D866">
      <w:pPr>
        <w:keepNext w:val="0"/>
        <w:keepLines w:val="0"/>
        <w:pageBreakBefore w:val="0"/>
        <w:kinsoku/>
        <w:wordWrap/>
        <w:overflowPunct/>
        <w:topLinePunct w:val="0"/>
        <w:autoSpaceDE w:val="0"/>
        <w:autoSpaceDN w:val="0"/>
        <w:bidi w:val="0"/>
        <w:adjustRightInd/>
        <w:snapToGrid w:val="0"/>
        <w:spacing w:line="400" w:lineRule="exact"/>
        <w:ind w:firstLine="413" w:firstLineChars="196"/>
        <w:jc w:val="left"/>
        <w:textAlignment w:val="auto"/>
        <w:rPr>
          <w:rFonts w:hint="eastAsia" w:hAnsi="宋体"/>
          <w:b/>
          <w:color w:val="auto"/>
          <w:highlight w:val="none"/>
        </w:rPr>
      </w:pPr>
      <w:r>
        <w:rPr>
          <w:rFonts w:hint="eastAsia" w:hAnsi="宋体"/>
          <w:b/>
          <w:color w:val="auto"/>
          <w:highlight w:val="none"/>
          <w:lang w:eastAsia="zh-CN"/>
        </w:rPr>
        <w:t>②</w:t>
      </w:r>
      <w:r>
        <w:rPr>
          <w:rFonts w:hint="eastAsia" w:hAnsi="宋体"/>
          <w:b/>
          <w:color w:val="auto"/>
          <w:highlight w:val="none"/>
        </w:rPr>
        <w:t>项目有第三类医疗器械的，应提供有效的医疗器械经营许可证（经营范围包含采购的第三类医疗器械）；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所投标对应产品的名称和规格型号，格式自拟）。</w:t>
      </w:r>
    </w:p>
    <w:p w14:paraId="7F5F3E9B">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宋体" w:hAnsi="宋体"/>
          <w:color w:val="auto"/>
          <w:highlight w:val="none"/>
        </w:rPr>
      </w:pPr>
      <w:r>
        <w:rPr>
          <w:rFonts w:hint="eastAsia" w:hAnsi="宋体"/>
          <w:b/>
          <w:color w:val="auto"/>
          <w:highlight w:val="none"/>
          <w:lang w:eastAsia="zh-CN"/>
        </w:rPr>
        <w:t>③</w:t>
      </w:r>
      <w:r>
        <w:rPr>
          <w:rFonts w:hint="eastAsia" w:hAnsi="宋体"/>
          <w:b/>
          <w:color w:val="auto"/>
          <w:highlight w:val="none"/>
        </w:rPr>
        <w:t>项目有第二类和第三类医疗器械的，应按上述</w:t>
      </w:r>
      <w:r>
        <w:rPr>
          <w:rFonts w:hint="eastAsia" w:hAnsi="宋体"/>
          <w:b/>
          <w:color w:val="auto"/>
          <w:highlight w:val="none"/>
          <w:lang w:eastAsia="zh-CN"/>
        </w:rPr>
        <w:t>①②</w:t>
      </w:r>
      <w:r>
        <w:rPr>
          <w:rFonts w:hint="eastAsia" w:hAnsi="宋体"/>
          <w:b/>
          <w:color w:val="auto"/>
          <w:highlight w:val="none"/>
        </w:rPr>
        <w:t>要求提供</w:t>
      </w:r>
      <w:r>
        <w:rPr>
          <w:rFonts w:hint="eastAsia" w:hAnsi="宋体"/>
          <w:b/>
          <w:color w:val="auto"/>
          <w:highlight w:val="none"/>
          <w:lang w:eastAsia="zh-CN"/>
        </w:rPr>
        <w:t>。</w:t>
      </w:r>
    </w:p>
    <w:p w14:paraId="286880C9">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三、获取招标文件</w:t>
      </w:r>
    </w:p>
    <w:p w14:paraId="0B6FE34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ascii="宋体" w:hAnsi="宋体"/>
          <w:color w:val="auto"/>
          <w:szCs w:val="21"/>
          <w:highlight w:val="none"/>
        </w:rPr>
        <w:t>时间：</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16</w:t>
      </w:r>
      <w:r>
        <w:rPr>
          <w:rFonts w:hint="eastAsia" w:ascii="宋体" w:hAnsi="宋体"/>
          <w:color w:val="auto"/>
          <w:szCs w:val="21"/>
          <w:highlight w:val="none"/>
          <w:lang w:eastAsia="zh-CN"/>
        </w:rPr>
        <w:t>日</w:t>
      </w:r>
      <w:r>
        <w:rPr>
          <w:rFonts w:ascii="宋体" w:hAnsi="宋体"/>
          <w:color w:val="auto"/>
          <w:szCs w:val="21"/>
          <w:highlight w:val="none"/>
        </w:rPr>
        <w:t>至</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10</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日</w:t>
      </w:r>
      <w:r>
        <w:rPr>
          <w:rFonts w:ascii="宋体" w:hAnsi="宋体"/>
          <w:color w:val="auto"/>
          <w:szCs w:val="21"/>
          <w:highlight w:val="none"/>
        </w:rPr>
        <w:t>，每天上午00:00至12:00，下午12:0</w:t>
      </w:r>
      <w:r>
        <w:rPr>
          <w:rFonts w:hint="eastAsia" w:ascii="宋体" w:hAnsi="宋体"/>
          <w:color w:val="auto"/>
          <w:szCs w:val="21"/>
          <w:highlight w:val="none"/>
          <w:lang w:val="en-US" w:eastAsia="zh-CN"/>
        </w:rPr>
        <w:t>0</w:t>
      </w:r>
      <w:r>
        <w:rPr>
          <w:rFonts w:ascii="宋体" w:hAnsi="宋体"/>
          <w:color w:val="auto"/>
          <w:szCs w:val="21"/>
          <w:highlight w:val="none"/>
        </w:rPr>
        <w:t>至23:59（北京时间，法定节假日除外）</w:t>
      </w:r>
    </w:p>
    <w:p w14:paraId="5AFCC79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ascii="宋体" w:hAnsi="宋体"/>
          <w:color w:val="auto"/>
          <w:szCs w:val="21"/>
          <w:highlight w:val="none"/>
        </w:rPr>
        <w:t>地点（网址）：</w:t>
      </w:r>
      <w:r>
        <w:rPr>
          <w:rFonts w:hint="eastAsia" w:ascii="宋体" w:hAnsi="宋体" w:cs="宋体"/>
          <w:color w:val="auto"/>
          <w:highlight w:val="none"/>
        </w:rPr>
        <w:t>广西政府采购云平台</w:t>
      </w:r>
      <w:r>
        <w:rPr>
          <w:rFonts w:hint="eastAsia" w:ascii="宋体" w:hAnsi="宋体"/>
          <w:color w:val="auto"/>
          <w:highlight w:val="none"/>
        </w:rPr>
        <w:t>（www.gcy.zfcg.gxzf.gov.cn）</w:t>
      </w:r>
      <w:r>
        <w:rPr>
          <w:rFonts w:ascii="宋体" w:hAnsi="宋体"/>
          <w:color w:val="auto"/>
          <w:szCs w:val="21"/>
          <w:highlight w:val="none"/>
        </w:rPr>
        <w:t>。</w:t>
      </w:r>
    </w:p>
    <w:p w14:paraId="1256F9F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ascii="宋体" w:hAnsi="宋体"/>
          <w:color w:val="auto"/>
          <w:szCs w:val="21"/>
          <w:highlight w:val="none"/>
        </w:rPr>
        <w:t>方式：</w:t>
      </w:r>
      <w:r>
        <w:rPr>
          <w:color w:val="auto"/>
          <w:highlight w:val="none"/>
        </w:rPr>
        <w:t>投标人应在</w:t>
      </w:r>
      <w:r>
        <w:rPr>
          <w:rFonts w:hint="eastAsia" w:ascii="宋体" w:hAnsi="宋体" w:cs="宋体"/>
          <w:color w:val="auto"/>
          <w:highlight w:val="none"/>
        </w:rPr>
        <w:t>广西政府采购云平台</w:t>
      </w:r>
      <w:r>
        <w:rPr>
          <w:rFonts w:hint="eastAsia" w:ascii="宋体" w:hAnsi="宋体"/>
          <w:color w:val="auto"/>
          <w:highlight w:val="none"/>
        </w:rPr>
        <w:t>（www.gcy.zfcg.gxzf.gov.cn）</w:t>
      </w:r>
      <w:r>
        <w:rPr>
          <w:color w:val="auto"/>
          <w:highlight w:val="none"/>
        </w:rPr>
        <w:t>下载招标文件电子版</w:t>
      </w:r>
      <w:r>
        <w:rPr>
          <w:rFonts w:hint="eastAsia" w:ascii="宋体" w:hAnsi="宋体"/>
          <w:color w:val="auto"/>
          <w:szCs w:val="21"/>
          <w:highlight w:val="none"/>
        </w:rPr>
        <w:t xml:space="preserve">。 </w:t>
      </w:r>
    </w:p>
    <w:p w14:paraId="411A88BF">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ascii="宋体" w:hAnsi="宋体"/>
          <w:color w:val="auto"/>
          <w:szCs w:val="21"/>
          <w:highlight w:val="none"/>
        </w:rPr>
        <w:t>售价（元）：0</w:t>
      </w:r>
    </w:p>
    <w:p w14:paraId="19BA1D80">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四、</w:t>
      </w:r>
      <w:r>
        <w:rPr>
          <w:rFonts w:hint="eastAsia" w:ascii="宋体" w:hAnsi="宋体" w:cs="宋体"/>
          <w:b/>
          <w:color w:val="auto"/>
          <w:szCs w:val="21"/>
          <w:highlight w:val="none"/>
        </w:rPr>
        <w:t>提交投标文件截止时间、开标时间和地点</w:t>
      </w:r>
      <w:r>
        <w:rPr>
          <w:rFonts w:hint="eastAsia" w:ascii="宋体" w:hAnsi="宋体"/>
          <w:b/>
          <w:color w:val="auto"/>
          <w:szCs w:val="21"/>
          <w:highlight w:val="none"/>
        </w:rPr>
        <w:t>：</w:t>
      </w:r>
    </w:p>
    <w:p w14:paraId="4130D6D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hint="eastAsia" w:ascii="宋体" w:hAnsi="宋体"/>
          <w:bCs/>
          <w:color w:val="auto"/>
          <w:highlight w:val="none"/>
        </w:rPr>
        <w:t>提交投标文件截止时间：</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10</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日</w:t>
      </w:r>
      <w:r>
        <w:rPr>
          <w:rFonts w:hint="eastAsia" w:ascii="宋体" w:hAnsi="宋体"/>
          <w:bCs/>
          <w:color w:val="auto"/>
          <w:highlight w:val="none"/>
        </w:rPr>
        <w:t>上午9:30（北京时间）</w:t>
      </w:r>
    </w:p>
    <w:p w14:paraId="3E0C564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hint="eastAsia" w:ascii="宋体" w:hAnsi="宋体"/>
          <w:bCs/>
          <w:color w:val="auto"/>
          <w:highlight w:val="none"/>
        </w:rPr>
        <w:t>投标地点：请登录广西政府采购云平台投标客户端投标。</w:t>
      </w:r>
    </w:p>
    <w:p w14:paraId="10F0913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hint="eastAsia" w:ascii="宋体" w:hAnsi="宋体"/>
          <w:bCs/>
          <w:color w:val="auto"/>
          <w:highlight w:val="none"/>
        </w:rPr>
        <w:t>开标时间：</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10</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日</w:t>
      </w:r>
      <w:r>
        <w:rPr>
          <w:rFonts w:hint="eastAsia" w:ascii="宋体" w:hAnsi="宋体"/>
          <w:bCs/>
          <w:color w:val="auto"/>
          <w:highlight w:val="none"/>
        </w:rPr>
        <w:t>上午9:30（北京时间）</w:t>
      </w:r>
    </w:p>
    <w:p w14:paraId="56F6ABB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hint="eastAsia" w:ascii="宋体" w:hAnsi="宋体"/>
          <w:bCs/>
          <w:color w:val="auto"/>
          <w:highlight w:val="none"/>
        </w:rPr>
        <w:t>开标地点：通过</w:t>
      </w:r>
      <w:r>
        <w:rPr>
          <w:rFonts w:hint="eastAsia" w:ascii="宋体" w:hAnsi="宋体" w:cs="宋体"/>
          <w:color w:val="auto"/>
          <w:highlight w:val="none"/>
        </w:rPr>
        <w:t>广西政府采购云</w:t>
      </w:r>
      <w:r>
        <w:rPr>
          <w:rFonts w:hint="eastAsia" w:ascii="宋体" w:hAnsi="宋体"/>
          <w:bCs/>
          <w:color w:val="auto"/>
          <w:highlight w:val="none"/>
        </w:rPr>
        <w:t>平台在线解密开启。</w:t>
      </w:r>
    </w:p>
    <w:p w14:paraId="754CB9C0">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五、公告期限</w:t>
      </w:r>
    </w:p>
    <w:p w14:paraId="579BA7E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ascii="宋体" w:hAnsi="宋体"/>
          <w:bCs/>
          <w:color w:val="auto"/>
          <w:highlight w:val="none"/>
        </w:rPr>
        <w:t>自本公告发布之日起5个工作日。</w:t>
      </w:r>
    </w:p>
    <w:p w14:paraId="43F18EA4">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宋体" w:hAnsi="宋体"/>
          <w:b/>
          <w:color w:val="auto"/>
          <w:szCs w:val="21"/>
          <w:highlight w:val="none"/>
        </w:rPr>
      </w:pPr>
      <w:bookmarkStart w:id="1" w:name="_Toc35393795"/>
      <w:bookmarkStart w:id="2" w:name="_Toc35393626"/>
      <w:bookmarkStart w:id="3" w:name="_Toc44405606"/>
      <w:r>
        <w:rPr>
          <w:rFonts w:hint="eastAsia" w:ascii="宋体" w:hAnsi="宋体"/>
          <w:b/>
          <w:color w:val="auto"/>
          <w:szCs w:val="21"/>
          <w:highlight w:val="none"/>
        </w:rPr>
        <w:t>六、其他补充事宜</w:t>
      </w:r>
      <w:bookmarkEnd w:id="1"/>
      <w:bookmarkEnd w:id="2"/>
      <w:bookmarkEnd w:id="3"/>
    </w:p>
    <w:p w14:paraId="56CBA51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hint="eastAsia" w:ascii="宋体" w:hAnsi="宋体"/>
          <w:bCs/>
          <w:color w:val="auto"/>
          <w:highlight w:val="none"/>
        </w:rPr>
        <w:t>1.</w:t>
      </w:r>
      <w:r>
        <w:rPr>
          <w:rFonts w:ascii="宋体" w:hAnsi="宋体"/>
          <w:bCs/>
          <w:color w:val="auto"/>
          <w:highlight w:val="none"/>
        </w:rPr>
        <w:t>信息公告发布媒体：中国政府采购网（www.ccgp.gov.cn）、广西壮族自治区政府采购网（</w:t>
      </w:r>
      <w:r>
        <w:rPr>
          <w:rFonts w:ascii="宋体" w:hAnsi="宋体"/>
          <w:color w:val="auto"/>
          <w:highlight w:val="none"/>
        </w:rPr>
        <w:t>zfcg.gxzf.gov.cn</w:t>
      </w:r>
      <w:r>
        <w:rPr>
          <w:rFonts w:hint="eastAsia" w:ascii="宋体" w:hAnsi="宋体"/>
          <w:color w:val="auto"/>
          <w:highlight w:val="none"/>
        </w:rPr>
        <w:t>）</w:t>
      </w:r>
      <w:r>
        <w:rPr>
          <w:rFonts w:ascii="宋体" w:hAnsi="宋体"/>
          <w:bCs/>
          <w:color w:val="auto"/>
          <w:highlight w:val="none"/>
        </w:rPr>
        <w:t>、桂林市政府采购网</w:t>
      </w:r>
      <w:r>
        <w:rPr>
          <w:rFonts w:hint="eastAsia" w:ascii="宋体" w:hAnsi="宋体"/>
          <w:bCs/>
          <w:color w:val="auto"/>
          <w:highlight w:val="none"/>
        </w:rPr>
        <w:t>（</w:t>
      </w:r>
      <w:r>
        <w:rPr>
          <w:rFonts w:ascii="宋体" w:hAnsi="宋体"/>
          <w:bCs/>
          <w:color w:val="auto"/>
          <w:highlight w:val="none"/>
        </w:rPr>
        <w:t>zfcg.czj.guilin.gov.cn</w:t>
      </w:r>
      <w:r>
        <w:rPr>
          <w:rFonts w:hint="eastAsia" w:ascii="宋体" w:hAnsi="宋体"/>
          <w:bCs/>
          <w:color w:val="auto"/>
          <w:highlight w:val="none"/>
        </w:rPr>
        <w:t>）。</w:t>
      </w:r>
    </w:p>
    <w:p w14:paraId="63FD435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hint="eastAsia" w:ascii="宋体" w:hAnsi="宋体"/>
          <w:bCs/>
          <w:color w:val="auto"/>
          <w:highlight w:val="none"/>
        </w:rPr>
        <w:t>2.</w:t>
      </w:r>
      <w:r>
        <w:rPr>
          <w:rFonts w:hint="eastAsia" w:ascii="宋体" w:hAnsi="宋体"/>
          <w:color w:val="auto"/>
          <w:szCs w:val="21"/>
          <w:highlight w:val="none"/>
        </w:rPr>
        <w:t>投标人认为招标文件使自己的合法权益受到损害的，应当在本项目公告期限届满之日起七个工作日内以书面形式向采购代理机构提出质疑；投标人认为招标过程或中标结果使自己的合法权益受到损害的，应当在各采购程序环节结束之日或中标公告期限届满之日起七个工作日内，以书面形式向采购代理机构提出质疑。否则，采购代理机构有权拒收。</w:t>
      </w:r>
    </w:p>
    <w:p w14:paraId="4967DAAA">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本项目需要落实的政府采购政策</w:t>
      </w:r>
    </w:p>
    <w:p w14:paraId="53681C3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ascii="宋体" w:hAnsi="宋体"/>
          <w:color w:val="auto"/>
          <w:szCs w:val="21"/>
          <w:highlight w:val="none"/>
        </w:rPr>
        <w:t>（1）政府采购促进中小企业发展。</w:t>
      </w:r>
    </w:p>
    <w:p w14:paraId="6370B8D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ascii="宋体" w:hAnsi="宋体"/>
          <w:color w:val="auto"/>
          <w:szCs w:val="21"/>
          <w:highlight w:val="none"/>
        </w:rPr>
        <w:t>（2）政府采购支持监狱企业发展。</w:t>
      </w:r>
    </w:p>
    <w:p w14:paraId="7ABCED8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ascii="宋体" w:hAnsi="宋体"/>
          <w:color w:val="auto"/>
          <w:szCs w:val="21"/>
          <w:highlight w:val="none"/>
        </w:rPr>
        <w:t>（3）政府采购促进残疾人就业政策。</w:t>
      </w:r>
    </w:p>
    <w:p w14:paraId="03E3601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ascii="宋体" w:hAnsi="宋体"/>
          <w:color w:val="auto"/>
          <w:szCs w:val="21"/>
          <w:highlight w:val="none"/>
        </w:rPr>
        <w:t>（4）优先采购节能产品、环境标志产品。</w:t>
      </w:r>
    </w:p>
    <w:p w14:paraId="63C44EB3">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ascii="宋体" w:hAnsi="宋体"/>
          <w:color w:val="auto"/>
          <w:szCs w:val="21"/>
          <w:highlight w:val="none"/>
        </w:rPr>
        <w:t>（5）政府采购支持采用本国产品的政策。</w:t>
      </w:r>
    </w:p>
    <w:p w14:paraId="4FFF248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4.本项目非专门面向中小企业采购。</w:t>
      </w:r>
    </w:p>
    <w:p w14:paraId="52874F7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资格条件特别说明：</w:t>
      </w:r>
    </w:p>
    <w:p w14:paraId="2AD812E3">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s="宋体"/>
          <w:color w:val="auto"/>
          <w:kern w:val="0"/>
          <w:szCs w:val="21"/>
          <w:highlight w:val="none"/>
        </w:rPr>
      </w:pPr>
      <w:r>
        <w:rPr>
          <w:rFonts w:ascii="宋体" w:hAnsi="宋体" w:cs="宋体"/>
          <w:color w:val="auto"/>
          <w:kern w:val="0"/>
          <w:szCs w:val="21"/>
          <w:highlight w:val="none"/>
        </w:rPr>
        <w:t>（</w:t>
      </w:r>
      <w:r>
        <w:rPr>
          <w:rFonts w:hint="eastAsia" w:ascii="宋体" w:hAnsi="宋体" w:cs="宋体"/>
          <w:color w:val="auto"/>
          <w:kern w:val="0"/>
          <w:szCs w:val="21"/>
          <w:highlight w:val="none"/>
        </w:rPr>
        <w:t>1</w:t>
      </w:r>
      <w:r>
        <w:rPr>
          <w:rFonts w:ascii="宋体" w:hAnsi="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w:t>
      </w:r>
      <w:r>
        <w:rPr>
          <w:rFonts w:hint="eastAsia" w:ascii="宋体" w:hAnsi="宋体" w:cs="宋体"/>
          <w:color w:val="auto"/>
          <w:kern w:val="0"/>
          <w:szCs w:val="21"/>
          <w:highlight w:val="none"/>
        </w:rPr>
        <w:t>该采购项目</w:t>
      </w:r>
      <w:r>
        <w:rPr>
          <w:rFonts w:ascii="宋体" w:hAnsi="宋体" w:cs="宋体"/>
          <w:color w:val="auto"/>
          <w:kern w:val="0"/>
          <w:szCs w:val="21"/>
          <w:highlight w:val="none"/>
        </w:rPr>
        <w:t>的其他采购活动</w:t>
      </w:r>
      <w:r>
        <w:rPr>
          <w:rFonts w:hint="eastAsia" w:ascii="宋体" w:hAnsi="宋体" w:cs="宋体"/>
          <w:color w:val="auto"/>
          <w:kern w:val="0"/>
          <w:szCs w:val="21"/>
          <w:highlight w:val="none"/>
        </w:rPr>
        <w:t>；</w:t>
      </w:r>
    </w:p>
    <w:p w14:paraId="059ED0E9">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cs="宋体"/>
          <w:color w:val="auto"/>
          <w:kern w:val="0"/>
          <w:szCs w:val="21"/>
          <w:highlight w:val="none"/>
        </w:rPr>
      </w:pPr>
      <w:r>
        <w:rPr>
          <w:rFonts w:ascii="宋体" w:hAnsi="宋体" w:cs="宋体"/>
          <w:color w:val="auto"/>
          <w:kern w:val="0"/>
          <w:szCs w:val="21"/>
          <w:highlight w:val="none"/>
        </w:rPr>
        <w:t>（</w:t>
      </w:r>
      <w:r>
        <w:rPr>
          <w:rFonts w:hint="eastAsia" w:ascii="宋体" w:hAnsi="宋体" w:cs="宋体"/>
          <w:color w:val="auto"/>
          <w:kern w:val="0"/>
          <w:szCs w:val="21"/>
          <w:highlight w:val="none"/>
        </w:rPr>
        <w:t>2</w:t>
      </w:r>
      <w:r>
        <w:rPr>
          <w:rFonts w:ascii="宋体" w:hAnsi="宋体" w:cs="宋体"/>
          <w:color w:val="auto"/>
          <w:kern w:val="0"/>
          <w:szCs w:val="21"/>
          <w:highlight w:val="none"/>
        </w:rPr>
        <w:t>）对在“信用中国”网站</w:t>
      </w:r>
      <w:r>
        <w:rPr>
          <w:rFonts w:hint="eastAsia" w:ascii="宋体" w:hAnsi="宋体" w:cs="宋体"/>
          <w:color w:val="auto"/>
          <w:kern w:val="0"/>
          <w:szCs w:val="21"/>
          <w:highlight w:val="none"/>
        </w:rPr>
        <w:t>（</w:t>
      </w:r>
      <w:r>
        <w:rPr>
          <w:rFonts w:ascii="宋体" w:hAnsi="宋体" w:cs="宋体"/>
          <w:color w:val="auto"/>
          <w:kern w:val="0"/>
          <w:szCs w:val="21"/>
          <w:highlight w:val="none"/>
        </w:rPr>
        <w:t>www.creditchina.gov.cn</w:t>
      </w:r>
      <w:r>
        <w:rPr>
          <w:rFonts w:hint="eastAsia" w:ascii="宋体" w:hAnsi="宋体" w:cs="宋体"/>
          <w:color w:val="auto"/>
          <w:kern w:val="0"/>
          <w:szCs w:val="21"/>
          <w:highlight w:val="none"/>
        </w:rPr>
        <w:t>）</w:t>
      </w:r>
      <w:r>
        <w:rPr>
          <w:rFonts w:ascii="宋体" w:hAnsi="宋体" w:cs="宋体"/>
          <w:color w:val="auto"/>
          <w:kern w:val="0"/>
          <w:szCs w:val="21"/>
          <w:highlight w:val="none"/>
        </w:rPr>
        <w:t>、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5E9AE4AB">
      <w:pPr>
        <w:keepNext w:val="0"/>
        <w:keepLines w:val="0"/>
        <w:pageBreakBefore w:val="0"/>
        <w:kinsoku/>
        <w:wordWrap/>
        <w:overflowPunct/>
        <w:topLinePunct w:val="0"/>
        <w:autoSpaceDE/>
        <w:autoSpaceDN/>
        <w:bidi w:val="0"/>
        <w:adjustRightInd/>
        <w:snapToGrid/>
        <w:spacing w:line="400" w:lineRule="exact"/>
        <w:ind w:firstLine="527" w:firstLineChars="250"/>
        <w:textAlignment w:val="auto"/>
        <w:rPr>
          <w:rFonts w:ascii="宋体" w:hAnsi="宋体"/>
          <w:b/>
          <w:color w:val="auto"/>
          <w:szCs w:val="21"/>
          <w:highlight w:val="none"/>
        </w:rPr>
      </w:pPr>
      <w:r>
        <w:rPr>
          <w:rFonts w:hint="eastAsia" w:ascii="宋体" w:hAnsi="宋体"/>
          <w:b/>
          <w:color w:val="auto"/>
          <w:szCs w:val="21"/>
          <w:highlight w:val="none"/>
        </w:rPr>
        <w:t>6.</w:t>
      </w:r>
      <w:r>
        <w:rPr>
          <w:rFonts w:hint="eastAsia" w:ascii="宋体" w:hAnsi="宋体" w:cs="宋体"/>
          <w:bCs/>
          <w:color w:val="auto"/>
          <w:szCs w:val="21"/>
          <w:highlight w:val="none"/>
        </w:rPr>
        <w:t xml:space="preserve"> </w:t>
      </w:r>
      <w:r>
        <w:rPr>
          <w:rFonts w:hint="eastAsia" w:ascii="宋体" w:hAnsi="宋体"/>
          <w:b/>
          <w:color w:val="auto"/>
          <w:szCs w:val="21"/>
          <w:highlight w:val="none"/>
        </w:rPr>
        <w:t>广西政府采购云平台</w:t>
      </w:r>
      <w:r>
        <w:rPr>
          <w:rFonts w:ascii="宋体" w:hAnsi="宋体"/>
          <w:b/>
          <w:color w:val="auto"/>
          <w:szCs w:val="21"/>
          <w:highlight w:val="none"/>
        </w:rPr>
        <w:t>电子</w:t>
      </w:r>
      <w:r>
        <w:rPr>
          <w:rFonts w:hint="eastAsia" w:ascii="宋体" w:hAnsi="宋体"/>
          <w:b/>
          <w:color w:val="auto"/>
          <w:szCs w:val="21"/>
          <w:highlight w:val="none"/>
        </w:rPr>
        <w:t>投标</w:t>
      </w:r>
      <w:r>
        <w:rPr>
          <w:rFonts w:ascii="宋体" w:hAnsi="宋体"/>
          <w:b/>
          <w:color w:val="auto"/>
          <w:szCs w:val="21"/>
          <w:highlight w:val="none"/>
        </w:rPr>
        <w:t>相关</w:t>
      </w:r>
      <w:r>
        <w:rPr>
          <w:rFonts w:hint="eastAsia" w:ascii="宋体" w:hAnsi="宋体"/>
          <w:b/>
          <w:color w:val="auto"/>
          <w:szCs w:val="21"/>
          <w:highlight w:val="none"/>
        </w:rPr>
        <w:t>事宜说明</w:t>
      </w:r>
      <w:r>
        <w:rPr>
          <w:rFonts w:ascii="宋体" w:hAnsi="宋体"/>
          <w:b/>
          <w:color w:val="auto"/>
          <w:szCs w:val="21"/>
          <w:highlight w:val="none"/>
        </w:rPr>
        <w:t>：</w:t>
      </w:r>
    </w:p>
    <w:p w14:paraId="516329E1">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hint="eastAsia" w:ascii="宋体" w:hAnsi="宋体"/>
          <w:bCs/>
          <w:color w:val="auto"/>
          <w:highlight w:val="none"/>
        </w:rPr>
        <w:t>（1）本项目为全流程电子化采购项目，通过广西政府采购云平台（www.gcy.zfcg.gxzf.gov.cn）实行在线电子投标，投标人按照本项目招标文件和广西政府采购云平台的要求编制、加密后在投标文件提交截止时间前通过网络上传至广西政府采购云平台（加密的电子投标文件是指后缀名为“jmbs”的文件），投标人在广西政府采购云平台提交电子投标文件时，请填写参加远程投标活动经办人联系方式。投标人登录广西政府采购云平台，依次进入“服务中心</w:t>
      </w:r>
      <w:r>
        <w:rPr>
          <w:rFonts w:hint="eastAsia" w:ascii="宋体" w:hAnsi="宋体"/>
          <w:bCs/>
          <w:color w:val="auto"/>
          <w:highlight w:val="none"/>
          <w:lang w:eastAsia="zh-CN"/>
        </w:rPr>
        <w:t>－</w:t>
      </w:r>
      <w:r>
        <w:rPr>
          <w:rFonts w:hint="eastAsia" w:ascii="宋体" w:hAnsi="宋体"/>
          <w:bCs/>
          <w:color w:val="auto"/>
          <w:highlight w:val="none"/>
        </w:rPr>
        <w:t>项目采购</w:t>
      </w:r>
      <w:r>
        <w:rPr>
          <w:rFonts w:hint="eastAsia" w:ascii="宋体" w:hAnsi="宋体"/>
          <w:bCs/>
          <w:color w:val="auto"/>
          <w:highlight w:val="none"/>
          <w:lang w:eastAsia="zh-CN"/>
        </w:rPr>
        <w:t>－</w:t>
      </w:r>
      <w:r>
        <w:rPr>
          <w:rFonts w:hint="eastAsia" w:ascii="宋体" w:hAnsi="宋体"/>
          <w:bCs/>
          <w:color w:val="auto"/>
          <w:highlight w:val="none"/>
        </w:rPr>
        <w:t>操作流程</w:t>
      </w:r>
      <w:r>
        <w:rPr>
          <w:rFonts w:hint="eastAsia" w:ascii="宋体" w:hAnsi="宋体"/>
          <w:bCs/>
          <w:color w:val="auto"/>
          <w:highlight w:val="none"/>
          <w:lang w:eastAsia="zh-CN"/>
        </w:rPr>
        <w:t>－</w:t>
      </w:r>
      <w:r>
        <w:rPr>
          <w:rFonts w:hint="eastAsia" w:ascii="宋体" w:hAnsi="宋体"/>
          <w:bCs/>
          <w:color w:val="auto"/>
          <w:highlight w:val="none"/>
        </w:rPr>
        <w:t>电子招投标</w:t>
      </w:r>
      <w:r>
        <w:rPr>
          <w:rFonts w:hint="eastAsia" w:ascii="宋体" w:hAnsi="宋体"/>
          <w:bCs/>
          <w:color w:val="auto"/>
          <w:highlight w:val="none"/>
          <w:lang w:eastAsia="zh-CN"/>
        </w:rPr>
        <w:t>－</w:t>
      </w:r>
      <w:r>
        <w:rPr>
          <w:rFonts w:hint="eastAsia" w:ascii="宋体" w:hAnsi="宋体"/>
          <w:bCs/>
          <w:color w:val="auto"/>
          <w:highlight w:val="none"/>
        </w:rPr>
        <w:t>政府采购项目电子交易管理操作指南</w:t>
      </w:r>
      <w:r>
        <w:rPr>
          <w:rFonts w:hint="eastAsia" w:ascii="宋体" w:hAnsi="宋体"/>
          <w:bCs/>
          <w:color w:val="auto"/>
          <w:highlight w:val="none"/>
          <w:lang w:eastAsia="zh-CN"/>
        </w:rPr>
        <w:t>－</w:t>
      </w:r>
      <w:r>
        <w:rPr>
          <w:rFonts w:hint="eastAsia" w:ascii="宋体" w:hAnsi="宋体"/>
          <w:bCs/>
          <w:color w:val="auto"/>
          <w:highlight w:val="none"/>
        </w:rPr>
        <w:t>供应商”查看电子投标具体操作流程。</w:t>
      </w:r>
    </w:p>
    <w:p w14:paraId="3C813DBC">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hint="eastAsia" w:ascii="宋体" w:hAnsi="宋体"/>
          <w:bCs/>
          <w:color w:val="auto"/>
          <w:highlight w:val="none"/>
        </w:rPr>
        <w:t>（2）未进行网上注册并办理数字证书（CA认证）的投标人将无法参与本项目政府采购活动，投标人应当在投标文件提交截止时间前，完成电子交易平台上的CA数字证书办理及投标文件的提交（投标人可登录“广西政府采购网”，依次进入“办事服务</w:t>
      </w:r>
      <w:r>
        <w:rPr>
          <w:rFonts w:hint="eastAsia" w:ascii="宋体" w:hAnsi="宋体"/>
          <w:bCs/>
          <w:color w:val="auto"/>
          <w:highlight w:val="none"/>
          <w:lang w:eastAsia="zh-CN"/>
        </w:rPr>
        <w:t>－</w:t>
      </w:r>
      <w:r>
        <w:rPr>
          <w:rFonts w:hint="eastAsia" w:ascii="宋体" w:hAnsi="宋体"/>
          <w:bCs/>
          <w:color w:val="auto"/>
          <w:highlight w:val="none"/>
        </w:rPr>
        <w:t>下载专区”或者登录广西政府采购云平台，依次进入“服务中心</w:t>
      </w:r>
      <w:r>
        <w:rPr>
          <w:rFonts w:hint="eastAsia" w:ascii="宋体" w:hAnsi="宋体"/>
          <w:bCs/>
          <w:color w:val="auto"/>
          <w:highlight w:val="none"/>
          <w:lang w:eastAsia="zh-CN"/>
        </w:rPr>
        <w:t>－</w:t>
      </w:r>
      <w:r>
        <w:rPr>
          <w:rFonts w:hint="eastAsia" w:ascii="宋体" w:hAnsi="宋体"/>
          <w:bCs/>
          <w:color w:val="auto"/>
          <w:highlight w:val="none"/>
        </w:rPr>
        <w:t>入驻与配置”中查看CA数字证书办理操作流程。如在操作过程中遇到问题或者需要技术支持，请致电客服热线：95763</w:t>
      </w:r>
      <w:r>
        <w:rPr>
          <w:rFonts w:hint="eastAsia" w:ascii="宋体" w:hAnsi="宋体" w:cs="宋体"/>
          <w:bCs/>
          <w:color w:val="auto"/>
          <w:kern w:val="0"/>
          <w:szCs w:val="21"/>
          <w:highlight w:val="none"/>
        </w:rPr>
        <w:t>或者0771-3381253</w:t>
      </w:r>
      <w:r>
        <w:rPr>
          <w:rFonts w:hint="eastAsia" w:ascii="宋体" w:hAnsi="宋体"/>
          <w:bCs/>
          <w:color w:val="auto"/>
          <w:highlight w:val="none"/>
        </w:rPr>
        <w:t>）。</w:t>
      </w:r>
    </w:p>
    <w:p w14:paraId="52D4FBD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highlight w:val="none"/>
        </w:rPr>
      </w:pPr>
      <w:r>
        <w:rPr>
          <w:rFonts w:hint="eastAsia" w:ascii="宋体" w:hAnsi="宋体"/>
          <w:bCs/>
          <w:color w:val="auto"/>
          <w:highlight w:val="none"/>
        </w:rPr>
        <w:t>（3）CA证书在线解密：投标人投标时，需凭制作投标文件时用来加密的有效数字证书（CA认证）登录广西政府采购云平台电子开标大厅现场按规定时间对加密的投标文件进行解密，否则后果自负。</w:t>
      </w:r>
    </w:p>
    <w:p w14:paraId="4F417EF7">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bCs/>
          <w:color w:val="auto"/>
          <w:highlight w:val="none"/>
        </w:rPr>
      </w:pPr>
      <w:r>
        <w:rPr>
          <w:rFonts w:hint="eastAsia" w:ascii="宋体" w:hAnsi="宋体"/>
          <w:bCs/>
          <w:color w:val="auto"/>
          <w:highlight w:val="none"/>
        </w:rPr>
        <w:t>注：1）为确保网上操作合法、有效和安全，请投标人确保在电子投标过程中能够对相关数据电文进行加密和使用电子签章，妥善保管CA数字证书并使用有效的CA数字证书参与整个采购活动。2）各投标人通过广西政府采购云平台参与政府采购项目投标需下载使用新版客户端（以</w:t>
      </w:r>
      <w:r>
        <w:rPr>
          <w:rFonts w:hint="eastAsia" w:ascii="宋体" w:hAnsi="宋体"/>
          <w:bCs/>
          <w:color w:val="auto"/>
          <w:highlight w:val="none"/>
          <w:lang w:eastAsia="zh-CN"/>
        </w:rPr>
        <w:t>下简</w:t>
      </w:r>
      <w:r>
        <w:rPr>
          <w:rFonts w:hint="eastAsia" w:ascii="宋体" w:hAnsi="宋体"/>
          <w:bCs/>
          <w:color w:val="auto"/>
          <w:highlight w:val="none"/>
        </w:rPr>
        <w:t>称“电子投标客户端”），客户端下载路径：广西政府采购网（访问地址zfcg.gxzf.gov.cn）—办事服务—下载专区。3）投标人应当在投标文件提交截止时间前完成电子投标文件的上传、提交</w:t>
      </w:r>
      <w:r>
        <w:rPr>
          <w:rFonts w:hint="eastAsia" w:ascii="宋体" w:hAnsi="宋体"/>
          <w:bCs/>
          <w:color w:val="auto"/>
          <w:highlight w:val="none"/>
          <w:lang w:eastAsia="zh-CN"/>
        </w:rPr>
        <w:t>，在</w:t>
      </w:r>
      <w:r>
        <w:rPr>
          <w:rFonts w:hint="eastAsia" w:ascii="宋体" w:hAnsi="宋体"/>
          <w:bCs/>
          <w:color w:val="auto"/>
          <w:highlight w:val="none"/>
        </w:rPr>
        <w:t>投标文件提交截止时间前可以补充、修改或者撤回投标文件。补充或者修改投标文件的，应当先行撤回原投标文件，补充、修改后重新上传、提交，投标文件提交截止时间止未完成上传、提交的，视为撤回投标文件。投标文件提交截止时间以后上传递交的投标文件，广西政府采购云平台将予以拒收。</w:t>
      </w:r>
    </w:p>
    <w:p w14:paraId="22792E70">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bCs/>
          <w:color w:val="auto"/>
          <w:highlight w:val="none"/>
        </w:rPr>
      </w:pPr>
      <w:r>
        <w:rPr>
          <w:rFonts w:hint="eastAsia" w:ascii="宋体" w:hAnsi="宋体"/>
          <w:bCs/>
          <w:color w:val="auto"/>
          <w:highlight w:val="none"/>
          <w:lang w:val="en-US" w:eastAsia="zh-CN"/>
        </w:rPr>
        <w:t>7.</w:t>
      </w:r>
      <w:r>
        <w:rPr>
          <w:rFonts w:hint="eastAsia" w:ascii="宋体" w:hAnsi="宋体"/>
          <w:color w:val="auto"/>
          <w:szCs w:val="21"/>
          <w:highlight w:val="none"/>
        </w:rPr>
        <w:t>监督管理机构</w:t>
      </w:r>
      <w:r>
        <w:rPr>
          <w:rFonts w:hint="eastAsia" w:ascii="宋体" w:hAnsi="宋体"/>
          <w:color w:val="auto"/>
          <w:szCs w:val="21"/>
          <w:highlight w:val="none"/>
          <w:lang w:eastAsia="zh-CN"/>
        </w:rPr>
        <w:t>：</w:t>
      </w:r>
      <w:r>
        <w:rPr>
          <w:rFonts w:hint="eastAsia" w:ascii="宋体" w:hAnsi="宋体"/>
          <w:bCs/>
          <w:color w:val="auto"/>
          <w:highlight w:val="none"/>
        </w:rPr>
        <w:t>桂林市财政局；联系电话：0773-2829504</w:t>
      </w:r>
    </w:p>
    <w:p w14:paraId="49E0B39F">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七、</w:t>
      </w:r>
      <w:r>
        <w:rPr>
          <w:rFonts w:hint="eastAsia" w:ascii="宋体" w:hAnsi="宋体"/>
          <w:b/>
          <w:color w:val="auto"/>
          <w:highlight w:val="none"/>
        </w:rPr>
        <w:t>本次投标联系事项：</w:t>
      </w:r>
    </w:p>
    <w:p w14:paraId="23A3B9C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hAnsi="宋体"/>
          <w:color w:val="auto"/>
          <w:highlight w:val="none"/>
        </w:rPr>
      </w:pPr>
      <w:r>
        <w:rPr>
          <w:rFonts w:hint="eastAsia" w:ascii="宋体" w:hAnsi="宋体" w:cs="宋体"/>
          <w:color w:val="auto"/>
          <w:highlight w:val="none"/>
        </w:rPr>
        <w:t>　   1.采购人信息</w:t>
      </w:r>
    </w:p>
    <w:p w14:paraId="0734ECE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olor w:val="auto"/>
          <w:highlight w:val="none"/>
          <w:lang w:eastAsia="zh-CN"/>
        </w:rPr>
      </w:pPr>
      <w:r>
        <w:rPr>
          <w:rFonts w:hint="eastAsia" w:ascii="宋体" w:hAnsi="宋体"/>
          <w:color w:val="auto"/>
          <w:highlight w:val="none"/>
        </w:rPr>
        <w:t xml:space="preserve">     名   称：</w:t>
      </w:r>
      <w:r>
        <w:rPr>
          <w:rFonts w:hint="eastAsia" w:ascii="宋体" w:hAnsi="宋体"/>
          <w:color w:val="auto"/>
          <w:highlight w:val="none"/>
          <w:lang w:eastAsia="zh-CN"/>
        </w:rPr>
        <w:t>桂林市中西医结合医院</w:t>
      </w:r>
    </w:p>
    <w:p w14:paraId="2E44B53C">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olor w:val="auto"/>
          <w:highlight w:val="none"/>
        </w:rPr>
      </w:pPr>
      <w:r>
        <w:rPr>
          <w:rFonts w:hint="eastAsia" w:ascii="宋体" w:hAnsi="宋体"/>
          <w:color w:val="auto"/>
          <w:highlight w:val="none"/>
        </w:rPr>
        <w:t xml:space="preserve">     地   址：</w:t>
      </w:r>
      <w:r>
        <w:rPr>
          <w:rFonts w:ascii="宋体" w:hAnsi="宋体"/>
          <w:color w:val="auto"/>
          <w:highlight w:val="none"/>
        </w:rPr>
        <w:t>广西</w:t>
      </w:r>
      <w:r>
        <w:rPr>
          <w:rFonts w:hint="eastAsia" w:ascii="宋体" w:hAnsi="宋体"/>
          <w:color w:val="auto"/>
          <w:highlight w:val="none"/>
        </w:rPr>
        <w:t>桂林市七星区半塘路6号</w:t>
      </w:r>
    </w:p>
    <w:p w14:paraId="4C71D51D">
      <w:pPr>
        <w:keepNext w:val="0"/>
        <w:keepLines w:val="0"/>
        <w:pageBreakBefore w:val="0"/>
        <w:kinsoku/>
        <w:wordWrap/>
        <w:overflowPunct/>
        <w:topLinePunct w:val="0"/>
        <w:autoSpaceDE/>
        <w:autoSpaceDN/>
        <w:bidi w:val="0"/>
        <w:adjustRightInd/>
        <w:snapToGrid/>
        <w:spacing w:line="400" w:lineRule="exact"/>
        <w:ind w:firstLine="567" w:firstLineChars="270"/>
        <w:textAlignment w:val="auto"/>
        <w:rPr>
          <w:rFonts w:hint="eastAsia" w:ascii="宋体" w:hAnsi="宋体" w:eastAsia="宋体"/>
          <w:color w:val="auto"/>
          <w:highlight w:val="none"/>
          <w:lang w:eastAsia="zh-CN"/>
        </w:rPr>
      </w:pPr>
      <w:r>
        <w:rPr>
          <w:rFonts w:hint="eastAsia" w:hAnsi="宋体"/>
          <w:color w:val="auto"/>
          <w:highlight w:val="none"/>
        </w:rPr>
        <w:t>项目联系人：杨德文</w:t>
      </w:r>
    </w:p>
    <w:p w14:paraId="52DB664C">
      <w:pPr>
        <w:keepNext w:val="0"/>
        <w:keepLines w:val="0"/>
        <w:pageBreakBefore w:val="0"/>
        <w:kinsoku/>
        <w:wordWrap/>
        <w:overflowPunct/>
        <w:topLinePunct w:val="0"/>
        <w:autoSpaceDE/>
        <w:autoSpaceDN/>
        <w:bidi w:val="0"/>
        <w:adjustRightInd/>
        <w:snapToGrid/>
        <w:spacing w:line="400" w:lineRule="exact"/>
        <w:ind w:firstLine="567" w:firstLineChars="270"/>
        <w:textAlignment w:val="auto"/>
        <w:rPr>
          <w:rFonts w:ascii="宋体" w:hAnsi="宋体"/>
          <w:color w:val="auto"/>
          <w:highlight w:val="none"/>
        </w:rPr>
      </w:pPr>
      <w:r>
        <w:rPr>
          <w:rFonts w:hint="eastAsia" w:ascii="宋体" w:hAnsi="宋体"/>
          <w:color w:val="auto"/>
          <w:highlight w:val="none"/>
        </w:rPr>
        <w:t>联系方式：</w:t>
      </w:r>
      <w:bookmarkStart w:id="4" w:name="_Toc28359009"/>
      <w:bookmarkStart w:id="5" w:name="_Toc28359086"/>
      <w:r>
        <w:rPr>
          <w:rFonts w:hint="eastAsia" w:ascii="宋体" w:hAnsi="宋体"/>
          <w:color w:val="auto"/>
          <w:highlight w:val="none"/>
        </w:rPr>
        <w:t>17777379199</w:t>
      </w:r>
    </w:p>
    <w:p w14:paraId="366A0A54">
      <w:pPr>
        <w:keepNext w:val="0"/>
        <w:keepLines w:val="0"/>
        <w:pageBreakBefore w:val="0"/>
        <w:kinsoku/>
        <w:wordWrap/>
        <w:overflowPunct/>
        <w:topLinePunct w:val="0"/>
        <w:autoSpaceDE/>
        <w:autoSpaceDN/>
        <w:bidi w:val="0"/>
        <w:adjustRightInd/>
        <w:snapToGrid/>
        <w:spacing w:line="400" w:lineRule="exact"/>
        <w:ind w:firstLine="567" w:firstLineChars="270"/>
        <w:textAlignment w:val="auto"/>
        <w:rPr>
          <w:rFonts w:ascii="宋体" w:hAnsi="宋体"/>
          <w:color w:val="auto"/>
          <w:highlight w:val="none"/>
        </w:rPr>
      </w:pPr>
      <w:r>
        <w:rPr>
          <w:rFonts w:hint="eastAsia" w:ascii="宋体" w:hAnsi="宋体"/>
          <w:color w:val="auto"/>
          <w:highlight w:val="none"/>
        </w:rPr>
        <w:t>2.采购代理机构信息</w:t>
      </w:r>
      <w:bookmarkEnd w:id="4"/>
      <w:bookmarkEnd w:id="5"/>
    </w:p>
    <w:p w14:paraId="1847A5BC">
      <w:pPr>
        <w:keepNext w:val="0"/>
        <w:keepLines w:val="0"/>
        <w:pageBreakBefore w:val="0"/>
        <w:kinsoku/>
        <w:wordWrap/>
        <w:overflowPunct/>
        <w:topLinePunct w:val="0"/>
        <w:autoSpaceDE/>
        <w:autoSpaceDN/>
        <w:bidi w:val="0"/>
        <w:adjustRightInd/>
        <w:snapToGrid/>
        <w:spacing w:line="400" w:lineRule="exact"/>
        <w:ind w:firstLine="567" w:firstLineChars="270"/>
        <w:textAlignment w:val="auto"/>
        <w:rPr>
          <w:rFonts w:ascii="宋体" w:hAnsi="宋体"/>
          <w:color w:val="auto"/>
          <w:highlight w:val="none"/>
        </w:rPr>
      </w:pPr>
      <w:r>
        <w:rPr>
          <w:rFonts w:hint="eastAsia" w:ascii="宋体" w:hAnsi="宋体"/>
          <w:color w:val="auto"/>
          <w:highlight w:val="none"/>
        </w:rPr>
        <w:t>名   称：云之龙咨询集团有限公司</w:t>
      </w:r>
    </w:p>
    <w:p w14:paraId="670FC001">
      <w:pPr>
        <w:keepNext w:val="0"/>
        <w:keepLines w:val="0"/>
        <w:pageBreakBefore w:val="0"/>
        <w:kinsoku/>
        <w:wordWrap/>
        <w:overflowPunct/>
        <w:topLinePunct w:val="0"/>
        <w:autoSpaceDE/>
        <w:autoSpaceDN/>
        <w:bidi w:val="0"/>
        <w:adjustRightInd/>
        <w:snapToGrid/>
        <w:spacing w:line="400" w:lineRule="exact"/>
        <w:ind w:firstLine="567" w:firstLineChars="270"/>
        <w:textAlignment w:val="auto"/>
        <w:rPr>
          <w:rFonts w:ascii="宋体" w:hAnsi="宋体"/>
          <w:color w:val="auto"/>
          <w:highlight w:val="none"/>
        </w:rPr>
      </w:pPr>
      <w:r>
        <w:rPr>
          <w:rFonts w:hint="eastAsia" w:ascii="宋体" w:hAnsi="宋体"/>
          <w:color w:val="auto"/>
          <w:highlight w:val="none"/>
        </w:rPr>
        <w:t>地　 址：</w:t>
      </w:r>
      <w:bookmarkStart w:id="6" w:name="OLE_LINK11"/>
      <w:bookmarkStart w:id="7" w:name="OLE_LINK1"/>
      <w:r>
        <w:rPr>
          <w:rFonts w:hint="eastAsia" w:ascii="宋体" w:hAnsi="宋体"/>
          <w:color w:val="auto"/>
          <w:highlight w:val="none"/>
        </w:rPr>
        <w:t>广西桂林市临桂区西城北路2号耀辉•美好家园2幢12层1号房</w:t>
      </w:r>
      <w:bookmarkEnd w:id="6"/>
      <w:bookmarkEnd w:id="7"/>
    </w:p>
    <w:p w14:paraId="1766B48F">
      <w:pPr>
        <w:pStyle w:val="26"/>
        <w:keepNext w:val="0"/>
        <w:keepLines w:val="0"/>
        <w:pageBreakBefore w:val="0"/>
        <w:kinsoku/>
        <w:wordWrap/>
        <w:overflowPunct/>
        <w:topLinePunct w:val="0"/>
        <w:autoSpaceDE/>
        <w:autoSpaceDN/>
        <w:bidi w:val="0"/>
        <w:adjustRightInd/>
        <w:snapToGrid/>
        <w:spacing w:line="400" w:lineRule="exact"/>
        <w:ind w:firstLine="567" w:firstLineChars="270"/>
        <w:textAlignment w:val="auto"/>
        <w:rPr>
          <w:rFonts w:hint="eastAsia" w:hAnsi="宋体" w:eastAsia="宋体"/>
          <w:color w:val="auto"/>
          <w:highlight w:val="none"/>
          <w:u w:val="single"/>
          <w:lang w:eastAsia="zh-CN"/>
        </w:rPr>
      </w:pPr>
      <w:r>
        <w:rPr>
          <w:rFonts w:hint="eastAsia" w:hAnsi="宋体"/>
          <w:color w:val="auto"/>
          <w:highlight w:val="none"/>
        </w:rPr>
        <w:t>项目联系人：</w:t>
      </w:r>
      <w:r>
        <w:rPr>
          <w:rFonts w:hint="eastAsia" w:hAnsi="宋体"/>
          <w:color w:val="auto"/>
          <w:szCs w:val="24"/>
          <w:highlight w:val="none"/>
        </w:rPr>
        <w:t>李贞</w:t>
      </w:r>
      <w:r>
        <w:rPr>
          <w:rFonts w:hint="eastAsia" w:hAnsi="宋体"/>
          <w:color w:val="auto"/>
          <w:szCs w:val="24"/>
          <w:highlight w:val="none"/>
          <w:lang w:eastAsia="zh-CN"/>
        </w:rPr>
        <w:t>、劳湲清</w:t>
      </w:r>
    </w:p>
    <w:p w14:paraId="4F58DE14">
      <w:pPr>
        <w:keepNext w:val="0"/>
        <w:keepLines w:val="0"/>
        <w:pageBreakBefore w:val="0"/>
        <w:kinsoku/>
        <w:wordWrap/>
        <w:overflowPunct/>
        <w:topLinePunct w:val="0"/>
        <w:autoSpaceDE/>
        <w:autoSpaceDN/>
        <w:bidi w:val="0"/>
        <w:adjustRightInd/>
        <w:snapToGrid/>
        <w:spacing w:line="400" w:lineRule="exact"/>
        <w:ind w:firstLine="567" w:firstLineChars="270"/>
        <w:textAlignment w:val="auto"/>
        <w:rPr>
          <w:rFonts w:ascii="宋体" w:hAnsi="宋体"/>
          <w:color w:val="auto"/>
          <w:highlight w:val="none"/>
        </w:rPr>
      </w:pPr>
      <w:r>
        <w:rPr>
          <w:rFonts w:hint="eastAsia" w:ascii="宋体" w:hAnsi="宋体"/>
          <w:color w:val="auto"/>
          <w:highlight w:val="none"/>
        </w:rPr>
        <w:t>联系方式：</w:t>
      </w:r>
      <w:bookmarkStart w:id="8" w:name="_Toc28359010"/>
      <w:bookmarkStart w:id="9" w:name="_Toc28359087"/>
      <w:r>
        <w:rPr>
          <w:rFonts w:ascii="宋体" w:hAnsi="宋体"/>
          <w:color w:val="auto"/>
          <w:highlight w:val="none"/>
        </w:rPr>
        <w:t>0773-2887388</w:t>
      </w:r>
      <w:r>
        <w:rPr>
          <w:rFonts w:hint="eastAsia" w:ascii="宋体" w:hAnsi="宋体"/>
          <w:color w:val="auto"/>
          <w:highlight w:val="none"/>
        </w:rPr>
        <w:t>、2</w:t>
      </w:r>
      <w:r>
        <w:rPr>
          <w:rFonts w:ascii="宋体" w:hAnsi="宋体"/>
          <w:color w:val="auto"/>
          <w:highlight w:val="none"/>
        </w:rPr>
        <w:t>887399</w:t>
      </w:r>
      <w:bookmarkEnd w:id="0"/>
      <w:r>
        <w:rPr>
          <w:rFonts w:hint="eastAsia" w:ascii="宋体" w:hAnsi="宋体"/>
          <w:color w:val="auto"/>
          <w:highlight w:val="none"/>
        </w:rPr>
        <w:t xml:space="preserve">    </w:t>
      </w:r>
    </w:p>
    <w:bookmarkEnd w:id="8"/>
    <w:bookmarkEnd w:id="9"/>
    <w:p w14:paraId="4313E5DB">
      <w:pPr>
        <w:spacing w:line="440" w:lineRule="exact"/>
        <w:jc w:val="center"/>
        <w:rPr>
          <w:rFonts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第二章  投标人须知</w:t>
      </w:r>
    </w:p>
    <w:p w14:paraId="651097E0">
      <w:pPr>
        <w:tabs>
          <w:tab w:val="left" w:pos="1065"/>
          <w:tab w:val="center" w:pos="4411"/>
        </w:tabs>
        <w:spacing w:line="440" w:lineRule="exact"/>
        <w:jc w:val="center"/>
        <w:rPr>
          <w:rFonts w:ascii="宋体" w:hAnsi="宋体"/>
          <w:b/>
          <w:color w:val="auto"/>
          <w:sz w:val="24"/>
          <w:highlight w:val="none"/>
        </w:rPr>
      </w:pPr>
      <w:r>
        <w:rPr>
          <w:rFonts w:hint="eastAsia" w:ascii="宋体" w:hAnsi="宋体"/>
          <w:b/>
          <w:color w:val="auto"/>
          <w:sz w:val="24"/>
          <w:highlight w:val="none"/>
        </w:rPr>
        <w:t>投标人须知前附表</w:t>
      </w:r>
    </w:p>
    <w:tbl>
      <w:tblPr>
        <w:tblStyle w:val="51"/>
        <w:tblW w:w="10141"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850"/>
        <w:gridCol w:w="1701"/>
        <w:gridCol w:w="6946"/>
      </w:tblGrid>
      <w:tr w14:paraId="3356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44" w:type="dxa"/>
            <w:vAlign w:val="center"/>
          </w:tcPr>
          <w:p w14:paraId="21A4C618">
            <w:pPr>
              <w:spacing w:line="350" w:lineRule="exact"/>
              <w:jc w:val="center"/>
              <w:rPr>
                <w:rFonts w:ascii="宋体" w:hAnsi="宋体"/>
                <w:color w:val="auto"/>
                <w:szCs w:val="21"/>
                <w:highlight w:val="none"/>
              </w:rPr>
            </w:pPr>
            <w:r>
              <w:rPr>
                <w:rFonts w:hint="eastAsia" w:ascii="宋体" w:hAnsi="宋体"/>
                <w:color w:val="auto"/>
                <w:szCs w:val="21"/>
                <w:highlight w:val="none"/>
              </w:rPr>
              <w:t>序号</w:t>
            </w:r>
          </w:p>
        </w:tc>
        <w:tc>
          <w:tcPr>
            <w:tcW w:w="850" w:type="dxa"/>
            <w:vAlign w:val="center"/>
          </w:tcPr>
          <w:p w14:paraId="680E852C">
            <w:pPr>
              <w:spacing w:line="350" w:lineRule="exact"/>
              <w:jc w:val="center"/>
              <w:rPr>
                <w:rFonts w:ascii="宋体" w:hAnsi="宋体"/>
                <w:color w:val="auto"/>
                <w:szCs w:val="21"/>
                <w:highlight w:val="none"/>
              </w:rPr>
            </w:pPr>
            <w:r>
              <w:rPr>
                <w:rFonts w:hint="eastAsia" w:ascii="宋体" w:hAnsi="宋体"/>
                <w:color w:val="auto"/>
                <w:szCs w:val="21"/>
                <w:highlight w:val="none"/>
              </w:rPr>
              <w:t>条款号</w:t>
            </w:r>
          </w:p>
        </w:tc>
        <w:tc>
          <w:tcPr>
            <w:tcW w:w="1701" w:type="dxa"/>
            <w:vAlign w:val="center"/>
          </w:tcPr>
          <w:p w14:paraId="31CFEA46">
            <w:pPr>
              <w:spacing w:line="350" w:lineRule="exact"/>
              <w:jc w:val="center"/>
              <w:rPr>
                <w:rFonts w:ascii="宋体" w:hAnsi="宋体"/>
                <w:color w:val="auto"/>
                <w:szCs w:val="21"/>
                <w:highlight w:val="none"/>
              </w:rPr>
            </w:pPr>
            <w:r>
              <w:rPr>
                <w:rFonts w:hint="eastAsia" w:ascii="宋体" w:hAnsi="宋体"/>
                <w:color w:val="auto"/>
                <w:szCs w:val="21"/>
                <w:highlight w:val="none"/>
              </w:rPr>
              <w:t>条款名称</w:t>
            </w:r>
          </w:p>
        </w:tc>
        <w:tc>
          <w:tcPr>
            <w:tcW w:w="6946" w:type="dxa"/>
            <w:vAlign w:val="center"/>
          </w:tcPr>
          <w:p w14:paraId="3CCF4A86">
            <w:pPr>
              <w:spacing w:line="350" w:lineRule="exact"/>
              <w:jc w:val="center"/>
              <w:rPr>
                <w:rFonts w:ascii="宋体" w:hAnsi="宋体"/>
                <w:color w:val="auto"/>
                <w:szCs w:val="21"/>
                <w:highlight w:val="none"/>
              </w:rPr>
            </w:pPr>
            <w:r>
              <w:rPr>
                <w:rFonts w:hint="eastAsia" w:ascii="宋体" w:hAnsi="宋体"/>
                <w:color w:val="auto"/>
                <w:szCs w:val="21"/>
                <w:highlight w:val="none"/>
              </w:rPr>
              <w:t>内容、要求</w:t>
            </w:r>
          </w:p>
        </w:tc>
      </w:tr>
      <w:tr w14:paraId="02CB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644" w:type="dxa"/>
            <w:vAlign w:val="center"/>
          </w:tcPr>
          <w:p w14:paraId="6F15BA3F">
            <w:pPr>
              <w:spacing w:line="350" w:lineRule="exact"/>
              <w:jc w:val="center"/>
              <w:rPr>
                <w:rFonts w:ascii="宋体" w:hAnsi="宋体"/>
                <w:color w:val="auto"/>
                <w:szCs w:val="21"/>
                <w:highlight w:val="none"/>
              </w:rPr>
            </w:pPr>
            <w:r>
              <w:rPr>
                <w:rFonts w:hint="eastAsia" w:ascii="宋体" w:hAnsi="宋体"/>
                <w:color w:val="auto"/>
                <w:szCs w:val="21"/>
                <w:highlight w:val="none"/>
              </w:rPr>
              <w:t>1</w:t>
            </w:r>
          </w:p>
        </w:tc>
        <w:tc>
          <w:tcPr>
            <w:tcW w:w="850" w:type="dxa"/>
            <w:vAlign w:val="center"/>
          </w:tcPr>
          <w:p w14:paraId="5884A1E8">
            <w:pPr>
              <w:spacing w:line="350" w:lineRule="exact"/>
              <w:jc w:val="center"/>
              <w:rPr>
                <w:rFonts w:ascii="宋体" w:hAnsi="宋体"/>
                <w:color w:val="auto"/>
                <w:szCs w:val="21"/>
                <w:highlight w:val="none"/>
              </w:rPr>
            </w:pPr>
            <w:r>
              <w:rPr>
                <w:rFonts w:hint="eastAsia" w:ascii="宋体" w:hAnsi="宋体"/>
                <w:color w:val="auto"/>
                <w:szCs w:val="21"/>
                <w:highlight w:val="none"/>
              </w:rPr>
              <w:t>1</w:t>
            </w:r>
          </w:p>
        </w:tc>
        <w:tc>
          <w:tcPr>
            <w:tcW w:w="1701" w:type="dxa"/>
            <w:vAlign w:val="center"/>
          </w:tcPr>
          <w:p w14:paraId="52D9C73F">
            <w:pPr>
              <w:spacing w:line="350" w:lineRule="exact"/>
              <w:jc w:val="center"/>
              <w:rPr>
                <w:rFonts w:ascii="宋体" w:hAnsi="宋体"/>
                <w:color w:val="auto"/>
                <w:szCs w:val="21"/>
                <w:highlight w:val="none"/>
              </w:rPr>
            </w:pPr>
            <w:r>
              <w:rPr>
                <w:rFonts w:hint="eastAsia" w:ascii="宋体" w:hAnsi="宋体"/>
                <w:color w:val="auto"/>
                <w:szCs w:val="21"/>
                <w:highlight w:val="none"/>
              </w:rPr>
              <w:t>项目名称及项目编号</w:t>
            </w:r>
          </w:p>
        </w:tc>
        <w:tc>
          <w:tcPr>
            <w:tcW w:w="6946" w:type="dxa"/>
            <w:vAlign w:val="center"/>
          </w:tcPr>
          <w:p w14:paraId="2051082A">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 xml:space="preserve">项目名称：桂林市中西医结合医院医疗设备一批采购项目 </w:t>
            </w:r>
          </w:p>
          <w:p w14:paraId="3C0316FB">
            <w:pPr>
              <w:keepNext w:val="0"/>
              <w:keepLines w:val="0"/>
              <w:pageBreakBefore w:val="0"/>
              <w:widowControl w:val="0"/>
              <w:kinsoku/>
              <w:wordWrap/>
              <w:overflowPunct/>
              <w:topLinePunct w:val="0"/>
              <w:autoSpaceDE/>
              <w:autoSpaceDN/>
              <w:bidi w:val="0"/>
              <w:spacing w:line="310" w:lineRule="exact"/>
              <w:textAlignment w:val="auto"/>
              <w:rPr>
                <w:rFonts w:hint="eastAsia" w:ascii="宋体" w:hAnsi="宋体" w:eastAsia="宋体"/>
                <w:color w:val="auto"/>
                <w:szCs w:val="21"/>
                <w:highlight w:val="none"/>
                <w:lang w:eastAsia="zh-CN"/>
              </w:rPr>
            </w:pPr>
            <w:r>
              <w:rPr>
                <w:rFonts w:hint="eastAsia" w:ascii="宋体" w:hAnsi="宋体"/>
                <w:color w:val="auto"/>
                <w:highlight w:val="none"/>
              </w:rPr>
              <w:t>项目编号：GLZC2026-G1-990422-YZLZ</w:t>
            </w:r>
          </w:p>
        </w:tc>
      </w:tr>
      <w:tr w14:paraId="36C9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644" w:type="dxa"/>
            <w:vAlign w:val="center"/>
          </w:tcPr>
          <w:p w14:paraId="379AF676">
            <w:pPr>
              <w:spacing w:line="350" w:lineRule="exact"/>
              <w:jc w:val="center"/>
              <w:rPr>
                <w:rFonts w:ascii="宋体" w:hAnsi="宋体"/>
                <w:color w:val="auto"/>
                <w:szCs w:val="21"/>
                <w:highlight w:val="none"/>
              </w:rPr>
            </w:pPr>
            <w:r>
              <w:rPr>
                <w:rFonts w:hint="eastAsia" w:ascii="宋体" w:hAnsi="宋体"/>
                <w:color w:val="auto"/>
                <w:szCs w:val="21"/>
                <w:highlight w:val="none"/>
              </w:rPr>
              <w:t>2</w:t>
            </w:r>
          </w:p>
        </w:tc>
        <w:tc>
          <w:tcPr>
            <w:tcW w:w="850" w:type="dxa"/>
            <w:vAlign w:val="center"/>
          </w:tcPr>
          <w:p w14:paraId="79EB9548">
            <w:pPr>
              <w:spacing w:line="350" w:lineRule="exact"/>
              <w:jc w:val="center"/>
              <w:rPr>
                <w:rFonts w:ascii="宋体" w:hAnsi="宋体"/>
                <w:color w:val="auto"/>
                <w:szCs w:val="21"/>
                <w:highlight w:val="none"/>
              </w:rPr>
            </w:pPr>
            <w:r>
              <w:rPr>
                <w:rFonts w:hint="eastAsia" w:ascii="宋体" w:hAnsi="宋体"/>
                <w:color w:val="auto"/>
                <w:szCs w:val="21"/>
                <w:highlight w:val="none"/>
              </w:rPr>
              <w:t>5.1</w:t>
            </w:r>
          </w:p>
        </w:tc>
        <w:tc>
          <w:tcPr>
            <w:tcW w:w="1701" w:type="dxa"/>
            <w:vAlign w:val="center"/>
          </w:tcPr>
          <w:p w14:paraId="78B554E7">
            <w:pPr>
              <w:spacing w:line="350" w:lineRule="exact"/>
              <w:jc w:val="center"/>
              <w:rPr>
                <w:rFonts w:ascii="宋体" w:hAnsi="宋体"/>
                <w:color w:val="auto"/>
                <w:szCs w:val="21"/>
                <w:highlight w:val="none"/>
              </w:rPr>
            </w:pPr>
            <w:r>
              <w:rPr>
                <w:rFonts w:hint="eastAsia" w:ascii="宋体" w:hAnsi="宋体"/>
                <w:color w:val="auto"/>
                <w:szCs w:val="21"/>
                <w:highlight w:val="none"/>
              </w:rPr>
              <w:t>投标人资格</w:t>
            </w:r>
          </w:p>
        </w:tc>
        <w:tc>
          <w:tcPr>
            <w:tcW w:w="6946" w:type="dxa"/>
            <w:vAlign w:val="center"/>
          </w:tcPr>
          <w:p w14:paraId="349F8CA6">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highlight w:val="none"/>
              </w:rPr>
              <w:t>满足《中华人民共和国政府采购法》第二十二条规定；</w:t>
            </w:r>
          </w:p>
          <w:p w14:paraId="2A588195">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（2）落实政府采购政策需满足的资格要求：无；</w:t>
            </w:r>
          </w:p>
          <w:p w14:paraId="1BF2DCED">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highlight w:val="none"/>
              </w:rPr>
              <w:t>（3）本项目的特定资格要求：本项目投标人按照</w:t>
            </w:r>
            <w:r>
              <w:rPr>
                <w:rFonts w:ascii="宋体" w:hAnsi="宋体"/>
                <w:color w:val="auto"/>
                <w:highlight w:val="none"/>
              </w:rPr>
              <w:t>《医疗器械监督管理条例》（国务院令第739号）医疗器械分类管理要求具备有效的医疗器械经营备案凭证或者经营许可证，且经营范围必须包含</w:t>
            </w:r>
            <w:r>
              <w:rPr>
                <w:rFonts w:hint="eastAsia" w:ascii="宋体" w:hAnsi="宋体"/>
                <w:color w:val="auto"/>
                <w:highlight w:val="none"/>
              </w:rPr>
              <w:t>所投</w:t>
            </w:r>
            <w:r>
              <w:rPr>
                <w:rFonts w:ascii="宋体" w:hAnsi="宋体"/>
                <w:color w:val="auto"/>
                <w:highlight w:val="none"/>
              </w:rPr>
              <w:t>采购标的[符合《医疗器械监督管理条例》第四十一条第二款规定的除外]；或者</w:t>
            </w:r>
            <w:r>
              <w:rPr>
                <w:rFonts w:hint="eastAsia" w:ascii="宋体" w:hAnsi="宋体"/>
                <w:color w:val="auto"/>
                <w:highlight w:val="none"/>
              </w:rPr>
              <w:t>投标人</w:t>
            </w:r>
            <w:r>
              <w:rPr>
                <w:rFonts w:ascii="宋体" w:hAnsi="宋体"/>
                <w:color w:val="auto"/>
                <w:highlight w:val="none"/>
              </w:rPr>
              <w:t>具有《医疗器械监督管理条例》第四十三条规定的注册人凭证</w:t>
            </w:r>
            <w:r>
              <w:rPr>
                <w:rFonts w:hint="eastAsia" w:ascii="宋体" w:hAnsi="宋体"/>
                <w:color w:val="auto"/>
                <w:highlight w:val="none"/>
              </w:rPr>
              <w:t>。</w:t>
            </w:r>
          </w:p>
        </w:tc>
      </w:tr>
      <w:tr w14:paraId="6A65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44" w:type="dxa"/>
            <w:vAlign w:val="center"/>
          </w:tcPr>
          <w:p w14:paraId="050C16F0">
            <w:pPr>
              <w:spacing w:line="350" w:lineRule="exact"/>
              <w:jc w:val="center"/>
              <w:rPr>
                <w:rFonts w:ascii="宋体" w:hAnsi="宋体"/>
                <w:color w:val="auto"/>
                <w:szCs w:val="21"/>
                <w:highlight w:val="none"/>
              </w:rPr>
            </w:pPr>
            <w:r>
              <w:rPr>
                <w:rFonts w:hint="eastAsia" w:ascii="宋体" w:hAnsi="宋体"/>
                <w:color w:val="auto"/>
                <w:szCs w:val="21"/>
                <w:highlight w:val="none"/>
              </w:rPr>
              <w:t>3</w:t>
            </w:r>
          </w:p>
        </w:tc>
        <w:tc>
          <w:tcPr>
            <w:tcW w:w="850" w:type="dxa"/>
            <w:vAlign w:val="center"/>
          </w:tcPr>
          <w:p w14:paraId="6B772B6F">
            <w:pPr>
              <w:spacing w:line="350" w:lineRule="exact"/>
              <w:jc w:val="center"/>
              <w:rPr>
                <w:rFonts w:ascii="宋体" w:hAnsi="宋体"/>
                <w:color w:val="auto"/>
                <w:szCs w:val="21"/>
                <w:highlight w:val="none"/>
              </w:rPr>
            </w:pPr>
            <w:r>
              <w:rPr>
                <w:rFonts w:hint="eastAsia" w:ascii="宋体" w:hAnsi="宋体"/>
                <w:color w:val="auto"/>
                <w:szCs w:val="21"/>
                <w:highlight w:val="none"/>
              </w:rPr>
              <w:t>6</w:t>
            </w:r>
          </w:p>
        </w:tc>
        <w:tc>
          <w:tcPr>
            <w:tcW w:w="1701" w:type="dxa"/>
            <w:vAlign w:val="center"/>
          </w:tcPr>
          <w:p w14:paraId="5F8A1457">
            <w:pPr>
              <w:spacing w:line="350" w:lineRule="exact"/>
              <w:jc w:val="center"/>
              <w:rPr>
                <w:rFonts w:ascii="宋体" w:hAnsi="宋体"/>
                <w:color w:val="auto"/>
                <w:position w:val="-2"/>
                <w:szCs w:val="21"/>
                <w:highlight w:val="none"/>
              </w:rPr>
            </w:pPr>
            <w:r>
              <w:rPr>
                <w:rFonts w:hint="eastAsia" w:ascii="宋体" w:hAnsi="宋体"/>
                <w:color w:val="auto"/>
                <w:szCs w:val="21"/>
                <w:highlight w:val="none"/>
              </w:rPr>
              <w:t>广西政府采购云平台电子投标注意事项</w:t>
            </w:r>
          </w:p>
        </w:tc>
        <w:tc>
          <w:tcPr>
            <w:tcW w:w="6946" w:type="dxa"/>
            <w:vAlign w:val="center"/>
          </w:tcPr>
          <w:p w14:paraId="09BA14B5">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6.1本项目为全流程电子化采购项目，通过广西政府采购云平台（www.gcy.zfcg.gxzf.gov.cn）实行在线电子投标，投标人按照本项目招标文件和广西政府采购云平台的要求编制、加密后在投标文件提交截止时间前通过网络上传至广西政府采购云平台（加密的电子投标文件是指后缀名为“jmbs”的文件），投标人在广西政府采购云平台提交电子投标文件时，请填写参加远程投标活动经办人联系方式。投标人登录广西政府采购云平台，依次进入“服务中心</w:t>
            </w:r>
            <w:r>
              <w:rPr>
                <w:rFonts w:hint="eastAsia" w:ascii="宋体" w:hAnsi="宋体"/>
                <w:color w:val="auto"/>
                <w:highlight w:val="none"/>
                <w:lang w:eastAsia="zh-CN"/>
              </w:rPr>
              <w:t>－</w:t>
            </w:r>
            <w:r>
              <w:rPr>
                <w:rFonts w:hint="eastAsia" w:ascii="宋体" w:hAnsi="宋体"/>
                <w:color w:val="auto"/>
                <w:highlight w:val="none"/>
              </w:rPr>
              <w:t>项目采购</w:t>
            </w:r>
            <w:r>
              <w:rPr>
                <w:rFonts w:hint="eastAsia" w:ascii="宋体" w:hAnsi="宋体"/>
                <w:color w:val="auto"/>
                <w:highlight w:val="none"/>
                <w:lang w:eastAsia="zh-CN"/>
              </w:rPr>
              <w:t>－</w:t>
            </w:r>
            <w:r>
              <w:rPr>
                <w:rFonts w:hint="eastAsia" w:ascii="宋体" w:hAnsi="宋体"/>
                <w:color w:val="auto"/>
                <w:highlight w:val="none"/>
              </w:rPr>
              <w:t>操作流程</w:t>
            </w:r>
            <w:r>
              <w:rPr>
                <w:rFonts w:hint="eastAsia" w:ascii="宋体" w:hAnsi="宋体"/>
                <w:color w:val="auto"/>
                <w:highlight w:val="none"/>
                <w:lang w:eastAsia="zh-CN"/>
              </w:rPr>
              <w:t>－</w:t>
            </w:r>
            <w:r>
              <w:rPr>
                <w:rFonts w:hint="eastAsia" w:ascii="宋体" w:hAnsi="宋体"/>
                <w:color w:val="auto"/>
                <w:highlight w:val="none"/>
              </w:rPr>
              <w:t>电子招投标</w:t>
            </w:r>
            <w:r>
              <w:rPr>
                <w:rFonts w:hint="eastAsia" w:ascii="宋体" w:hAnsi="宋体"/>
                <w:color w:val="auto"/>
                <w:highlight w:val="none"/>
                <w:lang w:eastAsia="zh-CN"/>
              </w:rPr>
              <w:t>－</w:t>
            </w:r>
            <w:r>
              <w:rPr>
                <w:rFonts w:hint="eastAsia" w:ascii="宋体" w:hAnsi="宋体"/>
                <w:color w:val="auto"/>
                <w:highlight w:val="none"/>
              </w:rPr>
              <w:t>政府采购项目电子交易管理操作指南</w:t>
            </w:r>
            <w:r>
              <w:rPr>
                <w:rFonts w:hint="eastAsia" w:ascii="宋体" w:hAnsi="宋体"/>
                <w:color w:val="auto"/>
                <w:highlight w:val="none"/>
                <w:lang w:eastAsia="zh-CN"/>
              </w:rPr>
              <w:t>－</w:t>
            </w:r>
            <w:r>
              <w:rPr>
                <w:rFonts w:hint="eastAsia" w:ascii="宋体" w:hAnsi="宋体"/>
                <w:color w:val="auto"/>
                <w:highlight w:val="none"/>
              </w:rPr>
              <w:t>供应商”查看电子投标具体操作流程。</w:t>
            </w:r>
          </w:p>
          <w:p w14:paraId="6EC78D75">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6.2未进行网上注册并办理数字证书（CA认证）的投标人将无法参与本项目政府采购活动，投标人应当在投标文件提交截止时间前，完成电子交易平台上的CA数字证书办理及投标文件的提交（投标人可登录“广西政府采购网”，依次进入“办事服务</w:t>
            </w:r>
            <w:r>
              <w:rPr>
                <w:rFonts w:hint="eastAsia" w:ascii="宋体" w:hAnsi="宋体"/>
                <w:color w:val="auto"/>
                <w:highlight w:val="none"/>
                <w:lang w:eastAsia="zh-CN"/>
              </w:rPr>
              <w:t>－</w:t>
            </w:r>
            <w:r>
              <w:rPr>
                <w:rFonts w:hint="eastAsia" w:ascii="宋体" w:hAnsi="宋体"/>
                <w:color w:val="auto"/>
                <w:highlight w:val="none"/>
              </w:rPr>
              <w:t>下载专区”或者登录广西政府采购云平台，依次进入“服务中心</w:t>
            </w:r>
            <w:r>
              <w:rPr>
                <w:rFonts w:hint="eastAsia" w:ascii="宋体" w:hAnsi="宋体"/>
                <w:color w:val="auto"/>
                <w:highlight w:val="none"/>
                <w:lang w:eastAsia="zh-CN"/>
              </w:rPr>
              <w:t>－</w:t>
            </w:r>
            <w:r>
              <w:rPr>
                <w:rFonts w:hint="eastAsia" w:ascii="宋体" w:hAnsi="宋体"/>
                <w:color w:val="auto"/>
                <w:highlight w:val="none"/>
              </w:rPr>
              <w:t>入驻与配置”中查看CA数字证书办理操作流程。如在操作过程中遇到问题或者需要技术支持，请致电客服热线：95763</w:t>
            </w:r>
            <w:r>
              <w:rPr>
                <w:rFonts w:hint="eastAsia" w:ascii="宋体" w:hAnsi="宋体" w:cs="宋体"/>
                <w:bCs/>
                <w:color w:val="auto"/>
                <w:kern w:val="0"/>
                <w:szCs w:val="21"/>
                <w:highlight w:val="none"/>
              </w:rPr>
              <w:t>或者0771-3381253</w:t>
            </w:r>
            <w:r>
              <w:rPr>
                <w:rFonts w:hint="eastAsia" w:ascii="宋体" w:hAnsi="宋体"/>
                <w:color w:val="auto"/>
                <w:highlight w:val="none"/>
              </w:rPr>
              <w:t>）。</w:t>
            </w:r>
          </w:p>
          <w:p w14:paraId="260097FE">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6.3 CA证书在线解密：投标人投标时，需凭制作投标文件时用来加密的有效数字证书（CA认证）登录广西政府采购云平台电子开标大厅现场按规定时间对加密的投标文件进行解密，否则后果自负。</w:t>
            </w:r>
          </w:p>
          <w:p w14:paraId="0B0AEEC3">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highlight w:val="none"/>
              </w:rPr>
              <w:t>注：1）为确保网上操作合法、有效和安全，请投标人确保在电子投标过程中能够对相关数据电文进行加密和使用电子签章，妥善保管CA数字证书并使用有效的CA数字证书参与整个采购活动。2）各投标人通过广西政府采购云平台参与政府采购项目投标需下载使用新版客户端（以</w:t>
            </w:r>
            <w:r>
              <w:rPr>
                <w:rFonts w:hint="eastAsia" w:ascii="宋体" w:hAnsi="宋体"/>
                <w:color w:val="auto"/>
                <w:highlight w:val="none"/>
                <w:lang w:eastAsia="zh-CN"/>
              </w:rPr>
              <w:t>下简</w:t>
            </w:r>
            <w:r>
              <w:rPr>
                <w:rFonts w:hint="eastAsia" w:ascii="宋体" w:hAnsi="宋体"/>
                <w:color w:val="auto"/>
                <w:highlight w:val="none"/>
              </w:rPr>
              <w:t>称“电子投标客户端”），客户端下载路径：广西政府采购网（访问地址zfcg.gxzf.gov.cn）—办事服务—下载专区。3）投标人应当在投标文件提交截止时间前完成电子投标文件的上传、提交</w:t>
            </w:r>
            <w:r>
              <w:rPr>
                <w:rFonts w:hint="eastAsia" w:ascii="宋体" w:hAnsi="宋体"/>
                <w:color w:val="auto"/>
                <w:highlight w:val="none"/>
                <w:lang w:eastAsia="zh-CN"/>
              </w:rPr>
              <w:t>，在</w:t>
            </w:r>
            <w:r>
              <w:rPr>
                <w:rFonts w:hint="eastAsia" w:ascii="宋体" w:hAnsi="宋体"/>
                <w:color w:val="auto"/>
                <w:highlight w:val="none"/>
              </w:rPr>
              <w:t>投标文件提交截止时间前可以补充、修改或者撤回投标文件。补充或者修改投标文件的，应当先行撤回原投标文件，补充、修改后重新上传、提交，投标文件提交截止时间止未完成上传、提交的，视为撤回投标文件。投标文件提交截止时间以后上传递交的投标文件，广西政府采购云平台将予以拒收。</w:t>
            </w:r>
          </w:p>
        </w:tc>
      </w:tr>
      <w:tr w14:paraId="74A6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5147F7F7">
            <w:pPr>
              <w:spacing w:line="350" w:lineRule="exact"/>
              <w:jc w:val="center"/>
              <w:rPr>
                <w:rFonts w:ascii="宋体" w:hAnsi="宋体"/>
                <w:color w:val="auto"/>
                <w:szCs w:val="21"/>
                <w:highlight w:val="none"/>
              </w:rPr>
            </w:pPr>
            <w:r>
              <w:rPr>
                <w:rFonts w:hint="eastAsia" w:ascii="宋体" w:hAnsi="宋体"/>
                <w:color w:val="auto"/>
                <w:szCs w:val="21"/>
                <w:highlight w:val="none"/>
              </w:rPr>
              <w:t>4</w:t>
            </w:r>
          </w:p>
        </w:tc>
        <w:tc>
          <w:tcPr>
            <w:tcW w:w="850" w:type="dxa"/>
            <w:vAlign w:val="center"/>
          </w:tcPr>
          <w:p w14:paraId="699B27CB">
            <w:pPr>
              <w:spacing w:line="350" w:lineRule="exact"/>
              <w:jc w:val="center"/>
              <w:rPr>
                <w:rFonts w:ascii="宋体" w:hAnsi="宋体"/>
                <w:color w:val="auto"/>
                <w:position w:val="-2"/>
                <w:szCs w:val="21"/>
                <w:highlight w:val="none"/>
              </w:rPr>
            </w:pPr>
            <w:r>
              <w:rPr>
                <w:rFonts w:hint="eastAsia" w:ascii="宋体" w:hAnsi="宋体"/>
                <w:color w:val="auto"/>
                <w:position w:val="-2"/>
                <w:szCs w:val="21"/>
                <w:highlight w:val="none"/>
              </w:rPr>
              <w:t>15</w:t>
            </w:r>
          </w:p>
        </w:tc>
        <w:tc>
          <w:tcPr>
            <w:tcW w:w="1701" w:type="dxa"/>
            <w:vAlign w:val="center"/>
          </w:tcPr>
          <w:p w14:paraId="58E96560">
            <w:pPr>
              <w:spacing w:line="350" w:lineRule="exact"/>
              <w:jc w:val="center"/>
              <w:rPr>
                <w:rFonts w:ascii="宋体" w:hAnsi="宋体"/>
                <w:color w:val="auto"/>
                <w:szCs w:val="21"/>
                <w:highlight w:val="none"/>
              </w:rPr>
            </w:pPr>
            <w:r>
              <w:rPr>
                <w:rFonts w:hint="eastAsia" w:ascii="宋体" w:hAnsi="宋体"/>
                <w:color w:val="auto"/>
                <w:szCs w:val="21"/>
                <w:highlight w:val="none"/>
              </w:rPr>
              <w:t>投标报价</w:t>
            </w:r>
          </w:p>
        </w:tc>
        <w:tc>
          <w:tcPr>
            <w:tcW w:w="6946" w:type="dxa"/>
            <w:vAlign w:val="center"/>
          </w:tcPr>
          <w:p w14:paraId="5FC4143E">
            <w:pPr>
              <w:keepNext w:val="0"/>
              <w:keepLines w:val="0"/>
              <w:pageBreakBefore w:val="0"/>
              <w:widowControl w:val="0"/>
              <w:tabs>
                <w:tab w:val="left" w:pos="1305"/>
              </w:tabs>
              <w:kinsoku/>
              <w:wordWrap/>
              <w:overflowPunct/>
              <w:topLinePunct w:val="0"/>
              <w:autoSpaceDE/>
              <w:autoSpaceDN/>
              <w:bidi w:val="0"/>
              <w:spacing w:line="310" w:lineRule="exact"/>
              <w:textAlignment w:val="auto"/>
              <w:rPr>
                <w:rFonts w:ascii="宋体" w:hAnsi="宋体"/>
                <w:b/>
                <w:color w:val="auto"/>
                <w:szCs w:val="21"/>
                <w:highlight w:val="none"/>
              </w:rPr>
            </w:pPr>
            <w:r>
              <w:rPr>
                <w:rFonts w:hint="eastAsia" w:ascii="宋体" w:hAnsi="宋体"/>
                <w:b/>
                <w:color w:val="auto"/>
                <w:szCs w:val="21"/>
                <w:highlight w:val="none"/>
              </w:rPr>
              <w:t>15.1投标报价必须按招标文件中第六章“投标文件（格式）”填写。</w:t>
            </w:r>
          </w:p>
          <w:p w14:paraId="53849995">
            <w:pPr>
              <w:keepNext w:val="0"/>
              <w:keepLines w:val="0"/>
              <w:pageBreakBefore w:val="0"/>
              <w:widowControl w:val="0"/>
              <w:kinsoku/>
              <w:wordWrap/>
              <w:overflowPunct/>
              <w:topLinePunct w:val="0"/>
              <w:autoSpaceDE/>
              <w:autoSpaceDN/>
              <w:bidi w:val="0"/>
              <w:spacing w:line="310" w:lineRule="exact"/>
              <w:textAlignment w:val="auto"/>
              <w:rPr>
                <w:rFonts w:ascii="宋体" w:hAnsi="宋体"/>
                <w:b/>
                <w:color w:val="auto"/>
                <w:szCs w:val="21"/>
                <w:highlight w:val="none"/>
              </w:rPr>
            </w:pPr>
            <w:r>
              <w:rPr>
                <w:rFonts w:hint="eastAsia" w:ascii="宋体" w:hAnsi="宋体"/>
                <w:b/>
                <w:color w:val="auto"/>
                <w:szCs w:val="21"/>
                <w:highlight w:val="none"/>
              </w:rPr>
              <w:t>1</w:t>
            </w:r>
            <w:r>
              <w:rPr>
                <w:rFonts w:hint="eastAsia" w:ascii="宋体" w:hAnsi="宋体"/>
                <w:b/>
                <w:color w:val="auto"/>
                <w:szCs w:val="21"/>
                <w:highlight w:val="none"/>
              </w:rPr>
              <w:t>5.2采购预算</w:t>
            </w:r>
            <w:r>
              <w:rPr>
                <w:rFonts w:hint="eastAsia" w:ascii="宋体" w:hAnsi="宋体"/>
                <w:b/>
                <w:color w:val="auto"/>
                <w:szCs w:val="21"/>
                <w:highlight w:val="none"/>
                <w:lang w:eastAsia="zh-CN"/>
              </w:rPr>
              <w:t>及最高限价：</w:t>
            </w:r>
            <w:r>
              <w:rPr>
                <w:rFonts w:hint="eastAsia" w:ascii="宋体" w:hAnsi="宋体"/>
                <w:b/>
                <w:color w:val="auto"/>
                <w:szCs w:val="21"/>
                <w:highlight w:val="none"/>
                <w:lang w:val="en-US" w:eastAsia="zh-CN"/>
              </w:rPr>
              <w:t>分标1采购预算金额为贰拾捌万伍仟捌佰元整（¥</w:t>
            </w:r>
            <w:r>
              <w:rPr>
                <w:rFonts w:hint="eastAsia" w:ascii="宋体" w:hAnsi="宋体"/>
                <w:b/>
                <w:color w:val="auto"/>
                <w:szCs w:val="21"/>
                <w:highlight w:val="none"/>
              </w:rPr>
              <w:t>285800</w:t>
            </w:r>
            <w:r>
              <w:rPr>
                <w:rFonts w:hint="eastAsia" w:ascii="宋体" w:hAnsi="宋体"/>
                <w:b/>
                <w:color w:val="auto"/>
                <w:szCs w:val="21"/>
                <w:highlight w:val="none"/>
                <w:lang w:val="en-US" w:eastAsia="zh-CN"/>
              </w:rPr>
              <w:t>.00），最高限价金额为贰拾柒万陆仟壹佰元整（¥276100.00）；分标2采购预算金额为肆拾万零壹仟肆佰元整（¥</w:t>
            </w:r>
            <w:r>
              <w:rPr>
                <w:rFonts w:hint="eastAsia" w:ascii="宋体" w:hAnsi="宋体"/>
                <w:b/>
                <w:color w:val="auto"/>
                <w:szCs w:val="21"/>
                <w:highlight w:val="none"/>
              </w:rPr>
              <w:t>401400</w:t>
            </w:r>
            <w:r>
              <w:rPr>
                <w:rFonts w:hint="eastAsia" w:ascii="宋体" w:hAnsi="宋体"/>
                <w:b/>
                <w:color w:val="auto"/>
                <w:szCs w:val="21"/>
                <w:highlight w:val="none"/>
                <w:lang w:val="en-US" w:eastAsia="zh-CN"/>
              </w:rPr>
              <w:t>.00），最高限价金额为</w:t>
            </w:r>
            <w:r>
              <w:rPr>
                <w:rFonts w:hint="eastAsia" w:ascii="宋体" w:hAnsi="宋体" w:eastAsia="宋体" w:cs="宋体"/>
                <w:b/>
                <w:color w:val="auto"/>
                <w:sz w:val="21"/>
                <w:szCs w:val="21"/>
                <w:highlight w:val="none"/>
                <w:lang w:val="en-US" w:eastAsia="zh-CN"/>
              </w:rPr>
              <w:t>叁拾玖万叁仟元整（¥393000.00）</w:t>
            </w:r>
            <w:r>
              <w:rPr>
                <w:rFonts w:hint="eastAsia" w:ascii="宋体" w:hAnsi="宋体"/>
                <w:b/>
                <w:color w:val="auto"/>
                <w:szCs w:val="21"/>
                <w:highlight w:val="none"/>
                <w:lang w:val="en-US" w:eastAsia="zh-CN"/>
              </w:rPr>
              <w:t>；分标3采购预算金额为</w:t>
            </w:r>
            <w:r>
              <w:rPr>
                <w:rFonts w:hint="eastAsia" w:ascii="宋体" w:hAnsi="宋体" w:eastAsia="宋体" w:cs="宋体"/>
                <w:b/>
                <w:bCs w:val="0"/>
                <w:color w:val="auto"/>
                <w:sz w:val="21"/>
                <w:szCs w:val="21"/>
                <w:highlight w:val="none"/>
                <w:lang w:val="en-US" w:eastAsia="zh-CN"/>
              </w:rPr>
              <w:t>肆拾玖万元整（¥</w:t>
            </w:r>
            <w:r>
              <w:rPr>
                <w:rFonts w:hint="eastAsia" w:ascii="宋体" w:hAnsi="宋体"/>
                <w:b/>
                <w:bCs w:val="0"/>
                <w:color w:val="auto"/>
                <w:highlight w:val="none"/>
              </w:rPr>
              <w:t>490000</w:t>
            </w:r>
            <w:r>
              <w:rPr>
                <w:rFonts w:hint="eastAsia" w:ascii="宋体" w:hAnsi="宋体"/>
                <w:b/>
                <w:bCs w:val="0"/>
                <w:color w:val="auto"/>
                <w:highlight w:val="none"/>
                <w:lang w:val="en-US" w:eastAsia="zh-CN"/>
              </w:rPr>
              <w:t>.00</w:t>
            </w:r>
            <w:r>
              <w:rPr>
                <w:rFonts w:hint="eastAsia" w:ascii="宋体" w:hAnsi="宋体" w:eastAsia="宋体" w:cs="宋体"/>
                <w:b/>
                <w:bCs w:val="0"/>
                <w:color w:val="auto"/>
                <w:sz w:val="21"/>
                <w:szCs w:val="21"/>
                <w:highlight w:val="none"/>
                <w:lang w:val="en-US" w:eastAsia="zh-CN"/>
              </w:rPr>
              <w:t>）</w:t>
            </w:r>
            <w:r>
              <w:rPr>
                <w:rFonts w:hint="eastAsia" w:ascii="宋体" w:hAnsi="宋体" w:cs="宋体"/>
                <w:b/>
                <w:color w:val="auto"/>
                <w:sz w:val="21"/>
                <w:szCs w:val="21"/>
                <w:highlight w:val="none"/>
                <w:lang w:val="en-US" w:eastAsia="zh-CN"/>
              </w:rPr>
              <w:t>，</w:t>
            </w:r>
            <w:r>
              <w:rPr>
                <w:rFonts w:hint="eastAsia" w:ascii="宋体" w:hAnsi="宋体"/>
                <w:b/>
                <w:color w:val="auto"/>
                <w:szCs w:val="21"/>
                <w:highlight w:val="none"/>
                <w:lang w:val="en-US" w:eastAsia="zh-CN"/>
              </w:rPr>
              <w:t>最高限价金额为肆拾捌万捌仟元整（¥488000.00）；投标人所投分标</w:t>
            </w:r>
            <w:r>
              <w:rPr>
                <w:rFonts w:hint="eastAsia" w:ascii="宋体" w:hAnsi="宋体"/>
                <w:b/>
                <w:color w:val="auto"/>
                <w:szCs w:val="21"/>
                <w:highlight w:val="none"/>
              </w:rPr>
              <w:t>投标报价超过</w:t>
            </w:r>
            <w:r>
              <w:rPr>
                <w:rFonts w:hint="eastAsia" w:ascii="宋体" w:hAnsi="宋体"/>
                <w:b/>
                <w:color w:val="auto"/>
                <w:szCs w:val="21"/>
                <w:highlight w:val="none"/>
                <w:lang w:val="en-US" w:eastAsia="zh-CN"/>
              </w:rPr>
              <w:t>相应分标</w:t>
            </w:r>
            <w:r>
              <w:rPr>
                <w:rFonts w:hint="eastAsia" w:ascii="宋体" w:hAnsi="宋体"/>
                <w:b/>
                <w:color w:val="auto"/>
                <w:szCs w:val="21"/>
                <w:highlight w:val="none"/>
                <w:lang w:eastAsia="zh-CN"/>
              </w:rPr>
              <w:t>最高限价</w:t>
            </w:r>
            <w:r>
              <w:rPr>
                <w:rFonts w:hint="eastAsia" w:ascii="宋体" w:hAnsi="宋体"/>
                <w:b/>
                <w:color w:val="auto"/>
                <w:szCs w:val="21"/>
                <w:highlight w:val="none"/>
              </w:rPr>
              <w:t>金额的，投标文件</w:t>
            </w:r>
            <w:r>
              <w:rPr>
                <w:rFonts w:hint="eastAsia" w:ascii="宋体" w:hAnsi="宋体"/>
                <w:b/>
                <w:color w:val="auto"/>
                <w:szCs w:val="21"/>
                <w:highlight w:val="none"/>
                <w:lang w:eastAsia="zh-CN"/>
              </w:rPr>
              <w:t>按分标</w:t>
            </w:r>
            <w:r>
              <w:rPr>
                <w:rFonts w:hint="eastAsia" w:ascii="宋体" w:hAnsi="宋体"/>
                <w:b/>
                <w:color w:val="auto"/>
                <w:szCs w:val="21"/>
                <w:highlight w:val="none"/>
              </w:rPr>
              <w:t>作无效处理。</w:t>
            </w:r>
          </w:p>
          <w:p w14:paraId="36F1222B">
            <w:pPr>
              <w:keepNext w:val="0"/>
              <w:keepLines w:val="0"/>
              <w:pageBreakBefore w:val="0"/>
              <w:widowControl w:val="0"/>
              <w:kinsoku/>
              <w:wordWrap/>
              <w:overflowPunct/>
              <w:topLinePunct w:val="0"/>
              <w:autoSpaceDE/>
              <w:autoSpaceDN/>
              <w:bidi w:val="0"/>
              <w:spacing w:line="310" w:lineRule="exact"/>
              <w:textAlignment w:val="auto"/>
              <w:rPr>
                <w:rFonts w:ascii="宋体" w:hAnsi="宋体"/>
                <w:b/>
                <w:color w:val="auto"/>
                <w:szCs w:val="21"/>
                <w:highlight w:val="none"/>
              </w:rPr>
            </w:pPr>
            <w:r>
              <w:rPr>
                <w:rFonts w:hint="eastAsia" w:ascii="宋体" w:hAnsi="宋体"/>
                <w:b/>
                <w:color w:val="auto"/>
                <w:szCs w:val="21"/>
                <w:highlight w:val="none"/>
              </w:rPr>
              <w:t>15.3投标人必须就</w:t>
            </w:r>
            <w:r>
              <w:rPr>
                <w:rFonts w:hint="eastAsia" w:ascii="宋体" w:hAnsi="宋体"/>
                <w:b/>
                <w:color w:val="auto"/>
                <w:szCs w:val="21"/>
                <w:highlight w:val="none"/>
                <w:lang w:val="en-US" w:eastAsia="zh-CN"/>
              </w:rPr>
              <w:t>所投分标</w:t>
            </w:r>
            <w:r>
              <w:rPr>
                <w:rFonts w:hint="eastAsia" w:ascii="宋体" w:hAnsi="宋体"/>
                <w:b/>
                <w:color w:val="auto"/>
                <w:szCs w:val="21"/>
                <w:highlight w:val="none"/>
              </w:rPr>
              <w:t>“采购需求”中所有内容作完整唯一报价，否则，其投标将被拒绝；投标文件只允许有一个报价方案，有选择的或有条件的报价将不予接受。</w:t>
            </w:r>
          </w:p>
        </w:tc>
      </w:tr>
      <w:tr w14:paraId="0F75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644" w:type="dxa"/>
            <w:vAlign w:val="center"/>
          </w:tcPr>
          <w:p w14:paraId="2AE7374A">
            <w:pPr>
              <w:spacing w:line="350" w:lineRule="exact"/>
              <w:jc w:val="center"/>
              <w:rPr>
                <w:rFonts w:ascii="宋体" w:hAnsi="宋体"/>
                <w:color w:val="auto"/>
                <w:szCs w:val="21"/>
                <w:highlight w:val="none"/>
              </w:rPr>
            </w:pPr>
            <w:r>
              <w:rPr>
                <w:rFonts w:hint="eastAsia" w:ascii="宋体" w:hAnsi="宋体"/>
                <w:color w:val="auto"/>
                <w:szCs w:val="21"/>
                <w:highlight w:val="none"/>
              </w:rPr>
              <w:t>5</w:t>
            </w:r>
          </w:p>
        </w:tc>
        <w:tc>
          <w:tcPr>
            <w:tcW w:w="850" w:type="dxa"/>
            <w:vAlign w:val="center"/>
          </w:tcPr>
          <w:p w14:paraId="4DF400E5">
            <w:pPr>
              <w:spacing w:line="350" w:lineRule="exact"/>
              <w:jc w:val="center"/>
              <w:rPr>
                <w:rFonts w:ascii="宋体" w:hAnsi="宋体"/>
                <w:color w:val="auto"/>
                <w:szCs w:val="21"/>
                <w:highlight w:val="none"/>
              </w:rPr>
            </w:pPr>
            <w:r>
              <w:rPr>
                <w:rFonts w:hint="eastAsia" w:ascii="宋体" w:hAnsi="宋体"/>
                <w:color w:val="auto"/>
                <w:szCs w:val="21"/>
                <w:highlight w:val="none"/>
              </w:rPr>
              <w:t>16</w:t>
            </w:r>
          </w:p>
        </w:tc>
        <w:tc>
          <w:tcPr>
            <w:tcW w:w="1701" w:type="dxa"/>
            <w:vAlign w:val="center"/>
          </w:tcPr>
          <w:p w14:paraId="705C294B">
            <w:pPr>
              <w:spacing w:line="350" w:lineRule="exact"/>
              <w:jc w:val="center"/>
              <w:rPr>
                <w:rFonts w:ascii="宋体" w:hAnsi="宋体"/>
                <w:color w:val="auto"/>
                <w:szCs w:val="21"/>
                <w:highlight w:val="none"/>
              </w:rPr>
            </w:pPr>
            <w:r>
              <w:rPr>
                <w:rFonts w:hint="eastAsia" w:ascii="宋体" w:hAnsi="宋体"/>
                <w:color w:val="auto"/>
                <w:szCs w:val="21"/>
                <w:highlight w:val="none"/>
              </w:rPr>
              <w:t>投标有效期</w:t>
            </w:r>
          </w:p>
        </w:tc>
        <w:tc>
          <w:tcPr>
            <w:tcW w:w="6946" w:type="dxa"/>
            <w:vAlign w:val="center"/>
          </w:tcPr>
          <w:p w14:paraId="446CD2F4">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投标截止时间之日起9</w:t>
            </w:r>
            <w:r>
              <w:rPr>
                <w:rFonts w:ascii="宋体" w:hAnsi="宋体"/>
                <w:color w:val="auto"/>
                <w:szCs w:val="21"/>
                <w:highlight w:val="none"/>
              </w:rPr>
              <w:t>0</w:t>
            </w:r>
            <w:r>
              <w:rPr>
                <w:rFonts w:hint="eastAsia" w:ascii="宋体" w:hAnsi="宋体"/>
                <w:color w:val="auto"/>
                <w:szCs w:val="21"/>
                <w:highlight w:val="none"/>
              </w:rPr>
              <w:t>天</w:t>
            </w:r>
            <w:r>
              <w:rPr>
                <w:rFonts w:ascii="宋体" w:hAnsi="宋体"/>
                <w:color w:val="auto"/>
                <w:szCs w:val="21"/>
                <w:highlight w:val="none"/>
              </w:rPr>
              <w:t>。</w:t>
            </w:r>
          </w:p>
        </w:tc>
      </w:tr>
      <w:tr w14:paraId="5472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644" w:type="dxa"/>
            <w:vAlign w:val="center"/>
          </w:tcPr>
          <w:p w14:paraId="2FAE2B19">
            <w:pPr>
              <w:spacing w:line="350" w:lineRule="exact"/>
              <w:jc w:val="center"/>
              <w:rPr>
                <w:rFonts w:ascii="宋体" w:hAnsi="宋体"/>
                <w:color w:val="auto"/>
                <w:szCs w:val="21"/>
                <w:highlight w:val="none"/>
              </w:rPr>
            </w:pPr>
            <w:r>
              <w:rPr>
                <w:rFonts w:hint="eastAsia" w:ascii="宋体" w:hAnsi="宋体"/>
                <w:color w:val="auto"/>
                <w:szCs w:val="21"/>
                <w:highlight w:val="none"/>
              </w:rPr>
              <w:t>6</w:t>
            </w:r>
          </w:p>
        </w:tc>
        <w:tc>
          <w:tcPr>
            <w:tcW w:w="850" w:type="dxa"/>
            <w:vAlign w:val="center"/>
          </w:tcPr>
          <w:p w14:paraId="75E8F448">
            <w:pPr>
              <w:spacing w:line="350" w:lineRule="exact"/>
              <w:jc w:val="center"/>
              <w:rPr>
                <w:color w:val="auto"/>
                <w:highlight w:val="none"/>
              </w:rPr>
            </w:pPr>
            <w:r>
              <w:rPr>
                <w:rFonts w:hint="eastAsia" w:ascii="宋体" w:hAnsi="宋体" w:cs="宋体"/>
                <w:color w:val="auto"/>
                <w:kern w:val="0"/>
                <w:szCs w:val="21"/>
                <w:highlight w:val="none"/>
              </w:rPr>
              <w:t>18</w:t>
            </w:r>
          </w:p>
        </w:tc>
        <w:tc>
          <w:tcPr>
            <w:tcW w:w="1701" w:type="dxa"/>
            <w:vAlign w:val="center"/>
          </w:tcPr>
          <w:p w14:paraId="7D8A6E23">
            <w:pPr>
              <w:spacing w:line="350" w:lineRule="exact"/>
              <w:jc w:val="center"/>
              <w:rPr>
                <w:rFonts w:ascii="宋体" w:hAnsi="宋体"/>
                <w:color w:val="auto"/>
                <w:szCs w:val="21"/>
                <w:highlight w:val="none"/>
              </w:rPr>
            </w:pPr>
            <w:r>
              <w:rPr>
                <w:rFonts w:hint="eastAsia" w:ascii="宋体" w:hAnsi="宋体" w:cs="宋体"/>
                <w:color w:val="auto"/>
                <w:kern w:val="0"/>
                <w:szCs w:val="21"/>
                <w:highlight w:val="none"/>
              </w:rPr>
              <w:t>电子投标文件的制作、加密要求</w:t>
            </w:r>
          </w:p>
        </w:tc>
        <w:tc>
          <w:tcPr>
            <w:tcW w:w="6946" w:type="dxa"/>
            <w:vAlign w:val="center"/>
          </w:tcPr>
          <w:p w14:paraId="7B816DA7">
            <w:pPr>
              <w:keepNext w:val="0"/>
              <w:keepLines w:val="0"/>
              <w:pageBreakBefore w:val="0"/>
              <w:widowControl w:val="0"/>
              <w:kinsoku/>
              <w:wordWrap/>
              <w:overflowPunct/>
              <w:topLinePunct w:val="0"/>
              <w:autoSpaceDE/>
              <w:autoSpaceDN/>
              <w:bidi w:val="0"/>
              <w:snapToGrid w:val="0"/>
              <w:spacing w:line="310" w:lineRule="exact"/>
              <w:jc w:val="left"/>
              <w:textAlignment w:val="auto"/>
              <w:rPr>
                <w:rFonts w:ascii="宋体" w:hAnsi="宋体" w:cs="宋体"/>
                <w:bCs/>
                <w:color w:val="auto"/>
                <w:szCs w:val="21"/>
                <w:highlight w:val="none"/>
              </w:rPr>
            </w:pPr>
            <w:r>
              <w:rPr>
                <w:rFonts w:hint="eastAsia" w:ascii="宋体" w:hAnsi="宋体" w:cs="宋体"/>
                <w:color w:val="auto"/>
                <w:highlight w:val="none"/>
              </w:rPr>
              <w:t>18.1投标人制作电子投标文件前，</w:t>
            </w:r>
            <w:r>
              <w:rPr>
                <w:rFonts w:hint="eastAsia" w:ascii="宋体" w:hAnsi="宋体" w:cs="宋体"/>
                <w:bCs/>
                <w:color w:val="auto"/>
                <w:szCs w:val="21"/>
                <w:highlight w:val="none"/>
              </w:rPr>
              <w:t>应登录广西政府采购云平台进行“申请获取采购文件”操作，否则，有可能导致无法在线编制投标文件并参与投标，其不利后果由投标人自行承担。</w:t>
            </w:r>
          </w:p>
          <w:p w14:paraId="7B935AAD">
            <w:pPr>
              <w:keepNext w:val="0"/>
              <w:keepLines w:val="0"/>
              <w:pageBreakBefore w:val="0"/>
              <w:widowControl w:val="0"/>
              <w:kinsoku/>
              <w:wordWrap/>
              <w:overflowPunct/>
              <w:topLinePunct w:val="0"/>
              <w:autoSpaceDE/>
              <w:autoSpaceDN/>
              <w:bidi w:val="0"/>
              <w:snapToGrid w:val="0"/>
              <w:spacing w:line="310" w:lineRule="exact"/>
              <w:jc w:val="left"/>
              <w:textAlignment w:val="auto"/>
              <w:rPr>
                <w:rFonts w:ascii="宋体" w:hAnsi="宋体" w:cs="宋体"/>
                <w:color w:val="auto"/>
                <w:highlight w:val="none"/>
              </w:rPr>
            </w:pPr>
            <w:r>
              <w:rPr>
                <w:rFonts w:hint="eastAsia" w:ascii="宋体" w:hAnsi="宋体" w:cs="宋体"/>
                <w:color w:val="auto"/>
                <w:highlight w:val="none"/>
              </w:rPr>
              <w:t>18.2投标人下载或获取招标文件后，登录“电子投标客户端”，按照本招标文件规定的投标文件格式、顺序以及广西政府采购云平台的要求，通过“电子投标客户端”编制电子投标文件。</w:t>
            </w:r>
          </w:p>
          <w:p w14:paraId="2C003032">
            <w:pPr>
              <w:keepNext w:val="0"/>
              <w:keepLines w:val="0"/>
              <w:pageBreakBefore w:val="0"/>
              <w:widowControl w:val="0"/>
              <w:kinsoku/>
              <w:wordWrap/>
              <w:overflowPunct/>
              <w:topLinePunct w:val="0"/>
              <w:autoSpaceDE/>
              <w:autoSpaceDN/>
              <w:bidi w:val="0"/>
              <w:snapToGrid w:val="0"/>
              <w:spacing w:line="310" w:lineRule="exact"/>
              <w:jc w:val="left"/>
              <w:textAlignment w:val="auto"/>
              <w:rPr>
                <w:rFonts w:ascii="宋体" w:hAnsi="宋体" w:cs="宋体"/>
                <w:color w:val="auto"/>
                <w:highlight w:val="none"/>
              </w:rPr>
            </w:pPr>
            <w:r>
              <w:rPr>
                <w:rFonts w:hint="eastAsia" w:ascii="宋体" w:hAnsi="宋体" w:cs="宋体"/>
                <w:color w:val="auto"/>
                <w:highlight w:val="none"/>
              </w:rPr>
              <w:t>18.3</w:t>
            </w:r>
            <w:r>
              <w:rPr>
                <w:rFonts w:hint="eastAsia"/>
                <w:color w:val="auto"/>
                <w:highlight w:val="none"/>
              </w:rPr>
              <w:t>投标人应按</w:t>
            </w:r>
            <w:r>
              <w:rPr>
                <w:color w:val="auto"/>
                <w:highlight w:val="none"/>
              </w:rPr>
              <w:t>“</w:t>
            </w:r>
            <w:r>
              <w:rPr>
                <w:rFonts w:hint="eastAsia"/>
                <w:color w:val="auto"/>
                <w:highlight w:val="none"/>
              </w:rPr>
              <w:t>电子投标客户端</w:t>
            </w:r>
            <w:r>
              <w:rPr>
                <w:color w:val="auto"/>
                <w:highlight w:val="none"/>
              </w:rPr>
              <w:t>”</w:t>
            </w:r>
            <w:r>
              <w:rPr>
                <w:rFonts w:hint="eastAsia"/>
                <w:color w:val="auto"/>
                <w:highlight w:val="none"/>
              </w:rPr>
              <w:t>载明的</w:t>
            </w:r>
            <w:r>
              <w:rPr>
                <w:color w:val="auto"/>
                <w:highlight w:val="none"/>
              </w:rPr>
              <w:t>“</w:t>
            </w:r>
            <w:r>
              <w:rPr>
                <w:rFonts w:hint="eastAsia"/>
                <w:color w:val="auto"/>
                <w:highlight w:val="none"/>
              </w:rPr>
              <w:t>标书关联</w:t>
            </w:r>
            <w:r>
              <w:rPr>
                <w:color w:val="auto"/>
                <w:highlight w:val="none"/>
              </w:rPr>
              <w:t>”</w:t>
            </w:r>
            <w:r>
              <w:rPr>
                <w:rFonts w:hint="eastAsia"/>
                <w:color w:val="auto"/>
                <w:highlight w:val="none"/>
              </w:rPr>
              <w:t>功能进行电子投标文件相应内容的关联定位，以便评标委员会在评审时点击相应评审项可直接定位到该评审内容；如投标人的电子投标文件未能关联定位相应内容，或者关联定位的内容与该评审项不符，导致评标委员会无法查询并做出对投标人不利的评审，相关后果由投标人自行承担</w:t>
            </w:r>
            <w:r>
              <w:rPr>
                <w:rFonts w:hint="eastAsia" w:ascii="宋体" w:hAnsi="宋体" w:cs="宋体"/>
                <w:color w:val="auto"/>
                <w:highlight w:val="none"/>
              </w:rPr>
              <w:t>。</w:t>
            </w:r>
          </w:p>
          <w:p w14:paraId="664B3B3C">
            <w:pPr>
              <w:keepNext w:val="0"/>
              <w:keepLines w:val="0"/>
              <w:pageBreakBefore w:val="0"/>
              <w:widowControl w:val="0"/>
              <w:kinsoku/>
              <w:wordWrap/>
              <w:overflowPunct/>
              <w:topLinePunct w:val="0"/>
              <w:autoSpaceDE/>
              <w:autoSpaceDN/>
              <w:bidi w:val="0"/>
              <w:snapToGrid w:val="0"/>
              <w:spacing w:line="310" w:lineRule="exact"/>
              <w:jc w:val="left"/>
              <w:textAlignment w:val="auto"/>
              <w:rPr>
                <w:rFonts w:ascii="宋体" w:hAnsi="宋体" w:cs="宋体"/>
                <w:b/>
                <w:color w:val="auto"/>
                <w:highlight w:val="none"/>
              </w:rPr>
            </w:pPr>
            <w:r>
              <w:rPr>
                <w:rFonts w:hint="eastAsia" w:ascii="宋体" w:hAnsi="宋体" w:cs="宋体"/>
                <w:b/>
                <w:color w:val="auto"/>
                <w:highlight w:val="none"/>
              </w:rPr>
              <w:t>18.4电子投标文件不得涂改，若有修改错漏处，须由法定代表人或授权委托代理人签字（或者电子签名）。电子投标文件按本须知载明的投标文件组成及要求进行编排，因投标文件字迹潦草、表达不清、内容不完整或投标文件相应内容未按要求编排、编排混乱导致投标文件被误读、漏读，或者在招标文件规定的部位查找不到相关内容，导致做出对投标人不利的资格审查或评审结果，其不利后果由投标人自行承担。</w:t>
            </w:r>
          </w:p>
          <w:p w14:paraId="36B9B396">
            <w:pPr>
              <w:pStyle w:val="26"/>
              <w:keepNext w:val="0"/>
              <w:keepLines w:val="0"/>
              <w:pageBreakBefore w:val="0"/>
              <w:widowControl w:val="0"/>
              <w:kinsoku/>
              <w:wordWrap/>
              <w:overflowPunct/>
              <w:topLinePunct w:val="0"/>
              <w:autoSpaceDE/>
              <w:autoSpaceDN/>
              <w:bidi w:val="0"/>
              <w:snapToGrid w:val="0"/>
              <w:spacing w:line="310" w:lineRule="exact"/>
              <w:textAlignment w:val="auto"/>
              <w:rPr>
                <w:rFonts w:hAnsi="宋体"/>
                <w:color w:val="auto"/>
                <w:szCs w:val="21"/>
                <w:highlight w:val="none"/>
              </w:rPr>
            </w:pPr>
            <w:r>
              <w:rPr>
                <w:rFonts w:hint="eastAsia" w:hAnsi="宋体" w:cs="宋体"/>
                <w:color w:val="auto"/>
                <w:highlight w:val="none"/>
              </w:rPr>
              <w:t>18.5投标人编制、生成电子投标文件后应当加密投标文件。投标人未按规定编制并加密的投标文件，</w:t>
            </w:r>
            <w:r>
              <w:rPr>
                <w:rFonts w:hint="eastAsia" w:hAnsi="宋体" w:cs="宋体"/>
                <w:b/>
                <w:color w:val="auto"/>
                <w:highlight w:val="none"/>
              </w:rPr>
              <w:t>广西政府采购云平台将予以拒收</w:t>
            </w:r>
            <w:r>
              <w:rPr>
                <w:rFonts w:hint="eastAsia" w:hAnsi="宋体" w:cs="宋体"/>
                <w:color w:val="auto"/>
                <w:highlight w:val="none"/>
              </w:rPr>
              <w:t>。</w:t>
            </w:r>
          </w:p>
        </w:tc>
      </w:tr>
      <w:tr w14:paraId="44F2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644" w:type="dxa"/>
            <w:vAlign w:val="center"/>
          </w:tcPr>
          <w:p w14:paraId="3E7C090C">
            <w:pPr>
              <w:spacing w:line="350" w:lineRule="exact"/>
              <w:jc w:val="center"/>
              <w:rPr>
                <w:rFonts w:ascii="宋体" w:hAnsi="宋体"/>
                <w:color w:val="auto"/>
                <w:szCs w:val="21"/>
                <w:highlight w:val="none"/>
              </w:rPr>
            </w:pPr>
            <w:r>
              <w:rPr>
                <w:rFonts w:hint="eastAsia" w:ascii="宋体" w:hAnsi="宋体"/>
                <w:color w:val="auto"/>
                <w:szCs w:val="21"/>
                <w:highlight w:val="none"/>
              </w:rPr>
              <w:t>7</w:t>
            </w:r>
          </w:p>
        </w:tc>
        <w:tc>
          <w:tcPr>
            <w:tcW w:w="850" w:type="dxa"/>
            <w:vAlign w:val="center"/>
          </w:tcPr>
          <w:p w14:paraId="63ADD048">
            <w:pPr>
              <w:spacing w:line="35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19</w:t>
            </w:r>
          </w:p>
        </w:tc>
        <w:tc>
          <w:tcPr>
            <w:tcW w:w="1701" w:type="dxa"/>
            <w:vAlign w:val="center"/>
          </w:tcPr>
          <w:p w14:paraId="4CAC3EA6">
            <w:pPr>
              <w:spacing w:line="35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投标文件的递交</w:t>
            </w:r>
          </w:p>
        </w:tc>
        <w:tc>
          <w:tcPr>
            <w:tcW w:w="6946" w:type="dxa"/>
            <w:vAlign w:val="center"/>
          </w:tcPr>
          <w:p w14:paraId="1AFCB3EF">
            <w:pPr>
              <w:keepNext w:val="0"/>
              <w:keepLines w:val="0"/>
              <w:pageBreakBefore w:val="0"/>
              <w:widowControl w:val="0"/>
              <w:tabs>
                <w:tab w:val="left" w:pos="7200"/>
              </w:tabs>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19.1投标文件递交要求：</w:t>
            </w:r>
          </w:p>
          <w:p w14:paraId="1A1F3D7E">
            <w:pPr>
              <w:keepNext w:val="0"/>
              <w:keepLines w:val="0"/>
              <w:pageBreakBefore w:val="0"/>
              <w:widowControl w:val="0"/>
              <w:tabs>
                <w:tab w:val="left" w:pos="7200"/>
              </w:tabs>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投标截止时间：</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10</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日</w:t>
            </w:r>
            <w:r>
              <w:rPr>
                <w:rFonts w:hint="eastAsia" w:ascii="宋体" w:hAnsi="宋体"/>
                <w:color w:val="auto"/>
                <w:szCs w:val="21"/>
                <w:highlight w:val="none"/>
              </w:rPr>
              <w:t>上午9时30分（北京时间）。</w:t>
            </w:r>
          </w:p>
          <w:p w14:paraId="35942458">
            <w:pPr>
              <w:keepNext w:val="0"/>
              <w:keepLines w:val="0"/>
              <w:pageBreakBefore w:val="0"/>
              <w:widowControl w:val="0"/>
              <w:tabs>
                <w:tab w:val="left" w:pos="7200"/>
              </w:tabs>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szCs w:val="21"/>
                <w:highlight w:val="none"/>
              </w:rPr>
              <w:t>投标文件递交地点：</w:t>
            </w:r>
            <w:r>
              <w:rPr>
                <w:rFonts w:hint="eastAsia" w:ascii="宋体" w:hAnsi="宋体" w:cs="宋体"/>
                <w:color w:val="auto"/>
                <w:szCs w:val="21"/>
                <w:highlight w:val="none"/>
              </w:rPr>
              <w:t>通过</w:t>
            </w:r>
            <w:r>
              <w:rPr>
                <w:rFonts w:hint="eastAsia" w:ascii="宋体" w:hAnsi="宋体" w:cs="宋体"/>
                <w:bCs/>
                <w:color w:val="auto"/>
                <w:szCs w:val="21"/>
                <w:highlight w:val="none"/>
              </w:rPr>
              <w:t>广西政府采购云平台</w:t>
            </w:r>
            <w:r>
              <w:rPr>
                <w:rFonts w:hint="eastAsia" w:ascii="宋体" w:hAnsi="宋体" w:cs="宋体"/>
                <w:color w:val="auto"/>
                <w:szCs w:val="21"/>
                <w:highlight w:val="none"/>
              </w:rPr>
              <w:t>在线提交</w:t>
            </w:r>
            <w:r>
              <w:rPr>
                <w:rFonts w:hint="eastAsia" w:ascii="宋体" w:hAnsi="宋体"/>
                <w:color w:val="auto"/>
                <w:highlight w:val="none"/>
              </w:rPr>
              <w:t>，逾期递交的投标文件将予以拒收。投标文件递交成功后，投标人必须在</w:t>
            </w:r>
            <w:r>
              <w:rPr>
                <w:rFonts w:hint="eastAsia" w:ascii="宋体" w:hAnsi="宋体" w:cs="宋体"/>
                <w:bCs/>
                <w:color w:val="auto"/>
                <w:szCs w:val="21"/>
                <w:highlight w:val="none"/>
              </w:rPr>
              <w:t>广西政府采购云平台</w:t>
            </w:r>
            <w:r>
              <w:rPr>
                <w:rFonts w:hint="eastAsia" w:ascii="宋体" w:hAnsi="宋体" w:cs="宋体"/>
                <w:color w:val="auto"/>
                <w:szCs w:val="21"/>
                <w:highlight w:val="none"/>
              </w:rPr>
              <w:t>自行下载投标回执。</w:t>
            </w:r>
          </w:p>
          <w:p w14:paraId="47ED7DF4">
            <w:pPr>
              <w:keepNext w:val="0"/>
              <w:keepLines w:val="0"/>
              <w:pageBreakBefore w:val="0"/>
              <w:widowControl w:val="0"/>
              <w:kinsoku/>
              <w:wordWrap/>
              <w:overflowPunct/>
              <w:topLinePunct w:val="0"/>
              <w:autoSpaceDE/>
              <w:autoSpaceDN/>
              <w:bidi w:val="0"/>
              <w:snapToGrid w:val="0"/>
              <w:spacing w:line="310" w:lineRule="exact"/>
              <w:jc w:val="left"/>
              <w:textAlignment w:val="auto"/>
              <w:rPr>
                <w:rFonts w:ascii="宋体" w:hAnsi="宋体" w:cs="宋体"/>
                <w:color w:val="auto"/>
                <w:highlight w:val="none"/>
              </w:rPr>
            </w:pPr>
            <w:r>
              <w:rPr>
                <w:rFonts w:hint="eastAsia" w:ascii="宋体" w:hAnsi="宋体"/>
                <w:color w:val="auto"/>
                <w:szCs w:val="21"/>
                <w:highlight w:val="none"/>
              </w:rPr>
              <w:t>19.2除招标文件另有规定外，投标人所递交的投标文件不予退还。</w:t>
            </w:r>
          </w:p>
        </w:tc>
      </w:tr>
      <w:tr w14:paraId="2AB2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44" w:type="dxa"/>
            <w:vAlign w:val="center"/>
          </w:tcPr>
          <w:p w14:paraId="34A58F2F">
            <w:pPr>
              <w:spacing w:line="350" w:lineRule="exact"/>
              <w:jc w:val="center"/>
              <w:rPr>
                <w:rFonts w:ascii="宋体" w:hAnsi="宋体"/>
                <w:color w:val="auto"/>
                <w:szCs w:val="21"/>
                <w:highlight w:val="none"/>
              </w:rPr>
            </w:pPr>
            <w:r>
              <w:rPr>
                <w:rFonts w:hint="eastAsia" w:ascii="宋体" w:hAnsi="宋体"/>
                <w:color w:val="auto"/>
                <w:szCs w:val="21"/>
                <w:highlight w:val="none"/>
              </w:rPr>
              <w:t>8</w:t>
            </w:r>
          </w:p>
        </w:tc>
        <w:tc>
          <w:tcPr>
            <w:tcW w:w="850" w:type="dxa"/>
            <w:vAlign w:val="center"/>
          </w:tcPr>
          <w:p w14:paraId="592FFE2A">
            <w:pPr>
              <w:spacing w:line="350" w:lineRule="exact"/>
              <w:jc w:val="center"/>
              <w:rPr>
                <w:rFonts w:ascii="宋体" w:hAnsi="宋体"/>
                <w:color w:val="auto"/>
                <w:position w:val="10"/>
                <w:szCs w:val="21"/>
                <w:highlight w:val="none"/>
              </w:rPr>
            </w:pPr>
            <w:r>
              <w:rPr>
                <w:rFonts w:hint="eastAsia" w:ascii="宋体" w:hAnsi="宋体" w:cs="宋体"/>
                <w:color w:val="auto"/>
                <w:szCs w:val="21"/>
                <w:highlight w:val="none"/>
              </w:rPr>
              <w:t>20</w:t>
            </w:r>
          </w:p>
        </w:tc>
        <w:tc>
          <w:tcPr>
            <w:tcW w:w="1701" w:type="dxa"/>
            <w:vAlign w:val="center"/>
          </w:tcPr>
          <w:p w14:paraId="5E4BC470">
            <w:pPr>
              <w:spacing w:line="350" w:lineRule="exact"/>
              <w:jc w:val="center"/>
              <w:rPr>
                <w:rFonts w:ascii="宋体" w:hAnsi="宋体" w:cs="宋体"/>
                <w:color w:val="auto"/>
                <w:szCs w:val="21"/>
                <w:highlight w:val="none"/>
              </w:rPr>
            </w:pPr>
            <w:r>
              <w:rPr>
                <w:rFonts w:hint="eastAsia" w:ascii="宋体" w:hAnsi="宋体" w:cs="宋体"/>
                <w:color w:val="auto"/>
                <w:szCs w:val="21"/>
                <w:highlight w:val="none"/>
              </w:rPr>
              <w:t>投标文件的补充、修改和撤回</w:t>
            </w:r>
          </w:p>
        </w:tc>
        <w:tc>
          <w:tcPr>
            <w:tcW w:w="6946" w:type="dxa"/>
            <w:vAlign w:val="center"/>
          </w:tcPr>
          <w:p w14:paraId="16532B4F">
            <w:pPr>
              <w:keepNext w:val="0"/>
              <w:keepLines w:val="0"/>
              <w:pageBreakBefore w:val="0"/>
              <w:widowControl w:val="0"/>
              <w:kinsoku/>
              <w:wordWrap/>
              <w:overflowPunct/>
              <w:topLinePunct w:val="0"/>
              <w:autoSpaceDE/>
              <w:autoSpaceDN/>
              <w:bidi w:val="0"/>
              <w:adjustRightInd w:val="0"/>
              <w:snapToGrid w:val="0"/>
              <w:spacing w:line="310" w:lineRule="exact"/>
              <w:textAlignment w:val="auto"/>
              <w:rPr>
                <w:color w:val="auto"/>
                <w:highlight w:val="none"/>
              </w:rPr>
            </w:pPr>
            <w:r>
              <w:rPr>
                <w:rFonts w:hint="eastAsia" w:ascii="宋体" w:hAnsi="宋体"/>
                <w:color w:val="auto"/>
                <w:highlight w:val="none"/>
              </w:rPr>
              <w:t>投标人在投标截止时间前，可以</w:t>
            </w:r>
            <w:r>
              <w:rPr>
                <w:rFonts w:hint="eastAsia" w:ascii="宋体" w:hAnsi="宋体" w:cs="宋体"/>
                <w:color w:val="auto"/>
                <w:szCs w:val="21"/>
                <w:highlight w:val="none"/>
              </w:rPr>
              <w:t>通过</w:t>
            </w:r>
            <w:r>
              <w:rPr>
                <w:rFonts w:hint="eastAsia" w:ascii="宋体" w:hAnsi="宋体" w:cs="宋体"/>
                <w:bCs/>
                <w:color w:val="auto"/>
                <w:szCs w:val="21"/>
                <w:highlight w:val="none"/>
              </w:rPr>
              <w:t>广西政府采购云平台</w:t>
            </w:r>
            <w:r>
              <w:rPr>
                <w:rFonts w:hint="eastAsia" w:ascii="宋体" w:hAnsi="宋体" w:cs="宋体"/>
                <w:color w:val="auto"/>
                <w:szCs w:val="21"/>
                <w:highlight w:val="none"/>
              </w:rPr>
              <w:t>在线</w:t>
            </w:r>
            <w:r>
              <w:rPr>
                <w:rFonts w:hint="eastAsia" w:ascii="宋体" w:hAnsi="宋体"/>
                <w:color w:val="auto"/>
                <w:highlight w:val="none"/>
              </w:rPr>
              <w:t>对所递交的投标文件进行补充、修改或者撤回，并书面通知采购代理机构。</w:t>
            </w:r>
            <w:r>
              <w:rPr>
                <w:rFonts w:hint="eastAsia" w:ascii="宋体" w:hAnsi="宋体" w:cs="宋体"/>
                <w:bCs/>
                <w:color w:val="auto"/>
                <w:szCs w:val="21"/>
                <w:highlight w:val="none"/>
              </w:rPr>
              <w:t>补充、修改电子投标文件的，应当先行撤回原文件，补充、修改的内容</w:t>
            </w:r>
            <w:r>
              <w:rPr>
                <w:rFonts w:hint="eastAsia" w:ascii="宋体" w:hAnsi="宋体"/>
                <w:color w:val="auto"/>
                <w:highlight w:val="none"/>
              </w:rPr>
              <w:t>按照招标文件要求签署、盖章后</w:t>
            </w:r>
            <w:r>
              <w:rPr>
                <w:rFonts w:hint="eastAsia" w:ascii="宋体" w:hAnsi="宋体" w:cs="宋体"/>
                <w:bCs/>
                <w:color w:val="auto"/>
                <w:szCs w:val="21"/>
                <w:highlight w:val="none"/>
              </w:rPr>
              <w:t>重新传输提交至广西政府采购云平台</w:t>
            </w:r>
            <w:r>
              <w:rPr>
                <w:rFonts w:hint="eastAsia" w:ascii="宋体" w:hAnsi="宋体"/>
                <w:color w:val="auto"/>
                <w:highlight w:val="none"/>
              </w:rPr>
              <w:t>，作为投标文件的组成部分。</w:t>
            </w:r>
            <w:r>
              <w:rPr>
                <w:rFonts w:hint="eastAsia" w:ascii="宋体" w:hAnsi="宋体" w:cs="宋体"/>
                <w:bCs/>
                <w:color w:val="auto"/>
                <w:szCs w:val="21"/>
                <w:highlight w:val="none"/>
              </w:rPr>
              <w:t>在投标文件递交截止时间后的投标文件有效期内，投标人不得撤回其投标文件。</w:t>
            </w:r>
          </w:p>
        </w:tc>
      </w:tr>
      <w:tr w14:paraId="7736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6019FC06">
            <w:pPr>
              <w:spacing w:line="350" w:lineRule="exact"/>
              <w:jc w:val="center"/>
              <w:rPr>
                <w:rFonts w:ascii="宋体" w:hAnsi="宋体"/>
                <w:color w:val="auto"/>
                <w:szCs w:val="21"/>
                <w:highlight w:val="none"/>
              </w:rPr>
            </w:pPr>
            <w:r>
              <w:rPr>
                <w:rFonts w:hint="eastAsia" w:ascii="宋体" w:hAnsi="宋体"/>
                <w:color w:val="auto"/>
                <w:szCs w:val="21"/>
                <w:highlight w:val="none"/>
              </w:rPr>
              <w:t>9</w:t>
            </w:r>
          </w:p>
        </w:tc>
        <w:tc>
          <w:tcPr>
            <w:tcW w:w="850" w:type="dxa"/>
            <w:vAlign w:val="center"/>
          </w:tcPr>
          <w:p w14:paraId="7B6E6FCB">
            <w:pPr>
              <w:spacing w:line="350" w:lineRule="exact"/>
              <w:jc w:val="center"/>
              <w:rPr>
                <w:rFonts w:ascii="宋体" w:hAnsi="宋体"/>
                <w:color w:val="auto"/>
                <w:szCs w:val="21"/>
                <w:highlight w:val="none"/>
              </w:rPr>
            </w:pPr>
            <w:r>
              <w:rPr>
                <w:rFonts w:hint="eastAsia" w:ascii="宋体" w:hAnsi="宋体"/>
                <w:color w:val="auto"/>
                <w:szCs w:val="21"/>
                <w:highlight w:val="none"/>
              </w:rPr>
              <w:t xml:space="preserve">21 </w:t>
            </w:r>
          </w:p>
        </w:tc>
        <w:tc>
          <w:tcPr>
            <w:tcW w:w="1701" w:type="dxa"/>
            <w:vAlign w:val="center"/>
          </w:tcPr>
          <w:p w14:paraId="62693416">
            <w:pPr>
              <w:spacing w:line="350" w:lineRule="exact"/>
              <w:jc w:val="center"/>
              <w:rPr>
                <w:rFonts w:ascii="宋体" w:hAnsi="宋体"/>
                <w:color w:val="auto"/>
                <w:szCs w:val="21"/>
                <w:highlight w:val="none"/>
              </w:rPr>
            </w:pPr>
            <w:r>
              <w:rPr>
                <w:rFonts w:hint="eastAsia" w:ascii="宋体" w:hAnsi="宋体"/>
                <w:color w:val="auto"/>
                <w:szCs w:val="21"/>
                <w:highlight w:val="none"/>
              </w:rPr>
              <w:t>开标时间及地点</w:t>
            </w:r>
          </w:p>
        </w:tc>
        <w:tc>
          <w:tcPr>
            <w:tcW w:w="6946" w:type="dxa"/>
            <w:vAlign w:val="center"/>
          </w:tcPr>
          <w:p w14:paraId="10FFB26F">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21.1开标时间及地点：</w:t>
            </w:r>
          </w:p>
          <w:p w14:paraId="33EB9912">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开标时间：</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10</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日</w:t>
            </w:r>
            <w:r>
              <w:rPr>
                <w:rFonts w:hint="eastAsia" w:ascii="宋体" w:hAnsi="宋体"/>
                <w:color w:val="auto"/>
                <w:highlight w:val="none"/>
              </w:rPr>
              <w:t>上午9时30分（北京时间）；</w:t>
            </w:r>
          </w:p>
          <w:p w14:paraId="71F35CB4">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开标地点：通过</w:t>
            </w:r>
            <w:r>
              <w:rPr>
                <w:rFonts w:hint="eastAsia" w:ascii="宋体" w:hAnsi="宋体" w:cs="宋体"/>
                <w:bCs/>
                <w:color w:val="auto"/>
                <w:szCs w:val="21"/>
                <w:highlight w:val="none"/>
              </w:rPr>
              <w:t>广西政府采购云平台</w:t>
            </w:r>
            <w:r>
              <w:rPr>
                <w:rFonts w:hint="eastAsia" w:ascii="宋体" w:hAnsi="宋体"/>
                <w:color w:val="auto"/>
                <w:highlight w:val="none"/>
              </w:rPr>
              <w:t>在线解密、开标。</w:t>
            </w:r>
          </w:p>
          <w:p w14:paraId="45D974CA">
            <w:pPr>
              <w:keepNext w:val="0"/>
              <w:keepLines w:val="0"/>
              <w:pageBreakBefore w:val="0"/>
              <w:widowControl w:val="0"/>
              <w:kinsoku/>
              <w:wordWrap/>
              <w:overflowPunct/>
              <w:topLinePunct w:val="0"/>
              <w:autoSpaceDE/>
              <w:autoSpaceDN/>
              <w:bidi w:val="0"/>
              <w:spacing w:line="310" w:lineRule="exact"/>
              <w:textAlignment w:val="auto"/>
              <w:rPr>
                <w:color w:val="auto"/>
                <w:highlight w:val="none"/>
              </w:rPr>
            </w:pPr>
            <w:r>
              <w:rPr>
                <w:rFonts w:hint="eastAsia" w:ascii="宋体" w:hAnsi="宋体"/>
                <w:color w:val="auto"/>
                <w:highlight w:val="none"/>
              </w:rPr>
              <w:t>21.2投标人不足3家的，不得开标，采购人或者采购代理机构应当重新组织采购。</w:t>
            </w:r>
          </w:p>
        </w:tc>
      </w:tr>
      <w:tr w14:paraId="6AB91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2BC9DFFA">
            <w:pPr>
              <w:spacing w:line="350" w:lineRule="exact"/>
              <w:jc w:val="center"/>
              <w:rPr>
                <w:rFonts w:ascii="宋体" w:hAnsi="宋体"/>
                <w:color w:val="auto"/>
                <w:szCs w:val="21"/>
                <w:highlight w:val="none"/>
              </w:rPr>
            </w:pPr>
            <w:r>
              <w:rPr>
                <w:rFonts w:hint="eastAsia" w:ascii="宋体" w:hAnsi="宋体"/>
                <w:color w:val="auto"/>
                <w:szCs w:val="21"/>
                <w:highlight w:val="none"/>
              </w:rPr>
              <w:t>10</w:t>
            </w:r>
          </w:p>
        </w:tc>
        <w:tc>
          <w:tcPr>
            <w:tcW w:w="850" w:type="dxa"/>
            <w:vAlign w:val="center"/>
          </w:tcPr>
          <w:p w14:paraId="3AF0DDB8">
            <w:pPr>
              <w:spacing w:line="350" w:lineRule="exact"/>
              <w:jc w:val="center"/>
              <w:rPr>
                <w:rFonts w:ascii="宋体" w:hAnsi="宋体"/>
                <w:color w:val="auto"/>
                <w:szCs w:val="21"/>
                <w:highlight w:val="none"/>
              </w:rPr>
            </w:pPr>
            <w:r>
              <w:rPr>
                <w:rFonts w:hint="eastAsia" w:ascii="宋体" w:hAnsi="宋体"/>
                <w:color w:val="auto"/>
                <w:szCs w:val="21"/>
                <w:highlight w:val="none"/>
              </w:rPr>
              <w:t>22</w:t>
            </w:r>
          </w:p>
        </w:tc>
        <w:tc>
          <w:tcPr>
            <w:tcW w:w="1701" w:type="dxa"/>
            <w:vAlign w:val="center"/>
          </w:tcPr>
          <w:p w14:paraId="7B3697DF">
            <w:pPr>
              <w:spacing w:line="350" w:lineRule="exact"/>
              <w:jc w:val="center"/>
              <w:rPr>
                <w:rFonts w:ascii="宋体" w:hAnsi="宋体"/>
                <w:color w:val="auto"/>
                <w:szCs w:val="21"/>
                <w:highlight w:val="none"/>
              </w:rPr>
            </w:pPr>
            <w:r>
              <w:rPr>
                <w:rFonts w:hint="eastAsia" w:ascii="宋体" w:hAnsi="宋体"/>
                <w:color w:val="auto"/>
                <w:szCs w:val="21"/>
                <w:highlight w:val="none"/>
              </w:rPr>
              <w:t>开标程序</w:t>
            </w:r>
          </w:p>
        </w:tc>
        <w:tc>
          <w:tcPr>
            <w:tcW w:w="6946" w:type="dxa"/>
            <w:vAlign w:val="center"/>
          </w:tcPr>
          <w:p w14:paraId="5F3C418D">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22.1采购代理机构将按照招标文件规定的时间通过</w:t>
            </w:r>
            <w:r>
              <w:rPr>
                <w:rFonts w:hint="eastAsia" w:ascii="宋体" w:hAnsi="宋体" w:cs="宋体"/>
                <w:bCs/>
                <w:color w:val="auto"/>
                <w:szCs w:val="21"/>
                <w:highlight w:val="none"/>
              </w:rPr>
              <w:t>广西政府采购云平台</w:t>
            </w:r>
            <w:r>
              <w:rPr>
                <w:rFonts w:hint="eastAsia" w:ascii="宋体" w:hAnsi="宋体"/>
                <w:color w:val="auto"/>
                <w:highlight w:val="none"/>
              </w:rPr>
              <w:t>在线组织开标、解密开启投标文件，投标人的法定代表人或其委托代理人应当保持</w:t>
            </w:r>
            <w:r>
              <w:rPr>
                <w:rFonts w:hint="eastAsia" w:ascii="宋体" w:hAnsi="宋体" w:cs="宋体"/>
                <w:bCs/>
                <w:color w:val="auto"/>
                <w:szCs w:val="21"/>
                <w:highlight w:val="none"/>
              </w:rPr>
              <w:t>广西政府采购云平台</w:t>
            </w:r>
            <w:r>
              <w:rPr>
                <w:rFonts w:hint="eastAsia" w:ascii="宋体" w:hAnsi="宋体"/>
                <w:color w:val="auto"/>
                <w:highlight w:val="none"/>
              </w:rPr>
              <w:t>实时在线，并通过</w:t>
            </w:r>
            <w:r>
              <w:rPr>
                <w:rFonts w:hint="eastAsia" w:ascii="宋体" w:hAnsi="宋体" w:cs="宋体"/>
                <w:bCs/>
                <w:color w:val="auto"/>
                <w:szCs w:val="21"/>
                <w:highlight w:val="none"/>
              </w:rPr>
              <w:t>广西政府采购云平台</w:t>
            </w:r>
            <w:r>
              <w:rPr>
                <w:rFonts w:hint="eastAsia" w:ascii="宋体" w:hAnsi="宋体"/>
                <w:color w:val="auto"/>
                <w:highlight w:val="none"/>
              </w:rPr>
              <w:t>在线出席开标会议。投标人如不出席开标会议的，视同认可开标结果，事后不得对采购相关人员、开标过程和开标结果提出异议，因投标人未保持实时在线，而导致投标文件无法按时解密等一切后果由投标人自行承担。</w:t>
            </w:r>
          </w:p>
          <w:p w14:paraId="25928DBB">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22.2投标文件解密：投标文件提交截止时间后，采购代理机构开启解密投标文件操作，</w:t>
            </w:r>
            <w:r>
              <w:rPr>
                <w:rFonts w:hint="eastAsia" w:ascii="宋体" w:hAnsi="宋体" w:cs="宋体"/>
                <w:bCs/>
                <w:color w:val="auto"/>
                <w:szCs w:val="21"/>
                <w:highlight w:val="none"/>
              </w:rPr>
              <w:t>广西政府采购云平台</w:t>
            </w:r>
            <w:r>
              <w:rPr>
                <w:rFonts w:hint="eastAsia" w:ascii="宋体" w:hAnsi="宋体"/>
                <w:color w:val="auto"/>
                <w:highlight w:val="none"/>
              </w:rPr>
              <w:t>向各投标人发出电子加密投标文件解密通知，由投标人在系统发出解密通知后30分钟内自行使用加密时的CA通过“项目采购</w:t>
            </w:r>
            <w:r>
              <w:rPr>
                <w:rFonts w:hint="eastAsia" w:ascii="宋体" w:hAnsi="宋体"/>
                <w:color w:val="auto"/>
                <w:highlight w:val="none"/>
                <w:lang w:eastAsia="zh-CN"/>
              </w:rPr>
              <w:t>－</w:t>
            </w:r>
            <w:r>
              <w:rPr>
                <w:rFonts w:hint="eastAsia" w:ascii="宋体" w:hAnsi="宋体"/>
                <w:color w:val="auto"/>
                <w:highlight w:val="none"/>
              </w:rPr>
              <w:t>开标评标”功能对投标文件进行解密。若投标人在上述规定的时间内无法解密或解密失败的，可以在投标文件解密截止时间后30分钟内向采购代理机构现场提交电子备份投标文件（接收电子备份投标文件的电子邮箱为：guilinyl@vip.sina.com）；投标人未在上述规定的时间、电子邮箱提交的电子备份投标文件，采购代理机构不予接收或承认。采购代理机构收到电子备份投标文件后按操作规范上传至广西政府采购云平台，电子备份投标文件上传成功后，投标人原上传的“电子加密投标文件”自动失效。</w:t>
            </w:r>
            <w:r>
              <w:rPr>
                <w:rFonts w:hint="eastAsia" w:ascii="宋体" w:hAnsi="宋体"/>
                <w:b/>
                <w:color w:val="auto"/>
                <w:highlight w:val="none"/>
              </w:rPr>
              <w:t>若投标人在规定时间内无法解密或解密失败且未在规定的时间内提供电子备份投标文件的（包含提供的电子备份投标文件无效的情况），视为投标人放弃投标。</w:t>
            </w:r>
          </w:p>
          <w:p w14:paraId="37B54E6F">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22.3投标文件解密结束后，开标活动组织人员在线开启投标文件。</w:t>
            </w:r>
          </w:p>
          <w:p w14:paraId="0C11E07E">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22.4开启投标人报价文件，电子开标大厅记录显示并记录投标人投标报价表的投标报价等。</w:t>
            </w:r>
          </w:p>
          <w:p w14:paraId="77F088FC">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22.5投标人线上确认投标报价。</w:t>
            </w:r>
          </w:p>
          <w:p w14:paraId="368B910B">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22.6如发现开标结果与所提交的报价文件不一致的，由评标委员会根据报价文件内容进行修正。</w:t>
            </w:r>
          </w:p>
          <w:p w14:paraId="7D333E5E">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highlight w:val="none"/>
              </w:rPr>
            </w:pPr>
            <w:r>
              <w:rPr>
                <w:rFonts w:hint="eastAsia" w:ascii="宋体" w:hAnsi="宋体"/>
                <w:color w:val="auto"/>
                <w:highlight w:val="none"/>
              </w:rPr>
              <w:t>22.7投标人代表对开标过程和开标记录有疑义，以及认为采购人、采购代理机构相关工作人员有需要回避的情形的，应当场提出询问或者回避申请。</w:t>
            </w:r>
            <w:r>
              <w:rPr>
                <w:rFonts w:hint="eastAsia" w:ascii="宋体" w:hAnsi="宋体"/>
                <w:color w:val="auto"/>
                <w:spacing w:val="-4"/>
                <w:highlight w:val="none"/>
              </w:rPr>
              <w:t>采购人、采购代理机构对投标人代表提出的询问或者回避申请应当及时处理。</w:t>
            </w:r>
          </w:p>
          <w:p w14:paraId="0BF1CCAA">
            <w:pPr>
              <w:keepNext w:val="0"/>
              <w:keepLines w:val="0"/>
              <w:pageBreakBefore w:val="0"/>
              <w:widowControl w:val="0"/>
              <w:kinsoku/>
              <w:wordWrap/>
              <w:overflowPunct/>
              <w:topLinePunct w:val="0"/>
              <w:autoSpaceDE/>
              <w:autoSpaceDN/>
              <w:bidi w:val="0"/>
              <w:adjustRightInd w:val="0"/>
              <w:snapToGrid w:val="0"/>
              <w:spacing w:line="310" w:lineRule="exact"/>
              <w:textAlignment w:val="auto"/>
              <w:rPr>
                <w:rFonts w:ascii="宋体" w:hAnsi="宋体" w:cs="宋体"/>
                <w:color w:val="auto"/>
                <w:szCs w:val="21"/>
                <w:highlight w:val="none"/>
              </w:rPr>
            </w:pPr>
            <w:r>
              <w:rPr>
                <w:rFonts w:hint="eastAsia" w:ascii="宋体" w:hAnsi="宋体"/>
                <w:color w:val="auto"/>
                <w:highlight w:val="none"/>
              </w:rPr>
              <w:t>22.8特别说明：如遇</w:t>
            </w:r>
            <w:r>
              <w:rPr>
                <w:rFonts w:hint="eastAsia" w:ascii="宋体" w:hAnsi="宋体" w:cs="宋体"/>
                <w:bCs/>
                <w:color w:val="auto"/>
                <w:szCs w:val="21"/>
                <w:highlight w:val="none"/>
              </w:rPr>
              <w:t>广西政府采购云平台</w:t>
            </w:r>
            <w:r>
              <w:rPr>
                <w:rFonts w:hint="eastAsia" w:ascii="宋体" w:hAnsi="宋体"/>
                <w:color w:val="auto"/>
                <w:highlight w:val="none"/>
              </w:rPr>
              <w:t>电子化开标或评审程序调整的，按调整后程序执行。</w:t>
            </w:r>
          </w:p>
        </w:tc>
      </w:tr>
      <w:tr w14:paraId="5966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44" w:type="dxa"/>
            <w:vAlign w:val="center"/>
          </w:tcPr>
          <w:p w14:paraId="0B226F67">
            <w:pPr>
              <w:spacing w:line="350" w:lineRule="exact"/>
              <w:jc w:val="center"/>
              <w:rPr>
                <w:rFonts w:ascii="宋体" w:hAnsi="宋体"/>
                <w:color w:val="auto"/>
                <w:szCs w:val="21"/>
                <w:highlight w:val="none"/>
              </w:rPr>
            </w:pPr>
            <w:r>
              <w:rPr>
                <w:rFonts w:hint="eastAsia" w:ascii="宋体" w:hAnsi="宋体"/>
                <w:color w:val="auto"/>
                <w:szCs w:val="21"/>
                <w:highlight w:val="none"/>
              </w:rPr>
              <w:t>11</w:t>
            </w:r>
          </w:p>
        </w:tc>
        <w:tc>
          <w:tcPr>
            <w:tcW w:w="850" w:type="dxa"/>
            <w:vAlign w:val="center"/>
          </w:tcPr>
          <w:p w14:paraId="0640C047">
            <w:pPr>
              <w:spacing w:line="350" w:lineRule="exact"/>
              <w:jc w:val="center"/>
              <w:rPr>
                <w:rFonts w:ascii="宋体" w:hAnsi="宋体"/>
                <w:color w:val="auto"/>
                <w:szCs w:val="21"/>
                <w:highlight w:val="none"/>
              </w:rPr>
            </w:pPr>
            <w:r>
              <w:rPr>
                <w:rFonts w:hint="eastAsia" w:ascii="宋体" w:hAnsi="宋体"/>
                <w:color w:val="auto"/>
                <w:szCs w:val="21"/>
                <w:highlight w:val="none"/>
              </w:rPr>
              <w:t>24</w:t>
            </w:r>
          </w:p>
        </w:tc>
        <w:tc>
          <w:tcPr>
            <w:tcW w:w="1701" w:type="dxa"/>
            <w:vAlign w:val="center"/>
          </w:tcPr>
          <w:p w14:paraId="36E79915">
            <w:pPr>
              <w:spacing w:line="350" w:lineRule="exact"/>
              <w:jc w:val="center"/>
              <w:rPr>
                <w:rFonts w:ascii="宋体" w:hAnsi="宋体"/>
                <w:color w:val="auto"/>
                <w:szCs w:val="21"/>
                <w:highlight w:val="none"/>
              </w:rPr>
            </w:pPr>
            <w:r>
              <w:rPr>
                <w:rFonts w:hint="eastAsia" w:ascii="宋体" w:hAnsi="宋体"/>
                <w:color w:val="auto"/>
                <w:szCs w:val="21"/>
                <w:highlight w:val="none"/>
              </w:rPr>
              <w:t>评标委员会组成</w:t>
            </w:r>
          </w:p>
        </w:tc>
        <w:tc>
          <w:tcPr>
            <w:tcW w:w="6946" w:type="dxa"/>
            <w:vAlign w:val="center"/>
          </w:tcPr>
          <w:p w14:paraId="42F8FCB1">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ascii="宋体" w:hAnsi="宋体"/>
                <w:color w:val="auto"/>
                <w:szCs w:val="21"/>
                <w:highlight w:val="none"/>
              </w:rPr>
              <w:t>评标委员会由采购人代表和评审专家组成，成员人数</w:t>
            </w:r>
            <w:r>
              <w:rPr>
                <w:rFonts w:hint="eastAsia" w:ascii="宋体" w:hAnsi="宋体"/>
                <w:color w:val="auto"/>
                <w:szCs w:val="21"/>
                <w:highlight w:val="none"/>
              </w:rPr>
              <w:t>共5人，其中评审专家不得少于成员总数的2/3</w:t>
            </w:r>
            <w:r>
              <w:rPr>
                <w:rFonts w:ascii="宋体" w:hAnsi="宋体"/>
                <w:color w:val="auto"/>
                <w:szCs w:val="21"/>
                <w:highlight w:val="none"/>
              </w:rPr>
              <w:t>。</w:t>
            </w:r>
          </w:p>
        </w:tc>
      </w:tr>
      <w:tr w14:paraId="0205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44" w:type="dxa"/>
            <w:vAlign w:val="center"/>
          </w:tcPr>
          <w:p w14:paraId="1746FB23">
            <w:pPr>
              <w:spacing w:line="350" w:lineRule="exact"/>
              <w:jc w:val="center"/>
              <w:rPr>
                <w:rFonts w:ascii="宋体" w:hAnsi="宋体"/>
                <w:color w:val="auto"/>
                <w:szCs w:val="21"/>
                <w:highlight w:val="none"/>
              </w:rPr>
            </w:pPr>
            <w:r>
              <w:rPr>
                <w:rFonts w:hint="eastAsia" w:ascii="宋体" w:hAnsi="宋体"/>
                <w:color w:val="auto"/>
                <w:szCs w:val="21"/>
                <w:highlight w:val="none"/>
              </w:rPr>
              <w:t>12</w:t>
            </w:r>
          </w:p>
        </w:tc>
        <w:tc>
          <w:tcPr>
            <w:tcW w:w="850" w:type="dxa"/>
            <w:vAlign w:val="center"/>
          </w:tcPr>
          <w:p w14:paraId="0CE1533C">
            <w:pPr>
              <w:spacing w:line="350" w:lineRule="exact"/>
              <w:jc w:val="center"/>
              <w:rPr>
                <w:rFonts w:ascii="宋体" w:hAnsi="宋体"/>
                <w:color w:val="auto"/>
                <w:szCs w:val="21"/>
                <w:highlight w:val="none"/>
              </w:rPr>
            </w:pPr>
            <w:r>
              <w:rPr>
                <w:rFonts w:hint="eastAsia" w:ascii="宋体" w:hAnsi="宋体"/>
                <w:color w:val="auto"/>
                <w:szCs w:val="21"/>
                <w:highlight w:val="none"/>
              </w:rPr>
              <w:t>25.1</w:t>
            </w:r>
          </w:p>
        </w:tc>
        <w:tc>
          <w:tcPr>
            <w:tcW w:w="1701" w:type="dxa"/>
            <w:vAlign w:val="center"/>
          </w:tcPr>
          <w:p w14:paraId="59B4C10B">
            <w:pPr>
              <w:spacing w:line="350" w:lineRule="exact"/>
              <w:jc w:val="center"/>
              <w:rPr>
                <w:rFonts w:ascii="宋体" w:hAnsi="宋体"/>
                <w:color w:val="auto"/>
                <w:szCs w:val="21"/>
                <w:highlight w:val="none"/>
              </w:rPr>
            </w:pPr>
            <w:r>
              <w:rPr>
                <w:rFonts w:hint="eastAsia" w:ascii="宋体" w:hAnsi="宋体"/>
                <w:color w:val="auto"/>
                <w:szCs w:val="21"/>
                <w:highlight w:val="none"/>
              </w:rPr>
              <w:t>评标办法</w:t>
            </w:r>
          </w:p>
        </w:tc>
        <w:tc>
          <w:tcPr>
            <w:tcW w:w="6946" w:type="dxa"/>
            <w:vAlign w:val="center"/>
          </w:tcPr>
          <w:p w14:paraId="1D75AE7A">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综合评分法，具体评标内容及标准详见第四章。</w:t>
            </w:r>
          </w:p>
        </w:tc>
      </w:tr>
      <w:tr w14:paraId="3C2C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77036FC0">
            <w:pPr>
              <w:spacing w:line="350" w:lineRule="exact"/>
              <w:jc w:val="center"/>
              <w:rPr>
                <w:rFonts w:ascii="宋体" w:hAnsi="宋体"/>
                <w:color w:val="auto"/>
                <w:szCs w:val="21"/>
                <w:highlight w:val="none"/>
              </w:rPr>
            </w:pPr>
            <w:r>
              <w:rPr>
                <w:rFonts w:hint="eastAsia" w:ascii="宋体" w:hAnsi="宋体"/>
                <w:color w:val="auto"/>
                <w:szCs w:val="21"/>
                <w:highlight w:val="none"/>
              </w:rPr>
              <w:t>13</w:t>
            </w:r>
          </w:p>
        </w:tc>
        <w:tc>
          <w:tcPr>
            <w:tcW w:w="850" w:type="dxa"/>
            <w:vAlign w:val="center"/>
          </w:tcPr>
          <w:p w14:paraId="2731C28B">
            <w:pPr>
              <w:spacing w:line="350" w:lineRule="exact"/>
              <w:jc w:val="center"/>
              <w:rPr>
                <w:rFonts w:ascii="宋体" w:hAnsi="宋体"/>
                <w:color w:val="auto"/>
                <w:szCs w:val="21"/>
                <w:highlight w:val="none"/>
              </w:rPr>
            </w:pPr>
            <w:r>
              <w:rPr>
                <w:rFonts w:hint="eastAsia" w:ascii="宋体" w:hAnsi="宋体"/>
                <w:color w:val="auto"/>
                <w:szCs w:val="21"/>
                <w:highlight w:val="none"/>
              </w:rPr>
              <w:t>32</w:t>
            </w:r>
          </w:p>
        </w:tc>
        <w:tc>
          <w:tcPr>
            <w:tcW w:w="1701" w:type="dxa"/>
            <w:vAlign w:val="center"/>
          </w:tcPr>
          <w:p w14:paraId="0C8EE02D">
            <w:pPr>
              <w:tabs>
                <w:tab w:val="left" w:pos="1140"/>
              </w:tabs>
              <w:spacing w:line="350" w:lineRule="exact"/>
              <w:jc w:val="center"/>
              <w:rPr>
                <w:rFonts w:ascii="宋体" w:hAnsi="宋体"/>
                <w:color w:val="auto"/>
                <w:szCs w:val="21"/>
                <w:highlight w:val="none"/>
              </w:rPr>
            </w:pPr>
            <w:r>
              <w:rPr>
                <w:rFonts w:hint="eastAsia" w:ascii="宋体" w:hAnsi="宋体"/>
                <w:color w:val="auto"/>
                <w:szCs w:val="21"/>
                <w:highlight w:val="none"/>
              </w:rPr>
              <w:t>信用查询</w:t>
            </w:r>
          </w:p>
        </w:tc>
        <w:tc>
          <w:tcPr>
            <w:tcW w:w="6946" w:type="dxa"/>
            <w:vAlign w:val="center"/>
          </w:tcPr>
          <w:p w14:paraId="3BD7E3EA">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根据《关于做好政府采购有关信用主体标识码登记及在政府采购活动中查询使用信用记录有关问题的通知》（桂财采〔2016〕37号）的通知，由采购代理机构对第一中标候选人进行信用查询：</w:t>
            </w:r>
          </w:p>
          <w:p w14:paraId="1DCF740C">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⑴查询渠道：“信用中国”网站（www.creditchina.gov.cn）、中国政府采购网（www.ccgp.gov.cn）等；</w:t>
            </w:r>
          </w:p>
          <w:p w14:paraId="7C68CEFE">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⑵查询截止时间：中标通知书发出前；</w:t>
            </w:r>
          </w:p>
          <w:p w14:paraId="721CB89C">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⑶信用信息查询记录和证据留存方式：在查询网站中直接打印查询记录，打印材料作为采购活动资料保存；</w:t>
            </w:r>
          </w:p>
          <w:p w14:paraId="78DA37F3">
            <w:pPr>
              <w:pStyle w:val="225"/>
              <w:keepNext w:val="0"/>
              <w:keepLines w:val="0"/>
              <w:pageBreakBefore w:val="0"/>
              <w:widowControl w:val="0"/>
              <w:kinsoku/>
              <w:wordWrap/>
              <w:overflowPunct/>
              <w:topLinePunct w:val="0"/>
              <w:autoSpaceDE/>
              <w:autoSpaceDN/>
              <w:bidi w:val="0"/>
              <w:spacing w:line="310" w:lineRule="exact"/>
              <w:textAlignment w:val="auto"/>
              <w:rPr>
                <w:rFonts w:hAnsi="宋体"/>
                <w:color w:val="auto"/>
                <w:szCs w:val="21"/>
                <w:highlight w:val="none"/>
              </w:rPr>
            </w:pPr>
            <w:r>
              <w:rPr>
                <w:rFonts w:hint="eastAsia" w:hAnsi="宋体"/>
                <w:color w:val="auto"/>
                <w:szCs w:val="21"/>
                <w:highlight w:val="none"/>
              </w:rPr>
              <w:t>⑷信用信息使用规则：对在“信用中国”网站（www.creditchina.gov.cn）、中国政府采购网（www.ccgp.gov.cn）等渠道列入失信被执行人、</w:t>
            </w:r>
            <w:r>
              <w:rPr>
                <w:rFonts w:hint="eastAsia" w:hAnsi="宋体" w:cs="宋体"/>
                <w:color w:val="auto"/>
                <w:kern w:val="0"/>
                <w:szCs w:val="21"/>
                <w:highlight w:val="none"/>
              </w:rPr>
              <w:t>重大税收违法失信主体</w:t>
            </w:r>
            <w:r>
              <w:rPr>
                <w:rFonts w:hint="eastAsia" w:hAnsi="宋体"/>
                <w:color w:val="auto"/>
                <w:szCs w:val="21"/>
                <w:highlight w:val="none"/>
              </w:rPr>
              <w:t>、政府采购严重违法失信行为记录名单及其他不符合《中华人民共和国政府采购法》第二十二条规定条件的供应商，取消其中标候选人资格。</w:t>
            </w:r>
          </w:p>
        </w:tc>
      </w:tr>
      <w:tr w14:paraId="5674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702321F2">
            <w:pPr>
              <w:spacing w:line="350" w:lineRule="exact"/>
              <w:jc w:val="center"/>
              <w:rPr>
                <w:rFonts w:ascii="宋体" w:hAnsi="宋体"/>
                <w:color w:val="auto"/>
                <w:szCs w:val="21"/>
                <w:highlight w:val="none"/>
              </w:rPr>
            </w:pPr>
            <w:r>
              <w:rPr>
                <w:rFonts w:hint="eastAsia" w:ascii="宋体" w:hAnsi="宋体"/>
                <w:color w:val="auto"/>
                <w:szCs w:val="21"/>
                <w:highlight w:val="none"/>
              </w:rPr>
              <w:t>14</w:t>
            </w:r>
          </w:p>
        </w:tc>
        <w:tc>
          <w:tcPr>
            <w:tcW w:w="850" w:type="dxa"/>
            <w:vAlign w:val="center"/>
          </w:tcPr>
          <w:p w14:paraId="52EC721A">
            <w:pPr>
              <w:spacing w:line="350" w:lineRule="exact"/>
              <w:jc w:val="center"/>
              <w:rPr>
                <w:rFonts w:ascii="宋体" w:hAnsi="宋体"/>
                <w:color w:val="auto"/>
                <w:szCs w:val="21"/>
                <w:highlight w:val="none"/>
              </w:rPr>
            </w:pPr>
            <w:r>
              <w:rPr>
                <w:rFonts w:hint="eastAsia" w:ascii="宋体" w:hAnsi="宋体"/>
                <w:color w:val="auto"/>
                <w:szCs w:val="21"/>
                <w:highlight w:val="none"/>
              </w:rPr>
              <w:t>33</w:t>
            </w:r>
          </w:p>
        </w:tc>
        <w:tc>
          <w:tcPr>
            <w:tcW w:w="1701" w:type="dxa"/>
            <w:vAlign w:val="center"/>
          </w:tcPr>
          <w:p w14:paraId="3739C3F7">
            <w:pPr>
              <w:spacing w:line="350" w:lineRule="exact"/>
              <w:jc w:val="center"/>
              <w:rPr>
                <w:rFonts w:ascii="宋体" w:hAnsi="宋体"/>
                <w:color w:val="auto"/>
                <w:szCs w:val="21"/>
                <w:highlight w:val="none"/>
              </w:rPr>
            </w:pPr>
            <w:r>
              <w:rPr>
                <w:rFonts w:hint="eastAsia" w:ascii="宋体" w:hAnsi="宋体"/>
                <w:color w:val="auto"/>
                <w:szCs w:val="21"/>
                <w:highlight w:val="none"/>
              </w:rPr>
              <w:t>中标公告及中标通知书</w:t>
            </w:r>
          </w:p>
        </w:tc>
        <w:tc>
          <w:tcPr>
            <w:tcW w:w="6946" w:type="dxa"/>
            <w:vAlign w:val="center"/>
          </w:tcPr>
          <w:p w14:paraId="259DCBE3">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33.1采购代理机构于评标结束后两个工作日内将评标报告送交采购人，采购人应当自收到评标报告五个工作日内在评标报告推荐的中标候选人中按顺序确定中标人；</w:t>
            </w:r>
            <w:r>
              <w:rPr>
                <w:rFonts w:ascii="宋体" w:hAnsi="宋体"/>
                <w:color w:val="auto"/>
                <w:szCs w:val="21"/>
                <w:highlight w:val="none"/>
              </w:rPr>
              <w:t>采购人在收到评标报告</w:t>
            </w:r>
            <w:r>
              <w:rPr>
                <w:rFonts w:hint="eastAsia" w:ascii="宋体" w:hAnsi="宋体"/>
                <w:color w:val="auto"/>
                <w:szCs w:val="21"/>
                <w:highlight w:val="none"/>
              </w:rPr>
              <w:t>五</w:t>
            </w:r>
            <w:r>
              <w:rPr>
                <w:rFonts w:ascii="宋体" w:hAnsi="宋体"/>
                <w:color w:val="auto"/>
                <w:szCs w:val="21"/>
                <w:highlight w:val="none"/>
              </w:rPr>
              <w:t>个工作日内未按评标报告推荐的中标候选人顺序确定中标人，又不能说明合法理由的，视同按评标报告推荐的顺序确定排名第一的中标候选人为中标人。</w:t>
            </w:r>
            <w:r>
              <w:rPr>
                <w:rFonts w:hint="eastAsia" w:ascii="宋体" w:hAnsi="宋体"/>
                <w:color w:val="auto"/>
                <w:szCs w:val="21"/>
                <w:highlight w:val="none"/>
              </w:rPr>
              <w:t>采购代理机构在中标人确定之日起两个工作日内在指定媒体上公告中标结果，</w:t>
            </w:r>
            <w:r>
              <w:rPr>
                <w:rFonts w:ascii="宋体" w:hAnsi="宋体"/>
                <w:color w:val="auto"/>
                <w:szCs w:val="21"/>
                <w:highlight w:val="none"/>
              </w:rPr>
              <w:t>中标公告期限为1个工作日</w:t>
            </w:r>
            <w:r>
              <w:rPr>
                <w:rFonts w:hint="eastAsia" w:ascii="宋体" w:hAnsi="宋体"/>
                <w:color w:val="auto"/>
                <w:szCs w:val="21"/>
                <w:highlight w:val="none"/>
              </w:rPr>
              <w:t>。</w:t>
            </w:r>
          </w:p>
          <w:p w14:paraId="4866D8C2">
            <w:pPr>
              <w:keepNext w:val="0"/>
              <w:keepLines w:val="0"/>
              <w:pageBreakBefore w:val="0"/>
              <w:widowControl w:val="0"/>
              <w:kinsoku/>
              <w:wordWrap/>
              <w:overflowPunct/>
              <w:topLinePunct w:val="0"/>
              <w:autoSpaceDE/>
              <w:autoSpaceDN/>
              <w:bidi w:val="0"/>
              <w:spacing w:line="310" w:lineRule="exact"/>
              <w:textAlignment w:val="auto"/>
              <w:rPr>
                <w:rFonts w:hint="eastAsia" w:ascii="宋体" w:hAnsi="宋体"/>
                <w:b/>
                <w:bCs/>
                <w:color w:val="auto"/>
                <w:szCs w:val="21"/>
                <w:highlight w:val="none"/>
              </w:rPr>
            </w:pPr>
            <w:r>
              <w:rPr>
                <w:rFonts w:hint="eastAsia" w:ascii="宋体" w:hAnsi="宋体"/>
                <w:b/>
                <w:bCs/>
                <w:color w:val="auto"/>
                <w:szCs w:val="21"/>
                <w:highlight w:val="none"/>
              </w:rPr>
              <w:t>33.2中小企业在政府采购活动过程中，请根据自己的真实情况出具《中小企业声明函》。依法享受中小企业优惠政策的，采购人或采购代理机构在公告中标结果时，同时公告其《中小企业声明函》，接受社会监督。</w:t>
            </w:r>
          </w:p>
          <w:p w14:paraId="6E79EB43">
            <w:pPr>
              <w:keepNext w:val="0"/>
              <w:keepLines w:val="0"/>
              <w:pageBreakBefore w:val="0"/>
              <w:widowControl w:val="0"/>
              <w:kinsoku/>
              <w:wordWrap/>
              <w:overflowPunct/>
              <w:topLinePunct w:val="0"/>
              <w:autoSpaceDE/>
              <w:autoSpaceDN/>
              <w:bidi w:val="0"/>
              <w:spacing w:line="310" w:lineRule="exact"/>
              <w:textAlignment w:val="auto"/>
              <w:rPr>
                <w:rFonts w:hint="eastAsia" w:ascii="宋体" w:hAnsi="宋体"/>
                <w:b/>
                <w:bCs/>
                <w:color w:val="auto"/>
                <w:szCs w:val="21"/>
                <w:highlight w:val="none"/>
              </w:rPr>
            </w:pPr>
            <w:r>
              <w:rPr>
                <w:rFonts w:hint="eastAsia" w:ascii="宋体" w:hAnsi="宋体"/>
                <w:b/>
                <w:bCs/>
                <w:color w:val="auto"/>
                <w:szCs w:val="21"/>
                <w:highlight w:val="none"/>
              </w:rPr>
              <w:t>33.3采购人、采购代理机构应当随中标结果公开中标供应商的《关于符合本国产品标准的声明函》或有关证明文件。</w:t>
            </w:r>
          </w:p>
          <w:p w14:paraId="20BCF552">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33.4中标公告发布同时，采购代理机构通过广西政府采购云平台在线向中标人发出中标通知书，中标人应自行关注广西政府采购云平台信息，确保及时查收中标通知书。</w:t>
            </w:r>
          </w:p>
        </w:tc>
      </w:tr>
      <w:tr w14:paraId="1BD1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644" w:type="dxa"/>
            <w:vAlign w:val="center"/>
          </w:tcPr>
          <w:p w14:paraId="7E5601A7">
            <w:pPr>
              <w:spacing w:line="350" w:lineRule="exact"/>
              <w:jc w:val="center"/>
              <w:rPr>
                <w:rFonts w:ascii="宋体" w:hAnsi="宋体"/>
                <w:color w:val="auto"/>
                <w:szCs w:val="21"/>
                <w:highlight w:val="none"/>
              </w:rPr>
            </w:pPr>
            <w:r>
              <w:rPr>
                <w:rFonts w:hint="eastAsia" w:ascii="宋体" w:hAnsi="宋体"/>
                <w:color w:val="auto"/>
                <w:szCs w:val="21"/>
                <w:highlight w:val="none"/>
              </w:rPr>
              <w:t>15</w:t>
            </w:r>
          </w:p>
        </w:tc>
        <w:tc>
          <w:tcPr>
            <w:tcW w:w="850" w:type="dxa"/>
            <w:vAlign w:val="center"/>
          </w:tcPr>
          <w:p w14:paraId="1D12027D">
            <w:pPr>
              <w:spacing w:line="350" w:lineRule="exact"/>
              <w:jc w:val="center"/>
              <w:rPr>
                <w:rFonts w:ascii="宋体" w:hAnsi="宋体"/>
                <w:color w:val="auto"/>
                <w:szCs w:val="21"/>
                <w:highlight w:val="none"/>
              </w:rPr>
            </w:pPr>
            <w:r>
              <w:rPr>
                <w:rFonts w:hint="eastAsia" w:ascii="宋体" w:hAnsi="宋体"/>
                <w:color w:val="auto"/>
                <w:szCs w:val="21"/>
                <w:highlight w:val="none"/>
              </w:rPr>
              <w:t>34</w:t>
            </w:r>
          </w:p>
        </w:tc>
        <w:tc>
          <w:tcPr>
            <w:tcW w:w="1701" w:type="dxa"/>
            <w:vAlign w:val="center"/>
          </w:tcPr>
          <w:p w14:paraId="57E51894">
            <w:pPr>
              <w:spacing w:line="350" w:lineRule="exact"/>
              <w:jc w:val="center"/>
              <w:rPr>
                <w:rFonts w:ascii="宋体" w:hAnsi="宋体"/>
                <w:color w:val="auto"/>
                <w:szCs w:val="21"/>
                <w:highlight w:val="none"/>
              </w:rPr>
            </w:pPr>
            <w:r>
              <w:rPr>
                <w:rFonts w:hint="eastAsia" w:ascii="宋体" w:hAnsi="宋体"/>
                <w:color w:val="auto"/>
                <w:szCs w:val="21"/>
                <w:highlight w:val="none"/>
              </w:rPr>
              <w:t>履约保证金</w:t>
            </w:r>
          </w:p>
        </w:tc>
        <w:tc>
          <w:tcPr>
            <w:tcW w:w="6946" w:type="dxa"/>
            <w:vAlign w:val="center"/>
          </w:tcPr>
          <w:p w14:paraId="7A6128DE">
            <w:pPr>
              <w:pStyle w:val="26"/>
              <w:keepNext w:val="0"/>
              <w:keepLines w:val="0"/>
              <w:pageBreakBefore w:val="0"/>
              <w:widowControl w:val="0"/>
              <w:kinsoku/>
              <w:wordWrap/>
              <w:overflowPunct/>
              <w:topLinePunct w:val="0"/>
              <w:autoSpaceDE/>
              <w:autoSpaceDN/>
              <w:bidi w:val="0"/>
              <w:spacing w:line="310" w:lineRule="exact"/>
              <w:ind w:left="6" w:leftChars="3"/>
              <w:textAlignment w:val="auto"/>
              <w:rPr>
                <w:rFonts w:hAnsi="宋体"/>
                <w:color w:val="auto"/>
                <w:szCs w:val="21"/>
                <w:highlight w:val="none"/>
              </w:rPr>
            </w:pPr>
            <w:r>
              <w:rPr>
                <w:rFonts w:hint="eastAsia" w:hAnsi="宋体"/>
                <w:color w:val="auto"/>
                <w:szCs w:val="21"/>
                <w:highlight w:val="none"/>
              </w:rPr>
              <w:t>本项目不收取履约保证金。</w:t>
            </w:r>
          </w:p>
        </w:tc>
      </w:tr>
      <w:tr w14:paraId="1120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44" w:type="dxa"/>
            <w:vAlign w:val="center"/>
          </w:tcPr>
          <w:p w14:paraId="189411E7">
            <w:pPr>
              <w:spacing w:line="350" w:lineRule="exact"/>
              <w:jc w:val="center"/>
              <w:rPr>
                <w:rFonts w:ascii="宋体" w:hAnsi="宋体"/>
                <w:color w:val="auto"/>
                <w:szCs w:val="21"/>
                <w:highlight w:val="none"/>
              </w:rPr>
            </w:pPr>
            <w:r>
              <w:rPr>
                <w:rFonts w:hint="eastAsia" w:ascii="宋体" w:hAnsi="宋体"/>
                <w:color w:val="auto"/>
                <w:szCs w:val="21"/>
                <w:highlight w:val="none"/>
              </w:rPr>
              <w:t>16</w:t>
            </w:r>
          </w:p>
        </w:tc>
        <w:tc>
          <w:tcPr>
            <w:tcW w:w="850" w:type="dxa"/>
            <w:vAlign w:val="center"/>
          </w:tcPr>
          <w:p w14:paraId="2ABF0954">
            <w:pPr>
              <w:spacing w:line="350" w:lineRule="exact"/>
              <w:jc w:val="center"/>
              <w:rPr>
                <w:rFonts w:ascii="宋体" w:hAnsi="宋体"/>
                <w:color w:val="auto"/>
                <w:szCs w:val="21"/>
                <w:highlight w:val="none"/>
              </w:rPr>
            </w:pPr>
            <w:r>
              <w:rPr>
                <w:rFonts w:hint="eastAsia" w:ascii="宋体" w:hAnsi="宋体"/>
                <w:color w:val="auto"/>
                <w:szCs w:val="21"/>
                <w:highlight w:val="none"/>
              </w:rPr>
              <w:t>35.1</w:t>
            </w:r>
          </w:p>
        </w:tc>
        <w:tc>
          <w:tcPr>
            <w:tcW w:w="1701" w:type="dxa"/>
            <w:vAlign w:val="center"/>
          </w:tcPr>
          <w:p w14:paraId="6C6587F5">
            <w:pPr>
              <w:spacing w:line="350" w:lineRule="exact"/>
              <w:jc w:val="center"/>
              <w:rPr>
                <w:rFonts w:ascii="宋体" w:hAnsi="宋体"/>
                <w:color w:val="auto"/>
                <w:szCs w:val="21"/>
                <w:highlight w:val="none"/>
              </w:rPr>
            </w:pPr>
            <w:r>
              <w:rPr>
                <w:rFonts w:hint="eastAsia" w:ascii="宋体" w:hAnsi="宋体"/>
                <w:color w:val="auto"/>
                <w:szCs w:val="21"/>
                <w:highlight w:val="none"/>
              </w:rPr>
              <w:t>签订合同时间</w:t>
            </w:r>
          </w:p>
        </w:tc>
        <w:tc>
          <w:tcPr>
            <w:tcW w:w="6946" w:type="dxa"/>
            <w:vAlign w:val="center"/>
          </w:tcPr>
          <w:p w14:paraId="7A787728">
            <w:pPr>
              <w:keepNext w:val="0"/>
              <w:keepLines w:val="0"/>
              <w:pageBreakBefore w:val="0"/>
              <w:widowControl w:val="0"/>
              <w:kinsoku/>
              <w:wordWrap/>
              <w:overflowPunct/>
              <w:topLinePunct w:val="0"/>
              <w:autoSpaceDE/>
              <w:autoSpaceDN/>
              <w:bidi w:val="0"/>
              <w:spacing w:line="310" w:lineRule="exact"/>
              <w:textAlignment w:val="auto"/>
              <w:rPr>
                <w:rFonts w:hint="eastAsia" w:ascii="宋体" w:hAnsi="宋体"/>
                <w:color w:val="auto"/>
                <w:szCs w:val="21"/>
                <w:highlight w:val="none"/>
              </w:rPr>
            </w:pPr>
            <w:r>
              <w:rPr>
                <w:rFonts w:hint="eastAsia" w:hAnsi="宋体"/>
                <w:color w:val="auto"/>
                <w:szCs w:val="21"/>
                <w:highlight w:val="none"/>
              </w:rPr>
              <w:t>中标通知书发出之日起8个工作日内</w:t>
            </w:r>
            <w:r>
              <w:rPr>
                <w:rFonts w:hint="eastAsia" w:ascii="宋体" w:hAnsi="宋体"/>
                <w:color w:val="auto"/>
                <w:szCs w:val="21"/>
                <w:highlight w:val="none"/>
              </w:rPr>
              <w:t>。中标人应按规定与采购人签订合同。</w:t>
            </w:r>
          </w:p>
          <w:p w14:paraId="375D2981">
            <w:pPr>
              <w:keepNext w:val="0"/>
              <w:keepLines w:val="0"/>
              <w:pageBreakBefore w:val="0"/>
              <w:widowControl w:val="0"/>
              <w:kinsoku/>
              <w:wordWrap/>
              <w:overflowPunct/>
              <w:topLinePunct w:val="0"/>
              <w:autoSpaceDE/>
              <w:autoSpaceDN/>
              <w:bidi w:val="0"/>
              <w:spacing w:line="310" w:lineRule="exact"/>
              <w:textAlignment w:val="auto"/>
              <w:rPr>
                <w:rFonts w:hint="eastAsia" w:ascii="宋体" w:hAnsi="宋体"/>
                <w:color w:val="auto"/>
                <w:szCs w:val="21"/>
                <w:highlight w:val="none"/>
              </w:rPr>
            </w:pPr>
            <w:r>
              <w:rPr>
                <w:rFonts w:hint="eastAsia" w:hAnsi="宋体"/>
                <w:color w:val="auto"/>
                <w:szCs w:val="21"/>
                <w:highlight w:val="none"/>
              </w:rPr>
              <w:t>根据《桂林市大数据和行政审批局 桂林市财政局 桂林市住房和城乡建设局 桂林市交通运输局 桂林市水利局关于进一步优化招标采购评标机制加强异常低价监督处置的通知》（市数审</w:t>
            </w:r>
            <w:r>
              <w:rPr>
                <w:rFonts w:hint="eastAsia" w:hAnsi="宋体"/>
                <w:color w:val="auto"/>
                <w:szCs w:val="21"/>
                <w:highlight w:val="none"/>
                <w:lang w:eastAsia="zh-CN"/>
              </w:rPr>
              <w:t>〔2025〕11号</w:t>
            </w:r>
            <w:r>
              <w:rPr>
                <w:rFonts w:hint="eastAsia" w:hAnsi="宋体"/>
                <w:color w:val="auto"/>
                <w:szCs w:val="21"/>
                <w:highlight w:val="none"/>
              </w:rPr>
              <w:t>）规定，对报价触发异常低价投标审查程序后仍中标的供应商无正当理由拒不签订政府采购合同的，由财政部门依法追究其法律责任。</w:t>
            </w:r>
          </w:p>
        </w:tc>
      </w:tr>
      <w:tr w14:paraId="625A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644" w:type="dxa"/>
            <w:vAlign w:val="center"/>
          </w:tcPr>
          <w:p w14:paraId="55FE1241">
            <w:pPr>
              <w:spacing w:line="350" w:lineRule="exact"/>
              <w:jc w:val="center"/>
              <w:rPr>
                <w:rFonts w:ascii="宋体" w:hAnsi="宋体"/>
                <w:color w:val="auto"/>
                <w:szCs w:val="21"/>
                <w:highlight w:val="none"/>
              </w:rPr>
            </w:pPr>
            <w:r>
              <w:rPr>
                <w:rFonts w:hint="eastAsia" w:ascii="宋体" w:hAnsi="宋体"/>
                <w:color w:val="auto"/>
                <w:szCs w:val="21"/>
                <w:highlight w:val="none"/>
              </w:rPr>
              <w:t>17</w:t>
            </w:r>
          </w:p>
        </w:tc>
        <w:tc>
          <w:tcPr>
            <w:tcW w:w="850" w:type="dxa"/>
            <w:vAlign w:val="center"/>
          </w:tcPr>
          <w:p w14:paraId="0D71290B">
            <w:pPr>
              <w:spacing w:line="350" w:lineRule="exact"/>
              <w:jc w:val="center"/>
              <w:rPr>
                <w:rFonts w:ascii="宋体" w:hAnsi="宋体"/>
                <w:color w:val="auto"/>
                <w:szCs w:val="21"/>
                <w:highlight w:val="none"/>
              </w:rPr>
            </w:pPr>
            <w:r>
              <w:rPr>
                <w:rFonts w:hint="eastAsia" w:ascii="宋体" w:hAnsi="宋体"/>
                <w:color w:val="auto"/>
                <w:szCs w:val="21"/>
                <w:highlight w:val="none"/>
              </w:rPr>
              <w:t>35.3</w:t>
            </w:r>
          </w:p>
        </w:tc>
        <w:tc>
          <w:tcPr>
            <w:tcW w:w="1701" w:type="dxa"/>
            <w:vAlign w:val="center"/>
          </w:tcPr>
          <w:p w14:paraId="51863129">
            <w:pPr>
              <w:spacing w:line="350" w:lineRule="exact"/>
              <w:jc w:val="center"/>
              <w:rPr>
                <w:rFonts w:ascii="宋体" w:hAnsi="宋体"/>
                <w:color w:val="auto"/>
                <w:szCs w:val="21"/>
                <w:highlight w:val="none"/>
              </w:rPr>
            </w:pPr>
            <w:r>
              <w:rPr>
                <w:rFonts w:hint="eastAsia" w:ascii="宋体" w:hAnsi="宋体"/>
                <w:color w:val="auto"/>
                <w:szCs w:val="21"/>
                <w:highlight w:val="none"/>
              </w:rPr>
              <w:t>合同公告</w:t>
            </w:r>
          </w:p>
        </w:tc>
        <w:tc>
          <w:tcPr>
            <w:tcW w:w="6946" w:type="dxa"/>
            <w:vAlign w:val="center"/>
          </w:tcPr>
          <w:p w14:paraId="435E21AC">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highlight w:val="none"/>
              </w:rPr>
              <w:t>政府采购合同双方自签订之日起2个工作日内在省级以上人民政府财政部门指定媒体上公告。</w:t>
            </w:r>
          </w:p>
        </w:tc>
      </w:tr>
      <w:tr w14:paraId="0227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644" w:type="dxa"/>
            <w:vAlign w:val="center"/>
          </w:tcPr>
          <w:p w14:paraId="2979DED1">
            <w:pPr>
              <w:spacing w:line="350" w:lineRule="exact"/>
              <w:jc w:val="center"/>
              <w:rPr>
                <w:rFonts w:ascii="宋体" w:hAnsi="宋体"/>
                <w:color w:val="auto"/>
                <w:szCs w:val="21"/>
                <w:highlight w:val="none"/>
              </w:rPr>
            </w:pPr>
            <w:r>
              <w:rPr>
                <w:rFonts w:hint="eastAsia" w:ascii="宋体" w:hAnsi="宋体"/>
                <w:color w:val="auto"/>
                <w:szCs w:val="21"/>
                <w:highlight w:val="none"/>
              </w:rPr>
              <w:t>18</w:t>
            </w:r>
          </w:p>
        </w:tc>
        <w:tc>
          <w:tcPr>
            <w:tcW w:w="850" w:type="dxa"/>
            <w:vAlign w:val="center"/>
          </w:tcPr>
          <w:p w14:paraId="3AEE9221">
            <w:pPr>
              <w:spacing w:line="35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36.1</w:t>
            </w:r>
          </w:p>
        </w:tc>
        <w:tc>
          <w:tcPr>
            <w:tcW w:w="1701" w:type="dxa"/>
            <w:vAlign w:val="center"/>
          </w:tcPr>
          <w:p w14:paraId="5C0CCB82">
            <w:pPr>
              <w:spacing w:line="350" w:lineRule="exact"/>
              <w:jc w:val="center"/>
              <w:rPr>
                <w:rFonts w:ascii="宋体" w:hAnsi="宋体"/>
                <w:color w:val="auto"/>
                <w:szCs w:val="21"/>
                <w:highlight w:val="none"/>
              </w:rPr>
            </w:pPr>
            <w:r>
              <w:rPr>
                <w:rFonts w:hint="eastAsia" w:ascii="宋体" w:hAnsi="宋体"/>
                <w:color w:val="auto"/>
                <w:szCs w:val="21"/>
                <w:highlight w:val="none"/>
              </w:rPr>
              <w:t>采购代理服务费</w:t>
            </w:r>
          </w:p>
        </w:tc>
        <w:tc>
          <w:tcPr>
            <w:tcW w:w="6946" w:type="dxa"/>
            <w:vAlign w:val="center"/>
          </w:tcPr>
          <w:p w14:paraId="49453337">
            <w:pPr>
              <w:keepNext w:val="0"/>
              <w:keepLines w:val="0"/>
              <w:pageBreakBefore w:val="0"/>
              <w:widowControl w:val="0"/>
              <w:kinsoku/>
              <w:wordWrap/>
              <w:overflowPunct/>
              <w:topLinePunct w:val="0"/>
              <w:autoSpaceDE/>
              <w:autoSpaceDN/>
              <w:bidi w:val="0"/>
              <w:spacing w:line="310" w:lineRule="exact"/>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本项目</w:t>
            </w:r>
            <w:r>
              <w:rPr>
                <w:rFonts w:hint="eastAsia" w:ascii="宋体" w:hAnsi="宋体"/>
                <w:color w:val="auto"/>
                <w:szCs w:val="21"/>
                <w:highlight w:val="none"/>
                <w:lang w:val="en-US" w:eastAsia="zh-CN"/>
              </w:rPr>
              <w:t>各分标采购</w:t>
            </w:r>
            <w:r>
              <w:rPr>
                <w:rFonts w:hint="eastAsia" w:ascii="宋体" w:hAnsi="宋体"/>
                <w:color w:val="auto"/>
                <w:szCs w:val="21"/>
                <w:highlight w:val="none"/>
              </w:rPr>
              <w:t>代理服务费按本须知第36.2条“</w:t>
            </w:r>
            <w:r>
              <w:rPr>
                <w:rFonts w:hint="eastAsia" w:ascii="宋体" w:hAnsi="宋体"/>
                <w:color w:val="auto"/>
                <w:szCs w:val="21"/>
                <w:highlight w:val="none"/>
                <w:lang w:val="en-US" w:eastAsia="zh-CN"/>
              </w:rPr>
              <w:t>采购</w:t>
            </w:r>
            <w:r>
              <w:rPr>
                <w:rFonts w:hint="eastAsia" w:ascii="宋体" w:hAnsi="宋体"/>
                <w:color w:val="auto"/>
                <w:szCs w:val="21"/>
                <w:highlight w:val="none"/>
              </w:rPr>
              <w:t>代理服务收费标准”中</w:t>
            </w:r>
            <w:r>
              <w:rPr>
                <w:rFonts w:hint="eastAsia"/>
                <w:color w:val="auto"/>
                <w:highlight w:val="none"/>
              </w:rPr>
              <w:t>“</w:t>
            </w:r>
            <w:r>
              <w:rPr>
                <w:rFonts w:hint="eastAsia"/>
                <w:color w:val="auto"/>
                <w:highlight w:val="none"/>
                <w:lang w:eastAsia="zh-CN"/>
              </w:rPr>
              <w:t>货物</w:t>
            </w:r>
            <w:r>
              <w:rPr>
                <w:rFonts w:hint="eastAsia"/>
                <w:color w:val="auto"/>
                <w:highlight w:val="none"/>
              </w:rPr>
              <w:t>招标”</w:t>
            </w:r>
            <w:r>
              <w:rPr>
                <w:rFonts w:hint="eastAsia" w:ascii="宋体" w:hAnsi="宋体"/>
                <w:color w:val="auto"/>
                <w:szCs w:val="21"/>
                <w:highlight w:val="none"/>
              </w:rPr>
              <w:t>收费标准</w:t>
            </w:r>
            <w:r>
              <w:rPr>
                <w:rFonts w:hint="eastAsia" w:ascii="宋体" w:hAnsi="宋体"/>
                <w:color w:val="auto"/>
                <w:szCs w:val="21"/>
                <w:highlight w:val="none"/>
                <w:lang w:val="en-US" w:eastAsia="zh-CN"/>
              </w:rPr>
              <w:t>下浮50</w:t>
            </w:r>
            <w:r>
              <w:rPr>
                <w:rFonts w:hint="eastAsia" w:ascii="宋体" w:hAnsi="宋体"/>
                <w:color w:val="auto"/>
                <w:szCs w:val="21"/>
                <w:highlight w:val="none"/>
              </w:rPr>
              <w:t>%计算（不足人民币</w:t>
            </w:r>
            <w:r>
              <w:rPr>
                <w:rFonts w:ascii="宋体" w:hAnsi="宋体"/>
                <w:color w:val="auto"/>
                <w:szCs w:val="21"/>
                <w:highlight w:val="none"/>
              </w:rPr>
              <w:t>5</w:t>
            </w:r>
            <w:r>
              <w:rPr>
                <w:rFonts w:hint="eastAsia" w:ascii="宋体" w:hAnsi="宋体"/>
                <w:color w:val="auto"/>
                <w:szCs w:val="21"/>
                <w:highlight w:val="none"/>
              </w:rPr>
              <w:t>000元的，按</w:t>
            </w:r>
            <w:r>
              <w:rPr>
                <w:rFonts w:ascii="宋体" w:hAnsi="宋体"/>
                <w:color w:val="auto"/>
                <w:szCs w:val="21"/>
                <w:highlight w:val="none"/>
              </w:rPr>
              <w:t>5</w:t>
            </w:r>
            <w:r>
              <w:rPr>
                <w:rFonts w:hint="eastAsia" w:ascii="宋体" w:hAnsi="宋体"/>
                <w:color w:val="auto"/>
                <w:szCs w:val="21"/>
                <w:highlight w:val="none"/>
              </w:rPr>
              <w:t>000元计），由中标人向采购代理机构一次性付清（否则，该不利后果由中标人承担）</w:t>
            </w:r>
            <w:r>
              <w:rPr>
                <w:rFonts w:hint="eastAsia" w:ascii="宋体" w:hAnsi="宋体"/>
                <w:color w:val="auto"/>
                <w:szCs w:val="21"/>
                <w:highlight w:val="none"/>
                <w:lang w:eastAsia="zh-CN"/>
              </w:rPr>
              <w:t>。</w:t>
            </w:r>
          </w:p>
        </w:tc>
      </w:tr>
      <w:tr w14:paraId="610C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44" w:type="dxa"/>
            <w:vAlign w:val="center"/>
          </w:tcPr>
          <w:p w14:paraId="33F92CB4">
            <w:pPr>
              <w:spacing w:line="350" w:lineRule="exact"/>
              <w:jc w:val="center"/>
              <w:rPr>
                <w:rFonts w:ascii="宋体" w:hAnsi="宋体"/>
                <w:color w:val="auto"/>
                <w:szCs w:val="21"/>
                <w:highlight w:val="none"/>
              </w:rPr>
            </w:pPr>
            <w:r>
              <w:rPr>
                <w:rFonts w:hint="eastAsia" w:ascii="宋体" w:hAnsi="宋体"/>
                <w:color w:val="auto"/>
                <w:szCs w:val="21"/>
                <w:highlight w:val="none"/>
              </w:rPr>
              <w:t>19</w:t>
            </w:r>
          </w:p>
        </w:tc>
        <w:tc>
          <w:tcPr>
            <w:tcW w:w="850" w:type="dxa"/>
            <w:vAlign w:val="center"/>
          </w:tcPr>
          <w:p w14:paraId="679DC4D4">
            <w:pPr>
              <w:spacing w:line="350" w:lineRule="exact"/>
              <w:jc w:val="center"/>
              <w:rPr>
                <w:rFonts w:ascii="宋体" w:hAnsi="宋体"/>
                <w:color w:val="auto"/>
                <w:szCs w:val="21"/>
                <w:highlight w:val="none"/>
              </w:rPr>
            </w:pPr>
            <w:r>
              <w:rPr>
                <w:rFonts w:hint="eastAsia" w:ascii="宋体" w:hAnsi="宋体"/>
                <w:color w:val="auto"/>
                <w:szCs w:val="21"/>
                <w:highlight w:val="none"/>
              </w:rPr>
              <w:t>39</w:t>
            </w:r>
          </w:p>
        </w:tc>
        <w:tc>
          <w:tcPr>
            <w:tcW w:w="1701" w:type="dxa"/>
            <w:vAlign w:val="center"/>
          </w:tcPr>
          <w:p w14:paraId="7809D938">
            <w:pPr>
              <w:spacing w:line="350" w:lineRule="exact"/>
              <w:jc w:val="center"/>
              <w:rPr>
                <w:rFonts w:ascii="宋体" w:hAnsi="宋体"/>
                <w:color w:val="auto"/>
                <w:szCs w:val="21"/>
                <w:highlight w:val="none"/>
              </w:rPr>
            </w:pPr>
            <w:r>
              <w:rPr>
                <w:rFonts w:hint="eastAsia" w:ascii="宋体" w:hAnsi="宋体"/>
                <w:color w:val="auto"/>
                <w:szCs w:val="21"/>
                <w:highlight w:val="none"/>
              </w:rPr>
              <w:t>解释权</w:t>
            </w:r>
          </w:p>
        </w:tc>
        <w:tc>
          <w:tcPr>
            <w:tcW w:w="6946" w:type="dxa"/>
            <w:vAlign w:val="center"/>
          </w:tcPr>
          <w:p w14:paraId="06FD6C44">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szCs w:val="21"/>
                <w:highlight w:val="none"/>
              </w:rPr>
              <w:t>本招标文件是根据《中华人民共和国政府采购法</w:t>
            </w:r>
            <w:r>
              <w:rPr>
                <w:rFonts w:hint="eastAsia" w:ascii="宋体" w:hAnsi="宋体"/>
                <w:color w:val="auto"/>
                <w:szCs w:val="21"/>
                <w:highlight w:val="none"/>
                <w:lang w:eastAsia="zh-CN"/>
              </w:rPr>
              <w:t>》《</w:t>
            </w:r>
            <w:r>
              <w:rPr>
                <w:rFonts w:hint="eastAsia" w:ascii="宋体" w:hAnsi="宋体"/>
                <w:color w:val="auto"/>
                <w:szCs w:val="21"/>
                <w:highlight w:val="none"/>
              </w:rPr>
              <w:t>中华人民共和国政府采购法实施条例》及</w:t>
            </w:r>
            <w:r>
              <w:rPr>
                <w:rFonts w:ascii="宋体" w:hAnsi="宋体"/>
                <w:bCs/>
                <w:color w:val="auto"/>
                <w:szCs w:val="21"/>
                <w:highlight w:val="none"/>
              </w:rPr>
              <w:t>财政部令第87号</w:t>
            </w:r>
            <w:r>
              <w:rPr>
                <w:rFonts w:ascii="宋体" w:hAnsi="宋体"/>
                <w:color w:val="auto"/>
                <w:szCs w:val="21"/>
                <w:highlight w:val="none"/>
              </w:rPr>
              <w:t>《政府采购货物和服务招标投标管理办法》</w:t>
            </w:r>
            <w:r>
              <w:rPr>
                <w:rFonts w:hint="eastAsia" w:ascii="宋体" w:hAnsi="宋体"/>
                <w:color w:val="auto"/>
                <w:szCs w:val="21"/>
                <w:highlight w:val="none"/>
              </w:rPr>
              <w:t>和政府采购管理有关规定编制，本招标文件的解释权属于采购代理机构。</w:t>
            </w:r>
          </w:p>
        </w:tc>
      </w:tr>
      <w:tr w14:paraId="1468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44" w:type="dxa"/>
            <w:vAlign w:val="center"/>
          </w:tcPr>
          <w:p w14:paraId="79132C58">
            <w:pPr>
              <w:spacing w:line="350" w:lineRule="exact"/>
              <w:jc w:val="center"/>
              <w:rPr>
                <w:rFonts w:ascii="宋体" w:hAnsi="宋体"/>
                <w:color w:val="auto"/>
                <w:szCs w:val="21"/>
                <w:highlight w:val="none"/>
              </w:rPr>
            </w:pPr>
            <w:r>
              <w:rPr>
                <w:rFonts w:hint="eastAsia" w:ascii="宋体" w:hAnsi="宋体"/>
                <w:color w:val="auto"/>
                <w:szCs w:val="21"/>
                <w:highlight w:val="none"/>
              </w:rPr>
              <w:t>20</w:t>
            </w:r>
          </w:p>
        </w:tc>
        <w:tc>
          <w:tcPr>
            <w:tcW w:w="850" w:type="dxa"/>
            <w:vAlign w:val="center"/>
          </w:tcPr>
          <w:p w14:paraId="66EB9BFF">
            <w:pPr>
              <w:spacing w:line="350" w:lineRule="exact"/>
              <w:jc w:val="center"/>
              <w:rPr>
                <w:rFonts w:ascii="宋体" w:hAnsi="宋体"/>
                <w:color w:val="auto"/>
                <w:szCs w:val="21"/>
                <w:highlight w:val="none"/>
              </w:rPr>
            </w:pPr>
            <w:r>
              <w:rPr>
                <w:rFonts w:hint="eastAsia" w:ascii="宋体" w:hAnsi="宋体"/>
                <w:color w:val="auto"/>
                <w:szCs w:val="21"/>
                <w:highlight w:val="none"/>
              </w:rPr>
              <w:t>40</w:t>
            </w:r>
          </w:p>
        </w:tc>
        <w:tc>
          <w:tcPr>
            <w:tcW w:w="1701" w:type="dxa"/>
            <w:vAlign w:val="center"/>
          </w:tcPr>
          <w:p w14:paraId="58B4382E">
            <w:pPr>
              <w:spacing w:line="350" w:lineRule="exact"/>
              <w:jc w:val="center"/>
              <w:rPr>
                <w:rFonts w:ascii="宋体" w:hAnsi="宋体"/>
                <w:color w:val="auto"/>
                <w:position w:val="10"/>
                <w:szCs w:val="21"/>
                <w:highlight w:val="none"/>
              </w:rPr>
            </w:pPr>
            <w:r>
              <w:rPr>
                <w:rFonts w:hint="eastAsia" w:ascii="宋体" w:hAnsi="宋体"/>
                <w:color w:val="auto"/>
                <w:szCs w:val="21"/>
                <w:highlight w:val="none"/>
              </w:rPr>
              <w:t>监督管理机构</w:t>
            </w:r>
          </w:p>
        </w:tc>
        <w:tc>
          <w:tcPr>
            <w:tcW w:w="6946" w:type="dxa"/>
            <w:vAlign w:val="center"/>
          </w:tcPr>
          <w:p w14:paraId="10283EED">
            <w:pPr>
              <w:keepNext w:val="0"/>
              <w:keepLines w:val="0"/>
              <w:pageBreakBefore w:val="0"/>
              <w:widowControl w:val="0"/>
              <w:kinsoku/>
              <w:wordWrap/>
              <w:overflowPunct/>
              <w:topLinePunct w:val="0"/>
              <w:autoSpaceDE/>
              <w:autoSpaceDN/>
              <w:bidi w:val="0"/>
              <w:spacing w:line="310" w:lineRule="exact"/>
              <w:textAlignment w:val="auto"/>
              <w:rPr>
                <w:rFonts w:ascii="宋体" w:hAnsi="宋体"/>
                <w:color w:val="auto"/>
                <w:szCs w:val="21"/>
                <w:highlight w:val="none"/>
              </w:rPr>
            </w:pPr>
            <w:r>
              <w:rPr>
                <w:rFonts w:hint="eastAsia" w:ascii="宋体" w:hAnsi="宋体"/>
                <w:color w:val="auto"/>
                <w:kern w:val="0"/>
                <w:szCs w:val="21"/>
                <w:highlight w:val="none"/>
              </w:rPr>
              <w:t>桂林市财政局；联系电话：0773-2829504</w:t>
            </w:r>
          </w:p>
        </w:tc>
      </w:tr>
    </w:tbl>
    <w:p w14:paraId="78B0CB5A">
      <w:pPr>
        <w:spacing w:line="400" w:lineRule="exact"/>
        <w:jc w:val="center"/>
        <w:rPr>
          <w:rFonts w:ascii="宋体" w:hAnsi="宋体"/>
          <w:b/>
          <w:color w:val="auto"/>
          <w:sz w:val="28"/>
          <w:szCs w:val="28"/>
          <w:highlight w:val="none"/>
        </w:rPr>
      </w:pPr>
      <w:r>
        <w:rPr>
          <w:rFonts w:ascii="宋体" w:hAnsi="宋体"/>
          <w:b/>
          <w:color w:val="auto"/>
          <w:sz w:val="28"/>
          <w:szCs w:val="28"/>
          <w:highlight w:val="none"/>
        </w:rPr>
        <w:br w:type="page"/>
      </w:r>
      <w:r>
        <w:rPr>
          <w:rFonts w:hint="eastAsia" w:ascii="宋体" w:hAnsi="宋体"/>
          <w:b/>
          <w:color w:val="auto"/>
          <w:sz w:val="28"/>
          <w:szCs w:val="28"/>
          <w:highlight w:val="none"/>
        </w:rPr>
        <w:t>一、总则</w:t>
      </w:r>
    </w:p>
    <w:p w14:paraId="3B257877">
      <w:pPr>
        <w:keepNext w:val="0"/>
        <w:keepLines w:val="0"/>
        <w:pageBreakBefore w:val="0"/>
        <w:kinsoku/>
        <w:wordWrap/>
        <w:overflowPunct/>
        <w:topLinePunct w:val="0"/>
        <w:bidi w:val="0"/>
        <w:adjustRightInd/>
        <w:spacing w:line="360" w:lineRule="exact"/>
        <w:ind w:firstLine="413" w:firstLineChars="196"/>
        <w:textAlignment w:val="auto"/>
        <w:rPr>
          <w:rFonts w:ascii="宋体" w:hAnsi="宋体"/>
          <w:b/>
          <w:color w:val="auto"/>
          <w:szCs w:val="21"/>
          <w:highlight w:val="none"/>
        </w:rPr>
      </w:pPr>
      <w:r>
        <w:rPr>
          <w:rFonts w:hint="eastAsia" w:ascii="宋体" w:hAnsi="宋体"/>
          <w:b/>
          <w:color w:val="auto"/>
          <w:szCs w:val="21"/>
          <w:highlight w:val="none"/>
        </w:rPr>
        <w:t>1. 项目名称及项目编号</w:t>
      </w:r>
    </w:p>
    <w:p w14:paraId="27C6FCE9">
      <w:pPr>
        <w:keepNext w:val="0"/>
        <w:keepLines w:val="0"/>
        <w:pageBreakBefore w:val="0"/>
        <w:kinsoku/>
        <w:wordWrap/>
        <w:overflowPunct/>
        <w:topLinePunct w:val="0"/>
        <w:bidi w:val="0"/>
        <w:adjustRightInd/>
        <w:spacing w:line="360" w:lineRule="exact"/>
        <w:ind w:firstLine="720" w:firstLineChars="343"/>
        <w:textAlignment w:val="auto"/>
        <w:rPr>
          <w:rFonts w:ascii="宋体" w:hAnsi="宋体"/>
          <w:color w:val="auto"/>
          <w:szCs w:val="21"/>
          <w:highlight w:val="none"/>
        </w:rPr>
      </w:pPr>
      <w:r>
        <w:rPr>
          <w:rFonts w:hint="eastAsia" w:ascii="宋体" w:hAnsi="宋体"/>
          <w:color w:val="auto"/>
          <w:szCs w:val="21"/>
          <w:highlight w:val="none"/>
        </w:rPr>
        <w:t>项目名称：桂林市中西医结合医院医疗设备一批采购项目</w:t>
      </w:r>
      <w:r>
        <w:rPr>
          <w:rFonts w:hint="eastAsia" w:ascii="宋体" w:hAnsi="宋体"/>
          <w:bCs/>
          <w:color w:val="auto"/>
          <w:szCs w:val="21"/>
          <w:highlight w:val="none"/>
        </w:rPr>
        <w:t xml:space="preserve"> </w:t>
      </w:r>
    </w:p>
    <w:p w14:paraId="542D4DD4">
      <w:pPr>
        <w:keepNext w:val="0"/>
        <w:keepLines w:val="0"/>
        <w:pageBreakBefore w:val="0"/>
        <w:kinsoku/>
        <w:wordWrap/>
        <w:overflowPunct/>
        <w:topLinePunct w:val="0"/>
        <w:bidi w:val="0"/>
        <w:adjustRightInd/>
        <w:spacing w:line="360" w:lineRule="exact"/>
        <w:ind w:firstLine="720" w:firstLineChars="343"/>
        <w:textAlignment w:val="auto"/>
        <w:rPr>
          <w:rFonts w:hint="eastAsia" w:ascii="宋体" w:hAnsi="宋体" w:eastAsia="宋体"/>
          <w:bCs/>
          <w:color w:val="auto"/>
          <w:szCs w:val="21"/>
          <w:highlight w:val="none"/>
          <w:lang w:eastAsia="zh-CN"/>
        </w:rPr>
      </w:pPr>
      <w:r>
        <w:rPr>
          <w:rFonts w:hint="eastAsia" w:ascii="宋体" w:hAnsi="宋体"/>
          <w:color w:val="auto"/>
          <w:szCs w:val="21"/>
          <w:highlight w:val="none"/>
        </w:rPr>
        <w:t>项目编号：GLZC2026-G1-990422-YZLZ</w:t>
      </w:r>
    </w:p>
    <w:p w14:paraId="3152A44A">
      <w:pPr>
        <w:keepNext w:val="0"/>
        <w:keepLines w:val="0"/>
        <w:pageBreakBefore w:val="0"/>
        <w:kinsoku/>
        <w:wordWrap/>
        <w:overflowPunct/>
        <w:topLinePunct w:val="0"/>
        <w:bidi w:val="0"/>
        <w:adjustRightInd/>
        <w:spacing w:line="360" w:lineRule="exact"/>
        <w:ind w:firstLine="413" w:firstLineChars="196"/>
        <w:textAlignment w:val="auto"/>
        <w:rPr>
          <w:rFonts w:ascii="宋体" w:hAnsi="宋体"/>
          <w:b/>
          <w:color w:val="auto"/>
          <w:szCs w:val="21"/>
          <w:highlight w:val="none"/>
        </w:rPr>
      </w:pPr>
      <w:r>
        <w:rPr>
          <w:rFonts w:hint="eastAsia" w:ascii="宋体" w:hAnsi="宋体"/>
          <w:b/>
          <w:color w:val="auto"/>
          <w:szCs w:val="21"/>
          <w:highlight w:val="none"/>
        </w:rPr>
        <w:t>2. 适</w:t>
      </w:r>
      <w:r>
        <w:rPr>
          <w:rFonts w:hint="eastAsia" w:ascii="宋体" w:hAnsi="宋体"/>
          <w:b/>
          <w:color w:val="auto"/>
          <w:szCs w:val="21"/>
          <w:highlight w:val="none"/>
          <w:lang w:eastAsia="zh-CN"/>
        </w:rPr>
        <w:t>用</w:t>
      </w:r>
      <w:r>
        <w:rPr>
          <w:rFonts w:hint="eastAsia" w:ascii="宋体" w:hAnsi="宋体"/>
          <w:b/>
          <w:color w:val="auto"/>
          <w:szCs w:val="21"/>
          <w:highlight w:val="none"/>
        </w:rPr>
        <w:t>范围</w:t>
      </w:r>
    </w:p>
    <w:p w14:paraId="56096530">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本招标文件适</w:t>
      </w:r>
      <w:r>
        <w:rPr>
          <w:rFonts w:hint="eastAsia" w:ascii="宋体" w:hAnsi="宋体"/>
          <w:color w:val="auto"/>
          <w:szCs w:val="21"/>
          <w:highlight w:val="none"/>
          <w:lang w:eastAsia="zh-CN"/>
        </w:rPr>
        <w:t>用于</w:t>
      </w:r>
      <w:r>
        <w:rPr>
          <w:rFonts w:hint="eastAsia" w:ascii="宋体" w:hAnsi="宋体"/>
          <w:color w:val="auto"/>
          <w:szCs w:val="21"/>
          <w:highlight w:val="none"/>
        </w:rPr>
        <w:t>本招标采购项目的招标、投标、评标、合同履约、验收、付款等行为（</w:t>
      </w:r>
      <w:r>
        <w:rPr>
          <w:rFonts w:hint="eastAsia" w:ascii="宋体" w:hAnsi="宋体"/>
          <w:color w:val="auto"/>
          <w:szCs w:val="21"/>
          <w:highlight w:val="none"/>
          <w:lang w:eastAsia="zh-CN"/>
        </w:rPr>
        <w:t>法律法规</w:t>
      </w:r>
      <w:r>
        <w:rPr>
          <w:rFonts w:hint="eastAsia" w:ascii="宋体" w:hAnsi="宋体"/>
          <w:color w:val="auto"/>
          <w:szCs w:val="21"/>
          <w:highlight w:val="none"/>
        </w:rPr>
        <w:t>另有规定的，从其规定）。</w:t>
      </w:r>
    </w:p>
    <w:p w14:paraId="14C861DC">
      <w:pPr>
        <w:keepNext w:val="0"/>
        <w:keepLines w:val="0"/>
        <w:pageBreakBefore w:val="0"/>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3. 定义</w:t>
      </w:r>
    </w:p>
    <w:p w14:paraId="35C9D404">
      <w:pPr>
        <w:keepNext w:val="0"/>
        <w:keepLines w:val="0"/>
        <w:pageBreakBefore w:val="0"/>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3.1“投标人”</w:t>
      </w:r>
      <w:r>
        <w:rPr>
          <w:rFonts w:ascii="宋体" w:hAnsi="宋体"/>
          <w:color w:val="auto"/>
          <w:szCs w:val="21"/>
          <w:highlight w:val="none"/>
        </w:rPr>
        <w:t>是指响应招标、参加投标竞争的法人、其他组织或者自然人。</w:t>
      </w:r>
    </w:p>
    <w:p w14:paraId="14421E31">
      <w:pPr>
        <w:keepNext w:val="0"/>
        <w:keepLines w:val="0"/>
        <w:pageBreakBefore w:val="0"/>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3.2“货物”系指按招标文件规定，投标人须向采购人提供的一切设备、保险、税金、备品备件、工具、手册及其他有关技术资料和材料。</w:t>
      </w:r>
    </w:p>
    <w:p w14:paraId="4713E132">
      <w:pPr>
        <w:keepNext w:val="0"/>
        <w:keepLines w:val="0"/>
        <w:pageBreakBefore w:val="0"/>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3.3“服务”系指按招标文件规定，投标人须承担的安装、调试、技术协助、校准、培训、技术指导以及其他类似的义务。</w:t>
      </w:r>
    </w:p>
    <w:p w14:paraId="5AB42DC5">
      <w:pPr>
        <w:keepNext w:val="0"/>
        <w:keepLines w:val="0"/>
        <w:pageBreakBefore w:val="0"/>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3.4“项目”系指投标人按招标文件规定向采购人提供的货物和服务。</w:t>
      </w:r>
    </w:p>
    <w:p w14:paraId="032B5A84">
      <w:pPr>
        <w:keepNext w:val="0"/>
        <w:keepLines w:val="0"/>
        <w:pageBreakBefore w:val="0"/>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3.5“书面形式”包括信函、传真、电报。</w:t>
      </w:r>
    </w:p>
    <w:p w14:paraId="3E7524D3">
      <w:pPr>
        <w:keepNext w:val="0"/>
        <w:keepLines w:val="0"/>
        <w:pageBreakBefore w:val="0"/>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3.6法定代表人、负责人、自然人：投标人为其他组织或者自然人时，本招标文件规定的法定代表人指其他组织的负责人或者自然人本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683DC354">
      <w:pPr>
        <w:keepNext w:val="0"/>
        <w:keepLines w:val="0"/>
        <w:pageBreakBefore w:val="0"/>
        <w:kinsoku/>
        <w:wordWrap/>
        <w:overflowPunct/>
        <w:topLinePunct w:val="0"/>
        <w:bidi w:val="0"/>
        <w:adjustRightInd/>
        <w:spacing w:line="360" w:lineRule="exact"/>
        <w:ind w:firstLine="435"/>
        <w:textAlignment w:val="auto"/>
        <w:rPr>
          <w:rFonts w:hAnsi="宋体"/>
          <w:bCs/>
          <w:color w:val="auto"/>
          <w:highlight w:val="none"/>
        </w:rPr>
      </w:pPr>
      <w:r>
        <w:rPr>
          <w:rFonts w:hint="eastAsia" w:ascii="宋体" w:hAnsi="宋体"/>
          <w:bCs/>
          <w:color w:val="auto"/>
          <w:szCs w:val="21"/>
          <w:highlight w:val="none"/>
        </w:rPr>
        <w:t>3.7</w:t>
      </w:r>
      <w:r>
        <w:rPr>
          <w:rFonts w:hint="eastAsia" w:ascii="宋体" w:hAnsi="宋体" w:cs="宋体"/>
          <w:bCs/>
          <w:color w:val="auto"/>
          <w:szCs w:val="21"/>
          <w:highlight w:val="none"/>
        </w:rPr>
        <w:t>“正偏离”是指投标文件对招标文件“采购需求”中有关条款作出的响应优于该条款基本要求的情形，包括：①当某技术指标要求为≥或≤某指标时，则该指标为基本要求，投标响应值＞或＜该基本要求的，为正偏离；②除上述第①种情形外，经评委独立评审后认定该技术指标优于招标文件基本要求的其他情形。</w:t>
      </w:r>
    </w:p>
    <w:p w14:paraId="4C5A6AF4">
      <w:pPr>
        <w:keepNext w:val="0"/>
        <w:keepLines w:val="0"/>
        <w:pageBreakBefore w:val="0"/>
        <w:kinsoku/>
        <w:wordWrap/>
        <w:overflowPunct/>
        <w:topLinePunct w:val="0"/>
        <w:bidi w:val="0"/>
        <w:adjustRightInd/>
        <w:spacing w:line="360" w:lineRule="exact"/>
        <w:ind w:firstLine="435"/>
        <w:textAlignment w:val="auto"/>
        <w:rPr>
          <w:rFonts w:ascii="宋体" w:hAnsi="宋体"/>
          <w:bCs/>
          <w:color w:val="auto"/>
          <w:szCs w:val="21"/>
          <w:highlight w:val="none"/>
        </w:rPr>
      </w:pPr>
      <w:r>
        <w:rPr>
          <w:rFonts w:hint="eastAsia" w:ascii="宋体" w:hAnsi="宋体"/>
          <w:bCs/>
          <w:color w:val="auto"/>
          <w:szCs w:val="21"/>
          <w:highlight w:val="none"/>
        </w:rPr>
        <w:t>3.8</w:t>
      </w:r>
      <w:r>
        <w:rPr>
          <w:rFonts w:hint="eastAsia" w:ascii="宋体" w:hAnsi="宋体" w:cs="宋体"/>
          <w:bCs/>
          <w:color w:val="auto"/>
          <w:szCs w:val="21"/>
          <w:highlight w:val="none"/>
        </w:rPr>
        <w:t>“负偏离”是指投标文件对招标文件“采购需求”中有关条款作出的响应不满足条款要求，导致采购人要求不能得到满足的情形。</w:t>
      </w:r>
    </w:p>
    <w:p w14:paraId="55CAF679">
      <w:pPr>
        <w:keepNext w:val="0"/>
        <w:keepLines w:val="0"/>
        <w:pageBreakBefore w:val="0"/>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3.9实质性要求是指“采购需求”中标注“▲”符号的条款以及招标文件中要求“必须提供”的条款，投标人对实质性要求若有任意一项不满足，投标文件作无效处理。</w:t>
      </w:r>
    </w:p>
    <w:p w14:paraId="60A4E637">
      <w:pPr>
        <w:keepNext w:val="0"/>
        <w:keepLines w:val="0"/>
        <w:pageBreakBefore w:val="0"/>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4.招标方式、评分办法</w:t>
      </w:r>
    </w:p>
    <w:p w14:paraId="13D55FB3">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公开招标、综合评分法</w:t>
      </w:r>
    </w:p>
    <w:p w14:paraId="044DEB99">
      <w:pPr>
        <w:keepNext w:val="0"/>
        <w:keepLines w:val="0"/>
        <w:pageBreakBefore w:val="0"/>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5. 投标人资格及</w:t>
      </w:r>
      <w:r>
        <w:rPr>
          <w:rFonts w:ascii="宋体" w:hAnsi="宋体"/>
          <w:b/>
          <w:color w:val="auto"/>
          <w:szCs w:val="21"/>
          <w:highlight w:val="none"/>
        </w:rPr>
        <w:t>资格条件特别说明</w:t>
      </w:r>
    </w:p>
    <w:p w14:paraId="458594CF">
      <w:pPr>
        <w:keepNext w:val="0"/>
        <w:keepLines w:val="0"/>
        <w:pageBreakBefore w:val="0"/>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5.</w:t>
      </w:r>
      <w:r>
        <w:rPr>
          <w:rFonts w:ascii="宋体" w:hAnsi="宋体"/>
          <w:b/>
          <w:color w:val="auto"/>
          <w:szCs w:val="21"/>
          <w:highlight w:val="none"/>
        </w:rPr>
        <w:t>1</w:t>
      </w:r>
      <w:r>
        <w:rPr>
          <w:rFonts w:hint="eastAsia" w:ascii="宋体" w:hAnsi="宋体"/>
          <w:b/>
          <w:color w:val="auto"/>
          <w:szCs w:val="21"/>
          <w:highlight w:val="none"/>
        </w:rPr>
        <w:t>投标人资格</w:t>
      </w:r>
    </w:p>
    <w:p w14:paraId="24E88BA2">
      <w:pPr>
        <w:keepNext w:val="0"/>
        <w:keepLines w:val="0"/>
        <w:pageBreakBefore w:val="0"/>
        <w:kinsoku/>
        <w:wordWrap/>
        <w:overflowPunct/>
        <w:topLinePunct w:val="0"/>
        <w:bidi w:val="0"/>
        <w:adjustRightInd/>
        <w:spacing w:line="360" w:lineRule="exact"/>
        <w:ind w:firstLine="435"/>
        <w:textAlignment w:val="auto"/>
        <w:rPr>
          <w:rFonts w:ascii="宋体" w:hAnsi="宋体" w:cs="宋体"/>
          <w:color w:val="auto"/>
          <w:kern w:val="0"/>
          <w:szCs w:val="21"/>
          <w:highlight w:val="none"/>
        </w:rPr>
      </w:pPr>
      <w:r>
        <w:rPr>
          <w:rFonts w:hint="eastAsia" w:ascii="宋体" w:hAnsi="宋体" w:cs="宋体"/>
          <w:color w:val="auto"/>
          <w:kern w:val="0"/>
          <w:szCs w:val="21"/>
          <w:highlight w:val="none"/>
        </w:rPr>
        <w:t>（1）满足《中华人民共和国政府采购法》第二十二条规定；</w:t>
      </w:r>
    </w:p>
    <w:p w14:paraId="30C65855">
      <w:pPr>
        <w:keepNext w:val="0"/>
        <w:keepLines w:val="0"/>
        <w:pageBreakBefore w:val="0"/>
        <w:kinsoku/>
        <w:wordWrap/>
        <w:overflowPunct/>
        <w:topLinePunct w:val="0"/>
        <w:bidi w:val="0"/>
        <w:adjustRightInd/>
        <w:spacing w:line="360" w:lineRule="exact"/>
        <w:ind w:firstLine="435"/>
        <w:textAlignment w:val="auto"/>
        <w:rPr>
          <w:rFonts w:ascii="宋体" w:hAns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）落实政府采购政策需满足的资格要求：无；</w:t>
      </w:r>
    </w:p>
    <w:p w14:paraId="3489B0CC">
      <w:pPr>
        <w:keepNext w:val="0"/>
        <w:keepLines w:val="0"/>
        <w:pageBreakBefore w:val="0"/>
        <w:kinsoku/>
        <w:wordWrap/>
        <w:overflowPunct/>
        <w:topLinePunct w:val="0"/>
        <w:bidi w:val="0"/>
        <w:adjustRightInd/>
        <w:spacing w:line="360" w:lineRule="exact"/>
        <w:ind w:firstLine="435"/>
        <w:textAlignment w:val="auto"/>
        <w:rPr>
          <w:rFonts w:ascii="宋体" w:hAns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3</w:t>
      </w:r>
      <w:r>
        <w:rPr>
          <w:rFonts w:hint="eastAsia" w:ascii="宋体" w:hAnsi="宋体" w:cs="宋体"/>
          <w:color w:val="auto"/>
          <w:kern w:val="0"/>
          <w:szCs w:val="21"/>
          <w:highlight w:val="none"/>
        </w:rPr>
        <w:t>）本项目的特定资格要求：本项目投标人按照《医疗器械监督管理条例》（国务院令第739号）医疗器械分类管理要求具备有效的医疗器械经营备案凭证或者经营许可证，且经营范围必须包含采购标的[符合《医疗器械监督管理条例》第四十一条第二款规定的除外]；或者投标人具有《医疗器械监督管理条例》第四十三条规定的注册人凭证</w:t>
      </w:r>
      <w:r>
        <w:rPr>
          <w:rFonts w:ascii="宋体" w:hAnsi="宋体" w:cs="宋体"/>
          <w:color w:val="auto"/>
          <w:kern w:val="0"/>
          <w:szCs w:val="21"/>
          <w:highlight w:val="none"/>
        </w:rPr>
        <w:t>。</w:t>
      </w:r>
    </w:p>
    <w:p w14:paraId="6FA83CB1">
      <w:pPr>
        <w:keepNext w:val="0"/>
        <w:keepLines w:val="0"/>
        <w:pageBreakBefore w:val="0"/>
        <w:kinsoku/>
        <w:wordWrap/>
        <w:overflowPunct/>
        <w:topLinePunct w:val="0"/>
        <w:bidi w:val="0"/>
        <w:adjustRightInd/>
        <w:spacing w:line="360" w:lineRule="exact"/>
        <w:ind w:firstLine="435"/>
        <w:textAlignment w:val="auto"/>
        <w:rPr>
          <w:rFonts w:ascii="宋体" w:hAnsi="宋体"/>
          <w:b/>
          <w:color w:val="auto"/>
          <w:szCs w:val="21"/>
          <w:highlight w:val="none"/>
        </w:rPr>
      </w:pPr>
      <w:r>
        <w:rPr>
          <w:rFonts w:ascii="宋体" w:hAnsi="宋体"/>
          <w:b/>
          <w:color w:val="auto"/>
          <w:szCs w:val="21"/>
          <w:highlight w:val="none"/>
        </w:rPr>
        <w:t>5</w:t>
      </w:r>
      <w:r>
        <w:rPr>
          <w:rFonts w:hint="eastAsia" w:ascii="宋体" w:hAnsi="宋体"/>
          <w:b/>
          <w:color w:val="auto"/>
          <w:szCs w:val="21"/>
          <w:highlight w:val="none"/>
        </w:rPr>
        <w:t>.</w:t>
      </w:r>
      <w:r>
        <w:rPr>
          <w:rFonts w:ascii="宋体" w:hAnsi="宋体"/>
          <w:b/>
          <w:color w:val="auto"/>
          <w:szCs w:val="21"/>
          <w:highlight w:val="none"/>
        </w:rPr>
        <w:t>2资格条件特别说明：</w:t>
      </w:r>
    </w:p>
    <w:p w14:paraId="379B3EAC">
      <w:pPr>
        <w:keepNext w:val="0"/>
        <w:keepLines w:val="0"/>
        <w:pageBreakBefore w:val="0"/>
        <w:kinsoku/>
        <w:wordWrap/>
        <w:overflowPunct/>
        <w:topLinePunct w:val="0"/>
        <w:bidi w:val="0"/>
        <w:adjustRightInd/>
        <w:spacing w:line="360" w:lineRule="exact"/>
        <w:ind w:firstLine="435"/>
        <w:textAlignment w:val="auto"/>
        <w:rPr>
          <w:rFonts w:ascii="宋体" w:hAnsi="宋体" w:cs="宋体"/>
          <w:color w:val="auto"/>
          <w:kern w:val="0"/>
          <w:szCs w:val="21"/>
          <w:highlight w:val="none"/>
        </w:rPr>
      </w:pPr>
      <w:r>
        <w:rPr>
          <w:rFonts w:ascii="宋体" w:hAnsi="宋体" w:cs="宋体"/>
          <w:color w:val="auto"/>
          <w:kern w:val="0"/>
          <w:szCs w:val="21"/>
          <w:highlight w:val="none"/>
        </w:rPr>
        <w:t>（</w:t>
      </w:r>
      <w:r>
        <w:rPr>
          <w:rFonts w:hint="eastAsia" w:ascii="宋体" w:hAnsi="宋体" w:cs="宋体"/>
          <w:color w:val="auto"/>
          <w:kern w:val="0"/>
          <w:szCs w:val="21"/>
          <w:highlight w:val="none"/>
        </w:rPr>
        <w:t>1</w:t>
      </w:r>
      <w:r>
        <w:rPr>
          <w:rFonts w:ascii="宋体" w:hAnsi="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w:t>
      </w:r>
      <w:r>
        <w:rPr>
          <w:rFonts w:hint="eastAsia" w:ascii="宋体" w:hAnsi="宋体" w:cs="宋体"/>
          <w:color w:val="auto"/>
          <w:kern w:val="0"/>
          <w:szCs w:val="21"/>
          <w:highlight w:val="none"/>
        </w:rPr>
        <w:t>不得再参加该采购项目的其他采购活动；</w:t>
      </w:r>
    </w:p>
    <w:p w14:paraId="3397E0AD">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s="宋体"/>
          <w:color w:val="auto"/>
          <w:kern w:val="0"/>
          <w:szCs w:val="21"/>
          <w:highlight w:val="none"/>
        </w:rPr>
      </w:pPr>
      <w:r>
        <w:rPr>
          <w:rFonts w:ascii="宋体" w:hAnsi="宋体" w:cs="宋体"/>
          <w:color w:val="auto"/>
          <w:kern w:val="0"/>
          <w:szCs w:val="21"/>
          <w:highlight w:val="none"/>
        </w:rPr>
        <w:t>（</w:t>
      </w:r>
      <w:r>
        <w:rPr>
          <w:rFonts w:hint="eastAsia" w:ascii="宋体" w:hAnsi="宋体" w:cs="宋体"/>
          <w:color w:val="auto"/>
          <w:kern w:val="0"/>
          <w:szCs w:val="21"/>
          <w:highlight w:val="none"/>
        </w:rPr>
        <w:t>2</w:t>
      </w:r>
      <w:r>
        <w:rPr>
          <w:rFonts w:ascii="宋体" w:hAnsi="宋体" w:cs="宋体"/>
          <w:color w:val="auto"/>
          <w:kern w:val="0"/>
          <w:szCs w:val="21"/>
          <w:highlight w:val="none"/>
        </w:rPr>
        <w:t>）对在“信用中国”网站</w:t>
      </w:r>
      <w:r>
        <w:rPr>
          <w:rFonts w:hint="eastAsia" w:ascii="宋体" w:hAnsi="宋体" w:cs="宋体"/>
          <w:color w:val="auto"/>
          <w:kern w:val="0"/>
          <w:szCs w:val="21"/>
          <w:highlight w:val="none"/>
        </w:rPr>
        <w:t>（</w:t>
      </w:r>
      <w:r>
        <w:rPr>
          <w:rFonts w:ascii="宋体" w:hAnsi="宋体" w:cs="宋体"/>
          <w:color w:val="auto"/>
          <w:kern w:val="0"/>
          <w:szCs w:val="21"/>
          <w:highlight w:val="none"/>
        </w:rPr>
        <w:t>www.creditchina.gov.cn</w:t>
      </w:r>
      <w:r>
        <w:rPr>
          <w:rFonts w:hint="eastAsia" w:ascii="宋体" w:hAnsi="宋体" w:cs="宋体"/>
          <w:color w:val="auto"/>
          <w:kern w:val="0"/>
          <w:szCs w:val="21"/>
          <w:highlight w:val="none"/>
        </w:rPr>
        <w:t>）</w:t>
      </w:r>
      <w:r>
        <w:rPr>
          <w:rFonts w:ascii="宋体" w:hAnsi="宋体" w:cs="宋体"/>
          <w:color w:val="auto"/>
          <w:kern w:val="0"/>
          <w:szCs w:val="21"/>
          <w:highlight w:val="none"/>
        </w:rPr>
        <w:t xml:space="preserve"> 、中国政府采购网（www.ccgp.gov.cn）被列入失信被执行人、</w:t>
      </w:r>
      <w:r>
        <w:rPr>
          <w:rFonts w:hint="eastAsia" w:ascii="宋体" w:hAnsi="宋体" w:cs="宋体"/>
          <w:color w:val="auto"/>
          <w:kern w:val="0"/>
          <w:szCs w:val="21"/>
          <w:highlight w:val="none"/>
        </w:rPr>
        <w:t>重大税收违法失信主体</w:t>
      </w:r>
      <w:r>
        <w:rPr>
          <w:rFonts w:ascii="宋体" w:hAnsi="宋体" w:cs="宋体"/>
          <w:color w:val="auto"/>
          <w:kern w:val="0"/>
          <w:szCs w:val="21"/>
          <w:highlight w:val="none"/>
        </w:rPr>
        <w:t>、政府采购严重违法失信行为记录名单及其他不符合《中华人民共和国政府采购法》第二十二条规定条件的供应商，不得参与政府采购活动。</w:t>
      </w:r>
    </w:p>
    <w:p w14:paraId="11FF8596">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6. 广西政府采购云平台电子投标注意事项</w:t>
      </w:r>
    </w:p>
    <w:p w14:paraId="61A9F9C9">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6.1本项目为全流程电子化采购项目，通过广西政府采购云平台（www.gcy.zfcg.gxzf.gov.cn）实行在线电子投标，投标人按照本项目招标文件和广西政府采购云平台的要求编制、加密后在投标文件提交截止时间前通过网络上传至广西政府采购云平台（加密的电子投标文件是指后缀名为“jmbs”的文件），投标人在广西政府采购云平台提交电子投标文件时，请填写参加远程投标活动经办人联系方式。投标人登录广西政府采购云平台，依次进入“服务中心</w:t>
      </w:r>
      <w:r>
        <w:rPr>
          <w:rFonts w:hint="eastAsia" w:ascii="宋体" w:hAnsi="宋体"/>
          <w:color w:val="auto"/>
          <w:highlight w:val="none"/>
          <w:lang w:eastAsia="zh-CN"/>
        </w:rPr>
        <w:t>－</w:t>
      </w:r>
      <w:r>
        <w:rPr>
          <w:rFonts w:hint="eastAsia" w:ascii="宋体" w:hAnsi="宋体"/>
          <w:color w:val="auto"/>
          <w:highlight w:val="none"/>
        </w:rPr>
        <w:t>项目采购</w:t>
      </w:r>
      <w:r>
        <w:rPr>
          <w:rFonts w:hint="eastAsia" w:ascii="宋体" w:hAnsi="宋体"/>
          <w:color w:val="auto"/>
          <w:highlight w:val="none"/>
          <w:lang w:eastAsia="zh-CN"/>
        </w:rPr>
        <w:t>－</w:t>
      </w:r>
      <w:r>
        <w:rPr>
          <w:rFonts w:hint="eastAsia" w:ascii="宋体" w:hAnsi="宋体"/>
          <w:color w:val="auto"/>
          <w:highlight w:val="none"/>
        </w:rPr>
        <w:t>操作流程</w:t>
      </w:r>
      <w:r>
        <w:rPr>
          <w:rFonts w:hint="eastAsia" w:ascii="宋体" w:hAnsi="宋体"/>
          <w:color w:val="auto"/>
          <w:highlight w:val="none"/>
          <w:lang w:eastAsia="zh-CN"/>
        </w:rPr>
        <w:t>－</w:t>
      </w:r>
      <w:r>
        <w:rPr>
          <w:rFonts w:hint="eastAsia" w:ascii="宋体" w:hAnsi="宋体"/>
          <w:color w:val="auto"/>
          <w:highlight w:val="none"/>
        </w:rPr>
        <w:t>电子招投标</w:t>
      </w:r>
      <w:r>
        <w:rPr>
          <w:rFonts w:hint="eastAsia" w:ascii="宋体" w:hAnsi="宋体"/>
          <w:color w:val="auto"/>
          <w:highlight w:val="none"/>
          <w:lang w:eastAsia="zh-CN"/>
        </w:rPr>
        <w:t>－</w:t>
      </w:r>
      <w:r>
        <w:rPr>
          <w:rFonts w:hint="eastAsia" w:ascii="宋体" w:hAnsi="宋体"/>
          <w:color w:val="auto"/>
          <w:highlight w:val="none"/>
        </w:rPr>
        <w:t>政府采购项目电子交易管理操作指南</w:t>
      </w:r>
      <w:r>
        <w:rPr>
          <w:rFonts w:hint="eastAsia" w:ascii="宋体" w:hAnsi="宋体"/>
          <w:color w:val="auto"/>
          <w:highlight w:val="none"/>
          <w:lang w:eastAsia="zh-CN"/>
        </w:rPr>
        <w:t>－</w:t>
      </w:r>
      <w:r>
        <w:rPr>
          <w:rFonts w:hint="eastAsia" w:ascii="宋体" w:hAnsi="宋体"/>
          <w:color w:val="auto"/>
          <w:highlight w:val="none"/>
        </w:rPr>
        <w:t>供应商”查看电子投标具体操作流程。</w:t>
      </w:r>
    </w:p>
    <w:p w14:paraId="037BB6E1">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6.2未进行网上注册并办理数字证书（CA认证）的投标人将无法参与本项目政府采购活动，投标人应当在投标文件提交截止时间前，完成电子交易平台上的CA数字证书办理及投标文件的提交（投标人可登录“广西政府采购网”，依次进入“办事服务</w:t>
      </w:r>
      <w:r>
        <w:rPr>
          <w:rFonts w:hint="eastAsia" w:ascii="宋体" w:hAnsi="宋体"/>
          <w:color w:val="auto"/>
          <w:highlight w:val="none"/>
          <w:lang w:eastAsia="zh-CN"/>
        </w:rPr>
        <w:t>－</w:t>
      </w:r>
      <w:r>
        <w:rPr>
          <w:rFonts w:hint="eastAsia" w:ascii="宋体" w:hAnsi="宋体"/>
          <w:color w:val="auto"/>
          <w:highlight w:val="none"/>
        </w:rPr>
        <w:t>下载专区”或者登录广西政府采购云平台，依次进入“服务中心</w:t>
      </w:r>
      <w:r>
        <w:rPr>
          <w:rFonts w:hint="eastAsia" w:ascii="宋体" w:hAnsi="宋体"/>
          <w:color w:val="auto"/>
          <w:highlight w:val="none"/>
          <w:lang w:eastAsia="zh-CN"/>
        </w:rPr>
        <w:t>－</w:t>
      </w:r>
      <w:r>
        <w:rPr>
          <w:rFonts w:hint="eastAsia" w:ascii="宋体" w:hAnsi="宋体"/>
          <w:color w:val="auto"/>
          <w:highlight w:val="none"/>
        </w:rPr>
        <w:t>入驻与配置”中查看CA数字证书办理操作流程。如在操作过程中遇到问题或者需要技术支持，请致电客服热线：95763</w:t>
      </w:r>
      <w:r>
        <w:rPr>
          <w:rFonts w:hint="eastAsia" w:ascii="宋体" w:hAnsi="宋体" w:cs="宋体"/>
          <w:bCs/>
          <w:color w:val="auto"/>
          <w:kern w:val="0"/>
          <w:szCs w:val="21"/>
          <w:highlight w:val="none"/>
        </w:rPr>
        <w:t>或者0771-3381253</w:t>
      </w:r>
      <w:r>
        <w:rPr>
          <w:rFonts w:hint="eastAsia" w:ascii="宋体" w:hAnsi="宋体"/>
          <w:color w:val="auto"/>
          <w:highlight w:val="none"/>
        </w:rPr>
        <w:t>）。</w:t>
      </w:r>
    </w:p>
    <w:p w14:paraId="5B7B3A7E">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6.3 CA证书在线解密：投标人投标时，需凭制作投标文件时用来加密的有效数字证书（CA认证）登录广西政府采购云平台电子开标大厅现场按规定时间对加密的投标文件进行解密，否则后果自负。</w:t>
      </w:r>
    </w:p>
    <w:p w14:paraId="594999ED">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cs="宋体"/>
          <w:color w:val="auto"/>
          <w:kern w:val="0"/>
          <w:szCs w:val="21"/>
          <w:highlight w:val="none"/>
        </w:rPr>
      </w:pPr>
      <w:r>
        <w:rPr>
          <w:rFonts w:hint="eastAsia" w:ascii="宋体" w:hAnsi="宋体"/>
          <w:color w:val="auto"/>
          <w:highlight w:val="none"/>
        </w:rPr>
        <w:t>注：1）为确保网上操作合法、有效和安全，请投标人确保在电子投标过程中能够对相关数据电文进行加密和使用电子签章，妥善保管CA数字证书并使用有效的CA数字证书参与整个采购活动。2）各投标人通过广西政府采购云平台参与政府采购项目投标需下载使用新版客户端（以</w:t>
      </w:r>
      <w:r>
        <w:rPr>
          <w:rFonts w:hint="eastAsia" w:ascii="宋体" w:hAnsi="宋体"/>
          <w:color w:val="auto"/>
          <w:highlight w:val="none"/>
          <w:lang w:eastAsia="zh-CN"/>
        </w:rPr>
        <w:t>下简</w:t>
      </w:r>
      <w:r>
        <w:rPr>
          <w:rFonts w:hint="eastAsia" w:ascii="宋体" w:hAnsi="宋体"/>
          <w:color w:val="auto"/>
          <w:highlight w:val="none"/>
        </w:rPr>
        <w:t>称“电子投标客户端”），客户端下载路径：广西政府采购网（访问地址zfcg.gxzf.gov.cn）—办事服务—下载专区。3）投标人应当在投标文件提交截止时间前完成电子投标文件的上传、提交</w:t>
      </w:r>
      <w:r>
        <w:rPr>
          <w:rFonts w:hint="eastAsia" w:ascii="宋体" w:hAnsi="宋体"/>
          <w:color w:val="auto"/>
          <w:highlight w:val="none"/>
          <w:lang w:eastAsia="zh-CN"/>
        </w:rPr>
        <w:t>，在</w:t>
      </w:r>
      <w:r>
        <w:rPr>
          <w:rFonts w:hint="eastAsia" w:ascii="宋体" w:hAnsi="宋体"/>
          <w:color w:val="auto"/>
          <w:highlight w:val="none"/>
        </w:rPr>
        <w:t>投标文件提交截止时间前可以补充、修改或者撤回投标文件。补充或者修改投标文件的，应当先行撤回原投标文件，补充、修改后重新上传、提交，投标文件提交截止时间止未完成上传、提交的，视为撤回投标文件。投标文件提交截止时间以后上传递交的投标文件，广西政府采购云平台将予以拒收。</w:t>
      </w:r>
    </w:p>
    <w:p w14:paraId="64DCEB32">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7. 联合体投标要求</w:t>
      </w:r>
    </w:p>
    <w:p w14:paraId="0960F019">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本项目不接受联合体投标。</w:t>
      </w:r>
    </w:p>
    <w:p w14:paraId="110F809C">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8. 转包与分包</w:t>
      </w:r>
    </w:p>
    <w:p w14:paraId="1ACF7786">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8.1本项目不允许转包。</w:t>
      </w:r>
    </w:p>
    <w:p w14:paraId="0DFFE53D">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8.2本项目不接受分包。</w:t>
      </w:r>
    </w:p>
    <w:p w14:paraId="4017F3C0">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9. 特别说明</w:t>
      </w:r>
    </w:p>
    <w:p w14:paraId="1585A704">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cs="Arial"/>
          <w:color w:val="auto"/>
          <w:szCs w:val="21"/>
          <w:highlight w:val="none"/>
        </w:rPr>
      </w:pPr>
      <w:r>
        <w:rPr>
          <w:rFonts w:hint="eastAsia" w:ascii="宋体" w:hAnsi="宋体"/>
          <w:color w:val="auto"/>
          <w:szCs w:val="21"/>
          <w:highlight w:val="none"/>
        </w:rPr>
        <w:t>9.1</w:t>
      </w:r>
      <w:r>
        <w:rPr>
          <w:rFonts w:ascii="宋体" w:hAnsi="宋体" w:cs="Arial"/>
          <w:color w:val="auto"/>
          <w:szCs w:val="21"/>
          <w:highlight w:val="none"/>
        </w:rPr>
        <w:t>提供相同品牌产品且通过资格审查、符合性审查的不同投标人参加同一合同项下投标的，按一家投标人计算，评审后得分最高的同品牌投标人获得中标人推荐资格；评审得分相同的，</w:t>
      </w:r>
      <w:r>
        <w:rPr>
          <w:rFonts w:hint="eastAsia" w:ascii="宋体" w:hAnsi="宋体" w:cs="Arial"/>
          <w:color w:val="auto"/>
          <w:szCs w:val="21"/>
          <w:highlight w:val="none"/>
        </w:rPr>
        <w:t>评标报价最低的同品牌投标人获得</w:t>
      </w:r>
      <w:r>
        <w:rPr>
          <w:rFonts w:ascii="宋体" w:hAnsi="宋体" w:cs="Arial"/>
          <w:color w:val="auto"/>
          <w:szCs w:val="21"/>
          <w:highlight w:val="none"/>
        </w:rPr>
        <w:t>中标人推荐资格，</w:t>
      </w:r>
      <w:r>
        <w:rPr>
          <w:rFonts w:hint="eastAsia" w:ascii="宋体" w:hAnsi="宋体" w:cs="Arial"/>
          <w:color w:val="auto"/>
          <w:szCs w:val="21"/>
          <w:highlight w:val="none"/>
        </w:rPr>
        <w:t>评标报价也相同的，由评标委员会以抽签</w:t>
      </w:r>
      <w:r>
        <w:rPr>
          <w:rFonts w:ascii="宋体" w:hAnsi="宋体" w:cs="Arial"/>
          <w:color w:val="auto"/>
          <w:szCs w:val="21"/>
          <w:highlight w:val="none"/>
        </w:rPr>
        <w:t>方式确定</w:t>
      </w:r>
      <w:r>
        <w:rPr>
          <w:rFonts w:hint="eastAsia" w:ascii="宋体" w:hAnsi="宋体" w:cs="Arial"/>
          <w:color w:val="auto"/>
          <w:szCs w:val="21"/>
          <w:highlight w:val="none"/>
        </w:rPr>
        <w:t>中标候选人</w:t>
      </w:r>
      <w:r>
        <w:rPr>
          <w:rFonts w:ascii="宋体" w:hAnsi="宋体" w:cs="Arial"/>
          <w:color w:val="auto"/>
          <w:szCs w:val="21"/>
          <w:highlight w:val="none"/>
        </w:rPr>
        <w:t>，其他同品牌投标人不作为中标候选人。</w:t>
      </w:r>
    </w:p>
    <w:p w14:paraId="606DC357">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cs="Arial"/>
          <w:color w:val="auto"/>
          <w:szCs w:val="21"/>
          <w:highlight w:val="none"/>
        </w:rPr>
      </w:pPr>
      <w:r>
        <w:rPr>
          <w:rFonts w:hint="eastAsia" w:ascii="宋体" w:hAnsi="宋体" w:cs="Arial"/>
          <w:color w:val="auto"/>
          <w:szCs w:val="21"/>
          <w:highlight w:val="none"/>
        </w:rPr>
        <w:t>非单一产品采购项目，</w:t>
      </w:r>
      <w:r>
        <w:rPr>
          <w:rFonts w:ascii="宋体" w:hAnsi="宋体" w:cs="Arial"/>
          <w:color w:val="auto"/>
          <w:szCs w:val="21"/>
          <w:highlight w:val="none"/>
        </w:rPr>
        <w:t>多家投标人提供的核心产品品牌相同的，按前款规定处理。</w:t>
      </w:r>
    </w:p>
    <w:p w14:paraId="714DFA47">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9.2关联供应商不得参加同一合同项下政府采购活动，否则投标文件将被视为无效：</w:t>
      </w:r>
    </w:p>
    <w:p w14:paraId="1A43497F">
      <w:pPr>
        <w:keepNext w:val="0"/>
        <w:keepLines w:val="0"/>
        <w:pageBreakBefore w:val="0"/>
        <w:tabs>
          <w:tab w:val="left" w:pos="163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（1）单位负责人为同一人或者存在直接控股、管理关系的不同供应商，不得参加同一合同项下的政府采购活动。</w:t>
      </w:r>
    </w:p>
    <w:p w14:paraId="6D4CDBBF">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（2）为本采购项目提供整体设计、规范编制或者项目管理、监理、检测等服务的供应商，不得再参加本次采购活动。</w:t>
      </w:r>
    </w:p>
    <w:p w14:paraId="210A2CA2">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（3）生产厂商授权给供应商后自己不得参加同一合同项下的政府采购活动。</w:t>
      </w:r>
    </w:p>
    <w:p w14:paraId="5F723D46">
      <w:pPr>
        <w:keepNext w:val="0"/>
        <w:keepLines w:val="0"/>
        <w:pageBreakBefore w:val="0"/>
        <w:tabs>
          <w:tab w:val="left" w:pos="1635"/>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9.3投标人必须仔细阅读招标文件的所有内容，按照招标文件的要求提交投标文件，并对所提供的全部资料的真实性承担法律责任。</w:t>
      </w:r>
    </w:p>
    <w:p w14:paraId="62FBE867">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b/>
          <w:color w:val="auto"/>
          <w:szCs w:val="21"/>
          <w:highlight w:val="none"/>
        </w:rPr>
      </w:pPr>
      <w:r>
        <w:rPr>
          <w:rFonts w:hint="eastAsia" w:ascii="宋体" w:hAnsi="宋体"/>
          <w:b/>
          <w:color w:val="auto"/>
          <w:szCs w:val="21"/>
          <w:highlight w:val="none"/>
        </w:rPr>
        <w:t>9.4投标人在投标活动中提供任何虚假材料，其投标无效，并报监管部门查处；中标后发现的，依据《中华人民共和国民法典》及招标文件约定追究违约责任，且民事赔偿并不免除违法投标人的行政与刑事责任。</w:t>
      </w:r>
    </w:p>
    <w:p w14:paraId="4582C552">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b/>
          <w:color w:val="auto"/>
          <w:szCs w:val="21"/>
          <w:highlight w:val="none"/>
        </w:rPr>
      </w:pPr>
      <w:r>
        <w:rPr>
          <w:rFonts w:hint="eastAsia" w:ascii="宋体" w:hAnsi="宋体"/>
          <w:b/>
          <w:color w:val="auto"/>
          <w:szCs w:val="21"/>
          <w:highlight w:val="none"/>
        </w:rPr>
        <w:t>9.5本国产品标准：</w:t>
      </w:r>
    </w:p>
    <w:p w14:paraId="719DCBEB">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color w:val="auto"/>
          <w:szCs w:val="21"/>
          <w:highlight w:val="none"/>
        </w:rPr>
      </w:pPr>
      <w:r>
        <w:rPr>
          <w:rFonts w:hint="eastAsia" w:ascii="宋体" w:hAnsi="宋体"/>
          <w:color w:val="auto"/>
          <w:szCs w:val="21"/>
          <w:highlight w:val="none"/>
        </w:rPr>
        <w:t>本国产品应当符合以下条件：</w:t>
      </w:r>
    </w:p>
    <w:p w14:paraId="050EABE8">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color w:val="auto"/>
          <w:szCs w:val="21"/>
          <w:highlight w:val="none"/>
        </w:rPr>
      </w:pPr>
      <w:r>
        <w:rPr>
          <w:rFonts w:hint="eastAsia" w:ascii="宋体" w:hAnsi="宋体"/>
          <w:color w:val="auto"/>
          <w:szCs w:val="21"/>
          <w:highlight w:val="none"/>
        </w:rPr>
        <w:t>（一）产品应当在中国境内生产，即在中华人民共和国关境内实现从原材料、组件到产品的属性改变。</w:t>
      </w:r>
    </w:p>
    <w:p w14:paraId="6AAE8DEE">
      <w:pPr>
        <w:keepNext w:val="0"/>
        <w:keepLines w:val="0"/>
        <w:pageBreakBefore w:val="0"/>
        <w:tabs>
          <w:tab w:val="left" w:pos="1635"/>
        </w:tabs>
        <w:kinsoku/>
        <w:wordWrap/>
        <w:overflowPunct/>
        <w:topLinePunct w:val="0"/>
        <w:bidi w:val="0"/>
        <w:adjustRightInd/>
        <w:spacing w:line="360" w:lineRule="exact"/>
        <w:textAlignment w:val="auto"/>
        <w:rPr>
          <w:rFonts w:hint="eastAsia" w:ascii="宋体" w:hAnsi="宋体"/>
          <w:color w:val="auto"/>
          <w:szCs w:val="21"/>
          <w:highlight w:val="none"/>
        </w:rPr>
      </w:pPr>
      <w:r>
        <w:rPr>
          <w:rFonts w:hint="eastAsia" w:ascii="宋体" w:hAnsi="宋体"/>
          <w:color w:val="auto"/>
          <w:szCs w:val="21"/>
          <w:highlight w:val="none"/>
        </w:rPr>
        <w:t>属性改变是指经过制造、加工或者组装等工序，产生完全不同于原材料、组件的新产品，并具有新的名称和特征（用途）。属性改变不包括以下细微操作：</w:t>
      </w:r>
    </w:p>
    <w:p w14:paraId="2E771100">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color w:val="auto"/>
          <w:szCs w:val="21"/>
          <w:highlight w:val="none"/>
        </w:rPr>
      </w:pPr>
      <w:r>
        <w:rPr>
          <w:rFonts w:hint="eastAsia" w:ascii="宋体" w:hAnsi="宋体"/>
          <w:color w:val="auto"/>
          <w:szCs w:val="21"/>
          <w:highlight w:val="none"/>
        </w:rPr>
        <w:t>1.为确保产品在运输或者储存期间保持某种状态而进行的操作；</w:t>
      </w:r>
    </w:p>
    <w:p w14:paraId="5316042F">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color w:val="auto"/>
          <w:szCs w:val="21"/>
          <w:highlight w:val="none"/>
        </w:rPr>
      </w:pPr>
      <w:r>
        <w:rPr>
          <w:rFonts w:hint="eastAsia" w:ascii="宋体" w:hAnsi="宋体"/>
          <w:color w:val="auto"/>
          <w:szCs w:val="21"/>
          <w:highlight w:val="none"/>
        </w:rPr>
        <w:t>2.为产品运输或者销售进行的包装或者展示；</w:t>
      </w:r>
    </w:p>
    <w:p w14:paraId="1383140C">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color w:val="auto"/>
          <w:szCs w:val="21"/>
          <w:highlight w:val="none"/>
        </w:rPr>
      </w:pPr>
      <w:r>
        <w:rPr>
          <w:rFonts w:hint="eastAsia" w:ascii="宋体" w:hAnsi="宋体"/>
          <w:color w:val="auto"/>
          <w:szCs w:val="21"/>
          <w:highlight w:val="none"/>
        </w:rPr>
        <w:t>3.在产品或者其包装上粘贴或者印刷品牌、标志、标识以及其他用于区别的标记；</w:t>
      </w:r>
    </w:p>
    <w:p w14:paraId="77EC61C9">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color w:val="auto"/>
          <w:szCs w:val="21"/>
          <w:highlight w:val="none"/>
        </w:rPr>
      </w:pPr>
      <w:r>
        <w:rPr>
          <w:rFonts w:hint="eastAsia" w:ascii="宋体" w:hAnsi="宋体"/>
          <w:color w:val="auto"/>
          <w:szCs w:val="21"/>
          <w:highlight w:val="none"/>
        </w:rPr>
        <w:t>4.简单的上漆、磨光和分装；</w:t>
      </w:r>
    </w:p>
    <w:p w14:paraId="100F98CE">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color w:val="auto"/>
          <w:szCs w:val="21"/>
          <w:highlight w:val="none"/>
        </w:rPr>
      </w:pPr>
      <w:r>
        <w:rPr>
          <w:rFonts w:hint="eastAsia" w:ascii="宋体" w:hAnsi="宋体"/>
          <w:color w:val="auto"/>
          <w:szCs w:val="21"/>
          <w:highlight w:val="none"/>
        </w:rPr>
        <w:t>5.其他不属于属性改变的情形。</w:t>
      </w:r>
    </w:p>
    <w:p w14:paraId="06290BBF">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color w:val="auto"/>
          <w:szCs w:val="21"/>
          <w:highlight w:val="none"/>
        </w:rPr>
      </w:pPr>
      <w:r>
        <w:rPr>
          <w:rFonts w:hint="eastAsia" w:ascii="宋体" w:hAnsi="宋体"/>
          <w:color w:val="auto"/>
          <w:szCs w:val="21"/>
          <w:highlight w:val="none"/>
        </w:rPr>
        <w:t>（二）产品在中国境内生产的组件成本占比应当达到规定比例，计算公式为：</w:t>
      </w:r>
    </w:p>
    <w:p w14:paraId="40BABF30">
      <w:pPr>
        <w:keepNext w:val="0"/>
        <w:keepLines w:val="0"/>
        <w:pageBreakBefore w:val="0"/>
        <w:tabs>
          <w:tab w:val="left" w:pos="1635"/>
        </w:tabs>
        <w:kinsoku/>
        <w:wordWrap/>
        <w:overflowPunct/>
        <w:topLinePunct w:val="0"/>
        <w:bidi w:val="0"/>
        <w:adjustRightInd/>
        <w:spacing w:line="360" w:lineRule="exact"/>
        <w:ind w:firstLine="435"/>
        <w:textAlignment w:val="auto"/>
        <w:rPr>
          <w:rFonts w:hint="eastAsia" w:ascii="宋体" w:hAnsi="宋体"/>
          <w:color w:val="auto"/>
          <w:szCs w:val="21"/>
          <w:highlight w:val="none"/>
        </w:rPr>
      </w:pPr>
      <w:r>
        <w:rPr>
          <w:rFonts w:hint="eastAsia" w:ascii="宋体" w:hAnsi="宋体"/>
          <w:color w:val="auto"/>
          <w:szCs w:val="21"/>
          <w:highlight w:val="none"/>
        </w:rPr>
        <w:drawing>
          <wp:anchor distT="0" distB="0" distL="114300" distR="114300" simplePos="0" relativeHeight="251662336" behindDoc="0" locked="0" layoutInCell="1" allowOverlap="1">
            <wp:simplePos x="0" y="0"/>
            <wp:positionH relativeFrom="column">
              <wp:posOffset>342900</wp:posOffset>
            </wp:positionH>
            <wp:positionV relativeFrom="paragraph">
              <wp:posOffset>86995</wp:posOffset>
            </wp:positionV>
            <wp:extent cx="4827905" cy="762635"/>
            <wp:effectExtent l="0" t="0" r="10795" b="18415"/>
            <wp:wrapTopAndBottom/>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8" r:link="rId9"/>
                    <a:stretch>
                      <a:fillRect/>
                    </a:stretch>
                  </pic:blipFill>
                  <pic:spPr>
                    <a:xfrm>
                      <a:off x="0" y="0"/>
                      <a:ext cx="4827905" cy="762635"/>
                    </a:xfrm>
                    <a:prstGeom prst="rect">
                      <a:avLst/>
                    </a:prstGeom>
                    <a:noFill/>
                    <a:ln>
                      <a:noFill/>
                    </a:ln>
                  </pic:spPr>
                </pic:pic>
              </a:graphicData>
            </a:graphic>
          </wp:anchor>
        </w:drawing>
      </w:r>
      <w:r>
        <w:rPr>
          <w:rFonts w:hint="eastAsia" w:ascii="宋体" w:hAnsi="宋体"/>
          <w:color w:val="auto"/>
          <w:szCs w:val="21"/>
          <w:highlight w:val="none"/>
        </w:rPr>
        <w:t>财政部会同有关行业主管部门，分产品确定在中国境内生产的组件成本占比应当达到的规定比例。在分产品的中国境内生产的组件成本占比相关要求实施前，符合上述第（一）项条件的产品在政府采购活动中视同本国产品。</w:t>
      </w:r>
    </w:p>
    <w:p w14:paraId="2FA93F6D">
      <w:pPr>
        <w:keepNext w:val="0"/>
        <w:keepLines w:val="0"/>
        <w:pageBreakBefore w:val="0"/>
        <w:tabs>
          <w:tab w:val="left" w:pos="2190"/>
        </w:tabs>
        <w:kinsoku/>
        <w:wordWrap/>
        <w:overflowPunct/>
        <w:topLinePunct w:val="0"/>
        <w:bidi w:val="0"/>
        <w:adjustRightInd/>
        <w:spacing w:line="360" w:lineRule="exact"/>
        <w:ind w:firstLine="413" w:firstLineChars="196"/>
        <w:textAlignment w:val="auto"/>
        <w:rPr>
          <w:rFonts w:ascii="宋体" w:hAnsi="宋体"/>
          <w:b/>
          <w:color w:val="auto"/>
          <w:szCs w:val="21"/>
          <w:highlight w:val="none"/>
        </w:rPr>
      </w:pPr>
      <w:r>
        <w:rPr>
          <w:rFonts w:hint="eastAsia" w:ascii="宋体" w:hAnsi="宋体"/>
          <w:b/>
          <w:color w:val="auto"/>
          <w:szCs w:val="21"/>
          <w:highlight w:val="none"/>
        </w:rPr>
        <w:t>10. 质疑和投诉</w:t>
      </w:r>
      <w:r>
        <w:rPr>
          <w:rFonts w:ascii="宋体" w:hAnsi="宋体"/>
          <w:b/>
          <w:color w:val="auto"/>
          <w:szCs w:val="21"/>
          <w:highlight w:val="none"/>
        </w:rPr>
        <w:tab/>
      </w:r>
    </w:p>
    <w:p w14:paraId="69FD2261">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10.1投标人认为招标文件使自己的合法权益受到损害的，应当在本项目公告期限届满之日起七个工作日内以书面形式向采购代理机构提出质疑；投标人认为招标过程或中标结果使自己的合法权益受到损害的，应当在各采购程序环节结束之日或中标公告期限届满之日起七个工作日内，以书面形式向采购代理机构提出质疑</w:t>
      </w:r>
      <w:r>
        <w:rPr>
          <w:rFonts w:hint="eastAsia" w:ascii="宋体" w:hAnsi="宋体"/>
          <w:b/>
          <w:color w:val="auto"/>
          <w:szCs w:val="21"/>
          <w:highlight w:val="none"/>
        </w:rPr>
        <w:t>（“质疑函”格式见附表1）</w:t>
      </w:r>
      <w:r>
        <w:rPr>
          <w:rFonts w:hint="eastAsia" w:ascii="宋体" w:hAnsi="宋体"/>
          <w:color w:val="auto"/>
          <w:szCs w:val="21"/>
          <w:highlight w:val="none"/>
        </w:rPr>
        <w:t>。否则，采购代理机构有权拒收。</w:t>
      </w:r>
    </w:p>
    <w:p w14:paraId="55712BB6">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采购代理机构应认真做好质疑处理工作，对于</w:t>
      </w:r>
      <w:r>
        <w:rPr>
          <w:rFonts w:ascii="宋体" w:hAnsi="宋体"/>
          <w:color w:val="auto"/>
          <w:szCs w:val="21"/>
          <w:highlight w:val="none"/>
        </w:rPr>
        <w:t>质疑供应商在法定质疑期内</w:t>
      </w:r>
      <w:r>
        <w:rPr>
          <w:rFonts w:hint="eastAsia" w:ascii="宋体" w:hAnsi="宋体"/>
          <w:color w:val="auto"/>
          <w:szCs w:val="21"/>
          <w:highlight w:val="none"/>
        </w:rPr>
        <w:t>提出</w:t>
      </w:r>
      <w:r>
        <w:rPr>
          <w:rFonts w:ascii="宋体" w:hAnsi="宋体"/>
          <w:color w:val="auto"/>
          <w:szCs w:val="21"/>
          <w:highlight w:val="none"/>
        </w:rPr>
        <w:t>的质疑函，应当在收到质疑函后7个工作日内作出答复，并以书面形式通知质疑供应商和其他有关供应商。</w:t>
      </w:r>
    </w:p>
    <w:p w14:paraId="77F7DAE3">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ascii="宋体" w:hAnsi="宋体"/>
          <w:color w:val="auto"/>
          <w:szCs w:val="21"/>
          <w:highlight w:val="none"/>
        </w:rPr>
        <w:t>投标人在法定质疑期内应一次性提出与项目相关的质疑，投标人在提出与项目相关的质疑前应当做好全面且详细的工作，代理机构</w:t>
      </w:r>
      <w:r>
        <w:rPr>
          <w:rFonts w:hint="eastAsia" w:ascii="宋体" w:hAnsi="宋体"/>
          <w:color w:val="auto"/>
          <w:szCs w:val="21"/>
          <w:highlight w:val="none"/>
        </w:rPr>
        <w:t>不再</w:t>
      </w:r>
      <w:r>
        <w:rPr>
          <w:rFonts w:ascii="宋体" w:hAnsi="宋体"/>
          <w:color w:val="auto"/>
          <w:szCs w:val="21"/>
          <w:highlight w:val="none"/>
        </w:rPr>
        <w:t>受理投标人针对同一采购程序环节的再次质疑。</w:t>
      </w:r>
    </w:p>
    <w:p w14:paraId="62486D84">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10.2投标人对采购代理机构的答复不满意或者采购代理机构未在规定的时间内作出答复的，可以在答复期满后十五个工作日内向桂林市财政局投诉</w:t>
      </w:r>
      <w:r>
        <w:rPr>
          <w:rFonts w:hint="eastAsia" w:ascii="宋体" w:hAnsi="宋体"/>
          <w:b/>
          <w:color w:val="auto"/>
          <w:szCs w:val="21"/>
          <w:highlight w:val="none"/>
        </w:rPr>
        <w:t>（“投诉书”格式见附表2）</w:t>
      </w:r>
      <w:r>
        <w:rPr>
          <w:rFonts w:hint="eastAsia" w:ascii="宋体" w:hAnsi="宋体"/>
          <w:color w:val="auto"/>
          <w:szCs w:val="21"/>
          <w:highlight w:val="none"/>
        </w:rPr>
        <w:t>。</w:t>
      </w:r>
    </w:p>
    <w:p w14:paraId="68CC34B1">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10.3质疑、投诉应当采用书面形式，质疑书、投诉书实行实名制，均应明确阐述招标文件、招标过程或中标结果中使自己合法权益受到损害的实质性内容，并提供必要的证明材料。</w:t>
      </w:r>
    </w:p>
    <w:p w14:paraId="34C70F24">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投标人</w:t>
      </w:r>
      <w:r>
        <w:rPr>
          <w:rFonts w:ascii="宋体" w:hAnsi="宋体"/>
          <w:color w:val="auto"/>
          <w:szCs w:val="21"/>
          <w:highlight w:val="none"/>
        </w:rPr>
        <w:t>提出质疑应当提交质疑函和必要的证明材料</w:t>
      </w:r>
      <w:r>
        <w:rPr>
          <w:rFonts w:hint="eastAsia" w:ascii="宋体" w:hAnsi="宋体"/>
          <w:color w:val="auto"/>
          <w:szCs w:val="21"/>
          <w:highlight w:val="none"/>
        </w:rPr>
        <w:t>，</w:t>
      </w:r>
      <w:r>
        <w:rPr>
          <w:rFonts w:ascii="宋体" w:hAnsi="宋体"/>
          <w:color w:val="auto"/>
          <w:szCs w:val="21"/>
          <w:highlight w:val="none"/>
        </w:rPr>
        <w:t>针对同一采购程序环节的质疑</w:t>
      </w:r>
      <w:r>
        <w:rPr>
          <w:rFonts w:hint="eastAsia" w:ascii="宋体" w:hAnsi="宋体"/>
          <w:color w:val="auto"/>
          <w:szCs w:val="21"/>
          <w:highlight w:val="none"/>
        </w:rPr>
        <w:t>必须</w:t>
      </w:r>
      <w:r>
        <w:rPr>
          <w:rFonts w:ascii="宋体" w:hAnsi="宋体"/>
          <w:color w:val="auto"/>
          <w:szCs w:val="21"/>
          <w:highlight w:val="none"/>
        </w:rPr>
        <w:t>在法定质疑期内一次性提出。质疑函应当包括下列内容：</w:t>
      </w:r>
    </w:p>
    <w:p w14:paraId="505A3C37">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1</w:t>
      </w:r>
      <w:r>
        <w:rPr>
          <w:rFonts w:ascii="宋体" w:hAnsi="宋体"/>
          <w:color w:val="auto"/>
          <w:szCs w:val="21"/>
          <w:highlight w:val="none"/>
        </w:rPr>
        <w:t>）供应商的姓名或者名称、地址、邮编、联系人及联系电话；</w:t>
      </w:r>
    </w:p>
    <w:p w14:paraId="3C1BA73E">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2</w:t>
      </w:r>
      <w:r>
        <w:rPr>
          <w:rFonts w:ascii="宋体" w:hAnsi="宋体"/>
          <w:color w:val="auto"/>
          <w:szCs w:val="21"/>
          <w:highlight w:val="none"/>
        </w:rPr>
        <w:t>）质疑项目的名称、编号；</w:t>
      </w:r>
    </w:p>
    <w:p w14:paraId="0ECAA3E2">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3</w:t>
      </w:r>
      <w:r>
        <w:rPr>
          <w:rFonts w:ascii="宋体" w:hAnsi="宋体"/>
          <w:color w:val="auto"/>
          <w:szCs w:val="21"/>
          <w:highlight w:val="none"/>
        </w:rPr>
        <w:t>）具体、明确的质疑事项和与质疑事项相关的请求；</w:t>
      </w:r>
    </w:p>
    <w:p w14:paraId="2F082A91">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4</w:t>
      </w:r>
      <w:r>
        <w:rPr>
          <w:rFonts w:ascii="宋体" w:hAnsi="宋体"/>
          <w:color w:val="auto"/>
          <w:szCs w:val="21"/>
          <w:highlight w:val="none"/>
        </w:rPr>
        <w:t>）事实依据；</w:t>
      </w:r>
    </w:p>
    <w:p w14:paraId="0558084D">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5</w:t>
      </w:r>
      <w:r>
        <w:rPr>
          <w:rFonts w:ascii="宋体" w:hAnsi="宋体"/>
          <w:color w:val="auto"/>
          <w:szCs w:val="21"/>
          <w:highlight w:val="none"/>
        </w:rPr>
        <w:t>）必要的法律依据；</w:t>
      </w:r>
    </w:p>
    <w:p w14:paraId="69E9C4AD">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6</w:t>
      </w:r>
      <w:r>
        <w:rPr>
          <w:rFonts w:ascii="宋体" w:hAnsi="宋体"/>
          <w:color w:val="auto"/>
          <w:szCs w:val="21"/>
          <w:highlight w:val="none"/>
        </w:rPr>
        <w:t>）提出质疑的日期。</w:t>
      </w:r>
    </w:p>
    <w:p w14:paraId="21ECAF9A">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ascii="宋体" w:hAnsi="宋体"/>
          <w:color w:val="auto"/>
          <w:szCs w:val="21"/>
          <w:highlight w:val="none"/>
        </w:rPr>
        <w:t>供应商为自然人的，应当由本人签字；供应商为法人或者其他组织的，应当由法定代表人、主要负责人，或者其授权代表签字或者盖章，并加盖公章。</w:t>
      </w:r>
    </w:p>
    <w:p w14:paraId="1FCB20A7">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接收质疑函方式：以书面形式</w:t>
      </w:r>
    </w:p>
    <w:p w14:paraId="2E6A890F">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质疑联系部门及联系方式：云之龙咨询集团有限公司桂林分公司，联系人：李贞、劳湲清，</w:t>
      </w:r>
      <w:r>
        <w:rPr>
          <w:rFonts w:ascii="宋体" w:hAnsi="宋体"/>
          <w:color w:val="auto"/>
          <w:szCs w:val="21"/>
          <w:highlight w:val="none"/>
        </w:rPr>
        <w:t>联系电话</w:t>
      </w:r>
      <w:r>
        <w:rPr>
          <w:rFonts w:hint="eastAsia" w:ascii="宋体" w:hAnsi="宋体"/>
          <w:color w:val="auto"/>
          <w:szCs w:val="21"/>
          <w:highlight w:val="none"/>
        </w:rPr>
        <w:t>：0773-2887388、2887399。</w:t>
      </w:r>
      <w:r>
        <w:rPr>
          <w:rFonts w:ascii="宋体" w:hAnsi="宋体"/>
          <w:color w:val="auto"/>
          <w:szCs w:val="21"/>
          <w:highlight w:val="none"/>
        </w:rPr>
        <w:t>通讯地址</w:t>
      </w:r>
      <w:r>
        <w:rPr>
          <w:rFonts w:hint="eastAsia" w:ascii="宋体" w:hAnsi="宋体"/>
          <w:color w:val="auto"/>
          <w:szCs w:val="21"/>
          <w:highlight w:val="none"/>
        </w:rPr>
        <w:t>：</w:t>
      </w:r>
      <w:r>
        <w:rPr>
          <w:rFonts w:hint="eastAsia" w:ascii="宋体" w:hAnsi="宋体"/>
          <w:color w:val="auto"/>
          <w:highlight w:val="none"/>
        </w:rPr>
        <w:t>广西桂林市临桂区西城北路2号耀辉•美好家园2幢12层1号房</w:t>
      </w:r>
      <w:r>
        <w:rPr>
          <w:rFonts w:hint="eastAsia" w:ascii="宋体" w:hAnsi="宋体"/>
          <w:color w:val="auto"/>
          <w:szCs w:val="21"/>
          <w:highlight w:val="none"/>
        </w:rPr>
        <w:t>。</w:t>
      </w:r>
    </w:p>
    <w:p w14:paraId="459449BE">
      <w:pPr>
        <w:keepNext w:val="0"/>
        <w:keepLines w:val="0"/>
        <w:pageBreakBefore w:val="0"/>
        <w:tabs>
          <w:tab w:val="left" w:pos="2190"/>
        </w:tabs>
        <w:kinsoku/>
        <w:wordWrap/>
        <w:overflowPunct/>
        <w:topLinePunct w:val="0"/>
        <w:bidi w:val="0"/>
        <w:adjustRightInd/>
        <w:spacing w:line="360" w:lineRule="exact"/>
        <w:ind w:firstLine="435"/>
        <w:jc w:val="center"/>
        <w:textAlignment w:val="auto"/>
        <w:rPr>
          <w:rFonts w:ascii="宋体" w:hAnsi="宋体"/>
          <w:b/>
          <w:color w:val="auto"/>
          <w:sz w:val="28"/>
          <w:szCs w:val="28"/>
          <w:highlight w:val="none"/>
        </w:rPr>
      </w:pPr>
    </w:p>
    <w:p w14:paraId="6A0AE9C7">
      <w:pPr>
        <w:keepNext w:val="0"/>
        <w:keepLines w:val="0"/>
        <w:pageBreakBefore w:val="0"/>
        <w:tabs>
          <w:tab w:val="left" w:pos="2190"/>
        </w:tabs>
        <w:kinsoku/>
        <w:wordWrap/>
        <w:overflowPunct/>
        <w:topLinePunct w:val="0"/>
        <w:bidi w:val="0"/>
        <w:adjustRightInd/>
        <w:spacing w:line="360" w:lineRule="exact"/>
        <w:ind w:firstLine="435"/>
        <w:jc w:val="center"/>
        <w:textAlignment w:val="auto"/>
        <w:rPr>
          <w:rFonts w:ascii="宋体" w:hAnsi="宋体"/>
          <w:b/>
          <w:color w:val="auto"/>
          <w:sz w:val="28"/>
          <w:szCs w:val="28"/>
          <w:highlight w:val="none"/>
        </w:rPr>
      </w:pPr>
      <w:r>
        <w:rPr>
          <w:rFonts w:hint="eastAsia" w:ascii="宋体" w:hAnsi="宋体"/>
          <w:b/>
          <w:color w:val="auto"/>
          <w:sz w:val="28"/>
          <w:szCs w:val="28"/>
          <w:highlight w:val="none"/>
        </w:rPr>
        <w:t>二、招标文件</w:t>
      </w:r>
    </w:p>
    <w:p w14:paraId="2916A0A5">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b/>
          <w:color w:val="auto"/>
          <w:szCs w:val="21"/>
          <w:highlight w:val="none"/>
        </w:rPr>
      </w:pPr>
      <w:r>
        <w:rPr>
          <w:rFonts w:hint="eastAsia" w:ascii="宋体" w:hAnsi="宋体"/>
          <w:b/>
          <w:color w:val="auto"/>
          <w:szCs w:val="21"/>
          <w:highlight w:val="none"/>
        </w:rPr>
        <w:t>11. 招标文件的构成</w:t>
      </w:r>
    </w:p>
    <w:p w14:paraId="7AC2A23B">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（1）招标公告；</w:t>
      </w:r>
    </w:p>
    <w:p w14:paraId="7E2556F9">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（2）投标人须知；</w:t>
      </w:r>
    </w:p>
    <w:p w14:paraId="103DB2B3">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（3）采购需求；</w:t>
      </w:r>
    </w:p>
    <w:p w14:paraId="486BFB80">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（4）评标办法；</w:t>
      </w:r>
    </w:p>
    <w:p w14:paraId="0F0CAFCD">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（5）政府采购合同（合同主要条款及格式）；</w:t>
      </w:r>
    </w:p>
    <w:p w14:paraId="43B3A599">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（6）投标文件（格式）。</w:t>
      </w:r>
    </w:p>
    <w:p w14:paraId="4BCBBD97">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b/>
          <w:color w:val="auto"/>
          <w:szCs w:val="21"/>
          <w:highlight w:val="none"/>
        </w:rPr>
      </w:pPr>
      <w:r>
        <w:rPr>
          <w:rFonts w:hint="eastAsia" w:ascii="宋体" w:hAnsi="宋体"/>
          <w:b/>
          <w:color w:val="auto"/>
          <w:szCs w:val="21"/>
          <w:highlight w:val="none"/>
        </w:rPr>
        <w:t>12. 招标文件的澄清与修改</w:t>
      </w:r>
    </w:p>
    <w:p w14:paraId="2AF5BCC9">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12.1投标人必须认真阅读招标文件，发现其中有误或有不合理要求的，投标人必须在本项目公告期限届满之日起七个工作日内以书面形式要求采购代理机构澄清。</w:t>
      </w:r>
    </w:p>
    <w:p w14:paraId="0FD99CEB">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12.2</w:t>
      </w:r>
      <w:r>
        <w:rPr>
          <w:rFonts w:ascii="宋体" w:hAnsi="宋体"/>
          <w:color w:val="auto"/>
          <w:szCs w:val="21"/>
          <w:highlight w:val="none"/>
        </w:rPr>
        <w:t>采购代理机构可以对已发出的招标文件进行必要的澄清或者修改，但不得改变采购标的和资格条件。澄清或者修改应当在原公告发布媒体上发布澄清公告。澄清或者修改的内容为招标文件的组成部分。澄清或者修改的内容可能影响投标文件编制的，采购代理机构应当在投标截止时间至少15日前</w:t>
      </w:r>
      <w:r>
        <w:rPr>
          <w:rFonts w:hint="eastAsia" w:ascii="宋体" w:hAnsi="宋体"/>
          <w:color w:val="auto"/>
          <w:szCs w:val="21"/>
          <w:highlight w:val="none"/>
        </w:rPr>
        <w:t>在本招标项目招标公告发布的同一媒体上发布更正公告</w:t>
      </w:r>
      <w:r>
        <w:rPr>
          <w:rFonts w:ascii="宋体" w:hAnsi="宋体"/>
          <w:color w:val="auto"/>
          <w:szCs w:val="21"/>
          <w:highlight w:val="none"/>
        </w:rPr>
        <w:t>；不足15日的，采购代理机构应当顺延提交投标文件的截止时间。</w:t>
      </w:r>
    </w:p>
    <w:p w14:paraId="526EF82C">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b/>
          <w:color w:val="auto"/>
          <w:szCs w:val="21"/>
          <w:highlight w:val="none"/>
        </w:rPr>
      </w:pPr>
      <w:r>
        <w:rPr>
          <w:rFonts w:hint="eastAsia" w:ascii="宋体" w:hAnsi="宋体"/>
          <w:b/>
          <w:color w:val="auto"/>
          <w:szCs w:val="21"/>
          <w:highlight w:val="none"/>
        </w:rPr>
        <w:t>12.3投标人应实时关注本项目公告相关网站了解澄清、修改等与项目有关的内容，如因投标人未及时登录本项目公告相关网站了解澄清、修改等与项目有关的内容，从而导致投标无效的，由投标人自行承担责任。</w:t>
      </w:r>
    </w:p>
    <w:p w14:paraId="1728A62C">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12.4必要的澄清、修改的内容为招标文件的组成部分。当澄清、修改通知就同一内容的表述不一致时，以最后发出的书面文件为准。</w:t>
      </w:r>
    </w:p>
    <w:p w14:paraId="121FC1EC">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12.5招标文件的澄清、修改都应该通过采购代理机构以法定形式发布，采购人非通过本机构，不得擅自澄清、修改招标文件。</w:t>
      </w:r>
    </w:p>
    <w:p w14:paraId="5012FA21">
      <w:pPr>
        <w:keepNext w:val="0"/>
        <w:keepLines w:val="0"/>
        <w:pageBreakBefore w:val="0"/>
        <w:tabs>
          <w:tab w:val="left" w:pos="2190"/>
        </w:tabs>
        <w:kinsoku/>
        <w:wordWrap/>
        <w:overflowPunct/>
        <w:topLinePunct w:val="0"/>
        <w:bidi w:val="0"/>
        <w:adjustRightInd/>
        <w:spacing w:line="360" w:lineRule="exact"/>
        <w:ind w:firstLine="437"/>
        <w:textAlignment w:val="auto"/>
        <w:rPr>
          <w:rFonts w:ascii="宋体" w:hAnsi="宋体"/>
          <w:color w:val="auto"/>
          <w:szCs w:val="21"/>
          <w:highlight w:val="none"/>
        </w:rPr>
      </w:pPr>
      <w:r>
        <w:rPr>
          <w:rFonts w:hint="eastAsia" w:ascii="宋体" w:hAnsi="宋体"/>
          <w:color w:val="auto"/>
          <w:szCs w:val="21"/>
          <w:highlight w:val="none"/>
        </w:rPr>
        <w:t>12.6采购人或者采购代理机构</w:t>
      </w:r>
      <w:r>
        <w:rPr>
          <w:rFonts w:hint="eastAsia" w:ascii="宋体" w:hAnsi="宋体"/>
          <w:color w:val="auto"/>
          <w:highlight w:val="none"/>
        </w:rPr>
        <w:t>可以视采购具体情况，延长投标截止时间和开标时间，并在</w:t>
      </w:r>
      <w:r>
        <w:rPr>
          <w:rFonts w:hint="eastAsia" w:ascii="宋体" w:hAnsi="宋体"/>
          <w:color w:val="auto"/>
          <w:szCs w:val="21"/>
          <w:highlight w:val="none"/>
        </w:rPr>
        <w:t>本项目招标公告发布的同一媒体上发布变更公告。</w:t>
      </w:r>
    </w:p>
    <w:p w14:paraId="6030AD30">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color w:val="auto"/>
          <w:szCs w:val="21"/>
          <w:highlight w:val="none"/>
        </w:rPr>
      </w:pPr>
    </w:p>
    <w:p w14:paraId="54CC2D5C">
      <w:pPr>
        <w:keepNext w:val="0"/>
        <w:keepLines w:val="0"/>
        <w:pageBreakBefore w:val="0"/>
        <w:tabs>
          <w:tab w:val="left" w:pos="2190"/>
        </w:tabs>
        <w:kinsoku/>
        <w:wordWrap/>
        <w:overflowPunct/>
        <w:topLinePunct w:val="0"/>
        <w:bidi w:val="0"/>
        <w:adjustRightInd/>
        <w:spacing w:line="360" w:lineRule="exact"/>
        <w:ind w:firstLine="435"/>
        <w:jc w:val="center"/>
        <w:textAlignment w:val="auto"/>
        <w:rPr>
          <w:rFonts w:ascii="宋体" w:hAnsi="宋体"/>
          <w:b/>
          <w:color w:val="auto"/>
          <w:sz w:val="28"/>
          <w:szCs w:val="28"/>
          <w:highlight w:val="none"/>
        </w:rPr>
      </w:pPr>
      <w:r>
        <w:rPr>
          <w:rFonts w:hint="eastAsia" w:ascii="宋体" w:hAnsi="宋体"/>
          <w:b/>
          <w:color w:val="auto"/>
          <w:sz w:val="28"/>
          <w:szCs w:val="28"/>
          <w:highlight w:val="none"/>
        </w:rPr>
        <w:t>三、投标文件的编制</w:t>
      </w:r>
    </w:p>
    <w:p w14:paraId="3FAF6BFC">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13. 投标文件的组成及要求</w:t>
      </w:r>
    </w:p>
    <w:p w14:paraId="145D571A">
      <w:pPr>
        <w:keepNext w:val="0"/>
        <w:keepLines w:val="0"/>
        <w:pageBreakBefore w:val="0"/>
        <w:tabs>
          <w:tab w:val="left" w:pos="2190"/>
        </w:tabs>
        <w:kinsoku/>
        <w:wordWrap/>
        <w:overflowPunct/>
        <w:topLinePunct w:val="0"/>
        <w:bidi w:val="0"/>
        <w:adjustRightInd/>
        <w:spacing w:line="360" w:lineRule="exact"/>
        <w:ind w:firstLine="435"/>
        <w:textAlignment w:val="auto"/>
        <w:rPr>
          <w:rFonts w:ascii="宋体" w:hAnsi="宋体"/>
          <w:b/>
          <w:color w:val="auto"/>
          <w:szCs w:val="21"/>
          <w:highlight w:val="none"/>
        </w:rPr>
      </w:pPr>
      <w:r>
        <w:rPr>
          <w:rFonts w:hint="eastAsia" w:ascii="宋体" w:hAnsi="宋体"/>
          <w:b/>
          <w:color w:val="auto"/>
          <w:szCs w:val="21"/>
          <w:highlight w:val="none"/>
        </w:rPr>
        <w:t>13.1投标文件组成【格式见第六章“投标文件（格式）”】</w:t>
      </w:r>
    </w:p>
    <w:p w14:paraId="58527ED5">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13.1.1资格性响应证明材料：</w:t>
      </w:r>
    </w:p>
    <w:p w14:paraId="22D70A3D">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（1）投标人相应的法定代表人身份证正反面复印件（必须提供）；</w:t>
      </w:r>
    </w:p>
    <w:p w14:paraId="6E2DA655">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hAnsi="宋体"/>
          <w:b/>
          <w:color w:val="auto"/>
          <w:highlight w:val="none"/>
        </w:rPr>
      </w:pPr>
      <w:r>
        <w:rPr>
          <w:rFonts w:hint="eastAsia" w:ascii="宋体" w:hAnsi="宋体"/>
          <w:b/>
          <w:color w:val="auto"/>
          <w:szCs w:val="21"/>
          <w:highlight w:val="none"/>
        </w:rPr>
        <w:t>（2）</w:t>
      </w:r>
      <w:r>
        <w:rPr>
          <w:rFonts w:hint="eastAsia" w:hAnsi="宋体"/>
          <w:b/>
          <w:color w:val="auto"/>
          <w:highlight w:val="none"/>
        </w:rPr>
        <w:t>投标人的授权委托书</w:t>
      </w:r>
      <w:r>
        <w:rPr>
          <w:rFonts w:hint="eastAsia" w:hAnsi="宋体"/>
          <w:b/>
          <w:color w:val="auto"/>
          <w:highlight w:val="none"/>
          <w:lang w:eastAsia="zh-CN"/>
        </w:rPr>
        <w:t>原件</w:t>
      </w:r>
      <w:r>
        <w:rPr>
          <w:rFonts w:hint="eastAsia" w:hAnsi="宋体"/>
          <w:b/>
          <w:color w:val="auto"/>
          <w:highlight w:val="none"/>
        </w:rPr>
        <w:t>、委托代理人身份证正反面复印件（委托代理时，必须提供）；</w:t>
      </w:r>
    </w:p>
    <w:p w14:paraId="5BE0F85B">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（3）投标人的法人或者其他组织营业执照等证明文件复印件（必须提供，自然人除外）；</w:t>
      </w:r>
    </w:p>
    <w:p w14:paraId="0C74503F">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注：①法人包括企业法人、机关法人、事业单位法人和社会团体法人；其他组织主要包括合伙企业、非企业专业服务机构、个体工商户、农村承包经营户。②如投标人为企业（包括合伙企业）或个体工商户的，应提供市场监督管理部门（或行政审批部门）登记注册的有效“营业执照”；投标人为事业单位的，应提供有效的“事业单位法人证书”；投标人为非企业专业服务机构的，应提供执业许可证等证明文件。</w:t>
      </w:r>
    </w:p>
    <w:p w14:paraId="0AFCFF48">
      <w:pPr>
        <w:keepNext w:val="0"/>
        <w:keepLines w:val="0"/>
        <w:pageBreakBefore w:val="0"/>
        <w:numPr>
          <w:ilvl w:val="0"/>
          <w:numId w:val="5"/>
        </w:numPr>
        <w:kinsoku/>
        <w:wordWrap/>
        <w:overflowPunct/>
        <w:topLinePunct w:val="0"/>
        <w:autoSpaceDE w:val="0"/>
        <w:autoSpaceDN w:val="0"/>
        <w:bidi w:val="0"/>
        <w:adjustRightInd/>
        <w:snapToGrid w:val="0"/>
        <w:spacing w:line="360" w:lineRule="exact"/>
        <w:ind w:firstLine="413" w:firstLineChars="196"/>
        <w:jc w:val="left"/>
        <w:textAlignment w:val="auto"/>
        <w:rPr>
          <w:rFonts w:hAnsi="宋体"/>
          <w:b/>
          <w:color w:val="auto"/>
          <w:highlight w:val="none"/>
        </w:rPr>
      </w:pPr>
      <w:r>
        <w:rPr>
          <w:rFonts w:hint="eastAsia" w:hAnsi="宋体"/>
          <w:b/>
          <w:color w:val="auto"/>
          <w:highlight w:val="none"/>
        </w:rPr>
        <w:t>本项目的特定资格要求</w:t>
      </w:r>
      <w:r>
        <w:rPr>
          <w:rFonts w:hint="eastAsia" w:hAnsi="宋体"/>
          <w:b/>
          <w:color w:val="auto"/>
          <w:highlight w:val="none"/>
          <w:lang w:eastAsia="zh-CN"/>
        </w:rPr>
        <w:t>证明材料</w:t>
      </w:r>
      <w:r>
        <w:rPr>
          <w:rFonts w:hint="eastAsia" w:hAnsi="宋体"/>
          <w:b/>
          <w:color w:val="auto"/>
          <w:highlight w:val="none"/>
        </w:rPr>
        <w:t>（必须提供）；</w:t>
      </w:r>
    </w:p>
    <w:p w14:paraId="07ABAA86">
      <w:pPr>
        <w:keepNext w:val="0"/>
        <w:keepLines w:val="0"/>
        <w:pageBreakBefore w:val="0"/>
        <w:kinsoku/>
        <w:wordWrap/>
        <w:overflowPunct/>
        <w:topLinePunct w:val="0"/>
        <w:autoSpaceDE w:val="0"/>
        <w:autoSpaceDN w:val="0"/>
        <w:bidi w:val="0"/>
        <w:adjustRightInd/>
        <w:snapToGrid w:val="0"/>
        <w:spacing w:line="360" w:lineRule="exact"/>
        <w:ind w:firstLine="413" w:firstLineChars="196"/>
        <w:jc w:val="left"/>
        <w:textAlignment w:val="auto"/>
        <w:rPr>
          <w:rFonts w:hint="eastAsia" w:hAnsi="宋体"/>
          <w:b/>
          <w:color w:val="auto"/>
          <w:highlight w:val="none"/>
          <w:lang w:eastAsia="zh-CN"/>
        </w:rPr>
      </w:pPr>
      <w:r>
        <w:rPr>
          <w:rFonts w:hint="eastAsia" w:hAnsi="宋体"/>
          <w:b/>
          <w:color w:val="auto"/>
          <w:highlight w:val="none"/>
          <w:lang w:eastAsia="zh-CN"/>
        </w:rPr>
        <w:t>注：</w:t>
      </w:r>
    </w:p>
    <w:p w14:paraId="1ECD8678">
      <w:pPr>
        <w:keepNext w:val="0"/>
        <w:keepLines w:val="0"/>
        <w:pageBreakBefore w:val="0"/>
        <w:kinsoku/>
        <w:wordWrap/>
        <w:overflowPunct/>
        <w:topLinePunct w:val="0"/>
        <w:autoSpaceDE w:val="0"/>
        <w:autoSpaceDN w:val="0"/>
        <w:bidi w:val="0"/>
        <w:adjustRightInd/>
        <w:snapToGrid w:val="0"/>
        <w:spacing w:line="360" w:lineRule="exact"/>
        <w:ind w:firstLine="413" w:firstLineChars="196"/>
        <w:jc w:val="left"/>
        <w:textAlignment w:val="auto"/>
        <w:rPr>
          <w:rFonts w:hint="eastAsia" w:hAnsi="宋体"/>
          <w:b/>
          <w:color w:val="auto"/>
          <w:highlight w:val="none"/>
        </w:rPr>
      </w:pPr>
      <w:r>
        <w:rPr>
          <w:rFonts w:hint="eastAsia" w:hAnsi="宋体"/>
          <w:b/>
          <w:color w:val="auto"/>
          <w:highlight w:val="none"/>
          <w:lang w:eastAsia="zh-CN"/>
        </w:rPr>
        <w:t>①</w:t>
      </w:r>
      <w:r>
        <w:rPr>
          <w:rFonts w:hint="eastAsia" w:hAnsi="宋体"/>
          <w:b/>
          <w:color w:val="auto"/>
          <w:highlight w:val="none"/>
        </w:rPr>
        <w:t>项目有第二类医疗器械的，应提供承诺函（格式自拟），承诺供货时按《医疗器械监督管理条例》（国务院令第739号）医疗器械分类管理要求提供有效的医疗器械经营备案凭证，且经营范围必须包含采购标的[符合《医疗器械监督管理条例》第四十一条第二款规定的除外]；</w:t>
      </w:r>
    </w:p>
    <w:p w14:paraId="7786F781">
      <w:pPr>
        <w:keepNext w:val="0"/>
        <w:keepLines w:val="0"/>
        <w:pageBreakBefore w:val="0"/>
        <w:kinsoku/>
        <w:wordWrap/>
        <w:overflowPunct/>
        <w:topLinePunct w:val="0"/>
        <w:autoSpaceDE w:val="0"/>
        <w:autoSpaceDN w:val="0"/>
        <w:bidi w:val="0"/>
        <w:adjustRightInd/>
        <w:snapToGrid w:val="0"/>
        <w:spacing w:line="360" w:lineRule="exact"/>
        <w:ind w:firstLine="413" w:firstLineChars="196"/>
        <w:jc w:val="left"/>
        <w:textAlignment w:val="auto"/>
        <w:rPr>
          <w:rFonts w:hint="eastAsia" w:hAnsi="宋体"/>
          <w:b/>
          <w:color w:val="auto"/>
          <w:highlight w:val="none"/>
        </w:rPr>
      </w:pPr>
      <w:r>
        <w:rPr>
          <w:rFonts w:hint="eastAsia" w:hAnsi="宋体"/>
          <w:b/>
          <w:color w:val="auto"/>
          <w:highlight w:val="none"/>
          <w:lang w:eastAsia="zh-CN"/>
        </w:rPr>
        <w:t>②</w:t>
      </w:r>
      <w:r>
        <w:rPr>
          <w:rFonts w:hint="eastAsia" w:hAnsi="宋体"/>
          <w:b/>
          <w:color w:val="auto"/>
          <w:highlight w:val="none"/>
        </w:rPr>
        <w:t>项目有第三类医疗器械的，应提供有效的医疗器械经营许可证（经营范围包含采购的第三类医疗器械）；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所投标对应产品的名称和规格型号，格式自拟）。</w:t>
      </w:r>
    </w:p>
    <w:p w14:paraId="5F5B86B2">
      <w:pPr>
        <w:keepNext w:val="0"/>
        <w:keepLines w:val="0"/>
        <w:pageBreakBefore w:val="0"/>
        <w:kinsoku/>
        <w:wordWrap/>
        <w:overflowPunct/>
        <w:topLinePunct w:val="0"/>
        <w:autoSpaceDE w:val="0"/>
        <w:autoSpaceDN w:val="0"/>
        <w:bidi w:val="0"/>
        <w:adjustRightInd/>
        <w:snapToGrid w:val="0"/>
        <w:spacing w:line="360" w:lineRule="exact"/>
        <w:ind w:firstLine="413" w:firstLineChars="196"/>
        <w:jc w:val="left"/>
        <w:textAlignment w:val="auto"/>
        <w:rPr>
          <w:rFonts w:hint="eastAsia" w:hAnsi="宋体" w:eastAsia="宋体"/>
          <w:b/>
          <w:color w:val="auto"/>
          <w:highlight w:val="none"/>
          <w:lang w:eastAsia="zh-CN"/>
        </w:rPr>
      </w:pPr>
      <w:r>
        <w:rPr>
          <w:rFonts w:hint="eastAsia" w:hAnsi="宋体"/>
          <w:b/>
          <w:color w:val="auto"/>
          <w:highlight w:val="none"/>
          <w:lang w:eastAsia="zh-CN"/>
        </w:rPr>
        <w:t>③</w:t>
      </w:r>
      <w:r>
        <w:rPr>
          <w:rFonts w:hint="eastAsia" w:hAnsi="宋体"/>
          <w:b/>
          <w:color w:val="auto"/>
          <w:highlight w:val="none"/>
        </w:rPr>
        <w:t>项目有第二类和第三类医疗器械的，应按上述</w:t>
      </w:r>
      <w:r>
        <w:rPr>
          <w:rFonts w:hint="eastAsia" w:hAnsi="宋体"/>
          <w:b/>
          <w:color w:val="auto"/>
          <w:highlight w:val="none"/>
          <w:lang w:eastAsia="zh-CN"/>
        </w:rPr>
        <w:t>①②</w:t>
      </w:r>
      <w:r>
        <w:rPr>
          <w:rFonts w:hint="eastAsia" w:hAnsi="宋体"/>
          <w:b/>
          <w:color w:val="auto"/>
          <w:highlight w:val="none"/>
        </w:rPr>
        <w:t>要求提供</w:t>
      </w:r>
      <w:r>
        <w:rPr>
          <w:rFonts w:hint="eastAsia" w:hAnsi="宋体"/>
          <w:b/>
          <w:color w:val="auto"/>
          <w:highlight w:val="none"/>
          <w:lang w:eastAsia="zh-CN"/>
        </w:rPr>
        <w:t>。</w:t>
      </w:r>
    </w:p>
    <w:p w14:paraId="0AC2335F">
      <w:pPr>
        <w:keepNext w:val="0"/>
        <w:keepLines w:val="0"/>
        <w:pageBreakBefore w:val="0"/>
        <w:numPr>
          <w:ilvl w:val="0"/>
          <w:numId w:val="6"/>
        </w:numPr>
        <w:kinsoku/>
        <w:wordWrap/>
        <w:overflowPunct/>
        <w:topLinePunct w:val="0"/>
        <w:autoSpaceDE w:val="0"/>
        <w:autoSpaceDN w:val="0"/>
        <w:bidi w:val="0"/>
        <w:adjustRightInd/>
        <w:snapToGrid w:val="0"/>
        <w:spacing w:line="360" w:lineRule="exact"/>
        <w:ind w:firstLine="413" w:firstLineChars="196"/>
        <w:jc w:val="left"/>
        <w:textAlignment w:val="auto"/>
        <w:rPr>
          <w:rFonts w:hAnsi="宋体"/>
          <w:b/>
          <w:color w:val="auto"/>
          <w:highlight w:val="none"/>
        </w:rPr>
      </w:pPr>
      <w:r>
        <w:rPr>
          <w:rFonts w:hint="eastAsia" w:hAnsi="宋体"/>
          <w:b/>
          <w:color w:val="auto"/>
          <w:highlight w:val="none"/>
        </w:rPr>
        <w:t>投标人财务状况报告（必须提供）；</w:t>
      </w:r>
    </w:p>
    <w:p w14:paraId="49722D98">
      <w:pPr>
        <w:keepNext w:val="0"/>
        <w:keepLines w:val="0"/>
        <w:pageBreakBefore w:val="0"/>
        <w:kinsoku/>
        <w:wordWrap/>
        <w:overflowPunct/>
        <w:topLinePunct w:val="0"/>
        <w:autoSpaceDE w:val="0"/>
        <w:autoSpaceDN w:val="0"/>
        <w:bidi w:val="0"/>
        <w:adjustRightInd/>
        <w:snapToGrid w:val="0"/>
        <w:spacing w:line="360" w:lineRule="exact"/>
        <w:jc w:val="left"/>
        <w:textAlignment w:val="auto"/>
        <w:rPr>
          <w:rFonts w:hAnsi="宋体"/>
          <w:b/>
          <w:color w:val="auto"/>
          <w:highlight w:val="none"/>
        </w:rPr>
      </w:pPr>
      <w:r>
        <w:rPr>
          <w:rFonts w:hint="eastAsia" w:hAnsi="宋体"/>
          <w:b/>
          <w:color w:val="auto"/>
          <w:highlight w:val="none"/>
        </w:rPr>
        <w:t>　　注：投标人</w:t>
      </w:r>
      <w:r>
        <w:rPr>
          <w:rFonts w:hint="eastAsia" w:hAnsi="宋体"/>
          <w:b/>
          <w:color w:val="auto"/>
          <w:highlight w:val="none"/>
          <w:lang w:val="en-US" w:eastAsia="zh-CN"/>
        </w:rPr>
        <w:t>2025年年度内</w:t>
      </w:r>
      <w:r>
        <w:rPr>
          <w:rFonts w:hint="eastAsia" w:hAnsi="宋体"/>
          <w:b/>
          <w:color w:val="auto"/>
          <w:highlight w:val="none"/>
        </w:rPr>
        <w:t>的财务报表复印件，或者</w:t>
      </w:r>
      <w:r>
        <w:rPr>
          <w:rFonts w:hint="eastAsia" w:hAnsi="宋体"/>
          <w:b/>
          <w:color w:val="auto"/>
          <w:highlight w:val="none"/>
          <w:lang w:val="en-US" w:eastAsia="zh-CN"/>
        </w:rPr>
        <w:t>2026年以来</w:t>
      </w:r>
      <w:r>
        <w:rPr>
          <w:rFonts w:hint="eastAsia" w:hAnsi="宋体"/>
          <w:b/>
          <w:color w:val="auto"/>
          <w:highlight w:val="none"/>
        </w:rPr>
        <w:t>银行出具的资信证明，或者</w:t>
      </w:r>
      <w:r>
        <w:rPr>
          <w:rFonts w:hint="eastAsia" w:hAnsi="宋体"/>
          <w:b/>
          <w:color w:val="auto"/>
          <w:highlight w:val="none"/>
          <w:lang w:val="en-US" w:eastAsia="zh-CN"/>
        </w:rPr>
        <w:t>2026年以来</w:t>
      </w:r>
      <w:r>
        <w:rPr>
          <w:rFonts w:hint="eastAsia" w:hAnsi="宋体"/>
          <w:b/>
          <w:color w:val="auto"/>
          <w:highlight w:val="none"/>
        </w:rPr>
        <w:t>中国人民银行征信中心出具的信用报告（企业参与投标的提供企业信用报告，自然人参与投标的提供个人信用报告，投标人属于成立时间在规定年度之后的法人或其他组织，需提供成立之日起至投标文件递交截止时间前的月报表或银行出具的资信证明或者中国人民银行征信中心出具的企业信用报告；资信证明应在有效期内）。</w:t>
      </w:r>
    </w:p>
    <w:p w14:paraId="6DA6C6C8">
      <w:pPr>
        <w:keepNext w:val="0"/>
        <w:keepLines w:val="0"/>
        <w:pageBreakBefore w:val="0"/>
        <w:numPr>
          <w:ilvl w:val="0"/>
          <w:numId w:val="6"/>
        </w:numPr>
        <w:kinsoku/>
        <w:wordWrap/>
        <w:overflowPunct/>
        <w:topLinePunct w:val="0"/>
        <w:autoSpaceDE w:val="0"/>
        <w:autoSpaceDN w:val="0"/>
        <w:bidi w:val="0"/>
        <w:adjustRightInd/>
        <w:snapToGrid w:val="0"/>
        <w:spacing w:line="360" w:lineRule="exact"/>
        <w:ind w:firstLine="413" w:firstLineChars="196"/>
        <w:jc w:val="left"/>
        <w:textAlignment w:val="auto"/>
        <w:rPr>
          <w:rFonts w:hAnsi="宋体"/>
          <w:b/>
          <w:color w:val="auto"/>
          <w:highlight w:val="none"/>
        </w:rPr>
      </w:pPr>
      <w:r>
        <w:rPr>
          <w:rFonts w:hint="eastAsia" w:hAnsi="宋体"/>
          <w:b/>
          <w:color w:val="auto"/>
          <w:highlight w:val="none"/>
        </w:rPr>
        <w:t>投标人依法缴纳税收的相关材料（必须提供）；</w:t>
      </w:r>
    </w:p>
    <w:p w14:paraId="02384823">
      <w:pPr>
        <w:keepNext w:val="0"/>
        <w:keepLines w:val="0"/>
        <w:pageBreakBefore w:val="0"/>
        <w:kinsoku/>
        <w:wordWrap/>
        <w:overflowPunct/>
        <w:topLinePunct w:val="0"/>
        <w:autoSpaceDE w:val="0"/>
        <w:autoSpaceDN w:val="0"/>
        <w:bidi w:val="0"/>
        <w:adjustRightInd/>
        <w:snapToGrid w:val="0"/>
        <w:spacing w:line="360" w:lineRule="exact"/>
        <w:ind w:left="0" w:leftChars="0" w:firstLine="422" w:firstLineChars="200"/>
        <w:jc w:val="left"/>
        <w:textAlignment w:val="auto"/>
        <w:rPr>
          <w:rFonts w:hAnsi="宋体"/>
          <w:b/>
          <w:color w:val="auto"/>
          <w:highlight w:val="none"/>
        </w:rPr>
      </w:pPr>
      <w:r>
        <w:rPr>
          <w:rFonts w:hint="eastAsia" w:hAnsi="宋体"/>
          <w:b/>
          <w:color w:val="auto"/>
          <w:highlight w:val="none"/>
        </w:rPr>
        <w:t>注：投标人202</w:t>
      </w:r>
      <w:r>
        <w:rPr>
          <w:rFonts w:hint="eastAsia" w:hAnsi="宋体"/>
          <w:b/>
          <w:color w:val="auto"/>
          <w:highlight w:val="none"/>
          <w:lang w:val="en-US" w:eastAsia="zh-CN"/>
        </w:rPr>
        <w:t>6</w:t>
      </w:r>
      <w:r>
        <w:rPr>
          <w:rFonts w:hint="eastAsia" w:hAnsi="宋体"/>
          <w:b/>
          <w:color w:val="auto"/>
          <w:highlight w:val="none"/>
        </w:rPr>
        <w:t>年</w:t>
      </w:r>
      <w:r>
        <w:rPr>
          <w:rFonts w:hint="eastAsia" w:hAnsi="宋体"/>
          <w:b/>
          <w:color w:val="auto"/>
          <w:highlight w:val="none"/>
          <w:lang w:val="en-US" w:eastAsia="zh-CN"/>
        </w:rPr>
        <w:t>1</w:t>
      </w:r>
      <w:r>
        <w:rPr>
          <w:rFonts w:hint="eastAsia" w:hAnsi="宋体"/>
          <w:b/>
          <w:color w:val="auto"/>
          <w:highlight w:val="none"/>
        </w:rPr>
        <w:t>月以来任意1个月的依法缴纳税收的证明材料复印件；依法免税的投标人，必须提供符合免税条件的证明材料。从成立之日起到投标文件提交截止时间止不足要求月数的，则无需提交。</w:t>
      </w:r>
    </w:p>
    <w:p w14:paraId="0E88AA55">
      <w:pPr>
        <w:keepNext w:val="0"/>
        <w:keepLines w:val="0"/>
        <w:pageBreakBefore w:val="0"/>
        <w:numPr>
          <w:ilvl w:val="0"/>
          <w:numId w:val="6"/>
        </w:numPr>
        <w:kinsoku/>
        <w:wordWrap/>
        <w:overflowPunct/>
        <w:topLinePunct w:val="0"/>
        <w:autoSpaceDE w:val="0"/>
        <w:autoSpaceDN w:val="0"/>
        <w:bidi w:val="0"/>
        <w:adjustRightInd/>
        <w:snapToGrid w:val="0"/>
        <w:spacing w:line="360" w:lineRule="exact"/>
        <w:ind w:firstLine="413" w:firstLineChars="196"/>
        <w:jc w:val="left"/>
        <w:textAlignment w:val="auto"/>
        <w:rPr>
          <w:rFonts w:hAnsi="宋体"/>
          <w:b/>
          <w:color w:val="auto"/>
          <w:highlight w:val="none"/>
        </w:rPr>
      </w:pPr>
      <w:r>
        <w:rPr>
          <w:rFonts w:hint="eastAsia" w:hAnsi="宋体"/>
          <w:b/>
          <w:color w:val="auto"/>
          <w:highlight w:val="none"/>
        </w:rPr>
        <w:t>投标人依法缴纳社会保障资金的相关材料（必须提供）；　</w:t>
      </w:r>
    </w:p>
    <w:p w14:paraId="76C00D91">
      <w:pPr>
        <w:keepNext w:val="0"/>
        <w:keepLines w:val="0"/>
        <w:pageBreakBefore w:val="0"/>
        <w:kinsoku/>
        <w:wordWrap/>
        <w:overflowPunct/>
        <w:topLinePunct w:val="0"/>
        <w:autoSpaceDE w:val="0"/>
        <w:autoSpaceDN w:val="0"/>
        <w:bidi w:val="0"/>
        <w:adjustRightInd/>
        <w:snapToGrid w:val="0"/>
        <w:spacing w:line="360" w:lineRule="exact"/>
        <w:ind w:left="10" w:leftChars="5" w:firstLine="401" w:firstLineChars="190"/>
        <w:jc w:val="left"/>
        <w:textAlignment w:val="auto"/>
        <w:rPr>
          <w:rFonts w:hAnsi="宋体"/>
          <w:b/>
          <w:color w:val="auto"/>
          <w:highlight w:val="none"/>
        </w:rPr>
      </w:pPr>
      <w:r>
        <w:rPr>
          <w:rFonts w:hint="eastAsia" w:hAnsi="宋体"/>
          <w:b/>
          <w:color w:val="auto"/>
          <w:highlight w:val="none"/>
        </w:rPr>
        <w:t>注：投标人202</w:t>
      </w:r>
      <w:r>
        <w:rPr>
          <w:rFonts w:hint="eastAsia" w:hAnsi="宋体"/>
          <w:b/>
          <w:color w:val="auto"/>
          <w:highlight w:val="none"/>
          <w:lang w:val="en-US" w:eastAsia="zh-CN"/>
        </w:rPr>
        <w:t>6</w:t>
      </w:r>
      <w:r>
        <w:rPr>
          <w:rFonts w:hint="eastAsia" w:hAnsi="宋体"/>
          <w:b/>
          <w:color w:val="auto"/>
          <w:highlight w:val="none"/>
        </w:rPr>
        <w:t>年</w:t>
      </w:r>
      <w:r>
        <w:rPr>
          <w:rFonts w:hint="eastAsia" w:hAnsi="宋体"/>
          <w:b/>
          <w:color w:val="auto"/>
          <w:highlight w:val="none"/>
          <w:lang w:val="en-US" w:eastAsia="zh-CN"/>
        </w:rPr>
        <w:t>1</w:t>
      </w:r>
      <w:r>
        <w:rPr>
          <w:rFonts w:hint="eastAsia" w:hAnsi="宋体"/>
          <w:b/>
          <w:color w:val="auto"/>
          <w:highlight w:val="none"/>
        </w:rPr>
        <w:t>月以来任意1个月的依法缴纳社会保障资金的缴费证明材料（如：专用收据、社会保险缴纳清单或者社保部门的证明）复印件；依法不需要缴纳社会保障资金的投标人，必须提供相应文件证明不需要缴纳社会保障资金。从成立之日起到投标文件提交截止时间止不足要求月数的，则无需提交。</w:t>
      </w:r>
    </w:p>
    <w:p w14:paraId="1EBF2FAD">
      <w:pPr>
        <w:keepNext w:val="0"/>
        <w:keepLines w:val="0"/>
        <w:pageBreakBefore w:val="0"/>
        <w:kinsoku/>
        <w:wordWrap/>
        <w:overflowPunct/>
        <w:topLinePunct w:val="0"/>
        <w:autoSpaceDE w:val="0"/>
        <w:autoSpaceDN w:val="0"/>
        <w:bidi w:val="0"/>
        <w:adjustRightInd/>
        <w:snapToGrid w:val="0"/>
        <w:spacing w:line="360" w:lineRule="exact"/>
        <w:ind w:firstLine="413" w:firstLineChars="196"/>
        <w:jc w:val="left"/>
        <w:textAlignment w:val="auto"/>
        <w:rPr>
          <w:rFonts w:hAnsi="宋体"/>
          <w:b/>
          <w:color w:val="auto"/>
          <w:highlight w:val="none"/>
        </w:rPr>
      </w:pPr>
      <w:r>
        <w:rPr>
          <w:rFonts w:hint="eastAsia" w:hAnsi="宋体"/>
          <w:b/>
          <w:color w:val="auto"/>
          <w:highlight w:val="none"/>
        </w:rPr>
        <w:t>（8）投标人参加政府采购活动前3年内在经营活动中没有重大违法记录及有关信用信息的书面声明或专项信用报告（必须提供）；</w:t>
      </w:r>
    </w:p>
    <w:p w14:paraId="4EC97694">
      <w:pPr>
        <w:keepNext w:val="0"/>
        <w:keepLines w:val="0"/>
        <w:pageBreakBefore w:val="0"/>
        <w:kinsoku/>
        <w:wordWrap/>
        <w:overflowPunct/>
        <w:topLinePunct w:val="0"/>
        <w:autoSpaceDE w:val="0"/>
        <w:autoSpaceDN w:val="0"/>
        <w:bidi w:val="0"/>
        <w:adjustRightInd/>
        <w:snapToGrid w:val="0"/>
        <w:spacing w:line="360" w:lineRule="exact"/>
        <w:ind w:firstLine="413" w:firstLineChars="196"/>
        <w:jc w:val="left"/>
        <w:textAlignment w:val="auto"/>
        <w:rPr>
          <w:rFonts w:hAnsi="宋体"/>
          <w:b/>
          <w:color w:val="auto"/>
          <w:highlight w:val="none"/>
        </w:rPr>
      </w:pPr>
      <w:r>
        <w:rPr>
          <w:rFonts w:hint="eastAsia" w:ascii="宋体" w:hAnsi="宋体" w:cs="宋体"/>
          <w:b/>
          <w:color w:val="auto"/>
          <w:szCs w:val="21"/>
          <w:highlight w:val="none"/>
        </w:rPr>
        <w:t>注：投标人为广西经营主体的，可通过信用中国</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广西</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 xml:space="preserve">网站 </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http://xygx.fgw.gxzf.gov.cn</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他省份的投标人根据注册地信用中国网站的要求获取。</w:t>
      </w:r>
    </w:p>
    <w:p w14:paraId="584A67ED">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（9）投标人参加本项目无围标串标行为的承诺函（必须提供）。</w:t>
      </w:r>
    </w:p>
    <w:p w14:paraId="3546ADD4">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13.1.2商务、技术性响应证明材料：</w:t>
      </w:r>
    </w:p>
    <w:p w14:paraId="775F8D5F">
      <w:pPr>
        <w:keepNext w:val="0"/>
        <w:keepLines w:val="0"/>
        <w:pageBreakBefore w:val="0"/>
        <w:tabs>
          <w:tab w:val="left" w:pos="1305"/>
        </w:tabs>
        <w:kinsoku/>
        <w:wordWrap/>
        <w:overflowPunct/>
        <w:topLinePunct w:val="0"/>
        <w:bidi w:val="0"/>
        <w:adjustRightInd/>
        <w:spacing w:line="360" w:lineRule="exact"/>
        <w:ind w:left="420"/>
        <w:textAlignment w:val="auto"/>
        <w:rPr>
          <w:rFonts w:ascii="宋体" w:hAnsi="宋体"/>
          <w:b/>
          <w:color w:val="auto"/>
          <w:szCs w:val="21"/>
          <w:highlight w:val="none"/>
        </w:rPr>
      </w:pPr>
      <w:r>
        <w:rPr>
          <w:rFonts w:hint="eastAsia" w:ascii="宋体" w:hAnsi="宋体"/>
          <w:b/>
          <w:color w:val="auto"/>
          <w:szCs w:val="21"/>
          <w:highlight w:val="none"/>
        </w:rPr>
        <w:t>（1）投标函（必须提供）；</w:t>
      </w:r>
    </w:p>
    <w:p w14:paraId="2B3726EA">
      <w:pPr>
        <w:keepNext w:val="0"/>
        <w:keepLines w:val="0"/>
        <w:pageBreakBefore w:val="0"/>
        <w:tabs>
          <w:tab w:val="left" w:pos="1305"/>
        </w:tabs>
        <w:kinsoku/>
        <w:wordWrap/>
        <w:overflowPunct/>
        <w:topLinePunct w:val="0"/>
        <w:bidi w:val="0"/>
        <w:adjustRightInd/>
        <w:spacing w:line="360" w:lineRule="exact"/>
        <w:ind w:left="420"/>
        <w:textAlignment w:val="auto"/>
        <w:rPr>
          <w:rFonts w:ascii="宋体" w:hAnsi="宋体"/>
          <w:b/>
          <w:color w:val="auto"/>
          <w:szCs w:val="21"/>
          <w:highlight w:val="none"/>
        </w:rPr>
      </w:pPr>
      <w:r>
        <w:rPr>
          <w:rFonts w:hint="eastAsia" w:ascii="宋体" w:hAnsi="宋体"/>
          <w:b/>
          <w:color w:val="auto"/>
          <w:szCs w:val="21"/>
          <w:highlight w:val="none"/>
        </w:rPr>
        <w:t>（2）投标报价表（必须提供）；</w:t>
      </w:r>
    </w:p>
    <w:p w14:paraId="27B18BF3">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（3）技术偏离表（必须提供）；</w:t>
      </w:r>
    </w:p>
    <w:p w14:paraId="415B4818">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（4）商务响应表（必须提供）；</w:t>
      </w:r>
    </w:p>
    <w:p w14:paraId="2B330BB4">
      <w:pPr>
        <w:keepNext w:val="0"/>
        <w:keepLines w:val="0"/>
        <w:pageBreakBefore w:val="0"/>
        <w:tabs>
          <w:tab w:val="left" w:pos="1305"/>
        </w:tabs>
        <w:kinsoku/>
        <w:wordWrap/>
        <w:overflowPunct/>
        <w:topLinePunct w:val="0"/>
        <w:bidi w:val="0"/>
        <w:adjustRightInd/>
        <w:spacing w:line="360" w:lineRule="exact"/>
        <w:ind w:left="420" w:leftChars="200"/>
        <w:textAlignment w:val="auto"/>
        <w:rPr>
          <w:rFonts w:hint="eastAsia" w:ascii="宋体" w:hAnsi="宋体"/>
          <w:b/>
          <w:color w:val="auto"/>
          <w:szCs w:val="21"/>
          <w:highlight w:val="none"/>
        </w:rPr>
      </w:pPr>
      <w:r>
        <w:rPr>
          <w:rFonts w:hint="eastAsia" w:ascii="宋体" w:hAnsi="宋体"/>
          <w:b/>
          <w:color w:val="auto"/>
          <w:szCs w:val="21"/>
          <w:highlight w:val="none"/>
        </w:rPr>
        <w:t>（5）“采购需求”中要求必须提供的有效证明文件（“采购需求”中要求必须提供的，必须提供）。注：“采购需求”中要求必须提供的有效证明文件包括但不限于：</w:t>
      </w:r>
    </w:p>
    <w:p w14:paraId="4AEB174D">
      <w:pPr>
        <w:keepNext w:val="0"/>
        <w:keepLines w:val="0"/>
        <w:pageBreakBefore w:val="0"/>
        <w:tabs>
          <w:tab w:val="left" w:pos="1305"/>
        </w:tabs>
        <w:kinsoku/>
        <w:wordWrap/>
        <w:overflowPunct/>
        <w:topLinePunct w:val="0"/>
        <w:bidi w:val="0"/>
        <w:adjustRightInd/>
        <w:spacing w:line="360" w:lineRule="exact"/>
        <w:ind w:left="0" w:leftChars="0"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lang w:val="en-US" w:eastAsia="zh-CN"/>
        </w:rPr>
        <w:t>分标1：</w:t>
      </w:r>
      <w:r>
        <w:rPr>
          <w:rFonts w:hint="eastAsia" w:ascii="宋体" w:hAnsi="宋体"/>
          <w:b/>
          <w:color w:val="auto"/>
          <w:szCs w:val="21"/>
          <w:highlight w:val="none"/>
        </w:rPr>
        <w:t>投标人所投</w:t>
      </w:r>
      <w:r>
        <w:rPr>
          <w:rFonts w:hint="eastAsia" w:ascii="宋体" w:hAnsi="宋体"/>
          <w:b/>
          <w:color w:val="auto"/>
          <w:szCs w:val="21"/>
          <w:highlight w:val="none"/>
          <w:lang w:val="en-US" w:eastAsia="zh-CN"/>
        </w:rPr>
        <w:t>第2项号标的“肌电生物反馈刺激仪”、第3项号标的“内镜用二氧化碳送气装置”、第4项号标的“输液泵”、第5项号标的“体外振动排痰机”</w:t>
      </w:r>
      <w:r>
        <w:rPr>
          <w:rFonts w:hint="eastAsia" w:ascii="宋体" w:hAnsi="宋体"/>
          <w:b/>
          <w:color w:val="auto"/>
          <w:szCs w:val="21"/>
          <w:highlight w:val="none"/>
        </w:rPr>
        <w:t>相应有效的《中华人民共和国医疗器械注册证》复印件（必须包括产品相应的许可事项和登记事项，否则，应附注册登记表或认可表资料，要求清晰反映相关内容）。</w:t>
      </w:r>
    </w:p>
    <w:p w14:paraId="6251B8DD">
      <w:pPr>
        <w:keepNext w:val="0"/>
        <w:keepLines w:val="0"/>
        <w:pageBreakBefore w:val="0"/>
        <w:tabs>
          <w:tab w:val="left" w:pos="1305"/>
        </w:tabs>
        <w:kinsoku/>
        <w:wordWrap/>
        <w:overflowPunct/>
        <w:topLinePunct w:val="0"/>
        <w:bidi w:val="0"/>
        <w:adjustRightInd/>
        <w:spacing w:line="360" w:lineRule="exact"/>
        <w:ind w:left="0" w:leftChars="0"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lang w:val="en-US" w:eastAsia="zh-CN"/>
        </w:rPr>
        <w:t>分标2：</w:t>
      </w:r>
      <w:r>
        <w:rPr>
          <w:rFonts w:hint="eastAsia" w:ascii="宋体" w:hAnsi="宋体"/>
          <w:b/>
          <w:color w:val="auto"/>
          <w:szCs w:val="21"/>
          <w:highlight w:val="none"/>
        </w:rPr>
        <w:t>投标人所投</w:t>
      </w:r>
      <w:r>
        <w:rPr>
          <w:rFonts w:hint="eastAsia" w:ascii="宋体" w:hAnsi="宋体"/>
          <w:b/>
          <w:color w:val="auto"/>
          <w:szCs w:val="21"/>
          <w:highlight w:val="none"/>
          <w:lang w:val="en-US" w:eastAsia="zh-CN"/>
        </w:rPr>
        <w:t>第2项号</w:t>
      </w:r>
      <w:r>
        <w:rPr>
          <w:rFonts w:hint="eastAsia" w:ascii="宋体" w:hAnsi="宋体"/>
          <w:b/>
          <w:color w:val="auto"/>
          <w:szCs w:val="21"/>
          <w:highlight w:val="none"/>
          <w:lang w:eastAsia="zh-CN"/>
        </w:rPr>
        <w:t>标的“</w:t>
      </w:r>
      <w:r>
        <w:rPr>
          <w:rFonts w:hint="eastAsia" w:ascii="宋体" w:hAnsi="宋体"/>
          <w:b/>
          <w:color w:val="auto"/>
          <w:szCs w:val="21"/>
          <w:highlight w:val="none"/>
          <w:lang w:val="en-US" w:eastAsia="zh-CN"/>
        </w:rPr>
        <w:t>脉动真空灭菌器</w:t>
      </w:r>
      <w:r>
        <w:rPr>
          <w:rFonts w:hint="eastAsia" w:ascii="宋体" w:hAnsi="宋体"/>
          <w:b/>
          <w:color w:val="auto"/>
          <w:szCs w:val="21"/>
          <w:highlight w:val="none"/>
          <w:lang w:eastAsia="zh-CN"/>
        </w:rPr>
        <w:t>”、第</w:t>
      </w:r>
      <w:r>
        <w:rPr>
          <w:rFonts w:hint="eastAsia" w:ascii="宋体" w:hAnsi="宋体"/>
          <w:b/>
          <w:color w:val="auto"/>
          <w:szCs w:val="21"/>
          <w:highlight w:val="none"/>
          <w:lang w:val="en-US" w:eastAsia="zh-CN"/>
        </w:rPr>
        <w:t>3项号标的</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数字多道心电图机</w:t>
      </w:r>
      <w:r>
        <w:rPr>
          <w:rFonts w:hint="eastAsia" w:ascii="宋体" w:hAnsi="宋体"/>
          <w:b/>
          <w:color w:val="auto"/>
          <w:szCs w:val="21"/>
          <w:highlight w:val="none"/>
          <w:lang w:eastAsia="zh-CN"/>
        </w:rPr>
        <w:t>”</w:t>
      </w:r>
      <w:r>
        <w:rPr>
          <w:rFonts w:hint="eastAsia" w:ascii="宋体" w:hAnsi="宋体"/>
          <w:b/>
          <w:color w:val="auto"/>
          <w:szCs w:val="21"/>
          <w:highlight w:val="none"/>
        </w:rPr>
        <w:t>相应有效的《中华人民共和国医疗器械注册证》复印件（必须包括产品相应的许可事项和登记事项，否则，应附注册登记表或认可表资料，要求清晰反映相关内容）。</w:t>
      </w:r>
    </w:p>
    <w:p w14:paraId="46B982DA">
      <w:pPr>
        <w:keepNext w:val="0"/>
        <w:keepLines w:val="0"/>
        <w:pageBreakBefore w:val="0"/>
        <w:tabs>
          <w:tab w:val="left" w:pos="1305"/>
        </w:tabs>
        <w:kinsoku/>
        <w:wordWrap/>
        <w:overflowPunct/>
        <w:topLinePunct w:val="0"/>
        <w:bidi w:val="0"/>
        <w:adjustRightInd/>
        <w:spacing w:line="360" w:lineRule="exact"/>
        <w:ind w:left="0" w:leftChars="0"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lang w:val="en-US" w:eastAsia="zh-CN"/>
        </w:rPr>
        <w:t>分标3：</w:t>
      </w:r>
      <w:r>
        <w:rPr>
          <w:rFonts w:hint="eastAsia" w:ascii="宋体" w:hAnsi="宋体"/>
          <w:b/>
          <w:color w:val="auto"/>
          <w:szCs w:val="21"/>
          <w:highlight w:val="none"/>
        </w:rPr>
        <w:t>投标人所投</w:t>
      </w:r>
      <w:r>
        <w:rPr>
          <w:rFonts w:hint="eastAsia" w:ascii="宋体" w:hAnsi="宋体"/>
          <w:b/>
          <w:color w:val="auto"/>
          <w:szCs w:val="21"/>
          <w:highlight w:val="none"/>
          <w:lang w:val="en-US" w:eastAsia="zh-CN"/>
        </w:rPr>
        <w:t>第1项号标的“内镜清洗工作站”及第2项号标的“智能肌少症与跌倒风险测评系统”中的“人体成分分析仪”</w:t>
      </w:r>
      <w:r>
        <w:rPr>
          <w:rFonts w:hint="eastAsia" w:ascii="宋体" w:hAnsi="宋体"/>
          <w:b/>
          <w:color w:val="auto"/>
          <w:szCs w:val="21"/>
          <w:highlight w:val="none"/>
        </w:rPr>
        <w:t>相应有效的《中华人民共和国医疗器械注册证》复印件（必须包括产品相应的许可事项和登记事项，否则，应附注册登记表或认可表资料，要求清晰反映相关内容）。</w:t>
      </w:r>
    </w:p>
    <w:p w14:paraId="2CA8BAAF">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ascii="宋体" w:hAnsi="宋体"/>
          <w:b/>
          <w:color w:val="auto"/>
          <w:highlight w:val="none"/>
        </w:rPr>
      </w:pPr>
      <w:r>
        <w:rPr>
          <w:rFonts w:hint="eastAsia" w:ascii="宋体" w:hAnsi="宋体"/>
          <w:bCs/>
          <w:color w:val="auto"/>
          <w:highlight w:val="none"/>
        </w:rPr>
        <w:t>（6）</w:t>
      </w:r>
      <w:r>
        <w:rPr>
          <w:rFonts w:hint="eastAsia" w:ascii="宋体" w:hAnsi="宋体"/>
          <w:color w:val="auto"/>
          <w:szCs w:val="21"/>
          <w:highlight w:val="none"/>
        </w:rPr>
        <w:t>配送及安装实施方案</w:t>
      </w:r>
      <w:r>
        <w:rPr>
          <w:rFonts w:hint="eastAsia" w:hAnsi="宋体"/>
          <w:b/>
          <w:color w:val="auto"/>
          <w:szCs w:val="21"/>
          <w:highlight w:val="none"/>
        </w:rPr>
        <w:t>（如有，请提供）；</w:t>
      </w:r>
    </w:p>
    <w:p w14:paraId="136F08B6">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hAnsi="宋体" w:cs="宋体"/>
          <w:color w:val="auto"/>
          <w:szCs w:val="21"/>
          <w:highlight w:val="none"/>
        </w:rPr>
      </w:pPr>
      <w:r>
        <w:rPr>
          <w:rFonts w:hint="eastAsia" w:hAnsi="宋体" w:cs="宋体"/>
          <w:color w:val="auto"/>
          <w:szCs w:val="21"/>
          <w:highlight w:val="none"/>
        </w:rPr>
        <w:t>注：</w:t>
      </w:r>
      <w:r>
        <w:rPr>
          <w:rFonts w:hint="eastAsia" w:ascii="宋体" w:hAnsi="宋体"/>
          <w:color w:val="auto"/>
          <w:szCs w:val="21"/>
          <w:highlight w:val="none"/>
        </w:rPr>
        <w:t>配送及安装实施方案</w:t>
      </w:r>
      <w:r>
        <w:rPr>
          <w:rFonts w:hint="eastAsia" w:hAnsi="宋体" w:cs="宋体"/>
          <w:color w:val="auto"/>
          <w:szCs w:val="21"/>
          <w:highlight w:val="none"/>
        </w:rPr>
        <w:t>包含但不限于：①项</w:t>
      </w:r>
      <w:r>
        <w:rPr>
          <w:rFonts w:hint="eastAsia" w:hAnsi="宋体"/>
          <w:color w:val="auto"/>
          <w:szCs w:val="21"/>
          <w:highlight w:val="none"/>
        </w:rPr>
        <w:t>目管理方案；②配送组织安排；③设备安装方案、设备调试及试运行方案；④设备安装技术人员配备；⑤技术支持方案</w:t>
      </w:r>
      <w:r>
        <w:rPr>
          <w:rFonts w:hint="eastAsia" w:ascii="宋体" w:hAnsi="宋体" w:eastAsia="宋体" w:cs="宋体"/>
          <w:b w:val="0"/>
          <w:bCs/>
          <w:color w:val="auto"/>
          <w:szCs w:val="21"/>
          <w:highlight w:val="none"/>
          <w:lang w:val="en-US" w:eastAsia="zh-CN"/>
        </w:rPr>
        <w:t>等</w:t>
      </w:r>
      <w:r>
        <w:rPr>
          <w:rFonts w:hint="eastAsia" w:hAnsi="宋体" w:cs="宋体"/>
          <w:color w:val="auto"/>
          <w:szCs w:val="21"/>
          <w:highlight w:val="none"/>
        </w:rPr>
        <w:t>。</w:t>
      </w:r>
    </w:p>
    <w:p w14:paraId="60D6C23A">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hAnsi="宋体"/>
          <w:b/>
          <w:color w:val="auto"/>
          <w:szCs w:val="21"/>
          <w:highlight w:val="none"/>
        </w:rPr>
      </w:pPr>
      <w:r>
        <w:rPr>
          <w:rFonts w:hint="eastAsia" w:ascii="宋体" w:hAnsi="宋体"/>
          <w:color w:val="auto"/>
          <w:szCs w:val="21"/>
          <w:highlight w:val="none"/>
        </w:rPr>
        <w:t>（7）</w:t>
      </w:r>
      <w:r>
        <w:rPr>
          <w:rFonts w:hint="eastAsia" w:ascii="宋体" w:hAnsi="宋体" w:cs="宋体"/>
          <w:color w:val="auto"/>
          <w:szCs w:val="21"/>
          <w:highlight w:val="none"/>
        </w:rPr>
        <w:t>售后服务方案</w:t>
      </w:r>
      <w:r>
        <w:rPr>
          <w:rFonts w:hint="eastAsia" w:hAnsi="宋体"/>
          <w:b/>
          <w:color w:val="auto"/>
          <w:szCs w:val="21"/>
          <w:highlight w:val="none"/>
        </w:rPr>
        <w:t>（如有，请提供）；</w:t>
      </w:r>
    </w:p>
    <w:p w14:paraId="21D333E2">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hint="eastAsia" w:ascii="Times New Roman" w:hAnsi="宋体" w:eastAsia="宋体" w:cs="Times New Roman"/>
          <w:color w:val="auto"/>
          <w:szCs w:val="21"/>
          <w:highlight w:val="none"/>
        </w:rPr>
      </w:pPr>
      <w:r>
        <w:rPr>
          <w:rFonts w:hint="eastAsia" w:hAnsi="宋体"/>
          <w:color w:val="auto"/>
          <w:szCs w:val="21"/>
          <w:highlight w:val="none"/>
        </w:rPr>
        <w:t>注：</w:t>
      </w:r>
      <w:r>
        <w:rPr>
          <w:rFonts w:hint="eastAsia" w:ascii="宋体" w:hAnsi="宋体" w:cs="宋体"/>
          <w:color w:val="auto"/>
          <w:szCs w:val="21"/>
          <w:highlight w:val="none"/>
        </w:rPr>
        <w:t>售后服务方案</w:t>
      </w:r>
      <w:r>
        <w:rPr>
          <w:rFonts w:hint="eastAsia" w:ascii="Times New Roman" w:hAnsi="宋体" w:eastAsia="宋体" w:cs="Times New Roman"/>
          <w:color w:val="auto"/>
          <w:szCs w:val="21"/>
          <w:highlight w:val="none"/>
        </w:rPr>
        <w:t>包含但不限于：</w:t>
      </w:r>
      <w:r>
        <w:rPr>
          <w:rFonts w:hint="eastAsia" w:hAnsi="宋体"/>
          <w:color w:val="auto"/>
          <w:szCs w:val="21"/>
          <w:highlight w:val="none"/>
        </w:rPr>
        <w:t>①售后人员配备情况；②常见故障及解决方案；③</w:t>
      </w:r>
      <w:r>
        <w:rPr>
          <w:rFonts w:hint="eastAsia"/>
          <w:color w:val="auto"/>
          <w:szCs w:val="21"/>
          <w:highlight w:val="none"/>
        </w:rPr>
        <w:t>培训方案</w:t>
      </w:r>
      <w:r>
        <w:rPr>
          <w:rFonts w:hint="eastAsia" w:hAnsi="宋体"/>
          <w:color w:val="auto"/>
          <w:szCs w:val="21"/>
          <w:highlight w:val="none"/>
        </w:rPr>
        <w:t>；④</w:t>
      </w:r>
      <w:r>
        <w:rPr>
          <w:rFonts w:hint="eastAsia" w:hAnsi="宋体"/>
          <w:color w:val="auto"/>
          <w:szCs w:val="21"/>
          <w:highlight w:val="none"/>
          <w:lang w:eastAsia="zh-CN"/>
        </w:rPr>
        <w:t>质保期</w:t>
      </w:r>
      <w:r>
        <w:rPr>
          <w:rFonts w:hint="eastAsia" w:hAnsi="宋体"/>
          <w:color w:val="auto"/>
          <w:szCs w:val="21"/>
          <w:highlight w:val="none"/>
        </w:rPr>
        <w:t>外维修方案；⑤其他实质性优惠措施</w:t>
      </w:r>
      <w:r>
        <w:rPr>
          <w:rFonts w:hint="eastAsia" w:hAnsi="宋体"/>
          <w:color w:val="auto"/>
          <w:szCs w:val="21"/>
          <w:highlight w:val="none"/>
          <w:lang w:eastAsia="zh-CN"/>
        </w:rPr>
        <w:t>等</w:t>
      </w:r>
      <w:r>
        <w:rPr>
          <w:rFonts w:hint="eastAsia" w:ascii="Times New Roman" w:hAnsi="宋体" w:eastAsia="宋体" w:cs="Times New Roman"/>
          <w:color w:val="auto"/>
          <w:szCs w:val="21"/>
          <w:highlight w:val="none"/>
        </w:rPr>
        <w:t>。</w:t>
      </w:r>
    </w:p>
    <w:p w14:paraId="4FE0709E">
      <w:pPr>
        <w:keepNext w:val="0"/>
        <w:keepLines w:val="0"/>
        <w:pageBreakBefore w:val="0"/>
        <w:kinsoku/>
        <w:wordWrap/>
        <w:overflowPunct/>
        <w:topLinePunct w:val="0"/>
        <w:bidi w:val="0"/>
        <w:adjustRightInd/>
        <w:snapToGrid w:val="0"/>
        <w:spacing w:line="360" w:lineRule="exact"/>
        <w:ind w:firstLine="420" w:firstLineChars="200"/>
        <w:textAlignment w:val="auto"/>
        <w:outlineLvl w:val="4"/>
        <w:rPr>
          <w:rFonts w:ascii="宋体" w:hAnsi="宋体"/>
          <w:b/>
          <w:color w:val="auto"/>
          <w:szCs w:val="21"/>
          <w:highlight w:val="none"/>
        </w:rPr>
      </w:pPr>
      <w:r>
        <w:rPr>
          <w:rFonts w:hint="eastAsia" w:ascii="宋体" w:hAnsi="宋体"/>
          <w:color w:val="auto"/>
          <w:szCs w:val="20"/>
          <w:highlight w:val="none"/>
        </w:rPr>
        <w:t>（</w:t>
      </w:r>
      <w:r>
        <w:rPr>
          <w:rFonts w:hint="eastAsia" w:ascii="宋体" w:hAnsi="宋体"/>
          <w:color w:val="auto"/>
          <w:szCs w:val="20"/>
          <w:highlight w:val="none"/>
          <w:lang w:val="en-US" w:eastAsia="zh-CN"/>
        </w:rPr>
        <w:t>8</w:t>
      </w:r>
      <w:r>
        <w:rPr>
          <w:rFonts w:hint="eastAsia" w:ascii="宋体" w:hAnsi="宋体"/>
          <w:color w:val="auto"/>
          <w:szCs w:val="20"/>
          <w:highlight w:val="none"/>
        </w:rPr>
        <w:t>）“采购需求”中有关</w:t>
      </w:r>
      <w:r>
        <w:rPr>
          <w:rFonts w:hint="eastAsia" w:ascii="宋体" w:hAnsi="宋体"/>
          <w:color w:val="auto"/>
          <w:szCs w:val="21"/>
          <w:highlight w:val="none"/>
        </w:rPr>
        <w:t>履约能力的相关证明材料复印件</w:t>
      </w:r>
      <w:r>
        <w:rPr>
          <w:rFonts w:hint="eastAsia" w:ascii="宋体" w:hAnsi="宋体"/>
          <w:b/>
          <w:color w:val="auto"/>
          <w:szCs w:val="21"/>
          <w:highlight w:val="none"/>
        </w:rPr>
        <w:t>（如有，请提供）；</w:t>
      </w:r>
    </w:p>
    <w:p w14:paraId="6E6F8499">
      <w:pPr>
        <w:keepNext w:val="0"/>
        <w:keepLines w:val="0"/>
        <w:pageBreakBefore w:val="0"/>
        <w:kinsoku/>
        <w:wordWrap/>
        <w:overflowPunct/>
        <w:topLinePunct w:val="0"/>
        <w:bidi w:val="0"/>
        <w:adjustRightInd/>
        <w:snapToGrid w:val="0"/>
        <w:spacing w:line="360" w:lineRule="exact"/>
        <w:ind w:firstLine="420" w:firstLineChars="200"/>
        <w:textAlignment w:val="auto"/>
        <w:outlineLvl w:val="4"/>
        <w:rPr>
          <w:rFonts w:ascii="宋体" w:hAnsi="宋体"/>
          <w:b/>
          <w:color w:val="auto"/>
          <w:szCs w:val="21"/>
          <w:highlight w:val="none"/>
        </w:rPr>
      </w:pPr>
      <w:r>
        <w:rPr>
          <w:rFonts w:hint="eastAsia" w:ascii="宋体" w:hAnsi="宋体"/>
          <w:color w:val="auto"/>
          <w:szCs w:val="20"/>
          <w:highlight w:val="none"/>
        </w:rPr>
        <w:t>（</w:t>
      </w:r>
      <w:r>
        <w:rPr>
          <w:rFonts w:hint="eastAsia" w:ascii="宋体" w:hAnsi="宋体"/>
          <w:color w:val="auto"/>
          <w:szCs w:val="20"/>
          <w:highlight w:val="none"/>
          <w:lang w:val="en-US" w:eastAsia="zh-CN"/>
        </w:rPr>
        <w:t>9</w:t>
      </w:r>
      <w:r>
        <w:rPr>
          <w:rFonts w:hint="eastAsia" w:ascii="宋体" w:hAnsi="宋体"/>
          <w:color w:val="auto"/>
          <w:szCs w:val="20"/>
          <w:highlight w:val="none"/>
        </w:rPr>
        <w:t>）</w:t>
      </w:r>
      <w:r>
        <w:rPr>
          <w:rFonts w:hint="eastAsia" w:ascii="宋体" w:hAnsi="宋体"/>
          <w:color w:val="auto"/>
          <w:szCs w:val="21"/>
          <w:highlight w:val="none"/>
        </w:rPr>
        <w:t>政策性加分证明材料复印件</w:t>
      </w:r>
      <w:r>
        <w:rPr>
          <w:rFonts w:hint="eastAsia" w:ascii="宋体" w:hAnsi="宋体"/>
          <w:b/>
          <w:color w:val="auto"/>
          <w:szCs w:val="21"/>
          <w:highlight w:val="none"/>
        </w:rPr>
        <w:t>（如有，请提供）：</w:t>
      </w:r>
    </w:p>
    <w:p w14:paraId="46483BEB">
      <w:pPr>
        <w:keepNext w:val="0"/>
        <w:keepLines w:val="0"/>
        <w:pageBreakBefore w:val="0"/>
        <w:kinsoku/>
        <w:wordWrap/>
        <w:overflowPunct/>
        <w:topLinePunct w:val="0"/>
        <w:bidi w:val="0"/>
        <w:adjustRightInd/>
        <w:snapToGrid w:val="0"/>
        <w:spacing w:line="360" w:lineRule="exact"/>
        <w:ind w:firstLine="420" w:firstLineChars="200"/>
        <w:textAlignment w:val="auto"/>
        <w:outlineLvl w:val="4"/>
        <w:rPr>
          <w:rFonts w:ascii="宋体" w:hAnsi="宋体"/>
          <w:color w:val="auto"/>
          <w:szCs w:val="20"/>
          <w:highlight w:val="none"/>
        </w:rPr>
      </w:pPr>
      <w:r>
        <w:rPr>
          <w:rFonts w:hint="eastAsia" w:ascii="宋体" w:hAnsi="宋体"/>
          <w:color w:val="auto"/>
          <w:szCs w:val="20"/>
          <w:highlight w:val="none"/>
        </w:rPr>
        <w:t>注：①节能产品加分：属于财政部《节能产品政府采购品目清单》内</w:t>
      </w:r>
      <w:r>
        <w:rPr>
          <w:rFonts w:hint="eastAsia" w:ascii="宋体" w:hAnsi="宋体"/>
          <w:color w:val="auto"/>
          <w:szCs w:val="20"/>
          <w:highlight w:val="none"/>
        </w:rPr>
        <w:t>优先采购（清单内未标注“★”的品目）的产品</w:t>
      </w:r>
      <w:r>
        <w:rPr>
          <w:rFonts w:hint="eastAsia" w:ascii="宋体" w:hAnsi="宋体"/>
          <w:color w:val="auto"/>
          <w:szCs w:val="20"/>
          <w:highlight w:val="none"/>
          <w:lang w:eastAsia="zh-CN"/>
        </w:rPr>
        <w:t>（在</w:t>
      </w:r>
      <w:r>
        <w:rPr>
          <w:rFonts w:hint="eastAsia" w:ascii="宋体" w:hAnsi="宋体"/>
          <w:color w:val="auto"/>
          <w:szCs w:val="20"/>
          <w:highlight w:val="none"/>
        </w:rPr>
        <w:t>投标文件中提供有效的认证证书复印件，并加盖投标人电子签章）。</w:t>
      </w:r>
    </w:p>
    <w:p w14:paraId="631436AE">
      <w:pPr>
        <w:keepNext w:val="0"/>
        <w:keepLines w:val="0"/>
        <w:pageBreakBefore w:val="0"/>
        <w:kinsoku/>
        <w:wordWrap/>
        <w:overflowPunct/>
        <w:topLinePunct w:val="0"/>
        <w:bidi w:val="0"/>
        <w:adjustRightInd/>
        <w:snapToGrid w:val="0"/>
        <w:spacing w:line="360" w:lineRule="exact"/>
        <w:ind w:firstLine="420" w:firstLineChars="200"/>
        <w:textAlignment w:val="auto"/>
        <w:outlineLvl w:val="4"/>
        <w:rPr>
          <w:rFonts w:ascii="宋体" w:hAnsi="宋体"/>
          <w:color w:val="auto"/>
          <w:szCs w:val="20"/>
          <w:highlight w:val="none"/>
        </w:rPr>
      </w:pPr>
      <w:r>
        <w:rPr>
          <w:rFonts w:hint="eastAsia" w:ascii="宋体" w:hAnsi="宋体"/>
          <w:color w:val="auto"/>
          <w:szCs w:val="20"/>
          <w:highlight w:val="none"/>
        </w:rPr>
        <w:t>②环境标志产品加分：属于财政部《环境标志产品政府采购品目清单》内的产品（投标文件中提供有效的认证证书复印件，并加盖投标人电子签章）。</w:t>
      </w:r>
    </w:p>
    <w:p w14:paraId="7ED19198">
      <w:pPr>
        <w:keepNext w:val="0"/>
        <w:keepLines w:val="0"/>
        <w:pageBreakBefore w:val="0"/>
        <w:kinsoku/>
        <w:wordWrap/>
        <w:overflowPunct/>
        <w:topLinePunct w:val="0"/>
        <w:bidi w:val="0"/>
        <w:adjustRightInd/>
        <w:spacing w:line="360" w:lineRule="exact"/>
        <w:ind w:firstLine="420" w:firstLineChars="200"/>
        <w:textAlignment w:val="auto"/>
        <w:rPr>
          <w:rFonts w:ascii="宋体" w:hAnsi="宋体"/>
          <w:b/>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10</w:t>
      </w:r>
      <w:r>
        <w:rPr>
          <w:rFonts w:hint="eastAsia" w:ascii="宋体" w:hAnsi="宋体"/>
          <w:color w:val="auto"/>
          <w:highlight w:val="none"/>
        </w:rPr>
        <w:t>）</w:t>
      </w:r>
      <w:r>
        <w:rPr>
          <w:rFonts w:hint="eastAsia" w:hAnsi="宋体"/>
          <w:bCs/>
          <w:color w:val="auto"/>
          <w:szCs w:val="21"/>
          <w:highlight w:val="none"/>
        </w:rPr>
        <w:t>投标人提供的货物全部由符合政策要求中小企业制造</w:t>
      </w:r>
      <w:r>
        <w:rPr>
          <w:rFonts w:hint="eastAsia" w:ascii="宋体" w:hAnsi="宋体"/>
          <w:bCs/>
          <w:color w:val="auto"/>
          <w:szCs w:val="21"/>
          <w:highlight w:val="none"/>
        </w:rPr>
        <w:t>，投标文件中提供《中小企业声明函》</w:t>
      </w:r>
      <w:r>
        <w:rPr>
          <w:rFonts w:hint="eastAsia" w:ascii="宋体" w:hAnsi="宋体"/>
          <w:color w:val="auto"/>
          <w:highlight w:val="none"/>
        </w:rPr>
        <w:t>；属于监狱企业的，提供由省级以上监狱管理局、戒毒管理局（含新疆生产建设兵团）出具的属于监狱企业的证明文件</w:t>
      </w:r>
      <w:r>
        <w:rPr>
          <w:rFonts w:hint="eastAsia" w:ascii="宋体" w:hAnsi="宋体"/>
          <w:b/>
          <w:color w:val="auto"/>
          <w:highlight w:val="none"/>
        </w:rPr>
        <w:t>（如有，请提供）；</w:t>
      </w:r>
    </w:p>
    <w:p w14:paraId="6E35962A">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hint="eastAsia" w:ascii="宋体" w:hAnsi="宋体"/>
          <w:b/>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11</w:t>
      </w:r>
      <w:r>
        <w:rPr>
          <w:rFonts w:hint="eastAsia" w:ascii="宋体" w:hAnsi="宋体"/>
          <w:color w:val="auto"/>
          <w:highlight w:val="none"/>
        </w:rPr>
        <w:t>）符合条件的残疾人福利性单位在参加政府采购活动时，提供《残疾人福利性单位声明函》，并对声明的真实性负责</w:t>
      </w:r>
      <w:r>
        <w:rPr>
          <w:rFonts w:hint="eastAsia" w:ascii="宋体" w:hAnsi="宋体"/>
          <w:b/>
          <w:color w:val="auto"/>
          <w:highlight w:val="none"/>
        </w:rPr>
        <w:t>（如有，请提供）；</w:t>
      </w:r>
    </w:p>
    <w:p w14:paraId="5C5198A2">
      <w:pPr>
        <w:keepNext w:val="0"/>
        <w:keepLines w:val="0"/>
        <w:pageBreakBefore w:val="0"/>
        <w:tabs>
          <w:tab w:val="left" w:pos="1305"/>
        </w:tabs>
        <w:kinsoku/>
        <w:wordWrap/>
        <w:overflowPunct/>
        <w:topLinePunct w:val="0"/>
        <w:bidi w:val="0"/>
        <w:adjustRightInd/>
        <w:spacing w:line="360" w:lineRule="exact"/>
        <w:ind w:firstLine="525" w:firstLineChars="250"/>
        <w:textAlignment w:val="auto"/>
        <w:rPr>
          <w:rFonts w:hint="eastAsia" w:ascii="宋体" w:hAnsi="宋体" w:eastAsia="宋体"/>
          <w:color w:val="auto"/>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12</w:t>
      </w:r>
      <w:r>
        <w:rPr>
          <w:rFonts w:hint="eastAsia" w:ascii="宋体" w:hAnsi="宋体"/>
          <w:color w:val="auto"/>
          <w:szCs w:val="21"/>
          <w:highlight w:val="none"/>
          <w:lang w:eastAsia="zh-CN"/>
        </w:rPr>
        <w:t>）</w:t>
      </w:r>
      <w:r>
        <w:rPr>
          <w:rFonts w:ascii="宋体" w:hAnsi="宋体"/>
          <w:color w:val="auto"/>
          <w:szCs w:val="21"/>
          <w:highlight w:val="none"/>
        </w:rPr>
        <w:t>《</w:t>
      </w:r>
      <w:r>
        <w:rPr>
          <w:rFonts w:hint="eastAsia" w:ascii="宋体" w:hAnsi="宋体"/>
          <w:color w:val="auto"/>
          <w:szCs w:val="21"/>
          <w:highlight w:val="none"/>
        </w:rPr>
        <w:t>关于符合本国产品标准的声明函</w:t>
      </w:r>
      <w:r>
        <w:rPr>
          <w:rFonts w:ascii="宋体" w:hAnsi="宋体"/>
          <w:color w:val="auto"/>
          <w:szCs w:val="21"/>
          <w:highlight w:val="none"/>
        </w:rPr>
        <w:t>》</w:t>
      </w:r>
      <w:r>
        <w:rPr>
          <w:rFonts w:hint="eastAsia" w:ascii="宋体" w:hAnsi="宋体"/>
          <w:color w:val="auto"/>
          <w:szCs w:val="21"/>
          <w:highlight w:val="none"/>
        </w:rPr>
        <w:t>或者财政部会同有关部门规定的有关证明文件</w:t>
      </w:r>
      <w:r>
        <w:rPr>
          <w:rFonts w:hint="eastAsia" w:ascii="宋体" w:hAnsi="宋体"/>
          <w:b/>
          <w:color w:val="auto"/>
          <w:highlight w:val="none"/>
        </w:rPr>
        <w:t>（如有，请提供）</w:t>
      </w:r>
      <w:r>
        <w:rPr>
          <w:rFonts w:hint="eastAsia" w:ascii="宋体" w:hAnsi="宋体"/>
          <w:color w:val="auto"/>
          <w:szCs w:val="21"/>
          <w:highlight w:val="none"/>
        </w:rPr>
        <w:t>（项目涉及非本国产品参与时，</w:t>
      </w:r>
      <w:r>
        <w:rPr>
          <w:rFonts w:hint="eastAsia" w:ascii="宋体" w:hAnsi="宋体"/>
          <w:color w:val="auto"/>
          <w:szCs w:val="21"/>
          <w:highlight w:val="none"/>
          <w:lang w:eastAsia="zh-CN"/>
        </w:rPr>
        <w:t>投标人应根据自身响应情况</w:t>
      </w:r>
      <w:r>
        <w:rPr>
          <w:rFonts w:hint="eastAsia" w:ascii="宋体" w:hAnsi="宋体"/>
          <w:color w:val="auto"/>
          <w:szCs w:val="21"/>
          <w:highlight w:val="none"/>
        </w:rPr>
        <w:t>出具）</w:t>
      </w:r>
      <w:r>
        <w:rPr>
          <w:rFonts w:hint="eastAsia" w:ascii="宋体" w:hAnsi="宋体"/>
          <w:color w:val="auto"/>
          <w:szCs w:val="21"/>
          <w:highlight w:val="none"/>
          <w:lang w:eastAsia="zh-CN"/>
        </w:rPr>
        <w:t>；</w:t>
      </w:r>
    </w:p>
    <w:p w14:paraId="773D56C0">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highlight w:val="none"/>
        </w:rPr>
        <w:t>（</w:t>
      </w:r>
      <w:r>
        <w:rPr>
          <w:rFonts w:hint="eastAsia" w:ascii="宋体" w:hAnsi="宋体"/>
          <w:color w:val="auto"/>
          <w:highlight w:val="none"/>
          <w:lang w:val="en-US" w:eastAsia="zh-CN"/>
        </w:rPr>
        <w:t>13</w:t>
      </w:r>
      <w:r>
        <w:rPr>
          <w:rFonts w:hint="eastAsia" w:ascii="宋体" w:hAnsi="宋体"/>
          <w:color w:val="auto"/>
          <w:highlight w:val="none"/>
        </w:rPr>
        <w:t>）</w:t>
      </w:r>
      <w:r>
        <w:rPr>
          <w:rFonts w:hint="eastAsia" w:ascii="宋体" w:hAnsi="宋体"/>
          <w:color w:val="auto"/>
          <w:szCs w:val="21"/>
          <w:highlight w:val="none"/>
        </w:rPr>
        <w:t>投标人可结合本项目的评标办法视自身情况自行提交相关证明材料</w:t>
      </w:r>
      <w:r>
        <w:rPr>
          <w:rFonts w:hint="eastAsia" w:ascii="宋体" w:hAnsi="宋体"/>
          <w:b/>
          <w:color w:val="auto"/>
          <w:highlight w:val="none"/>
        </w:rPr>
        <w:t>（如有，请提供）</w:t>
      </w:r>
      <w:r>
        <w:rPr>
          <w:rFonts w:hint="eastAsia" w:ascii="宋体" w:hAnsi="宋体"/>
          <w:color w:val="auto"/>
          <w:szCs w:val="21"/>
          <w:highlight w:val="none"/>
        </w:rPr>
        <w:t>。</w:t>
      </w:r>
    </w:p>
    <w:p w14:paraId="17B603DB">
      <w:pPr>
        <w:pStyle w:val="26"/>
        <w:keepNext w:val="0"/>
        <w:keepLines w:val="0"/>
        <w:pageBreakBefore w:val="0"/>
        <w:kinsoku/>
        <w:wordWrap/>
        <w:overflowPunct/>
        <w:topLinePunct w:val="0"/>
        <w:bidi w:val="0"/>
        <w:adjustRightInd/>
        <w:spacing w:line="360" w:lineRule="exact"/>
        <w:ind w:firstLine="422" w:firstLineChars="200"/>
        <w:textAlignment w:val="auto"/>
        <w:rPr>
          <w:rFonts w:hAnsi="宋体"/>
          <w:b/>
          <w:color w:val="auto"/>
          <w:szCs w:val="21"/>
          <w:highlight w:val="none"/>
        </w:rPr>
      </w:pPr>
      <w:r>
        <w:rPr>
          <w:rFonts w:hint="eastAsia" w:hAnsi="宋体"/>
          <w:b/>
          <w:color w:val="auto"/>
          <w:szCs w:val="21"/>
          <w:highlight w:val="none"/>
        </w:rPr>
        <w:t>注：投标人提供的以上“资格性响应证明材料</w:t>
      </w:r>
      <w:r>
        <w:rPr>
          <w:rFonts w:hint="eastAsia" w:hAnsi="宋体"/>
          <w:b/>
          <w:color w:val="auto"/>
          <w:szCs w:val="21"/>
          <w:highlight w:val="none"/>
          <w:lang w:eastAsia="zh-CN"/>
        </w:rPr>
        <w:t>”“</w:t>
      </w:r>
      <w:r>
        <w:rPr>
          <w:rFonts w:hint="eastAsia" w:hAnsi="宋体"/>
          <w:b/>
          <w:color w:val="auto"/>
          <w:szCs w:val="21"/>
          <w:highlight w:val="none"/>
        </w:rPr>
        <w:t>商务、技术性响应证明材料”等相关证明材料必须真实有效，属于“必须提供”的材料应加盖投标人电子签章，否则投标无效；其中“必须提供”的材料在“第六章 投标文件（格式）”中有要求法定代表人或相应的授权委托代理人在规定位置签字</w:t>
      </w:r>
      <w:r>
        <w:rPr>
          <w:rFonts w:hint="eastAsia" w:hAnsi="宋体" w:cs="Courier New"/>
          <w:b/>
          <w:color w:val="auto"/>
          <w:szCs w:val="21"/>
          <w:highlight w:val="none"/>
        </w:rPr>
        <w:t>（</w:t>
      </w:r>
      <w:r>
        <w:rPr>
          <w:rFonts w:hint="eastAsia" w:hAnsi="宋体"/>
          <w:b/>
          <w:bCs/>
          <w:color w:val="auto"/>
          <w:szCs w:val="21"/>
          <w:highlight w:val="none"/>
        </w:rPr>
        <w:t>或者电子签名</w:t>
      </w:r>
      <w:r>
        <w:rPr>
          <w:rFonts w:hint="eastAsia" w:hAnsi="宋体" w:cs="Courier New"/>
          <w:b/>
          <w:color w:val="auto"/>
          <w:szCs w:val="21"/>
          <w:highlight w:val="none"/>
        </w:rPr>
        <w:t>）</w:t>
      </w:r>
      <w:r>
        <w:rPr>
          <w:rFonts w:hint="eastAsia" w:hAnsi="宋体"/>
          <w:b/>
          <w:color w:val="auto"/>
          <w:szCs w:val="21"/>
          <w:highlight w:val="none"/>
        </w:rPr>
        <w:t>的，</w:t>
      </w:r>
      <w:r>
        <w:rPr>
          <w:rFonts w:hint="eastAsia" w:hAnsi="宋体" w:cs="Courier New"/>
          <w:b/>
          <w:color w:val="auto"/>
          <w:szCs w:val="21"/>
          <w:highlight w:val="none"/>
        </w:rPr>
        <w:t>必须由法定代表人或委托代理人签字</w:t>
      </w:r>
      <w:r>
        <w:rPr>
          <w:rFonts w:hint="eastAsia" w:hAnsi="宋体"/>
          <w:b/>
          <w:bCs/>
          <w:color w:val="auto"/>
          <w:szCs w:val="21"/>
          <w:highlight w:val="none"/>
        </w:rPr>
        <w:t>（或者电子签名）</w:t>
      </w:r>
      <w:r>
        <w:rPr>
          <w:rFonts w:hint="eastAsia" w:hAnsi="宋体"/>
          <w:b/>
          <w:color w:val="auto"/>
          <w:szCs w:val="21"/>
          <w:highlight w:val="none"/>
        </w:rPr>
        <w:t>，否则，投标文件按无效处理。</w:t>
      </w:r>
    </w:p>
    <w:p w14:paraId="1F8DA184">
      <w:pPr>
        <w:pStyle w:val="26"/>
        <w:keepNext w:val="0"/>
        <w:keepLines w:val="0"/>
        <w:pageBreakBefore w:val="0"/>
        <w:kinsoku/>
        <w:wordWrap/>
        <w:overflowPunct/>
        <w:topLinePunct w:val="0"/>
        <w:bidi w:val="0"/>
        <w:adjustRightInd/>
        <w:spacing w:line="360" w:lineRule="exact"/>
        <w:ind w:firstLine="420"/>
        <w:textAlignment w:val="auto"/>
        <w:rPr>
          <w:rFonts w:hAnsi="宋体"/>
          <w:color w:val="auto"/>
          <w:highlight w:val="none"/>
        </w:rPr>
      </w:pPr>
      <w:r>
        <w:rPr>
          <w:rFonts w:hint="eastAsia" w:hAnsi="宋体"/>
          <w:color w:val="auto"/>
          <w:szCs w:val="21"/>
          <w:highlight w:val="none"/>
        </w:rPr>
        <w:t>13.2</w:t>
      </w:r>
      <w:r>
        <w:rPr>
          <w:rFonts w:hint="eastAsia" w:hAnsi="宋体"/>
          <w:color w:val="auto"/>
          <w:highlight w:val="none"/>
        </w:rPr>
        <w:t>投标人必须按招标文件第六章“投标文件（格式）”编制投标文件。</w:t>
      </w:r>
    </w:p>
    <w:p w14:paraId="5A11CBA3">
      <w:pPr>
        <w:pStyle w:val="26"/>
        <w:keepNext w:val="0"/>
        <w:keepLines w:val="0"/>
        <w:pageBreakBefore w:val="0"/>
        <w:kinsoku/>
        <w:wordWrap/>
        <w:overflowPunct/>
        <w:topLinePunct w:val="0"/>
        <w:bidi w:val="0"/>
        <w:adjustRightInd/>
        <w:spacing w:line="360" w:lineRule="exact"/>
        <w:ind w:firstLine="420"/>
        <w:textAlignment w:val="auto"/>
        <w:rPr>
          <w:rFonts w:hAnsi="宋体"/>
          <w:color w:val="auto"/>
          <w:highlight w:val="none"/>
        </w:rPr>
      </w:pPr>
      <w:r>
        <w:rPr>
          <w:rFonts w:hint="eastAsia" w:hAnsi="宋体"/>
          <w:color w:val="auto"/>
          <w:highlight w:val="none"/>
        </w:rPr>
        <w:t>13.3</w:t>
      </w:r>
      <w:r>
        <w:rPr>
          <w:rFonts w:hAnsi="宋体"/>
          <w:color w:val="auto"/>
          <w:highlight w:val="none"/>
        </w:rPr>
        <w:t>投标文件</w:t>
      </w:r>
      <w:r>
        <w:rPr>
          <w:rFonts w:hint="eastAsia" w:hAnsi="宋体"/>
          <w:color w:val="auto"/>
          <w:highlight w:val="none"/>
        </w:rPr>
        <w:t>必须</w:t>
      </w:r>
      <w:r>
        <w:rPr>
          <w:rFonts w:hAnsi="宋体"/>
          <w:color w:val="auto"/>
          <w:highlight w:val="none"/>
        </w:rPr>
        <w:t>对招标文件提出的要求和条件作出明确响应。</w:t>
      </w:r>
    </w:p>
    <w:p w14:paraId="0B9D1E82">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14. 投标文件的语言及计量</w:t>
      </w:r>
    </w:p>
    <w:p w14:paraId="3FB030C4">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14.1投标文件以及投标人与采购人或者采购代理机构就有关投标事宜的所有来往函电，均必须以中文汉语书写。投标人提交的支持文件和印刷的文献可以使用别的语言，但其相应内容必须附有中文翻译文本，在解释投标文件时以中文翻译文本为主。</w:t>
      </w:r>
    </w:p>
    <w:p w14:paraId="145752A9">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14.2投标计量单位，招标文件已有明确规定的，使用招标文件规定的计量单位；招标文件没有规定的，必须采用中华人民共和国法定计量单位（货币单位：元人民币），否则视同未响应。</w:t>
      </w:r>
    </w:p>
    <w:p w14:paraId="08E346F3">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15.投标报价</w:t>
      </w:r>
    </w:p>
    <w:p w14:paraId="0327B758">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15.1投标报价必须按招标文件中第六章“投标文件（格式）”填写。</w:t>
      </w:r>
    </w:p>
    <w:p w14:paraId="7EC6AF37">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15.2采购预算及最高限价：</w:t>
      </w:r>
      <w:r>
        <w:rPr>
          <w:rFonts w:hint="eastAsia" w:ascii="宋体" w:hAnsi="宋体"/>
          <w:b/>
          <w:color w:val="auto"/>
          <w:szCs w:val="21"/>
          <w:highlight w:val="none"/>
          <w:lang w:val="en-US" w:eastAsia="zh-CN"/>
        </w:rPr>
        <w:t>分标1采购预算金额为贰拾捌万伍仟捌佰元整（¥</w:t>
      </w:r>
      <w:r>
        <w:rPr>
          <w:rFonts w:hint="eastAsia" w:ascii="宋体" w:hAnsi="宋体"/>
          <w:b/>
          <w:color w:val="auto"/>
          <w:szCs w:val="21"/>
          <w:highlight w:val="none"/>
        </w:rPr>
        <w:t>285800</w:t>
      </w:r>
      <w:r>
        <w:rPr>
          <w:rFonts w:hint="eastAsia" w:ascii="宋体" w:hAnsi="宋体"/>
          <w:b/>
          <w:color w:val="auto"/>
          <w:szCs w:val="21"/>
          <w:highlight w:val="none"/>
          <w:lang w:val="en-US" w:eastAsia="zh-CN"/>
        </w:rPr>
        <w:t>.00），最高限价金额为贰拾柒万陆仟壹佰元整（¥276100.00）；分标2采购预算金额为肆拾万零壹仟肆佰元整（¥</w:t>
      </w:r>
      <w:r>
        <w:rPr>
          <w:rFonts w:hint="eastAsia" w:ascii="宋体" w:hAnsi="宋体"/>
          <w:b/>
          <w:color w:val="auto"/>
          <w:szCs w:val="21"/>
          <w:highlight w:val="none"/>
        </w:rPr>
        <w:t>401400</w:t>
      </w:r>
      <w:r>
        <w:rPr>
          <w:rFonts w:hint="eastAsia" w:ascii="宋体" w:hAnsi="宋体"/>
          <w:b/>
          <w:color w:val="auto"/>
          <w:szCs w:val="21"/>
          <w:highlight w:val="none"/>
          <w:lang w:val="en-US" w:eastAsia="zh-CN"/>
        </w:rPr>
        <w:t>.00），最高限价金额为</w:t>
      </w:r>
      <w:r>
        <w:rPr>
          <w:rFonts w:hint="eastAsia" w:ascii="宋体" w:hAnsi="宋体" w:eastAsia="宋体" w:cs="宋体"/>
          <w:b/>
          <w:color w:val="auto"/>
          <w:sz w:val="21"/>
          <w:szCs w:val="21"/>
          <w:highlight w:val="none"/>
          <w:lang w:val="en-US" w:eastAsia="zh-CN"/>
        </w:rPr>
        <w:t>叁拾玖万叁仟元整（¥393000.00）</w:t>
      </w:r>
      <w:r>
        <w:rPr>
          <w:rFonts w:hint="eastAsia" w:ascii="宋体" w:hAnsi="宋体"/>
          <w:b/>
          <w:color w:val="auto"/>
          <w:szCs w:val="21"/>
          <w:highlight w:val="none"/>
          <w:lang w:val="en-US" w:eastAsia="zh-CN"/>
        </w:rPr>
        <w:t>；分标3采购预算金额为</w:t>
      </w:r>
      <w:r>
        <w:rPr>
          <w:rFonts w:hint="eastAsia" w:ascii="宋体" w:hAnsi="宋体" w:eastAsia="宋体" w:cs="宋体"/>
          <w:b/>
          <w:bCs w:val="0"/>
          <w:color w:val="auto"/>
          <w:sz w:val="21"/>
          <w:szCs w:val="21"/>
          <w:highlight w:val="none"/>
          <w:lang w:val="en-US" w:eastAsia="zh-CN"/>
        </w:rPr>
        <w:t>肆拾玖万元整（¥</w:t>
      </w:r>
      <w:r>
        <w:rPr>
          <w:rFonts w:hint="eastAsia" w:ascii="宋体" w:hAnsi="宋体"/>
          <w:b/>
          <w:bCs w:val="0"/>
          <w:color w:val="auto"/>
          <w:highlight w:val="none"/>
        </w:rPr>
        <w:t>490000</w:t>
      </w:r>
      <w:r>
        <w:rPr>
          <w:rFonts w:hint="eastAsia" w:ascii="宋体" w:hAnsi="宋体"/>
          <w:b/>
          <w:bCs w:val="0"/>
          <w:color w:val="auto"/>
          <w:highlight w:val="none"/>
          <w:lang w:val="en-US" w:eastAsia="zh-CN"/>
        </w:rPr>
        <w:t>.00</w:t>
      </w:r>
      <w:r>
        <w:rPr>
          <w:rFonts w:hint="eastAsia" w:ascii="宋体" w:hAnsi="宋体" w:eastAsia="宋体" w:cs="宋体"/>
          <w:b/>
          <w:bCs w:val="0"/>
          <w:color w:val="auto"/>
          <w:sz w:val="21"/>
          <w:szCs w:val="21"/>
          <w:highlight w:val="none"/>
          <w:lang w:val="en-US" w:eastAsia="zh-CN"/>
        </w:rPr>
        <w:t>）</w:t>
      </w:r>
      <w:r>
        <w:rPr>
          <w:rFonts w:hint="eastAsia" w:ascii="宋体" w:hAnsi="宋体" w:cs="宋体"/>
          <w:b/>
          <w:color w:val="auto"/>
          <w:sz w:val="21"/>
          <w:szCs w:val="21"/>
          <w:highlight w:val="none"/>
          <w:lang w:val="en-US" w:eastAsia="zh-CN"/>
        </w:rPr>
        <w:t>，</w:t>
      </w:r>
      <w:r>
        <w:rPr>
          <w:rFonts w:hint="eastAsia" w:ascii="宋体" w:hAnsi="宋体"/>
          <w:b/>
          <w:color w:val="auto"/>
          <w:szCs w:val="21"/>
          <w:highlight w:val="none"/>
          <w:lang w:val="en-US" w:eastAsia="zh-CN"/>
        </w:rPr>
        <w:t>最高限价金额为肆拾捌万捌仟元整（¥488000.00）；投标人所投分标</w:t>
      </w:r>
      <w:r>
        <w:rPr>
          <w:rFonts w:hint="eastAsia" w:ascii="宋体" w:hAnsi="宋体"/>
          <w:b/>
          <w:color w:val="auto"/>
          <w:szCs w:val="21"/>
          <w:highlight w:val="none"/>
        </w:rPr>
        <w:t>投标报价超过</w:t>
      </w:r>
      <w:r>
        <w:rPr>
          <w:rFonts w:hint="eastAsia" w:ascii="宋体" w:hAnsi="宋体"/>
          <w:b/>
          <w:color w:val="auto"/>
          <w:szCs w:val="21"/>
          <w:highlight w:val="none"/>
          <w:lang w:val="en-US" w:eastAsia="zh-CN"/>
        </w:rPr>
        <w:t>相应分标</w:t>
      </w:r>
      <w:r>
        <w:rPr>
          <w:rFonts w:hint="eastAsia" w:ascii="宋体" w:hAnsi="宋体"/>
          <w:b/>
          <w:color w:val="auto"/>
          <w:szCs w:val="21"/>
          <w:highlight w:val="none"/>
          <w:lang w:eastAsia="zh-CN"/>
        </w:rPr>
        <w:t>最高限价</w:t>
      </w:r>
      <w:r>
        <w:rPr>
          <w:rFonts w:hint="eastAsia" w:ascii="宋体" w:hAnsi="宋体"/>
          <w:b/>
          <w:color w:val="auto"/>
          <w:szCs w:val="21"/>
          <w:highlight w:val="none"/>
        </w:rPr>
        <w:t>金额的，投标文件</w:t>
      </w:r>
      <w:r>
        <w:rPr>
          <w:rFonts w:hint="eastAsia" w:ascii="宋体" w:hAnsi="宋体"/>
          <w:b/>
          <w:color w:val="auto"/>
          <w:szCs w:val="21"/>
          <w:highlight w:val="none"/>
          <w:lang w:eastAsia="zh-CN"/>
        </w:rPr>
        <w:t>按分标</w:t>
      </w:r>
      <w:r>
        <w:rPr>
          <w:rFonts w:hint="eastAsia" w:ascii="宋体" w:hAnsi="宋体"/>
          <w:b/>
          <w:color w:val="auto"/>
          <w:szCs w:val="21"/>
          <w:highlight w:val="none"/>
        </w:rPr>
        <w:t>作无效处理。</w:t>
      </w:r>
    </w:p>
    <w:p w14:paraId="254C63E4">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15.3投标人必须就</w:t>
      </w:r>
      <w:r>
        <w:rPr>
          <w:rFonts w:hint="eastAsia" w:ascii="宋体" w:hAnsi="宋体"/>
          <w:b/>
          <w:color w:val="auto"/>
          <w:szCs w:val="21"/>
          <w:highlight w:val="none"/>
          <w:lang w:val="en-US" w:eastAsia="zh-CN"/>
        </w:rPr>
        <w:t>所投分标</w:t>
      </w:r>
      <w:r>
        <w:rPr>
          <w:rFonts w:hint="eastAsia" w:ascii="宋体" w:hAnsi="宋体"/>
          <w:b/>
          <w:color w:val="auto"/>
          <w:szCs w:val="21"/>
          <w:highlight w:val="none"/>
        </w:rPr>
        <w:t>“采购需求”中所有内容作完整唯一报价，否则，其投标将被拒绝；投标文件只允许有一个报价方案，有选择的或有条件的报价将不予接受。</w:t>
      </w:r>
    </w:p>
    <w:p w14:paraId="35B0D127">
      <w:pPr>
        <w:keepNext w:val="0"/>
        <w:keepLines w:val="0"/>
        <w:pageBreakBefore w:val="0"/>
        <w:kinsoku/>
        <w:wordWrap/>
        <w:overflowPunct/>
        <w:topLinePunct w:val="0"/>
        <w:bidi w:val="0"/>
        <w:adjustRightInd/>
        <w:spacing w:line="360" w:lineRule="exact"/>
        <w:ind w:firstLine="422" w:firstLineChars="200"/>
        <w:textAlignment w:val="auto"/>
        <w:rPr>
          <w:rFonts w:hint="eastAsia" w:ascii="宋体" w:hAnsi="宋体" w:eastAsia="宋体" w:cs="Times New Roman"/>
          <w:b/>
          <w:color w:val="auto"/>
          <w:szCs w:val="21"/>
          <w:highlight w:val="none"/>
          <w:lang w:val="en-US" w:eastAsia="zh-CN"/>
        </w:rPr>
      </w:pPr>
      <w:r>
        <w:rPr>
          <w:rFonts w:hint="eastAsia" w:ascii="宋体" w:hAnsi="宋体"/>
          <w:b/>
          <w:color w:val="auto"/>
          <w:szCs w:val="21"/>
          <w:highlight w:val="none"/>
        </w:rPr>
        <w:t>15.4投</w:t>
      </w:r>
      <w:r>
        <w:rPr>
          <w:rFonts w:hint="eastAsia" w:ascii="宋体" w:hAnsi="宋体" w:eastAsia="宋体" w:cs="Times New Roman"/>
          <w:b/>
          <w:color w:val="auto"/>
          <w:szCs w:val="21"/>
          <w:highlight w:val="none"/>
        </w:rPr>
        <w:t>标报价：</w:t>
      </w:r>
      <w:r>
        <w:rPr>
          <w:rFonts w:hint="eastAsia" w:ascii="宋体" w:hAnsi="宋体" w:eastAsia="宋体" w:cs="Times New Roman"/>
          <w:b/>
          <w:color w:val="auto"/>
          <w:szCs w:val="21"/>
          <w:highlight w:val="none"/>
          <w:lang w:val="en-US" w:eastAsia="zh-CN"/>
        </w:rPr>
        <w:t>投标报价包括招标范围内货物货款、货物标准附件、备品备件、专用工具、包装、运输、装卸、保险、税金、货到就位以及安装、调试、培训、保修等一切费用。</w:t>
      </w:r>
    </w:p>
    <w:p w14:paraId="5467D787">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16. 投标有效期：投标截止时间之日起9</w:t>
      </w:r>
      <w:r>
        <w:rPr>
          <w:rFonts w:ascii="宋体" w:hAnsi="宋体"/>
          <w:b/>
          <w:color w:val="auto"/>
          <w:szCs w:val="21"/>
          <w:highlight w:val="none"/>
        </w:rPr>
        <w:t>0</w:t>
      </w:r>
      <w:r>
        <w:rPr>
          <w:rFonts w:hint="eastAsia" w:ascii="宋体" w:hAnsi="宋体"/>
          <w:b/>
          <w:color w:val="auto"/>
          <w:szCs w:val="21"/>
          <w:highlight w:val="none"/>
        </w:rPr>
        <w:t>天</w:t>
      </w:r>
      <w:r>
        <w:rPr>
          <w:rFonts w:ascii="宋体" w:hAnsi="宋体"/>
          <w:b/>
          <w:color w:val="auto"/>
          <w:szCs w:val="21"/>
          <w:highlight w:val="none"/>
        </w:rPr>
        <w:t>。</w:t>
      </w:r>
    </w:p>
    <w:p w14:paraId="7A5B6EB3">
      <w:pPr>
        <w:keepNext w:val="0"/>
        <w:keepLines w:val="0"/>
        <w:pageBreakBefore w:val="0"/>
        <w:kinsoku/>
        <w:wordWrap/>
        <w:overflowPunct/>
        <w:topLinePunct w:val="0"/>
        <w:bidi w:val="0"/>
        <w:adjustRightInd/>
        <w:spacing w:line="360" w:lineRule="exact"/>
        <w:ind w:firstLine="413" w:firstLineChars="196"/>
        <w:textAlignment w:val="auto"/>
        <w:outlineLvl w:val="2"/>
        <w:rPr>
          <w:rFonts w:ascii="宋体" w:hAnsi="宋体" w:cs="宋体"/>
          <w:b/>
          <w:color w:val="auto"/>
          <w:szCs w:val="21"/>
          <w:highlight w:val="none"/>
        </w:rPr>
      </w:pPr>
      <w:r>
        <w:rPr>
          <w:rFonts w:hint="eastAsia" w:ascii="宋体" w:hAnsi="宋体"/>
          <w:b/>
          <w:color w:val="auto"/>
          <w:szCs w:val="21"/>
          <w:highlight w:val="none"/>
        </w:rPr>
        <w:t>17.</w:t>
      </w:r>
      <w:r>
        <w:rPr>
          <w:rFonts w:hint="eastAsia" w:ascii="宋体" w:hAnsi="宋体" w:cs="宋体"/>
          <w:b/>
          <w:color w:val="auto"/>
          <w:szCs w:val="21"/>
          <w:highlight w:val="none"/>
        </w:rPr>
        <w:t xml:space="preserve"> 投标保证金</w:t>
      </w:r>
    </w:p>
    <w:p w14:paraId="7A613595">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本项目无需缴纳投标保证金。</w:t>
      </w:r>
    </w:p>
    <w:p w14:paraId="64159C6D">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cs="宋体"/>
          <w:b/>
          <w:color w:val="auto"/>
          <w:kern w:val="0"/>
          <w:szCs w:val="21"/>
          <w:highlight w:val="none"/>
        </w:rPr>
      </w:pPr>
      <w:r>
        <w:rPr>
          <w:rFonts w:hint="eastAsia" w:ascii="宋体" w:hAnsi="宋体" w:cs="宋体"/>
          <w:b/>
          <w:color w:val="auto"/>
          <w:kern w:val="0"/>
          <w:szCs w:val="21"/>
          <w:highlight w:val="none"/>
        </w:rPr>
        <w:t>18.电子投标文件的制作、加密要求</w:t>
      </w:r>
    </w:p>
    <w:p w14:paraId="6CD839EA">
      <w:pPr>
        <w:keepNext w:val="0"/>
        <w:keepLines w:val="0"/>
        <w:pageBreakBefore w:val="0"/>
        <w:kinsoku/>
        <w:wordWrap/>
        <w:overflowPunct/>
        <w:topLinePunct w:val="0"/>
        <w:bidi w:val="0"/>
        <w:adjustRightInd/>
        <w:snapToGrid w:val="0"/>
        <w:spacing w:line="360" w:lineRule="exact"/>
        <w:ind w:firstLine="420" w:firstLineChars="200"/>
        <w:jc w:val="left"/>
        <w:textAlignment w:val="auto"/>
        <w:rPr>
          <w:rFonts w:ascii="宋体" w:hAnsi="宋体" w:cs="宋体"/>
          <w:bCs/>
          <w:color w:val="auto"/>
          <w:szCs w:val="21"/>
          <w:highlight w:val="none"/>
        </w:rPr>
      </w:pPr>
      <w:r>
        <w:rPr>
          <w:rFonts w:hint="eastAsia" w:ascii="宋体" w:hAnsi="宋体" w:cs="宋体"/>
          <w:color w:val="auto"/>
          <w:highlight w:val="none"/>
        </w:rPr>
        <w:t>18.1投标人制作电子投标文件前，</w:t>
      </w:r>
      <w:r>
        <w:rPr>
          <w:rFonts w:hint="eastAsia" w:ascii="宋体" w:hAnsi="宋体" w:cs="宋体"/>
          <w:bCs/>
          <w:color w:val="auto"/>
          <w:szCs w:val="21"/>
          <w:highlight w:val="none"/>
        </w:rPr>
        <w:t>应登录广西政府采购云平台进行“申请获取采购文件”操作，否则，有可能导致无法在线编制投标文件并参与投标，其不利后果由投标人自行承担。</w:t>
      </w:r>
    </w:p>
    <w:p w14:paraId="189ABC4C">
      <w:pPr>
        <w:keepNext w:val="0"/>
        <w:keepLines w:val="0"/>
        <w:pageBreakBefore w:val="0"/>
        <w:kinsoku/>
        <w:wordWrap/>
        <w:overflowPunct/>
        <w:topLinePunct w:val="0"/>
        <w:bidi w:val="0"/>
        <w:adjustRightInd/>
        <w:snapToGrid w:val="0"/>
        <w:spacing w:line="360" w:lineRule="exact"/>
        <w:ind w:firstLine="420" w:firstLineChars="200"/>
        <w:jc w:val="left"/>
        <w:textAlignment w:val="auto"/>
        <w:rPr>
          <w:rFonts w:ascii="宋体" w:hAnsi="宋体" w:cs="宋体"/>
          <w:bCs/>
          <w:color w:val="auto"/>
          <w:szCs w:val="21"/>
          <w:highlight w:val="none"/>
        </w:rPr>
      </w:pPr>
      <w:r>
        <w:rPr>
          <w:rFonts w:hint="eastAsia" w:ascii="宋体" w:hAnsi="宋体" w:cs="宋体"/>
          <w:bCs/>
          <w:color w:val="auto"/>
          <w:szCs w:val="21"/>
          <w:highlight w:val="none"/>
        </w:rPr>
        <w:t>18.2投标人下载或获取招标文件后，登录“电子投标客户端”，按照本招标文件规定的投标文件格式、顺序以及广西政府采购云平台的要求，通过“电子投标客户端”编制电子投标文件。</w:t>
      </w:r>
    </w:p>
    <w:p w14:paraId="591695AD">
      <w:pPr>
        <w:keepNext w:val="0"/>
        <w:keepLines w:val="0"/>
        <w:pageBreakBefore w:val="0"/>
        <w:kinsoku/>
        <w:wordWrap/>
        <w:overflowPunct/>
        <w:topLinePunct w:val="0"/>
        <w:bidi w:val="0"/>
        <w:adjustRightInd/>
        <w:snapToGrid w:val="0"/>
        <w:spacing w:line="360" w:lineRule="exact"/>
        <w:ind w:firstLine="420" w:firstLineChars="200"/>
        <w:jc w:val="left"/>
        <w:textAlignment w:val="auto"/>
        <w:rPr>
          <w:rFonts w:ascii="宋体" w:hAnsi="宋体" w:cs="宋体"/>
          <w:color w:val="auto"/>
          <w:highlight w:val="none"/>
        </w:rPr>
      </w:pPr>
      <w:r>
        <w:rPr>
          <w:rFonts w:hint="eastAsia" w:ascii="宋体" w:hAnsi="宋体" w:cs="宋体"/>
          <w:bCs/>
          <w:color w:val="auto"/>
          <w:szCs w:val="21"/>
          <w:highlight w:val="none"/>
        </w:rPr>
        <w:t>18.3投标人应按</w:t>
      </w:r>
      <w:r>
        <w:rPr>
          <w:rFonts w:ascii="宋体" w:hAnsi="宋体" w:cs="宋体"/>
          <w:bCs/>
          <w:color w:val="auto"/>
          <w:szCs w:val="21"/>
          <w:highlight w:val="none"/>
        </w:rPr>
        <w:t>“</w:t>
      </w:r>
      <w:r>
        <w:rPr>
          <w:rFonts w:hint="eastAsia" w:ascii="宋体" w:hAnsi="宋体" w:cs="宋体"/>
          <w:bCs/>
          <w:color w:val="auto"/>
          <w:szCs w:val="21"/>
          <w:highlight w:val="none"/>
        </w:rPr>
        <w:t>电子投标客户端</w:t>
      </w:r>
      <w:r>
        <w:rPr>
          <w:rFonts w:ascii="宋体" w:hAnsi="宋体" w:cs="宋体"/>
          <w:bCs/>
          <w:color w:val="auto"/>
          <w:szCs w:val="21"/>
          <w:highlight w:val="none"/>
        </w:rPr>
        <w:t>”</w:t>
      </w:r>
      <w:r>
        <w:rPr>
          <w:rFonts w:hint="eastAsia"/>
          <w:color w:val="auto"/>
          <w:highlight w:val="none"/>
        </w:rPr>
        <w:t>载明的</w:t>
      </w:r>
      <w:r>
        <w:rPr>
          <w:color w:val="auto"/>
          <w:highlight w:val="none"/>
        </w:rPr>
        <w:t>“</w:t>
      </w:r>
      <w:r>
        <w:rPr>
          <w:rFonts w:hint="eastAsia"/>
          <w:color w:val="auto"/>
          <w:highlight w:val="none"/>
        </w:rPr>
        <w:t>标书关联</w:t>
      </w:r>
      <w:r>
        <w:rPr>
          <w:color w:val="auto"/>
          <w:highlight w:val="none"/>
        </w:rPr>
        <w:t>”</w:t>
      </w:r>
      <w:r>
        <w:rPr>
          <w:rFonts w:hint="eastAsia"/>
          <w:color w:val="auto"/>
          <w:highlight w:val="none"/>
        </w:rPr>
        <w:t>功能进行电子投标文件相应内容的关联定位，以便评标委员会在评审时点击相应评审项可直接定位到该评审内容；如投标人的电子投标文件未能关联定位相应内容，或者关联定位的内容与该评审项不符，导致评标委员会无法查询并做出对投标人不利的评审，相关后果由投标人自行承担</w:t>
      </w:r>
      <w:r>
        <w:rPr>
          <w:rFonts w:hint="eastAsia" w:ascii="宋体" w:hAnsi="宋体" w:cs="宋体"/>
          <w:color w:val="auto"/>
          <w:highlight w:val="none"/>
        </w:rPr>
        <w:t>。</w:t>
      </w:r>
    </w:p>
    <w:p w14:paraId="3B614565">
      <w:pPr>
        <w:keepNext w:val="0"/>
        <w:keepLines w:val="0"/>
        <w:pageBreakBefore w:val="0"/>
        <w:kinsoku/>
        <w:wordWrap/>
        <w:overflowPunct/>
        <w:topLinePunct w:val="0"/>
        <w:bidi w:val="0"/>
        <w:adjustRightInd/>
        <w:snapToGrid w:val="0"/>
        <w:spacing w:line="360" w:lineRule="exact"/>
        <w:ind w:firstLine="422" w:firstLineChars="200"/>
        <w:jc w:val="left"/>
        <w:textAlignment w:val="auto"/>
        <w:rPr>
          <w:rFonts w:ascii="宋体" w:hAnsi="宋体" w:cs="宋体"/>
          <w:b/>
          <w:color w:val="auto"/>
          <w:highlight w:val="none"/>
        </w:rPr>
      </w:pPr>
      <w:r>
        <w:rPr>
          <w:rFonts w:hint="eastAsia" w:ascii="宋体" w:hAnsi="宋体" w:cs="宋体"/>
          <w:b/>
          <w:color w:val="auto"/>
          <w:highlight w:val="none"/>
        </w:rPr>
        <w:t>18.4电子投标文件不得涂改，若有修改错漏处，须由法定代表人或授权委托代理人签字（或者电子签名）。电子投标文件按本须知载明的投标文件组成及要求进行编排，因投标文件字迹潦草、表达不清、内容不完整或投标文件相应内容未按要求编排、编排混乱导致投标文件被误读、漏读，或者在招标文件规定的部位查找不到相关内容，导致做出对投标人不利的资格审查或评审结果，其不利后果由投标人自行承担。</w:t>
      </w:r>
    </w:p>
    <w:p w14:paraId="2105773E">
      <w:pPr>
        <w:keepNext w:val="0"/>
        <w:keepLines w:val="0"/>
        <w:pageBreakBefore w:val="0"/>
        <w:kinsoku/>
        <w:wordWrap/>
        <w:overflowPunct/>
        <w:topLinePunct w:val="0"/>
        <w:bidi w:val="0"/>
        <w:adjustRightInd/>
        <w:snapToGrid w:val="0"/>
        <w:spacing w:line="360" w:lineRule="exact"/>
        <w:ind w:firstLine="420" w:firstLineChars="200"/>
        <w:jc w:val="left"/>
        <w:textAlignment w:val="auto"/>
        <w:rPr>
          <w:rFonts w:ascii="宋体" w:hAnsi="宋体" w:cs="宋体"/>
          <w:color w:val="auto"/>
          <w:highlight w:val="none"/>
        </w:rPr>
      </w:pPr>
      <w:r>
        <w:rPr>
          <w:rFonts w:hint="eastAsia" w:ascii="宋体" w:hAnsi="宋体" w:cs="宋体"/>
          <w:color w:val="auto"/>
          <w:highlight w:val="none"/>
        </w:rPr>
        <w:t>18.5投标人编制、生成电子投标文件后应当加密投标文件。投标人未按规定编制并加密的投标文件，</w:t>
      </w:r>
      <w:r>
        <w:rPr>
          <w:rFonts w:hint="eastAsia" w:ascii="宋体" w:hAnsi="宋体" w:cs="宋体"/>
          <w:b/>
          <w:color w:val="auto"/>
          <w:highlight w:val="none"/>
        </w:rPr>
        <w:t>广西政府采购云平台将予以拒收</w:t>
      </w:r>
      <w:r>
        <w:rPr>
          <w:rFonts w:hint="eastAsia" w:ascii="宋体" w:hAnsi="宋体" w:cs="宋体"/>
          <w:color w:val="auto"/>
          <w:highlight w:val="none"/>
        </w:rPr>
        <w:t>。</w:t>
      </w:r>
    </w:p>
    <w:p w14:paraId="390B1B3A">
      <w:pPr>
        <w:keepNext w:val="0"/>
        <w:keepLines w:val="0"/>
        <w:pageBreakBefore w:val="0"/>
        <w:kinsoku/>
        <w:wordWrap/>
        <w:overflowPunct/>
        <w:topLinePunct w:val="0"/>
        <w:bidi w:val="0"/>
        <w:adjustRightInd/>
        <w:snapToGrid w:val="0"/>
        <w:spacing w:line="360" w:lineRule="exact"/>
        <w:ind w:firstLine="422" w:firstLineChars="200"/>
        <w:jc w:val="left"/>
        <w:textAlignment w:val="auto"/>
        <w:rPr>
          <w:rFonts w:ascii="宋体" w:hAnsi="宋体" w:cs="宋体"/>
          <w:b/>
          <w:color w:val="auto"/>
          <w:highlight w:val="none"/>
        </w:rPr>
      </w:pPr>
      <w:r>
        <w:rPr>
          <w:rFonts w:hint="eastAsia" w:ascii="宋体" w:hAnsi="宋体" w:cs="宋体"/>
          <w:b/>
          <w:color w:val="auto"/>
          <w:highlight w:val="none"/>
        </w:rPr>
        <w:t>18.6投标人公章、签字、电子签章、电子签名</w:t>
      </w:r>
    </w:p>
    <w:p w14:paraId="28F01D2C">
      <w:pPr>
        <w:keepNext w:val="0"/>
        <w:keepLines w:val="0"/>
        <w:pageBreakBefore w:val="0"/>
        <w:kinsoku/>
        <w:wordWrap/>
        <w:overflowPunct/>
        <w:topLinePunct w:val="0"/>
        <w:bidi w:val="0"/>
        <w:adjustRightInd/>
        <w:snapToGrid w:val="0"/>
        <w:spacing w:line="360" w:lineRule="exact"/>
        <w:ind w:firstLine="420" w:firstLineChars="200"/>
        <w:jc w:val="left"/>
        <w:textAlignment w:val="auto"/>
        <w:rPr>
          <w:rFonts w:ascii="宋体" w:hAnsi="宋体" w:cs="宋体"/>
          <w:color w:val="auto"/>
          <w:highlight w:val="none"/>
        </w:rPr>
      </w:pPr>
      <w:r>
        <w:rPr>
          <w:rFonts w:hint="eastAsia" w:ascii="宋体" w:hAnsi="宋体" w:cs="宋体"/>
          <w:color w:val="auto"/>
          <w:highlight w:val="none"/>
        </w:rPr>
        <w:t>18.6.1本招标文件中描述投标人的“公章”是指根据我国对公章的管理规定</w:t>
      </w:r>
      <w:r>
        <w:rPr>
          <w:rFonts w:hint="eastAsia" w:ascii="宋体" w:hAnsi="宋体" w:cs="宋体"/>
          <w:color w:val="auto"/>
          <w:highlight w:val="none"/>
          <w:lang w:eastAsia="zh-CN"/>
        </w:rPr>
        <w:t>，使</w:t>
      </w:r>
      <w:r>
        <w:rPr>
          <w:rFonts w:hint="eastAsia" w:ascii="宋体" w:hAnsi="宋体" w:cs="宋体"/>
          <w:color w:val="auto"/>
          <w:highlight w:val="none"/>
        </w:rPr>
        <w:t>用投标人法定主体行为名称制作的印章，除本招标文件有特殊规定外，投标人的其他形式印章均不能代替公章。</w:t>
      </w:r>
    </w:p>
    <w:p w14:paraId="1406C935">
      <w:pPr>
        <w:keepNext w:val="0"/>
        <w:keepLines w:val="0"/>
        <w:pageBreakBefore w:val="0"/>
        <w:kinsoku/>
        <w:wordWrap/>
        <w:overflowPunct/>
        <w:topLinePunct w:val="0"/>
        <w:bidi w:val="0"/>
        <w:adjustRightInd/>
        <w:snapToGrid w:val="0"/>
        <w:spacing w:line="360" w:lineRule="exact"/>
        <w:ind w:firstLine="420" w:firstLineChars="200"/>
        <w:jc w:val="left"/>
        <w:textAlignment w:val="auto"/>
        <w:rPr>
          <w:rFonts w:ascii="宋体" w:hAnsi="宋体" w:cs="宋体"/>
          <w:color w:val="auto"/>
          <w:highlight w:val="none"/>
        </w:rPr>
      </w:pPr>
      <w:r>
        <w:rPr>
          <w:rFonts w:hint="eastAsia" w:ascii="宋体" w:hAnsi="宋体" w:cs="宋体"/>
          <w:color w:val="auto"/>
          <w:highlight w:val="none"/>
        </w:rPr>
        <w:t>18.6.2本招标文件中描述投标人的“签字”是指投标人的法定代表人或者委托代理人亲自在文件规定签字处亲笔写上个人的名字的行为，私章、签字章、印鉴、影印等其他形式均不能代替亲笔签字。</w:t>
      </w:r>
    </w:p>
    <w:p w14:paraId="187E3FB3">
      <w:pPr>
        <w:keepNext w:val="0"/>
        <w:keepLines w:val="0"/>
        <w:pageBreakBefore w:val="0"/>
        <w:kinsoku/>
        <w:wordWrap/>
        <w:overflowPunct/>
        <w:topLinePunct w:val="0"/>
        <w:bidi w:val="0"/>
        <w:adjustRightInd/>
        <w:snapToGrid w:val="0"/>
        <w:spacing w:line="360" w:lineRule="exact"/>
        <w:ind w:firstLine="420" w:firstLineChars="200"/>
        <w:jc w:val="left"/>
        <w:textAlignment w:val="auto"/>
        <w:rPr>
          <w:rFonts w:ascii="宋体" w:hAnsi="宋体" w:cs="宋体"/>
          <w:color w:val="auto"/>
          <w:highlight w:val="none"/>
        </w:rPr>
      </w:pPr>
      <w:r>
        <w:rPr>
          <w:rFonts w:hint="eastAsia" w:ascii="宋体" w:hAnsi="宋体" w:cs="宋体"/>
          <w:color w:val="auto"/>
          <w:highlight w:val="none"/>
        </w:rPr>
        <w:t>18.6.3本招标文件所称的“电子签章</w:t>
      </w:r>
      <w:r>
        <w:rPr>
          <w:rFonts w:hint="eastAsia" w:ascii="宋体" w:hAnsi="宋体" w:cs="宋体"/>
          <w:color w:val="auto"/>
          <w:highlight w:val="none"/>
          <w:lang w:eastAsia="zh-CN"/>
        </w:rPr>
        <w:t>”“</w:t>
      </w:r>
      <w:r>
        <w:rPr>
          <w:rFonts w:hint="eastAsia" w:ascii="宋体" w:hAnsi="宋体" w:cs="宋体"/>
          <w:color w:val="auto"/>
          <w:highlight w:val="none"/>
        </w:rPr>
        <w:t>电子签名”，是指经</w:t>
      </w:r>
      <w:r>
        <w:rPr>
          <w:rFonts w:hint="eastAsia" w:ascii="宋体" w:hAnsi="宋体" w:cs="宋体"/>
          <w:bCs/>
          <w:color w:val="auto"/>
          <w:szCs w:val="21"/>
          <w:highlight w:val="none"/>
        </w:rPr>
        <w:t>广西政府采购云平台</w:t>
      </w:r>
      <w:r>
        <w:rPr>
          <w:rFonts w:hint="eastAsia" w:ascii="宋体" w:hAnsi="宋体" w:cs="宋体"/>
          <w:color w:val="auto"/>
          <w:highlight w:val="none"/>
        </w:rPr>
        <w:t>认可的CA认证的电子签名数据为表现形式的印章，可用于签署电子投标文件，电子签章、电子签名与实物印章、手写签名具有同等法律效力，不因其采用电子化表现形式而否定其法律效力。</w:t>
      </w:r>
    </w:p>
    <w:p w14:paraId="1F48B9DF">
      <w:pPr>
        <w:keepNext w:val="0"/>
        <w:keepLines w:val="0"/>
        <w:pageBreakBefore w:val="0"/>
        <w:kinsoku/>
        <w:wordWrap/>
        <w:overflowPunct/>
        <w:topLinePunct w:val="0"/>
        <w:bidi w:val="0"/>
        <w:adjustRightInd/>
        <w:snapToGrid w:val="0"/>
        <w:spacing w:line="360" w:lineRule="exact"/>
        <w:ind w:firstLine="422" w:firstLineChars="200"/>
        <w:jc w:val="left"/>
        <w:textAlignment w:val="auto"/>
        <w:rPr>
          <w:rFonts w:ascii="宋体" w:hAnsi="宋体" w:cs="宋体"/>
          <w:b/>
          <w:color w:val="auto"/>
          <w:highlight w:val="none"/>
        </w:rPr>
      </w:pPr>
      <w:r>
        <w:rPr>
          <w:rFonts w:hint="eastAsia" w:ascii="宋体" w:hAnsi="宋体" w:cs="宋体"/>
          <w:b/>
          <w:color w:val="auto"/>
          <w:highlight w:val="none"/>
        </w:rPr>
        <w:t>19. 投标文件的递交</w:t>
      </w:r>
    </w:p>
    <w:p w14:paraId="70719EBE">
      <w:pPr>
        <w:keepNext w:val="0"/>
        <w:keepLines w:val="0"/>
        <w:pageBreakBefore w:val="0"/>
        <w:tabs>
          <w:tab w:val="left" w:pos="7200"/>
        </w:tabs>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19.1投标文件递交要求：</w:t>
      </w:r>
    </w:p>
    <w:p w14:paraId="681867DC">
      <w:pPr>
        <w:keepNext w:val="0"/>
        <w:keepLines w:val="0"/>
        <w:pageBreakBefore w:val="0"/>
        <w:tabs>
          <w:tab w:val="left" w:pos="7200"/>
        </w:tabs>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投标截止时间：</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10</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日</w:t>
      </w:r>
      <w:r>
        <w:rPr>
          <w:rFonts w:hint="eastAsia" w:ascii="宋体" w:hAnsi="宋体"/>
          <w:color w:val="auto"/>
          <w:szCs w:val="21"/>
          <w:highlight w:val="none"/>
        </w:rPr>
        <w:t>上午9时30分（北京时间）。</w:t>
      </w:r>
    </w:p>
    <w:p w14:paraId="699286AB">
      <w:pPr>
        <w:keepNext w:val="0"/>
        <w:keepLines w:val="0"/>
        <w:pageBreakBefore w:val="0"/>
        <w:tabs>
          <w:tab w:val="left" w:pos="7200"/>
        </w:tabs>
        <w:kinsoku/>
        <w:wordWrap/>
        <w:overflowPunct/>
        <w:topLinePunct w:val="0"/>
        <w:bidi w:val="0"/>
        <w:adjustRightInd/>
        <w:spacing w:line="360" w:lineRule="exact"/>
        <w:ind w:firstLine="420" w:firstLineChars="200"/>
        <w:textAlignment w:val="auto"/>
        <w:rPr>
          <w:rFonts w:ascii="宋体" w:hAnsi="宋体"/>
          <w:color w:val="auto"/>
          <w:highlight w:val="none"/>
        </w:rPr>
      </w:pPr>
      <w:r>
        <w:rPr>
          <w:rFonts w:hint="eastAsia" w:ascii="宋体" w:hAnsi="宋体"/>
          <w:color w:val="auto"/>
          <w:szCs w:val="21"/>
          <w:highlight w:val="none"/>
        </w:rPr>
        <w:t>投标文件递交地点：</w:t>
      </w:r>
      <w:r>
        <w:rPr>
          <w:rFonts w:hint="eastAsia" w:ascii="宋体" w:hAnsi="宋体" w:cs="宋体"/>
          <w:color w:val="auto"/>
          <w:szCs w:val="21"/>
          <w:highlight w:val="none"/>
        </w:rPr>
        <w:t>通过</w:t>
      </w:r>
      <w:r>
        <w:rPr>
          <w:rFonts w:hint="eastAsia" w:ascii="宋体" w:hAnsi="宋体" w:cs="宋体"/>
          <w:bCs/>
          <w:color w:val="auto"/>
          <w:szCs w:val="21"/>
          <w:highlight w:val="none"/>
        </w:rPr>
        <w:t>广西政府采购云平台</w:t>
      </w:r>
      <w:r>
        <w:rPr>
          <w:rFonts w:hint="eastAsia" w:ascii="宋体" w:hAnsi="宋体" w:cs="宋体"/>
          <w:color w:val="auto"/>
          <w:szCs w:val="21"/>
          <w:highlight w:val="none"/>
        </w:rPr>
        <w:t>在线提交</w:t>
      </w:r>
      <w:r>
        <w:rPr>
          <w:rFonts w:hint="eastAsia" w:ascii="宋体" w:hAnsi="宋体"/>
          <w:color w:val="auto"/>
          <w:highlight w:val="none"/>
        </w:rPr>
        <w:t>，逾期递交的投标文件将予以拒收。投标文件递交成功后，投标人必须在</w:t>
      </w:r>
      <w:r>
        <w:rPr>
          <w:rFonts w:hint="eastAsia" w:ascii="宋体" w:hAnsi="宋体" w:cs="宋体"/>
          <w:bCs/>
          <w:color w:val="auto"/>
          <w:szCs w:val="21"/>
          <w:highlight w:val="none"/>
        </w:rPr>
        <w:t>广西政府采购云平台</w:t>
      </w:r>
      <w:r>
        <w:rPr>
          <w:rFonts w:hint="eastAsia" w:ascii="宋体" w:hAnsi="宋体" w:cs="宋体"/>
          <w:color w:val="auto"/>
          <w:szCs w:val="21"/>
          <w:highlight w:val="none"/>
        </w:rPr>
        <w:t>自行下载投标回执。</w:t>
      </w:r>
    </w:p>
    <w:p w14:paraId="1EEA0C18">
      <w:pPr>
        <w:keepNext w:val="0"/>
        <w:keepLines w:val="0"/>
        <w:pageBreakBefore w:val="0"/>
        <w:kinsoku/>
        <w:wordWrap/>
        <w:overflowPunct/>
        <w:topLinePunct w:val="0"/>
        <w:bidi w:val="0"/>
        <w:adjustRightInd/>
        <w:spacing w:line="360" w:lineRule="exact"/>
        <w:ind w:firstLine="435"/>
        <w:textAlignment w:val="auto"/>
        <w:rPr>
          <w:rFonts w:ascii="宋体" w:hAnsi="宋体"/>
          <w:color w:val="auto"/>
          <w:szCs w:val="21"/>
          <w:highlight w:val="none"/>
        </w:rPr>
      </w:pPr>
      <w:r>
        <w:rPr>
          <w:rFonts w:hint="eastAsia" w:ascii="宋体" w:hAnsi="宋体"/>
          <w:color w:val="auto"/>
          <w:szCs w:val="21"/>
          <w:highlight w:val="none"/>
        </w:rPr>
        <w:t>19.2除招标文件另有规定外，投标人所递交的投标文件不予退还。</w:t>
      </w:r>
    </w:p>
    <w:p w14:paraId="3D778EB6">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20. 投标文件的补充、修改和撤回</w:t>
      </w:r>
    </w:p>
    <w:p w14:paraId="7A1298B4">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投标人在投标截止时间前，可以通过</w:t>
      </w:r>
      <w:r>
        <w:rPr>
          <w:rFonts w:hint="eastAsia" w:ascii="宋体" w:hAnsi="宋体" w:cs="宋体"/>
          <w:bCs/>
          <w:color w:val="auto"/>
          <w:szCs w:val="21"/>
          <w:highlight w:val="none"/>
        </w:rPr>
        <w:t>广西政府采购云平台</w:t>
      </w:r>
      <w:r>
        <w:rPr>
          <w:rFonts w:hint="eastAsia" w:ascii="宋体" w:hAnsi="宋体"/>
          <w:color w:val="auto"/>
          <w:szCs w:val="21"/>
          <w:highlight w:val="none"/>
        </w:rPr>
        <w:t>在线对所递交的投标文件进行补充、修改或者撤回，并书面通知采购代理机构。补充、修改电子投标文件的，应当先行撤回原文件，补充、修改的内容按照招标文件要求签署、盖章后重新传输提交至</w:t>
      </w:r>
      <w:r>
        <w:rPr>
          <w:rFonts w:hint="eastAsia" w:ascii="宋体" w:hAnsi="宋体" w:cs="宋体"/>
          <w:bCs/>
          <w:color w:val="auto"/>
          <w:szCs w:val="21"/>
          <w:highlight w:val="none"/>
        </w:rPr>
        <w:t>广西政府采购云平台</w:t>
      </w:r>
      <w:r>
        <w:rPr>
          <w:rFonts w:hint="eastAsia" w:ascii="宋体" w:hAnsi="宋体"/>
          <w:color w:val="auto"/>
          <w:szCs w:val="21"/>
          <w:highlight w:val="none"/>
        </w:rPr>
        <w:t>，作为投标文件的组成部分。在投标文件递交截止时间后的投标文件有效期内，投标人不得撤回其投标文件。</w:t>
      </w:r>
    </w:p>
    <w:p w14:paraId="3A9A9F2F">
      <w:pPr>
        <w:pStyle w:val="31"/>
        <w:keepNext w:val="0"/>
        <w:keepLines w:val="0"/>
        <w:pageBreakBefore w:val="0"/>
        <w:kinsoku/>
        <w:wordWrap/>
        <w:overflowPunct/>
        <w:topLinePunct w:val="0"/>
        <w:bidi w:val="0"/>
        <w:adjustRightInd/>
        <w:spacing w:line="360" w:lineRule="exact"/>
        <w:textAlignment w:val="auto"/>
        <w:rPr>
          <w:color w:val="auto"/>
          <w:highlight w:val="none"/>
        </w:rPr>
      </w:pPr>
    </w:p>
    <w:p w14:paraId="16054955">
      <w:pPr>
        <w:keepNext w:val="0"/>
        <w:keepLines w:val="0"/>
        <w:pageBreakBefore w:val="0"/>
        <w:kinsoku/>
        <w:wordWrap/>
        <w:overflowPunct/>
        <w:topLinePunct w:val="0"/>
        <w:bidi w:val="0"/>
        <w:adjustRightInd/>
        <w:spacing w:line="360" w:lineRule="exact"/>
        <w:ind w:firstLine="435"/>
        <w:jc w:val="center"/>
        <w:textAlignment w:val="auto"/>
        <w:rPr>
          <w:rFonts w:ascii="宋体" w:hAnsi="宋体"/>
          <w:b/>
          <w:color w:val="auto"/>
          <w:sz w:val="28"/>
          <w:szCs w:val="28"/>
          <w:highlight w:val="none"/>
        </w:rPr>
      </w:pPr>
    </w:p>
    <w:p w14:paraId="75124C89">
      <w:pPr>
        <w:keepNext w:val="0"/>
        <w:keepLines w:val="0"/>
        <w:pageBreakBefore w:val="0"/>
        <w:kinsoku/>
        <w:wordWrap/>
        <w:overflowPunct/>
        <w:topLinePunct w:val="0"/>
        <w:bidi w:val="0"/>
        <w:adjustRightInd/>
        <w:spacing w:line="360" w:lineRule="exact"/>
        <w:ind w:firstLine="435"/>
        <w:jc w:val="center"/>
        <w:textAlignment w:val="auto"/>
        <w:rPr>
          <w:rFonts w:ascii="宋体" w:hAnsi="宋体"/>
          <w:b/>
          <w:color w:val="auto"/>
          <w:sz w:val="28"/>
          <w:szCs w:val="28"/>
          <w:highlight w:val="none"/>
        </w:rPr>
      </w:pPr>
      <w:r>
        <w:rPr>
          <w:rFonts w:hint="eastAsia" w:ascii="宋体" w:hAnsi="宋体"/>
          <w:b/>
          <w:color w:val="auto"/>
          <w:sz w:val="28"/>
          <w:szCs w:val="28"/>
          <w:highlight w:val="none"/>
        </w:rPr>
        <w:t>四、开标</w:t>
      </w:r>
    </w:p>
    <w:p w14:paraId="7164BB87">
      <w:pPr>
        <w:keepNext w:val="0"/>
        <w:keepLines w:val="0"/>
        <w:pageBreakBefore w:val="0"/>
        <w:kinsoku/>
        <w:wordWrap/>
        <w:overflowPunct/>
        <w:topLinePunct w:val="0"/>
        <w:bidi w:val="0"/>
        <w:adjustRightInd/>
        <w:spacing w:line="360" w:lineRule="exact"/>
        <w:ind w:firstLine="435"/>
        <w:textAlignment w:val="auto"/>
        <w:rPr>
          <w:rFonts w:ascii="宋体" w:hAnsi="宋体"/>
          <w:b/>
          <w:color w:val="auto"/>
          <w:highlight w:val="none"/>
        </w:rPr>
      </w:pPr>
      <w:r>
        <w:rPr>
          <w:rFonts w:hint="eastAsia" w:ascii="宋体" w:hAnsi="宋体"/>
          <w:b/>
          <w:color w:val="auto"/>
          <w:highlight w:val="none"/>
        </w:rPr>
        <w:t>21. 开标时间及地点</w:t>
      </w:r>
    </w:p>
    <w:p w14:paraId="5AF526FF">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21.1开标时间及地点：</w:t>
      </w:r>
    </w:p>
    <w:p w14:paraId="3E4E8837">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开标时间：</w:t>
      </w:r>
      <w:r>
        <w:rPr>
          <w:rFonts w:hint="eastAsia" w:ascii="宋体" w:hAnsi="宋体"/>
          <w:color w:val="auto"/>
          <w:szCs w:val="21"/>
          <w:highlight w:val="none"/>
          <w:lang w:eastAsia="zh-CN"/>
        </w:rPr>
        <w:t>2026年</w:t>
      </w:r>
      <w:r>
        <w:rPr>
          <w:rFonts w:hint="eastAsia" w:ascii="宋体" w:hAnsi="宋体"/>
          <w:color w:val="auto"/>
          <w:szCs w:val="21"/>
          <w:highlight w:val="none"/>
          <w:lang w:val="en-US" w:eastAsia="zh-CN"/>
        </w:rPr>
        <w:t>10</w:t>
      </w:r>
      <w:r>
        <w:rPr>
          <w:rFonts w:hint="eastAsia" w:ascii="宋体" w:hAnsi="宋体"/>
          <w:color w:val="auto"/>
          <w:szCs w:val="21"/>
          <w:highlight w:val="none"/>
          <w:lang w:eastAsia="zh-CN"/>
        </w:rPr>
        <w:t>月</w:t>
      </w:r>
      <w:r>
        <w:rPr>
          <w:rFonts w:hint="eastAsia" w:ascii="宋体" w:hAnsi="宋体"/>
          <w:color w:val="auto"/>
          <w:szCs w:val="21"/>
          <w:highlight w:val="none"/>
          <w:lang w:val="en-US" w:eastAsia="zh-CN"/>
        </w:rPr>
        <w:t>9</w:t>
      </w:r>
      <w:r>
        <w:rPr>
          <w:rFonts w:hint="eastAsia" w:ascii="宋体" w:hAnsi="宋体"/>
          <w:color w:val="auto"/>
          <w:szCs w:val="21"/>
          <w:highlight w:val="none"/>
          <w:lang w:eastAsia="zh-CN"/>
        </w:rPr>
        <w:t>日</w:t>
      </w:r>
      <w:r>
        <w:rPr>
          <w:rFonts w:hint="eastAsia" w:ascii="宋体" w:hAnsi="宋体"/>
          <w:color w:val="auto"/>
          <w:highlight w:val="none"/>
        </w:rPr>
        <w:t>上午9时30分</w:t>
      </w:r>
      <w:r>
        <w:rPr>
          <w:rFonts w:hint="eastAsia" w:ascii="宋体" w:hAnsi="宋体"/>
          <w:color w:val="auto"/>
          <w:szCs w:val="21"/>
          <w:highlight w:val="none"/>
        </w:rPr>
        <w:t>（北京时间）</w:t>
      </w:r>
      <w:r>
        <w:rPr>
          <w:rFonts w:hint="eastAsia" w:ascii="宋体" w:hAnsi="宋体"/>
          <w:color w:val="auto"/>
          <w:highlight w:val="none"/>
        </w:rPr>
        <w:t>；</w:t>
      </w:r>
    </w:p>
    <w:p w14:paraId="1C38FC80">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开标地点：通过</w:t>
      </w:r>
      <w:r>
        <w:rPr>
          <w:rFonts w:hint="eastAsia" w:ascii="宋体" w:hAnsi="宋体" w:cs="宋体"/>
          <w:bCs/>
          <w:color w:val="auto"/>
          <w:szCs w:val="21"/>
          <w:highlight w:val="none"/>
        </w:rPr>
        <w:t>广西政府采购云平台</w:t>
      </w:r>
      <w:r>
        <w:rPr>
          <w:rFonts w:hint="eastAsia" w:ascii="宋体" w:hAnsi="宋体"/>
          <w:color w:val="auto"/>
          <w:highlight w:val="none"/>
        </w:rPr>
        <w:t>在线解密、开标。</w:t>
      </w:r>
    </w:p>
    <w:p w14:paraId="3822B708">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21.2投标人不足3家的，不得开标，采购人或者采购代理机构应当重新组织采购。</w:t>
      </w:r>
    </w:p>
    <w:p w14:paraId="39EB80AE">
      <w:pPr>
        <w:keepNext w:val="0"/>
        <w:keepLines w:val="0"/>
        <w:pageBreakBefore w:val="0"/>
        <w:kinsoku/>
        <w:wordWrap/>
        <w:overflowPunct/>
        <w:topLinePunct w:val="0"/>
        <w:bidi w:val="0"/>
        <w:adjustRightInd/>
        <w:spacing w:line="360" w:lineRule="exact"/>
        <w:ind w:firstLine="435"/>
        <w:textAlignment w:val="auto"/>
        <w:rPr>
          <w:rFonts w:ascii="宋体" w:hAnsi="宋体"/>
          <w:b/>
          <w:color w:val="auto"/>
          <w:highlight w:val="none"/>
        </w:rPr>
      </w:pPr>
      <w:r>
        <w:rPr>
          <w:rFonts w:hint="eastAsia" w:ascii="宋体" w:hAnsi="宋体"/>
          <w:b/>
          <w:color w:val="auto"/>
          <w:highlight w:val="none"/>
        </w:rPr>
        <w:t>22. 开标程序</w:t>
      </w:r>
    </w:p>
    <w:p w14:paraId="027465F2">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22.1采购代理机构将按照招标文件规定的时间通过</w:t>
      </w:r>
      <w:r>
        <w:rPr>
          <w:rFonts w:hint="eastAsia" w:ascii="宋体" w:hAnsi="宋体" w:cs="宋体"/>
          <w:bCs/>
          <w:color w:val="auto"/>
          <w:szCs w:val="21"/>
          <w:highlight w:val="none"/>
        </w:rPr>
        <w:t>广西政府采购云平台</w:t>
      </w:r>
      <w:r>
        <w:rPr>
          <w:rFonts w:hint="eastAsia" w:ascii="宋体" w:hAnsi="宋体"/>
          <w:color w:val="auto"/>
          <w:highlight w:val="none"/>
        </w:rPr>
        <w:t>在线组织开标、解密开启投标文件，投标人的法定代表人或其委托代理人应当保持</w:t>
      </w:r>
      <w:r>
        <w:rPr>
          <w:rFonts w:hint="eastAsia" w:ascii="宋体" w:hAnsi="宋体" w:cs="宋体"/>
          <w:bCs/>
          <w:color w:val="auto"/>
          <w:szCs w:val="21"/>
          <w:highlight w:val="none"/>
        </w:rPr>
        <w:t>广西政府采购云平台</w:t>
      </w:r>
      <w:r>
        <w:rPr>
          <w:rFonts w:hint="eastAsia" w:ascii="宋体" w:hAnsi="宋体"/>
          <w:color w:val="auto"/>
          <w:highlight w:val="none"/>
        </w:rPr>
        <w:t>实时在线，并通过</w:t>
      </w:r>
      <w:r>
        <w:rPr>
          <w:rFonts w:hint="eastAsia" w:ascii="宋体" w:hAnsi="宋体" w:cs="宋体"/>
          <w:bCs/>
          <w:color w:val="auto"/>
          <w:szCs w:val="21"/>
          <w:highlight w:val="none"/>
        </w:rPr>
        <w:t>广西政府采购云平台</w:t>
      </w:r>
      <w:r>
        <w:rPr>
          <w:rFonts w:hint="eastAsia" w:ascii="宋体" w:hAnsi="宋体"/>
          <w:color w:val="auto"/>
          <w:highlight w:val="none"/>
        </w:rPr>
        <w:t>在线出席开标会议。投标人如不出席开标会议的，视同认可开标结果，事后不得对采购相关人员、开标过程和开标结果提出异议，因投标人未保持实时在线，而导致投标文件无法按时解密等一切后果由投标人自行承担。</w:t>
      </w:r>
    </w:p>
    <w:p w14:paraId="3972F763">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22.2投标文件解密：投标文件提交截止时间后，采购代理机构开启解密投标文件操作，</w:t>
      </w:r>
      <w:r>
        <w:rPr>
          <w:rFonts w:hint="eastAsia" w:ascii="宋体" w:hAnsi="宋体" w:cs="宋体"/>
          <w:bCs/>
          <w:color w:val="auto"/>
          <w:szCs w:val="21"/>
          <w:highlight w:val="none"/>
        </w:rPr>
        <w:t>广西政府采购云平台</w:t>
      </w:r>
      <w:r>
        <w:rPr>
          <w:rFonts w:hint="eastAsia" w:ascii="宋体" w:hAnsi="宋体"/>
          <w:color w:val="auto"/>
          <w:highlight w:val="none"/>
        </w:rPr>
        <w:t>向各投标人发出电子加密投标文件解密通知，由投标人在系统发出解密通知后30分钟内自行使用加密时的CA通过“项目采购</w:t>
      </w:r>
      <w:r>
        <w:rPr>
          <w:rFonts w:hint="eastAsia" w:ascii="宋体" w:hAnsi="宋体"/>
          <w:color w:val="auto"/>
          <w:highlight w:val="none"/>
          <w:lang w:eastAsia="zh-CN"/>
        </w:rPr>
        <w:t>－</w:t>
      </w:r>
      <w:r>
        <w:rPr>
          <w:rFonts w:hint="eastAsia" w:ascii="宋体" w:hAnsi="宋体"/>
          <w:color w:val="auto"/>
          <w:highlight w:val="none"/>
        </w:rPr>
        <w:t>开标评标”功能对投标文件进行解密。若投标人在上述规定的时间内无法解密或解密失败的，可以在投标文件解密截止时间后30分钟内向采购代理机构现场提交电子备份投标文件（接收电子备份投标文件的电子邮箱为：guilinyl@vip.sina.com）；投标人未在上述规定的时间、电子邮箱提交的电子备份投标文件，采购代理机构不予接收或承认。采购代理机构收到电子备份投标文件后按操作规范上传至广西政府采购云平台，电子备份投标文件上传成功后，投标人原上传的“电子加密投标文件”自动失效。</w:t>
      </w:r>
      <w:r>
        <w:rPr>
          <w:rFonts w:hint="eastAsia" w:ascii="宋体" w:hAnsi="宋体"/>
          <w:b/>
          <w:color w:val="auto"/>
          <w:highlight w:val="none"/>
        </w:rPr>
        <w:t>若投标人在规定时间内无法解密或解密失败且未在规定的时间内提供电子备份投标文件的（包含提供的电子备份投标文件无效的情况），视为投标人放弃投标</w:t>
      </w:r>
      <w:r>
        <w:rPr>
          <w:rFonts w:hint="eastAsia" w:ascii="宋体" w:hAnsi="宋体"/>
          <w:color w:val="auto"/>
          <w:highlight w:val="none"/>
        </w:rPr>
        <w:t>。</w:t>
      </w:r>
    </w:p>
    <w:p w14:paraId="4D278464">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22.3投标文件解密结束后，开标活动组织人员在线开启投标文件。</w:t>
      </w:r>
    </w:p>
    <w:p w14:paraId="1561CF7A">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22.4开启投标人报价文件，电子开标大厅记录显示并记录投标人投标报价表的投标报价等。</w:t>
      </w:r>
    </w:p>
    <w:p w14:paraId="7D4D7093">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22.5投标人线上确认投标报价。</w:t>
      </w:r>
    </w:p>
    <w:p w14:paraId="023B2A7B">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22.6如发现开标结果与所提交的报价文件不一致的，由评标委员会根据报价文件内容进行修正。</w:t>
      </w:r>
    </w:p>
    <w:p w14:paraId="79A6E1F7">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22.7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53382AAA">
      <w:pPr>
        <w:keepNext w:val="0"/>
        <w:keepLines w:val="0"/>
        <w:pageBreakBefore w:val="0"/>
        <w:kinsoku/>
        <w:wordWrap/>
        <w:overflowPunct/>
        <w:topLinePunct w:val="0"/>
        <w:bidi w:val="0"/>
        <w:adjustRightInd/>
        <w:spacing w:line="360" w:lineRule="exact"/>
        <w:ind w:firstLine="435"/>
        <w:textAlignment w:val="auto"/>
        <w:rPr>
          <w:rFonts w:ascii="宋体" w:hAnsi="宋体"/>
          <w:color w:val="auto"/>
          <w:highlight w:val="none"/>
        </w:rPr>
      </w:pPr>
      <w:r>
        <w:rPr>
          <w:rFonts w:hint="eastAsia" w:ascii="宋体" w:hAnsi="宋体"/>
          <w:color w:val="auto"/>
          <w:highlight w:val="none"/>
        </w:rPr>
        <w:t>22.8特别说明：如遇</w:t>
      </w:r>
      <w:r>
        <w:rPr>
          <w:rFonts w:hint="eastAsia" w:ascii="宋体" w:hAnsi="宋体" w:cs="宋体"/>
          <w:bCs/>
          <w:color w:val="auto"/>
          <w:szCs w:val="21"/>
          <w:highlight w:val="none"/>
        </w:rPr>
        <w:t>广西政府采购云平台</w:t>
      </w:r>
      <w:r>
        <w:rPr>
          <w:rFonts w:hint="eastAsia" w:ascii="宋体" w:hAnsi="宋体"/>
          <w:color w:val="auto"/>
          <w:highlight w:val="none"/>
        </w:rPr>
        <w:t>电子化开标或评审程序调整的，按调整后程序执行。</w:t>
      </w:r>
    </w:p>
    <w:p w14:paraId="23BC1A49">
      <w:pPr>
        <w:keepNext w:val="0"/>
        <w:keepLines w:val="0"/>
        <w:pageBreakBefore w:val="0"/>
        <w:tabs>
          <w:tab w:val="left" w:pos="1305"/>
        </w:tabs>
        <w:kinsoku/>
        <w:wordWrap/>
        <w:overflowPunct/>
        <w:topLinePunct w:val="0"/>
        <w:bidi w:val="0"/>
        <w:adjustRightInd/>
        <w:spacing w:line="360" w:lineRule="exact"/>
        <w:ind w:firstLine="562" w:firstLineChars="200"/>
        <w:jc w:val="center"/>
        <w:textAlignment w:val="auto"/>
        <w:rPr>
          <w:rFonts w:ascii="宋体" w:hAnsi="宋体"/>
          <w:b/>
          <w:color w:val="auto"/>
          <w:sz w:val="28"/>
          <w:szCs w:val="28"/>
          <w:highlight w:val="none"/>
        </w:rPr>
      </w:pPr>
    </w:p>
    <w:p w14:paraId="6109A890">
      <w:pPr>
        <w:keepNext w:val="0"/>
        <w:keepLines w:val="0"/>
        <w:pageBreakBefore w:val="0"/>
        <w:tabs>
          <w:tab w:val="left" w:pos="1305"/>
        </w:tabs>
        <w:kinsoku/>
        <w:wordWrap/>
        <w:overflowPunct/>
        <w:topLinePunct w:val="0"/>
        <w:bidi w:val="0"/>
        <w:adjustRightInd/>
        <w:spacing w:line="360" w:lineRule="exact"/>
        <w:ind w:firstLine="562" w:firstLineChars="200"/>
        <w:jc w:val="center"/>
        <w:textAlignment w:val="auto"/>
        <w:rPr>
          <w:rFonts w:ascii="宋体" w:hAnsi="宋体"/>
          <w:b/>
          <w:color w:val="auto"/>
          <w:sz w:val="28"/>
          <w:szCs w:val="28"/>
          <w:highlight w:val="none"/>
        </w:rPr>
      </w:pPr>
      <w:r>
        <w:rPr>
          <w:rFonts w:hint="eastAsia" w:ascii="宋体" w:hAnsi="宋体"/>
          <w:b/>
          <w:color w:val="auto"/>
          <w:sz w:val="28"/>
          <w:szCs w:val="28"/>
          <w:highlight w:val="none"/>
        </w:rPr>
        <w:t>五、资格性审查</w:t>
      </w:r>
    </w:p>
    <w:p w14:paraId="1247DA21">
      <w:pPr>
        <w:keepNext w:val="0"/>
        <w:keepLines w:val="0"/>
        <w:pageBreakBefore w:val="0"/>
        <w:tabs>
          <w:tab w:val="left" w:pos="1305"/>
        </w:tabs>
        <w:kinsoku/>
        <w:wordWrap/>
        <w:overflowPunct/>
        <w:topLinePunct w:val="0"/>
        <w:bidi w:val="0"/>
        <w:adjustRightInd/>
        <w:spacing w:line="360" w:lineRule="exact"/>
        <w:ind w:firstLine="422" w:firstLineChars="200"/>
        <w:textAlignment w:val="auto"/>
        <w:rPr>
          <w:rFonts w:ascii="宋体" w:hAnsi="宋体"/>
          <w:b/>
          <w:color w:val="auto"/>
          <w:sz w:val="21"/>
          <w:szCs w:val="21"/>
          <w:highlight w:val="none"/>
        </w:rPr>
      </w:pPr>
      <w:r>
        <w:rPr>
          <w:rFonts w:hint="eastAsia" w:ascii="宋体" w:hAnsi="宋体"/>
          <w:b/>
          <w:color w:val="auto"/>
          <w:sz w:val="21"/>
          <w:szCs w:val="21"/>
          <w:highlight w:val="none"/>
        </w:rPr>
        <w:t>23. 资格性审查</w:t>
      </w:r>
    </w:p>
    <w:p w14:paraId="5447D183">
      <w:pPr>
        <w:keepNext w:val="0"/>
        <w:keepLines w:val="0"/>
        <w:pageBreakBefore w:val="0"/>
        <w:tabs>
          <w:tab w:val="left" w:pos="1305"/>
        </w:tabs>
        <w:kinsoku/>
        <w:wordWrap/>
        <w:overflowPunct/>
        <w:topLinePunct w:val="0"/>
        <w:bidi w:val="0"/>
        <w:adjustRightInd/>
        <w:spacing w:line="36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23.1</w:t>
      </w:r>
      <w:r>
        <w:rPr>
          <w:rFonts w:ascii="宋体" w:hAnsi="宋体"/>
          <w:color w:val="auto"/>
          <w:sz w:val="21"/>
          <w:szCs w:val="21"/>
          <w:highlight w:val="none"/>
        </w:rPr>
        <w:t>公开招标采购项目开标结束后，采购人或者采购代理机构应当依法对投标人的资格进行审查。</w:t>
      </w:r>
    </w:p>
    <w:p w14:paraId="3BC809AF">
      <w:pPr>
        <w:keepNext w:val="0"/>
        <w:keepLines w:val="0"/>
        <w:pageBreakBefore w:val="0"/>
        <w:tabs>
          <w:tab w:val="left" w:pos="1305"/>
        </w:tabs>
        <w:kinsoku/>
        <w:wordWrap/>
        <w:overflowPunct/>
        <w:topLinePunct w:val="0"/>
        <w:bidi w:val="0"/>
        <w:adjustRightInd/>
        <w:spacing w:line="360" w:lineRule="exact"/>
        <w:textAlignment w:val="auto"/>
        <w:rPr>
          <w:rFonts w:ascii="宋体" w:hAnsi="宋体"/>
          <w:color w:val="auto"/>
          <w:sz w:val="21"/>
          <w:szCs w:val="21"/>
          <w:highlight w:val="none"/>
        </w:rPr>
      </w:pPr>
      <w:r>
        <w:rPr>
          <w:rFonts w:ascii="宋体" w:hAnsi="宋体"/>
          <w:color w:val="auto"/>
          <w:sz w:val="21"/>
          <w:szCs w:val="21"/>
          <w:highlight w:val="none"/>
        </w:rPr>
        <w:t>合格投标人不足3家的，不得评标。</w:t>
      </w:r>
    </w:p>
    <w:p w14:paraId="1E8646E8">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 w:val="21"/>
          <w:szCs w:val="21"/>
          <w:highlight w:val="none"/>
        </w:rPr>
      </w:pPr>
      <w:r>
        <w:rPr>
          <w:rFonts w:hint="eastAsia" w:ascii="宋体" w:hAnsi="宋体"/>
          <w:b/>
          <w:color w:val="auto"/>
          <w:sz w:val="21"/>
          <w:szCs w:val="21"/>
          <w:highlight w:val="none"/>
        </w:rPr>
        <w:t>23.2采购人或者采购代理机构在资格审查结束前，将对投标人企业股东及出资等信息进行查询。根据《中华人民共和国政府采购法实施条例》第十八条第一款规定，审查中如发现投标人存在单位负责人为同一人或者存在直接控股、管理关系的不同供应商参加同一合同项下的政府采购活动的，按资格审查不通过处理。</w:t>
      </w:r>
    </w:p>
    <w:p w14:paraId="7A1701F1">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查询渠道：《国家企业信用信息公示系统》（网址：</w:t>
      </w:r>
      <w:r>
        <w:rPr>
          <w:rFonts w:ascii="宋体" w:hAnsi="宋体"/>
          <w:color w:val="auto"/>
          <w:sz w:val="21"/>
          <w:szCs w:val="21"/>
          <w:highlight w:val="none"/>
        </w:rPr>
        <w:t xml:space="preserve"> www.gsxt.gov.cn/index.html</w:t>
      </w:r>
      <w:r>
        <w:rPr>
          <w:rFonts w:hint="eastAsia" w:ascii="宋体" w:hAnsi="宋体"/>
          <w:color w:val="auto"/>
          <w:sz w:val="21"/>
          <w:szCs w:val="21"/>
          <w:highlight w:val="none"/>
        </w:rPr>
        <w:t>）</w:t>
      </w:r>
    </w:p>
    <w:p w14:paraId="6DE4ECDB">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审查流程：</w:t>
      </w:r>
    </w:p>
    <w:p w14:paraId="0C5678E1">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（1）进入《国家企业信用信息公示系统》（网址：</w:t>
      </w:r>
      <w:r>
        <w:rPr>
          <w:rFonts w:ascii="宋体" w:hAnsi="宋体"/>
          <w:color w:val="auto"/>
          <w:sz w:val="21"/>
          <w:szCs w:val="21"/>
          <w:highlight w:val="none"/>
        </w:rPr>
        <w:t xml:space="preserve"> www.gsxt.gov.cn/index.html</w:t>
      </w:r>
      <w:r>
        <w:rPr>
          <w:rFonts w:hint="eastAsia" w:ascii="宋体" w:hAnsi="宋体"/>
          <w:color w:val="auto"/>
          <w:sz w:val="21"/>
          <w:szCs w:val="21"/>
          <w:highlight w:val="none"/>
        </w:rPr>
        <w:t>），输入企业名称，进入企业信息主页面；</w:t>
      </w:r>
    </w:p>
    <w:p w14:paraId="41B24903">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（2）查看主页“股东及出资信息”栏，或年报中的“股东及出资信息”栏信息；</w:t>
      </w:r>
    </w:p>
    <w:p w14:paraId="144ADE6A">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（3）将各投标人的股东及出资信息进行比对，得出审查结论；</w:t>
      </w:r>
    </w:p>
    <w:p w14:paraId="76A93E15">
      <w:pPr>
        <w:keepNext w:val="0"/>
        <w:keepLines w:val="0"/>
        <w:pageBreakBefore w:val="0"/>
        <w:kinsoku/>
        <w:wordWrap/>
        <w:overflowPunct/>
        <w:topLinePunct w:val="0"/>
        <w:bidi w:val="0"/>
        <w:adjustRightInd/>
        <w:snapToGrid w:val="0"/>
        <w:spacing w:line="36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（4）将相关资料作为评审资料打印存档。</w:t>
      </w:r>
    </w:p>
    <w:p w14:paraId="599EC27F">
      <w:pPr>
        <w:keepNext w:val="0"/>
        <w:keepLines w:val="0"/>
        <w:pageBreakBefore w:val="0"/>
        <w:tabs>
          <w:tab w:val="left" w:pos="1305"/>
        </w:tabs>
        <w:kinsoku/>
        <w:wordWrap/>
        <w:overflowPunct/>
        <w:topLinePunct w:val="0"/>
        <w:bidi w:val="0"/>
        <w:adjustRightInd/>
        <w:spacing w:line="360" w:lineRule="exact"/>
        <w:ind w:firstLine="481"/>
        <w:textAlignment w:val="auto"/>
        <w:rPr>
          <w:rFonts w:ascii="宋体" w:hAnsi="宋体"/>
          <w:b/>
          <w:color w:val="auto"/>
          <w:sz w:val="21"/>
          <w:szCs w:val="21"/>
          <w:highlight w:val="none"/>
        </w:rPr>
      </w:pPr>
      <w:r>
        <w:rPr>
          <w:rFonts w:hint="eastAsia" w:ascii="宋体" w:hAnsi="宋体"/>
          <w:b/>
          <w:color w:val="auto"/>
          <w:sz w:val="21"/>
          <w:szCs w:val="21"/>
          <w:highlight w:val="none"/>
        </w:rPr>
        <w:t>注：以上审查过程中，如出现查询企业网页主页面无法显示股东及出资信息的或仅以主页面信息内容无法认定投标人之间存在单位负责人为同一人或者存在直接控股、管理关系的，当时审查程序可继续进行，待评审结束后将对以上投标人作进一步核实确认，如确认投标人之间存在有上述关联供应商情形的，关联供应商均按投标无效处理。</w:t>
      </w:r>
    </w:p>
    <w:p w14:paraId="4DEBA9F9">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 w:val="21"/>
          <w:szCs w:val="21"/>
          <w:highlight w:val="none"/>
        </w:rPr>
      </w:pPr>
      <w:r>
        <w:rPr>
          <w:rFonts w:hint="eastAsia" w:ascii="宋体" w:hAnsi="宋体"/>
          <w:b/>
          <w:color w:val="auto"/>
          <w:sz w:val="21"/>
          <w:szCs w:val="21"/>
          <w:highlight w:val="none"/>
        </w:rPr>
        <w:t>23.3采购人或者采购代理机构在资格审查结束前，对投标人进行信用查询。</w:t>
      </w:r>
    </w:p>
    <w:p w14:paraId="63BAB36F">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 w:val="21"/>
          <w:szCs w:val="21"/>
          <w:highlight w:val="none"/>
        </w:rPr>
      </w:pPr>
      <w:r>
        <w:rPr>
          <w:rFonts w:hint="eastAsia" w:ascii="宋体" w:hAnsi="宋体"/>
          <w:b/>
          <w:color w:val="auto"/>
          <w:sz w:val="21"/>
          <w:szCs w:val="21"/>
          <w:highlight w:val="none"/>
        </w:rPr>
        <w:t>（1）查询渠道：“信用中国”网站（www.creditchina.gov.cn）、中国政府采购网（www.ccgp.gov.cn）链接入口。</w:t>
      </w:r>
    </w:p>
    <w:p w14:paraId="794DC08F">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 w:val="21"/>
          <w:szCs w:val="21"/>
          <w:highlight w:val="none"/>
        </w:rPr>
      </w:pPr>
      <w:r>
        <w:rPr>
          <w:rFonts w:hint="eastAsia" w:ascii="宋体" w:hAnsi="宋体"/>
          <w:b/>
          <w:color w:val="auto"/>
          <w:sz w:val="21"/>
          <w:szCs w:val="21"/>
          <w:highlight w:val="none"/>
        </w:rPr>
        <w:t>（2）信用查询截止时点：资格审查结束前。</w:t>
      </w:r>
    </w:p>
    <w:p w14:paraId="4EBA6495">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 w:val="21"/>
          <w:szCs w:val="21"/>
          <w:highlight w:val="none"/>
        </w:rPr>
      </w:pPr>
      <w:r>
        <w:rPr>
          <w:rFonts w:hint="eastAsia" w:ascii="宋体" w:hAnsi="宋体"/>
          <w:b/>
          <w:color w:val="auto"/>
          <w:sz w:val="21"/>
          <w:szCs w:val="21"/>
          <w:highlight w:val="none"/>
        </w:rPr>
        <w:t>（3）查询记录和证据留存方式：在查询网站中直接查询，截图另存为电子文档作为评审资料保存。</w:t>
      </w:r>
    </w:p>
    <w:p w14:paraId="0D739B0A">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 w:val="21"/>
          <w:szCs w:val="21"/>
          <w:highlight w:val="none"/>
        </w:rPr>
      </w:pPr>
      <w:r>
        <w:rPr>
          <w:rFonts w:hint="eastAsia" w:ascii="宋体" w:hAnsi="宋体"/>
          <w:b/>
          <w:color w:val="auto"/>
          <w:sz w:val="21"/>
          <w:szCs w:val="21"/>
          <w:highlight w:val="none"/>
        </w:rPr>
        <w:t>（4）信用信息使用规则：对在“信用中国”网站（www.creditchina.gov.cn）、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14:paraId="77EE9837">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 w:val="21"/>
          <w:szCs w:val="21"/>
          <w:highlight w:val="none"/>
        </w:rPr>
      </w:pPr>
      <w:r>
        <w:rPr>
          <w:rFonts w:hint="eastAsia" w:ascii="宋体" w:hAnsi="宋体"/>
          <w:b/>
          <w:color w:val="auto"/>
          <w:sz w:val="21"/>
          <w:szCs w:val="21"/>
          <w:highlight w:val="none"/>
        </w:rPr>
        <w:t>23.4采购人或者采购代理机构在对投标人进行资格性审查时，如投标人出现下列情况之一者，按资格审查不通过处理：</w:t>
      </w:r>
      <w:r>
        <w:rPr>
          <w:rFonts w:hint="eastAsia" w:ascii="宋体" w:hAnsi="宋体"/>
          <w:b/>
          <w:color w:val="auto"/>
          <w:sz w:val="21"/>
          <w:szCs w:val="21"/>
          <w:highlight w:val="none"/>
        </w:rPr>
        <w:br w:type="textWrapping"/>
      </w:r>
      <w:r>
        <w:rPr>
          <w:rFonts w:hint="eastAsia" w:ascii="宋体" w:hAnsi="宋体"/>
          <w:b/>
          <w:color w:val="auto"/>
          <w:sz w:val="21"/>
          <w:szCs w:val="21"/>
          <w:highlight w:val="none"/>
        </w:rPr>
        <w:t xml:space="preserve">  （1）不具备本招标文件规定的资格要求的；</w:t>
      </w:r>
      <w:r>
        <w:rPr>
          <w:rFonts w:hint="eastAsia" w:ascii="宋体" w:hAnsi="宋体"/>
          <w:b/>
          <w:color w:val="auto"/>
          <w:sz w:val="21"/>
          <w:szCs w:val="21"/>
          <w:highlight w:val="none"/>
        </w:rPr>
        <w:br w:type="textWrapping"/>
      </w:r>
      <w:r>
        <w:rPr>
          <w:rFonts w:hint="eastAsia" w:ascii="宋体" w:hAnsi="宋体"/>
          <w:b/>
          <w:color w:val="auto"/>
          <w:sz w:val="21"/>
          <w:szCs w:val="21"/>
          <w:highlight w:val="none"/>
        </w:rPr>
        <w:t xml:space="preserve">  （2）投标文件中的资格性响应证明材料缺少投标人须知“资格性响应证明材料”规定的任一项“必须提供”的文件资料的；</w:t>
      </w:r>
      <w:r>
        <w:rPr>
          <w:rFonts w:hint="eastAsia" w:ascii="宋体" w:hAnsi="宋体"/>
          <w:b/>
          <w:color w:val="auto"/>
          <w:sz w:val="21"/>
          <w:szCs w:val="21"/>
          <w:highlight w:val="none"/>
        </w:rPr>
        <w:br w:type="textWrapping"/>
      </w:r>
      <w:r>
        <w:rPr>
          <w:rFonts w:hint="eastAsia" w:ascii="宋体" w:hAnsi="宋体"/>
          <w:b/>
          <w:color w:val="auto"/>
          <w:sz w:val="21"/>
          <w:szCs w:val="21"/>
          <w:highlight w:val="none"/>
        </w:rPr>
        <w:t xml:space="preserve">  （3）投标文件中的资格性响应证明材料出现任一项不符合投标人须知“资格性响应证明材料”规定的“必须提供”的文件资料要求或者无效的；</w:t>
      </w:r>
      <w:r>
        <w:rPr>
          <w:rFonts w:hint="eastAsia" w:ascii="宋体" w:hAnsi="宋体"/>
          <w:b/>
          <w:color w:val="auto"/>
          <w:sz w:val="21"/>
          <w:szCs w:val="21"/>
          <w:highlight w:val="none"/>
        </w:rPr>
        <w:br w:type="textWrapping"/>
      </w:r>
      <w:r>
        <w:rPr>
          <w:rFonts w:hint="eastAsia" w:ascii="宋体" w:hAnsi="宋体"/>
          <w:b/>
          <w:color w:val="auto"/>
          <w:sz w:val="21"/>
          <w:szCs w:val="21"/>
          <w:highlight w:val="none"/>
        </w:rPr>
        <w:t xml:space="preserve">  （4）投标文件中的资格性响应证明材料存在投标人须知第28条</w:t>
      </w:r>
      <w:r>
        <w:rPr>
          <w:rFonts w:hint="eastAsia" w:ascii="宋体" w:hAnsi="宋体"/>
          <w:b/>
          <w:color w:val="auto"/>
          <w:sz w:val="21"/>
          <w:szCs w:val="21"/>
          <w:highlight w:val="none"/>
          <w:lang w:eastAsia="zh-CN"/>
        </w:rPr>
        <w:t>、第</w:t>
      </w:r>
      <w:r>
        <w:rPr>
          <w:rFonts w:hint="eastAsia" w:ascii="宋体" w:hAnsi="宋体"/>
          <w:b/>
          <w:color w:val="auto"/>
          <w:sz w:val="21"/>
          <w:szCs w:val="21"/>
          <w:highlight w:val="none"/>
        </w:rPr>
        <w:t>29条载明的投标无效情形的。</w:t>
      </w:r>
      <w:r>
        <w:rPr>
          <w:rFonts w:hint="eastAsia" w:ascii="宋体" w:hAnsi="宋体"/>
          <w:b/>
          <w:color w:val="auto"/>
          <w:sz w:val="21"/>
          <w:szCs w:val="21"/>
          <w:highlight w:val="none"/>
        </w:rPr>
        <w:br w:type="textWrapping"/>
      </w:r>
      <w:r>
        <w:rPr>
          <w:rFonts w:hint="eastAsia" w:ascii="宋体" w:hAnsi="宋体"/>
          <w:b/>
          <w:color w:val="auto"/>
          <w:sz w:val="21"/>
          <w:szCs w:val="21"/>
          <w:highlight w:val="none"/>
        </w:rPr>
        <w:t xml:space="preserve">   23.5资格审查不通过的投标人，不得进入下一阶段的评标环节。通过资格审查的合格投标人不足3家的，予以废标。</w:t>
      </w:r>
    </w:p>
    <w:p w14:paraId="4DBE767C">
      <w:pPr>
        <w:keepNext w:val="0"/>
        <w:keepLines w:val="0"/>
        <w:pageBreakBefore w:val="0"/>
        <w:tabs>
          <w:tab w:val="center" w:pos="4411"/>
          <w:tab w:val="left" w:pos="5475"/>
        </w:tabs>
        <w:kinsoku/>
        <w:wordWrap/>
        <w:overflowPunct/>
        <w:topLinePunct w:val="0"/>
        <w:bidi w:val="0"/>
        <w:adjustRightInd/>
        <w:spacing w:line="360" w:lineRule="exact"/>
        <w:jc w:val="center"/>
        <w:textAlignment w:val="auto"/>
        <w:rPr>
          <w:rFonts w:ascii="宋体" w:hAnsi="宋体"/>
          <w:b/>
          <w:color w:val="auto"/>
          <w:sz w:val="21"/>
          <w:szCs w:val="21"/>
          <w:highlight w:val="none"/>
        </w:rPr>
      </w:pPr>
    </w:p>
    <w:p w14:paraId="4BC58199">
      <w:pPr>
        <w:keepNext w:val="0"/>
        <w:keepLines w:val="0"/>
        <w:pageBreakBefore w:val="0"/>
        <w:tabs>
          <w:tab w:val="center" w:pos="4411"/>
          <w:tab w:val="left" w:pos="5475"/>
        </w:tabs>
        <w:kinsoku/>
        <w:wordWrap/>
        <w:overflowPunct/>
        <w:topLinePunct w:val="0"/>
        <w:bidi w:val="0"/>
        <w:adjustRightInd/>
        <w:spacing w:line="360" w:lineRule="exact"/>
        <w:jc w:val="center"/>
        <w:textAlignment w:val="auto"/>
        <w:rPr>
          <w:rFonts w:ascii="宋体" w:hAnsi="宋体"/>
          <w:b/>
          <w:color w:val="auto"/>
          <w:sz w:val="28"/>
          <w:szCs w:val="28"/>
          <w:highlight w:val="none"/>
        </w:rPr>
      </w:pPr>
      <w:r>
        <w:rPr>
          <w:rFonts w:hint="eastAsia" w:ascii="宋体" w:hAnsi="宋体"/>
          <w:b/>
          <w:color w:val="auto"/>
          <w:sz w:val="28"/>
          <w:szCs w:val="28"/>
          <w:highlight w:val="none"/>
        </w:rPr>
        <w:t>六、评标</w:t>
      </w:r>
    </w:p>
    <w:p w14:paraId="4E910D6D">
      <w:pPr>
        <w:keepNext w:val="0"/>
        <w:keepLines w:val="0"/>
        <w:pageBreakBefore w:val="0"/>
        <w:tabs>
          <w:tab w:val="center" w:pos="4411"/>
          <w:tab w:val="left" w:pos="5475"/>
        </w:tabs>
        <w:kinsoku/>
        <w:wordWrap/>
        <w:overflowPunct/>
        <w:topLinePunct w:val="0"/>
        <w:bidi w:val="0"/>
        <w:adjustRightInd/>
        <w:spacing w:line="360" w:lineRule="exact"/>
        <w:ind w:firstLine="422" w:firstLineChars="200"/>
        <w:jc w:val="left"/>
        <w:textAlignment w:val="auto"/>
        <w:rPr>
          <w:rFonts w:ascii="宋体" w:hAnsi="宋体"/>
          <w:b/>
          <w:color w:val="auto"/>
          <w:szCs w:val="21"/>
          <w:highlight w:val="none"/>
        </w:rPr>
      </w:pPr>
      <w:r>
        <w:rPr>
          <w:rFonts w:hint="eastAsia" w:ascii="宋体" w:hAnsi="宋体"/>
          <w:b/>
          <w:color w:val="auto"/>
          <w:szCs w:val="21"/>
          <w:highlight w:val="none"/>
        </w:rPr>
        <w:t>24. 评标委员会组成</w:t>
      </w:r>
    </w:p>
    <w:p w14:paraId="2F43D169">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ascii="宋体" w:hAnsi="宋体"/>
          <w:color w:val="auto"/>
          <w:szCs w:val="21"/>
          <w:highlight w:val="none"/>
        </w:rPr>
        <w:t>评标委员会由采购人代表和评审专家组成，成员人数</w:t>
      </w:r>
      <w:r>
        <w:rPr>
          <w:rFonts w:hint="eastAsia" w:ascii="宋体" w:hAnsi="宋体"/>
          <w:color w:val="auto"/>
          <w:szCs w:val="21"/>
          <w:highlight w:val="none"/>
        </w:rPr>
        <w:t>共5</w:t>
      </w:r>
      <w:r>
        <w:rPr>
          <w:rFonts w:ascii="宋体" w:hAnsi="宋体"/>
          <w:color w:val="auto"/>
          <w:szCs w:val="21"/>
          <w:highlight w:val="none"/>
        </w:rPr>
        <w:t>人</w:t>
      </w:r>
      <w:r>
        <w:rPr>
          <w:rFonts w:hint="eastAsia" w:ascii="宋体" w:hAnsi="宋体"/>
          <w:color w:val="auto"/>
          <w:szCs w:val="21"/>
          <w:highlight w:val="none"/>
        </w:rPr>
        <w:t>，其中评审专家不得少于成员总数的2/3</w:t>
      </w:r>
      <w:r>
        <w:rPr>
          <w:rFonts w:ascii="宋体" w:hAnsi="宋体"/>
          <w:color w:val="auto"/>
          <w:szCs w:val="21"/>
          <w:highlight w:val="none"/>
        </w:rPr>
        <w:t>。</w:t>
      </w:r>
    </w:p>
    <w:p w14:paraId="697CF964">
      <w:pPr>
        <w:keepNext w:val="0"/>
        <w:keepLines w:val="0"/>
        <w:pageBreakBefore w:val="0"/>
        <w:kinsoku/>
        <w:wordWrap/>
        <w:overflowPunct/>
        <w:topLinePunct w:val="0"/>
        <w:bidi w:val="0"/>
        <w:adjustRightInd/>
        <w:spacing w:line="360" w:lineRule="exact"/>
        <w:ind w:firstLine="422" w:firstLineChars="200"/>
        <w:textAlignment w:val="auto"/>
        <w:rPr>
          <w:rFonts w:ascii="宋体" w:hAnsi="宋体"/>
          <w:color w:val="auto"/>
          <w:szCs w:val="21"/>
          <w:highlight w:val="none"/>
        </w:rPr>
      </w:pPr>
      <w:r>
        <w:rPr>
          <w:rFonts w:hint="eastAsia" w:ascii="宋体" w:hAnsi="宋体"/>
          <w:b/>
          <w:color w:val="auto"/>
          <w:szCs w:val="21"/>
          <w:highlight w:val="none"/>
        </w:rPr>
        <w:t>25. 评标办法</w:t>
      </w:r>
    </w:p>
    <w:p w14:paraId="1A9861D4">
      <w:pPr>
        <w:keepNext w:val="0"/>
        <w:keepLines w:val="0"/>
        <w:pageBreakBefore w:val="0"/>
        <w:tabs>
          <w:tab w:val="left" w:pos="1140"/>
        </w:tabs>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25.1评标办法：综合评分法，具体评标内容及标准详见第四章。</w:t>
      </w:r>
    </w:p>
    <w:p w14:paraId="0389B2ED">
      <w:pPr>
        <w:keepNext w:val="0"/>
        <w:keepLines w:val="0"/>
        <w:pageBreakBefore w:val="0"/>
        <w:tabs>
          <w:tab w:val="left" w:pos="1140"/>
        </w:tabs>
        <w:kinsoku/>
        <w:wordWrap/>
        <w:overflowPunct/>
        <w:topLinePunct w:val="0"/>
        <w:bidi w:val="0"/>
        <w:adjustRightInd/>
        <w:spacing w:line="360" w:lineRule="exact"/>
        <w:ind w:firstLine="420" w:firstLineChars="200"/>
        <w:textAlignment w:val="auto"/>
        <w:rPr>
          <w:rFonts w:ascii="宋体" w:hAnsi="宋体"/>
          <w:color w:val="auto"/>
          <w:highlight w:val="none"/>
        </w:rPr>
      </w:pPr>
      <w:r>
        <w:rPr>
          <w:rFonts w:hint="eastAsia" w:ascii="宋体" w:hAnsi="宋体"/>
          <w:color w:val="auto"/>
          <w:szCs w:val="21"/>
          <w:highlight w:val="none"/>
        </w:rPr>
        <w:t>25.2评标委员会应按招标文件进行评标，不得擅自更改评标办法。</w:t>
      </w:r>
    </w:p>
    <w:p w14:paraId="76A0E2C1">
      <w:pPr>
        <w:keepNext w:val="0"/>
        <w:keepLines w:val="0"/>
        <w:pageBreakBefore w:val="0"/>
        <w:tabs>
          <w:tab w:val="left" w:pos="1140"/>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26. 评标</w:t>
      </w:r>
    </w:p>
    <w:p w14:paraId="0FA62FAB">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26.1采购代理机构负责组织评标工作，宣布评标工作纪律，</w:t>
      </w:r>
      <w:r>
        <w:rPr>
          <w:rFonts w:ascii="宋体" w:hAnsi="宋体"/>
          <w:color w:val="auto"/>
          <w:szCs w:val="21"/>
          <w:highlight w:val="none"/>
        </w:rPr>
        <w:t>公布投标人名单，告知评审专家应当回避的情形</w:t>
      </w:r>
      <w:r>
        <w:rPr>
          <w:rFonts w:hint="eastAsia" w:ascii="宋体" w:hAnsi="宋体"/>
          <w:color w:val="auto"/>
          <w:szCs w:val="21"/>
          <w:highlight w:val="none"/>
        </w:rPr>
        <w:t>，</w:t>
      </w:r>
      <w:r>
        <w:rPr>
          <w:rFonts w:ascii="宋体" w:hAnsi="宋体"/>
          <w:color w:val="auto"/>
          <w:szCs w:val="21"/>
          <w:highlight w:val="none"/>
        </w:rPr>
        <w:t>组织评标委员会推选评标组长，采购人代表不得担任组长</w:t>
      </w:r>
      <w:r>
        <w:rPr>
          <w:rFonts w:hint="eastAsia" w:ascii="宋体" w:hAnsi="宋体"/>
          <w:color w:val="auto"/>
          <w:szCs w:val="21"/>
          <w:highlight w:val="none"/>
        </w:rPr>
        <w:t>。</w:t>
      </w:r>
      <w:r>
        <w:rPr>
          <w:rFonts w:ascii="宋体" w:hAnsi="宋体"/>
          <w:color w:val="auto"/>
          <w:szCs w:val="21"/>
          <w:highlight w:val="none"/>
        </w:rPr>
        <w:t>在评标期间</w:t>
      </w:r>
      <w:r>
        <w:rPr>
          <w:rFonts w:hint="eastAsia" w:ascii="宋体" w:hAnsi="宋体"/>
          <w:color w:val="auto"/>
          <w:szCs w:val="21"/>
          <w:highlight w:val="none"/>
        </w:rPr>
        <w:t>由桂林市公共资源交易中心</w:t>
      </w:r>
      <w:r>
        <w:rPr>
          <w:rFonts w:ascii="宋体" w:hAnsi="宋体"/>
          <w:color w:val="auto"/>
          <w:szCs w:val="21"/>
          <w:highlight w:val="none"/>
        </w:rPr>
        <w:t>采取必要的通讯管理措施</w:t>
      </w:r>
      <w:r>
        <w:rPr>
          <w:rFonts w:hint="eastAsia" w:ascii="宋体" w:hAnsi="宋体"/>
          <w:color w:val="auto"/>
          <w:szCs w:val="21"/>
          <w:highlight w:val="none"/>
        </w:rPr>
        <w:t>并</w:t>
      </w:r>
      <w:r>
        <w:rPr>
          <w:rFonts w:ascii="宋体" w:hAnsi="宋体"/>
          <w:color w:val="auto"/>
          <w:szCs w:val="21"/>
          <w:highlight w:val="none"/>
        </w:rPr>
        <w:t>保证评标活动不受外界干扰</w:t>
      </w:r>
      <w:r>
        <w:rPr>
          <w:rFonts w:hint="eastAsia" w:ascii="宋体" w:hAnsi="宋体"/>
          <w:color w:val="auto"/>
          <w:szCs w:val="21"/>
          <w:highlight w:val="none"/>
        </w:rPr>
        <w:t>。采购代理机构</w:t>
      </w:r>
      <w:r>
        <w:rPr>
          <w:rFonts w:ascii="宋体" w:hAnsi="宋体"/>
          <w:color w:val="auto"/>
          <w:szCs w:val="21"/>
          <w:highlight w:val="none"/>
        </w:rPr>
        <w:t>根据评标委员会的要求介绍政府采购相关政策法规、招标文件；维护评标秩序，监督评标委员会依照招标文件规定的评标程序、方法和标准进行独立评审，及时制止和纠正采购人代表、评审专家的倾向性言论或者违法违规行为；核对评标结果，有</w:t>
      </w:r>
      <w:r>
        <w:rPr>
          <w:rFonts w:hint="eastAsia" w:ascii="宋体" w:hAnsi="宋体"/>
          <w:color w:val="auto"/>
          <w:szCs w:val="21"/>
          <w:highlight w:val="none"/>
        </w:rPr>
        <w:t>投标无效</w:t>
      </w:r>
      <w:r>
        <w:rPr>
          <w:rFonts w:ascii="宋体" w:hAnsi="宋体"/>
          <w:color w:val="auto"/>
          <w:szCs w:val="21"/>
          <w:highlight w:val="none"/>
        </w:rPr>
        <w:t>情形的，要求评标委员会复核或者书面说明理由，评标委员会拒绝的，应予记录并向本级财政部门报告；评审工作完成后，按照规定向评审专家支付劳务报酬和异地评审差旅费，不得向评审专家以外的其他人员支付评审劳务报酬</w:t>
      </w:r>
      <w:r>
        <w:rPr>
          <w:rFonts w:hint="eastAsia" w:ascii="宋体" w:hAnsi="宋体"/>
          <w:color w:val="auto"/>
          <w:szCs w:val="21"/>
          <w:highlight w:val="none"/>
        </w:rPr>
        <w:t>。</w:t>
      </w:r>
    </w:p>
    <w:p w14:paraId="710D5E1C">
      <w:pPr>
        <w:pStyle w:val="45"/>
        <w:keepNext w:val="0"/>
        <w:keepLines w:val="0"/>
        <w:pageBreakBefore w:val="0"/>
        <w:shd w:val="clear" w:color="auto" w:fill="FFFFFF"/>
        <w:kinsoku/>
        <w:wordWrap/>
        <w:overflowPunct/>
        <w:topLinePunct w:val="0"/>
        <w:bidi w:val="0"/>
        <w:adjustRightInd/>
        <w:spacing w:before="0" w:beforeAutospacing="0" w:after="0" w:afterAutospacing="0" w:line="360" w:lineRule="exact"/>
        <w:ind w:firstLine="420" w:firstLineChars="200"/>
        <w:textAlignment w:val="auto"/>
        <w:rPr>
          <w:rFonts w:cs="Times New Roman"/>
          <w:color w:val="auto"/>
          <w:kern w:val="2"/>
          <w:sz w:val="21"/>
          <w:szCs w:val="21"/>
          <w:highlight w:val="none"/>
        </w:rPr>
      </w:pPr>
      <w:r>
        <w:rPr>
          <w:rFonts w:hint="eastAsia" w:cs="Times New Roman"/>
          <w:color w:val="auto"/>
          <w:kern w:val="2"/>
          <w:sz w:val="21"/>
          <w:szCs w:val="21"/>
          <w:highlight w:val="none"/>
        </w:rPr>
        <w:t>26.2评标委员会负责具体评标事务；</w:t>
      </w:r>
      <w:r>
        <w:rPr>
          <w:rFonts w:cs="Times New Roman"/>
          <w:color w:val="auto"/>
          <w:kern w:val="2"/>
          <w:sz w:val="21"/>
          <w:szCs w:val="21"/>
          <w:highlight w:val="none"/>
        </w:rPr>
        <w:t>审查、评价投标文件是否符合招标文件的商务、技术等实质性要求；要求投标人对投标文件有关事项作出澄清或者说明；对投标文件进行比较和评价；确定中标候选人名单，以及根据采购人委托直接确定中标人；向采购人、采购代理机构或者有关部门报告评标中发现的违法行为。</w:t>
      </w:r>
    </w:p>
    <w:p w14:paraId="0BD8FAE8">
      <w:pPr>
        <w:pStyle w:val="45"/>
        <w:keepNext w:val="0"/>
        <w:keepLines w:val="0"/>
        <w:pageBreakBefore w:val="0"/>
        <w:shd w:val="clear" w:color="auto" w:fill="FFFFFF"/>
        <w:kinsoku/>
        <w:wordWrap/>
        <w:overflowPunct/>
        <w:topLinePunct w:val="0"/>
        <w:bidi w:val="0"/>
        <w:adjustRightInd/>
        <w:spacing w:before="0" w:beforeAutospacing="0" w:after="0" w:afterAutospacing="0" w:line="360" w:lineRule="exact"/>
        <w:ind w:firstLine="420" w:firstLineChars="200"/>
        <w:textAlignment w:val="auto"/>
        <w:rPr>
          <w:rFonts w:cs="Times New Roman"/>
          <w:color w:val="auto"/>
          <w:kern w:val="2"/>
          <w:sz w:val="21"/>
          <w:szCs w:val="21"/>
          <w:highlight w:val="none"/>
        </w:rPr>
      </w:pPr>
      <w:r>
        <w:rPr>
          <w:rFonts w:hint="eastAsia" w:cs="Times New Roman"/>
          <w:color w:val="auto"/>
          <w:kern w:val="2"/>
          <w:sz w:val="21"/>
          <w:szCs w:val="21"/>
          <w:highlight w:val="none"/>
        </w:rPr>
        <w:t>26.3在评标过程中，评标委员会任何人不得对某个投标人发表任何倾向性意见，不得向其他专家评委明示或者暗示自己的评审意见。</w:t>
      </w:r>
    </w:p>
    <w:p w14:paraId="658FD995">
      <w:pPr>
        <w:keepNext w:val="0"/>
        <w:keepLines w:val="0"/>
        <w:pageBreakBefore w:val="0"/>
        <w:tabs>
          <w:tab w:val="left" w:pos="1140"/>
        </w:tabs>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26.4</w:t>
      </w:r>
      <w:r>
        <w:rPr>
          <w:rFonts w:ascii="宋体" w:hAnsi="宋体"/>
          <w:color w:val="auto"/>
          <w:szCs w:val="21"/>
          <w:highlight w:val="none"/>
        </w:rPr>
        <w:t>评标委员会应当对符合资格的投标人的投标文件进行符合性审查，以确定其是否满足招标文件的实质性要求。</w:t>
      </w:r>
    </w:p>
    <w:p w14:paraId="54D8E4C3">
      <w:pPr>
        <w:keepNext w:val="0"/>
        <w:keepLines w:val="0"/>
        <w:pageBreakBefore w:val="0"/>
        <w:tabs>
          <w:tab w:val="left" w:pos="1140"/>
        </w:tabs>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26.5对于投标文件中含义不明确、同类问题表述不一致或者有明显文字和计算错误的内容，评标委员会应当以书面形式要求投标人作出必要的澄清、说明或者补正。</w:t>
      </w:r>
    </w:p>
    <w:p w14:paraId="0FBD78AB">
      <w:pPr>
        <w:keepNext w:val="0"/>
        <w:keepLines w:val="0"/>
        <w:pageBreakBefore w:val="0"/>
        <w:tabs>
          <w:tab w:val="left" w:pos="1140"/>
        </w:tabs>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s="宋体"/>
          <w:bCs/>
          <w:color w:val="auto"/>
          <w:szCs w:val="21"/>
          <w:highlight w:val="none"/>
        </w:rPr>
        <w:t>投标人的澄清、说明或者补正应当通过广西政府采购云平台采用在线书面形式，澄清、说明或者补正应当签字或者电子签名【法定代表人或相应的授权委托代理人签字（或者电子签名）均可】或加盖投标人电子签章。</w:t>
      </w:r>
      <w:r>
        <w:rPr>
          <w:rFonts w:hint="eastAsia" w:ascii="宋体" w:hAnsi="宋体" w:cs="宋体"/>
          <w:color w:val="auto"/>
          <w:szCs w:val="21"/>
          <w:highlight w:val="none"/>
        </w:rPr>
        <w:t>投标人的澄清、说明或者补正不得超出投标文件的范围或者改变投标文件的实质性内容。</w:t>
      </w:r>
    </w:p>
    <w:p w14:paraId="00B341B5">
      <w:pPr>
        <w:pStyle w:val="26"/>
        <w:keepNext w:val="0"/>
        <w:keepLines w:val="0"/>
        <w:pageBreakBefore w:val="0"/>
        <w:kinsoku/>
        <w:wordWrap/>
        <w:overflowPunct/>
        <w:topLinePunct w:val="0"/>
        <w:bidi w:val="0"/>
        <w:adjustRightInd/>
        <w:spacing w:line="360" w:lineRule="exact"/>
        <w:ind w:firstLine="411" w:firstLineChars="196"/>
        <w:textAlignment w:val="auto"/>
        <w:rPr>
          <w:rFonts w:hAnsi="宋体"/>
          <w:color w:val="auto"/>
          <w:szCs w:val="21"/>
          <w:highlight w:val="none"/>
        </w:rPr>
      </w:pPr>
      <w:r>
        <w:rPr>
          <w:rFonts w:hint="eastAsia" w:hAnsi="宋体"/>
          <w:color w:val="auto"/>
          <w:szCs w:val="21"/>
          <w:highlight w:val="none"/>
        </w:rPr>
        <w:t>26.6</w:t>
      </w:r>
      <w:r>
        <w:rPr>
          <w:rFonts w:hAnsi="宋体"/>
          <w:color w:val="auto"/>
          <w:szCs w:val="21"/>
          <w:highlight w:val="none"/>
        </w:rPr>
        <w:t>评标委员会应当按照招标文件中规定的评标方法和标准，对符合性审查合格的投标文件进行商务和技术评估，综合比较与评价。</w:t>
      </w:r>
    </w:p>
    <w:p w14:paraId="0EFEB69A">
      <w:pPr>
        <w:pStyle w:val="26"/>
        <w:keepNext w:val="0"/>
        <w:keepLines w:val="0"/>
        <w:pageBreakBefore w:val="0"/>
        <w:kinsoku/>
        <w:wordWrap/>
        <w:overflowPunct/>
        <w:topLinePunct w:val="0"/>
        <w:bidi w:val="0"/>
        <w:adjustRightInd/>
        <w:snapToGrid w:val="0"/>
        <w:spacing w:line="360" w:lineRule="exact"/>
        <w:ind w:firstLine="420" w:firstLineChars="200"/>
        <w:textAlignment w:val="auto"/>
        <w:rPr>
          <w:rFonts w:hint="eastAsia" w:hAnsi="宋体"/>
          <w:color w:val="auto"/>
          <w:highlight w:val="none"/>
        </w:rPr>
      </w:pPr>
      <w:r>
        <w:rPr>
          <w:rFonts w:hint="eastAsia" w:hAnsi="宋体"/>
          <w:color w:val="auto"/>
          <w:highlight w:val="none"/>
        </w:rPr>
        <w:t>26.7评标委员会成员应当独立对每个投标人的投标文件进行评价，最终汇总每个投标人的得分。各投标人的得分为所有评委的有效评分的算术平均数。</w:t>
      </w:r>
    </w:p>
    <w:p w14:paraId="49373C77">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26.8</w:t>
      </w:r>
      <w:r>
        <w:rPr>
          <w:rFonts w:ascii="宋体" w:hAnsi="宋体"/>
          <w:b/>
          <w:color w:val="auto"/>
          <w:szCs w:val="21"/>
          <w:highlight w:val="none"/>
        </w:rPr>
        <w:t>投标文件报价出现前后不一致的，除招标文件另有规定外，按照下列规定修正：</w:t>
      </w:r>
    </w:p>
    <w:p w14:paraId="400BDDEF">
      <w:pPr>
        <w:keepNext w:val="0"/>
        <w:keepLines w:val="0"/>
        <w:pageBreakBefore w:val="0"/>
        <w:kinsoku/>
        <w:wordWrap/>
        <w:overflowPunct/>
        <w:topLinePunct w:val="0"/>
        <w:bidi w:val="0"/>
        <w:adjustRightInd/>
        <w:spacing w:line="360" w:lineRule="exact"/>
        <w:ind w:firstLine="310" w:firstLineChars="147"/>
        <w:textAlignment w:val="auto"/>
        <w:rPr>
          <w:rFonts w:ascii="宋体" w:hAnsi="宋体"/>
          <w:b/>
          <w:color w:val="auto"/>
          <w:szCs w:val="21"/>
          <w:highlight w:val="none"/>
        </w:rPr>
      </w:pPr>
      <w:r>
        <w:rPr>
          <w:rFonts w:ascii="宋体" w:hAnsi="宋体"/>
          <w:b/>
          <w:color w:val="auto"/>
          <w:szCs w:val="21"/>
          <w:highlight w:val="none"/>
        </w:rPr>
        <w:t>（</w:t>
      </w:r>
      <w:r>
        <w:rPr>
          <w:rFonts w:hint="eastAsia" w:ascii="宋体" w:hAnsi="宋体"/>
          <w:b/>
          <w:color w:val="auto"/>
          <w:szCs w:val="21"/>
          <w:highlight w:val="none"/>
        </w:rPr>
        <w:t>1</w:t>
      </w:r>
      <w:r>
        <w:rPr>
          <w:rFonts w:ascii="宋体" w:hAnsi="宋体"/>
          <w:b/>
          <w:color w:val="auto"/>
          <w:szCs w:val="21"/>
          <w:highlight w:val="none"/>
        </w:rPr>
        <w:t>）投标文件中</w:t>
      </w:r>
      <w:r>
        <w:rPr>
          <w:rFonts w:hint="eastAsia" w:ascii="宋体" w:hAnsi="宋体"/>
          <w:b/>
          <w:color w:val="auto"/>
          <w:szCs w:val="21"/>
          <w:highlight w:val="none"/>
        </w:rPr>
        <w:t>投标报价表</w:t>
      </w:r>
      <w:r>
        <w:rPr>
          <w:rFonts w:ascii="宋体" w:hAnsi="宋体"/>
          <w:b/>
          <w:color w:val="auto"/>
          <w:szCs w:val="21"/>
          <w:highlight w:val="none"/>
        </w:rPr>
        <w:t>内容与投标文件中相应内容不一致的，以</w:t>
      </w:r>
      <w:r>
        <w:rPr>
          <w:rFonts w:hint="eastAsia" w:ascii="宋体" w:hAnsi="宋体"/>
          <w:b/>
          <w:color w:val="auto"/>
          <w:szCs w:val="21"/>
          <w:highlight w:val="none"/>
        </w:rPr>
        <w:t>投标报价表</w:t>
      </w:r>
      <w:r>
        <w:rPr>
          <w:rFonts w:ascii="宋体" w:hAnsi="宋体"/>
          <w:b/>
          <w:color w:val="auto"/>
          <w:szCs w:val="21"/>
          <w:highlight w:val="none"/>
        </w:rPr>
        <w:t>为准；</w:t>
      </w:r>
    </w:p>
    <w:p w14:paraId="08CA77CF">
      <w:pPr>
        <w:keepNext w:val="0"/>
        <w:keepLines w:val="0"/>
        <w:pageBreakBefore w:val="0"/>
        <w:kinsoku/>
        <w:wordWrap/>
        <w:overflowPunct/>
        <w:topLinePunct w:val="0"/>
        <w:bidi w:val="0"/>
        <w:adjustRightInd/>
        <w:spacing w:line="360" w:lineRule="exact"/>
        <w:ind w:firstLine="310" w:firstLineChars="147"/>
        <w:textAlignment w:val="auto"/>
        <w:rPr>
          <w:rFonts w:ascii="宋体" w:hAnsi="宋体"/>
          <w:b/>
          <w:color w:val="auto"/>
          <w:szCs w:val="21"/>
          <w:highlight w:val="none"/>
        </w:rPr>
      </w:pPr>
      <w:r>
        <w:rPr>
          <w:rFonts w:ascii="宋体" w:hAnsi="宋体"/>
          <w:b/>
          <w:color w:val="auto"/>
          <w:szCs w:val="21"/>
          <w:highlight w:val="none"/>
        </w:rPr>
        <w:t>（</w:t>
      </w:r>
      <w:r>
        <w:rPr>
          <w:rFonts w:hint="eastAsia" w:ascii="宋体" w:hAnsi="宋体"/>
          <w:b/>
          <w:color w:val="auto"/>
          <w:szCs w:val="21"/>
          <w:highlight w:val="none"/>
        </w:rPr>
        <w:t>2</w:t>
      </w:r>
      <w:r>
        <w:rPr>
          <w:rFonts w:ascii="宋体" w:hAnsi="宋体"/>
          <w:b/>
          <w:color w:val="auto"/>
          <w:szCs w:val="21"/>
          <w:highlight w:val="none"/>
        </w:rPr>
        <w:t>）大写金额和小写金额不一致的，以大写金额为准；</w:t>
      </w:r>
    </w:p>
    <w:p w14:paraId="1A146B7C">
      <w:pPr>
        <w:keepNext w:val="0"/>
        <w:keepLines w:val="0"/>
        <w:pageBreakBefore w:val="0"/>
        <w:kinsoku/>
        <w:wordWrap/>
        <w:overflowPunct/>
        <w:topLinePunct w:val="0"/>
        <w:bidi w:val="0"/>
        <w:adjustRightInd/>
        <w:spacing w:line="360" w:lineRule="exact"/>
        <w:ind w:firstLine="310" w:firstLineChars="147"/>
        <w:textAlignment w:val="auto"/>
        <w:rPr>
          <w:rFonts w:ascii="宋体" w:hAnsi="宋体"/>
          <w:b/>
          <w:color w:val="auto"/>
          <w:szCs w:val="21"/>
          <w:highlight w:val="none"/>
        </w:rPr>
      </w:pPr>
      <w:r>
        <w:rPr>
          <w:rFonts w:ascii="宋体" w:hAnsi="宋体"/>
          <w:b/>
          <w:color w:val="auto"/>
          <w:szCs w:val="21"/>
          <w:highlight w:val="none"/>
        </w:rPr>
        <w:t>（</w:t>
      </w:r>
      <w:r>
        <w:rPr>
          <w:rFonts w:hint="eastAsia" w:ascii="宋体" w:hAnsi="宋体"/>
          <w:b/>
          <w:color w:val="auto"/>
          <w:szCs w:val="21"/>
          <w:highlight w:val="none"/>
        </w:rPr>
        <w:t>3</w:t>
      </w:r>
      <w:r>
        <w:rPr>
          <w:rFonts w:ascii="宋体" w:hAnsi="宋体"/>
          <w:b/>
          <w:color w:val="auto"/>
          <w:szCs w:val="21"/>
          <w:highlight w:val="none"/>
        </w:rPr>
        <w:t>）单价金额小数点或者百分比有明显错位的，以</w:t>
      </w:r>
      <w:r>
        <w:rPr>
          <w:rFonts w:hint="eastAsia" w:ascii="宋体" w:hAnsi="宋体"/>
          <w:b/>
          <w:color w:val="auto"/>
          <w:szCs w:val="21"/>
          <w:highlight w:val="none"/>
        </w:rPr>
        <w:t>投标报价</w:t>
      </w:r>
      <w:r>
        <w:rPr>
          <w:rFonts w:ascii="宋体" w:hAnsi="宋体"/>
          <w:b/>
          <w:color w:val="auto"/>
          <w:szCs w:val="21"/>
          <w:highlight w:val="none"/>
        </w:rPr>
        <w:t>表的总价为准，并修改单价；</w:t>
      </w:r>
    </w:p>
    <w:p w14:paraId="2C9DD155">
      <w:pPr>
        <w:keepNext w:val="0"/>
        <w:keepLines w:val="0"/>
        <w:pageBreakBefore w:val="0"/>
        <w:kinsoku/>
        <w:wordWrap/>
        <w:overflowPunct/>
        <w:topLinePunct w:val="0"/>
        <w:bidi w:val="0"/>
        <w:adjustRightInd/>
        <w:spacing w:line="360" w:lineRule="exact"/>
        <w:ind w:firstLine="310" w:firstLineChars="147"/>
        <w:textAlignment w:val="auto"/>
        <w:rPr>
          <w:rFonts w:ascii="宋体" w:hAnsi="宋体"/>
          <w:b/>
          <w:color w:val="auto"/>
          <w:szCs w:val="21"/>
          <w:highlight w:val="none"/>
        </w:rPr>
      </w:pPr>
      <w:r>
        <w:rPr>
          <w:rFonts w:ascii="宋体" w:hAnsi="宋体"/>
          <w:b/>
          <w:color w:val="auto"/>
          <w:szCs w:val="21"/>
          <w:highlight w:val="none"/>
        </w:rPr>
        <w:t>（</w:t>
      </w:r>
      <w:r>
        <w:rPr>
          <w:rFonts w:hint="eastAsia" w:ascii="宋体" w:hAnsi="宋体"/>
          <w:b/>
          <w:color w:val="auto"/>
          <w:szCs w:val="21"/>
          <w:highlight w:val="none"/>
        </w:rPr>
        <w:t>4</w:t>
      </w:r>
      <w:r>
        <w:rPr>
          <w:rFonts w:ascii="宋体" w:hAnsi="宋体"/>
          <w:b/>
          <w:color w:val="auto"/>
          <w:szCs w:val="21"/>
          <w:highlight w:val="none"/>
        </w:rPr>
        <w:t>）总价金额与按单价汇总金额不一致的，以单价金额计算结果为准。</w:t>
      </w:r>
    </w:p>
    <w:p w14:paraId="49C83956">
      <w:pPr>
        <w:keepNext w:val="0"/>
        <w:keepLines w:val="0"/>
        <w:pageBreakBefore w:val="0"/>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ascii="宋体" w:hAnsi="宋体"/>
          <w:b/>
          <w:color w:val="auto"/>
          <w:szCs w:val="21"/>
          <w:highlight w:val="none"/>
        </w:rPr>
        <w:t>同时出现两种以上不一致的，按照前款规定的顺序修正。修正后的报价</w:t>
      </w:r>
      <w:r>
        <w:rPr>
          <w:rFonts w:hint="eastAsia" w:ascii="宋体" w:hAnsi="宋体"/>
          <w:b/>
          <w:color w:val="auto"/>
          <w:szCs w:val="21"/>
          <w:highlight w:val="none"/>
        </w:rPr>
        <w:t>（</w:t>
      </w:r>
      <w:r>
        <w:rPr>
          <w:rFonts w:ascii="宋体" w:hAnsi="宋体"/>
          <w:b/>
          <w:color w:val="auto"/>
          <w:szCs w:val="21"/>
          <w:highlight w:val="none"/>
        </w:rPr>
        <w:t>不得超出投标文件的范围或者改变投标文件的实质性内容</w:t>
      </w:r>
      <w:r>
        <w:rPr>
          <w:rFonts w:hint="eastAsia" w:ascii="宋体" w:hAnsi="宋体"/>
          <w:b/>
          <w:color w:val="auto"/>
          <w:szCs w:val="21"/>
          <w:highlight w:val="none"/>
        </w:rPr>
        <w:t>）</w:t>
      </w:r>
      <w:r>
        <w:rPr>
          <w:rFonts w:ascii="宋体" w:hAnsi="宋体"/>
          <w:b/>
          <w:color w:val="auto"/>
          <w:szCs w:val="21"/>
          <w:highlight w:val="none"/>
        </w:rPr>
        <w:t>经投标人确认后产生约束力，投标人不确认的，其投标无效。</w:t>
      </w:r>
    </w:p>
    <w:p w14:paraId="2A06F231">
      <w:pPr>
        <w:keepNext w:val="0"/>
        <w:keepLines w:val="0"/>
        <w:pageBreakBefore w:val="0"/>
        <w:kinsoku/>
        <w:wordWrap/>
        <w:overflowPunct/>
        <w:topLinePunct w:val="0"/>
        <w:bidi w:val="0"/>
        <w:adjustRightInd/>
        <w:snapToGrid w:val="0"/>
        <w:spacing w:line="360" w:lineRule="exact"/>
        <w:ind w:firstLine="422" w:firstLineChars="200"/>
        <w:textAlignment w:val="auto"/>
        <w:rPr>
          <w:rFonts w:hint="eastAsia" w:ascii="宋体" w:hAnsi="宋体" w:eastAsia="宋体"/>
          <w:b/>
          <w:color w:val="auto"/>
          <w:szCs w:val="21"/>
          <w:highlight w:val="none"/>
          <w:lang w:eastAsia="zh-CN"/>
        </w:rPr>
      </w:pPr>
      <w:r>
        <w:rPr>
          <w:rFonts w:hint="eastAsia" w:ascii="宋体" w:hAnsi="宋体"/>
          <w:b/>
          <w:color w:val="auto"/>
          <w:szCs w:val="21"/>
          <w:highlight w:val="none"/>
        </w:rPr>
        <w:t>26.9</w:t>
      </w:r>
      <w:r>
        <w:rPr>
          <w:rFonts w:hint="eastAsia" w:ascii="宋体" w:hAnsi="宋体"/>
          <w:b/>
          <w:color w:val="auto"/>
          <w:szCs w:val="21"/>
          <w:highlight w:val="none"/>
          <w:lang w:eastAsia="zh-CN"/>
        </w:rPr>
        <w:t>异常低价评审</w:t>
      </w:r>
    </w:p>
    <w:p w14:paraId="24ACA707">
      <w:pPr>
        <w:keepNext w:val="0"/>
        <w:keepLines w:val="0"/>
        <w:pageBreakBefore w:val="0"/>
        <w:kinsoku/>
        <w:wordWrap/>
        <w:overflowPunct/>
        <w:topLinePunct w:val="0"/>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评标委员会在评审中发现下列情形之一的，应当启动异常低价投标审查程序：</w:t>
      </w:r>
    </w:p>
    <w:p w14:paraId="57254A3F">
      <w:pPr>
        <w:keepNext w:val="0"/>
        <w:keepLines w:val="0"/>
        <w:pageBreakBefore w:val="0"/>
        <w:kinsoku/>
        <w:wordWrap/>
        <w:overflowPunct/>
        <w:topLinePunct w:val="0"/>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①投标报价低于全部通过符合性审查</w:t>
      </w:r>
      <w:r>
        <w:rPr>
          <w:rFonts w:hint="eastAsia" w:ascii="宋体" w:hAnsi="宋体"/>
          <w:color w:val="auto"/>
          <w:szCs w:val="21"/>
          <w:highlight w:val="none"/>
          <w:lang w:eastAsia="zh-CN"/>
        </w:rPr>
        <w:t>投标人</w:t>
      </w:r>
      <w:r>
        <w:rPr>
          <w:rFonts w:hint="eastAsia" w:ascii="宋体" w:hAnsi="宋体"/>
          <w:color w:val="auto"/>
          <w:szCs w:val="21"/>
          <w:highlight w:val="none"/>
        </w:rPr>
        <w:t>投标报价平均值65%的，即投标报价＜全部通过符合性审查</w:t>
      </w:r>
      <w:r>
        <w:rPr>
          <w:rFonts w:hint="eastAsia" w:ascii="宋体" w:hAnsi="宋体"/>
          <w:color w:val="auto"/>
          <w:szCs w:val="21"/>
          <w:highlight w:val="none"/>
          <w:lang w:eastAsia="zh-CN"/>
        </w:rPr>
        <w:t>投标人</w:t>
      </w:r>
      <w:r>
        <w:rPr>
          <w:rFonts w:hint="eastAsia" w:ascii="宋体" w:hAnsi="宋体"/>
          <w:color w:val="auto"/>
          <w:szCs w:val="21"/>
          <w:highlight w:val="none"/>
        </w:rPr>
        <w:t>投标报价平均值×65%；</w:t>
      </w:r>
    </w:p>
    <w:p w14:paraId="73E45F71">
      <w:pPr>
        <w:keepNext w:val="0"/>
        <w:keepLines w:val="0"/>
        <w:pageBreakBefore w:val="0"/>
        <w:kinsoku/>
        <w:wordWrap/>
        <w:overflowPunct/>
        <w:topLinePunct w:val="0"/>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②投标报价低于通过符合性审查的次低报价</w:t>
      </w:r>
      <w:r>
        <w:rPr>
          <w:rFonts w:hint="eastAsia" w:ascii="宋体" w:hAnsi="宋体"/>
          <w:color w:val="auto"/>
          <w:szCs w:val="21"/>
          <w:highlight w:val="none"/>
          <w:lang w:eastAsia="zh-CN"/>
        </w:rPr>
        <w:t>投标人</w:t>
      </w:r>
      <w:r>
        <w:rPr>
          <w:rFonts w:hint="eastAsia" w:ascii="宋体" w:hAnsi="宋体"/>
          <w:color w:val="auto"/>
          <w:szCs w:val="21"/>
          <w:highlight w:val="none"/>
        </w:rPr>
        <w:t>投标报价65%的，即投标报价＜通过符合性审查的次低报价</w:t>
      </w:r>
      <w:r>
        <w:rPr>
          <w:rFonts w:hint="eastAsia" w:ascii="宋体" w:hAnsi="宋体"/>
          <w:color w:val="auto"/>
          <w:szCs w:val="21"/>
          <w:highlight w:val="none"/>
          <w:lang w:eastAsia="zh-CN"/>
        </w:rPr>
        <w:t>投标人</w:t>
      </w:r>
      <w:r>
        <w:rPr>
          <w:rFonts w:hint="eastAsia" w:ascii="宋体" w:hAnsi="宋体"/>
          <w:color w:val="auto"/>
          <w:szCs w:val="21"/>
          <w:highlight w:val="none"/>
        </w:rPr>
        <w:t>投标报价×65%；</w:t>
      </w:r>
    </w:p>
    <w:p w14:paraId="54F988D1">
      <w:pPr>
        <w:keepNext w:val="0"/>
        <w:keepLines w:val="0"/>
        <w:pageBreakBefore w:val="0"/>
        <w:kinsoku/>
        <w:wordWrap/>
        <w:overflowPunct/>
        <w:topLinePunct w:val="0"/>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③投标报价低于采购项目最高限价65%的，即投标报价＜采购项目最高限价×65%；</w:t>
      </w:r>
    </w:p>
    <w:p w14:paraId="135DCEF1">
      <w:pPr>
        <w:keepNext w:val="0"/>
        <w:keepLines w:val="0"/>
        <w:pageBreakBefore w:val="0"/>
        <w:kinsoku/>
        <w:wordWrap/>
        <w:overflowPunct/>
        <w:topLinePunct w:val="0"/>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④评标委员会基于专业判断，认为</w:t>
      </w:r>
      <w:r>
        <w:rPr>
          <w:rFonts w:hint="eastAsia" w:ascii="宋体" w:hAnsi="宋体"/>
          <w:color w:val="auto"/>
          <w:szCs w:val="21"/>
          <w:highlight w:val="none"/>
          <w:lang w:eastAsia="zh-CN"/>
        </w:rPr>
        <w:t>投标人</w:t>
      </w:r>
      <w:r>
        <w:rPr>
          <w:rFonts w:hint="eastAsia" w:ascii="宋体" w:hAnsi="宋体"/>
          <w:color w:val="auto"/>
          <w:szCs w:val="21"/>
          <w:highlight w:val="none"/>
        </w:rPr>
        <w:t>报价过低，有可能影响产品质量或者不能诚信履约的其他情形。</w:t>
      </w:r>
    </w:p>
    <w:p w14:paraId="171D393B">
      <w:pPr>
        <w:keepNext w:val="0"/>
        <w:keepLines w:val="0"/>
        <w:pageBreakBefore w:val="0"/>
        <w:kinsoku/>
        <w:wordWrap/>
        <w:overflowPunct/>
        <w:topLinePunct w:val="0"/>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2）评标委员会启动异常低价投标审查后，属于前述第①项至第④项情形的，应当要求相关</w:t>
      </w:r>
      <w:r>
        <w:rPr>
          <w:rFonts w:hint="eastAsia" w:ascii="宋体" w:hAnsi="宋体"/>
          <w:color w:val="auto"/>
          <w:szCs w:val="21"/>
          <w:highlight w:val="none"/>
          <w:lang w:eastAsia="zh-CN"/>
        </w:rPr>
        <w:t>投标人</w:t>
      </w:r>
      <w:r>
        <w:rPr>
          <w:rFonts w:hint="eastAsia" w:ascii="宋体" w:hAnsi="宋体"/>
          <w:color w:val="auto"/>
          <w:szCs w:val="21"/>
          <w:highlight w:val="none"/>
        </w:rPr>
        <w:t>在评审现场合理的时间内对投标价格作出解释，提供项目具体成本测算等与报价合理性相关的书面说明及必要的证明材料，包括但不限于原材料成本、人工成本、制造费用等，给予相关</w:t>
      </w:r>
      <w:r>
        <w:rPr>
          <w:rFonts w:hint="eastAsia" w:ascii="宋体" w:hAnsi="宋体"/>
          <w:color w:val="auto"/>
          <w:szCs w:val="21"/>
          <w:highlight w:val="none"/>
          <w:lang w:eastAsia="zh-CN"/>
        </w:rPr>
        <w:t>投标人</w:t>
      </w:r>
      <w:r>
        <w:rPr>
          <w:rFonts w:hint="eastAsia" w:ascii="宋体" w:hAnsi="宋体"/>
          <w:color w:val="auto"/>
          <w:szCs w:val="21"/>
          <w:highlight w:val="none"/>
        </w:rPr>
        <w:t>的合理时间一般不少于30分钟。其中，属于第③项情形，</w:t>
      </w:r>
      <w:r>
        <w:rPr>
          <w:rFonts w:hint="eastAsia" w:ascii="宋体" w:hAnsi="宋体"/>
          <w:color w:val="auto"/>
          <w:szCs w:val="21"/>
          <w:highlight w:val="none"/>
          <w:lang w:eastAsia="zh-CN"/>
        </w:rPr>
        <w:t>投标人</w:t>
      </w:r>
      <w:r>
        <w:rPr>
          <w:rFonts w:hint="eastAsia" w:ascii="宋体" w:hAnsi="宋体"/>
          <w:color w:val="auto"/>
          <w:szCs w:val="21"/>
          <w:highlight w:val="none"/>
        </w:rPr>
        <w:t>已随投标文件一并提交相关书面说明及必要的证明材料的，可不再重复提交。</w:t>
      </w:r>
    </w:p>
    <w:p w14:paraId="331AA4C6">
      <w:pPr>
        <w:keepNext w:val="0"/>
        <w:keepLines w:val="0"/>
        <w:pageBreakBefore w:val="0"/>
        <w:kinsoku/>
        <w:wordWrap/>
        <w:overflowPunct/>
        <w:topLinePunct w:val="0"/>
        <w:bidi w:val="0"/>
        <w:adjustRightInd/>
        <w:snapToGrid w:val="0"/>
        <w:spacing w:line="360" w:lineRule="exact"/>
        <w:ind w:firstLine="420" w:firstLineChars="200"/>
        <w:textAlignment w:val="auto"/>
        <w:rPr>
          <w:rFonts w:hint="eastAsia" w:ascii="宋体" w:hAnsi="宋体"/>
          <w:b/>
          <w:bCs/>
          <w:color w:val="auto"/>
          <w:szCs w:val="21"/>
          <w:highlight w:val="none"/>
        </w:rPr>
      </w:pPr>
      <w:r>
        <w:rPr>
          <w:rFonts w:hint="eastAsia" w:ascii="宋体" w:hAnsi="宋体"/>
          <w:color w:val="auto"/>
          <w:szCs w:val="21"/>
          <w:highlight w:val="none"/>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bCs/>
          <w:color w:val="auto"/>
          <w:szCs w:val="21"/>
          <w:highlight w:val="none"/>
        </w:rPr>
        <w:t>投标</w:t>
      </w:r>
      <w:r>
        <w:rPr>
          <w:rFonts w:hint="eastAsia" w:ascii="宋体" w:hAnsi="宋体"/>
          <w:b/>
          <w:bCs/>
          <w:color w:val="auto"/>
          <w:szCs w:val="21"/>
          <w:highlight w:val="none"/>
          <w:lang w:eastAsia="zh-CN"/>
        </w:rPr>
        <w:t>人</w:t>
      </w:r>
      <w:r>
        <w:rPr>
          <w:rFonts w:hint="eastAsia" w:ascii="宋体" w:hAnsi="宋体"/>
          <w:b/>
          <w:bCs/>
          <w:color w:val="auto"/>
          <w:szCs w:val="21"/>
          <w:highlight w:val="none"/>
        </w:rPr>
        <w:t>不能提供书面说明、证明材料，或者提供的书面说明、证明材料不能证明其报价合理性的，评标委员会应当将其作为无效投标处理。</w:t>
      </w:r>
    </w:p>
    <w:p w14:paraId="1D79E954">
      <w:pPr>
        <w:keepNext w:val="0"/>
        <w:keepLines w:val="0"/>
        <w:pageBreakBefore w:val="0"/>
        <w:kinsoku/>
        <w:wordWrap/>
        <w:overflowPunct/>
        <w:topLinePunct w:val="0"/>
        <w:bidi w:val="0"/>
        <w:adjustRightInd/>
        <w:snapToGrid w:val="0"/>
        <w:spacing w:line="36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6DF298D4">
      <w:pPr>
        <w:keepNext w:val="0"/>
        <w:keepLines w:val="0"/>
        <w:pageBreakBefore w:val="0"/>
        <w:kinsoku/>
        <w:wordWrap/>
        <w:overflowPunct/>
        <w:topLinePunct w:val="0"/>
        <w:bidi w:val="0"/>
        <w:adjustRightInd/>
        <w:spacing w:line="360" w:lineRule="exact"/>
        <w:ind w:firstLine="420" w:firstLineChars="200"/>
        <w:textAlignment w:val="auto"/>
        <w:rPr>
          <w:rFonts w:ascii="宋体" w:hAnsi="宋体"/>
          <w:b/>
          <w:color w:val="auto"/>
          <w:szCs w:val="21"/>
          <w:highlight w:val="none"/>
        </w:rPr>
      </w:pPr>
      <w:r>
        <w:rPr>
          <w:rFonts w:hint="eastAsia" w:ascii="宋体" w:hAnsi="宋体"/>
          <w:color w:val="auto"/>
          <w:szCs w:val="21"/>
          <w:highlight w:val="none"/>
        </w:rPr>
        <w:t>异常低价投标审查的启动原因、审查意见和审查结果应当在评审报告中记录，并随</w:t>
      </w:r>
      <w:r>
        <w:rPr>
          <w:rFonts w:hint="eastAsia" w:ascii="宋体" w:hAnsi="宋体"/>
          <w:color w:val="auto"/>
          <w:szCs w:val="21"/>
          <w:highlight w:val="none"/>
          <w:lang w:eastAsia="zh-CN"/>
        </w:rPr>
        <w:t>投标人</w:t>
      </w:r>
      <w:r>
        <w:rPr>
          <w:rFonts w:hint="eastAsia" w:ascii="宋体" w:hAnsi="宋体"/>
          <w:color w:val="auto"/>
          <w:szCs w:val="21"/>
          <w:highlight w:val="none"/>
        </w:rPr>
        <w:t>提供的相关书面说明及证明材料，以及评标委员会有关互联网浏览、查询历史一并归档。</w:t>
      </w:r>
    </w:p>
    <w:p w14:paraId="0F898E19">
      <w:pPr>
        <w:pStyle w:val="26"/>
        <w:keepNext w:val="0"/>
        <w:keepLines w:val="0"/>
        <w:pageBreakBefore w:val="0"/>
        <w:kinsoku/>
        <w:wordWrap/>
        <w:overflowPunct/>
        <w:topLinePunct w:val="0"/>
        <w:bidi w:val="0"/>
        <w:adjustRightInd/>
        <w:spacing w:line="360" w:lineRule="exact"/>
        <w:ind w:firstLine="411" w:firstLineChars="196"/>
        <w:textAlignment w:val="auto"/>
        <w:rPr>
          <w:rFonts w:hAnsi="宋体"/>
          <w:color w:val="auto"/>
          <w:szCs w:val="21"/>
          <w:highlight w:val="none"/>
        </w:rPr>
      </w:pPr>
      <w:r>
        <w:rPr>
          <w:rFonts w:hint="eastAsia" w:hAnsi="宋体"/>
          <w:color w:val="auto"/>
          <w:szCs w:val="21"/>
          <w:highlight w:val="none"/>
        </w:rPr>
        <w:t>26.10</w:t>
      </w:r>
      <w:r>
        <w:rPr>
          <w:rFonts w:hAnsi="宋体"/>
          <w:color w:val="auto"/>
          <w:szCs w:val="21"/>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3E32B590">
      <w:pPr>
        <w:keepNext w:val="0"/>
        <w:keepLines w:val="0"/>
        <w:pageBreakBefore w:val="0"/>
        <w:kinsoku/>
        <w:wordWrap/>
        <w:overflowPunct/>
        <w:topLinePunct w:val="0"/>
        <w:bidi w:val="0"/>
        <w:adjustRightInd/>
        <w:snapToGrid w:val="0"/>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26.11</w:t>
      </w:r>
      <w:r>
        <w:rPr>
          <w:rFonts w:ascii="宋体" w:hAnsi="宋体"/>
          <w:color w:val="auto"/>
          <w:szCs w:val="21"/>
          <w:highlight w:val="none"/>
        </w:rPr>
        <w:t>评标结果汇总完成后，除下列情形外，任何人不得修改评标结果：</w:t>
      </w:r>
    </w:p>
    <w:p w14:paraId="0A450193">
      <w:pPr>
        <w:keepNext w:val="0"/>
        <w:keepLines w:val="0"/>
        <w:pageBreakBefore w:val="0"/>
        <w:kinsoku/>
        <w:wordWrap/>
        <w:overflowPunct/>
        <w:topLinePunct w:val="0"/>
        <w:bidi w:val="0"/>
        <w:adjustRightInd/>
        <w:snapToGrid w:val="0"/>
        <w:spacing w:line="360" w:lineRule="exact"/>
        <w:ind w:firstLine="420" w:firstLineChars="200"/>
        <w:textAlignment w:val="auto"/>
        <w:rPr>
          <w:rFonts w:ascii="宋体" w:hAnsi="宋体"/>
          <w:color w:val="auto"/>
          <w:szCs w:val="21"/>
          <w:highlight w:val="none"/>
        </w:rPr>
      </w:pPr>
      <w:r>
        <w:rPr>
          <w:rFonts w:ascii="宋体" w:hAnsi="宋体"/>
          <w:color w:val="auto"/>
          <w:szCs w:val="21"/>
          <w:highlight w:val="none"/>
        </w:rPr>
        <w:t>　　（一）分值汇总计算错误的；</w:t>
      </w:r>
    </w:p>
    <w:p w14:paraId="5C06AD62">
      <w:pPr>
        <w:keepNext w:val="0"/>
        <w:keepLines w:val="0"/>
        <w:pageBreakBefore w:val="0"/>
        <w:kinsoku/>
        <w:wordWrap/>
        <w:overflowPunct/>
        <w:topLinePunct w:val="0"/>
        <w:bidi w:val="0"/>
        <w:adjustRightInd/>
        <w:snapToGrid w:val="0"/>
        <w:spacing w:line="360" w:lineRule="exact"/>
        <w:ind w:firstLine="420" w:firstLineChars="200"/>
        <w:textAlignment w:val="auto"/>
        <w:rPr>
          <w:rFonts w:ascii="宋体" w:hAnsi="宋体"/>
          <w:color w:val="auto"/>
          <w:szCs w:val="21"/>
          <w:highlight w:val="none"/>
        </w:rPr>
      </w:pPr>
      <w:r>
        <w:rPr>
          <w:rFonts w:ascii="宋体" w:hAnsi="宋体"/>
          <w:color w:val="auto"/>
          <w:szCs w:val="21"/>
          <w:highlight w:val="none"/>
        </w:rPr>
        <w:t>　　（二）分项评分超出评分标准范围的；</w:t>
      </w:r>
    </w:p>
    <w:p w14:paraId="691F8CE6">
      <w:pPr>
        <w:keepNext w:val="0"/>
        <w:keepLines w:val="0"/>
        <w:pageBreakBefore w:val="0"/>
        <w:kinsoku/>
        <w:wordWrap/>
        <w:overflowPunct/>
        <w:topLinePunct w:val="0"/>
        <w:bidi w:val="0"/>
        <w:adjustRightInd/>
        <w:snapToGrid w:val="0"/>
        <w:spacing w:line="360" w:lineRule="exact"/>
        <w:ind w:firstLine="420" w:firstLineChars="200"/>
        <w:textAlignment w:val="auto"/>
        <w:rPr>
          <w:rFonts w:ascii="宋体" w:hAnsi="宋体"/>
          <w:color w:val="auto"/>
          <w:szCs w:val="21"/>
          <w:highlight w:val="none"/>
        </w:rPr>
      </w:pPr>
      <w:r>
        <w:rPr>
          <w:rFonts w:ascii="宋体" w:hAnsi="宋体"/>
          <w:color w:val="auto"/>
          <w:szCs w:val="21"/>
          <w:highlight w:val="none"/>
        </w:rPr>
        <w:t>　　（三）评标委员会成员对客观评审因素评分不一致的；</w:t>
      </w:r>
    </w:p>
    <w:p w14:paraId="74C41FDC">
      <w:pPr>
        <w:keepNext w:val="0"/>
        <w:keepLines w:val="0"/>
        <w:pageBreakBefore w:val="0"/>
        <w:kinsoku/>
        <w:wordWrap/>
        <w:overflowPunct/>
        <w:topLinePunct w:val="0"/>
        <w:bidi w:val="0"/>
        <w:adjustRightInd/>
        <w:snapToGrid w:val="0"/>
        <w:spacing w:line="360" w:lineRule="exact"/>
        <w:ind w:firstLine="420" w:firstLineChars="200"/>
        <w:textAlignment w:val="auto"/>
        <w:rPr>
          <w:rFonts w:ascii="宋体" w:hAnsi="宋体"/>
          <w:color w:val="auto"/>
          <w:szCs w:val="21"/>
          <w:highlight w:val="none"/>
        </w:rPr>
      </w:pPr>
      <w:r>
        <w:rPr>
          <w:rFonts w:ascii="宋体" w:hAnsi="宋体"/>
          <w:color w:val="auto"/>
          <w:szCs w:val="21"/>
          <w:highlight w:val="none"/>
        </w:rPr>
        <w:t>　　（四）经评标委员会认定评分畸高、畸低的。</w:t>
      </w:r>
    </w:p>
    <w:p w14:paraId="52DB9175">
      <w:pPr>
        <w:keepNext w:val="0"/>
        <w:keepLines w:val="0"/>
        <w:pageBreakBefore w:val="0"/>
        <w:kinsoku/>
        <w:wordWrap/>
        <w:overflowPunct/>
        <w:topLinePunct w:val="0"/>
        <w:bidi w:val="0"/>
        <w:adjustRightInd/>
        <w:snapToGrid w:val="0"/>
        <w:spacing w:line="360" w:lineRule="exact"/>
        <w:ind w:firstLine="420" w:firstLineChars="200"/>
        <w:textAlignment w:val="auto"/>
        <w:rPr>
          <w:rFonts w:ascii="宋体" w:hAnsi="宋体"/>
          <w:color w:val="auto"/>
          <w:szCs w:val="21"/>
          <w:highlight w:val="none"/>
        </w:rPr>
      </w:pPr>
      <w:r>
        <w:rPr>
          <w:rFonts w:ascii="宋体" w:hAnsi="宋体"/>
          <w:color w:val="auto"/>
          <w:szCs w:val="21"/>
          <w:highlight w:val="none"/>
        </w:rPr>
        <w:t>评标报告签署前，经复核发现存在以上情形之一的，评标委员会应当当场修改评标结果，并在评标</w:t>
      </w:r>
    </w:p>
    <w:p w14:paraId="3759AB50">
      <w:pPr>
        <w:keepNext w:val="0"/>
        <w:keepLines w:val="0"/>
        <w:pageBreakBefore w:val="0"/>
        <w:kinsoku/>
        <w:wordWrap/>
        <w:overflowPunct/>
        <w:topLinePunct w:val="0"/>
        <w:bidi w:val="0"/>
        <w:adjustRightInd/>
        <w:snapToGrid w:val="0"/>
        <w:spacing w:line="360" w:lineRule="exact"/>
        <w:textAlignment w:val="auto"/>
        <w:rPr>
          <w:rFonts w:ascii="宋体" w:hAnsi="宋体"/>
          <w:color w:val="auto"/>
          <w:szCs w:val="21"/>
          <w:highlight w:val="none"/>
        </w:rPr>
      </w:pPr>
      <w:r>
        <w:rPr>
          <w:rFonts w:ascii="宋体" w:hAnsi="宋体"/>
          <w:color w:val="auto"/>
          <w:szCs w:val="21"/>
          <w:highlight w:val="none"/>
        </w:rPr>
        <w:t>报告中记载；评标报告签署后，采购人或者采购代理机构发现存在以上情形之一的，应当组织原评标委员会进行重新评审，重新评审改变评标结果的，书面报告本级财政部门。</w:t>
      </w:r>
    </w:p>
    <w:p w14:paraId="20D1D22D">
      <w:pPr>
        <w:keepNext w:val="0"/>
        <w:keepLines w:val="0"/>
        <w:pageBreakBefore w:val="0"/>
        <w:kinsoku/>
        <w:wordWrap/>
        <w:overflowPunct/>
        <w:topLinePunct w:val="0"/>
        <w:bidi w:val="0"/>
        <w:adjustRightInd/>
        <w:snapToGrid w:val="0"/>
        <w:spacing w:line="360" w:lineRule="exact"/>
        <w:ind w:firstLine="420" w:firstLineChars="200"/>
        <w:textAlignment w:val="auto"/>
        <w:rPr>
          <w:rFonts w:ascii="宋体" w:hAnsi="宋体"/>
          <w:color w:val="auto"/>
          <w:szCs w:val="21"/>
          <w:highlight w:val="none"/>
        </w:rPr>
      </w:pPr>
      <w:r>
        <w:rPr>
          <w:rFonts w:ascii="宋体" w:hAnsi="宋体"/>
          <w:color w:val="auto"/>
          <w:szCs w:val="21"/>
          <w:highlight w:val="none"/>
        </w:rPr>
        <w:t>投标人对本条第一款情形提出质疑的，采购人或者采购代理机构可以组织原评标委员会进行重新评审，重新评审改变评标结果的，应当书面报告本级财政部门。</w:t>
      </w:r>
    </w:p>
    <w:p w14:paraId="085A9A12">
      <w:pPr>
        <w:pStyle w:val="26"/>
        <w:keepNext w:val="0"/>
        <w:keepLines w:val="0"/>
        <w:pageBreakBefore w:val="0"/>
        <w:kinsoku/>
        <w:wordWrap/>
        <w:overflowPunct/>
        <w:topLinePunct w:val="0"/>
        <w:bidi w:val="0"/>
        <w:adjustRightInd/>
        <w:spacing w:line="360" w:lineRule="exact"/>
        <w:ind w:firstLine="411" w:firstLineChars="196"/>
        <w:textAlignment w:val="auto"/>
        <w:rPr>
          <w:rFonts w:hAnsi="宋体"/>
          <w:color w:val="auto"/>
          <w:szCs w:val="21"/>
          <w:highlight w:val="none"/>
        </w:rPr>
      </w:pPr>
      <w:r>
        <w:rPr>
          <w:rFonts w:hint="eastAsia" w:hAnsi="宋体"/>
          <w:color w:val="auto"/>
          <w:szCs w:val="21"/>
          <w:highlight w:val="none"/>
        </w:rPr>
        <w:t>26.12采购代理机构发现评标委员会有明显的违规倾向或歧视现象，或不按评标办法进行，或其他不正常行为的，应当及时制止。如制止无效，应及时向桂林市财政局报告。</w:t>
      </w:r>
    </w:p>
    <w:p w14:paraId="66D69465">
      <w:pPr>
        <w:pStyle w:val="26"/>
        <w:keepNext w:val="0"/>
        <w:keepLines w:val="0"/>
        <w:pageBreakBefore w:val="0"/>
        <w:tabs>
          <w:tab w:val="left" w:pos="4214"/>
        </w:tabs>
        <w:kinsoku/>
        <w:wordWrap/>
        <w:overflowPunct/>
        <w:topLinePunct w:val="0"/>
        <w:bidi w:val="0"/>
        <w:adjustRightInd/>
        <w:spacing w:line="360" w:lineRule="exact"/>
        <w:ind w:firstLine="422" w:firstLineChars="200"/>
        <w:textAlignment w:val="auto"/>
        <w:rPr>
          <w:rFonts w:hAnsi="宋体"/>
          <w:b/>
          <w:color w:val="auto"/>
          <w:highlight w:val="none"/>
        </w:rPr>
      </w:pPr>
      <w:r>
        <w:rPr>
          <w:rFonts w:hint="eastAsia" w:hAnsi="宋体"/>
          <w:b/>
          <w:color w:val="auto"/>
          <w:highlight w:val="none"/>
        </w:rPr>
        <w:t>27</w:t>
      </w:r>
      <w:r>
        <w:rPr>
          <w:rFonts w:hint="eastAsia" w:hAnsi="宋体"/>
          <w:color w:val="auto"/>
          <w:highlight w:val="none"/>
        </w:rPr>
        <w:t>.</w:t>
      </w:r>
      <w:r>
        <w:rPr>
          <w:rFonts w:hint="eastAsia" w:hAnsi="宋体"/>
          <w:b/>
          <w:color w:val="auto"/>
          <w:highlight w:val="none"/>
        </w:rPr>
        <w:t>推荐及确定中标候选人原则</w:t>
      </w:r>
    </w:p>
    <w:p w14:paraId="644FAF20">
      <w:pPr>
        <w:pStyle w:val="26"/>
        <w:keepNext w:val="0"/>
        <w:keepLines w:val="0"/>
        <w:pageBreakBefore w:val="0"/>
        <w:tabs>
          <w:tab w:val="left" w:pos="4214"/>
        </w:tabs>
        <w:kinsoku/>
        <w:wordWrap/>
        <w:overflowPunct/>
        <w:topLinePunct w:val="0"/>
        <w:bidi w:val="0"/>
        <w:adjustRightInd/>
        <w:spacing w:line="360" w:lineRule="exact"/>
        <w:ind w:firstLine="420" w:firstLineChars="200"/>
        <w:textAlignment w:val="auto"/>
        <w:rPr>
          <w:color w:val="auto"/>
          <w:highlight w:val="none"/>
        </w:rPr>
      </w:pPr>
      <w:r>
        <w:rPr>
          <w:rFonts w:hint="eastAsia"/>
          <w:color w:val="auto"/>
          <w:highlight w:val="none"/>
        </w:rPr>
        <w:t>（1）评标委员会将根据评标结果按评审后得分由高到低顺序排列。得分相同的，按投标报价由低到高顺序排列；得分相同且投标报价相同的并列。投标文件满足招标文件全部实质性要求，且按照评审因素的量化指标评审得分最高的投标人为排名第一的中标候选人。</w:t>
      </w:r>
    </w:p>
    <w:p w14:paraId="483F2B56">
      <w:pPr>
        <w:pStyle w:val="26"/>
        <w:keepNext w:val="0"/>
        <w:keepLines w:val="0"/>
        <w:pageBreakBefore w:val="0"/>
        <w:tabs>
          <w:tab w:val="left" w:pos="4214"/>
        </w:tabs>
        <w:kinsoku/>
        <w:wordWrap/>
        <w:overflowPunct/>
        <w:topLinePunct w:val="0"/>
        <w:bidi w:val="0"/>
        <w:adjustRightInd/>
        <w:spacing w:line="360" w:lineRule="exact"/>
        <w:ind w:firstLine="420" w:firstLineChars="200"/>
        <w:textAlignment w:val="auto"/>
        <w:rPr>
          <w:rFonts w:hint="eastAsia" w:ascii="宋体" w:eastAsia="宋体" w:cs="Times New Roman"/>
          <w:color w:val="auto"/>
          <w:highlight w:val="none"/>
        </w:rPr>
      </w:pPr>
      <w:r>
        <w:rPr>
          <w:rFonts w:hint="eastAsia"/>
          <w:color w:val="auto"/>
          <w:highlight w:val="none"/>
        </w:rPr>
        <w:t>（2）采购人应当自收到评标报告之日起</w:t>
      </w:r>
      <w:r>
        <w:rPr>
          <w:color w:val="auto"/>
          <w:highlight w:val="none"/>
        </w:rPr>
        <w:t>5</w:t>
      </w:r>
      <w:r>
        <w:rPr>
          <w:rFonts w:hint="eastAsia"/>
          <w:color w:val="auto"/>
          <w:highlight w:val="none"/>
        </w:rPr>
        <w:t>个工作日内，在评标报告确定的中标候选人名单中按顺序确定中标人。中标候选人并列的</w:t>
      </w:r>
      <w:r>
        <w:rPr>
          <w:color w:val="auto"/>
          <w:highlight w:val="none"/>
        </w:rPr>
        <w:t>，采购人</w:t>
      </w:r>
      <w:r>
        <w:rPr>
          <w:rFonts w:hint="eastAsia"/>
          <w:color w:val="auto"/>
          <w:highlight w:val="none"/>
        </w:rPr>
        <w:t>按</w:t>
      </w:r>
      <w:r>
        <w:rPr>
          <w:rFonts w:hint="eastAsia"/>
          <w:color w:val="auto"/>
          <w:highlight w:val="none"/>
          <w:lang w:eastAsia="zh-CN"/>
        </w:rPr>
        <w:t>以下</w:t>
      </w:r>
      <w:r>
        <w:rPr>
          <w:rFonts w:hint="eastAsia"/>
          <w:color w:val="auto"/>
          <w:highlight w:val="none"/>
        </w:rPr>
        <w:t>方</w:t>
      </w:r>
      <w:r>
        <w:rPr>
          <w:rFonts w:hint="eastAsia" w:ascii="宋体" w:eastAsia="宋体" w:cs="Times New Roman"/>
          <w:color w:val="auto"/>
          <w:highlight w:val="none"/>
        </w:rPr>
        <w:t>式确定中标人：依次按技术分高的优先、配送及安装实施方案分的优先、售后服务方案分高的优先、履约能力分高</w:t>
      </w:r>
      <w:r>
        <w:rPr>
          <w:rFonts w:hint="eastAsia"/>
          <w:color w:val="auto"/>
          <w:highlight w:val="none"/>
        </w:rPr>
        <w:t>的优先、政策功能分（节能、环保）高的优先、</w:t>
      </w:r>
      <w:r>
        <w:rPr>
          <w:rFonts w:hint="eastAsia"/>
          <w:color w:val="auto"/>
          <w:highlight w:val="none"/>
          <w:lang w:eastAsia="zh-CN"/>
        </w:rPr>
        <w:t>质保期</w:t>
      </w:r>
      <w:r>
        <w:rPr>
          <w:rFonts w:hint="eastAsia"/>
          <w:color w:val="auto"/>
          <w:highlight w:val="none"/>
        </w:rPr>
        <w:t>长的优先、交付时间短的优先顺序确定中标人。</w:t>
      </w:r>
    </w:p>
    <w:p w14:paraId="57AC13D6">
      <w:pPr>
        <w:pStyle w:val="26"/>
        <w:keepNext w:val="0"/>
        <w:keepLines w:val="0"/>
        <w:pageBreakBefore w:val="0"/>
        <w:tabs>
          <w:tab w:val="left" w:pos="4214"/>
        </w:tabs>
        <w:kinsoku/>
        <w:wordWrap/>
        <w:overflowPunct/>
        <w:topLinePunct w:val="0"/>
        <w:bidi w:val="0"/>
        <w:adjustRightInd/>
        <w:spacing w:line="360" w:lineRule="exact"/>
        <w:ind w:firstLine="420" w:firstLineChars="200"/>
        <w:textAlignment w:val="auto"/>
        <w:rPr>
          <w:color w:val="auto"/>
          <w:highlight w:val="none"/>
        </w:rPr>
      </w:pPr>
      <w:r>
        <w:rPr>
          <w:rFonts w:hint="eastAsia"/>
          <w:color w:val="auto"/>
          <w:highlight w:val="none"/>
        </w:rPr>
        <w:t>（3）中标人放弃中标、拒绝与采购人签订合同、因不可抗力提出不能履行合同，或信用信息记录不符合相关规定的，或者招标文件规定应当提交履约保证金而在规定的期限内未能提交的，采购人可以按照评审报告推荐的中标候选人名单排序，确定下一候选人中标，也可以重新开展政府采购活动。</w:t>
      </w:r>
    </w:p>
    <w:p w14:paraId="0C529526">
      <w:pPr>
        <w:keepNext w:val="0"/>
        <w:keepLines w:val="0"/>
        <w:pageBreakBefore w:val="0"/>
        <w:kinsoku/>
        <w:wordWrap/>
        <w:overflowPunct/>
        <w:topLinePunct w:val="0"/>
        <w:bidi w:val="0"/>
        <w:adjustRightInd/>
        <w:snapToGrid w:val="0"/>
        <w:spacing w:line="360" w:lineRule="exact"/>
        <w:ind w:firstLine="422" w:firstLineChars="200"/>
        <w:textAlignment w:val="auto"/>
        <w:outlineLvl w:val="4"/>
        <w:rPr>
          <w:rFonts w:ascii="宋体" w:hAnsi="宋体"/>
          <w:b/>
          <w:color w:val="auto"/>
          <w:szCs w:val="21"/>
          <w:highlight w:val="none"/>
        </w:rPr>
      </w:pPr>
      <w:r>
        <w:rPr>
          <w:rFonts w:hint="eastAsia" w:ascii="宋体" w:hAnsi="宋体"/>
          <w:b/>
          <w:bCs/>
          <w:color w:val="auto"/>
          <w:szCs w:val="21"/>
          <w:highlight w:val="none"/>
        </w:rPr>
        <w:t>28</w:t>
      </w:r>
      <w:r>
        <w:rPr>
          <w:rFonts w:hint="eastAsia" w:ascii="宋体" w:hAnsi="宋体"/>
          <w:b/>
          <w:color w:val="auto"/>
          <w:szCs w:val="21"/>
          <w:highlight w:val="none"/>
        </w:rPr>
        <w:t>.属于下列情况之一者，投标无效：</w:t>
      </w:r>
    </w:p>
    <w:p w14:paraId="784C7F24">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（1）未按照招标文件规定要求签字、盖章的；</w:t>
      </w:r>
    </w:p>
    <w:p w14:paraId="59163EED">
      <w:pPr>
        <w:keepNext w:val="0"/>
        <w:keepLines w:val="0"/>
        <w:pageBreakBefore w:val="0"/>
        <w:kinsoku/>
        <w:wordWrap/>
        <w:overflowPunct/>
        <w:topLinePunct w:val="0"/>
        <w:bidi w:val="0"/>
        <w:adjustRightInd/>
        <w:snapToGrid w:val="0"/>
        <w:spacing w:line="360" w:lineRule="exact"/>
        <w:ind w:firstLine="422" w:firstLineChars="200"/>
        <w:textAlignment w:val="auto"/>
        <w:outlineLvl w:val="4"/>
        <w:rPr>
          <w:rFonts w:ascii="宋体" w:hAnsi="宋体"/>
          <w:b/>
          <w:color w:val="auto"/>
          <w:szCs w:val="21"/>
          <w:highlight w:val="none"/>
        </w:rPr>
      </w:pPr>
      <w:r>
        <w:rPr>
          <w:rFonts w:hint="eastAsia" w:ascii="宋体" w:hAnsi="宋体"/>
          <w:b/>
          <w:color w:val="auto"/>
          <w:szCs w:val="21"/>
          <w:highlight w:val="none"/>
        </w:rPr>
        <w:t>（2）</w:t>
      </w:r>
      <w:r>
        <w:rPr>
          <w:rFonts w:hint="eastAsia" w:ascii="宋体" w:hAnsi="宋体"/>
          <w:b/>
          <w:color w:val="auto"/>
          <w:szCs w:val="21"/>
          <w:highlight w:val="none"/>
          <w:lang w:val="en-US" w:eastAsia="zh-CN"/>
        </w:rPr>
        <w:t>所投分标</w:t>
      </w:r>
      <w:r>
        <w:rPr>
          <w:rFonts w:hint="eastAsia" w:ascii="宋体" w:hAnsi="宋体"/>
          <w:b/>
          <w:color w:val="auto"/>
          <w:szCs w:val="21"/>
          <w:highlight w:val="none"/>
        </w:rPr>
        <w:t>投标</w:t>
      </w:r>
      <w:r>
        <w:rPr>
          <w:rFonts w:ascii="宋体" w:hAnsi="宋体"/>
          <w:b/>
          <w:color w:val="auto"/>
          <w:szCs w:val="21"/>
          <w:highlight w:val="none"/>
        </w:rPr>
        <w:t>报价超过招标文件中规定</w:t>
      </w:r>
      <w:r>
        <w:rPr>
          <w:rFonts w:hint="eastAsia" w:ascii="宋体" w:hAnsi="宋体"/>
          <w:b/>
          <w:color w:val="auto"/>
          <w:szCs w:val="21"/>
          <w:highlight w:val="none"/>
        </w:rPr>
        <w:t>的</w:t>
      </w:r>
      <w:r>
        <w:rPr>
          <w:rFonts w:hint="eastAsia" w:ascii="宋体" w:hAnsi="宋体"/>
          <w:b/>
          <w:color w:val="auto"/>
          <w:szCs w:val="21"/>
          <w:highlight w:val="none"/>
          <w:lang w:val="en-US" w:eastAsia="zh-CN"/>
        </w:rPr>
        <w:t>相应</w:t>
      </w:r>
      <w:r>
        <w:rPr>
          <w:rFonts w:hint="eastAsia" w:ascii="宋体" w:hAnsi="宋体"/>
          <w:b/>
          <w:color w:val="auto"/>
          <w:szCs w:val="21"/>
          <w:highlight w:val="none"/>
          <w:lang w:eastAsia="zh-CN"/>
        </w:rPr>
        <w:t>最高限价</w:t>
      </w:r>
      <w:r>
        <w:rPr>
          <w:rFonts w:hint="eastAsia" w:ascii="宋体" w:hAnsi="宋体"/>
          <w:b/>
          <w:color w:val="auto"/>
          <w:szCs w:val="21"/>
          <w:highlight w:val="none"/>
        </w:rPr>
        <w:t>的</w:t>
      </w:r>
      <w:r>
        <w:rPr>
          <w:rFonts w:ascii="宋体" w:hAnsi="宋体"/>
          <w:b/>
          <w:color w:val="auto"/>
          <w:szCs w:val="21"/>
          <w:highlight w:val="none"/>
        </w:rPr>
        <w:t>；</w:t>
      </w:r>
    </w:p>
    <w:p w14:paraId="57754087">
      <w:pPr>
        <w:keepNext w:val="0"/>
        <w:keepLines w:val="0"/>
        <w:pageBreakBefore w:val="0"/>
        <w:kinsoku/>
        <w:wordWrap/>
        <w:overflowPunct/>
        <w:topLinePunct w:val="0"/>
        <w:bidi w:val="0"/>
        <w:adjustRightInd/>
        <w:snapToGrid w:val="0"/>
        <w:spacing w:line="360" w:lineRule="exact"/>
        <w:ind w:firstLine="422" w:firstLineChars="200"/>
        <w:textAlignment w:val="auto"/>
        <w:outlineLvl w:val="4"/>
        <w:rPr>
          <w:rFonts w:ascii="宋体" w:hAnsi="宋体"/>
          <w:b/>
          <w:color w:val="auto"/>
          <w:szCs w:val="21"/>
          <w:highlight w:val="none"/>
        </w:rPr>
      </w:pPr>
      <w:r>
        <w:rPr>
          <w:rFonts w:hint="eastAsia" w:ascii="宋体" w:hAnsi="宋体"/>
          <w:b/>
          <w:color w:val="auto"/>
          <w:szCs w:val="21"/>
          <w:highlight w:val="none"/>
        </w:rPr>
        <w:t>（3）未通过资格审查的；</w:t>
      </w:r>
    </w:p>
    <w:p w14:paraId="698B55A9">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（4）未按本招标文件规定提供符合性响应证明材料中的任意一项材料的；或提供的符合性响应证明材料中的任意一项材料无效的；</w:t>
      </w:r>
    </w:p>
    <w:p w14:paraId="46DDF9CA">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（5）</w:t>
      </w:r>
      <w:r>
        <w:rPr>
          <w:rFonts w:ascii="宋体" w:hAnsi="宋体"/>
          <w:b/>
          <w:color w:val="auto"/>
          <w:szCs w:val="21"/>
          <w:highlight w:val="none"/>
        </w:rPr>
        <w:t>投标文件含有采购人不能接受的附加条件的</w:t>
      </w:r>
      <w:r>
        <w:rPr>
          <w:rFonts w:hint="eastAsia" w:ascii="宋体" w:hAnsi="宋体"/>
          <w:b/>
          <w:color w:val="auto"/>
          <w:szCs w:val="21"/>
          <w:highlight w:val="none"/>
        </w:rPr>
        <w:t>；</w:t>
      </w:r>
    </w:p>
    <w:p w14:paraId="13E61D8E">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（6）投标文件未按招标文件的内容和要求编制，或提供虚假材料的；</w:t>
      </w:r>
    </w:p>
    <w:p w14:paraId="1953DE96">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color w:val="auto"/>
          <w:szCs w:val="21"/>
          <w:highlight w:val="none"/>
        </w:rPr>
      </w:pPr>
      <w:r>
        <w:rPr>
          <w:rFonts w:hint="eastAsia" w:ascii="宋体" w:hAnsi="宋体"/>
          <w:b/>
          <w:color w:val="auto"/>
          <w:szCs w:val="21"/>
          <w:highlight w:val="none"/>
        </w:rPr>
        <w:t>（7）投标人未就</w:t>
      </w:r>
      <w:r>
        <w:rPr>
          <w:rFonts w:hint="eastAsia" w:ascii="宋体" w:hAnsi="宋体"/>
          <w:b/>
          <w:color w:val="auto"/>
          <w:szCs w:val="21"/>
          <w:highlight w:val="none"/>
          <w:lang w:val="en-US" w:eastAsia="zh-CN"/>
        </w:rPr>
        <w:t>所投分标</w:t>
      </w:r>
      <w:r>
        <w:rPr>
          <w:rFonts w:hint="eastAsia" w:ascii="宋体" w:hAnsi="宋体"/>
          <w:b/>
          <w:color w:val="auto"/>
          <w:szCs w:val="21"/>
          <w:highlight w:val="none"/>
        </w:rPr>
        <w:t>“采购需求”中所有标的作完整唯一报价的或有缺漏项报价的</w:t>
      </w:r>
      <w:r>
        <w:rPr>
          <w:rFonts w:hint="eastAsia" w:ascii="宋体" w:hAnsi="宋体"/>
          <w:b/>
          <w:color w:val="auto"/>
          <w:szCs w:val="21"/>
          <w:highlight w:val="none"/>
          <w:lang w:eastAsia="zh-CN"/>
        </w:rPr>
        <w:t>，或有选择或有条件报价的</w:t>
      </w:r>
      <w:r>
        <w:rPr>
          <w:rFonts w:hint="eastAsia" w:ascii="宋体" w:hAnsi="宋体"/>
          <w:b/>
          <w:color w:val="auto"/>
          <w:szCs w:val="21"/>
          <w:highlight w:val="none"/>
        </w:rPr>
        <w:t>；</w:t>
      </w:r>
    </w:p>
    <w:p w14:paraId="1D2DB437">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（8）未完全响应招标文件实质性要求的；</w:t>
      </w:r>
    </w:p>
    <w:p w14:paraId="70B2B2F2">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（9）投标人为联合体投标的；</w:t>
      </w:r>
    </w:p>
    <w:p w14:paraId="014C233F">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（10）</w:t>
      </w:r>
      <w:r>
        <w:rPr>
          <w:rFonts w:hint="eastAsia" w:ascii="宋体" w:hAnsi="宋体"/>
          <w:b/>
          <w:color w:val="auto"/>
          <w:szCs w:val="21"/>
          <w:highlight w:val="none"/>
          <w:lang w:eastAsia="zh-CN"/>
        </w:rPr>
        <w:t>法律法规</w:t>
      </w:r>
      <w:r>
        <w:rPr>
          <w:rFonts w:ascii="宋体" w:hAnsi="宋体"/>
          <w:b/>
          <w:color w:val="auto"/>
          <w:szCs w:val="21"/>
          <w:highlight w:val="none"/>
        </w:rPr>
        <w:t>和招标文件规定的其他无效情形。</w:t>
      </w:r>
    </w:p>
    <w:p w14:paraId="305C4803">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29.投标人有下列情形之一的，视为串通投标，投标文件将被视为无效：</w:t>
      </w:r>
    </w:p>
    <w:p w14:paraId="74FD5FD1">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（1）不同投标人的投标文件由同一单位或者个人编制；</w:t>
      </w:r>
    </w:p>
    <w:p w14:paraId="6FB3613E">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（2）不同投标人委托同一单位或者个人办理投标事宜的；</w:t>
      </w:r>
    </w:p>
    <w:p w14:paraId="56BE5643">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（3）不同的投标人的投标文件载明的项目管理员为同一个人的；</w:t>
      </w:r>
    </w:p>
    <w:p w14:paraId="642319A1">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 xml:space="preserve">（4）不同投标人的投标文件异常一致或投标报价呈规律性差异的； </w:t>
      </w:r>
    </w:p>
    <w:p w14:paraId="0E957368">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（5）不同投标人的投标文件相互混装的；</w:t>
      </w:r>
    </w:p>
    <w:p w14:paraId="5FB5B6F4">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30. 属于下列情形之一的，应予废标：</w:t>
      </w:r>
    </w:p>
    <w:p w14:paraId="26AC5027">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（1）符合专业条件的供应商或者对招标文件作实质响应的供应商不足3家的；</w:t>
      </w:r>
    </w:p>
    <w:p w14:paraId="35CE8067">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（2）出现影响采购公正的违法、违规行为的；</w:t>
      </w:r>
    </w:p>
    <w:p w14:paraId="6E9AA175">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（3）采购文件内容违反国家有关强制性规定的；</w:t>
      </w:r>
    </w:p>
    <w:p w14:paraId="01DAB0A3">
      <w:pPr>
        <w:keepNext w:val="0"/>
        <w:keepLines w:val="0"/>
        <w:pageBreakBefore w:val="0"/>
        <w:kinsoku/>
        <w:wordWrap/>
        <w:overflowPunct/>
        <w:topLinePunct w:val="0"/>
        <w:bidi w:val="0"/>
        <w:adjustRightInd/>
        <w:snapToGrid w:val="0"/>
        <w:spacing w:line="360" w:lineRule="exact"/>
        <w:ind w:firstLine="413" w:firstLineChars="196"/>
        <w:textAlignment w:val="auto"/>
        <w:outlineLvl w:val="4"/>
        <w:rPr>
          <w:rFonts w:ascii="宋体" w:hAnsi="宋体"/>
          <w:b/>
          <w:color w:val="auto"/>
          <w:szCs w:val="21"/>
          <w:highlight w:val="none"/>
        </w:rPr>
      </w:pPr>
      <w:r>
        <w:rPr>
          <w:rFonts w:hint="eastAsia" w:ascii="宋体" w:hAnsi="宋体"/>
          <w:b/>
          <w:color w:val="auto"/>
          <w:szCs w:val="21"/>
          <w:highlight w:val="none"/>
        </w:rPr>
        <w:t>（4）因重大变故，采购任务取消的。</w:t>
      </w:r>
    </w:p>
    <w:p w14:paraId="57DE368D">
      <w:pPr>
        <w:pStyle w:val="26"/>
        <w:keepNext w:val="0"/>
        <w:keepLines w:val="0"/>
        <w:pageBreakBefore w:val="0"/>
        <w:kinsoku/>
        <w:wordWrap/>
        <w:overflowPunct/>
        <w:topLinePunct w:val="0"/>
        <w:bidi w:val="0"/>
        <w:adjustRightInd/>
        <w:spacing w:line="360" w:lineRule="exact"/>
        <w:ind w:firstLine="413" w:firstLineChars="196"/>
        <w:textAlignment w:val="auto"/>
        <w:rPr>
          <w:rFonts w:hAnsi="宋体"/>
          <w:b/>
          <w:color w:val="auto"/>
          <w:highlight w:val="none"/>
        </w:rPr>
      </w:pPr>
      <w:r>
        <w:rPr>
          <w:rFonts w:hint="eastAsia" w:hAnsi="宋体"/>
          <w:b/>
          <w:color w:val="auto"/>
          <w:highlight w:val="none"/>
        </w:rPr>
        <w:t>31.开标、评标过程的监控</w:t>
      </w:r>
    </w:p>
    <w:p w14:paraId="371E514B">
      <w:pPr>
        <w:pStyle w:val="26"/>
        <w:keepNext w:val="0"/>
        <w:keepLines w:val="0"/>
        <w:pageBreakBefore w:val="0"/>
        <w:kinsoku/>
        <w:wordWrap/>
        <w:overflowPunct/>
        <w:topLinePunct w:val="0"/>
        <w:bidi w:val="0"/>
        <w:adjustRightInd/>
        <w:spacing w:line="360" w:lineRule="exact"/>
        <w:ind w:firstLine="411" w:firstLineChars="196"/>
        <w:textAlignment w:val="auto"/>
        <w:rPr>
          <w:rFonts w:hAnsi="宋体"/>
          <w:color w:val="auto"/>
          <w:highlight w:val="none"/>
        </w:rPr>
      </w:pPr>
      <w:r>
        <w:rPr>
          <w:rFonts w:hint="eastAsia" w:hAnsi="宋体"/>
          <w:color w:val="auto"/>
          <w:highlight w:val="none"/>
        </w:rPr>
        <w:t>本项目开标、评标过程实行全程录音、录像监控，投标人在评标过程中所进行的试图影响评标结果的不公正活动，可能导致其投标被拒绝。</w:t>
      </w:r>
    </w:p>
    <w:p w14:paraId="2BADF55A">
      <w:pPr>
        <w:pStyle w:val="26"/>
        <w:keepNext w:val="0"/>
        <w:keepLines w:val="0"/>
        <w:pageBreakBefore w:val="0"/>
        <w:kinsoku/>
        <w:wordWrap/>
        <w:overflowPunct/>
        <w:topLinePunct w:val="0"/>
        <w:bidi w:val="0"/>
        <w:adjustRightInd/>
        <w:spacing w:line="360" w:lineRule="exact"/>
        <w:ind w:firstLine="413" w:firstLineChars="196"/>
        <w:textAlignment w:val="auto"/>
        <w:rPr>
          <w:rFonts w:hAnsi="宋体"/>
          <w:b/>
          <w:color w:val="auto"/>
          <w:highlight w:val="none"/>
        </w:rPr>
      </w:pPr>
      <w:r>
        <w:rPr>
          <w:rFonts w:hint="eastAsia" w:hAnsi="宋体"/>
          <w:b/>
          <w:color w:val="auto"/>
          <w:highlight w:val="none"/>
        </w:rPr>
        <w:t>32.信用查询</w:t>
      </w:r>
    </w:p>
    <w:p w14:paraId="0AB8BE92">
      <w:pPr>
        <w:pStyle w:val="26"/>
        <w:keepNext w:val="0"/>
        <w:keepLines w:val="0"/>
        <w:pageBreakBefore w:val="0"/>
        <w:kinsoku/>
        <w:wordWrap/>
        <w:overflowPunct/>
        <w:topLinePunct w:val="0"/>
        <w:bidi w:val="0"/>
        <w:adjustRightInd/>
        <w:spacing w:line="360" w:lineRule="exact"/>
        <w:ind w:firstLine="411" w:firstLineChars="196"/>
        <w:textAlignment w:val="auto"/>
        <w:rPr>
          <w:rFonts w:hAnsi="宋体"/>
          <w:color w:val="auto"/>
          <w:highlight w:val="none"/>
        </w:rPr>
      </w:pPr>
      <w:r>
        <w:rPr>
          <w:rFonts w:hint="eastAsia" w:hAnsi="宋体"/>
          <w:color w:val="auto"/>
          <w:highlight w:val="none"/>
        </w:rPr>
        <w:t>根据《关于做好政府采购有关信用主体标识码登记及在政府采购活动中查询使用信用记录有关问题的</w:t>
      </w:r>
      <w:r>
        <w:rPr>
          <w:rFonts w:hint="eastAsia" w:hAnsi="宋体"/>
          <w:color w:val="auto"/>
          <w:spacing w:val="-4"/>
          <w:highlight w:val="none"/>
        </w:rPr>
        <w:t>通知》（桂财采〔2016〕37号）的通知</w:t>
      </w:r>
      <w:r>
        <w:rPr>
          <w:rFonts w:hint="eastAsia" w:hAnsi="宋体"/>
          <w:color w:val="auto"/>
          <w:spacing w:val="-4"/>
          <w:highlight w:val="none"/>
          <w:lang w:eastAsia="zh-CN"/>
        </w:rPr>
        <w:t>，在</w:t>
      </w:r>
      <w:r>
        <w:rPr>
          <w:rFonts w:hint="eastAsia" w:hAnsi="宋体"/>
          <w:color w:val="auto"/>
          <w:spacing w:val="-4"/>
          <w:highlight w:val="none"/>
        </w:rPr>
        <w:t>中标通知书发出前，由采购代理机构对第一中标候选人进行信用查询：</w:t>
      </w:r>
    </w:p>
    <w:p w14:paraId="50507E08">
      <w:pPr>
        <w:pStyle w:val="26"/>
        <w:keepNext w:val="0"/>
        <w:keepLines w:val="0"/>
        <w:pageBreakBefore w:val="0"/>
        <w:kinsoku/>
        <w:wordWrap/>
        <w:overflowPunct/>
        <w:topLinePunct w:val="0"/>
        <w:bidi w:val="0"/>
        <w:adjustRightInd/>
        <w:spacing w:line="360" w:lineRule="exact"/>
        <w:ind w:firstLine="411" w:firstLineChars="196"/>
        <w:textAlignment w:val="auto"/>
        <w:rPr>
          <w:rFonts w:hAnsi="宋体"/>
          <w:color w:val="auto"/>
          <w:spacing w:val="-4"/>
          <w:highlight w:val="none"/>
        </w:rPr>
      </w:pPr>
      <w:r>
        <w:rPr>
          <w:rFonts w:hint="eastAsia" w:hAnsi="宋体"/>
          <w:color w:val="auto"/>
          <w:highlight w:val="none"/>
        </w:rPr>
        <w:t>⑴</w:t>
      </w:r>
      <w:r>
        <w:rPr>
          <w:rFonts w:hint="eastAsia" w:hAnsi="宋体"/>
          <w:color w:val="auto"/>
          <w:spacing w:val="-4"/>
          <w:highlight w:val="none"/>
        </w:rPr>
        <w:t>查询渠道：“信用中国”网站（www.creditchina.gov.cn）、中国政府采购网（www.ccgp.gov.cn）等；</w:t>
      </w:r>
    </w:p>
    <w:p w14:paraId="6B37A7DA">
      <w:pPr>
        <w:pStyle w:val="26"/>
        <w:keepNext w:val="0"/>
        <w:keepLines w:val="0"/>
        <w:pageBreakBefore w:val="0"/>
        <w:kinsoku/>
        <w:wordWrap/>
        <w:overflowPunct/>
        <w:topLinePunct w:val="0"/>
        <w:bidi w:val="0"/>
        <w:adjustRightInd/>
        <w:spacing w:line="360" w:lineRule="exact"/>
        <w:ind w:firstLine="411" w:firstLineChars="196"/>
        <w:textAlignment w:val="auto"/>
        <w:rPr>
          <w:rFonts w:hAnsi="宋体"/>
          <w:color w:val="auto"/>
          <w:highlight w:val="none"/>
        </w:rPr>
      </w:pPr>
      <w:r>
        <w:rPr>
          <w:rFonts w:hint="eastAsia" w:hAnsi="宋体"/>
          <w:color w:val="auto"/>
          <w:highlight w:val="none"/>
        </w:rPr>
        <w:t>⑵查询截止时间：中标通知书发出前；</w:t>
      </w:r>
    </w:p>
    <w:p w14:paraId="382B498D">
      <w:pPr>
        <w:pStyle w:val="26"/>
        <w:keepNext w:val="0"/>
        <w:keepLines w:val="0"/>
        <w:pageBreakBefore w:val="0"/>
        <w:kinsoku/>
        <w:wordWrap/>
        <w:overflowPunct/>
        <w:topLinePunct w:val="0"/>
        <w:bidi w:val="0"/>
        <w:adjustRightInd/>
        <w:spacing w:line="360" w:lineRule="exact"/>
        <w:ind w:firstLine="411" w:firstLineChars="196"/>
        <w:textAlignment w:val="auto"/>
        <w:rPr>
          <w:rFonts w:hAnsi="宋体"/>
          <w:color w:val="auto"/>
          <w:highlight w:val="none"/>
        </w:rPr>
      </w:pPr>
      <w:r>
        <w:rPr>
          <w:rFonts w:hint="eastAsia" w:hAnsi="宋体"/>
          <w:color w:val="auto"/>
          <w:highlight w:val="none"/>
        </w:rPr>
        <w:t>⑶信用信息查询记录和证据留存方式：在查询网站中直接打印查询记录，打印材料作为采购活动资料保存；</w:t>
      </w:r>
    </w:p>
    <w:p w14:paraId="5C06F98B">
      <w:pPr>
        <w:pStyle w:val="26"/>
        <w:keepNext w:val="0"/>
        <w:keepLines w:val="0"/>
        <w:pageBreakBefore w:val="0"/>
        <w:kinsoku/>
        <w:wordWrap/>
        <w:overflowPunct/>
        <w:topLinePunct w:val="0"/>
        <w:bidi w:val="0"/>
        <w:adjustRightInd/>
        <w:spacing w:line="360" w:lineRule="exact"/>
        <w:ind w:firstLine="411" w:firstLineChars="196"/>
        <w:textAlignment w:val="auto"/>
        <w:rPr>
          <w:rFonts w:hAnsi="宋体"/>
          <w:color w:val="auto"/>
          <w:highlight w:val="none"/>
        </w:rPr>
      </w:pPr>
      <w:r>
        <w:rPr>
          <w:rFonts w:hint="eastAsia" w:hAnsi="宋体"/>
          <w:color w:val="auto"/>
          <w:highlight w:val="none"/>
        </w:rPr>
        <w:t>⑷信用信息使用规则：对在“信用中国”网站（www.creditchina.gov.cn）、中国政府采购网（www.ccgp.gov.cn）等渠道列入失信被执行人、重大税收违法失信主体、政府采购严重违法失信行为记</w:t>
      </w:r>
      <w:r>
        <w:rPr>
          <w:rFonts w:hint="eastAsia" w:hAnsi="宋体"/>
          <w:color w:val="auto"/>
          <w:spacing w:val="-4"/>
          <w:highlight w:val="none"/>
        </w:rPr>
        <w:t>录名单及其他不符合《中华人民共和国政府采购法》第二十二条规定条件的供应商，取消其中标候选人资格。</w:t>
      </w:r>
    </w:p>
    <w:p w14:paraId="68D1F74E">
      <w:pPr>
        <w:pStyle w:val="26"/>
        <w:keepNext w:val="0"/>
        <w:keepLines w:val="0"/>
        <w:pageBreakBefore w:val="0"/>
        <w:kinsoku/>
        <w:wordWrap/>
        <w:overflowPunct/>
        <w:topLinePunct w:val="0"/>
        <w:bidi w:val="0"/>
        <w:adjustRightInd/>
        <w:spacing w:line="360" w:lineRule="exact"/>
        <w:ind w:firstLine="413" w:firstLineChars="196"/>
        <w:textAlignment w:val="auto"/>
        <w:rPr>
          <w:rFonts w:hAnsi="宋体"/>
          <w:b/>
          <w:color w:val="auto"/>
          <w:highlight w:val="none"/>
        </w:rPr>
      </w:pPr>
      <w:r>
        <w:rPr>
          <w:rFonts w:hint="eastAsia" w:hAnsi="宋体"/>
          <w:b/>
          <w:color w:val="auto"/>
          <w:highlight w:val="none"/>
        </w:rPr>
        <w:t>33. 中标公告及中标通知书</w:t>
      </w:r>
    </w:p>
    <w:p w14:paraId="57B30B14">
      <w:pPr>
        <w:pStyle w:val="26"/>
        <w:keepNext w:val="0"/>
        <w:keepLines w:val="0"/>
        <w:pageBreakBefore w:val="0"/>
        <w:tabs>
          <w:tab w:val="left" w:pos="455"/>
        </w:tabs>
        <w:kinsoku/>
        <w:wordWrap/>
        <w:overflowPunct/>
        <w:topLinePunct w:val="0"/>
        <w:bidi w:val="0"/>
        <w:adjustRightInd/>
        <w:spacing w:line="360" w:lineRule="exact"/>
        <w:ind w:firstLine="420" w:firstLineChars="200"/>
        <w:textAlignment w:val="auto"/>
        <w:rPr>
          <w:rFonts w:hAnsi="宋体"/>
          <w:color w:val="auto"/>
          <w:szCs w:val="21"/>
          <w:highlight w:val="none"/>
        </w:rPr>
      </w:pPr>
      <w:r>
        <w:rPr>
          <w:rFonts w:hint="eastAsia" w:hAnsi="宋体"/>
          <w:color w:val="auto"/>
          <w:szCs w:val="21"/>
          <w:highlight w:val="none"/>
        </w:rPr>
        <w:t>33.1采购代理机构于评标结束后两个工作日内将评标报告送交采购人，采购人应当自收到评标报告五个工作日内在评标报告推荐的中标候选人中按顺序确定中标人；</w:t>
      </w:r>
      <w:r>
        <w:rPr>
          <w:rFonts w:hAnsi="宋体"/>
          <w:color w:val="auto"/>
          <w:szCs w:val="21"/>
          <w:highlight w:val="none"/>
        </w:rPr>
        <w:t>采购人在收到评标报告</w:t>
      </w:r>
      <w:r>
        <w:rPr>
          <w:rFonts w:hint="eastAsia" w:hAnsi="宋体"/>
          <w:color w:val="auto"/>
          <w:szCs w:val="21"/>
          <w:highlight w:val="none"/>
        </w:rPr>
        <w:t>五</w:t>
      </w:r>
      <w:r>
        <w:rPr>
          <w:rFonts w:hAnsi="宋体"/>
          <w:color w:val="auto"/>
          <w:szCs w:val="21"/>
          <w:highlight w:val="none"/>
        </w:rPr>
        <w:t>个工作日内未按评标报告推荐的中标候选人顺序确定中标人，又不能说明合法理由的，视同按评标报告推荐的顺序确定排名第一的中标候选人为中标人。</w:t>
      </w:r>
      <w:r>
        <w:rPr>
          <w:rFonts w:hint="eastAsia" w:hAnsi="宋体"/>
          <w:color w:val="auto"/>
          <w:szCs w:val="21"/>
          <w:highlight w:val="none"/>
        </w:rPr>
        <w:t>采购代理机构在中标人确定之日起两个工作日内在指定媒体上公告中标结果，</w:t>
      </w:r>
      <w:r>
        <w:rPr>
          <w:rFonts w:hAnsi="宋体"/>
          <w:color w:val="auto"/>
          <w:szCs w:val="21"/>
          <w:highlight w:val="none"/>
        </w:rPr>
        <w:t>中标公告期限为1个工作日</w:t>
      </w:r>
      <w:r>
        <w:rPr>
          <w:rFonts w:hint="eastAsia" w:hAnsi="宋体"/>
          <w:color w:val="auto"/>
          <w:szCs w:val="21"/>
          <w:highlight w:val="none"/>
        </w:rPr>
        <w:t>。</w:t>
      </w:r>
    </w:p>
    <w:p w14:paraId="589EA062">
      <w:pPr>
        <w:pStyle w:val="26"/>
        <w:keepNext w:val="0"/>
        <w:keepLines w:val="0"/>
        <w:pageBreakBefore w:val="0"/>
        <w:tabs>
          <w:tab w:val="left" w:pos="455"/>
        </w:tabs>
        <w:kinsoku/>
        <w:wordWrap/>
        <w:overflowPunct/>
        <w:topLinePunct w:val="0"/>
        <w:bidi w:val="0"/>
        <w:adjustRightInd/>
        <w:spacing w:line="360" w:lineRule="exact"/>
        <w:ind w:firstLine="422" w:firstLineChars="200"/>
        <w:textAlignment w:val="auto"/>
        <w:rPr>
          <w:rFonts w:hint="eastAsia" w:hAnsi="宋体"/>
          <w:b/>
          <w:bCs/>
          <w:color w:val="auto"/>
          <w:szCs w:val="21"/>
          <w:highlight w:val="none"/>
        </w:rPr>
      </w:pPr>
      <w:r>
        <w:rPr>
          <w:rFonts w:hint="eastAsia" w:hAnsi="宋体"/>
          <w:b/>
          <w:color w:val="auto"/>
          <w:szCs w:val="21"/>
          <w:highlight w:val="none"/>
        </w:rPr>
        <w:t>33.2</w:t>
      </w:r>
      <w:r>
        <w:rPr>
          <w:rFonts w:hint="eastAsia" w:hAnsi="宋体"/>
          <w:b/>
          <w:bCs/>
          <w:color w:val="auto"/>
          <w:szCs w:val="21"/>
          <w:highlight w:val="none"/>
        </w:rPr>
        <w:t>中小企业在政府采购活动过程中，请根据自己的真实情况出具《中小企业声明函》。依法享受中小企业优惠政策的，采购人或采购代理机构在公告中标结果时，同时公告其《中小企业声明函》，接受社会监督。</w:t>
      </w:r>
    </w:p>
    <w:p w14:paraId="64735A9B">
      <w:pPr>
        <w:pStyle w:val="26"/>
        <w:keepNext w:val="0"/>
        <w:keepLines w:val="0"/>
        <w:pageBreakBefore w:val="0"/>
        <w:tabs>
          <w:tab w:val="left" w:pos="455"/>
        </w:tabs>
        <w:kinsoku/>
        <w:wordWrap/>
        <w:overflowPunct/>
        <w:topLinePunct w:val="0"/>
        <w:bidi w:val="0"/>
        <w:adjustRightInd/>
        <w:spacing w:line="360" w:lineRule="exact"/>
        <w:ind w:firstLine="422" w:firstLineChars="200"/>
        <w:textAlignment w:val="auto"/>
        <w:rPr>
          <w:rFonts w:hint="eastAsia" w:hAnsi="宋体"/>
          <w:b/>
          <w:bCs/>
          <w:color w:val="auto"/>
          <w:szCs w:val="21"/>
          <w:highlight w:val="none"/>
        </w:rPr>
      </w:pPr>
      <w:r>
        <w:rPr>
          <w:rFonts w:hint="eastAsia" w:hAnsi="宋体"/>
          <w:b/>
          <w:color w:val="auto"/>
          <w:szCs w:val="21"/>
          <w:highlight w:val="none"/>
        </w:rPr>
        <w:t>33.3采购人、采购代理机构应当随中标结果公开中标供应商的《关于符合本国产品标准的声明函》或有关证明文件。</w:t>
      </w:r>
    </w:p>
    <w:p w14:paraId="62FB4E2B">
      <w:pPr>
        <w:pStyle w:val="26"/>
        <w:keepNext w:val="0"/>
        <w:keepLines w:val="0"/>
        <w:pageBreakBefore w:val="0"/>
        <w:kinsoku/>
        <w:wordWrap/>
        <w:overflowPunct/>
        <w:topLinePunct w:val="0"/>
        <w:bidi w:val="0"/>
        <w:adjustRightInd/>
        <w:spacing w:line="360" w:lineRule="exact"/>
        <w:ind w:firstLine="420" w:firstLineChars="200"/>
        <w:textAlignment w:val="auto"/>
        <w:rPr>
          <w:rFonts w:hAnsi="宋体"/>
          <w:color w:val="auto"/>
          <w:highlight w:val="none"/>
        </w:rPr>
      </w:pPr>
      <w:r>
        <w:rPr>
          <w:rFonts w:hint="eastAsia" w:hAnsi="宋体"/>
          <w:color w:val="auto"/>
          <w:szCs w:val="21"/>
          <w:highlight w:val="none"/>
        </w:rPr>
        <w:t>33.</w:t>
      </w:r>
      <w:r>
        <w:rPr>
          <w:rFonts w:hint="eastAsia" w:hAnsi="宋体"/>
          <w:color w:val="auto"/>
          <w:szCs w:val="21"/>
          <w:highlight w:val="none"/>
          <w:lang w:val="en-US" w:eastAsia="zh-CN"/>
        </w:rPr>
        <w:t>4</w:t>
      </w:r>
      <w:r>
        <w:rPr>
          <w:rFonts w:hAnsi="宋体"/>
          <w:color w:val="auto"/>
          <w:szCs w:val="21"/>
          <w:highlight w:val="none"/>
        </w:rPr>
        <w:t>中标公告</w:t>
      </w:r>
      <w:r>
        <w:rPr>
          <w:rFonts w:hint="eastAsia" w:hAnsi="宋体"/>
          <w:color w:val="auto"/>
          <w:szCs w:val="21"/>
          <w:highlight w:val="none"/>
        </w:rPr>
        <w:t>发布同时，采购代理机构通过</w:t>
      </w:r>
      <w:r>
        <w:rPr>
          <w:rFonts w:hint="eastAsia" w:hAnsi="宋体"/>
          <w:color w:val="auto"/>
          <w:highlight w:val="none"/>
        </w:rPr>
        <w:t>广西政府采购云平台</w:t>
      </w:r>
      <w:r>
        <w:rPr>
          <w:rFonts w:hint="eastAsia" w:hAnsi="宋体"/>
          <w:color w:val="auto"/>
          <w:szCs w:val="21"/>
          <w:highlight w:val="none"/>
        </w:rPr>
        <w:t>在线向中标人发出中标通知书，中标人应自行关注</w:t>
      </w:r>
      <w:r>
        <w:rPr>
          <w:rFonts w:hint="eastAsia" w:hAnsi="宋体"/>
          <w:color w:val="auto"/>
          <w:highlight w:val="none"/>
        </w:rPr>
        <w:t>广西政府采购云平台</w:t>
      </w:r>
      <w:r>
        <w:rPr>
          <w:rFonts w:hint="eastAsia" w:hAnsi="宋体"/>
          <w:color w:val="auto"/>
          <w:szCs w:val="21"/>
          <w:highlight w:val="none"/>
        </w:rPr>
        <w:t>信息，确保及时查收中标通知书。</w:t>
      </w:r>
    </w:p>
    <w:p w14:paraId="5DBB9C4A">
      <w:pPr>
        <w:keepNext w:val="0"/>
        <w:keepLines w:val="0"/>
        <w:pageBreakBefore w:val="0"/>
        <w:tabs>
          <w:tab w:val="left" w:pos="1140"/>
        </w:tabs>
        <w:kinsoku/>
        <w:wordWrap/>
        <w:overflowPunct/>
        <w:topLinePunct w:val="0"/>
        <w:bidi w:val="0"/>
        <w:adjustRightInd/>
        <w:spacing w:line="360" w:lineRule="exact"/>
        <w:ind w:left="420" w:leftChars="200"/>
        <w:textAlignment w:val="auto"/>
        <w:rPr>
          <w:rFonts w:ascii="宋体" w:hAnsi="宋体"/>
          <w:b/>
          <w:color w:val="auto"/>
          <w:sz w:val="28"/>
          <w:szCs w:val="28"/>
          <w:highlight w:val="none"/>
        </w:rPr>
      </w:pPr>
    </w:p>
    <w:p w14:paraId="775C3F37">
      <w:pPr>
        <w:keepNext w:val="0"/>
        <w:keepLines w:val="0"/>
        <w:pageBreakBefore w:val="0"/>
        <w:tabs>
          <w:tab w:val="left" w:pos="1140"/>
        </w:tabs>
        <w:kinsoku/>
        <w:wordWrap/>
        <w:overflowPunct/>
        <w:topLinePunct w:val="0"/>
        <w:bidi w:val="0"/>
        <w:adjustRightInd/>
        <w:spacing w:line="360" w:lineRule="exact"/>
        <w:ind w:left="420" w:leftChars="200"/>
        <w:jc w:val="center"/>
        <w:textAlignment w:val="auto"/>
        <w:rPr>
          <w:rFonts w:ascii="宋体" w:hAnsi="宋体"/>
          <w:b/>
          <w:color w:val="auto"/>
          <w:sz w:val="28"/>
          <w:szCs w:val="28"/>
          <w:highlight w:val="none"/>
        </w:rPr>
      </w:pPr>
      <w:r>
        <w:rPr>
          <w:rFonts w:hint="eastAsia" w:ascii="宋体" w:hAnsi="宋体"/>
          <w:b/>
          <w:color w:val="auto"/>
          <w:sz w:val="28"/>
          <w:szCs w:val="28"/>
          <w:highlight w:val="none"/>
        </w:rPr>
        <w:t>七、履约保证金及签订合同</w:t>
      </w:r>
    </w:p>
    <w:p w14:paraId="7FBEAEF0">
      <w:pPr>
        <w:keepNext w:val="0"/>
        <w:keepLines w:val="0"/>
        <w:pageBreakBefore w:val="0"/>
        <w:tabs>
          <w:tab w:val="left" w:pos="1305"/>
        </w:tabs>
        <w:kinsoku/>
        <w:wordWrap/>
        <w:overflowPunct/>
        <w:topLinePunct w:val="0"/>
        <w:bidi w:val="0"/>
        <w:adjustRightInd/>
        <w:spacing w:line="360" w:lineRule="exact"/>
        <w:ind w:firstLine="316" w:firstLineChars="150"/>
        <w:textAlignment w:val="auto"/>
        <w:rPr>
          <w:rFonts w:ascii="宋体" w:hAnsi="宋体"/>
          <w:color w:val="auto"/>
          <w:szCs w:val="21"/>
          <w:highlight w:val="none"/>
        </w:rPr>
      </w:pPr>
      <w:r>
        <w:rPr>
          <w:rFonts w:hint="eastAsia" w:ascii="宋体" w:hAnsi="宋体"/>
          <w:b/>
          <w:color w:val="auto"/>
          <w:highlight w:val="none"/>
        </w:rPr>
        <w:t xml:space="preserve"> 34</w:t>
      </w:r>
      <w:r>
        <w:rPr>
          <w:rFonts w:hint="eastAsia" w:ascii="宋体" w:hAnsi="宋体"/>
          <w:b/>
          <w:color w:val="auto"/>
          <w:szCs w:val="21"/>
          <w:highlight w:val="none"/>
        </w:rPr>
        <w:t>. 履约保证金</w:t>
      </w:r>
    </w:p>
    <w:p w14:paraId="713AF398">
      <w:pPr>
        <w:pStyle w:val="26"/>
        <w:keepNext w:val="0"/>
        <w:keepLines w:val="0"/>
        <w:pageBreakBefore w:val="0"/>
        <w:kinsoku/>
        <w:wordWrap/>
        <w:overflowPunct/>
        <w:topLinePunct w:val="0"/>
        <w:bidi w:val="0"/>
        <w:adjustRightInd/>
        <w:spacing w:line="360" w:lineRule="exact"/>
        <w:ind w:left="2" w:leftChars="1" w:firstLine="420" w:firstLineChars="200"/>
        <w:textAlignment w:val="auto"/>
        <w:rPr>
          <w:rFonts w:hAnsi="宋体"/>
          <w:color w:val="auto"/>
          <w:highlight w:val="none"/>
        </w:rPr>
      </w:pPr>
      <w:r>
        <w:rPr>
          <w:rFonts w:hint="eastAsia" w:hAnsi="宋体"/>
          <w:color w:val="auto"/>
          <w:szCs w:val="21"/>
          <w:highlight w:val="none"/>
        </w:rPr>
        <w:t>本项目不收取履约保证金</w:t>
      </w:r>
      <w:r>
        <w:rPr>
          <w:rFonts w:hint="eastAsia" w:hAnsi="宋体"/>
          <w:color w:val="auto"/>
          <w:highlight w:val="none"/>
        </w:rPr>
        <w:t>。</w:t>
      </w:r>
    </w:p>
    <w:p w14:paraId="06F93817">
      <w:pPr>
        <w:keepNext w:val="0"/>
        <w:keepLines w:val="0"/>
        <w:pageBreakBefore w:val="0"/>
        <w:tabs>
          <w:tab w:val="left" w:pos="1140"/>
        </w:tabs>
        <w:kinsoku/>
        <w:wordWrap/>
        <w:overflowPunct/>
        <w:topLinePunct w:val="0"/>
        <w:bidi w:val="0"/>
        <w:adjustRightInd/>
        <w:spacing w:line="360" w:lineRule="exact"/>
        <w:ind w:firstLine="422" w:firstLineChars="200"/>
        <w:textAlignment w:val="auto"/>
        <w:rPr>
          <w:rFonts w:ascii="宋体" w:hAnsi="宋体"/>
          <w:b/>
          <w:color w:val="auto"/>
          <w:szCs w:val="21"/>
          <w:highlight w:val="none"/>
        </w:rPr>
      </w:pPr>
      <w:r>
        <w:rPr>
          <w:rFonts w:hint="eastAsia" w:ascii="宋体" w:hAnsi="宋体"/>
          <w:b/>
          <w:color w:val="auto"/>
          <w:szCs w:val="21"/>
          <w:highlight w:val="none"/>
        </w:rPr>
        <w:t>35. 签订合同</w:t>
      </w:r>
    </w:p>
    <w:p w14:paraId="654E1333">
      <w:pPr>
        <w:pStyle w:val="26"/>
        <w:keepNext w:val="0"/>
        <w:keepLines w:val="0"/>
        <w:pageBreakBefore w:val="0"/>
        <w:kinsoku/>
        <w:wordWrap/>
        <w:overflowPunct/>
        <w:topLinePunct w:val="0"/>
        <w:bidi w:val="0"/>
        <w:adjustRightInd/>
        <w:spacing w:line="360" w:lineRule="exact"/>
        <w:ind w:left="2" w:leftChars="1" w:firstLine="420" w:firstLineChars="200"/>
        <w:textAlignment w:val="auto"/>
        <w:rPr>
          <w:rFonts w:hint="eastAsia" w:hAnsi="宋体"/>
          <w:color w:val="auto"/>
          <w:szCs w:val="21"/>
          <w:highlight w:val="none"/>
        </w:rPr>
      </w:pPr>
      <w:r>
        <w:rPr>
          <w:rFonts w:hint="eastAsia" w:hAnsi="宋体"/>
          <w:color w:val="auto"/>
          <w:szCs w:val="21"/>
          <w:highlight w:val="none"/>
        </w:rPr>
        <w:t>35.1签订合同时间：中标通知书发出之日起8个工作日内。中标人应按规定与采购人签订合同。</w:t>
      </w:r>
    </w:p>
    <w:p w14:paraId="4016DF09">
      <w:pPr>
        <w:pStyle w:val="26"/>
        <w:keepNext w:val="0"/>
        <w:keepLines w:val="0"/>
        <w:pageBreakBefore w:val="0"/>
        <w:kinsoku/>
        <w:wordWrap/>
        <w:overflowPunct/>
        <w:topLinePunct w:val="0"/>
        <w:bidi w:val="0"/>
        <w:adjustRightInd/>
        <w:spacing w:line="360" w:lineRule="exact"/>
        <w:ind w:left="2" w:leftChars="1" w:firstLine="420" w:firstLineChars="200"/>
        <w:textAlignment w:val="auto"/>
        <w:rPr>
          <w:rFonts w:hint="eastAsia" w:hAnsi="宋体"/>
          <w:color w:val="auto"/>
          <w:szCs w:val="21"/>
          <w:highlight w:val="none"/>
        </w:rPr>
      </w:pPr>
      <w:r>
        <w:rPr>
          <w:rFonts w:hint="eastAsia" w:hAnsi="宋体"/>
          <w:color w:val="auto"/>
          <w:szCs w:val="21"/>
          <w:highlight w:val="none"/>
        </w:rPr>
        <w:t>根据《桂林市大数据和行政审批局 桂林市财政局 桂林市住房和城乡建设局 桂林市交通运输局 桂林市水利局关于进一步优化招标采购评标机制加强异常低价监督处置的通知》（市数审</w:t>
      </w:r>
      <w:r>
        <w:rPr>
          <w:rFonts w:hint="eastAsia" w:hAnsi="宋体"/>
          <w:color w:val="auto"/>
          <w:szCs w:val="21"/>
          <w:highlight w:val="none"/>
          <w:lang w:eastAsia="zh-CN"/>
        </w:rPr>
        <w:t>〔2025〕11号</w:t>
      </w:r>
      <w:r>
        <w:rPr>
          <w:rFonts w:hint="eastAsia" w:hAnsi="宋体"/>
          <w:color w:val="auto"/>
          <w:szCs w:val="21"/>
          <w:highlight w:val="none"/>
        </w:rPr>
        <w:t>）规定，对报价触发异常低价投标审查程序后仍中标的供应商无正当理由拒不签订政府采购合同的，由财政部门依法追究其法律责任。</w:t>
      </w:r>
    </w:p>
    <w:p w14:paraId="17D5D9F1">
      <w:pPr>
        <w:pStyle w:val="26"/>
        <w:keepNext w:val="0"/>
        <w:keepLines w:val="0"/>
        <w:pageBreakBefore w:val="0"/>
        <w:kinsoku/>
        <w:wordWrap/>
        <w:overflowPunct/>
        <w:topLinePunct w:val="0"/>
        <w:bidi w:val="0"/>
        <w:adjustRightInd/>
        <w:spacing w:line="360" w:lineRule="exact"/>
        <w:ind w:left="2" w:leftChars="1" w:firstLine="420" w:firstLineChars="200"/>
        <w:textAlignment w:val="auto"/>
        <w:rPr>
          <w:rFonts w:hAnsi="宋体"/>
          <w:color w:val="auto"/>
          <w:szCs w:val="21"/>
          <w:highlight w:val="none"/>
        </w:rPr>
      </w:pPr>
      <w:r>
        <w:rPr>
          <w:rFonts w:hint="eastAsia" w:hAnsi="宋体"/>
          <w:color w:val="auto"/>
          <w:szCs w:val="21"/>
          <w:highlight w:val="none"/>
        </w:rPr>
        <w:t>35.2如中标人有下列情形之一，情节严重的，由财政部门将其列入不良行为记录名单，在一至三年内禁止参加政府采购活动，并予以通报。采购人或者采购代理机构可从评标委员会推荐的中标候选人中按顺序重新确定中标人或重新组织招标。</w:t>
      </w:r>
    </w:p>
    <w:p w14:paraId="04A01500">
      <w:pPr>
        <w:pStyle w:val="26"/>
        <w:keepNext w:val="0"/>
        <w:keepLines w:val="0"/>
        <w:pageBreakBefore w:val="0"/>
        <w:kinsoku/>
        <w:wordWrap/>
        <w:overflowPunct/>
        <w:topLinePunct w:val="0"/>
        <w:bidi w:val="0"/>
        <w:adjustRightInd/>
        <w:spacing w:line="360" w:lineRule="exact"/>
        <w:ind w:firstLine="315" w:firstLineChars="150"/>
        <w:textAlignment w:val="auto"/>
        <w:rPr>
          <w:rFonts w:hAnsi="宋体"/>
          <w:color w:val="auto"/>
          <w:szCs w:val="21"/>
          <w:highlight w:val="none"/>
        </w:rPr>
      </w:pPr>
      <w:r>
        <w:rPr>
          <w:rFonts w:hint="eastAsia" w:hAnsi="宋体"/>
          <w:color w:val="auto"/>
          <w:szCs w:val="21"/>
          <w:highlight w:val="none"/>
        </w:rPr>
        <w:t xml:space="preserve"> （1）中标后不与采购人签订合同的（不可抗力除外）；</w:t>
      </w:r>
    </w:p>
    <w:p w14:paraId="4CEEFEAB">
      <w:pPr>
        <w:pStyle w:val="26"/>
        <w:keepNext w:val="0"/>
        <w:keepLines w:val="0"/>
        <w:pageBreakBefore w:val="0"/>
        <w:kinsoku/>
        <w:wordWrap/>
        <w:overflowPunct/>
        <w:topLinePunct w:val="0"/>
        <w:bidi w:val="0"/>
        <w:adjustRightInd/>
        <w:spacing w:line="360" w:lineRule="exact"/>
        <w:ind w:left="2" w:leftChars="1" w:firstLine="315" w:firstLineChars="150"/>
        <w:textAlignment w:val="auto"/>
        <w:rPr>
          <w:rFonts w:hAnsi="宋体"/>
          <w:color w:val="auto"/>
          <w:szCs w:val="21"/>
          <w:highlight w:val="none"/>
        </w:rPr>
      </w:pPr>
      <w:r>
        <w:rPr>
          <w:rFonts w:hint="eastAsia" w:hAnsi="宋体"/>
          <w:color w:val="auto"/>
          <w:szCs w:val="21"/>
          <w:highlight w:val="none"/>
        </w:rPr>
        <w:t xml:space="preserve"> （2）将中标项目转让给他人，或者在投标文件中未说明，且未经采购人同意，将中标项目分包给他人的；</w:t>
      </w:r>
    </w:p>
    <w:p w14:paraId="5E8CCC36">
      <w:pPr>
        <w:pStyle w:val="26"/>
        <w:keepNext w:val="0"/>
        <w:keepLines w:val="0"/>
        <w:pageBreakBefore w:val="0"/>
        <w:kinsoku/>
        <w:wordWrap/>
        <w:overflowPunct/>
        <w:topLinePunct w:val="0"/>
        <w:bidi w:val="0"/>
        <w:adjustRightInd/>
        <w:spacing w:line="360" w:lineRule="exact"/>
        <w:ind w:left="2" w:leftChars="1" w:firstLine="420" w:firstLineChars="200"/>
        <w:textAlignment w:val="auto"/>
        <w:rPr>
          <w:rFonts w:hAnsi="宋体"/>
          <w:color w:val="auto"/>
          <w:highlight w:val="none"/>
        </w:rPr>
      </w:pPr>
      <w:r>
        <w:rPr>
          <w:rFonts w:hint="eastAsia" w:hAnsi="宋体"/>
          <w:color w:val="auto"/>
          <w:szCs w:val="21"/>
          <w:highlight w:val="none"/>
        </w:rPr>
        <w:t>（3）拒绝履行合同义</w:t>
      </w:r>
      <w:r>
        <w:rPr>
          <w:rFonts w:hint="eastAsia" w:hAnsi="宋体"/>
          <w:color w:val="auto"/>
          <w:highlight w:val="none"/>
        </w:rPr>
        <w:t>务的。</w:t>
      </w:r>
    </w:p>
    <w:p w14:paraId="4BFA27DF">
      <w:pPr>
        <w:pStyle w:val="26"/>
        <w:keepNext w:val="0"/>
        <w:keepLines w:val="0"/>
        <w:pageBreakBefore w:val="0"/>
        <w:kinsoku/>
        <w:wordWrap/>
        <w:overflowPunct/>
        <w:topLinePunct w:val="0"/>
        <w:bidi w:val="0"/>
        <w:adjustRightInd/>
        <w:spacing w:line="360" w:lineRule="exact"/>
        <w:ind w:left="2" w:leftChars="1" w:firstLine="420" w:firstLineChars="200"/>
        <w:textAlignment w:val="auto"/>
        <w:rPr>
          <w:rFonts w:hAnsi="宋体"/>
          <w:color w:val="auto"/>
          <w:szCs w:val="21"/>
          <w:highlight w:val="none"/>
        </w:rPr>
      </w:pPr>
      <w:r>
        <w:rPr>
          <w:rFonts w:hint="eastAsia" w:hAnsi="宋体"/>
          <w:color w:val="auto"/>
          <w:highlight w:val="none"/>
        </w:rPr>
        <w:t>35.3合同公告：政府采购合同双方自签订之日起2个工作日内在省级以上人民政府财政部门指定媒体上公告</w:t>
      </w:r>
      <w:r>
        <w:rPr>
          <w:rFonts w:hint="eastAsia" w:hAnsi="宋体"/>
          <w:color w:val="auto"/>
          <w:szCs w:val="21"/>
          <w:highlight w:val="none"/>
        </w:rPr>
        <w:t>。</w:t>
      </w:r>
    </w:p>
    <w:p w14:paraId="2534D642">
      <w:pPr>
        <w:pStyle w:val="26"/>
        <w:keepNext w:val="0"/>
        <w:keepLines w:val="0"/>
        <w:pageBreakBefore w:val="0"/>
        <w:kinsoku/>
        <w:wordWrap/>
        <w:overflowPunct/>
        <w:topLinePunct w:val="0"/>
        <w:bidi w:val="0"/>
        <w:adjustRightInd/>
        <w:spacing w:line="360" w:lineRule="exact"/>
        <w:ind w:left="3"/>
        <w:jc w:val="center"/>
        <w:textAlignment w:val="auto"/>
        <w:rPr>
          <w:rFonts w:hAnsi="宋体"/>
          <w:b/>
          <w:color w:val="auto"/>
          <w:sz w:val="28"/>
          <w:szCs w:val="28"/>
          <w:highlight w:val="none"/>
        </w:rPr>
      </w:pPr>
    </w:p>
    <w:p w14:paraId="3003F3F3">
      <w:pPr>
        <w:pStyle w:val="26"/>
        <w:keepNext w:val="0"/>
        <w:keepLines w:val="0"/>
        <w:pageBreakBefore w:val="0"/>
        <w:kinsoku/>
        <w:wordWrap/>
        <w:overflowPunct/>
        <w:topLinePunct w:val="0"/>
        <w:bidi w:val="0"/>
        <w:adjustRightInd/>
        <w:spacing w:line="360" w:lineRule="exact"/>
        <w:ind w:left="3"/>
        <w:jc w:val="center"/>
        <w:textAlignment w:val="auto"/>
        <w:rPr>
          <w:rFonts w:hAnsi="宋体"/>
          <w:b/>
          <w:color w:val="auto"/>
          <w:sz w:val="28"/>
          <w:szCs w:val="28"/>
          <w:highlight w:val="none"/>
        </w:rPr>
      </w:pPr>
      <w:r>
        <w:rPr>
          <w:rFonts w:hint="eastAsia" w:hAnsi="宋体"/>
          <w:b/>
          <w:color w:val="auto"/>
          <w:sz w:val="28"/>
          <w:szCs w:val="28"/>
          <w:highlight w:val="none"/>
        </w:rPr>
        <w:t>八、其他事项</w:t>
      </w:r>
    </w:p>
    <w:p w14:paraId="73FF27B2">
      <w:pPr>
        <w:pStyle w:val="26"/>
        <w:keepNext w:val="0"/>
        <w:keepLines w:val="0"/>
        <w:pageBreakBefore w:val="0"/>
        <w:kinsoku/>
        <w:wordWrap/>
        <w:overflowPunct/>
        <w:topLinePunct w:val="0"/>
        <w:bidi w:val="0"/>
        <w:adjustRightInd/>
        <w:spacing w:line="360" w:lineRule="exact"/>
        <w:ind w:firstLine="422" w:firstLineChars="200"/>
        <w:textAlignment w:val="auto"/>
        <w:rPr>
          <w:rFonts w:hAnsi="宋体"/>
          <w:b/>
          <w:color w:val="auto"/>
          <w:highlight w:val="none"/>
        </w:rPr>
      </w:pPr>
      <w:r>
        <w:rPr>
          <w:rFonts w:hint="eastAsia" w:hAnsi="宋体"/>
          <w:b/>
          <w:color w:val="auto"/>
          <w:highlight w:val="none"/>
        </w:rPr>
        <w:t>36.采购代理服务费</w:t>
      </w:r>
    </w:p>
    <w:p w14:paraId="2A23154D">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36.1采购代理服务费：本项目</w:t>
      </w:r>
      <w:r>
        <w:rPr>
          <w:rFonts w:hint="eastAsia" w:ascii="宋体" w:hAnsi="宋体"/>
          <w:color w:val="auto"/>
          <w:szCs w:val="21"/>
          <w:highlight w:val="none"/>
          <w:lang w:val="en-US" w:eastAsia="zh-CN"/>
        </w:rPr>
        <w:t>各分标采购</w:t>
      </w:r>
      <w:r>
        <w:rPr>
          <w:rFonts w:hint="eastAsia" w:ascii="宋体" w:hAnsi="宋体"/>
          <w:color w:val="auto"/>
          <w:szCs w:val="21"/>
          <w:highlight w:val="none"/>
        </w:rPr>
        <w:t>代理服务费按本须知第36.2条“</w:t>
      </w:r>
      <w:r>
        <w:rPr>
          <w:rFonts w:hint="eastAsia" w:ascii="宋体" w:hAnsi="宋体"/>
          <w:color w:val="auto"/>
          <w:szCs w:val="21"/>
          <w:highlight w:val="none"/>
          <w:lang w:val="en-US" w:eastAsia="zh-CN"/>
        </w:rPr>
        <w:t>采购</w:t>
      </w:r>
      <w:r>
        <w:rPr>
          <w:rFonts w:hint="eastAsia" w:ascii="宋体" w:hAnsi="宋体"/>
          <w:color w:val="auto"/>
          <w:szCs w:val="21"/>
          <w:highlight w:val="none"/>
        </w:rPr>
        <w:t>代理服务收费标准”中</w:t>
      </w:r>
      <w:r>
        <w:rPr>
          <w:rFonts w:hint="eastAsia"/>
          <w:color w:val="auto"/>
          <w:highlight w:val="none"/>
        </w:rPr>
        <w:t>“</w:t>
      </w:r>
      <w:r>
        <w:rPr>
          <w:rFonts w:hint="eastAsia"/>
          <w:color w:val="auto"/>
          <w:highlight w:val="none"/>
          <w:lang w:eastAsia="zh-CN"/>
        </w:rPr>
        <w:t>货物</w:t>
      </w:r>
      <w:r>
        <w:rPr>
          <w:rFonts w:hint="eastAsia"/>
          <w:color w:val="auto"/>
          <w:highlight w:val="none"/>
        </w:rPr>
        <w:t>招标”</w:t>
      </w:r>
      <w:r>
        <w:rPr>
          <w:rFonts w:hint="eastAsia" w:ascii="宋体" w:hAnsi="宋体"/>
          <w:color w:val="auto"/>
          <w:szCs w:val="21"/>
          <w:highlight w:val="none"/>
        </w:rPr>
        <w:t>收费标准</w:t>
      </w:r>
      <w:r>
        <w:rPr>
          <w:rFonts w:hint="eastAsia" w:ascii="宋体" w:hAnsi="宋体"/>
          <w:color w:val="auto"/>
          <w:szCs w:val="21"/>
          <w:highlight w:val="none"/>
          <w:lang w:val="en-US" w:eastAsia="zh-CN"/>
        </w:rPr>
        <w:t>下浮50</w:t>
      </w:r>
      <w:r>
        <w:rPr>
          <w:rFonts w:hint="eastAsia" w:ascii="宋体" w:hAnsi="宋体"/>
          <w:color w:val="auto"/>
          <w:szCs w:val="21"/>
          <w:highlight w:val="none"/>
        </w:rPr>
        <w:t>%计算（不足人民币</w:t>
      </w:r>
      <w:r>
        <w:rPr>
          <w:rFonts w:ascii="宋体" w:hAnsi="宋体"/>
          <w:color w:val="auto"/>
          <w:szCs w:val="21"/>
          <w:highlight w:val="none"/>
        </w:rPr>
        <w:t>5</w:t>
      </w:r>
      <w:r>
        <w:rPr>
          <w:rFonts w:hint="eastAsia" w:ascii="宋体" w:hAnsi="宋体"/>
          <w:color w:val="auto"/>
          <w:szCs w:val="21"/>
          <w:highlight w:val="none"/>
        </w:rPr>
        <w:t>000元的，按</w:t>
      </w:r>
      <w:r>
        <w:rPr>
          <w:rFonts w:ascii="宋体" w:hAnsi="宋体"/>
          <w:color w:val="auto"/>
          <w:szCs w:val="21"/>
          <w:highlight w:val="none"/>
        </w:rPr>
        <w:t>5</w:t>
      </w:r>
      <w:r>
        <w:rPr>
          <w:rFonts w:hint="eastAsia" w:ascii="宋体" w:hAnsi="宋体"/>
          <w:color w:val="auto"/>
          <w:szCs w:val="21"/>
          <w:highlight w:val="none"/>
        </w:rPr>
        <w:t>000元计），由中标人向采购代理机构一次性付清（否则，该不利后果由中标人承担）</w:t>
      </w:r>
      <w:r>
        <w:rPr>
          <w:rFonts w:hint="eastAsia" w:ascii="宋体" w:hAnsi="宋体"/>
          <w:color w:val="auto"/>
          <w:szCs w:val="21"/>
          <w:highlight w:val="none"/>
          <w:lang w:eastAsia="zh-CN"/>
        </w:rPr>
        <w:t>。</w:t>
      </w:r>
    </w:p>
    <w:p w14:paraId="74FE146B">
      <w:pPr>
        <w:keepNext w:val="0"/>
        <w:keepLines w:val="0"/>
        <w:pageBreakBefore w:val="0"/>
        <w:kinsoku/>
        <w:wordWrap/>
        <w:overflowPunct/>
        <w:topLinePunct w:val="0"/>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36.2采购代理服务收费标准：</w:t>
      </w:r>
    </w:p>
    <w:tbl>
      <w:tblPr>
        <w:tblStyle w:val="51"/>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841"/>
        <w:gridCol w:w="1992"/>
        <w:gridCol w:w="2293"/>
      </w:tblGrid>
      <w:tr w14:paraId="541E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880" w:type="dxa"/>
          </w:tcPr>
          <w:p w14:paraId="47DBCE5B">
            <w:pPr>
              <w:pStyle w:val="26"/>
              <w:spacing w:line="360" w:lineRule="exact"/>
              <w:ind w:left="25"/>
              <w:rPr>
                <w:rFonts w:hAnsi="宋体"/>
                <w:color w:val="auto"/>
                <w:highlight w:val="none"/>
              </w:rPr>
            </w:pPr>
            <w:r>
              <w:rPr>
                <w:rFonts w:hAnsi="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463675" cy="653415"/>
                      <wp:effectExtent l="1905" t="4445" r="20320" b="8890"/>
                      <wp:wrapNone/>
                      <wp:docPr id="1" name="直线 3"/>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3" o:spid="_x0000_s1026" o:spt="20" style="position:absolute;left:0pt;margin-left:23.35pt;margin-top:0.85pt;height:51.45pt;width:115.25pt;z-index:251659264;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UgFTNNYAAAAIAQAA&#10;DwAAAAAAAAABACAAAAAiAAAAZHJzL2Rvd25yZXYueG1sUEsBAhQAFAAAAAgAh07iQENG88XiAQAA&#10;1AMAAA4AAAAAAAAAAQAgAAAAJQEAAGRycy9lMm9Eb2MueG1sUEsFBgAAAAAGAAYAWQEAAHkFAAAA&#10;AA==&#10;">
                      <v:fill on="f" focussize="0,0"/>
                      <v:stroke color="#000000" joinstyle="round"/>
                      <v:imagedata o:title=""/>
                      <o:lock v:ext="edit" aspectratio="f"/>
                    </v:line>
                  </w:pict>
                </mc:Fallback>
              </mc:AlternateContent>
            </w:r>
            <w:r>
              <w:rPr>
                <w:rFonts w:hint="eastAsia" w:hAnsi="宋体"/>
                <w:color w:val="auto"/>
                <w:highlight w:val="none"/>
              </w:rPr>
              <w:t>费率           服务类型</w:t>
            </w:r>
          </w:p>
          <w:p w14:paraId="26B9D481">
            <w:pPr>
              <w:pStyle w:val="26"/>
              <w:spacing w:line="360" w:lineRule="exact"/>
              <w:ind w:left="25"/>
              <w:rPr>
                <w:rFonts w:hAnsi="宋体"/>
                <w:color w:val="auto"/>
                <w:highlight w:val="none"/>
              </w:rPr>
            </w:pPr>
            <w:r>
              <w:rPr>
                <w:rFonts w:hAnsi="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2" name="直线 4"/>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4" o:spid="_x0000_s1026" o:spt="20" style="position:absolute;left:0pt;margin-left:-5.4pt;margin-top:3.1pt;height:31.2pt;width:144pt;z-index:251660288;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AOr0TWAAAA&#10;CAEAAA8AAAAAAAAAAQAgAAAAIgAAAGRycy9kb3ducmV2LnhtbFBLAQIUABQAAAAIAIdO4kDBEbAU&#10;5gEAANQDAAAOAAAAAAAAAAEAIAAAACUBAABkcnMvZTJvRG9jLnhtbFBLBQYAAAAABgAGAFkBAAB9&#10;BQAAAAA=&#10;">
                      <v:fill on="f" focussize="0,0"/>
                      <v:stroke color="#000000" joinstyle="round"/>
                      <v:imagedata o:title=""/>
                      <o:lock v:ext="edit" aspectratio="f"/>
                    </v:line>
                  </w:pict>
                </mc:Fallback>
              </mc:AlternateContent>
            </w:r>
          </w:p>
          <w:p w14:paraId="72409D8D">
            <w:pPr>
              <w:pStyle w:val="26"/>
              <w:spacing w:line="360" w:lineRule="exact"/>
              <w:ind w:left="25"/>
              <w:rPr>
                <w:rFonts w:hAnsi="宋体"/>
                <w:color w:val="auto"/>
                <w:highlight w:val="none"/>
              </w:rPr>
            </w:pPr>
            <w:r>
              <w:rPr>
                <w:rFonts w:hint="eastAsia" w:hAnsi="宋体"/>
                <w:color w:val="auto"/>
                <w:highlight w:val="none"/>
              </w:rPr>
              <w:t>中标金额</w:t>
            </w:r>
          </w:p>
        </w:tc>
        <w:tc>
          <w:tcPr>
            <w:tcW w:w="1841" w:type="dxa"/>
            <w:vAlign w:val="center"/>
          </w:tcPr>
          <w:p w14:paraId="17FD1171">
            <w:pPr>
              <w:pStyle w:val="26"/>
              <w:spacing w:line="360" w:lineRule="exact"/>
              <w:ind w:left="25"/>
              <w:jc w:val="center"/>
              <w:rPr>
                <w:rFonts w:hAnsi="宋体"/>
                <w:color w:val="auto"/>
                <w:highlight w:val="none"/>
              </w:rPr>
            </w:pPr>
            <w:r>
              <w:rPr>
                <w:rFonts w:hint="eastAsia" w:hAnsi="宋体"/>
                <w:color w:val="auto"/>
                <w:highlight w:val="none"/>
              </w:rPr>
              <w:t>货物招标</w:t>
            </w:r>
          </w:p>
        </w:tc>
        <w:tc>
          <w:tcPr>
            <w:tcW w:w="1992" w:type="dxa"/>
            <w:vAlign w:val="center"/>
          </w:tcPr>
          <w:p w14:paraId="6D76C419">
            <w:pPr>
              <w:pStyle w:val="26"/>
              <w:spacing w:line="360" w:lineRule="exact"/>
              <w:ind w:left="25"/>
              <w:jc w:val="center"/>
              <w:rPr>
                <w:rFonts w:hAnsi="宋体"/>
                <w:color w:val="auto"/>
                <w:highlight w:val="none"/>
              </w:rPr>
            </w:pPr>
            <w:r>
              <w:rPr>
                <w:rFonts w:hint="eastAsia" w:hAnsi="宋体"/>
                <w:color w:val="auto"/>
                <w:highlight w:val="none"/>
              </w:rPr>
              <w:t>服务招标</w:t>
            </w:r>
          </w:p>
        </w:tc>
        <w:tc>
          <w:tcPr>
            <w:tcW w:w="2293" w:type="dxa"/>
            <w:vAlign w:val="center"/>
          </w:tcPr>
          <w:p w14:paraId="54B2EA7E">
            <w:pPr>
              <w:pStyle w:val="26"/>
              <w:spacing w:line="360" w:lineRule="exact"/>
              <w:ind w:left="25"/>
              <w:jc w:val="center"/>
              <w:rPr>
                <w:rFonts w:hAnsi="宋体"/>
                <w:color w:val="auto"/>
                <w:highlight w:val="none"/>
              </w:rPr>
            </w:pPr>
            <w:r>
              <w:rPr>
                <w:rFonts w:hint="eastAsia" w:hAnsi="宋体"/>
                <w:color w:val="auto"/>
                <w:highlight w:val="none"/>
              </w:rPr>
              <w:t>工程招标</w:t>
            </w:r>
          </w:p>
        </w:tc>
      </w:tr>
      <w:tr w14:paraId="0A8E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880" w:type="dxa"/>
          </w:tcPr>
          <w:p w14:paraId="6E0EAD10">
            <w:pPr>
              <w:pStyle w:val="26"/>
              <w:spacing w:line="360" w:lineRule="exact"/>
              <w:ind w:left="25"/>
              <w:rPr>
                <w:rFonts w:hAnsi="宋体"/>
                <w:color w:val="auto"/>
                <w:highlight w:val="none"/>
              </w:rPr>
            </w:pPr>
            <w:r>
              <w:rPr>
                <w:rFonts w:hint="eastAsia" w:hAnsi="宋体"/>
                <w:color w:val="auto"/>
                <w:highlight w:val="none"/>
              </w:rPr>
              <w:t>100万元以下</w:t>
            </w:r>
          </w:p>
        </w:tc>
        <w:tc>
          <w:tcPr>
            <w:tcW w:w="1841" w:type="dxa"/>
          </w:tcPr>
          <w:p w14:paraId="0CFD43F1">
            <w:pPr>
              <w:pStyle w:val="156"/>
              <w:spacing w:line="360" w:lineRule="exact"/>
              <w:ind w:left="25"/>
              <w:jc w:val="center"/>
              <w:rPr>
                <w:rFonts w:ascii="宋体" w:hAnsi="宋体"/>
                <w:color w:val="auto"/>
                <w:highlight w:val="none"/>
              </w:rPr>
            </w:pPr>
            <w:r>
              <w:rPr>
                <w:rFonts w:hint="eastAsia" w:ascii="宋体" w:hAnsi="宋体"/>
                <w:color w:val="auto"/>
                <w:highlight w:val="none"/>
              </w:rPr>
              <w:t>1.5%</w:t>
            </w:r>
          </w:p>
        </w:tc>
        <w:tc>
          <w:tcPr>
            <w:tcW w:w="1992" w:type="dxa"/>
          </w:tcPr>
          <w:p w14:paraId="10DEFEA3">
            <w:pPr>
              <w:pStyle w:val="156"/>
              <w:spacing w:line="360" w:lineRule="exact"/>
              <w:ind w:left="25"/>
              <w:jc w:val="center"/>
              <w:rPr>
                <w:rFonts w:ascii="宋体" w:hAnsi="宋体"/>
                <w:color w:val="auto"/>
                <w:highlight w:val="none"/>
              </w:rPr>
            </w:pPr>
            <w:r>
              <w:rPr>
                <w:rFonts w:hint="eastAsia" w:ascii="宋体" w:hAnsi="宋体"/>
                <w:color w:val="auto"/>
                <w:highlight w:val="none"/>
              </w:rPr>
              <w:t>1.5%</w:t>
            </w:r>
          </w:p>
        </w:tc>
        <w:tc>
          <w:tcPr>
            <w:tcW w:w="2293" w:type="dxa"/>
          </w:tcPr>
          <w:p w14:paraId="63D0A04D">
            <w:pPr>
              <w:pStyle w:val="156"/>
              <w:spacing w:line="360" w:lineRule="exact"/>
              <w:ind w:left="25"/>
              <w:jc w:val="center"/>
              <w:rPr>
                <w:rFonts w:ascii="宋体" w:hAnsi="宋体"/>
                <w:color w:val="auto"/>
                <w:highlight w:val="none"/>
              </w:rPr>
            </w:pPr>
            <w:r>
              <w:rPr>
                <w:rFonts w:hint="eastAsia" w:ascii="宋体" w:hAnsi="宋体"/>
                <w:color w:val="auto"/>
                <w:highlight w:val="none"/>
              </w:rPr>
              <w:t>1.0%</w:t>
            </w:r>
          </w:p>
        </w:tc>
      </w:tr>
      <w:tr w14:paraId="0BBB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2880" w:type="dxa"/>
          </w:tcPr>
          <w:p w14:paraId="67F013BA">
            <w:pPr>
              <w:pStyle w:val="26"/>
              <w:spacing w:line="360" w:lineRule="exact"/>
              <w:ind w:left="25"/>
              <w:rPr>
                <w:rFonts w:hAnsi="宋体"/>
                <w:color w:val="auto"/>
                <w:highlight w:val="none"/>
              </w:rPr>
            </w:pPr>
            <w:r>
              <w:rPr>
                <w:rFonts w:hint="eastAsia" w:hAnsi="宋体"/>
                <w:color w:val="auto"/>
                <w:highlight w:val="none"/>
              </w:rPr>
              <w:t>100～500万元</w:t>
            </w:r>
          </w:p>
        </w:tc>
        <w:tc>
          <w:tcPr>
            <w:tcW w:w="1841" w:type="dxa"/>
          </w:tcPr>
          <w:p w14:paraId="38029009">
            <w:pPr>
              <w:pStyle w:val="156"/>
              <w:spacing w:line="360" w:lineRule="exact"/>
              <w:ind w:left="25"/>
              <w:jc w:val="center"/>
              <w:rPr>
                <w:rFonts w:ascii="宋体" w:hAnsi="宋体"/>
                <w:color w:val="auto"/>
                <w:highlight w:val="none"/>
              </w:rPr>
            </w:pPr>
            <w:r>
              <w:rPr>
                <w:rFonts w:hint="eastAsia" w:ascii="宋体" w:hAnsi="宋体"/>
                <w:color w:val="auto"/>
                <w:highlight w:val="none"/>
              </w:rPr>
              <w:t>1.1%</w:t>
            </w:r>
          </w:p>
        </w:tc>
        <w:tc>
          <w:tcPr>
            <w:tcW w:w="1992" w:type="dxa"/>
          </w:tcPr>
          <w:p w14:paraId="5DBE710B">
            <w:pPr>
              <w:pStyle w:val="156"/>
              <w:spacing w:line="360" w:lineRule="exact"/>
              <w:ind w:left="25"/>
              <w:jc w:val="center"/>
              <w:rPr>
                <w:rFonts w:ascii="宋体" w:hAnsi="宋体"/>
                <w:color w:val="auto"/>
                <w:highlight w:val="none"/>
              </w:rPr>
            </w:pPr>
            <w:r>
              <w:rPr>
                <w:rFonts w:hint="eastAsia" w:ascii="宋体" w:hAnsi="宋体"/>
                <w:color w:val="auto"/>
                <w:highlight w:val="none"/>
              </w:rPr>
              <w:t>0.8%</w:t>
            </w:r>
          </w:p>
        </w:tc>
        <w:tc>
          <w:tcPr>
            <w:tcW w:w="2293" w:type="dxa"/>
          </w:tcPr>
          <w:p w14:paraId="33D84903">
            <w:pPr>
              <w:pStyle w:val="156"/>
              <w:spacing w:line="360" w:lineRule="exact"/>
              <w:ind w:left="25"/>
              <w:jc w:val="center"/>
              <w:rPr>
                <w:rFonts w:ascii="宋体" w:hAnsi="宋体"/>
                <w:color w:val="auto"/>
                <w:highlight w:val="none"/>
              </w:rPr>
            </w:pPr>
            <w:r>
              <w:rPr>
                <w:rFonts w:hint="eastAsia" w:ascii="宋体" w:hAnsi="宋体"/>
                <w:color w:val="auto"/>
                <w:highlight w:val="none"/>
              </w:rPr>
              <w:t>0.7%</w:t>
            </w:r>
          </w:p>
        </w:tc>
      </w:tr>
      <w:tr w14:paraId="7F7A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2375405C">
            <w:pPr>
              <w:pStyle w:val="26"/>
              <w:spacing w:line="360" w:lineRule="exact"/>
              <w:ind w:left="25"/>
              <w:rPr>
                <w:rFonts w:hAnsi="宋体"/>
                <w:color w:val="auto"/>
                <w:highlight w:val="none"/>
              </w:rPr>
            </w:pPr>
            <w:r>
              <w:rPr>
                <w:rFonts w:hint="eastAsia" w:hAnsi="宋体"/>
                <w:color w:val="auto"/>
                <w:highlight w:val="none"/>
              </w:rPr>
              <w:t>500～1000万元</w:t>
            </w:r>
          </w:p>
        </w:tc>
        <w:tc>
          <w:tcPr>
            <w:tcW w:w="1841" w:type="dxa"/>
          </w:tcPr>
          <w:p w14:paraId="2683440D">
            <w:pPr>
              <w:pStyle w:val="26"/>
              <w:spacing w:line="360" w:lineRule="exact"/>
              <w:ind w:left="25"/>
              <w:jc w:val="center"/>
              <w:rPr>
                <w:rFonts w:hAnsi="宋体"/>
                <w:color w:val="auto"/>
                <w:highlight w:val="none"/>
              </w:rPr>
            </w:pPr>
            <w:r>
              <w:rPr>
                <w:rFonts w:hint="eastAsia" w:hAnsi="宋体"/>
                <w:color w:val="auto"/>
                <w:highlight w:val="none"/>
              </w:rPr>
              <w:t>0.8%</w:t>
            </w:r>
          </w:p>
        </w:tc>
        <w:tc>
          <w:tcPr>
            <w:tcW w:w="1992" w:type="dxa"/>
          </w:tcPr>
          <w:p w14:paraId="6464C9B6">
            <w:pPr>
              <w:pStyle w:val="26"/>
              <w:spacing w:line="360" w:lineRule="exact"/>
              <w:ind w:left="25"/>
              <w:jc w:val="center"/>
              <w:rPr>
                <w:rFonts w:hAnsi="宋体"/>
                <w:color w:val="auto"/>
                <w:highlight w:val="none"/>
              </w:rPr>
            </w:pPr>
            <w:r>
              <w:rPr>
                <w:rFonts w:hint="eastAsia" w:hAnsi="宋体"/>
                <w:color w:val="auto"/>
                <w:highlight w:val="none"/>
              </w:rPr>
              <w:t>0.45%</w:t>
            </w:r>
          </w:p>
        </w:tc>
        <w:tc>
          <w:tcPr>
            <w:tcW w:w="2293" w:type="dxa"/>
          </w:tcPr>
          <w:p w14:paraId="65A13FEE">
            <w:pPr>
              <w:pStyle w:val="26"/>
              <w:spacing w:line="360" w:lineRule="exact"/>
              <w:ind w:left="25"/>
              <w:jc w:val="center"/>
              <w:rPr>
                <w:rFonts w:hAnsi="宋体"/>
                <w:color w:val="auto"/>
                <w:highlight w:val="none"/>
              </w:rPr>
            </w:pPr>
            <w:r>
              <w:rPr>
                <w:rFonts w:hint="eastAsia" w:hAnsi="宋体"/>
                <w:color w:val="auto"/>
                <w:highlight w:val="none"/>
              </w:rPr>
              <w:t>0.55%</w:t>
            </w:r>
          </w:p>
        </w:tc>
      </w:tr>
      <w:tr w14:paraId="4920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0BAD7370">
            <w:pPr>
              <w:pStyle w:val="26"/>
              <w:spacing w:line="360" w:lineRule="exact"/>
              <w:ind w:left="25"/>
              <w:rPr>
                <w:rFonts w:hAnsi="宋体"/>
                <w:color w:val="auto"/>
                <w:highlight w:val="none"/>
              </w:rPr>
            </w:pPr>
            <w:r>
              <w:rPr>
                <w:rFonts w:hint="eastAsia" w:hAnsi="宋体"/>
                <w:color w:val="auto"/>
                <w:highlight w:val="none"/>
              </w:rPr>
              <w:t>1000～5000万元</w:t>
            </w:r>
          </w:p>
        </w:tc>
        <w:tc>
          <w:tcPr>
            <w:tcW w:w="1841" w:type="dxa"/>
          </w:tcPr>
          <w:p w14:paraId="3A2BEBBA">
            <w:pPr>
              <w:pStyle w:val="26"/>
              <w:spacing w:line="360" w:lineRule="exact"/>
              <w:ind w:left="25"/>
              <w:jc w:val="center"/>
              <w:rPr>
                <w:rFonts w:hAnsi="宋体"/>
                <w:color w:val="auto"/>
                <w:highlight w:val="none"/>
              </w:rPr>
            </w:pPr>
            <w:r>
              <w:rPr>
                <w:rFonts w:hint="eastAsia" w:hAnsi="宋体"/>
                <w:color w:val="auto"/>
                <w:highlight w:val="none"/>
              </w:rPr>
              <w:t>0.5%</w:t>
            </w:r>
          </w:p>
        </w:tc>
        <w:tc>
          <w:tcPr>
            <w:tcW w:w="1992" w:type="dxa"/>
          </w:tcPr>
          <w:p w14:paraId="08927F53">
            <w:pPr>
              <w:pStyle w:val="26"/>
              <w:spacing w:line="360" w:lineRule="exact"/>
              <w:ind w:left="25"/>
              <w:jc w:val="center"/>
              <w:rPr>
                <w:rFonts w:hAnsi="宋体"/>
                <w:color w:val="auto"/>
                <w:highlight w:val="none"/>
              </w:rPr>
            </w:pPr>
            <w:r>
              <w:rPr>
                <w:rFonts w:hint="eastAsia" w:hAnsi="宋体"/>
                <w:color w:val="auto"/>
                <w:highlight w:val="none"/>
              </w:rPr>
              <w:t>0.25%</w:t>
            </w:r>
          </w:p>
        </w:tc>
        <w:tc>
          <w:tcPr>
            <w:tcW w:w="2293" w:type="dxa"/>
          </w:tcPr>
          <w:p w14:paraId="5B965D74">
            <w:pPr>
              <w:pStyle w:val="26"/>
              <w:spacing w:line="360" w:lineRule="exact"/>
              <w:ind w:left="25"/>
              <w:jc w:val="center"/>
              <w:rPr>
                <w:rFonts w:hAnsi="宋体"/>
                <w:color w:val="auto"/>
                <w:highlight w:val="none"/>
              </w:rPr>
            </w:pPr>
            <w:r>
              <w:rPr>
                <w:rFonts w:hint="eastAsia" w:hAnsi="宋体"/>
                <w:color w:val="auto"/>
                <w:highlight w:val="none"/>
              </w:rPr>
              <w:t>0.35%</w:t>
            </w:r>
          </w:p>
        </w:tc>
      </w:tr>
      <w:tr w14:paraId="3031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26ECD0F1">
            <w:pPr>
              <w:pStyle w:val="26"/>
              <w:spacing w:line="360" w:lineRule="exact"/>
              <w:ind w:left="25"/>
              <w:rPr>
                <w:rFonts w:hAnsi="宋体"/>
                <w:color w:val="auto"/>
                <w:highlight w:val="none"/>
              </w:rPr>
            </w:pPr>
            <w:r>
              <w:rPr>
                <w:rFonts w:hint="eastAsia" w:hAnsi="宋体"/>
                <w:color w:val="auto"/>
                <w:highlight w:val="none"/>
              </w:rPr>
              <w:t>5000万元～1亿元</w:t>
            </w:r>
          </w:p>
        </w:tc>
        <w:tc>
          <w:tcPr>
            <w:tcW w:w="1841" w:type="dxa"/>
          </w:tcPr>
          <w:p w14:paraId="429304C0">
            <w:pPr>
              <w:pStyle w:val="26"/>
              <w:spacing w:line="360" w:lineRule="exact"/>
              <w:ind w:left="25"/>
              <w:jc w:val="center"/>
              <w:rPr>
                <w:rFonts w:hAnsi="宋体"/>
                <w:color w:val="auto"/>
                <w:highlight w:val="none"/>
              </w:rPr>
            </w:pPr>
            <w:r>
              <w:rPr>
                <w:rFonts w:hint="eastAsia" w:hAnsi="宋体"/>
                <w:color w:val="auto"/>
                <w:highlight w:val="none"/>
              </w:rPr>
              <w:t>0.25%</w:t>
            </w:r>
          </w:p>
        </w:tc>
        <w:tc>
          <w:tcPr>
            <w:tcW w:w="1992" w:type="dxa"/>
          </w:tcPr>
          <w:p w14:paraId="3356F23F">
            <w:pPr>
              <w:pStyle w:val="26"/>
              <w:spacing w:line="360" w:lineRule="exact"/>
              <w:ind w:left="25"/>
              <w:jc w:val="center"/>
              <w:rPr>
                <w:rFonts w:hAnsi="宋体"/>
                <w:color w:val="auto"/>
                <w:highlight w:val="none"/>
              </w:rPr>
            </w:pPr>
            <w:r>
              <w:rPr>
                <w:rFonts w:hint="eastAsia" w:hAnsi="宋体"/>
                <w:color w:val="auto"/>
                <w:highlight w:val="none"/>
              </w:rPr>
              <w:t>0.1%</w:t>
            </w:r>
          </w:p>
        </w:tc>
        <w:tc>
          <w:tcPr>
            <w:tcW w:w="2293" w:type="dxa"/>
          </w:tcPr>
          <w:p w14:paraId="57C09DEF">
            <w:pPr>
              <w:pStyle w:val="26"/>
              <w:spacing w:line="360" w:lineRule="exact"/>
              <w:ind w:left="25"/>
              <w:jc w:val="center"/>
              <w:rPr>
                <w:rFonts w:hAnsi="宋体"/>
                <w:color w:val="auto"/>
                <w:highlight w:val="none"/>
              </w:rPr>
            </w:pPr>
            <w:r>
              <w:rPr>
                <w:rFonts w:hint="eastAsia" w:hAnsi="宋体"/>
                <w:color w:val="auto"/>
                <w:highlight w:val="none"/>
              </w:rPr>
              <w:t>0.2%</w:t>
            </w:r>
          </w:p>
        </w:tc>
      </w:tr>
      <w:tr w14:paraId="2EE0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2AF7A003">
            <w:pPr>
              <w:pStyle w:val="26"/>
              <w:spacing w:line="360" w:lineRule="exact"/>
              <w:ind w:left="25"/>
              <w:rPr>
                <w:rFonts w:hAnsi="宋体"/>
                <w:color w:val="auto"/>
                <w:highlight w:val="none"/>
              </w:rPr>
            </w:pPr>
            <w:r>
              <w:rPr>
                <w:rFonts w:hint="eastAsia" w:hAnsi="宋体"/>
                <w:color w:val="auto"/>
                <w:highlight w:val="none"/>
              </w:rPr>
              <w:t>1～5亿元</w:t>
            </w:r>
          </w:p>
        </w:tc>
        <w:tc>
          <w:tcPr>
            <w:tcW w:w="1841" w:type="dxa"/>
          </w:tcPr>
          <w:p w14:paraId="7BFFB0F0">
            <w:pPr>
              <w:pStyle w:val="26"/>
              <w:spacing w:line="360" w:lineRule="exact"/>
              <w:ind w:left="25"/>
              <w:jc w:val="center"/>
              <w:rPr>
                <w:rFonts w:hAnsi="宋体"/>
                <w:color w:val="auto"/>
                <w:highlight w:val="none"/>
              </w:rPr>
            </w:pPr>
            <w:r>
              <w:rPr>
                <w:rFonts w:hint="eastAsia" w:hAnsi="宋体"/>
                <w:color w:val="auto"/>
                <w:highlight w:val="none"/>
              </w:rPr>
              <w:t>0.05%</w:t>
            </w:r>
          </w:p>
        </w:tc>
        <w:tc>
          <w:tcPr>
            <w:tcW w:w="1992" w:type="dxa"/>
          </w:tcPr>
          <w:p w14:paraId="38DCDBB4">
            <w:pPr>
              <w:pStyle w:val="26"/>
              <w:spacing w:line="360" w:lineRule="exact"/>
              <w:ind w:left="25"/>
              <w:jc w:val="center"/>
              <w:rPr>
                <w:rFonts w:hAnsi="宋体"/>
                <w:color w:val="auto"/>
                <w:highlight w:val="none"/>
              </w:rPr>
            </w:pPr>
            <w:r>
              <w:rPr>
                <w:rFonts w:hint="eastAsia" w:hAnsi="宋体"/>
                <w:color w:val="auto"/>
                <w:highlight w:val="none"/>
              </w:rPr>
              <w:t>0.05%</w:t>
            </w:r>
          </w:p>
        </w:tc>
        <w:tc>
          <w:tcPr>
            <w:tcW w:w="2293" w:type="dxa"/>
          </w:tcPr>
          <w:p w14:paraId="094245F9">
            <w:pPr>
              <w:pStyle w:val="26"/>
              <w:spacing w:line="360" w:lineRule="exact"/>
              <w:ind w:left="25"/>
              <w:jc w:val="center"/>
              <w:rPr>
                <w:rFonts w:hAnsi="宋体"/>
                <w:color w:val="auto"/>
                <w:highlight w:val="none"/>
              </w:rPr>
            </w:pPr>
            <w:r>
              <w:rPr>
                <w:rFonts w:hint="eastAsia" w:hAnsi="宋体"/>
                <w:color w:val="auto"/>
                <w:highlight w:val="none"/>
              </w:rPr>
              <w:t>0.05%</w:t>
            </w:r>
          </w:p>
        </w:tc>
      </w:tr>
      <w:tr w14:paraId="4C07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20B2A0F5">
            <w:pPr>
              <w:pStyle w:val="26"/>
              <w:spacing w:line="360" w:lineRule="exact"/>
              <w:ind w:left="25"/>
              <w:rPr>
                <w:rFonts w:hAnsi="宋体"/>
                <w:color w:val="auto"/>
                <w:highlight w:val="none"/>
              </w:rPr>
            </w:pPr>
            <w:r>
              <w:rPr>
                <w:rFonts w:hint="eastAsia" w:hAnsi="宋体"/>
                <w:color w:val="auto"/>
                <w:highlight w:val="none"/>
              </w:rPr>
              <w:t>5～10亿元</w:t>
            </w:r>
          </w:p>
        </w:tc>
        <w:tc>
          <w:tcPr>
            <w:tcW w:w="1841" w:type="dxa"/>
          </w:tcPr>
          <w:p w14:paraId="6DA3C7F5">
            <w:pPr>
              <w:pStyle w:val="26"/>
              <w:spacing w:line="360" w:lineRule="exact"/>
              <w:ind w:left="25"/>
              <w:jc w:val="center"/>
              <w:rPr>
                <w:rFonts w:hAnsi="宋体"/>
                <w:color w:val="auto"/>
                <w:highlight w:val="none"/>
              </w:rPr>
            </w:pPr>
            <w:r>
              <w:rPr>
                <w:rFonts w:hint="eastAsia" w:hAnsi="宋体"/>
                <w:color w:val="auto"/>
                <w:highlight w:val="none"/>
              </w:rPr>
              <w:t>0.035%</w:t>
            </w:r>
          </w:p>
        </w:tc>
        <w:tc>
          <w:tcPr>
            <w:tcW w:w="1992" w:type="dxa"/>
          </w:tcPr>
          <w:p w14:paraId="028D23E9">
            <w:pPr>
              <w:pStyle w:val="26"/>
              <w:spacing w:line="360" w:lineRule="exact"/>
              <w:ind w:left="25"/>
              <w:jc w:val="center"/>
              <w:rPr>
                <w:rFonts w:hAnsi="宋体"/>
                <w:color w:val="auto"/>
                <w:highlight w:val="none"/>
              </w:rPr>
            </w:pPr>
            <w:r>
              <w:rPr>
                <w:rFonts w:hint="eastAsia" w:hAnsi="宋体"/>
                <w:color w:val="auto"/>
                <w:highlight w:val="none"/>
              </w:rPr>
              <w:t>0.035%</w:t>
            </w:r>
          </w:p>
        </w:tc>
        <w:tc>
          <w:tcPr>
            <w:tcW w:w="2293" w:type="dxa"/>
          </w:tcPr>
          <w:p w14:paraId="3AA7C362">
            <w:pPr>
              <w:pStyle w:val="26"/>
              <w:spacing w:line="360" w:lineRule="exact"/>
              <w:ind w:left="25"/>
              <w:jc w:val="center"/>
              <w:rPr>
                <w:rFonts w:hAnsi="宋体"/>
                <w:color w:val="auto"/>
                <w:highlight w:val="none"/>
              </w:rPr>
            </w:pPr>
            <w:r>
              <w:rPr>
                <w:rFonts w:hint="eastAsia" w:hAnsi="宋体"/>
                <w:color w:val="auto"/>
                <w:highlight w:val="none"/>
              </w:rPr>
              <w:t>0.035%</w:t>
            </w:r>
          </w:p>
        </w:tc>
      </w:tr>
      <w:tr w14:paraId="0971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4D3555CB">
            <w:pPr>
              <w:pStyle w:val="26"/>
              <w:spacing w:line="360" w:lineRule="exact"/>
              <w:ind w:left="25"/>
              <w:rPr>
                <w:rFonts w:hAnsi="宋体"/>
                <w:color w:val="auto"/>
                <w:highlight w:val="none"/>
              </w:rPr>
            </w:pPr>
            <w:r>
              <w:rPr>
                <w:rFonts w:hint="eastAsia" w:hAnsi="宋体"/>
                <w:color w:val="auto"/>
                <w:highlight w:val="none"/>
              </w:rPr>
              <w:t>10～50亿元</w:t>
            </w:r>
          </w:p>
        </w:tc>
        <w:tc>
          <w:tcPr>
            <w:tcW w:w="1841" w:type="dxa"/>
          </w:tcPr>
          <w:p w14:paraId="69A63736">
            <w:pPr>
              <w:pStyle w:val="26"/>
              <w:spacing w:line="360" w:lineRule="exact"/>
              <w:ind w:left="25"/>
              <w:jc w:val="center"/>
              <w:rPr>
                <w:rFonts w:hAnsi="宋体"/>
                <w:color w:val="auto"/>
                <w:highlight w:val="none"/>
              </w:rPr>
            </w:pPr>
            <w:r>
              <w:rPr>
                <w:rFonts w:hint="eastAsia" w:hAnsi="宋体"/>
                <w:color w:val="auto"/>
                <w:highlight w:val="none"/>
              </w:rPr>
              <w:t>0.008%</w:t>
            </w:r>
          </w:p>
        </w:tc>
        <w:tc>
          <w:tcPr>
            <w:tcW w:w="1992" w:type="dxa"/>
          </w:tcPr>
          <w:p w14:paraId="7CAEDE51">
            <w:pPr>
              <w:pStyle w:val="26"/>
              <w:spacing w:line="360" w:lineRule="exact"/>
              <w:ind w:left="25"/>
              <w:jc w:val="center"/>
              <w:rPr>
                <w:rFonts w:hAnsi="宋体"/>
                <w:color w:val="auto"/>
                <w:highlight w:val="none"/>
              </w:rPr>
            </w:pPr>
            <w:r>
              <w:rPr>
                <w:rFonts w:hint="eastAsia" w:hAnsi="宋体"/>
                <w:color w:val="auto"/>
                <w:highlight w:val="none"/>
              </w:rPr>
              <w:t>0.008%</w:t>
            </w:r>
          </w:p>
        </w:tc>
        <w:tc>
          <w:tcPr>
            <w:tcW w:w="2293" w:type="dxa"/>
          </w:tcPr>
          <w:p w14:paraId="67254689">
            <w:pPr>
              <w:pStyle w:val="26"/>
              <w:spacing w:line="360" w:lineRule="exact"/>
              <w:ind w:left="25"/>
              <w:jc w:val="center"/>
              <w:rPr>
                <w:rFonts w:hAnsi="宋体"/>
                <w:color w:val="auto"/>
                <w:highlight w:val="none"/>
              </w:rPr>
            </w:pPr>
            <w:r>
              <w:rPr>
                <w:rFonts w:hint="eastAsia" w:hAnsi="宋体"/>
                <w:color w:val="auto"/>
                <w:highlight w:val="none"/>
              </w:rPr>
              <w:t>0.008%</w:t>
            </w:r>
          </w:p>
        </w:tc>
      </w:tr>
      <w:tr w14:paraId="6CAB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44A402CE">
            <w:pPr>
              <w:pStyle w:val="26"/>
              <w:spacing w:line="360" w:lineRule="exact"/>
              <w:ind w:left="25"/>
              <w:rPr>
                <w:rFonts w:hAnsi="宋体"/>
                <w:color w:val="auto"/>
                <w:highlight w:val="none"/>
              </w:rPr>
            </w:pPr>
            <w:r>
              <w:rPr>
                <w:rFonts w:hint="eastAsia" w:hAnsi="宋体"/>
                <w:color w:val="auto"/>
                <w:highlight w:val="none"/>
              </w:rPr>
              <w:t>50～100亿元</w:t>
            </w:r>
          </w:p>
        </w:tc>
        <w:tc>
          <w:tcPr>
            <w:tcW w:w="1841" w:type="dxa"/>
          </w:tcPr>
          <w:p w14:paraId="112C6D43">
            <w:pPr>
              <w:pStyle w:val="26"/>
              <w:spacing w:line="360" w:lineRule="exact"/>
              <w:ind w:left="25"/>
              <w:jc w:val="center"/>
              <w:rPr>
                <w:rFonts w:hAnsi="宋体"/>
                <w:color w:val="auto"/>
                <w:highlight w:val="none"/>
              </w:rPr>
            </w:pPr>
            <w:r>
              <w:rPr>
                <w:rFonts w:hint="eastAsia" w:hAnsi="宋体"/>
                <w:color w:val="auto"/>
                <w:highlight w:val="none"/>
              </w:rPr>
              <w:t>0.006%</w:t>
            </w:r>
          </w:p>
        </w:tc>
        <w:tc>
          <w:tcPr>
            <w:tcW w:w="1992" w:type="dxa"/>
          </w:tcPr>
          <w:p w14:paraId="57C99CDE">
            <w:pPr>
              <w:pStyle w:val="26"/>
              <w:spacing w:line="360" w:lineRule="exact"/>
              <w:ind w:left="25"/>
              <w:jc w:val="center"/>
              <w:rPr>
                <w:rFonts w:hAnsi="宋体"/>
                <w:color w:val="auto"/>
                <w:highlight w:val="none"/>
              </w:rPr>
            </w:pPr>
            <w:r>
              <w:rPr>
                <w:rFonts w:hint="eastAsia" w:hAnsi="宋体"/>
                <w:color w:val="auto"/>
                <w:highlight w:val="none"/>
              </w:rPr>
              <w:t>0.006%</w:t>
            </w:r>
          </w:p>
        </w:tc>
        <w:tc>
          <w:tcPr>
            <w:tcW w:w="2293" w:type="dxa"/>
          </w:tcPr>
          <w:p w14:paraId="54F27215">
            <w:pPr>
              <w:pStyle w:val="26"/>
              <w:spacing w:line="360" w:lineRule="exact"/>
              <w:ind w:left="25"/>
              <w:jc w:val="center"/>
              <w:rPr>
                <w:rFonts w:hAnsi="宋体"/>
                <w:color w:val="auto"/>
                <w:highlight w:val="none"/>
              </w:rPr>
            </w:pPr>
            <w:r>
              <w:rPr>
                <w:rFonts w:hint="eastAsia" w:hAnsi="宋体"/>
                <w:color w:val="auto"/>
                <w:highlight w:val="none"/>
              </w:rPr>
              <w:t>0.006%</w:t>
            </w:r>
          </w:p>
        </w:tc>
      </w:tr>
      <w:tr w14:paraId="3DD1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tcPr>
          <w:p w14:paraId="6EDF4912">
            <w:pPr>
              <w:pStyle w:val="26"/>
              <w:spacing w:line="360" w:lineRule="exact"/>
              <w:ind w:left="25"/>
              <w:rPr>
                <w:rFonts w:hAnsi="宋体"/>
                <w:color w:val="auto"/>
                <w:highlight w:val="none"/>
              </w:rPr>
            </w:pPr>
            <w:r>
              <w:rPr>
                <w:rFonts w:hint="eastAsia" w:hAnsi="宋体"/>
                <w:color w:val="auto"/>
                <w:highlight w:val="none"/>
              </w:rPr>
              <w:t>100亿以上</w:t>
            </w:r>
          </w:p>
        </w:tc>
        <w:tc>
          <w:tcPr>
            <w:tcW w:w="1841" w:type="dxa"/>
          </w:tcPr>
          <w:p w14:paraId="04548A39">
            <w:pPr>
              <w:pStyle w:val="26"/>
              <w:spacing w:line="360" w:lineRule="exact"/>
              <w:ind w:left="25"/>
              <w:jc w:val="center"/>
              <w:rPr>
                <w:rFonts w:hAnsi="宋体"/>
                <w:color w:val="auto"/>
                <w:highlight w:val="none"/>
              </w:rPr>
            </w:pPr>
            <w:r>
              <w:rPr>
                <w:rFonts w:hint="eastAsia" w:hAnsi="宋体"/>
                <w:color w:val="auto"/>
                <w:highlight w:val="none"/>
              </w:rPr>
              <w:t>0.004%</w:t>
            </w:r>
          </w:p>
        </w:tc>
        <w:tc>
          <w:tcPr>
            <w:tcW w:w="1992" w:type="dxa"/>
          </w:tcPr>
          <w:p w14:paraId="02652624">
            <w:pPr>
              <w:pStyle w:val="26"/>
              <w:spacing w:line="360" w:lineRule="exact"/>
              <w:ind w:left="25"/>
              <w:jc w:val="center"/>
              <w:rPr>
                <w:rFonts w:hAnsi="宋体"/>
                <w:color w:val="auto"/>
                <w:highlight w:val="none"/>
              </w:rPr>
            </w:pPr>
            <w:r>
              <w:rPr>
                <w:rFonts w:hint="eastAsia" w:hAnsi="宋体"/>
                <w:color w:val="auto"/>
                <w:highlight w:val="none"/>
              </w:rPr>
              <w:t>0.004%</w:t>
            </w:r>
          </w:p>
        </w:tc>
        <w:tc>
          <w:tcPr>
            <w:tcW w:w="2293" w:type="dxa"/>
          </w:tcPr>
          <w:p w14:paraId="6ECB4F37">
            <w:pPr>
              <w:pStyle w:val="26"/>
              <w:spacing w:line="360" w:lineRule="exact"/>
              <w:ind w:left="25"/>
              <w:jc w:val="center"/>
              <w:rPr>
                <w:rFonts w:hAnsi="宋体"/>
                <w:color w:val="auto"/>
                <w:highlight w:val="none"/>
              </w:rPr>
            </w:pPr>
            <w:r>
              <w:rPr>
                <w:rFonts w:hint="eastAsia" w:hAnsi="宋体"/>
                <w:color w:val="auto"/>
                <w:highlight w:val="none"/>
              </w:rPr>
              <w:t>0.004%</w:t>
            </w:r>
          </w:p>
        </w:tc>
      </w:tr>
    </w:tbl>
    <w:p w14:paraId="18C11F9F">
      <w:pPr>
        <w:pStyle w:val="26"/>
        <w:keepNext w:val="0"/>
        <w:keepLines w:val="0"/>
        <w:pageBreakBefore w:val="0"/>
        <w:widowControl w:val="0"/>
        <w:kinsoku/>
        <w:wordWrap/>
        <w:overflowPunct/>
        <w:topLinePunct w:val="0"/>
        <w:autoSpaceDE/>
        <w:autoSpaceDN/>
        <w:bidi w:val="0"/>
        <w:adjustRightInd/>
        <w:spacing w:line="360" w:lineRule="exact"/>
        <w:ind w:left="25"/>
        <w:textAlignment w:val="auto"/>
        <w:rPr>
          <w:rFonts w:hAnsi="宋体"/>
          <w:color w:val="auto"/>
          <w:highlight w:val="none"/>
        </w:rPr>
      </w:pPr>
      <w:r>
        <w:rPr>
          <w:rFonts w:hint="eastAsia" w:hAnsi="宋体"/>
          <w:color w:val="auto"/>
          <w:highlight w:val="none"/>
        </w:rPr>
        <w:t>注：采购代理服务收费按差额定率累进法计算。</w:t>
      </w:r>
    </w:p>
    <w:p w14:paraId="493FFFD8">
      <w:pPr>
        <w:keepNext w:val="0"/>
        <w:keepLines w:val="0"/>
        <w:pageBreakBefore w:val="0"/>
        <w:widowControl w:val="0"/>
        <w:kinsoku/>
        <w:wordWrap/>
        <w:overflowPunct/>
        <w:topLinePunct w:val="0"/>
        <w:autoSpaceDE/>
        <w:autoSpaceDN/>
        <w:bidi w:val="0"/>
        <w:adjustRightInd/>
        <w:spacing w:line="360" w:lineRule="exact"/>
        <w:ind w:firstLine="422" w:firstLineChars="200"/>
        <w:textAlignment w:val="auto"/>
        <w:rPr>
          <w:rFonts w:ascii="宋体" w:hAnsi="宋体"/>
          <w:b/>
          <w:color w:val="auto"/>
          <w:highlight w:val="none"/>
        </w:rPr>
      </w:pPr>
      <w:r>
        <w:rPr>
          <w:rFonts w:hint="eastAsia" w:ascii="宋体" w:hAnsi="宋体"/>
          <w:b/>
          <w:color w:val="auto"/>
          <w:highlight w:val="none"/>
        </w:rPr>
        <w:t>37.采购代理机构银行账户（用于交纳采购代理服务费）：</w:t>
      </w:r>
    </w:p>
    <w:p w14:paraId="620340D2">
      <w:pPr>
        <w:keepNext w:val="0"/>
        <w:keepLines w:val="0"/>
        <w:pageBreakBefore w:val="0"/>
        <w:widowControl w:val="0"/>
        <w:kinsoku/>
        <w:wordWrap/>
        <w:overflowPunct/>
        <w:topLinePunct w:val="0"/>
        <w:autoSpaceDE/>
        <w:autoSpaceDN/>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 xml:space="preserve">开户名称：云之龙咨询集团有限公司桂林分公司  </w:t>
      </w:r>
    </w:p>
    <w:p w14:paraId="63040FAF">
      <w:pPr>
        <w:keepNext w:val="0"/>
        <w:keepLines w:val="0"/>
        <w:pageBreakBefore w:val="0"/>
        <w:widowControl w:val="0"/>
        <w:kinsoku/>
        <w:wordWrap/>
        <w:overflowPunct/>
        <w:topLinePunct w:val="0"/>
        <w:autoSpaceDE/>
        <w:autoSpaceDN/>
        <w:bidi w:val="0"/>
        <w:adjustRightInd/>
        <w:spacing w:line="36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开户银行：中信银行股份有限公司南宁</w:t>
      </w:r>
      <w:r>
        <w:rPr>
          <w:rFonts w:hint="eastAsia" w:ascii="宋体" w:hAnsi="宋体"/>
          <w:color w:val="auto"/>
          <w:szCs w:val="21"/>
          <w:highlight w:val="none"/>
          <w:lang w:eastAsia="zh-CN"/>
        </w:rPr>
        <w:t>园湖</w:t>
      </w:r>
      <w:r>
        <w:rPr>
          <w:rFonts w:hint="eastAsia" w:ascii="宋体" w:hAnsi="宋体"/>
          <w:color w:val="auto"/>
          <w:szCs w:val="21"/>
          <w:highlight w:val="none"/>
        </w:rPr>
        <w:t xml:space="preserve">支行   </w:t>
      </w:r>
    </w:p>
    <w:p w14:paraId="0946B6D1">
      <w:pPr>
        <w:pStyle w:val="26"/>
        <w:keepNext w:val="0"/>
        <w:keepLines w:val="0"/>
        <w:pageBreakBefore w:val="0"/>
        <w:widowControl w:val="0"/>
        <w:kinsoku/>
        <w:wordWrap/>
        <w:overflowPunct/>
        <w:topLinePunct w:val="0"/>
        <w:autoSpaceDE/>
        <w:autoSpaceDN/>
        <w:bidi w:val="0"/>
        <w:adjustRightInd/>
        <w:snapToGrid w:val="0"/>
        <w:spacing w:line="360" w:lineRule="exact"/>
        <w:ind w:left="420" w:leftChars="200"/>
        <w:textAlignment w:val="auto"/>
        <w:rPr>
          <w:rFonts w:hAnsi="宋体"/>
          <w:color w:val="auto"/>
          <w:highlight w:val="none"/>
        </w:rPr>
      </w:pPr>
      <w:r>
        <w:rPr>
          <w:rFonts w:hint="eastAsia" w:hAnsi="宋体"/>
          <w:color w:val="auto"/>
          <w:szCs w:val="21"/>
          <w:highlight w:val="none"/>
        </w:rPr>
        <w:t>银行账号：8113001014300158041</w:t>
      </w:r>
      <w:r>
        <w:rPr>
          <w:rFonts w:hAnsi="宋体"/>
          <w:color w:val="auto"/>
          <w:highlight w:val="none"/>
        </w:rPr>
        <w:t xml:space="preserve">  </w:t>
      </w:r>
    </w:p>
    <w:p w14:paraId="6580FCE8">
      <w:pPr>
        <w:keepNext w:val="0"/>
        <w:keepLines w:val="0"/>
        <w:pageBreakBefore w:val="0"/>
        <w:widowControl w:val="0"/>
        <w:kinsoku/>
        <w:wordWrap/>
        <w:overflowPunct/>
        <w:topLinePunct w:val="0"/>
        <w:autoSpaceDE/>
        <w:autoSpaceDN/>
        <w:bidi w:val="0"/>
        <w:adjustRightInd/>
        <w:spacing w:line="360" w:lineRule="exact"/>
        <w:ind w:firstLine="422"/>
        <w:textAlignment w:val="auto"/>
        <w:rPr>
          <w:rFonts w:ascii="宋体" w:hAnsi="宋体" w:cs="宋体"/>
          <w:b/>
          <w:color w:val="auto"/>
          <w:kern w:val="0"/>
          <w:highlight w:val="none"/>
        </w:rPr>
      </w:pPr>
      <w:r>
        <w:rPr>
          <w:rFonts w:hint="eastAsia" w:ascii="宋体" w:hAnsi="宋体"/>
          <w:b/>
          <w:color w:val="auto"/>
          <w:highlight w:val="none"/>
        </w:rPr>
        <w:t>38.</w:t>
      </w:r>
      <w:r>
        <w:rPr>
          <w:rFonts w:hint="eastAsia" w:ascii="宋体" w:hAnsi="宋体" w:cs="宋体"/>
          <w:b/>
          <w:color w:val="auto"/>
          <w:kern w:val="0"/>
          <w:highlight w:val="none"/>
        </w:rPr>
        <w:t>广西线上“政采贷”政策详见附表4.</w:t>
      </w:r>
    </w:p>
    <w:p w14:paraId="7CF0DC3C">
      <w:pPr>
        <w:pStyle w:val="26"/>
        <w:keepNext w:val="0"/>
        <w:keepLines w:val="0"/>
        <w:pageBreakBefore w:val="0"/>
        <w:widowControl w:val="0"/>
        <w:kinsoku/>
        <w:wordWrap/>
        <w:overflowPunct/>
        <w:topLinePunct w:val="0"/>
        <w:autoSpaceDE/>
        <w:autoSpaceDN/>
        <w:bidi w:val="0"/>
        <w:adjustRightInd/>
        <w:snapToGrid w:val="0"/>
        <w:spacing w:line="360" w:lineRule="exact"/>
        <w:ind w:firstLine="422" w:firstLineChars="200"/>
        <w:textAlignment w:val="auto"/>
        <w:rPr>
          <w:rFonts w:hAnsi="宋体"/>
          <w:color w:val="auto"/>
          <w:szCs w:val="21"/>
          <w:highlight w:val="none"/>
        </w:rPr>
      </w:pPr>
      <w:r>
        <w:rPr>
          <w:rFonts w:hint="eastAsia" w:hAnsi="宋体"/>
          <w:b/>
          <w:color w:val="auto"/>
          <w:highlight w:val="none"/>
        </w:rPr>
        <w:t>39.解释权：</w:t>
      </w:r>
      <w:r>
        <w:rPr>
          <w:rFonts w:hint="eastAsia" w:hAnsi="宋体"/>
          <w:color w:val="auto"/>
          <w:szCs w:val="21"/>
          <w:highlight w:val="none"/>
        </w:rPr>
        <w:t>本招标文件是根据《中华人民共和国政府采购法</w:t>
      </w:r>
      <w:r>
        <w:rPr>
          <w:rFonts w:hint="eastAsia" w:hAnsi="宋体"/>
          <w:color w:val="auto"/>
          <w:szCs w:val="21"/>
          <w:highlight w:val="none"/>
          <w:lang w:eastAsia="zh-CN"/>
        </w:rPr>
        <w:t>》《</w:t>
      </w:r>
      <w:r>
        <w:rPr>
          <w:rFonts w:hint="eastAsia" w:hAnsi="宋体"/>
          <w:color w:val="auto"/>
          <w:szCs w:val="21"/>
          <w:highlight w:val="none"/>
        </w:rPr>
        <w:t>中华人民共和国政府采购法实施条例》及</w:t>
      </w:r>
      <w:r>
        <w:rPr>
          <w:bCs/>
          <w:color w:val="auto"/>
          <w:highlight w:val="none"/>
        </w:rPr>
        <w:t>财政部令第87号</w:t>
      </w:r>
      <w:r>
        <w:rPr>
          <w:rFonts w:hAnsi="宋体"/>
          <w:color w:val="auto"/>
          <w:szCs w:val="21"/>
          <w:highlight w:val="none"/>
        </w:rPr>
        <w:t>《政府采购货物和服务招标投标管理办法》</w:t>
      </w:r>
      <w:r>
        <w:rPr>
          <w:rFonts w:hint="eastAsia" w:hAnsi="宋体"/>
          <w:color w:val="auto"/>
          <w:szCs w:val="21"/>
          <w:highlight w:val="none"/>
        </w:rPr>
        <w:t>和政府采购管理有关规定编制，本招标文件的解释权属于采购代理机构。</w:t>
      </w:r>
    </w:p>
    <w:p w14:paraId="6C54C8E8">
      <w:pPr>
        <w:keepNext w:val="0"/>
        <w:keepLines w:val="0"/>
        <w:pageBreakBefore w:val="0"/>
        <w:widowControl w:val="0"/>
        <w:kinsoku/>
        <w:wordWrap/>
        <w:overflowPunct/>
        <w:topLinePunct w:val="0"/>
        <w:autoSpaceDE/>
        <w:autoSpaceDN/>
        <w:bidi w:val="0"/>
        <w:adjustRightInd/>
        <w:snapToGrid w:val="0"/>
        <w:spacing w:line="360" w:lineRule="exact"/>
        <w:ind w:firstLine="422" w:firstLineChars="200"/>
        <w:textAlignment w:val="auto"/>
        <w:rPr>
          <w:rFonts w:ascii="宋体" w:hAnsi="宋体"/>
          <w:b/>
          <w:color w:val="auto"/>
          <w:sz w:val="32"/>
          <w:szCs w:val="32"/>
          <w:highlight w:val="none"/>
        </w:rPr>
      </w:pPr>
      <w:r>
        <w:rPr>
          <w:rFonts w:hint="eastAsia" w:ascii="宋体" w:hAnsi="宋体"/>
          <w:b/>
          <w:color w:val="auto"/>
          <w:highlight w:val="none"/>
        </w:rPr>
        <w:t>40.</w:t>
      </w:r>
      <w:r>
        <w:rPr>
          <w:rFonts w:hint="eastAsia" w:ascii="宋体" w:hAnsi="宋体"/>
          <w:b/>
          <w:color w:val="auto"/>
          <w:szCs w:val="21"/>
          <w:highlight w:val="none"/>
        </w:rPr>
        <w:t>监督管理机构：</w:t>
      </w:r>
      <w:r>
        <w:rPr>
          <w:rFonts w:hint="eastAsia" w:ascii="宋体" w:hAnsi="宋体"/>
          <w:color w:val="auto"/>
          <w:kern w:val="0"/>
          <w:szCs w:val="21"/>
          <w:highlight w:val="none"/>
        </w:rPr>
        <w:t>桂林市财政局；联系电话：0773-2829504</w:t>
      </w:r>
    </w:p>
    <w:p w14:paraId="41C5C0A4">
      <w:pPr>
        <w:pStyle w:val="26"/>
        <w:keepNext w:val="0"/>
        <w:keepLines w:val="0"/>
        <w:pageBreakBefore w:val="0"/>
        <w:widowControl w:val="0"/>
        <w:kinsoku/>
        <w:wordWrap/>
        <w:overflowPunct/>
        <w:topLinePunct w:val="0"/>
        <w:autoSpaceDE/>
        <w:autoSpaceDN/>
        <w:bidi w:val="0"/>
        <w:adjustRightInd/>
        <w:snapToGrid w:val="0"/>
        <w:spacing w:line="360" w:lineRule="exact"/>
        <w:ind w:firstLine="422" w:firstLineChars="200"/>
        <w:textAlignment w:val="auto"/>
        <w:rPr>
          <w:rFonts w:hAnsi="宋体"/>
          <w:b/>
          <w:bCs/>
          <w:color w:val="auto"/>
          <w:szCs w:val="21"/>
          <w:highlight w:val="none"/>
        </w:rPr>
      </w:pPr>
      <w:r>
        <w:rPr>
          <w:rFonts w:hint="eastAsia" w:hAnsi="宋体"/>
          <w:b/>
          <w:bCs/>
          <w:color w:val="auto"/>
          <w:szCs w:val="21"/>
          <w:highlight w:val="none"/>
        </w:rPr>
        <w:t>41.采购过程中出现以下情形，导致电子交易平台无法正常运行，或者无法保证电子交易的公平、公正和安全时，采购代理机构可以中止电子交易活动：</w:t>
      </w:r>
    </w:p>
    <w:p w14:paraId="5B7734B9">
      <w:pPr>
        <w:pStyle w:val="26"/>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Ansi="宋体"/>
          <w:color w:val="auto"/>
          <w:szCs w:val="21"/>
          <w:highlight w:val="none"/>
        </w:rPr>
      </w:pPr>
      <w:r>
        <w:rPr>
          <w:rFonts w:hint="eastAsia" w:hAnsi="宋体"/>
          <w:color w:val="auto"/>
          <w:szCs w:val="21"/>
          <w:highlight w:val="none"/>
        </w:rPr>
        <w:t xml:space="preserve">（1）电子交易平台发生故障而无法登录访问的； </w:t>
      </w:r>
    </w:p>
    <w:p w14:paraId="1C906DBF">
      <w:pPr>
        <w:pStyle w:val="26"/>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Ansi="宋体"/>
          <w:color w:val="auto"/>
          <w:szCs w:val="21"/>
          <w:highlight w:val="none"/>
        </w:rPr>
      </w:pPr>
      <w:r>
        <w:rPr>
          <w:rFonts w:hint="eastAsia" w:hAnsi="宋体"/>
          <w:color w:val="auto"/>
          <w:szCs w:val="21"/>
          <w:highlight w:val="none"/>
        </w:rPr>
        <w:t>（2）电子交易平台应用或数据库出现错误，不能进行正常操作的；</w:t>
      </w:r>
    </w:p>
    <w:p w14:paraId="12768BCE">
      <w:pPr>
        <w:pStyle w:val="26"/>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Ansi="宋体"/>
          <w:color w:val="auto"/>
          <w:szCs w:val="21"/>
          <w:highlight w:val="none"/>
        </w:rPr>
      </w:pPr>
      <w:r>
        <w:rPr>
          <w:rFonts w:hint="eastAsia" w:hAnsi="宋体"/>
          <w:color w:val="auto"/>
          <w:szCs w:val="21"/>
          <w:highlight w:val="none"/>
        </w:rPr>
        <w:t>（3）电子交易平台发现严重安全漏洞，有潜在泄密危险的；</w:t>
      </w:r>
    </w:p>
    <w:p w14:paraId="796DD146">
      <w:pPr>
        <w:pStyle w:val="26"/>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Ansi="宋体"/>
          <w:color w:val="auto"/>
          <w:szCs w:val="21"/>
          <w:highlight w:val="none"/>
        </w:rPr>
      </w:pPr>
      <w:r>
        <w:rPr>
          <w:rFonts w:hint="eastAsia" w:hAnsi="宋体"/>
          <w:color w:val="auto"/>
          <w:szCs w:val="21"/>
          <w:highlight w:val="none"/>
        </w:rPr>
        <w:t xml:space="preserve">（4）病毒发作导致不能进行正常操作的； </w:t>
      </w:r>
    </w:p>
    <w:p w14:paraId="31D06A3E">
      <w:pPr>
        <w:pStyle w:val="26"/>
        <w:keepNext w:val="0"/>
        <w:keepLines w:val="0"/>
        <w:pageBreakBefore w:val="0"/>
        <w:widowControl w:val="0"/>
        <w:kinsoku/>
        <w:wordWrap/>
        <w:overflowPunct/>
        <w:topLinePunct w:val="0"/>
        <w:autoSpaceDE/>
        <w:autoSpaceDN/>
        <w:bidi w:val="0"/>
        <w:adjustRightInd/>
        <w:snapToGrid w:val="0"/>
        <w:spacing w:line="360" w:lineRule="exact"/>
        <w:ind w:firstLine="420" w:firstLineChars="200"/>
        <w:textAlignment w:val="auto"/>
        <w:rPr>
          <w:rFonts w:hAnsi="宋体"/>
          <w:color w:val="auto"/>
          <w:szCs w:val="21"/>
          <w:highlight w:val="none"/>
        </w:rPr>
      </w:pPr>
      <w:r>
        <w:rPr>
          <w:rFonts w:hint="eastAsia" w:hAnsi="宋体"/>
          <w:color w:val="auto"/>
          <w:szCs w:val="21"/>
          <w:highlight w:val="none"/>
        </w:rPr>
        <w:t>（5）其他无法保证电子交易的公平、公正和安全的情况。</w:t>
      </w:r>
    </w:p>
    <w:p w14:paraId="62AA8A92">
      <w:pPr>
        <w:pStyle w:val="26"/>
        <w:keepNext w:val="0"/>
        <w:keepLines w:val="0"/>
        <w:pageBreakBefore w:val="0"/>
        <w:widowControl w:val="0"/>
        <w:kinsoku/>
        <w:wordWrap/>
        <w:overflowPunct/>
        <w:topLinePunct w:val="0"/>
        <w:autoSpaceDE/>
        <w:autoSpaceDN/>
        <w:bidi w:val="0"/>
        <w:adjustRightInd/>
        <w:snapToGrid w:val="0"/>
        <w:spacing w:line="360" w:lineRule="exact"/>
        <w:textAlignment w:val="auto"/>
        <w:rPr>
          <w:rFonts w:hAnsi="宋体"/>
          <w:b/>
          <w:color w:val="auto"/>
          <w:sz w:val="24"/>
          <w:szCs w:val="24"/>
          <w:highlight w:val="none"/>
        </w:rPr>
      </w:pPr>
      <w:r>
        <w:rPr>
          <w:rFonts w:hint="eastAsia" w:hAnsi="宋体"/>
          <w:color w:val="auto"/>
          <w:szCs w:val="21"/>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r>
        <w:rPr>
          <w:b/>
          <w:color w:val="auto"/>
          <w:sz w:val="24"/>
          <w:szCs w:val="24"/>
          <w:highlight w:val="none"/>
        </w:rPr>
        <w:br w:type="page"/>
      </w:r>
      <w:r>
        <w:rPr>
          <w:rFonts w:hint="eastAsia"/>
          <w:b/>
          <w:color w:val="auto"/>
          <w:sz w:val="24"/>
          <w:szCs w:val="24"/>
          <w:highlight w:val="none"/>
        </w:rPr>
        <w:t>附表1：</w:t>
      </w:r>
    </w:p>
    <w:p w14:paraId="6DF218CB">
      <w:pPr>
        <w:spacing w:line="460" w:lineRule="exact"/>
        <w:jc w:val="center"/>
        <w:rPr>
          <w:rFonts w:eastAsia="隶书"/>
          <w:color w:val="auto"/>
          <w:sz w:val="44"/>
          <w:highlight w:val="none"/>
        </w:rPr>
      </w:pPr>
      <w:r>
        <w:rPr>
          <w:rFonts w:hint="eastAsia" w:eastAsia="隶书"/>
          <w:color w:val="auto"/>
          <w:sz w:val="44"/>
          <w:highlight w:val="none"/>
        </w:rPr>
        <w:t>质疑函（格式）</w:t>
      </w:r>
    </w:p>
    <w:p w14:paraId="7DCE9504">
      <w:pPr>
        <w:pStyle w:val="26"/>
        <w:snapToGrid w:val="0"/>
        <w:spacing w:line="360" w:lineRule="exact"/>
        <w:ind w:firstLine="422" w:firstLineChars="200"/>
        <w:rPr>
          <w:rFonts w:hAnsi="宋体"/>
          <w:b/>
          <w:bCs/>
          <w:color w:val="auto"/>
          <w:highlight w:val="none"/>
        </w:rPr>
      </w:pPr>
      <w:r>
        <w:rPr>
          <w:rFonts w:hint="eastAsia" w:hAnsi="宋体"/>
          <w:b/>
          <w:bCs/>
          <w:color w:val="auto"/>
          <w:highlight w:val="none"/>
        </w:rPr>
        <w:t>一、质疑供应商基本信息：</w:t>
      </w:r>
    </w:p>
    <w:p w14:paraId="401E4D90">
      <w:pPr>
        <w:pStyle w:val="26"/>
        <w:snapToGrid w:val="0"/>
        <w:spacing w:line="360" w:lineRule="exact"/>
        <w:ind w:firstLine="420" w:firstLineChars="200"/>
        <w:rPr>
          <w:rFonts w:hAnsi="宋体"/>
          <w:bCs/>
          <w:color w:val="auto"/>
          <w:highlight w:val="none"/>
          <w:u w:val="single"/>
        </w:rPr>
      </w:pPr>
      <w:r>
        <w:rPr>
          <w:rFonts w:hint="eastAsia" w:hAnsi="宋体"/>
          <w:bCs/>
          <w:color w:val="auto"/>
          <w:highlight w:val="none"/>
        </w:rPr>
        <w:t>质疑供应商：</w:t>
      </w:r>
      <w:r>
        <w:rPr>
          <w:rFonts w:hint="eastAsia" w:hAnsi="宋体"/>
          <w:bCs/>
          <w:color w:val="auto"/>
          <w:highlight w:val="none"/>
          <w:u w:val="single"/>
        </w:rPr>
        <w:t xml:space="preserve">                                       </w:t>
      </w:r>
      <w:r>
        <w:rPr>
          <w:rFonts w:hint="eastAsia" w:hAnsi="宋体"/>
          <w:bCs/>
          <w:color w:val="auto"/>
          <w:highlight w:val="none"/>
        </w:rPr>
        <w:t xml:space="preserve">                 </w:t>
      </w:r>
    </w:p>
    <w:p w14:paraId="17DC06A3">
      <w:pPr>
        <w:pStyle w:val="26"/>
        <w:snapToGrid w:val="0"/>
        <w:spacing w:line="360" w:lineRule="exact"/>
        <w:ind w:firstLine="420" w:firstLineChars="200"/>
        <w:rPr>
          <w:rFonts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r>
        <w:rPr>
          <w:rFonts w:hint="eastAsia" w:hAnsi="宋体"/>
          <w:bCs/>
          <w:color w:val="auto"/>
          <w:highlight w:val="none"/>
        </w:rPr>
        <w:t xml:space="preserve">                 </w:t>
      </w:r>
    </w:p>
    <w:p w14:paraId="5D052D8F">
      <w:pPr>
        <w:pStyle w:val="26"/>
        <w:snapToGrid w:val="0"/>
        <w:spacing w:line="360" w:lineRule="exact"/>
        <w:ind w:firstLine="420" w:firstLineChars="200"/>
        <w:rPr>
          <w:rFonts w:hAnsi="宋体"/>
          <w:bCs/>
          <w:color w:val="auto"/>
          <w:highlight w:val="none"/>
        </w:rPr>
      </w:pPr>
      <w:r>
        <w:rPr>
          <w:rFonts w:hAnsi="宋体"/>
          <w:bCs/>
          <w:color w:val="auto"/>
          <w:highlight w:val="none"/>
        </w:rPr>
        <w:t>联系人</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联系电话</w:t>
      </w:r>
      <w:r>
        <w:rPr>
          <w:rFonts w:hint="eastAsia" w:hAnsi="宋体"/>
          <w:bCs/>
          <w:color w:val="auto"/>
          <w:highlight w:val="none"/>
        </w:rPr>
        <w:t>：</w:t>
      </w:r>
      <w:r>
        <w:rPr>
          <w:rFonts w:hint="eastAsia" w:hAnsi="宋体"/>
          <w:bCs/>
          <w:color w:val="auto"/>
          <w:highlight w:val="none"/>
          <w:u w:val="single"/>
        </w:rPr>
        <w:t xml:space="preserve">                 </w:t>
      </w:r>
    </w:p>
    <w:p w14:paraId="727A6EC5">
      <w:pPr>
        <w:pStyle w:val="26"/>
        <w:snapToGrid w:val="0"/>
        <w:spacing w:line="360" w:lineRule="exact"/>
        <w:ind w:firstLine="420" w:firstLineChars="200"/>
        <w:rPr>
          <w:rFonts w:hAnsi="宋体"/>
          <w:bCs/>
          <w:color w:val="auto"/>
          <w:highlight w:val="none"/>
        </w:rPr>
      </w:pPr>
      <w:r>
        <w:rPr>
          <w:rFonts w:hint="eastAsia" w:hAnsi="宋体"/>
          <w:bCs/>
          <w:color w:val="auto"/>
          <w:highlight w:val="none"/>
        </w:rPr>
        <w:t>授权代表：</w:t>
      </w:r>
      <w:r>
        <w:rPr>
          <w:rFonts w:hint="eastAsia" w:hAnsi="宋体"/>
          <w:bCs/>
          <w:color w:val="auto"/>
          <w:highlight w:val="none"/>
          <w:u w:val="single"/>
        </w:rPr>
        <w:t xml:space="preserve">                      </w:t>
      </w:r>
    </w:p>
    <w:p w14:paraId="0EA6771E">
      <w:pPr>
        <w:pStyle w:val="26"/>
        <w:snapToGrid w:val="0"/>
        <w:spacing w:line="360" w:lineRule="exact"/>
        <w:ind w:firstLine="420" w:firstLineChars="200"/>
        <w:rPr>
          <w:rFonts w:hAnsi="宋体"/>
          <w:bCs/>
          <w:color w:val="auto"/>
          <w:highlight w:val="none"/>
          <w:u w:val="single"/>
        </w:rPr>
      </w:pP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42670853">
      <w:pPr>
        <w:pStyle w:val="26"/>
        <w:snapToGrid w:val="0"/>
        <w:spacing w:line="360" w:lineRule="exact"/>
        <w:ind w:firstLine="420" w:firstLineChars="200"/>
        <w:rPr>
          <w:rFonts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r>
        <w:rPr>
          <w:rFonts w:hint="eastAsia" w:hAnsi="宋体"/>
          <w:bCs/>
          <w:color w:val="auto"/>
          <w:highlight w:val="none"/>
        </w:rPr>
        <w:t xml:space="preserve">     </w:t>
      </w:r>
    </w:p>
    <w:p w14:paraId="0F49C7F8">
      <w:pPr>
        <w:pStyle w:val="26"/>
        <w:snapToGrid w:val="0"/>
        <w:spacing w:line="360" w:lineRule="exact"/>
        <w:ind w:firstLine="422" w:firstLineChars="200"/>
        <w:rPr>
          <w:rFonts w:hAnsi="宋体"/>
          <w:b/>
          <w:bCs/>
          <w:color w:val="auto"/>
          <w:highlight w:val="none"/>
        </w:rPr>
      </w:pPr>
      <w:r>
        <w:rPr>
          <w:rFonts w:hint="eastAsia" w:hAnsi="宋体"/>
          <w:b/>
          <w:bCs/>
          <w:color w:val="auto"/>
          <w:highlight w:val="none"/>
        </w:rPr>
        <w:t>二、质疑项目基本情况：</w:t>
      </w:r>
    </w:p>
    <w:p w14:paraId="12153F71">
      <w:pPr>
        <w:pStyle w:val="26"/>
        <w:spacing w:line="360" w:lineRule="exact"/>
        <w:ind w:left="25" w:leftChars="12" w:firstLine="413" w:firstLineChars="197"/>
        <w:rPr>
          <w:rFonts w:hAnsi="宋体"/>
          <w:color w:val="auto"/>
          <w:szCs w:val="21"/>
          <w:highlight w:val="none"/>
        </w:rPr>
      </w:pPr>
      <w:r>
        <w:rPr>
          <w:rFonts w:hint="eastAsia" w:hAnsi="宋体"/>
          <w:bCs/>
          <w:color w:val="auto"/>
          <w:highlight w:val="none"/>
        </w:rPr>
        <w:t>质疑</w:t>
      </w:r>
      <w:r>
        <w:rPr>
          <w:rFonts w:hint="eastAsia" w:hAnsi="宋体"/>
          <w:color w:val="auto"/>
          <w:szCs w:val="21"/>
          <w:highlight w:val="none"/>
        </w:rPr>
        <w:t>项目的名称：</w:t>
      </w:r>
      <w:r>
        <w:rPr>
          <w:rFonts w:hint="eastAsia" w:hAnsi="宋体"/>
          <w:bCs/>
          <w:color w:val="auto"/>
          <w:highlight w:val="none"/>
          <w:u w:val="single"/>
        </w:rPr>
        <w:t xml:space="preserve">                                     </w:t>
      </w:r>
    </w:p>
    <w:p w14:paraId="3C262095">
      <w:pPr>
        <w:pStyle w:val="26"/>
        <w:spacing w:line="360" w:lineRule="exact"/>
        <w:ind w:left="25" w:leftChars="12" w:firstLine="413" w:firstLineChars="197"/>
        <w:rPr>
          <w:rFonts w:hAnsi="宋体"/>
          <w:color w:val="auto"/>
          <w:szCs w:val="21"/>
          <w:highlight w:val="none"/>
          <w:u w:val="single"/>
        </w:rPr>
      </w:pPr>
      <w:r>
        <w:rPr>
          <w:rFonts w:hint="eastAsia" w:hAnsi="宋体"/>
          <w:bCs/>
          <w:color w:val="auto"/>
          <w:highlight w:val="none"/>
        </w:rPr>
        <w:t>质疑</w:t>
      </w:r>
      <w:r>
        <w:rPr>
          <w:rFonts w:hint="eastAsia" w:hAnsi="宋体"/>
          <w:color w:val="auto"/>
          <w:szCs w:val="21"/>
          <w:highlight w:val="none"/>
        </w:rPr>
        <w:t>项目的编号：</w:t>
      </w:r>
      <w:r>
        <w:rPr>
          <w:rFonts w:hint="eastAsia" w:hAnsi="宋体"/>
          <w:bCs/>
          <w:color w:val="auto"/>
          <w:highlight w:val="none"/>
          <w:u w:val="single"/>
        </w:rPr>
        <w:t xml:space="preserve">                                    </w:t>
      </w:r>
    </w:p>
    <w:p w14:paraId="0A10BFD5">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采购人名称：</w:t>
      </w:r>
      <w:r>
        <w:rPr>
          <w:rFonts w:hint="eastAsia" w:hAnsi="宋体"/>
          <w:bCs/>
          <w:color w:val="auto"/>
          <w:highlight w:val="none"/>
          <w:u w:val="single"/>
        </w:rPr>
        <w:t xml:space="preserve">                                         </w:t>
      </w:r>
    </w:p>
    <w:p w14:paraId="569DD66F">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质疑事项：</w:t>
      </w:r>
    </w:p>
    <w:p w14:paraId="387513A7">
      <w:pPr>
        <w:pStyle w:val="26"/>
        <w:spacing w:line="360" w:lineRule="exact"/>
        <w:ind w:left="25" w:leftChars="12" w:firstLine="441" w:firstLineChars="147"/>
        <w:rPr>
          <w:rFonts w:hAnsi="宋体"/>
          <w:color w:val="auto"/>
          <w:szCs w:val="21"/>
          <w:highlight w:val="none"/>
        </w:rPr>
      </w:pPr>
      <w:r>
        <w:rPr>
          <w:rFonts w:hint="eastAsia" w:ascii="仿宋_GB2312" w:eastAsia="仿宋_GB2312"/>
          <w:color w:val="auto"/>
          <w:sz w:val="30"/>
          <w:szCs w:val="30"/>
          <w:highlight w:val="none"/>
        </w:rPr>
        <w:t>□</w:t>
      </w:r>
      <w:r>
        <w:rPr>
          <w:rFonts w:hint="eastAsia" w:hAnsi="宋体"/>
          <w:color w:val="auto"/>
          <w:szCs w:val="21"/>
          <w:highlight w:val="none"/>
        </w:rPr>
        <w:t>采购文件   采购文件获取日期：</w:t>
      </w:r>
      <w:r>
        <w:rPr>
          <w:rFonts w:hint="eastAsia" w:hAnsi="宋体"/>
          <w:bCs/>
          <w:color w:val="auto"/>
          <w:highlight w:val="none"/>
          <w:u w:val="single"/>
        </w:rPr>
        <w:t xml:space="preserve">                                   </w:t>
      </w:r>
    </w:p>
    <w:p w14:paraId="5D643F6B">
      <w:pPr>
        <w:pStyle w:val="26"/>
        <w:spacing w:line="360" w:lineRule="exact"/>
        <w:ind w:left="25" w:leftChars="12" w:firstLine="441" w:firstLineChars="147"/>
        <w:rPr>
          <w:rFonts w:hAnsi="宋体"/>
          <w:color w:val="auto"/>
          <w:szCs w:val="21"/>
          <w:highlight w:val="none"/>
        </w:rPr>
      </w:pPr>
      <w:r>
        <w:rPr>
          <w:rFonts w:hint="eastAsia" w:ascii="仿宋_GB2312" w:eastAsia="仿宋_GB2312"/>
          <w:color w:val="auto"/>
          <w:sz w:val="30"/>
          <w:szCs w:val="30"/>
          <w:highlight w:val="none"/>
        </w:rPr>
        <w:t>□</w:t>
      </w:r>
      <w:r>
        <w:rPr>
          <w:rFonts w:hint="eastAsia" w:hAnsi="宋体"/>
          <w:color w:val="auto"/>
          <w:szCs w:val="21"/>
          <w:highlight w:val="none"/>
        </w:rPr>
        <w:t xml:space="preserve">采购过程   </w:t>
      </w:r>
    </w:p>
    <w:p w14:paraId="247CDB56">
      <w:pPr>
        <w:pStyle w:val="26"/>
        <w:spacing w:line="360" w:lineRule="exact"/>
        <w:ind w:left="25" w:leftChars="12" w:firstLine="441" w:firstLineChars="147"/>
        <w:rPr>
          <w:rFonts w:hAnsi="宋体"/>
          <w:bCs/>
          <w:color w:val="auto"/>
          <w:highlight w:val="none"/>
          <w:u w:val="single"/>
        </w:rPr>
      </w:pPr>
      <w:r>
        <w:rPr>
          <w:rFonts w:hint="eastAsia" w:ascii="仿宋_GB2312" w:eastAsia="仿宋_GB2312"/>
          <w:color w:val="auto"/>
          <w:sz w:val="30"/>
          <w:szCs w:val="30"/>
          <w:highlight w:val="none"/>
        </w:rPr>
        <w:t>□</w:t>
      </w:r>
      <w:r>
        <w:rPr>
          <w:rFonts w:hint="eastAsia" w:hAnsi="宋体"/>
          <w:color w:val="auto"/>
          <w:szCs w:val="21"/>
          <w:highlight w:val="none"/>
        </w:rPr>
        <w:t xml:space="preserve">中标结果   </w:t>
      </w:r>
    </w:p>
    <w:p w14:paraId="69A5B8C9">
      <w:pPr>
        <w:pStyle w:val="26"/>
        <w:spacing w:line="360" w:lineRule="exact"/>
        <w:ind w:left="25" w:leftChars="12" w:firstLine="413" w:firstLineChars="196"/>
        <w:rPr>
          <w:rFonts w:hAnsi="宋体"/>
          <w:b/>
          <w:color w:val="auto"/>
          <w:szCs w:val="21"/>
          <w:highlight w:val="none"/>
        </w:rPr>
      </w:pPr>
      <w:r>
        <w:rPr>
          <w:rFonts w:hint="eastAsia" w:hAnsi="宋体"/>
          <w:b/>
          <w:color w:val="auto"/>
          <w:szCs w:val="21"/>
          <w:highlight w:val="none"/>
        </w:rPr>
        <w:t>三、质疑事项具体内容</w:t>
      </w:r>
    </w:p>
    <w:p w14:paraId="695576C2">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质疑事项1：</w:t>
      </w:r>
      <w:r>
        <w:rPr>
          <w:rFonts w:hint="eastAsia" w:hAnsi="宋体"/>
          <w:bCs/>
          <w:color w:val="auto"/>
          <w:highlight w:val="none"/>
          <w:u w:val="single"/>
        </w:rPr>
        <w:t xml:space="preserve">                                                                    </w:t>
      </w:r>
    </w:p>
    <w:p w14:paraId="0C2FBC03">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事实依据：</w:t>
      </w:r>
      <w:r>
        <w:rPr>
          <w:rFonts w:hint="eastAsia" w:hAnsi="宋体"/>
          <w:bCs/>
          <w:color w:val="auto"/>
          <w:highlight w:val="none"/>
          <w:u w:val="single"/>
        </w:rPr>
        <w:t xml:space="preserve">                                                                      </w:t>
      </w:r>
    </w:p>
    <w:p w14:paraId="1687DB3E">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法律依据：</w:t>
      </w:r>
      <w:r>
        <w:rPr>
          <w:rFonts w:hint="eastAsia" w:hAnsi="宋体"/>
          <w:color w:val="auto"/>
          <w:szCs w:val="21"/>
          <w:highlight w:val="none"/>
          <w:u w:val="single"/>
        </w:rPr>
        <w:t xml:space="preserve">                                                        </w:t>
      </w:r>
      <w:r>
        <w:rPr>
          <w:rFonts w:hint="eastAsia" w:hAnsi="宋体"/>
          <w:bCs/>
          <w:color w:val="auto"/>
          <w:highlight w:val="none"/>
          <w:u w:val="single"/>
        </w:rPr>
        <w:t xml:space="preserve">               </w:t>
      </w:r>
    </w:p>
    <w:p w14:paraId="468DB91D">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质疑事项2</w:t>
      </w:r>
    </w:p>
    <w:p w14:paraId="35F0AA09">
      <w:pPr>
        <w:pStyle w:val="26"/>
        <w:spacing w:line="360" w:lineRule="exact"/>
        <w:ind w:left="25" w:leftChars="12" w:firstLine="413" w:firstLineChars="197"/>
        <w:rPr>
          <w:rFonts w:hAnsi="宋体"/>
          <w:color w:val="auto"/>
          <w:szCs w:val="21"/>
          <w:highlight w:val="none"/>
        </w:rPr>
      </w:pPr>
      <w:r>
        <w:rPr>
          <w:rFonts w:hAnsi="宋体"/>
          <w:color w:val="auto"/>
          <w:szCs w:val="21"/>
          <w:highlight w:val="none"/>
        </w:rPr>
        <w:t>……</w:t>
      </w:r>
    </w:p>
    <w:p w14:paraId="696E0EE5">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四、与质疑事项相关的质疑请求：</w:t>
      </w:r>
    </w:p>
    <w:p w14:paraId="2C5DC986">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请求：</w:t>
      </w:r>
      <w:r>
        <w:rPr>
          <w:rFonts w:hint="eastAsia" w:hAnsi="宋体"/>
          <w:bCs/>
          <w:color w:val="auto"/>
          <w:highlight w:val="none"/>
          <w:u w:val="single"/>
        </w:rPr>
        <w:t xml:space="preserve">                                                                </w:t>
      </w:r>
    </w:p>
    <w:p w14:paraId="2648CD3B">
      <w:pPr>
        <w:pStyle w:val="26"/>
        <w:spacing w:line="360" w:lineRule="exact"/>
        <w:ind w:left="25" w:leftChars="12" w:firstLine="308" w:firstLineChars="147"/>
        <w:rPr>
          <w:rFonts w:hAnsi="宋体"/>
          <w:color w:val="auto"/>
          <w:szCs w:val="21"/>
          <w:highlight w:val="none"/>
        </w:rPr>
      </w:pPr>
    </w:p>
    <w:p w14:paraId="268C864B">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签字（签章）：                                       公章：</w:t>
      </w:r>
    </w:p>
    <w:p w14:paraId="68B9DF69">
      <w:pPr>
        <w:pStyle w:val="26"/>
        <w:spacing w:line="360" w:lineRule="exact"/>
        <w:ind w:left="25" w:leftChars="12" w:firstLine="308" w:firstLineChars="147"/>
        <w:rPr>
          <w:rFonts w:hAnsi="宋体"/>
          <w:color w:val="auto"/>
          <w:szCs w:val="21"/>
          <w:highlight w:val="none"/>
        </w:rPr>
      </w:pPr>
    </w:p>
    <w:p w14:paraId="1B2DC0DD">
      <w:pPr>
        <w:pStyle w:val="26"/>
        <w:spacing w:line="360" w:lineRule="exact"/>
        <w:ind w:left="25" w:leftChars="12" w:firstLine="413" w:firstLineChars="197"/>
        <w:rPr>
          <w:rFonts w:hAnsi="宋体"/>
          <w:color w:val="auto"/>
          <w:szCs w:val="21"/>
          <w:highlight w:val="none"/>
        </w:rPr>
      </w:pPr>
      <w:r>
        <w:rPr>
          <w:rFonts w:hint="eastAsia" w:hAnsi="宋体"/>
          <w:color w:val="auto"/>
          <w:szCs w:val="21"/>
          <w:highlight w:val="none"/>
        </w:rPr>
        <w:t>日期：</w:t>
      </w:r>
    </w:p>
    <w:p w14:paraId="0AB6F244">
      <w:pPr>
        <w:pStyle w:val="26"/>
        <w:snapToGrid w:val="0"/>
        <w:spacing w:line="340" w:lineRule="exact"/>
        <w:rPr>
          <w:rFonts w:hAnsi="宋体"/>
          <w:b/>
          <w:color w:val="auto"/>
          <w:szCs w:val="21"/>
          <w:highlight w:val="none"/>
        </w:rPr>
      </w:pPr>
    </w:p>
    <w:p w14:paraId="674A576B">
      <w:pPr>
        <w:pStyle w:val="26"/>
        <w:snapToGrid w:val="0"/>
        <w:spacing w:line="340" w:lineRule="exact"/>
        <w:rPr>
          <w:rFonts w:hAnsi="宋体"/>
          <w:b/>
          <w:color w:val="auto"/>
          <w:szCs w:val="21"/>
          <w:highlight w:val="none"/>
        </w:rPr>
      </w:pPr>
      <w:r>
        <w:rPr>
          <w:rFonts w:hint="eastAsia" w:hAnsi="宋体"/>
          <w:b/>
          <w:color w:val="auto"/>
          <w:szCs w:val="21"/>
          <w:highlight w:val="none"/>
        </w:rPr>
        <w:t>说明：</w:t>
      </w:r>
    </w:p>
    <w:p w14:paraId="17D58938">
      <w:pPr>
        <w:pStyle w:val="26"/>
        <w:spacing w:line="340" w:lineRule="exact"/>
        <w:ind w:left="25" w:leftChars="12" w:firstLine="310" w:firstLineChars="147"/>
        <w:rPr>
          <w:rFonts w:hAnsi="宋体"/>
          <w:b/>
          <w:bCs/>
          <w:color w:val="auto"/>
          <w:highlight w:val="none"/>
        </w:rPr>
      </w:pPr>
      <w:r>
        <w:rPr>
          <w:rFonts w:hint="eastAsia" w:hAnsi="宋体"/>
          <w:b/>
          <w:color w:val="auto"/>
          <w:szCs w:val="21"/>
          <w:highlight w:val="none"/>
        </w:rPr>
        <w:t>1.供应商提出质疑时，应提交质疑函和必要的证明材料</w:t>
      </w:r>
      <w:r>
        <w:rPr>
          <w:rFonts w:hint="eastAsia" w:hAnsi="宋体"/>
          <w:b/>
          <w:bCs/>
          <w:color w:val="auto"/>
          <w:highlight w:val="none"/>
        </w:rPr>
        <w:t>。</w:t>
      </w:r>
    </w:p>
    <w:p w14:paraId="5FCE8526">
      <w:pPr>
        <w:pStyle w:val="26"/>
        <w:spacing w:line="340" w:lineRule="exact"/>
        <w:ind w:left="25" w:leftChars="12" w:firstLine="310" w:firstLineChars="147"/>
        <w:rPr>
          <w:rFonts w:hint="eastAsia" w:hAnsi="宋体"/>
          <w:b/>
          <w:color w:val="auto"/>
          <w:szCs w:val="21"/>
          <w:highlight w:val="none"/>
        </w:rPr>
      </w:pPr>
      <w:r>
        <w:rPr>
          <w:rFonts w:hint="eastAsia" w:hAnsi="宋体"/>
          <w:b/>
          <w:color w:val="auto"/>
          <w:szCs w:val="21"/>
          <w:highlight w:val="none"/>
        </w:rPr>
        <w:t>2.供应商可以委托代理人进行质疑和投诉。其授权委托书应当载明代理人的姓名或者名称、代理事项、具体权限、期限和相关事项。代理人提出质疑和投诉，应当提交供应商签署的授权委托书。</w:t>
      </w:r>
    </w:p>
    <w:p w14:paraId="48275E86">
      <w:pPr>
        <w:pStyle w:val="26"/>
        <w:spacing w:line="340" w:lineRule="exact"/>
        <w:ind w:left="25" w:leftChars="12" w:firstLine="310" w:firstLineChars="147"/>
        <w:rPr>
          <w:rFonts w:hAnsi="宋体"/>
          <w:b/>
          <w:color w:val="auto"/>
          <w:szCs w:val="21"/>
          <w:highlight w:val="none"/>
        </w:rPr>
      </w:pPr>
      <w:r>
        <w:rPr>
          <w:rFonts w:hint="eastAsia" w:hAnsi="宋体"/>
          <w:b/>
          <w:color w:val="auto"/>
          <w:szCs w:val="21"/>
          <w:highlight w:val="none"/>
        </w:rPr>
        <w:t>3.质疑函的质疑事项应具体、明确，并有必要的事实依据和法律依据。</w:t>
      </w:r>
    </w:p>
    <w:p w14:paraId="12DC5BB8">
      <w:pPr>
        <w:pStyle w:val="26"/>
        <w:spacing w:line="340" w:lineRule="exact"/>
        <w:ind w:left="25" w:leftChars="12" w:firstLine="310" w:firstLineChars="147"/>
        <w:rPr>
          <w:rFonts w:hAnsi="宋体"/>
          <w:b/>
          <w:color w:val="auto"/>
          <w:szCs w:val="21"/>
          <w:highlight w:val="none"/>
        </w:rPr>
      </w:pPr>
      <w:r>
        <w:rPr>
          <w:rFonts w:hint="eastAsia" w:hAnsi="宋体"/>
          <w:b/>
          <w:color w:val="auto"/>
          <w:szCs w:val="21"/>
          <w:highlight w:val="none"/>
        </w:rPr>
        <w:t>4.质疑函的质疑请求应与质疑事项相关。</w:t>
      </w:r>
    </w:p>
    <w:p w14:paraId="0C37408D">
      <w:pPr>
        <w:pStyle w:val="26"/>
        <w:spacing w:line="340" w:lineRule="exact"/>
        <w:ind w:left="25" w:leftChars="12" w:firstLine="310" w:firstLineChars="147"/>
        <w:rPr>
          <w:rFonts w:hAnsi="宋体"/>
          <w:b/>
          <w:color w:val="auto"/>
          <w:szCs w:val="21"/>
          <w:highlight w:val="none"/>
        </w:rPr>
      </w:pPr>
      <w:r>
        <w:rPr>
          <w:rFonts w:hint="eastAsia" w:hAnsi="宋体"/>
          <w:b/>
          <w:color w:val="auto"/>
          <w:szCs w:val="21"/>
          <w:highlight w:val="none"/>
        </w:rPr>
        <w:t>5.质疑供应商为自然人的，质疑函应由本人签字；质疑供应商为法人或者其他组织的，质疑函应由法定代表人、主要负责人，或者其授权代表签字或者盖章，并加盖公章。</w:t>
      </w:r>
    </w:p>
    <w:p w14:paraId="2C615CDA">
      <w:pPr>
        <w:pStyle w:val="26"/>
        <w:jc w:val="center"/>
        <w:rPr>
          <w:rFonts w:hAnsi="宋体"/>
          <w:b/>
          <w:color w:val="auto"/>
          <w:sz w:val="32"/>
          <w:highlight w:val="none"/>
        </w:rPr>
      </w:pPr>
      <w:r>
        <w:rPr>
          <w:color w:val="auto"/>
          <w:highlight w:val="none"/>
        </w:rPr>
        <w:br w:type="page"/>
      </w:r>
      <w:r>
        <w:rPr>
          <w:rFonts w:hint="eastAsia" w:hAnsi="宋体"/>
          <w:b/>
          <w:color w:val="auto"/>
          <w:sz w:val="32"/>
          <w:highlight w:val="none"/>
        </w:rPr>
        <w:t>质疑授权委托书（格式）</w:t>
      </w:r>
    </w:p>
    <w:p w14:paraId="186398B9">
      <w:pPr>
        <w:snapToGrid w:val="0"/>
        <w:spacing w:line="400" w:lineRule="exact"/>
        <w:outlineLvl w:val="4"/>
        <w:rPr>
          <w:rFonts w:ascii="宋体" w:hAnsi="宋体"/>
          <w:color w:val="auto"/>
          <w:highlight w:val="none"/>
        </w:rPr>
      </w:pPr>
      <w:r>
        <w:rPr>
          <w:rFonts w:hint="eastAsia" w:ascii="宋体" w:hAnsi="宋体"/>
          <w:b/>
          <w:color w:val="auto"/>
          <w:szCs w:val="21"/>
          <w:highlight w:val="none"/>
        </w:rPr>
        <w:t>致</w:t>
      </w:r>
      <w:r>
        <w:rPr>
          <w:rFonts w:hint="eastAsia" w:ascii="宋体" w:hAnsi="宋体"/>
          <w:color w:val="auto"/>
          <w:szCs w:val="21"/>
          <w:highlight w:val="none"/>
        </w:rPr>
        <w:t>：</w:t>
      </w:r>
      <w:r>
        <w:rPr>
          <w:rFonts w:hint="eastAsia" w:ascii="宋体" w:hAnsi="宋体"/>
          <w:color w:val="auto"/>
          <w:highlight w:val="none"/>
          <w:u w:val="single"/>
        </w:rPr>
        <w:t xml:space="preserve">                  </w:t>
      </w:r>
    </w:p>
    <w:p w14:paraId="58B998F1">
      <w:pPr>
        <w:snapToGrid w:val="0"/>
        <w:spacing w:line="400" w:lineRule="exact"/>
        <w:outlineLvl w:val="4"/>
        <w:rPr>
          <w:rFonts w:ascii="宋体" w:hAnsi="宋体"/>
          <w:color w:val="auto"/>
          <w:szCs w:val="21"/>
          <w:highlight w:val="none"/>
          <w:u w:val="single"/>
        </w:rPr>
      </w:pPr>
    </w:p>
    <w:p w14:paraId="6EA05767">
      <w:pPr>
        <w:spacing w:line="400" w:lineRule="exact"/>
        <w:ind w:firstLine="525" w:firstLineChars="250"/>
        <w:rPr>
          <w:rFonts w:ascii="宋体" w:hAnsi="宋体"/>
          <w:color w:val="auto"/>
          <w:szCs w:val="20"/>
          <w:highlight w:val="none"/>
        </w:rPr>
      </w:pPr>
      <w:r>
        <w:rPr>
          <w:rFonts w:hint="eastAsia" w:ascii="宋体" w:hAnsi="宋体"/>
          <w:color w:val="auto"/>
          <w:kern w:val="0"/>
          <w:szCs w:val="20"/>
          <w:highlight w:val="none"/>
        </w:rPr>
        <w:t>我</w:t>
      </w:r>
      <w:r>
        <w:rPr>
          <w:rFonts w:hint="eastAsia" w:ascii="宋体" w:hAnsi="宋体"/>
          <w:color w:val="auto"/>
          <w:kern w:val="0"/>
          <w:szCs w:val="20"/>
          <w:highlight w:val="none"/>
          <w:u w:val="single"/>
        </w:rPr>
        <w:t xml:space="preserve">              </w:t>
      </w:r>
      <w:r>
        <w:rPr>
          <w:rFonts w:hint="eastAsia" w:ascii="宋体" w:hAnsi="宋体"/>
          <w:color w:val="auto"/>
          <w:kern w:val="0"/>
          <w:szCs w:val="20"/>
          <w:highlight w:val="none"/>
        </w:rPr>
        <w:t>（姓名）系</w:t>
      </w:r>
      <w:r>
        <w:rPr>
          <w:rFonts w:hint="eastAsia" w:ascii="宋体" w:hAnsi="宋体"/>
          <w:color w:val="auto"/>
          <w:kern w:val="0"/>
          <w:szCs w:val="20"/>
          <w:highlight w:val="none"/>
          <w:u w:val="single"/>
        </w:rPr>
        <w:t xml:space="preserve">                              </w:t>
      </w:r>
      <w:r>
        <w:rPr>
          <w:rFonts w:hint="eastAsia" w:ascii="宋体" w:hAnsi="宋体"/>
          <w:color w:val="auto"/>
          <w:kern w:val="0"/>
          <w:szCs w:val="20"/>
          <w:highlight w:val="none"/>
        </w:rPr>
        <w:t>（投标人名称）的法定代表人，现授权委托本单位在职职工</w:t>
      </w:r>
      <w:r>
        <w:rPr>
          <w:rFonts w:hint="eastAsia" w:ascii="宋体" w:hAnsi="宋体"/>
          <w:color w:val="auto"/>
          <w:kern w:val="0"/>
          <w:szCs w:val="20"/>
          <w:highlight w:val="none"/>
          <w:u w:val="single"/>
        </w:rPr>
        <w:t xml:space="preserve">            </w:t>
      </w:r>
      <w:r>
        <w:rPr>
          <w:rFonts w:hint="eastAsia" w:ascii="宋体" w:hAnsi="宋体"/>
          <w:color w:val="auto"/>
          <w:kern w:val="0"/>
          <w:szCs w:val="20"/>
          <w:highlight w:val="none"/>
        </w:rPr>
        <w:t>（姓名）以我公司名义办理</w:t>
      </w:r>
      <w:r>
        <w:rPr>
          <w:rFonts w:hint="eastAsia" w:ascii="宋体" w:hAnsi="宋体"/>
          <w:color w:val="auto"/>
          <w:kern w:val="0"/>
          <w:szCs w:val="20"/>
          <w:highlight w:val="none"/>
          <w:u w:val="single"/>
        </w:rPr>
        <w:t xml:space="preserve">      </w:t>
      </w:r>
      <w:r>
        <w:rPr>
          <w:rFonts w:hint="eastAsia" w:ascii="宋体" w:hAnsi="宋体"/>
          <w:color w:val="auto"/>
          <w:szCs w:val="20"/>
          <w:highlight w:val="none"/>
          <w:u w:val="single"/>
        </w:rPr>
        <w:t xml:space="preserve">（项目名称及项目编号）        </w:t>
      </w:r>
      <w:r>
        <w:rPr>
          <w:rFonts w:hint="eastAsia" w:ascii="宋体" w:hAnsi="宋体"/>
          <w:color w:val="auto"/>
          <w:szCs w:val="20"/>
          <w:highlight w:val="none"/>
        </w:rPr>
        <w:t>项目的质疑事项，代表我方全权办理针对上述项目的质疑具体事务和签署相关文件。</w:t>
      </w:r>
    </w:p>
    <w:p w14:paraId="17F20CA0">
      <w:pPr>
        <w:spacing w:line="400" w:lineRule="exact"/>
        <w:ind w:firstLine="420" w:firstLineChars="200"/>
        <w:rPr>
          <w:rFonts w:ascii="宋体" w:hAnsi="宋体"/>
          <w:color w:val="auto"/>
          <w:szCs w:val="20"/>
          <w:highlight w:val="none"/>
        </w:rPr>
      </w:pPr>
      <w:r>
        <w:rPr>
          <w:rFonts w:hint="eastAsia" w:ascii="宋体" w:hAnsi="宋体"/>
          <w:color w:val="auto"/>
          <w:szCs w:val="20"/>
          <w:highlight w:val="none"/>
        </w:rPr>
        <w:t>我方对被授权人的签字事项负全部责任。</w:t>
      </w:r>
    </w:p>
    <w:p w14:paraId="67571264">
      <w:pPr>
        <w:spacing w:line="400" w:lineRule="exact"/>
        <w:ind w:firstLine="420" w:firstLineChars="200"/>
        <w:rPr>
          <w:rFonts w:ascii="宋体" w:hAnsi="宋体"/>
          <w:color w:val="auto"/>
          <w:szCs w:val="20"/>
          <w:highlight w:val="none"/>
          <w:u w:val="single"/>
        </w:rPr>
      </w:pPr>
      <w:r>
        <w:rPr>
          <w:rFonts w:hint="eastAsia" w:ascii="宋体" w:hAnsi="宋体"/>
          <w:color w:val="auto"/>
          <w:szCs w:val="20"/>
          <w:highlight w:val="none"/>
        </w:rPr>
        <w:t>授权委托代理期限：自即日起至该项目政府采购活动结束</w:t>
      </w:r>
      <w:r>
        <w:rPr>
          <w:rFonts w:hint="eastAsia"/>
          <w:color w:val="auto"/>
          <w:highlight w:val="none"/>
        </w:rPr>
        <w:t>止</w:t>
      </w:r>
      <w:r>
        <w:rPr>
          <w:rFonts w:hint="eastAsia" w:ascii="宋体" w:hAnsi="宋体"/>
          <w:color w:val="auto"/>
          <w:szCs w:val="20"/>
          <w:highlight w:val="none"/>
        </w:rPr>
        <w:t xml:space="preserve">。                                                                                         </w:t>
      </w:r>
    </w:p>
    <w:p w14:paraId="435D9369">
      <w:pPr>
        <w:spacing w:line="400" w:lineRule="exact"/>
        <w:ind w:firstLine="420" w:firstLineChars="200"/>
        <w:rPr>
          <w:rFonts w:ascii="宋体" w:hAnsi="宋体"/>
          <w:color w:val="auto"/>
          <w:kern w:val="0"/>
          <w:highlight w:val="none"/>
        </w:rPr>
      </w:pPr>
      <w:r>
        <w:rPr>
          <w:rFonts w:hint="eastAsia" w:ascii="宋体" w:hAnsi="宋体"/>
          <w:color w:val="auto"/>
          <w:kern w:val="0"/>
          <w:highlight w:val="none"/>
        </w:rPr>
        <w:t>代理人无转委托权，特此委托。</w:t>
      </w:r>
      <w:r>
        <w:rPr>
          <w:rFonts w:ascii="宋体" w:hAnsi="宋体"/>
          <w:color w:val="auto"/>
          <w:kern w:val="0"/>
          <w:highlight w:val="none"/>
        </w:rPr>
        <w:t xml:space="preserve"> </w:t>
      </w:r>
    </w:p>
    <w:p w14:paraId="3CAFBEFA">
      <w:pPr>
        <w:snapToGrid w:val="0"/>
        <w:spacing w:line="400" w:lineRule="exact"/>
        <w:ind w:firstLine="420"/>
        <w:outlineLvl w:val="4"/>
        <w:rPr>
          <w:rFonts w:ascii="宋体" w:hAnsi="宋体"/>
          <w:color w:val="auto"/>
          <w:szCs w:val="21"/>
          <w:highlight w:val="none"/>
        </w:rPr>
      </w:pPr>
      <w:r>
        <w:rPr>
          <w:rFonts w:hint="eastAsia" w:ascii="宋体" w:hAnsi="宋体"/>
          <w:color w:val="auto"/>
          <w:szCs w:val="21"/>
          <w:highlight w:val="none"/>
        </w:rPr>
        <w:t>我已在下面签字，以资证明。</w:t>
      </w:r>
    </w:p>
    <w:p w14:paraId="3DDA8F0A">
      <w:pPr>
        <w:snapToGrid w:val="0"/>
        <w:spacing w:line="400" w:lineRule="exact"/>
        <w:ind w:firstLine="420"/>
        <w:outlineLvl w:val="4"/>
        <w:rPr>
          <w:rFonts w:ascii="宋体" w:hAnsi="宋体"/>
          <w:color w:val="auto"/>
          <w:szCs w:val="21"/>
          <w:highlight w:val="none"/>
        </w:rPr>
      </w:pPr>
      <w:r>
        <w:rPr>
          <w:rFonts w:hint="eastAsia" w:ascii="宋体" w:hAnsi="宋体"/>
          <w:color w:val="auto"/>
          <w:szCs w:val="21"/>
          <w:highlight w:val="none"/>
        </w:rPr>
        <w:t>委托代理人身份证号：</w:t>
      </w:r>
      <w:r>
        <w:rPr>
          <w:rFonts w:hint="eastAsia" w:ascii="宋体" w:hAnsi="宋体"/>
          <w:color w:val="auto"/>
          <w:szCs w:val="21"/>
          <w:highlight w:val="none"/>
          <w:u w:val="single"/>
        </w:rPr>
        <w:t xml:space="preserve">                                   </w:t>
      </w:r>
    </w:p>
    <w:p w14:paraId="1C1D6400">
      <w:pPr>
        <w:snapToGrid w:val="0"/>
        <w:spacing w:line="400" w:lineRule="exact"/>
        <w:ind w:firstLine="420"/>
        <w:outlineLvl w:val="4"/>
        <w:rPr>
          <w:rFonts w:ascii="宋体" w:hAnsi="宋体"/>
          <w:color w:val="auto"/>
          <w:szCs w:val="21"/>
          <w:highlight w:val="none"/>
          <w:u w:val="single"/>
        </w:rPr>
      </w:pPr>
      <w:r>
        <w:rPr>
          <w:rFonts w:hint="eastAsia" w:ascii="宋体" w:hAnsi="宋体"/>
          <w:color w:val="auto"/>
          <w:szCs w:val="21"/>
          <w:highlight w:val="none"/>
        </w:rPr>
        <w:t>投标人</w:t>
      </w:r>
      <w:r>
        <w:rPr>
          <w:rFonts w:hint="eastAsia" w:ascii="宋体" w:hAnsi="宋体" w:cs="宋体"/>
          <w:color w:val="auto"/>
          <w:szCs w:val="21"/>
          <w:highlight w:val="none"/>
        </w:rPr>
        <w:t>（公章）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366F1F70">
      <w:pPr>
        <w:snapToGrid w:val="0"/>
        <w:spacing w:line="400" w:lineRule="exact"/>
        <w:ind w:firstLine="420"/>
        <w:outlineLvl w:val="4"/>
        <w:rPr>
          <w:rFonts w:ascii="宋体" w:hAnsi="宋体"/>
          <w:color w:val="auto"/>
          <w:szCs w:val="21"/>
          <w:highlight w:val="none"/>
        </w:rPr>
      </w:pPr>
    </w:p>
    <w:p w14:paraId="64AF8B20">
      <w:pPr>
        <w:snapToGrid w:val="0"/>
        <w:spacing w:line="400" w:lineRule="exact"/>
        <w:ind w:firstLine="420"/>
        <w:outlineLvl w:val="4"/>
        <w:rPr>
          <w:rFonts w:ascii="宋体" w:hAnsi="宋体"/>
          <w:color w:val="auto"/>
          <w:szCs w:val="21"/>
          <w:highlight w:val="none"/>
        </w:rPr>
      </w:pPr>
      <w:r>
        <w:rPr>
          <w:rFonts w:hint="eastAsia" w:ascii="宋体" w:hAnsi="宋体"/>
          <w:color w:val="auto"/>
          <w:szCs w:val="21"/>
          <w:highlight w:val="none"/>
        </w:rPr>
        <w:t>法定代表人签字：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73FA166">
      <w:pPr>
        <w:snapToGrid w:val="0"/>
        <w:spacing w:line="400" w:lineRule="exact"/>
        <w:ind w:firstLine="420"/>
        <w:outlineLvl w:val="4"/>
        <w:rPr>
          <w:rFonts w:ascii="宋体" w:hAnsi="宋体"/>
          <w:color w:val="auto"/>
          <w:szCs w:val="21"/>
          <w:highlight w:val="none"/>
        </w:rPr>
      </w:pPr>
    </w:p>
    <w:p w14:paraId="06AA8ABC">
      <w:pPr>
        <w:snapToGrid w:val="0"/>
        <w:spacing w:line="400" w:lineRule="exact"/>
        <w:ind w:firstLine="420"/>
        <w:outlineLvl w:val="4"/>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0D607B9">
      <w:pPr>
        <w:snapToGrid w:val="0"/>
        <w:spacing w:line="400" w:lineRule="exact"/>
        <w:ind w:firstLine="420"/>
        <w:outlineLvl w:val="4"/>
        <w:rPr>
          <w:rFonts w:ascii="宋体" w:hAnsi="宋体"/>
          <w:color w:val="auto"/>
          <w:szCs w:val="21"/>
          <w:highlight w:val="none"/>
        </w:rPr>
      </w:pPr>
    </w:p>
    <w:p w14:paraId="1C3F0903">
      <w:pPr>
        <w:tabs>
          <w:tab w:val="left" w:pos="1305"/>
        </w:tabs>
        <w:spacing w:line="520" w:lineRule="exact"/>
        <w:rPr>
          <w:rFonts w:hAnsi="宋体"/>
          <w:b/>
          <w:color w:val="auto"/>
          <w:sz w:val="24"/>
          <w:highlight w:val="none"/>
        </w:rPr>
      </w:pPr>
      <w:r>
        <w:rPr>
          <w:rFonts w:hint="eastAsia" w:hAnsi="宋体"/>
          <w:b/>
          <w:color w:val="auto"/>
          <w:sz w:val="24"/>
          <w:highlight w:val="none"/>
        </w:rPr>
        <w:t>附：委托代理人身份证正反面复印件。</w:t>
      </w:r>
    </w:p>
    <w:p w14:paraId="076DF54A">
      <w:pPr>
        <w:pStyle w:val="13"/>
        <w:ind w:firstLine="420"/>
        <w:rPr>
          <w:color w:val="auto"/>
          <w:highlight w:val="none"/>
        </w:rPr>
      </w:pPr>
    </w:p>
    <w:p w14:paraId="06E60A62">
      <w:pPr>
        <w:pStyle w:val="26"/>
        <w:snapToGrid w:val="0"/>
        <w:rPr>
          <w:b/>
          <w:color w:val="auto"/>
          <w:sz w:val="24"/>
          <w:szCs w:val="24"/>
          <w:highlight w:val="none"/>
        </w:rPr>
      </w:pPr>
    </w:p>
    <w:p w14:paraId="19FF0634">
      <w:pPr>
        <w:pStyle w:val="26"/>
        <w:snapToGrid w:val="0"/>
        <w:rPr>
          <w:rFonts w:hAnsi="宋体"/>
          <w:b/>
          <w:color w:val="auto"/>
          <w:sz w:val="24"/>
          <w:szCs w:val="24"/>
          <w:highlight w:val="none"/>
        </w:rPr>
      </w:pPr>
      <w:r>
        <w:rPr>
          <w:b/>
          <w:color w:val="auto"/>
          <w:sz w:val="24"/>
          <w:szCs w:val="24"/>
          <w:highlight w:val="none"/>
        </w:rPr>
        <w:br w:type="page"/>
      </w:r>
      <w:r>
        <w:rPr>
          <w:rFonts w:hint="eastAsia"/>
          <w:b/>
          <w:color w:val="auto"/>
          <w:sz w:val="24"/>
          <w:szCs w:val="24"/>
          <w:highlight w:val="none"/>
        </w:rPr>
        <w:t>附表2：</w:t>
      </w:r>
    </w:p>
    <w:p w14:paraId="68C6A97A">
      <w:pPr>
        <w:spacing w:line="460" w:lineRule="exact"/>
        <w:jc w:val="center"/>
        <w:rPr>
          <w:rFonts w:eastAsia="隶书"/>
          <w:color w:val="auto"/>
          <w:sz w:val="44"/>
          <w:highlight w:val="none"/>
        </w:rPr>
      </w:pPr>
    </w:p>
    <w:p w14:paraId="74059FF5">
      <w:pPr>
        <w:spacing w:line="460" w:lineRule="exact"/>
        <w:jc w:val="center"/>
        <w:rPr>
          <w:rFonts w:eastAsia="隶书"/>
          <w:color w:val="auto"/>
          <w:sz w:val="44"/>
          <w:highlight w:val="none"/>
        </w:rPr>
      </w:pPr>
      <w:r>
        <w:rPr>
          <w:rFonts w:hint="eastAsia" w:eastAsia="隶书"/>
          <w:color w:val="auto"/>
          <w:sz w:val="44"/>
          <w:highlight w:val="none"/>
        </w:rPr>
        <w:t>投诉书（格式）</w:t>
      </w:r>
    </w:p>
    <w:p w14:paraId="51BBDFC1">
      <w:pPr>
        <w:pStyle w:val="26"/>
        <w:snapToGrid w:val="0"/>
        <w:spacing w:line="400" w:lineRule="exact"/>
        <w:ind w:firstLine="422" w:firstLineChars="200"/>
        <w:rPr>
          <w:rFonts w:hAnsi="宋体"/>
          <w:b/>
          <w:bCs/>
          <w:color w:val="auto"/>
          <w:highlight w:val="none"/>
        </w:rPr>
      </w:pPr>
      <w:r>
        <w:rPr>
          <w:rFonts w:hint="eastAsia" w:hAnsi="宋体"/>
          <w:b/>
          <w:bCs/>
          <w:color w:val="auto"/>
          <w:highlight w:val="none"/>
        </w:rPr>
        <w:t>一、投诉相关主体基本情况：</w:t>
      </w:r>
    </w:p>
    <w:p w14:paraId="26700251">
      <w:pPr>
        <w:pStyle w:val="26"/>
        <w:snapToGrid w:val="0"/>
        <w:spacing w:line="400" w:lineRule="exact"/>
        <w:ind w:firstLine="420" w:firstLineChars="200"/>
        <w:rPr>
          <w:rFonts w:hAnsi="宋体"/>
          <w:bCs/>
          <w:color w:val="auto"/>
          <w:highlight w:val="none"/>
          <w:u w:val="single"/>
        </w:rPr>
      </w:pPr>
      <w:r>
        <w:rPr>
          <w:rFonts w:hint="eastAsia" w:hAnsi="宋体"/>
          <w:bCs/>
          <w:color w:val="auto"/>
          <w:highlight w:val="none"/>
        </w:rPr>
        <w:t>投标人：</w:t>
      </w:r>
      <w:r>
        <w:rPr>
          <w:rFonts w:hint="eastAsia" w:hAnsi="宋体"/>
          <w:bCs/>
          <w:color w:val="auto"/>
          <w:highlight w:val="none"/>
          <w:u w:val="single"/>
        </w:rPr>
        <w:t xml:space="preserve">                                                                        </w:t>
      </w:r>
      <w:r>
        <w:rPr>
          <w:rFonts w:hint="eastAsia" w:hAnsi="宋体"/>
          <w:bCs/>
          <w:color w:val="auto"/>
          <w:highlight w:val="none"/>
        </w:rPr>
        <w:t xml:space="preserve">                 </w:t>
      </w:r>
    </w:p>
    <w:p w14:paraId="4C0A3935">
      <w:pPr>
        <w:pStyle w:val="26"/>
        <w:snapToGrid w:val="0"/>
        <w:spacing w:line="400" w:lineRule="exact"/>
        <w:ind w:firstLine="420" w:firstLineChars="200"/>
        <w:rPr>
          <w:rFonts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r>
        <w:rPr>
          <w:rFonts w:hint="eastAsia" w:hAnsi="宋体"/>
          <w:bCs/>
          <w:color w:val="auto"/>
          <w:highlight w:val="none"/>
        </w:rPr>
        <w:t xml:space="preserve">                 </w:t>
      </w:r>
    </w:p>
    <w:p w14:paraId="1A3AB0AD">
      <w:pPr>
        <w:pStyle w:val="26"/>
        <w:snapToGrid w:val="0"/>
        <w:spacing w:line="400" w:lineRule="exact"/>
        <w:ind w:firstLine="420" w:firstLineChars="200"/>
        <w:rPr>
          <w:rFonts w:hAnsi="宋体"/>
          <w:bCs/>
          <w:color w:val="auto"/>
          <w:highlight w:val="none"/>
          <w:u w:val="single"/>
        </w:rPr>
      </w:pPr>
      <w:r>
        <w:rPr>
          <w:rFonts w:hint="eastAsia" w:hAnsi="宋体"/>
          <w:bCs/>
          <w:color w:val="auto"/>
          <w:highlight w:val="none"/>
        </w:rPr>
        <w:t>法定代表人/主要负责人：</w:t>
      </w:r>
      <w:r>
        <w:rPr>
          <w:rFonts w:hint="eastAsia" w:hAnsi="宋体"/>
          <w:bCs/>
          <w:color w:val="auto"/>
          <w:highlight w:val="none"/>
          <w:u w:val="single"/>
        </w:rPr>
        <w:t xml:space="preserve">                                                         </w:t>
      </w:r>
    </w:p>
    <w:p w14:paraId="58652C91">
      <w:pPr>
        <w:pStyle w:val="26"/>
        <w:snapToGrid w:val="0"/>
        <w:spacing w:line="400" w:lineRule="exact"/>
        <w:ind w:firstLine="420" w:firstLineChars="200"/>
        <w:rPr>
          <w:rFonts w:hAnsi="宋体"/>
          <w:bCs/>
          <w:color w:val="auto"/>
          <w:highlight w:val="none"/>
        </w:rPr>
      </w:pPr>
      <w:r>
        <w:rPr>
          <w:rFonts w:hAnsi="宋体"/>
          <w:bCs/>
          <w:color w:val="auto"/>
          <w:highlight w:val="none"/>
        </w:rPr>
        <w:t>联系电话</w:t>
      </w:r>
      <w:r>
        <w:rPr>
          <w:rFonts w:hint="eastAsia" w:hAnsi="宋体"/>
          <w:bCs/>
          <w:color w:val="auto"/>
          <w:highlight w:val="none"/>
        </w:rPr>
        <w:t>：</w:t>
      </w:r>
      <w:r>
        <w:rPr>
          <w:rFonts w:hint="eastAsia" w:hAnsi="宋体"/>
          <w:bCs/>
          <w:color w:val="auto"/>
          <w:highlight w:val="none"/>
          <w:u w:val="single"/>
        </w:rPr>
        <w:t xml:space="preserve">                                         </w:t>
      </w:r>
    </w:p>
    <w:p w14:paraId="5293D6A9">
      <w:pPr>
        <w:pStyle w:val="26"/>
        <w:snapToGrid w:val="0"/>
        <w:spacing w:line="400" w:lineRule="exact"/>
        <w:ind w:firstLine="420" w:firstLineChars="200"/>
        <w:rPr>
          <w:rFonts w:hAnsi="宋体"/>
          <w:bCs/>
          <w:color w:val="auto"/>
          <w:highlight w:val="none"/>
          <w:u w:val="single"/>
        </w:rPr>
      </w:pPr>
      <w:r>
        <w:rPr>
          <w:rFonts w:hint="eastAsia" w:hAnsi="宋体"/>
          <w:bCs/>
          <w:color w:val="auto"/>
          <w:highlight w:val="none"/>
        </w:rPr>
        <w:t>授权代表：</w:t>
      </w:r>
      <w:r>
        <w:rPr>
          <w:rFonts w:hint="eastAsia" w:hAnsi="宋体"/>
          <w:bCs/>
          <w:color w:val="auto"/>
          <w:highlight w:val="none"/>
          <w:u w:val="single"/>
        </w:rPr>
        <w:t xml:space="preserve">                                         </w:t>
      </w: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38570E09">
      <w:pPr>
        <w:pStyle w:val="26"/>
        <w:snapToGrid w:val="0"/>
        <w:spacing w:line="400" w:lineRule="exact"/>
        <w:ind w:firstLine="420" w:firstLineChars="200"/>
        <w:rPr>
          <w:rFonts w:hAnsi="宋体"/>
          <w:bCs/>
          <w:color w:val="auto"/>
          <w:highlight w:val="non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r>
        <w:rPr>
          <w:rFonts w:hint="eastAsia" w:hAnsi="宋体"/>
          <w:bCs/>
          <w:color w:val="auto"/>
          <w:highlight w:val="none"/>
        </w:rPr>
        <w:t xml:space="preserve">   </w:t>
      </w:r>
    </w:p>
    <w:p w14:paraId="20ADC1D3">
      <w:pPr>
        <w:pStyle w:val="26"/>
        <w:snapToGrid w:val="0"/>
        <w:spacing w:line="400" w:lineRule="exact"/>
        <w:ind w:firstLine="420" w:firstLineChars="200"/>
        <w:rPr>
          <w:rFonts w:hAnsi="宋体"/>
          <w:bCs/>
          <w:color w:val="auto"/>
          <w:highlight w:val="none"/>
        </w:rPr>
      </w:pPr>
      <w:r>
        <w:rPr>
          <w:rFonts w:hint="eastAsia" w:hAnsi="宋体"/>
          <w:bCs/>
          <w:color w:val="auto"/>
          <w:highlight w:val="none"/>
        </w:rPr>
        <w:t>被投诉人1：</w:t>
      </w:r>
    </w:p>
    <w:p w14:paraId="1C319117">
      <w:pPr>
        <w:pStyle w:val="26"/>
        <w:snapToGrid w:val="0"/>
        <w:spacing w:line="400" w:lineRule="exact"/>
        <w:ind w:firstLine="420" w:firstLineChars="200"/>
        <w:rPr>
          <w:rFonts w:hAnsi="宋体"/>
          <w:bCs/>
          <w:color w:val="auto"/>
          <w:highlight w:val="none"/>
        </w:rPr>
      </w:pPr>
      <w:r>
        <w:rPr>
          <w:rFonts w:hint="eastAsia" w:hAnsi="宋体"/>
          <w:bCs/>
          <w:color w:val="auto"/>
          <w:highlight w:val="none"/>
        </w:rPr>
        <w:t>地址：</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r>
        <w:rPr>
          <w:rFonts w:hint="eastAsia" w:hAnsi="宋体"/>
          <w:bCs/>
          <w:color w:val="auto"/>
          <w:highlight w:val="none"/>
        </w:rPr>
        <w:t xml:space="preserve">  </w:t>
      </w:r>
    </w:p>
    <w:p w14:paraId="01152797">
      <w:pPr>
        <w:pStyle w:val="26"/>
        <w:snapToGrid w:val="0"/>
        <w:spacing w:line="400" w:lineRule="exact"/>
        <w:ind w:firstLine="420" w:firstLineChars="200"/>
        <w:rPr>
          <w:rFonts w:hAnsi="宋体"/>
          <w:bCs/>
          <w:color w:val="auto"/>
          <w:highlight w:val="none"/>
          <w:u w:val="single"/>
        </w:rPr>
      </w:pPr>
      <w:r>
        <w:rPr>
          <w:rFonts w:hint="eastAsia" w:hAnsi="宋体"/>
          <w:bCs/>
          <w:color w:val="auto"/>
          <w:highlight w:val="none"/>
        </w:rPr>
        <w:t>联系人：</w:t>
      </w:r>
      <w:r>
        <w:rPr>
          <w:rFonts w:hint="eastAsia" w:hAnsi="宋体"/>
          <w:bCs/>
          <w:color w:val="auto"/>
          <w:highlight w:val="none"/>
          <w:u w:val="single"/>
        </w:rPr>
        <w:t xml:space="preserve">                                                </w:t>
      </w: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p>
    <w:p w14:paraId="5CE2D0CD">
      <w:pPr>
        <w:pStyle w:val="26"/>
        <w:snapToGrid w:val="0"/>
        <w:spacing w:line="400" w:lineRule="exact"/>
        <w:ind w:firstLine="420" w:firstLineChars="200"/>
        <w:rPr>
          <w:rFonts w:hAnsi="宋体"/>
          <w:bCs/>
          <w:color w:val="auto"/>
          <w:highlight w:val="none"/>
        </w:rPr>
      </w:pPr>
      <w:r>
        <w:rPr>
          <w:rFonts w:hint="eastAsia" w:hAnsi="宋体"/>
          <w:bCs/>
          <w:color w:val="auto"/>
          <w:highlight w:val="none"/>
        </w:rPr>
        <w:t>被投诉人2：</w:t>
      </w:r>
    </w:p>
    <w:p w14:paraId="2F19E2D1">
      <w:pPr>
        <w:pStyle w:val="26"/>
        <w:snapToGrid w:val="0"/>
        <w:spacing w:line="400" w:lineRule="exact"/>
        <w:ind w:firstLine="420" w:firstLineChars="200"/>
        <w:rPr>
          <w:rFonts w:hAnsi="宋体"/>
          <w:bCs/>
          <w:color w:val="auto"/>
          <w:highlight w:val="none"/>
        </w:rPr>
      </w:pPr>
      <w:r>
        <w:rPr>
          <w:rFonts w:hAnsi="宋体"/>
          <w:bCs/>
          <w:color w:val="auto"/>
          <w:highlight w:val="none"/>
        </w:rPr>
        <w:t>……</w:t>
      </w:r>
    </w:p>
    <w:p w14:paraId="48139371">
      <w:pPr>
        <w:pStyle w:val="26"/>
        <w:snapToGrid w:val="0"/>
        <w:spacing w:line="400" w:lineRule="exact"/>
        <w:ind w:firstLine="420" w:firstLineChars="200"/>
        <w:rPr>
          <w:rFonts w:hAnsi="宋体"/>
          <w:bCs/>
          <w:color w:val="auto"/>
          <w:highlight w:val="none"/>
          <w:u w:val="single"/>
        </w:rPr>
      </w:pPr>
      <w:r>
        <w:rPr>
          <w:rFonts w:hint="eastAsia" w:hAnsi="宋体"/>
          <w:bCs/>
          <w:color w:val="auto"/>
          <w:highlight w:val="none"/>
        </w:rPr>
        <w:t>相关供应商：</w:t>
      </w:r>
      <w:r>
        <w:rPr>
          <w:rFonts w:hint="eastAsia" w:hAnsi="宋体"/>
          <w:bCs/>
          <w:color w:val="auto"/>
          <w:highlight w:val="none"/>
          <w:u w:val="single"/>
        </w:rPr>
        <w:t xml:space="preserve">                                                                       </w:t>
      </w:r>
    </w:p>
    <w:p w14:paraId="3B3F3F12">
      <w:pPr>
        <w:pStyle w:val="26"/>
        <w:snapToGrid w:val="0"/>
        <w:spacing w:line="400" w:lineRule="exact"/>
        <w:ind w:firstLine="420" w:firstLineChars="200"/>
        <w:rPr>
          <w:rFonts w:hAnsi="宋体"/>
          <w:bCs/>
          <w:color w:val="auto"/>
          <w:highlight w:val="none"/>
          <w:u w:val="single"/>
        </w:rPr>
      </w:pPr>
      <w:r>
        <w:rPr>
          <w:rFonts w:hAnsi="宋体"/>
          <w:bCs/>
          <w:color w:val="auto"/>
          <w:highlight w:val="none"/>
        </w:rPr>
        <w:t>地址</w:t>
      </w:r>
      <w:r>
        <w:rPr>
          <w:rFonts w:hint="eastAsia" w:hAnsi="宋体"/>
          <w:bCs/>
          <w:color w:val="auto"/>
          <w:highlight w:val="none"/>
        </w:rPr>
        <w:t>：</w:t>
      </w:r>
      <w:r>
        <w:rPr>
          <w:rFonts w:hint="eastAsia" w:hAnsi="宋体"/>
          <w:bCs/>
          <w:color w:val="auto"/>
          <w:highlight w:val="none"/>
          <w:u w:val="single"/>
        </w:rPr>
        <w:t xml:space="preserve">                                              </w:t>
      </w:r>
      <w:r>
        <w:rPr>
          <w:rFonts w:hAnsi="宋体"/>
          <w:bCs/>
          <w:color w:val="auto"/>
          <w:highlight w:val="none"/>
        </w:rPr>
        <w:t>邮编</w:t>
      </w:r>
      <w:r>
        <w:rPr>
          <w:rFonts w:hint="eastAsia" w:hAnsi="宋体"/>
          <w:bCs/>
          <w:color w:val="auto"/>
          <w:highlight w:val="none"/>
        </w:rPr>
        <w:t>：</w:t>
      </w:r>
      <w:r>
        <w:rPr>
          <w:rFonts w:hint="eastAsia" w:hAnsi="宋体"/>
          <w:bCs/>
          <w:color w:val="auto"/>
          <w:highlight w:val="none"/>
          <w:u w:val="single"/>
        </w:rPr>
        <w:t xml:space="preserve">                         </w:t>
      </w:r>
    </w:p>
    <w:p w14:paraId="0BE9C77E">
      <w:pPr>
        <w:pStyle w:val="26"/>
        <w:snapToGrid w:val="0"/>
        <w:spacing w:line="400" w:lineRule="exact"/>
        <w:ind w:firstLine="420" w:firstLineChars="200"/>
        <w:rPr>
          <w:rFonts w:hAnsi="宋体"/>
          <w:bCs/>
          <w:color w:val="auto"/>
          <w:highlight w:val="none"/>
        </w:rPr>
      </w:pPr>
      <w:r>
        <w:rPr>
          <w:rFonts w:hint="eastAsia" w:hAnsi="宋体"/>
          <w:bCs/>
          <w:color w:val="auto"/>
          <w:highlight w:val="none"/>
        </w:rPr>
        <w:t>联系人：</w:t>
      </w:r>
      <w:r>
        <w:rPr>
          <w:rFonts w:hint="eastAsia" w:hAnsi="宋体"/>
          <w:bCs/>
          <w:color w:val="auto"/>
          <w:highlight w:val="none"/>
          <w:u w:val="single"/>
        </w:rPr>
        <w:t xml:space="preserve">                                            </w:t>
      </w:r>
      <w:r>
        <w:rPr>
          <w:rFonts w:hAnsi="宋体"/>
          <w:bCs/>
          <w:color w:val="auto"/>
          <w:highlight w:val="none"/>
        </w:rPr>
        <w:t>联系</w:t>
      </w:r>
      <w:r>
        <w:rPr>
          <w:rFonts w:hint="eastAsia" w:hAnsi="宋体"/>
          <w:bCs/>
          <w:color w:val="auto"/>
          <w:highlight w:val="none"/>
        </w:rPr>
        <w:t>电话：</w:t>
      </w:r>
      <w:r>
        <w:rPr>
          <w:rFonts w:hint="eastAsia" w:hAnsi="宋体"/>
          <w:bCs/>
          <w:color w:val="auto"/>
          <w:highlight w:val="none"/>
          <w:u w:val="single"/>
        </w:rPr>
        <w:t xml:space="preserve">                     </w:t>
      </w:r>
      <w:r>
        <w:rPr>
          <w:rFonts w:hint="eastAsia" w:hAnsi="宋体"/>
          <w:bCs/>
          <w:color w:val="auto"/>
          <w:highlight w:val="none"/>
        </w:rPr>
        <w:t xml:space="preserve">                </w:t>
      </w:r>
    </w:p>
    <w:p w14:paraId="0690C749">
      <w:pPr>
        <w:pStyle w:val="26"/>
        <w:snapToGrid w:val="0"/>
        <w:spacing w:line="400" w:lineRule="exact"/>
        <w:ind w:firstLine="422" w:firstLineChars="200"/>
        <w:rPr>
          <w:rFonts w:hAnsi="宋体"/>
          <w:b/>
          <w:bCs/>
          <w:color w:val="auto"/>
          <w:highlight w:val="none"/>
        </w:rPr>
      </w:pPr>
      <w:r>
        <w:rPr>
          <w:rFonts w:hint="eastAsia" w:hAnsi="宋体"/>
          <w:b/>
          <w:bCs/>
          <w:color w:val="auto"/>
          <w:highlight w:val="none"/>
        </w:rPr>
        <w:t>二、投诉项目基本情况：</w:t>
      </w:r>
    </w:p>
    <w:p w14:paraId="523F5A6D">
      <w:pPr>
        <w:pStyle w:val="26"/>
        <w:spacing w:line="400" w:lineRule="exact"/>
        <w:ind w:left="25" w:leftChars="12" w:firstLine="413" w:firstLineChars="197"/>
        <w:rPr>
          <w:rFonts w:hAnsi="宋体"/>
          <w:color w:val="auto"/>
          <w:szCs w:val="21"/>
          <w:highlight w:val="none"/>
        </w:rPr>
      </w:pPr>
      <w:r>
        <w:rPr>
          <w:rFonts w:hint="eastAsia" w:hAnsi="宋体"/>
          <w:bCs/>
          <w:color w:val="auto"/>
          <w:highlight w:val="none"/>
        </w:rPr>
        <w:t>采购</w:t>
      </w:r>
      <w:r>
        <w:rPr>
          <w:rFonts w:hint="eastAsia" w:hAnsi="宋体"/>
          <w:color w:val="auto"/>
          <w:szCs w:val="21"/>
          <w:highlight w:val="none"/>
        </w:rPr>
        <w:t>项目的名称：</w:t>
      </w:r>
      <w:r>
        <w:rPr>
          <w:rFonts w:hint="eastAsia" w:hAnsi="宋体"/>
          <w:bCs/>
          <w:color w:val="auto"/>
          <w:highlight w:val="none"/>
          <w:u w:val="single"/>
        </w:rPr>
        <w:t xml:space="preserve">                                                                   </w:t>
      </w:r>
    </w:p>
    <w:p w14:paraId="1A93C928">
      <w:pPr>
        <w:pStyle w:val="26"/>
        <w:spacing w:line="400" w:lineRule="exact"/>
        <w:ind w:left="25" w:leftChars="12" w:firstLine="413" w:firstLineChars="197"/>
        <w:rPr>
          <w:rFonts w:hAnsi="宋体"/>
          <w:color w:val="auto"/>
          <w:szCs w:val="21"/>
          <w:highlight w:val="none"/>
        </w:rPr>
      </w:pPr>
      <w:r>
        <w:rPr>
          <w:rFonts w:hint="eastAsia" w:hAnsi="宋体"/>
          <w:bCs/>
          <w:color w:val="auto"/>
          <w:highlight w:val="none"/>
        </w:rPr>
        <w:t>采购</w:t>
      </w:r>
      <w:r>
        <w:rPr>
          <w:rFonts w:hint="eastAsia" w:hAnsi="宋体"/>
          <w:color w:val="auto"/>
          <w:szCs w:val="21"/>
          <w:highlight w:val="none"/>
        </w:rPr>
        <w:t>项目的编号：</w:t>
      </w:r>
      <w:r>
        <w:rPr>
          <w:rFonts w:hint="eastAsia" w:hAnsi="宋体"/>
          <w:bCs/>
          <w:color w:val="auto"/>
          <w:highlight w:val="none"/>
          <w:u w:val="single"/>
        </w:rPr>
        <w:t xml:space="preserve">                                     </w:t>
      </w:r>
      <w:r>
        <w:rPr>
          <w:rFonts w:hint="eastAsia" w:hAnsi="宋体"/>
          <w:color w:val="auto"/>
          <w:szCs w:val="21"/>
          <w:highlight w:val="none"/>
        </w:rPr>
        <w:t xml:space="preserve">  </w:t>
      </w:r>
    </w:p>
    <w:p w14:paraId="76EAA366">
      <w:pPr>
        <w:pStyle w:val="26"/>
        <w:spacing w:line="400" w:lineRule="exact"/>
        <w:ind w:left="25" w:leftChars="12" w:firstLine="413" w:firstLineChars="197"/>
        <w:rPr>
          <w:rFonts w:hAnsi="宋体"/>
          <w:bCs/>
          <w:color w:val="auto"/>
          <w:highlight w:val="none"/>
          <w:u w:val="single"/>
        </w:rPr>
      </w:pPr>
      <w:r>
        <w:rPr>
          <w:rFonts w:hint="eastAsia" w:hAnsi="宋体"/>
          <w:color w:val="auto"/>
          <w:szCs w:val="21"/>
          <w:highlight w:val="none"/>
        </w:rPr>
        <w:t>采购人名称：</w:t>
      </w:r>
      <w:r>
        <w:rPr>
          <w:rFonts w:hint="eastAsia" w:hAnsi="宋体"/>
          <w:bCs/>
          <w:color w:val="auto"/>
          <w:highlight w:val="none"/>
          <w:u w:val="single"/>
        </w:rPr>
        <w:t xml:space="preserve">                                                                        </w:t>
      </w:r>
    </w:p>
    <w:p w14:paraId="2A676CF8">
      <w:pPr>
        <w:pStyle w:val="26"/>
        <w:spacing w:line="400" w:lineRule="exact"/>
        <w:ind w:left="25" w:leftChars="12" w:firstLine="413" w:firstLineChars="197"/>
        <w:rPr>
          <w:rFonts w:hAnsi="宋体"/>
          <w:bCs/>
          <w:color w:val="auto"/>
          <w:highlight w:val="none"/>
          <w:u w:val="single"/>
        </w:rPr>
      </w:pPr>
      <w:r>
        <w:rPr>
          <w:rFonts w:hint="eastAsia" w:hAnsi="宋体"/>
          <w:color w:val="auto"/>
          <w:szCs w:val="21"/>
          <w:highlight w:val="none"/>
        </w:rPr>
        <w:t>代理机构名称：</w:t>
      </w:r>
      <w:r>
        <w:rPr>
          <w:rFonts w:hint="eastAsia" w:hAnsi="宋体"/>
          <w:bCs/>
          <w:color w:val="auto"/>
          <w:highlight w:val="none"/>
          <w:u w:val="single"/>
        </w:rPr>
        <w:t xml:space="preserve">                                                                      </w:t>
      </w:r>
    </w:p>
    <w:p w14:paraId="2DD6468D">
      <w:pPr>
        <w:pStyle w:val="26"/>
        <w:spacing w:line="400" w:lineRule="exact"/>
        <w:ind w:left="25" w:leftChars="12" w:firstLine="413" w:firstLineChars="197"/>
        <w:rPr>
          <w:rFonts w:hAnsi="宋体"/>
          <w:bCs/>
          <w:color w:val="auto"/>
          <w:highlight w:val="none"/>
          <w:u w:val="single"/>
        </w:rPr>
      </w:pPr>
      <w:r>
        <w:rPr>
          <w:rFonts w:hint="eastAsia" w:hAnsi="宋体"/>
          <w:bCs/>
          <w:color w:val="auto"/>
          <w:highlight w:val="none"/>
        </w:rPr>
        <w:t>采购文件公告：</w:t>
      </w:r>
      <w:r>
        <w:rPr>
          <w:rFonts w:hint="eastAsia" w:hAnsi="宋体"/>
          <w:bCs/>
          <w:color w:val="auto"/>
          <w:highlight w:val="none"/>
          <w:u w:val="single"/>
        </w:rPr>
        <w:t>是/否</w:t>
      </w:r>
      <w:r>
        <w:rPr>
          <w:rFonts w:hint="eastAsia" w:hAnsi="宋体"/>
          <w:bCs/>
          <w:color w:val="auto"/>
          <w:highlight w:val="none"/>
        </w:rPr>
        <w:t>公告期限：</w:t>
      </w:r>
      <w:r>
        <w:rPr>
          <w:rFonts w:hint="eastAsia" w:hAnsi="宋体"/>
          <w:bCs/>
          <w:color w:val="auto"/>
          <w:highlight w:val="none"/>
          <w:u w:val="single"/>
        </w:rPr>
        <w:t xml:space="preserve">                                                       </w:t>
      </w:r>
    </w:p>
    <w:p w14:paraId="518BA2E2">
      <w:pPr>
        <w:pStyle w:val="26"/>
        <w:spacing w:line="400" w:lineRule="exact"/>
        <w:ind w:left="25" w:leftChars="12" w:firstLine="413" w:firstLineChars="197"/>
        <w:rPr>
          <w:rFonts w:hAnsi="宋体"/>
          <w:b/>
          <w:color w:val="auto"/>
          <w:szCs w:val="21"/>
          <w:highlight w:val="none"/>
        </w:rPr>
      </w:pPr>
      <w:r>
        <w:rPr>
          <w:rFonts w:hint="eastAsia" w:hAnsi="宋体"/>
          <w:bCs/>
          <w:color w:val="auto"/>
          <w:highlight w:val="none"/>
        </w:rPr>
        <w:t>采购结果公告：</w:t>
      </w:r>
      <w:r>
        <w:rPr>
          <w:rFonts w:hint="eastAsia" w:hAnsi="宋体"/>
          <w:bCs/>
          <w:color w:val="auto"/>
          <w:highlight w:val="none"/>
          <w:u w:val="single"/>
        </w:rPr>
        <w:t>是/否</w:t>
      </w:r>
      <w:r>
        <w:rPr>
          <w:rFonts w:hint="eastAsia" w:hAnsi="宋体"/>
          <w:bCs/>
          <w:color w:val="auto"/>
          <w:highlight w:val="none"/>
        </w:rPr>
        <w:t>公告期限：</w:t>
      </w:r>
      <w:r>
        <w:rPr>
          <w:rFonts w:hint="eastAsia" w:hAnsi="宋体"/>
          <w:bCs/>
          <w:color w:val="auto"/>
          <w:highlight w:val="none"/>
          <w:u w:val="single"/>
        </w:rPr>
        <w:t xml:space="preserve">                                                       </w:t>
      </w:r>
    </w:p>
    <w:p w14:paraId="43FD360D">
      <w:pPr>
        <w:pStyle w:val="26"/>
        <w:spacing w:line="400" w:lineRule="exact"/>
        <w:ind w:left="25" w:leftChars="12" w:firstLine="413" w:firstLineChars="196"/>
        <w:rPr>
          <w:rFonts w:hAnsi="宋体"/>
          <w:b/>
          <w:color w:val="auto"/>
          <w:szCs w:val="21"/>
          <w:highlight w:val="none"/>
        </w:rPr>
      </w:pPr>
      <w:r>
        <w:rPr>
          <w:rFonts w:hint="eastAsia" w:hAnsi="宋体"/>
          <w:b/>
          <w:color w:val="auto"/>
          <w:szCs w:val="21"/>
          <w:highlight w:val="none"/>
        </w:rPr>
        <w:t>三、质疑基本情况</w:t>
      </w:r>
    </w:p>
    <w:p w14:paraId="6A39F6F3">
      <w:pPr>
        <w:pStyle w:val="26"/>
        <w:spacing w:line="400" w:lineRule="exact"/>
        <w:ind w:left="25" w:leftChars="12" w:firstLine="833" w:firstLineChars="397"/>
        <w:rPr>
          <w:rFonts w:hAnsi="宋体"/>
          <w:color w:val="auto"/>
          <w:szCs w:val="21"/>
          <w:highlight w:val="none"/>
        </w:rPr>
      </w:pPr>
      <w:r>
        <w:rPr>
          <w:rFonts w:hint="eastAsia" w:hAnsi="宋体"/>
          <w:color w:val="auto"/>
          <w:szCs w:val="21"/>
          <w:highlight w:val="none"/>
        </w:rPr>
        <w:t>投诉人于</w:t>
      </w:r>
      <w:r>
        <w:rPr>
          <w:rFonts w:hint="eastAsia" w:hAnsi="宋体"/>
          <w:color w:val="auto"/>
          <w:szCs w:val="21"/>
          <w:highlight w:val="none"/>
          <w:u w:val="single"/>
        </w:rPr>
        <w:t xml:space="preserve">      </w:t>
      </w:r>
      <w:r>
        <w:rPr>
          <w:rFonts w:hint="eastAsia" w:hAnsi="宋体"/>
          <w:color w:val="auto"/>
          <w:szCs w:val="21"/>
          <w:highlight w:val="none"/>
        </w:rPr>
        <w:t>年</w:t>
      </w:r>
      <w:r>
        <w:rPr>
          <w:rFonts w:hint="eastAsia" w:hAnsi="宋体"/>
          <w:color w:val="auto"/>
          <w:szCs w:val="21"/>
          <w:highlight w:val="none"/>
          <w:u w:val="single"/>
        </w:rPr>
        <w:t xml:space="preserve">   </w:t>
      </w:r>
      <w:r>
        <w:rPr>
          <w:rFonts w:hint="eastAsia" w:hAnsi="宋体"/>
          <w:color w:val="auto"/>
          <w:szCs w:val="21"/>
          <w:highlight w:val="none"/>
        </w:rPr>
        <w:t>月</w:t>
      </w:r>
      <w:r>
        <w:rPr>
          <w:rFonts w:hint="eastAsia" w:hAnsi="宋体"/>
          <w:color w:val="auto"/>
          <w:szCs w:val="21"/>
          <w:highlight w:val="none"/>
          <w:u w:val="single"/>
        </w:rPr>
        <w:t xml:space="preserve">   </w:t>
      </w:r>
      <w:r>
        <w:rPr>
          <w:rFonts w:hint="eastAsia" w:hAnsi="宋体"/>
          <w:color w:val="auto"/>
          <w:szCs w:val="21"/>
          <w:highlight w:val="none"/>
        </w:rPr>
        <w:t>日，向</w:t>
      </w:r>
      <w:r>
        <w:rPr>
          <w:rFonts w:hint="eastAsia" w:hAnsi="宋体"/>
          <w:color w:val="auto"/>
          <w:szCs w:val="21"/>
          <w:highlight w:val="none"/>
          <w:u w:val="single"/>
        </w:rPr>
        <w:t xml:space="preserve">                                </w:t>
      </w:r>
      <w:r>
        <w:rPr>
          <w:rFonts w:hint="eastAsia" w:hAnsi="宋体"/>
          <w:color w:val="auto"/>
          <w:szCs w:val="21"/>
          <w:highlight w:val="none"/>
        </w:rPr>
        <w:t>提出质疑，质疑事项为：</w:t>
      </w:r>
    </w:p>
    <w:p w14:paraId="3D257AF2">
      <w:pPr>
        <w:pStyle w:val="26"/>
        <w:spacing w:line="400" w:lineRule="exact"/>
        <w:rPr>
          <w:rFonts w:hAnsi="宋体"/>
          <w:bCs/>
          <w:color w:val="auto"/>
          <w:highlight w:val="none"/>
          <w:u w:val="single"/>
        </w:rPr>
      </w:pPr>
      <w:r>
        <w:rPr>
          <w:rFonts w:hint="eastAsia" w:hAnsi="宋体"/>
          <w:color w:val="auto"/>
          <w:szCs w:val="21"/>
          <w:highlight w:val="none"/>
        </w:rPr>
        <w:t xml:space="preserve">    </w:t>
      </w:r>
      <w:r>
        <w:rPr>
          <w:rFonts w:hint="eastAsia" w:hAnsi="宋体"/>
          <w:bCs/>
          <w:color w:val="auto"/>
          <w:highlight w:val="none"/>
          <w:u w:val="single"/>
        </w:rPr>
        <w:t xml:space="preserve">                                                                                      </w:t>
      </w:r>
    </w:p>
    <w:p w14:paraId="46E0E487">
      <w:pPr>
        <w:pStyle w:val="26"/>
        <w:spacing w:line="400" w:lineRule="exact"/>
        <w:rPr>
          <w:rFonts w:hAnsi="宋体"/>
          <w:bCs/>
          <w:color w:val="auto"/>
          <w:highlight w:val="none"/>
          <w:u w:val="single"/>
        </w:rPr>
      </w:pPr>
      <w:r>
        <w:rPr>
          <w:rFonts w:hint="eastAsia" w:hAnsi="宋体"/>
          <w:bCs/>
          <w:color w:val="auto"/>
          <w:highlight w:val="none"/>
        </w:rPr>
        <w:t xml:space="preserve">    </w:t>
      </w:r>
      <w:r>
        <w:rPr>
          <w:rFonts w:hint="eastAsia" w:hAnsi="宋体"/>
          <w:bCs/>
          <w:color w:val="auto"/>
          <w:highlight w:val="none"/>
          <w:u w:val="single"/>
        </w:rPr>
        <w:t xml:space="preserve">                                                                                      </w:t>
      </w:r>
    </w:p>
    <w:p w14:paraId="47C80B6E">
      <w:pPr>
        <w:pStyle w:val="26"/>
        <w:spacing w:line="400" w:lineRule="exact"/>
        <w:rPr>
          <w:rFonts w:hAnsi="宋体"/>
          <w:color w:val="auto"/>
          <w:szCs w:val="21"/>
          <w:highlight w:val="none"/>
        </w:rPr>
      </w:pPr>
      <w:r>
        <w:rPr>
          <w:rFonts w:hint="eastAsia" w:hAnsi="宋体"/>
          <w:bCs/>
          <w:color w:val="auto"/>
          <w:highlight w:val="none"/>
        </w:rPr>
        <w:t xml:space="preserve">        </w:t>
      </w:r>
      <w:r>
        <w:rPr>
          <w:rFonts w:hint="eastAsia" w:hAnsi="宋体"/>
          <w:bCs/>
          <w:color w:val="auto"/>
          <w:highlight w:val="none"/>
          <w:u w:val="single"/>
        </w:rPr>
        <w:t>采购人/代理机构</w:t>
      </w:r>
      <w:r>
        <w:rPr>
          <w:rFonts w:hint="eastAsia" w:hAnsi="宋体"/>
          <w:bCs/>
          <w:color w:val="auto"/>
          <w:highlight w:val="none"/>
        </w:rPr>
        <w:t>于</w:t>
      </w:r>
      <w:r>
        <w:rPr>
          <w:rFonts w:hint="eastAsia" w:hAnsi="宋体"/>
          <w:color w:val="auto"/>
          <w:szCs w:val="21"/>
          <w:highlight w:val="none"/>
          <w:u w:val="single"/>
        </w:rPr>
        <w:t xml:space="preserve">      </w:t>
      </w:r>
      <w:r>
        <w:rPr>
          <w:rFonts w:hint="eastAsia" w:hAnsi="宋体"/>
          <w:color w:val="auto"/>
          <w:szCs w:val="21"/>
          <w:highlight w:val="none"/>
        </w:rPr>
        <w:t>年</w:t>
      </w:r>
      <w:r>
        <w:rPr>
          <w:rFonts w:hint="eastAsia" w:hAnsi="宋体"/>
          <w:color w:val="auto"/>
          <w:szCs w:val="21"/>
          <w:highlight w:val="none"/>
          <w:u w:val="single"/>
        </w:rPr>
        <w:t xml:space="preserve">   </w:t>
      </w:r>
      <w:r>
        <w:rPr>
          <w:rFonts w:hint="eastAsia" w:hAnsi="宋体"/>
          <w:color w:val="auto"/>
          <w:szCs w:val="21"/>
          <w:highlight w:val="none"/>
        </w:rPr>
        <w:t>月</w:t>
      </w:r>
      <w:r>
        <w:rPr>
          <w:rFonts w:hint="eastAsia" w:hAnsi="宋体"/>
          <w:color w:val="auto"/>
          <w:szCs w:val="21"/>
          <w:highlight w:val="none"/>
          <w:u w:val="single"/>
        </w:rPr>
        <w:t xml:space="preserve">   </w:t>
      </w:r>
      <w:r>
        <w:rPr>
          <w:rFonts w:hint="eastAsia" w:hAnsi="宋体"/>
          <w:color w:val="auto"/>
          <w:szCs w:val="21"/>
          <w:highlight w:val="none"/>
        </w:rPr>
        <w:t>日，</w:t>
      </w:r>
      <w:r>
        <w:rPr>
          <w:rFonts w:hint="eastAsia" w:hAnsi="宋体"/>
          <w:bCs/>
          <w:color w:val="auto"/>
          <w:highlight w:val="none"/>
        </w:rPr>
        <w:t xml:space="preserve">就质疑事项作出了答复/没有在法定期限内作出答复。                                                                                             </w:t>
      </w:r>
    </w:p>
    <w:p w14:paraId="39538891">
      <w:pPr>
        <w:pStyle w:val="26"/>
        <w:spacing w:line="400" w:lineRule="exact"/>
        <w:ind w:left="25" w:leftChars="12" w:firstLine="413" w:firstLineChars="196"/>
        <w:rPr>
          <w:rFonts w:hAnsi="宋体"/>
          <w:b/>
          <w:color w:val="auto"/>
          <w:szCs w:val="21"/>
          <w:highlight w:val="none"/>
        </w:rPr>
      </w:pPr>
      <w:r>
        <w:rPr>
          <w:rFonts w:hint="eastAsia" w:hAnsi="宋体"/>
          <w:b/>
          <w:color w:val="auto"/>
          <w:szCs w:val="21"/>
          <w:highlight w:val="none"/>
        </w:rPr>
        <w:t>四、投诉事项具体内容</w:t>
      </w:r>
    </w:p>
    <w:p w14:paraId="44727655">
      <w:pPr>
        <w:pStyle w:val="26"/>
        <w:spacing w:line="400" w:lineRule="exact"/>
        <w:ind w:left="25" w:leftChars="12" w:firstLine="413" w:firstLineChars="197"/>
        <w:rPr>
          <w:rFonts w:hAnsi="宋体"/>
          <w:bCs/>
          <w:color w:val="auto"/>
          <w:highlight w:val="none"/>
          <w:u w:val="single"/>
        </w:rPr>
      </w:pPr>
      <w:r>
        <w:rPr>
          <w:rFonts w:hint="eastAsia" w:hAnsi="宋体"/>
          <w:color w:val="auto"/>
          <w:szCs w:val="21"/>
          <w:highlight w:val="none"/>
        </w:rPr>
        <w:t>投诉事项1：</w:t>
      </w:r>
      <w:r>
        <w:rPr>
          <w:rFonts w:hint="eastAsia" w:hAnsi="宋体"/>
          <w:bCs/>
          <w:color w:val="auto"/>
          <w:highlight w:val="none"/>
          <w:u w:val="single"/>
        </w:rPr>
        <w:t xml:space="preserve">                                                                           </w:t>
      </w:r>
    </w:p>
    <w:p w14:paraId="59CB6BD9">
      <w:pPr>
        <w:pStyle w:val="26"/>
        <w:spacing w:line="400" w:lineRule="exact"/>
        <w:ind w:firstLine="420" w:firstLineChars="200"/>
        <w:rPr>
          <w:rFonts w:hAnsi="宋体"/>
          <w:bCs/>
          <w:color w:val="auto"/>
          <w:highlight w:val="none"/>
          <w:u w:val="single"/>
        </w:rPr>
      </w:pPr>
      <w:r>
        <w:rPr>
          <w:rFonts w:hint="eastAsia" w:hAnsi="宋体"/>
          <w:bCs/>
          <w:color w:val="auto"/>
          <w:highlight w:val="none"/>
        </w:rPr>
        <w:t>事实依据：</w:t>
      </w:r>
      <w:r>
        <w:rPr>
          <w:rFonts w:hint="eastAsia" w:hAnsi="宋体"/>
          <w:color w:val="auto"/>
          <w:szCs w:val="21"/>
          <w:highlight w:val="none"/>
        </w:rPr>
        <w:t xml:space="preserve"> </w:t>
      </w:r>
      <w:r>
        <w:rPr>
          <w:rFonts w:hint="eastAsia" w:hAnsi="宋体"/>
          <w:bCs/>
          <w:color w:val="auto"/>
          <w:highlight w:val="none"/>
          <w:u w:val="single"/>
        </w:rPr>
        <w:t xml:space="preserve">                                                                                      </w:t>
      </w:r>
    </w:p>
    <w:p w14:paraId="2E0F9105">
      <w:pPr>
        <w:pStyle w:val="26"/>
        <w:spacing w:line="400" w:lineRule="exact"/>
        <w:ind w:left="25" w:leftChars="12" w:firstLine="413" w:firstLineChars="197"/>
        <w:rPr>
          <w:rFonts w:hAnsi="宋体"/>
          <w:color w:val="auto"/>
          <w:szCs w:val="21"/>
          <w:highlight w:val="none"/>
        </w:rPr>
      </w:pPr>
      <w:r>
        <w:rPr>
          <w:rFonts w:hint="eastAsia" w:hAnsi="宋体"/>
          <w:bCs/>
          <w:color w:val="auto"/>
          <w:highlight w:val="none"/>
          <w:u w:val="single"/>
        </w:rPr>
        <w:t xml:space="preserve">                                                                                        </w:t>
      </w:r>
    </w:p>
    <w:p w14:paraId="7E33147E">
      <w:pPr>
        <w:pStyle w:val="26"/>
        <w:spacing w:line="400" w:lineRule="exact"/>
        <w:ind w:firstLine="420" w:firstLineChars="200"/>
        <w:rPr>
          <w:rFonts w:hAnsi="宋体"/>
          <w:bCs/>
          <w:color w:val="auto"/>
          <w:highlight w:val="none"/>
          <w:u w:val="single"/>
        </w:rPr>
      </w:pPr>
      <w:r>
        <w:rPr>
          <w:rFonts w:hint="eastAsia" w:hAnsi="宋体"/>
          <w:bCs/>
          <w:color w:val="auto"/>
          <w:highlight w:val="none"/>
        </w:rPr>
        <w:t>法律依据：</w:t>
      </w:r>
      <w:r>
        <w:rPr>
          <w:rFonts w:hint="eastAsia" w:hAnsi="宋体"/>
          <w:color w:val="auto"/>
          <w:szCs w:val="21"/>
          <w:highlight w:val="none"/>
        </w:rPr>
        <w:t xml:space="preserve"> </w:t>
      </w:r>
      <w:r>
        <w:rPr>
          <w:rFonts w:hint="eastAsia" w:hAnsi="宋体"/>
          <w:bCs/>
          <w:color w:val="auto"/>
          <w:highlight w:val="none"/>
          <w:u w:val="single"/>
        </w:rPr>
        <w:t xml:space="preserve">                                                                                      </w:t>
      </w:r>
    </w:p>
    <w:p w14:paraId="24410831">
      <w:pPr>
        <w:pStyle w:val="26"/>
        <w:spacing w:line="400" w:lineRule="exact"/>
        <w:ind w:left="25" w:leftChars="12" w:firstLine="308" w:firstLineChars="147"/>
        <w:rPr>
          <w:rFonts w:hAnsi="宋体"/>
          <w:bCs/>
          <w:color w:val="auto"/>
          <w:highlight w:val="none"/>
          <w:u w:val="single"/>
        </w:rPr>
      </w:pPr>
      <w:r>
        <w:rPr>
          <w:rFonts w:hint="eastAsia" w:hAnsi="宋体"/>
          <w:bCs/>
          <w:color w:val="auto"/>
          <w:highlight w:val="none"/>
        </w:rPr>
        <w:t xml:space="preserve"> </w:t>
      </w:r>
      <w:r>
        <w:rPr>
          <w:rFonts w:hint="eastAsia" w:hAnsi="宋体"/>
          <w:bCs/>
          <w:color w:val="auto"/>
          <w:highlight w:val="none"/>
          <w:u w:val="single"/>
        </w:rPr>
        <w:t xml:space="preserve">                                                                                        </w:t>
      </w:r>
    </w:p>
    <w:p w14:paraId="38FCB353">
      <w:pPr>
        <w:pStyle w:val="26"/>
        <w:spacing w:line="400" w:lineRule="exact"/>
        <w:ind w:left="25" w:leftChars="12" w:firstLine="413" w:firstLineChars="197"/>
        <w:rPr>
          <w:rFonts w:hAnsi="宋体"/>
          <w:bCs/>
          <w:color w:val="auto"/>
          <w:highlight w:val="none"/>
        </w:rPr>
      </w:pPr>
      <w:r>
        <w:rPr>
          <w:rFonts w:hint="eastAsia" w:hAnsi="宋体"/>
          <w:color w:val="auto"/>
          <w:szCs w:val="21"/>
          <w:highlight w:val="none"/>
        </w:rPr>
        <w:t xml:space="preserve">投诉事项2  </w:t>
      </w:r>
      <w:r>
        <w:rPr>
          <w:rFonts w:hint="eastAsia" w:hAnsi="宋体"/>
          <w:bCs/>
          <w:color w:val="auto"/>
          <w:highlight w:val="none"/>
        </w:rPr>
        <w:t xml:space="preserve">   </w:t>
      </w:r>
    </w:p>
    <w:p w14:paraId="1EC1CB13">
      <w:pPr>
        <w:pStyle w:val="26"/>
        <w:spacing w:line="400" w:lineRule="exact"/>
        <w:ind w:left="25" w:leftChars="12" w:firstLine="413" w:firstLineChars="197"/>
        <w:rPr>
          <w:rFonts w:hAnsi="宋体"/>
          <w:bCs/>
          <w:color w:val="auto"/>
          <w:highlight w:val="none"/>
        </w:rPr>
      </w:pPr>
      <w:r>
        <w:rPr>
          <w:rFonts w:hAnsi="宋体"/>
          <w:bCs/>
          <w:color w:val="auto"/>
          <w:highlight w:val="none"/>
        </w:rPr>
        <w:t>……</w:t>
      </w:r>
    </w:p>
    <w:p w14:paraId="4B11DF2F">
      <w:pPr>
        <w:pStyle w:val="26"/>
        <w:spacing w:line="400" w:lineRule="exact"/>
        <w:ind w:left="25" w:leftChars="12" w:firstLine="413" w:firstLineChars="196"/>
        <w:rPr>
          <w:rFonts w:hAnsi="宋体"/>
          <w:b/>
          <w:color w:val="auto"/>
          <w:szCs w:val="21"/>
          <w:highlight w:val="none"/>
        </w:rPr>
      </w:pPr>
      <w:r>
        <w:rPr>
          <w:rFonts w:hint="eastAsia" w:hAnsi="宋体"/>
          <w:b/>
          <w:color w:val="auto"/>
          <w:szCs w:val="21"/>
          <w:highlight w:val="none"/>
        </w:rPr>
        <w:t>五、与投诉事项相关的投诉请求：</w:t>
      </w:r>
    </w:p>
    <w:p w14:paraId="4C0A3243">
      <w:pPr>
        <w:pStyle w:val="26"/>
        <w:spacing w:line="400" w:lineRule="exact"/>
        <w:ind w:left="25" w:leftChars="12" w:firstLine="413" w:firstLineChars="197"/>
        <w:rPr>
          <w:rFonts w:hAnsi="宋体"/>
          <w:color w:val="auto"/>
          <w:szCs w:val="21"/>
          <w:highlight w:val="none"/>
        </w:rPr>
      </w:pPr>
      <w:r>
        <w:rPr>
          <w:rFonts w:hint="eastAsia" w:hAnsi="宋体"/>
          <w:color w:val="auto"/>
          <w:szCs w:val="21"/>
          <w:highlight w:val="none"/>
        </w:rPr>
        <w:t>请求：</w:t>
      </w:r>
      <w:r>
        <w:rPr>
          <w:rFonts w:hint="eastAsia" w:hAnsi="宋体"/>
          <w:bCs/>
          <w:color w:val="auto"/>
          <w:highlight w:val="none"/>
          <w:u w:val="single"/>
        </w:rPr>
        <w:t xml:space="preserve">                                                                                 </w:t>
      </w:r>
    </w:p>
    <w:p w14:paraId="722FD6E4">
      <w:pPr>
        <w:pStyle w:val="26"/>
        <w:spacing w:line="400" w:lineRule="exact"/>
        <w:ind w:left="25" w:leftChars="12" w:firstLine="308" w:firstLineChars="147"/>
        <w:rPr>
          <w:rFonts w:hAnsi="宋体"/>
          <w:color w:val="auto"/>
          <w:szCs w:val="21"/>
          <w:highlight w:val="none"/>
        </w:rPr>
      </w:pPr>
    </w:p>
    <w:p w14:paraId="51D85764">
      <w:pPr>
        <w:pStyle w:val="26"/>
        <w:spacing w:line="400" w:lineRule="exact"/>
        <w:ind w:left="25" w:leftChars="12" w:firstLine="413" w:firstLineChars="197"/>
        <w:rPr>
          <w:rFonts w:hAnsi="宋体"/>
          <w:color w:val="auto"/>
          <w:szCs w:val="21"/>
          <w:highlight w:val="none"/>
        </w:rPr>
      </w:pPr>
      <w:r>
        <w:rPr>
          <w:rFonts w:hint="eastAsia" w:hAnsi="宋体"/>
          <w:color w:val="auto"/>
          <w:szCs w:val="21"/>
          <w:highlight w:val="none"/>
        </w:rPr>
        <w:t>签字（签章）：                                       公章：</w:t>
      </w:r>
    </w:p>
    <w:p w14:paraId="124D26D9">
      <w:pPr>
        <w:pStyle w:val="26"/>
        <w:spacing w:line="400" w:lineRule="exact"/>
        <w:ind w:left="25" w:leftChars="12" w:firstLine="308" w:firstLineChars="147"/>
        <w:rPr>
          <w:rFonts w:hAnsi="宋体"/>
          <w:color w:val="auto"/>
          <w:szCs w:val="21"/>
          <w:highlight w:val="none"/>
        </w:rPr>
      </w:pPr>
    </w:p>
    <w:p w14:paraId="2CCFAC3E">
      <w:pPr>
        <w:pStyle w:val="26"/>
        <w:spacing w:line="400" w:lineRule="exact"/>
        <w:ind w:left="25" w:leftChars="12" w:firstLine="413" w:firstLineChars="197"/>
        <w:rPr>
          <w:rFonts w:hAnsi="宋体"/>
          <w:color w:val="auto"/>
          <w:szCs w:val="21"/>
          <w:highlight w:val="none"/>
        </w:rPr>
      </w:pPr>
      <w:r>
        <w:rPr>
          <w:rFonts w:hint="eastAsia" w:hAnsi="宋体"/>
          <w:color w:val="auto"/>
          <w:szCs w:val="21"/>
          <w:highlight w:val="none"/>
        </w:rPr>
        <w:t>日期：</w:t>
      </w:r>
    </w:p>
    <w:p w14:paraId="10445C72">
      <w:pPr>
        <w:pStyle w:val="26"/>
        <w:spacing w:line="360" w:lineRule="exact"/>
        <w:ind w:left="25" w:leftChars="12" w:firstLine="413" w:firstLineChars="197"/>
        <w:rPr>
          <w:rFonts w:hAnsi="宋体"/>
          <w:color w:val="auto"/>
          <w:szCs w:val="21"/>
          <w:highlight w:val="none"/>
        </w:rPr>
      </w:pPr>
      <w:r>
        <w:rPr>
          <w:rFonts w:hint="eastAsia" w:hAnsi="宋体"/>
          <w:bCs/>
          <w:color w:val="auto"/>
          <w:highlight w:val="none"/>
        </w:rPr>
        <w:t xml:space="preserve">                                                                                 </w:t>
      </w:r>
    </w:p>
    <w:p w14:paraId="59BE8563">
      <w:pPr>
        <w:pStyle w:val="26"/>
        <w:snapToGrid w:val="0"/>
        <w:spacing w:line="340" w:lineRule="exact"/>
        <w:rPr>
          <w:rFonts w:hAnsi="宋体"/>
          <w:b/>
          <w:color w:val="auto"/>
          <w:szCs w:val="21"/>
          <w:highlight w:val="none"/>
        </w:rPr>
      </w:pPr>
    </w:p>
    <w:p w14:paraId="06A4E103">
      <w:pPr>
        <w:pStyle w:val="26"/>
        <w:snapToGrid w:val="0"/>
        <w:spacing w:line="340" w:lineRule="exact"/>
        <w:rPr>
          <w:rFonts w:hAnsi="宋体"/>
          <w:b/>
          <w:color w:val="auto"/>
          <w:szCs w:val="21"/>
          <w:highlight w:val="none"/>
        </w:rPr>
      </w:pPr>
      <w:r>
        <w:rPr>
          <w:rFonts w:hint="eastAsia" w:hAnsi="宋体"/>
          <w:b/>
          <w:color w:val="auto"/>
          <w:szCs w:val="21"/>
          <w:highlight w:val="none"/>
        </w:rPr>
        <w:t>说明：</w:t>
      </w:r>
    </w:p>
    <w:p w14:paraId="4A141A60">
      <w:pPr>
        <w:pStyle w:val="26"/>
        <w:spacing w:line="340" w:lineRule="exact"/>
        <w:ind w:left="25" w:leftChars="12" w:firstLine="310" w:firstLineChars="147"/>
        <w:rPr>
          <w:rFonts w:hAnsi="宋体"/>
          <w:b/>
          <w:bCs/>
          <w:color w:val="auto"/>
          <w:highlight w:val="none"/>
        </w:rPr>
      </w:pPr>
      <w:r>
        <w:rPr>
          <w:rFonts w:hint="eastAsia" w:hAnsi="宋体"/>
          <w:b/>
          <w:color w:val="auto"/>
          <w:szCs w:val="21"/>
          <w:highlight w:val="none"/>
        </w:rPr>
        <w:t>1.投诉人提起投诉时，应当提交投诉书和必要的证明材料，并按照被投诉人和与投诉事项有关的供应商数量提供投诉书副本</w:t>
      </w:r>
      <w:r>
        <w:rPr>
          <w:rFonts w:hint="eastAsia" w:hAnsi="宋体"/>
          <w:b/>
          <w:bCs/>
          <w:color w:val="auto"/>
          <w:highlight w:val="none"/>
        </w:rPr>
        <w:t>。</w:t>
      </w:r>
    </w:p>
    <w:p w14:paraId="1E091488">
      <w:pPr>
        <w:pStyle w:val="26"/>
        <w:spacing w:line="340" w:lineRule="exact"/>
        <w:ind w:left="25" w:leftChars="12" w:firstLine="310" w:firstLineChars="147"/>
        <w:rPr>
          <w:rFonts w:hAnsi="宋体"/>
          <w:b/>
          <w:color w:val="auto"/>
          <w:szCs w:val="21"/>
          <w:highlight w:val="none"/>
        </w:rPr>
      </w:pPr>
      <w:r>
        <w:rPr>
          <w:rFonts w:hint="eastAsia" w:hAnsi="宋体"/>
          <w:b/>
          <w:color w:val="auto"/>
          <w:szCs w:val="21"/>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C54F3B1">
      <w:pPr>
        <w:pStyle w:val="26"/>
        <w:spacing w:line="340" w:lineRule="exact"/>
        <w:ind w:left="25" w:leftChars="12" w:firstLine="310" w:firstLineChars="147"/>
        <w:rPr>
          <w:rFonts w:hAnsi="宋体"/>
          <w:b/>
          <w:color w:val="auto"/>
          <w:szCs w:val="21"/>
          <w:highlight w:val="none"/>
        </w:rPr>
      </w:pPr>
      <w:r>
        <w:rPr>
          <w:rFonts w:hint="eastAsia" w:hAnsi="宋体"/>
          <w:b/>
          <w:color w:val="auto"/>
          <w:szCs w:val="21"/>
          <w:highlight w:val="none"/>
        </w:rPr>
        <w:t>3.投诉书应简要列明质疑事项，质疑函、质疑答复等作为附件材料提供。</w:t>
      </w:r>
    </w:p>
    <w:p w14:paraId="1BCE6AE3">
      <w:pPr>
        <w:pStyle w:val="26"/>
        <w:spacing w:line="340" w:lineRule="exact"/>
        <w:ind w:left="25" w:leftChars="12" w:firstLine="310" w:firstLineChars="147"/>
        <w:rPr>
          <w:rFonts w:hAnsi="宋体"/>
          <w:b/>
          <w:color w:val="auto"/>
          <w:szCs w:val="21"/>
          <w:highlight w:val="none"/>
        </w:rPr>
      </w:pPr>
      <w:r>
        <w:rPr>
          <w:rFonts w:hint="eastAsia" w:hAnsi="宋体"/>
          <w:b/>
          <w:color w:val="auto"/>
          <w:szCs w:val="21"/>
          <w:highlight w:val="none"/>
        </w:rPr>
        <w:t>4.投诉书的投诉事项应具体、明确，并有必要的事实依据和法律依据。</w:t>
      </w:r>
    </w:p>
    <w:p w14:paraId="2FBC2988">
      <w:pPr>
        <w:pStyle w:val="26"/>
        <w:spacing w:line="340" w:lineRule="exact"/>
        <w:ind w:left="25" w:leftChars="12" w:firstLine="310" w:firstLineChars="147"/>
        <w:rPr>
          <w:rFonts w:hAnsi="宋体"/>
          <w:b/>
          <w:color w:val="auto"/>
          <w:szCs w:val="21"/>
          <w:highlight w:val="none"/>
        </w:rPr>
      </w:pPr>
      <w:r>
        <w:rPr>
          <w:rFonts w:hint="eastAsia" w:hAnsi="宋体"/>
          <w:b/>
          <w:color w:val="auto"/>
          <w:szCs w:val="21"/>
          <w:highlight w:val="none"/>
        </w:rPr>
        <w:t>5.投诉书的投诉请求应与投诉事项相关。</w:t>
      </w:r>
    </w:p>
    <w:p w14:paraId="086FBA10">
      <w:pPr>
        <w:pStyle w:val="26"/>
        <w:spacing w:line="340" w:lineRule="exact"/>
        <w:ind w:left="25" w:leftChars="12" w:firstLine="310" w:firstLineChars="147"/>
        <w:rPr>
          <w:rFonts w:hAnsi="宋体"/>
          <w:b/>
          <w:color w:val="auto"/>
          <w:szCs w:val="21"/>
          <w:highlight w:val="none"/>
        </w:rPr>
      </w:pPr>
      <w:r>
        <w:rPr>
          <w:rFonts w:hint="eastAsia" w:hAnsi="宋体"/>
          <w:b/>
          <w:color w:val="auto"/>
          <w:szCs w:val="21"/>
          <w:highlight w:val="none"/>
        </w:rPr>
        <w:t>6.投诉人为自然人的，投诉书应由本人签字；投诉人为法人或者其他组织的，投诉书应由法定代表人、主要负责人，或者其授权代表签字或者盖章，并加盖公章。</w:t>
      </w:r>
    </w:p>
    <w:p w14:paraId="48F2BDB3">
      <w:pPr>
        <w:pStyle w:val="26"/>
        <w:spacing w:line="340" w:lineRule="exact"/>
        <w:ind w:left="25" w:leftChars="12" w:firstLine="310" w:firstLineChars="147"/>
        <w:rPr>
          <w:rFonts w:hAnsi="宋体"/>
          <w:b/>
          <w:color w:val="auto"/>
          <w:szCs w:val="21"/>
          <w:highlight w:val="none"/>
        </w:rPr>
      </w:pPr>
    </w:p>
    <w:p w14:paraId="4FDBC0C2">
      <w:pPr>
        <w:spacing w:line="380" w:lineRule="exact"/>
        <w:jc w:val="center"/>
        <w:rPr>
          <w:rFonts w:ascii="宋体" w:hAnsi="宋体"/>
          <w:b/>
          <w:color w:val="auto"/>
          <w:sz w:val="32"/>
          <w:szCs w:val="32"/>
          <w:highlight w:val="none"/>
        </w:rPr>
      </w:pPr>
    </w:p>
    <w:p w14:paraId="5D64108A">
      <w:pPr>
        <w:spacing w:line="380" w:lineRule="exact"/>
        <w:jc w:val="center"/>
        <w:rPr>
          <w:rFonts w:ascii="宋体" w:hAnsi="宋体"/>
          <w:b/>
          <w:color w:val="auto"/>
          <w:sz w:val="32"/>
          <w:szCs w:val="32"/>
          <w:highlight w:val="none"/>
        </w:rPr>
      </w:pPr>
    </w:p>
    <w:p w14:paraId="615A8622">
      <w:pPr>
        <w:spacing w:line="380" w:lineRule="exact"/>
        <w:jc w:val="center"/>
        <w:rPr>
          <w:rFonts w:ascii="宋体" w:hAnsi="宋体"/>
          <w:b/>
          <w:color w:val="auto"/>
          <w:sz w:val="32"/>
          <w:szCs w:val="32"/>
          <w:highlight w:val="none"/>
        </w:rPr>
      </w:pPr>
    </w:p>
    <w:p w14:paraId="1FF9E334">
      <w:pPr>
        <w:spacing w:line="380" w:lineRule="exact"/>
        <w:jc w:val="center"/>
        <w:rPr>
          <w:rFonts w:ascii="宋体" w:hAnsi="宋体"/>
          <w:b/>
          <w:color w:val="auto"/>
          <w:sz w:val="32"/>
          <w:szCs w:val="32"/>
          <w:highlight w:val="none"/>
        </w:rPr>
      </w:pPr>
    </w:p>
    <w:p w14:paraId="14A94A6F">
      <w:pPr>
        <w:spacing w:line="380" w:lineRule="exact"/>
        <w:jc w:val="center"/>
        <w:rPr>
          <w:rFonts w:ascii="宋体" w:hAnsi="宋体"/>
          <w:b/>
          <w:color w:val="auto"/>
          <w:sz w:val="32"/>
          <w:szCs w:val="32"/>
          <w:highlight w:val="none"/>
        </w:rPr>
      </w:pPr>
    </w:p>
    <w:p w14:paraId="1F29F819">
      <w:pPr>
        <w:spacing w:line="380" w:lineRule="exact"/>
        <w:jc w:val="center"/>
        <w:rPr>
          <w:rFonts w:ascii="宋体" w:hAnsi="宋体"/>
          <w:b/>
          <w:color w:val="auto"/>
          <w:sz w:val="32"/>
          <w:szCs w:val="32"/>
          <w:highlight w:val="none"/>
        </w:rPr>
      </w:pPr>
    </w:p>
    <w:p w14:paraId="13A01B3E">
      <w:pPr>
        <w:spacing w:line="380" w:lineRule="exact"/>
        <w:jc w:val="center"/>
        <w:rPr>
          <w:rFonts w:ascii="宋体" w:hAnsi="宋体"/>
          <w:b/>
          <w:color w:val="auto"/>
          <w:sz w:val="32"/>
          <w:szCs w:val="32"/>
          <w:highlight w:val="none"/>
        </w:rPr>
      </w:pPr>
    </w:p>
    <w:p w14:paraId="426F4B26">
      <w:pPr>
        <w:spacing w:line="380" w:lineRule="exact"/>
        <w:jc w:val="center"/>
        <w:rPr>
          <w:rFonts w:ascii="宋体" w:hAnsi="宋体"/>
          <w:b/>
          <w:color w:val="auto"/>
          <w:sz w:val="32"/>
          <w:szCs w:val="32"/>
          <w:highlight w:val="none"/>
        </w:rPr>
      </w:pPr>
    </w:p>
    <w:p w14:paraId="18EBE0D6">
      <w:pPr>
        <w:spacing w:line="380" w:lineRule="exact"/>
        <w:jc w:val="center"/>
        <w:rPr>
          <w:rFonts w:ascii="宋体" w:hAnsi="宋体"/>
          <w:b/>
          <w:color w:val="auto"/>
          <w:sz w:val="32"/>
          <w:szCs w:val="32"/>
          <w:highlight w:val="none"/>
        </w:rPr>
      </w:pPr>
    </w:p>
    <w:p w14:paraId="593918CA">
      <w:pPr>
        <w:spacing w:line="380" w:lineRule="exact"/>
        <w:jc w:val="center"/>
        <w:rPr>
          <w:rFonts w:ascii="宋体" w:hAnsi="宋体"/>
          <w:b/>
          <w:color w:val="auto"/>
          <w:sz w:val="32"/>
          <w:szCs w:val="32"/>
          <w:highlight w:val="none"/>
        </w:rPr>
      </w:pPr>
    </w:p>
    <w:p w14:paraId="3B05C4DB">
      <w:pPr>
        <w:spacing w:line="380" w:lineRule="exact"/>
        <w:jc w:val="center"/>
        <w:rPr>
          <w:rFonts w:ascii="宋体" w:hAnsi="宋体"/>
          <w:b/>
          <w:color w:val="auto"/>
          <w:sz w:val="32"/>
          <w:szCs w:val="32"/>
          <w:highlight w:val="none"/>
        </w:rPr>
      </w:pPr>
    </w:p>
    <w:p w14:paraId="476D91B9">
      <w:pPr>
        <w:spacing w:line="380" w:lineRule="exact"/>
        <w:jc w:val="center"/>
        <w:rPr>
          <w:rFonts w:ascii="宋体" w:hAnsi="宋体"/>
          <w:b/>
          <w:color w:val="auto"/>
          <w:sz w:val="32"/>
          <w:szCs w:val="32"/>
          <w:highlight w:val="none"/>
        </w:rPr>
      </w:pPr>
    </w:p>
    <w:p w14:paraId="2BC8AE55">
      <w:pPr>
        <w:spacing w:line="380" w:lineRule="exact"/>
        <w:jc w:val="center"/>
        <w:rPr>
          <w:rFonts w:ascii="宋体" w:hAnsi="宋体"/>
          <w:b/>
          <w:color w:val="auto"/>
          <w:sz w:val="32"/>
          <w:szCs w:val="32"/>
          <w:highlight w:val="none"/>
        </w:rPr>
      </w:pPr>
    </w:p>
    <w:p w14:paraId="4977558E">
      <w:pPr>
        <w:spacing w:line="380" w:lineRule="exact"/>
        <w:jc w:val="left"/>
        <w:rPr>
          <w:rFonts w:hAnsi="宋体" w:cs="宋体"/>
          <w:b/>
          <w:color w:val="auto"/>
          <w:sz w:val="24"/>
          <w:highlight w:val="none"/>
        </w:rPr>
      </w:pPr>
      <w:r>
        <w:rPr>
          <w:rFonts w:ascii="宋体" w:hAnsi="宋体"/>
          <w:b/>
          <w:color w:val="auto"/>
          <w:sz w:val="32"/>
          <w:szCs w:val="32"/>
          <w:highlight w:val="none"/>
        </w:rPr>
        <w:br w:type="page"/>
      </w:r>
      <w:r>
        <w:rPr>
          <w:rFonts w:hint="eastAsia" w:hAnsi="宋体" w:cs="宋体"/>
          <w:b/>
          <w:color w:val="auto"/>
          <w:sz w:val="24"/>
          <w:highlight w:val="none"/>
        </w:rPr>
        <w:t>附表3：</w:t>
      </w:r>
    </w:p>
    <w:p w14:paraId="44590E6F">
      <w:pPr>
        <w:spacing w:line="460" w:lineRule="exact"/>
        <w:jc w:val="center"/>
        <w:rPr>
          <w:rFonts w:ascii="宋体" w:hAnsi="宋体" w:cs="宋体"/>
          <w:color w:val="auto"/>
          <w:sz w:val="44"/>
          <w:highlight w:val="none"/>
        </w:rPr>
      </w:pPr>
    </w:p>
    <w:p w14:paraId="65AACAD7">
      <w:pPr>
        <w:spacing w:line="460" w:lineRule="exact"/>
        <w:jc w:val="center"/>
        <w:rPr>
          <w:rFonts w:ascii="宋体" w:hAnsi="宋体" w:cs="宋体"/>
          <w:color w:val="auto"/>
          <w:sz w:val="44"/>
          <w:highlight w:val="none"/>
        </w:rPr>
      </w:pPr>
      <w:r>
        <w:rPr>
          <w:rFonts w:hint="eastAsia" w:ascii="宋体" w:hAnsi="宋体" w:cs="宋体"/>
          <w:color w:val="auto"/>
          <w:sz w:val="44"/>
          <w:highlight w:val="none"/>
        </w:rPr>
        <w:t>桂林市政府采购项目合同验收书（格式）</w:t>
      </w:r>
    </w:p>
    <w:p w14:paraId="37EEFE48">
      <w:pPr>
        <w:widowControl/>
        <w:spacing w:line="600" w:lineRule="atLeast"/>
        <w:jc w:val="center"/>
        <w:rPr>
          <w:rFonts w:ascii="Arial Unicode MS" w:hAnsi="仿宋" w:eastAsia="Arial Unicode MS"/>
          <w:color w:val="auto"/>
          <w:kern w:val="0"/>
          <w:sz w:val="36"/>
          <w:szCs w:val="36"/>
          <w:highlight w:val="none"/>
        </w:rPr>
      </w:pPr>
    </w:p>
    <w:p w14:paraId="4CC0104C">
      <w:pPr>
        <w:widowControl/>
        <w:spacing w:line="460" w:lineRule="exact"/>
        <w:ind w:firstLine="482"/>
        <w:jc w:val="left"/>
        <w:rPr>
          <w:rFonts w:ascii="宋体" w:hAnsi="宋体"/>
          <w:color w:val="auto"/>
          <w:kern w:val="0"/>
          <w:sz w:val="30"/>
          <w:szCs w:val="30"/>
          <w:highlight w:val="none"/>
        </w:rPr>
      </w:pPr>
      <w:r>
        <w:rPr>
          <w:rFonts w:hint="eastAsia" w:ascii="宋体" w:hAnsi="宋体" w:cs="仿宋"/>
          <w:color w:val="auto"/>
          <w:kern w:val="0"/>
          <w:sz w:val="24"/>
          <w:highlight w:val="none"/>
        </w:rPr>
        <w:t>根据政府采购项目（</w:t>
      </w:r>
      <w:r>
        <w:rPr>
          <w:rFonts w:hint="eastAsia" w:ascii="宋体" w:hAnsi="宋体" w:cs="仿宋"/>
          <w:color w:val="auto"/>
          <w:kern w:val="0"/>
          <w:sz w:val="24"/>
          <w:highlight w:val="none"/>
          <w:u w:val="single"/>
        </w:rPr>
        <w:t>采购合同编号：</w:t>
      </w:r>
      <w:r>
        <w:rPr>
          <w:rFonts w:hint="eastAsia" w:ascii="宋体" w:hAnsi="宋体"/>
          <w:color w:val="auto"/>
          <w:kern w:val="0"/>
          <w:sz w:val="24"/>
          <w:highlight w:val="none"/>
          <w:u w:val="single"/>
        </w:rPr>
        <w:softHyphen/>
      </w:r>
      <w:r>
        <w:rPr>
          <w:rFonts w:hint="eastAsia" w:ascii="宋体" w:hAnsi="宋体"/>
          <w:color w:val="auto"/>
          <w:kern w:val="0"/>
          <w:sz w:val="24"/>
          <w:highlight w:val="none"/>
          <w:u w:val="single"/>
        </w:rPr>
        <w:t>   </w:t>
      </w:r>
      <w:r>
        <w:rPr>
          <w:rFonts w:hint="eastAsia" w:ascii="宋体" w:hAnsi="宋体" w:cs="仿宋"/>
          <w:color w:val="auto"/>
          <w:kern w:val="0"/>
          <w:sz w:val="24"/>
          <w:highlight w:val="none"/>
        </w:rPr>
        <w:t>）的约定，我单位对（</w:t>
      </w:r>
      <w:r>
        <w:rPr>
          <w:rFonts w:hint="eastAsia" w:ascii="宋体" w:hAnsi="宋体"/>
          <w:color w:val="auto"/>
          <w:kern w:val="0"/>
          <w:sz w:val="24"/>
          <w:highlight w:val="none"/>
          <w:u w:val="single"/>
        </w:rPr>
        <w:t> </w:t>
      </w:r>
      <w:r>
        <w:rPr>
          <w:rFonts w:hint="eastAsia" w:ascii="宋体" w:hAnsi="宋体" w:cs="仿宋"/>
          <w:color w:val="auto"/>
          <w:kern w:val="0"/>
          <w:sz w:val="24"/>
          <w:highlight w:val="none"/>
          <w:u w:val="single"/>
        </w:rPr>
        <w:t>项目名称</w:t>
      </w:r>
      <w:r>
        <w:rPr>
          <w:rFonts w:hint="eastAsia" w:ascii="宋体" w:hAnsi="宋体"/>
          <w:color w:val="auto"/>
          <w:kern w:val="0"/>
          <w:sz w:val="24"/>
          <w:highlight w:val="none"/>
          <w:u w:val="single"/>
        </w:rPr>
        <w:t>   </w:t>
      </w:r>
      <w:r>
        <w:rPr>
          <w:rFonts w:hint="eastAsia" w:ascii="宋体" w:hAnsi="宋体" w:cs="仿宋"/>
          <w:color w:val="auto"/>
          <w:kern w:val="0"/>
          <w:sz w:val="24"/>
          <w:highlight w:val="none"/>
        </w:rPr>
        <w:t>）政府采购项目中标（或成交）供应商（</w:t>
      </w:r>
      <w:r>
        <w:rPr>
          <w:rFonts w:hint="eastAsia" w:ascii="宋体" w:hAnsi="宋体"/>
          <w:color w:val="auto"/>
          <w:kern w:val="0"/>
          <w:sz w:val="24"/>
          <w:highlight w:val="none"/>
          <w:u w:val="single"/>
        </w:rPr>
        <w:t>      </w:t>
      </w:r>
      <w:r>
        <w:rPr>
          <w:rFonts w:hint="eastAsia" w:ascii="宋体" w:hAnsi="宋体" w:cs="仿宋"/>
          <w:color w:val="auto"/>
          <w:kern w:val="0"/>
          <w:sz w:val="24"/>
          <w:highlight w:val="none"/>
          <w:u w:val="single"/>
        </w:rPr>
        <w:t>公司名称</w:t>
      </w:r>
      <w:r>
        <w:rPr>
          <w:rFonts w:hint="eastAsia" w:ascii="宋体" w:hAnsi="宋体"/>
          <w:color w:val="auto"/>
          <w:kern w:val="0"/>
          <w:sz w:val="24"/>
          <w:highlight w:val="none"/>
          <w:u w:val="single"/>
        </w:rPr>
        <w:t>         </w:t>
      </w:r>
      <w:r>
        <w:rPr>
          <w:rFonts w:hint="eastAsia" w:ascii="宋体" w:hAnsi="宋体" w:cs="仿宋"/>
          <w:color w:val="auto"/>
          <w:kern w:val="0"/>
          <w:sz w:val="24"/>
          <w:highlight w:val="none"/>
        </w:rPr>
        <w:t>）</w:t>
      </w:r>
      <w:r>
        <w:rPr>
          <w:rFonts w:hint="eastAsia" w:ascii="宋体" w:hAnsi="宋体"/>
          <w:color w:val="auto"/>
          <w:kern w:val="0"/>
          <w:sz w:val="24"/>
          <w:highlight w:val="none"/>
        </w:rPr>
        <w:t> </w:t>
      </w:r>
      <w:r>
        <w:rPr>
          <w:rFonts w:hint="eastAsia" w:ascii="宋体" w:hAnsi="宋体" w:cs="仿宋"/>
          <w:color w:val="auto"/>
          <w:kern w:val="0"/>
          <w:sz w:val="24"/>
          <w:highlight w:val="none"/>
        </w:rPr>
        <w:t>提供的货物（或工程、服务）进行了验收，验收情况如下：</w:t>
      </w:r>
    </w:p>
    <w:tbl>
      <w:tblPr>
        <w:tblStyle w:val="51"/>
        <w:tblW w:w="9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27"/>
        <w:gridCol w:w="2294"/>
        <w:gridCol w:w="946"/>
        <w:gridCol w:w="2495"/>
        <w:gridCol w:w="205"/>
        <w:gridCol w:w="793"/>
        <w:gridCol w:w="1367"/>
      </w:tblGrid>
      <w:tr w14:paraId="38A0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821" w:type="dxa"/>
            <w:gridSpan w:val="2"/>
            <w:tcBorders>
              <w:top w:val="single" w:color="auto" w:sz="4" w:space="0"/>
              <w:left w:val="single" w:color="auto" w:sz="4" w:space="0"/>
              <w:bottom w:val="single" w:color="auto" w:sz="4" w:space="0"/>
              <w:right w:val="single" w:color="auto" w:sz="4" w:space="0"/>
            </w:tcBorders>
            <w:vAlign w:val="center"/>
          </w:tcPr>
          <w:p w14:paraId="720AAF38">
            <w:pPr>
              <w:widowControl/>
              <w:spacing w:line="320" w:lineRule="atLeast"/>
              <w:ind w:firstLine="5"/>
              <w:jc w:val="center"/>
              <w:rPr>
                <w:rFonts w:ascii="宋体"/>
                <w:color w:val="auto"/>
                <w:kern w:val="0"/>
                <w:szCs w:val="21"/>
                <w:highlight w:val="none"/>
              </w:rPr>
            </w:pPr>
            <w:r>
              <w:rPr>
                <w:rFonts w:hint="eastAsia" w:ascii="宋体" w:hAnsi="宋体" w:cs="宋体"/>
                <w:color w:val="auto"/>
                <w:kern w:val="0"/>
                <w:highlight w:val="none"/>
              </w:rPr>
              <w:t>验收方式：</w:t>
            </w:r>
          </w:p>
        </w:tc>
        <w:tc>
          <w:tcPr>
            <w:tcW w:w="5806" w:type="dxa"/>
            <w:gridSpan w:val="5"/>
            <w:tcBorders>
              <w:top w:val="single" w:color="auto" w:sz="4" w:space="0"/>
              <w:left w:val="single" w:color="auto" w:sz="4" w:space="0"/>
              <w:bottom w:val="single" w:color="auto" w:sz="4" w:space="0"/>
              <w:right w:val="single" w:color="auto" w:sz="4" w:space="0"/>
            </w:tcBorders>
            <w:vAlign w:val="center"/>
          </w:tcPr>
          <w:p w14:paraId="706639AF">
            <w:pPr>
              <w:widowControl/>
              <w:spacing w:line="320" w:lineRule="atLeast"/>
              <w:ind w:firstLine="480"/>
              <w:jc w:val="center"/>
              <w:rPr>
                <w:rFonts w:ascii="宋体"/>
                <w:color w:val="auto"/>
                <w:kern w:val="0"/>
                <w:szCs w:val="21"/>
                <w:highlight w:val="none"/>
              </w:rPr>
            </w:pPr>
            <w:r>
              <w:rPr>
                <w:rFonts w:hint="eastAsia" w:ascii="宋体" w:cs="宋体"/>
                <w:color w:val="auto"/>
                <w:kern w:val="0"/>
                <w:highlight w:val="none"/>
              </w:rPr>
              <w:t>□</w:t>
            </w:r>
            <w:r>
              <w:rPr>
                <w:rFonts w:hint="eastAsia" w:ascii="宋体" w:hAnsi="宋体" w:cs="宋体"/>
                <w:color w:val="auto"/>
                <w:kern w:val="0"/>
                <w:highlight w:val="none"/>
              </w:rPr>
              <w:t>自行验收</w:t>
            </w:r>
            <w:r>
              <w:rPr>
                <w:rFonts w:ascii="宋体"/>
                <w:color w:val="auto"/>
                <w:kern w:val="0"/>
                <w:highlight w:val="none"/>
              </w:rPr>
              <w:t>        </w:t>
            </w:r>
            <w:r>
              <w:rPr>
                <w:rFonts w:hint="eastAsia" w:ascii="宋体" w:cs="宋体"/>
                <w:color w:val="auto"/>
                <w:kern w:val="0"/>
                <w:highlight w:val="none"/>
              </w:rPr>
              <w:t>□</w:t>
            </w:r>
            <w:r>
              <w:rPr>
                <w:rFonts w:hint="eastAsia" w:ascii="宋体" w:hAnsi="宋体" w:cs="宋体"/>
                <w:color w:val="auto"/>
                <w:kern w:val="0"/>
                <w:highlight w:val="none"/>
              </w:rPr>
              <w:t>委托验收</w:t>
            </w:r>
          </w:p>
        </w:tc>
      </w:tr>
      <w:tr w14:paraId="419C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1527" w:type="dxa"/>
            <w:tcBorders>
              <w:top w:val="single" w:color="auto" w:sz="4" w:space="0"/>
              <w:left w:val="single" w:color="auto" w:sz="4" w:space="0"/>
              <w:bottom w:val="single" w:color="auto" w:sz="4" w:space="0"/>
              <w:right w:val="single" w:color="auto" w:sz="4" w:space="0"/>
            </w:tcBorders>
            <w:vAlign w:val="center"/>
          </w:tcPr>
          <w:p w14:paraId="6CBF5CE9">
            <w:pPr>
              <w:widowControl/>
              <w:spacing w:line="320" w:lineRule="atLeast"/>
              <w:ind w:firstLine="2"/>
              <w:jc w:val="center"/>
              <w:rPr>
                <w:rFonts w:ascii="宋体"/>
                <w:color w:val="auto"/>
                <w:kern w:val="0"/>
                <w:szCs w:val="21"/>
                <w:highlight w:val="none"/>
              </w:rPr>
            </w:pPr>
            <w:r>
              <w:rPr>
                <w:rFonts w:hint="eastAsia" w:ascii="宋体" w:hAnsi="宋体" w:cs="宋体"/>
                <w:color w:val="auto"/>
                <w:kern w:val="0"/>
                <w:highlight w:val="none"/>
              </w:rPr>
              <w:t>序号</w:t>
            </w:r>
          </w:p>
        </w:tc>
        <w:tc>
          <w:tcPr>
            <w:tcW w:w="2294" w:type="dxa"/>
            <w:tcBorders>
              <w:top w:val="single" w:color="auto" w:sz="4" w:space="0"/>
              <w:left w:val="single" w:color="auto" w:sz="4" w:space="0"/>
              <w:bottom w:val="single" w:color="auto" w:sz="4" w:space="0"/>
              <w:right w:val="single" w:color="auto" w:sz="4" w:space="0"/>
            </w:tcBorders>
            <w:vAlign w:val="center"/>
          </w:tcPr>
          <w:p w14:paraId="7CE57804">
            <w:pPr>
              <w:widowControl/>
              <w:spacing w:line="320" w:lineRule="atLeast"/>
              <w:ind w:firstLine="2"/>
              <w:jc w:val="center"/>
              <w:rPr>
                <w:rFonts w:ascii="宋体"/>
                <w:color w:val="auto"/>
                <w:kern w:val="0"/>
                <w:szCs w:val="21"/>
                <w:highlight w:val="none"/>
              </w:rPr>
            </w:pPr>
            <w:r>
              <w:rPr>
                <w:rFonts w:hint="eastAsia" w:ascii="宋体" w:hAnsi="宋体" w:cs="宋体"/>
                <w:color w:val="auto"/>
                <w:kern w:val="0"/>
                <w:highlight w:val="none"/>
              </w:rPr>
              <w:t>名</w:t>
            </w:r>
            <w:r>
              <w:rPr>
                <w:rFonts w:ascii="宋体"/>
                <w:color w:val="auto"/>
                <w:kern w:val="0"/>
                <w:highlight w:val="none"/>
              </w:rPr>
              <w:t> </w:t>
            </w:r>
            <w:r>
              <w:rPr>
                <w:rFonts w:hint="eastAsia" w:ascii="宋体" w:hAnsi="宋体" w:cs="宋体"/>
                <w:color w:val="auto"/>
                <w:kern w:val="0"/>
                <w:highlight w:val="none"/>
              </w:rPr>
              <w:t>称</w:t>
            </w:r>
          </w:p>
        </w:tc>
        <w:tc>
          <w:tcPr>
            <w:tcW w:w="3441" w:type="dxa"/>
            <w:gridSpan w:val="2"/>
            <w:tcBorders>
              <w:top w:val="single" w:color="auto" w:sz="4" w:space="0"/>
              <w:left w:val="single" w:color="auto" w:sz="4" w:space="0"/>
              <w:bottom w:val="single" w:color="auto" w:sz="4" w:space="0"/>
              <w:right w:val="single" w:color="auto" w:sz="4" w:space="0"/>
            </w:tcBorders>
            <w:vAlign w:val="center"/>
          </w:tcPr>
          <w:p w14:paraId="47839639">
            <w:pPr>
              <w:widowControl/>
              <w:spacing w:line="320" w:lineRule="atLeast"/>
              <w:ind w:firstLine="2"/>
              <w:jc w:val="center"/>
              <w:rPr>
                <w:rFonts w:ascii="宋体" w:hAnsi="宋体" w:cs="宋体"/>
                <w:color w:val="auto"/>
                <w:kern w:val="0"/>
                <w:szCs w:val="21"/>
                <w:highlight w:val="none"/>
              </w:rPr>
            </w:pPr>
            <w:r>
              <w:rPr>
                <w:rFonts w:hint="eastAsia" w:ascii="宋体" w:hAnsi="宋体" w:cs="宋体"/>
                <w:color w:val="auto"/>
                <w:kern w:val="0"/>
                <w:highlight w:val="none"/>
              </w:rPr>
              <w:t>货物型号规格、标准及配置等</w:t>
            </w:r>
          </w:p>
          <w:p w14:paraId="6632A427">
            <w:pPr>
              <w:widowControl/>
              <w:spacing w:line="320" w:lineRule="atLeast"/>
              <w:ind w:firstLine="2"/>
              <w:jc w:val="center"/>
              <w:rPr>
                <w:rFonts w:ascii="宋体"/>
                <w:color w:val="auto"/>
                <w:kern w:val="0"/>
                <w:szCs w:val="21"/>
                <w:highlight w:val="none"/>
              </w:rPr>
            </w:pPr>
            <w:r>
              <w:rPr>
                <w:rFonts w:hint="eastAsia" w:ascii="宋体" w:hAnsi="宋体" w:cs="宋体"/>
                <w:color w:val="auto"/>
                <w:kern w:val="0"/>
                <w:highlight w:val="none"/>
              </w:rPr>
              <w:t>（或服务内容、标准）</w:t>
            </w:r>
          </w:p>
        </w:tc>
        <w:tc>
          <w:tcPr>
            <w:tcW w:w="998" w:type="dxa"/>
            <w:gridSpan w:val="2"/>
            <w:tcBorders>
              <w:top w:val="single" w:color="auto" w:sz="4" w:space="0"/>
              <w:left w:val="single" w:color="auto" w:sz="4" w:space="0"/>
              <w:bottom w:val="single" w:color="auto" w:sz="4" w:space="0"/>
              <w:right w:val="single" w:color="auto" w:sz="4" w:space="0"/>
            </w:tcBorders>
            <w:vAlign w:val="center"/>
          </w:tcPr>
          <w:p w14:paraId="4475FFB3">
            <w:pPr>
              <w:widowControl/>
              <w:spacing w:line="320" w:lineRule="atLeast"/>
              <w:jc w:val="center"/>
              <w:rPr>
                <w:rFonts w:ascii="宋体"/>
                <w:color w:val="auto"/>
                <w:kern w:val="0"/>
                <w:szCs w:val="21"/>
                <w:highlight w:val="none"/>
              </w:rPr>
            </w:pPr>
            <w:r>
              <w:rPr>
                <w:rFonts w:hint="eastAsia" w:ascii="宋体" w:hAnsi="宋体" w:cs="宋体"/>
                <w:color w:val="auto"/>
                <w:kern w:val="0"/>
                <w:highlight w:val="none"/>
              </w:rPr>
              <w:t>数量</w:t>
            </w:r>
          </w:p>
        </w:tc>
        <w:tc>
          <w:tcPr>
            <w:tcW w:w="1367" w:type="dxa"/>
            <w:tcBorders>
              <w:top w:val="single" w:color="auto" w:sz="4" w:space="0"/>
              <w:left w:val="single" w:color="auto" w:sz="4" w:space="0"/>
              <w:bottom w:val="single" w:color="auto" w:sz="4" w:space="0"/>
              <w:right w:val="single" w:color="auto" w:sz="4" w:space="0"/>
            </w:tcBorders>
            <w:vAlign w:val="center"/>
          </w:tcPr>
          <w:p w14:paraId="27F30FEA">
            <w:pPr>
              <w:widowControl/>
              <w:spacing w:line="320" w:lineRule="atLeast"/>
              <w:ind w:firstLine="2"/>
              <w:jc w:val="center"/>
              <w:rPr>
                <w:rFonts w:ascii="宋体"/>
                <w:color w:val="auto"/>
                <w:kern w:val="0"/>
                <w:szCs w:val="21"/>
                <w:highlight w:val="none"/>
              </w:rPr>
            </w:pPr>
            <w:r>
              <w:rPr>
                <w:rFonts w:hint="eastAsia" w:ascii="宋体" w:hAnsi="宋体" w:cs="宋体"/>
                <w:color w:val="auto"/>
                <w:kern w:val="0"/>
                <w:highlight w:val="none"/>
              </w:rPr>
              <w:t>金</w:t>
            </w:r>
            <w:r>
              <w:rPr>
                <w:rFonts w:ascii="宋体"/>
                <w:color w:val="auto"/>
                <w:kern w:val="0"/>
                <w:highlight w:val="none"/>
              </w:rPr>
              <w:t> </w:t>
            </w:r>
            <w:r>
              <w:rPr>
                <w:rFonts w:hint="eastAsia" w:ascii="宋体" w:hAnsi="宋体" w:cs="宋体"/>
                <w:color w:val="auto"/>
                <w:kern w:val="0"/>
                <w:highlight w:val="none"/>
              </w:rPr>
              <w:t>额</w:t>
            </w:r>
          </w:p>
        </w:tc>
      </w:tr>
      <w:tr w14:paraId="3EF1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527" w:type="dxa"/>
            <w:tcBorders>
              <w:top w:val="single" w:color="auto" w:sz="4" w:space="0"/>
              <w:left w:val="single" w:color="auto" w:sz="4" w:space="0"/>
              <w:bottom w:val="single" w:color="auto" w:sz="4" w:space="0"/>
              <w:right w:val="single" w:color="auto" w:sz="4" w:space="0"/>
            </w:tcBorders>
            <w:vAlign w:val="center"/>
          </w:tcPr>
          <w:p w14:paraId="3AF9142A">
            <w:pPr>
              <w:widowControl/>
              <w:spacing w:line="320" w:lineRule="atLeast"/>
              <w:ind w:firstLine="5"/>
              <w:jc w:val="left"/>
              <w:rPr>
                <w:rFonts w:ascii="宋体"/>
                <w:color w:val="auto"/>
                <w:kern w:val="0"/>
                <w:szCs w:val="21"/>
                <w:highlight w:val="none"/>
              </w:rPr>
            </w:pPr>
            <w:r>
              <w:rPr>
                <w:rFonts w:ascii="宋体"/>
                <w:color w:val="auto"/>
                <w:kern w:val="0"/>
                <w:highlight w:val="none"/>
              </w:rPr>
              <w:t> </w:t>
            </w:r>
          </w:p>
        </w:tc>
        <w:tc>
          <w:tcPr>
            <w:tcW w:w="2294" w:type="dxa"/>
            <w:tcBorders>
              <w:top w:val="single" w:color="auto" w:sz="4" w:space="0"/>
              <w:left w:val="single" w:color="auto" w:sz="4" w:space="0"/>
              <w:bottom w:val="single" w:color="auto" w:sz="4" w:space="0"/>
              <w:right w:val="single" w:color="auto" w:sz="4" w:space="0"/>
            </w:tcBorders>
            <w:vAlign w:val="center"/>
          </w:tcPr>
          <w:p w14:paraId="72BD8975">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3441" w:type="dxa"/>
            <w:gridSpan w:val="2"/>
            <w:tcBorders>
              <w:top w:val="single" w:color="auto" w:sz="4" w:space="0"/>
              <w:left w:val="single" w:color="auto" w:sz="4" w:space="0"/>
              <w:bottom w:val="single" w:color="auto" w:sz="4" w:space="0"/>
              <w:right w:val="single" w:color="auto" w:sz="4" w:space="0"/>
            </w:tcBorders>
            <w:vAlign w:val="center"/>
          </w:tcPr>
          <w:p w14:paraId="4D7FDAE0">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998" w:type="dxa"/>
            <w:gridSpan w:val="2"/>
            <w:tcBorders>
              <w:top w:val="single" w:color="auto" w:sz="4" w:space="0"/>
              <w:left w:val="single" w:color="auto" w:sz="4" w:space="0"/>
              <w:bottom w:val="single" w:color="auto" w:sz="4" w:space="0"/>
              <w:right w:val="single" w:color="auto" w:sz="4" w:space="0"/>
            </w:tcBorders>
            <w:vAlign w:val="center"/>
          </w:tcPr>
          <w:p w14:paraId="21434C07">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1367" w:type="dxa"/>
            <w:tcBorders>
              <w:top w:val="single" w:color="auto" w:sz="4" w:space="0"/>
              <w:left w:val="single" w:color="auto" w:sz="4" w:space="0"/>
              <w:bottom w:val="single" w:color="auto" w:sz="4" w:space="0"/>
              <w:right w:val="single" w:color="auto" w:sz="4" w:space="0"/>
            </w:tcBorders>
            <w:vAlign w:val="center"/>
          </w:tcPr>
          <w:p w14:paraId="0CC4EFBB">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r>
      <w:tr w14:paraId="26F8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527" w:type="dxa"/>
            <w:tcBorders>
              <w:top w:val="single" w:color="auto" w:sz="4" w:space="0"/>
              <w:left w:val="single" w:color="auto" w:sz="4" w:space="0"/>
              <w:bottom w:val="single" w:color="auto" w:sz="4" w:space="0"/>
              <w:right w:val="single" w:color="auto" w:sz="4" w:space="0"/>
            </w:tcBorders>
            <w:vAlign w:val="center"/>
          </w:tcPr>
          <w:p w14:paraId="10BAE783">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2294" w:type="dxa"/>
            <w:tcBorders>
              <w:top w:val="single" w:color="auto" w:sz="4" w:space="0"/>
              <w:left w:val="single" w:color="auto" w:sz="4" w:space="0"/>
              <w:bottom w:val="single" w:color="auto" w:sz="4" w:space="0"/>
              <w:right w:val="single" w:color="auto" w:sz="4" w:space="0"/>
            </w:tcBorders>
            <w:vAlign w:val="center"/>
          </w:tcPr>
          <w:p w14:paraId="71ADDC0A">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3441" w:type="dxa"/>
            <w:gridSpan w:val="2"/>
            <w:tcBorders>
              <w:top w:val="single" w:color="auto" w:sz="4" w:space="0"/>
              <w:left w:val="single" w:color="auto" w:sz="4" w:space="0"/>
              <w:bottom w:val="single" w:color="auto" w:sz="4" w:space="0"/>
              <w:right w:val="single" w:color="auto" w:sz="4" w:space="0"/>
            </w:tcBorders>
            <w:vAlign w:val="center"/>
          </w:tcPr>
          <w:p w14:paraId="46B9EC32">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998" w:type="dxa"/>
            <w:gridSpan w:val="2"/>
            <w:tcBorders>
              <w:top w:val="single" w:color="auto" w:sz="4" w:space="0"/>
              <w:left w:val="single" w:color="auto" w:sz="4" w:space="0"/>
              <w:bottom w:val="single" w:color="auto" w:sz="4" w:space="0"/>
              <w:right w:val="single" w:color="auto" w:sz="4" w:space="0"/>
            </w:tcBorders>
            <w:vAlign w:val="center"/>
          </w:tcPr>
          <w:p w14:paraId="0E605359">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1367" w:type="dxa"/>
            <w:tcBorders>
              <w:top w:val="single" w:color="auto" w:sz="4" w:space="0"/>
              <w:left w:val="single" w:color="auto" w:sz="4" w:space="0"/>
              <w:bottom w:val="single" w:color="auto" w:sz="4" w:space="0"/>
              <w:right w:val="single" w:color="auto" w:sz="4" w:space="0"/>
            </w:tcBorders>
            <w:vAlign w:val="center"/>
          </w:tcPr>
          <w:p w14:paraId="0E6A9CEC">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r>
      <w:tr w14:paraId="0D1E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527" w:type="dxa"/>
            <w:tcBorders>
              <w:top w:val="single" w:color="auto" w:sz="4" w:space="0"/>
              <w:left w:val="single" w:color="auto" w:sz="4" w:space="0"/>
              <w:bottom w:val="single" w:color="auto" w:sz="4" w:space="0"/>
              <w:right w:val="single" w:color="auto" w:sz="4" w:space="0"/>
            </w:tcBorders>
            <w:vAlign w:val="center"/>
          </w:tcPr>
          <w:p w14:paraId="491319CB">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2294" w:type="dxa"/>
            <w:tcBorders>
              <w:top w:val="single" w:color="auto" w:sz="4" w:space="0"/>
              <w:left w:val="single" w:color="auto" w:sz="4" w:space="0"/>
              <w:bottom w:val="single" w:color="auto" w:sz="4" w:space="0"/>
              <w:right w:val="single" w:color="auto" w:sz="4" w:space="0"/>
            </w:tcBorders>
            <w:vAlign w:val="center"/>
          </w:tcPr>
          <w:p w14:paraId="60F420A5">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3441" w:type="dxa"/>
            <w:gridSpan w:val="2"/>
            <w:tcBorders>
              <w:top w:val="single" w:color="auto" w:sz="4" w:space="0"/>
              <w:left w:val="single" w:color="auto" w:sz="4" w:space="0"/>
              <w:bottom w:val="single" w:color="auto" w:sz="4" w:space="0"/>
              <w:right w:val="single" w:color="auto" w:sz="4" w:space="0"/>
            </w:tcBorders>
            <w:vAlign w:val="center"/>
          </w:tcPr>
          <w:p w14:paraId="1A001AD1">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998" w:type="dxa"/>
            <w:gridSpan w:val="2"/>
            <w:tcBorders>
              <w:top w:val="single" w:color="auto" w:sz="4" w:space="0"/>
              <w:left w:val="single" w:color="auto" w:sz="4" w:space="0"/>
              <w:bottom w:val="single" w:color="auto" w:sz="4" w:space="0"/>
              <w:right w:val="single" w:color="auto" w:sz="4" w:space="0"/>
            </w:tcBorders>
            <w:vAlign w:val="center"/>
          </w:tcPr>
          <w:p w14:paraId="2F20D3E5">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1367" w:type="dxa"/>
            <w:tcBorders>
              <w:top w:val="single" w:color="auto" w:sz="4" w:space="0"/>
              <w:left w:val="single" w:color="auto" w:sz="4" w:space="0"/>
              <w:bottom w:val="single" w:color="auto" w:sz="4" w:space="0"/>
              <w:right w:val="single" w:color="auto" w:sz="4" w:space="0"/>
            </w:tcBorders>
            <w:vAlign w:val="center"/>
          </w:tcPr>
          <w:p w14:paraId="43DE67D1">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r>
      <w:tr w14:paraId="7509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7262" w:type="dxa"/>
            <w:gridSpan w:val="4"/>
            <w:tcBorders>
              <w:top w:val="single" w:color="auto" w:sz="4" w:space="0"/>
              <w:left w:val="single" w:color="auto" w:sz="4" w:space="0"/>
              <w:bottom w:val="single" w:color="auto" w:sz="4" w:space="0"/>
              <w:right w:val="single" w:color="auto" w:sz="4" w:space="0"/>
            </w:tcBorders>
            <w:vAlign w:val="center"/>
          </w:tcPr>
          <w:p w14:paraId="469B59D2">
            <w:pPr>
              <w:widowControl/>
              <w:spacing w:line="320" w:lineRule="atLeast"/>
              <w:ind w:firstLine="5"/>
              <w:jc w:val="center"/>
              <w:rPr>
                <w:rFonts w:ascii="宋体"/>
                <w:color w:val="auto"/>
                <w:kern w:val="0"/>
                <w:szCs w:val="21"/>
                <w:highlight w:val="none"/>
              </w:rPr>
            </w:pPr>
            <w:r>
              <w:rPr>
                <w:rFonts w:hint="eastAsia" w:ascii="宋体" w:hAnsi="宋体" w:cs="宋体"/>
                <w:color w:val="auto"/>
                <w:kern w:val="0"/>
                <w:highlight w:val="none"/>
              </w:rPr>
              <w:t>合</w:t>
            </w:r>
            <w:r>
              <w:rPr>
                <w:rFonts w:ascii="宋体"/>
                <w:color w:val="auto"/>
                <w:kern w:val="0"/>
                <w:highlight w:val="none"/>
              </w:rPr>
              <w:t>       </w:t>
            </w:r>
            <w:r>
              <w:rPr>
                <w:rFonts w:hint="eastAsia" w:ascii="宋体" w:hAnsi="宋体" w:cs="宋体"/>
                <w:color w:val="auto"/>
                <w:kern w:val="0"/>
                <w:highlight w:val="none"/>
              </w:rPr>
              <w:t>计</w:t>
            </w:r>
          </w:p>
        </w:tc>
        <w:tc>
          <w:tcPr>
            <w:tcW w:w="998" w:type="dxa"/>
            <w:gridSpan w:val="2"/>
            <w:tcBorders>
              <w:top w:val="single" w:color="auto" w:sz="4" w:space="0"/>
              <w:left w:val="single" w:color="auto" w:sz="4" w:space="0"/>
              <w:bottom w:val="single" w:color="auto" w:sz="4" w:space="0"/>
              <w:right w:val="single" w:color="auto" w:sz="4" w:space="0"/>
            </w:tcBorders>
            <w:vAlign w:val="center"/>
          </w:tcPr>
          <w:p w14:paraId="409C2CD8">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1367" w:type="dxa"/>
            <w:tcBorders>
              <w:top w:val="single" w:color="auto" w:sz="4" w:space="0"/>
              <w:left w:val="single" w:color="auto" w:sz="4" w:space="0"/>
              <w:bottom w:val="single" w:color="auto" w:sz="4" w:space="0"/>
              <w:right w:val="single" w:color="auto" w:sz="4" w:space="0"/>
            </w:tcBorders>
            <w:vAlign w:val="center"/>
          </w:tcPr>
          <w:p w14:paraId="032E997E">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r>
      <w:tr w14:paraId="08C51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9627" w:type="dxa"/>
            <w:gridSpan w:val="7"/>
            <w:tcBorders>
              <w:top w:val="single" w:color="auto" w:sz="4" w:space="0"/>
              <w:left w:val="single" w:color="auto" w:sz="4" w:space="0"/>
              <w:bottom w:val="single" w:color="auto" w:sz="4" w:space="0"/>
              <w:right w:val="single" w:color="auto" w:sz="4" w:space="0"/>
            </w:tcBorders>
            <w:vAlign w:val="center"/>
          </w:tcPr>
          <w:p w14:paraId="4F7F3FB8">
            <w:pPr>
              <w:widowControl/>
              <w:spacing w:line="320" w:lineRule="atLeast"/>
              <w:ind w:firstLine="2"/>
              <w:jc w:val="left"/>
              <w:rPr>
                <w:rFonts w:ascii="宋体"/>
                <w:color w:val="auto"/>
                <w:kern w:val="0"/>
                <w:szCs w:val="21"/>
                <w:highlight w:val="none"/>
              </w:rPr>
            </w:pPr>
            <w:r>
              <w:rPr>
                <w:rFonts w:hint="eastAsia" w:ascii="宋体" w:hAnsi="宋体" w:cs="宋体"/>
                <w:color w:val="auto"/>
                <w:kern w:val="0"/>
                <w:highlight w:val="none"/>
              </w:rPr>
              <w:t>合计大写金额：</w:t>
            </w:r>
            <w:r>
              <w:rPr>
                <w:rFonts w:ascii="宋体"/>
                <w:color w:val="auto"/>
                <w:kern w:val="0"/>
                <w:highlight w:val="none"/>
              </w:rPr>
              <w:t>  </w:t>
            </w:r>
            <w:r>
              <w:rPr>
                <w:rFonts w:hint="eastAsia" w:ascii="宋体" w:hAnsi="宋体" w:cs="宋体"/>
                <w:color w:val="auto"/>
                <w:kern w:val="0"/>
                <w:highlight w:val="none"/>
              </w:rPr>
              <w:t>仟</w:t>
            </w:r>
            <w:r>
              <w:rPr>
                <w:rFonts w:ascii="宋体"/>
                <w:color w:val="auto"/>
                <w:kern w:val="0"/>
                <w:highlight w:val="none"/>
              </w:rPr>
              <w:t>   </w:t>
            </w:r>
            <w:r>
              <w:rPr>
                <w:rFonts w:hint="eastAsia" w:ascii="宋体" w:hAnsi="宋体" w:cs="宋体"/>
                <w:color w:val="auto"/>
                <w:kern w:val="0"/>
                <w:highlight w:val="none"/>
              </w:rPr>
              <w:t>佰</w:t>
            </w:r>
            <w:r>
              <w:rPr>
                <w:rFonts w:ascii="宋体"/>
                <w:color w:val="auto"/>
                <w:kern w:val="0"/>
                <w:highlight w:val="none"/>
              </w:rPr>
              <w:t>   </w:t>
            </w:r>
            <w:r>
              <w:rPr>
                <w:rFonts w:hint="eastAsia" w:ascii="宋体" w:hAnsi="宋体" w:cs="宋体"/>
                <w:color w:val="auto"/>
                <w:kern w:val="0"/>
                <w:highlight w:val="none"/>
              </w:rPr>
              <w:t>拾</w:t>
            </w:r>
            <w:r>
              <w:rPr>
                <w:rFonts w:ascii="宋体"/>
                <w:color w:val="auto"/>
                <w:kern w:val="0"/>
                <w:highlight w:val="none"/>
              </w:rPr>
              <w:t>   </w:t>
            </w:r>
            <w:r>
              <w:rPr>
                <w:rFonts w:hint="eastAsia" w:ascii="宋体" w:hAnsi="宋体" w:cs="宋体"/>
                <w:color w:val="auto"/>
                <w:kern w:val="0"/>
                <w:highlight w:val="none"/>
              </w:rPr>
              <w:t>万</w:t>
            </w:r>
            <w:r>
              <w:rPr>
                <w:rFonts w:ascii="宋体"/>
                <w:color w:val="auto"/>
                <w:kern w:val="0"/>
                <w:highlight w:val="none"/>
              </w:rPr>
              <w:t>   </w:t>
            </w:r>
            <w:r>
              <w:rPr>
                <w:rFonts w:hint="eastAsia" w:ascii="宋体" w:hAnsi="宋体" w:cs="宋体"/>
                <w:color w:val="auto"/>
                <w:kern w:val="0"/>
                <w:highlight w:val="none"/>
              </w:rPr>
              <w:t>仟</w:t>
            </w:r>
            <w:r>
              <w:rPr>
                <w:rFonts w:ascii="宋体"/>
                <w:color w:val="auto"/>
                <w:kern w:val="0"/>
                <w:highlight w:val="none"/>
              </w:rPr>
              <w:t>   </w:t>
            </w:r>
            <w:r>
              <w:rPr>
                <w:rFonts w:hint="eastAsia" w:ascii="宋体" w:hAnsi="宋体" w:cs="宋体"/>
                <w:color w:val="auto"/>
                <w:kern w:val="0"/>
                <w:highlight w:val="none"/>
              </w:rPr>
              <w:t>佰</w:t>
            </w:r>
            <w:r>
              <w:rPr>
                <w:rFonts w:ascii="宋体"/>
                <w:color w:val="auto"/>
                <w:kern w:val="0"/>
                <w:highlight w:val="none"/>
              </w:rPr>
              <w:t>   </w:t>
            </w:r>
            <w:r>
              <w:rPr>
                <w:rFonts w:hint="eastAsia" w:ascii="宋体" w:hAnsi="宋体" w:cs="宋体"/>
                <w:color w:val="auto"/>
                <w:kern w:val="0"/>
                <w:highlight w:val="none"/>
              </w:rPr>
              <w:t>拾</w:t>
            </w:r>
            <w:r>
              <w:rPr>
                <w:rFonts w:ascii="宋体"/>
                <w:color w:val="auto"/>
                <w:kern w:val="0"/>
                <w:highlight w:val="none"/>
              </w:rPr>
              <w:t>   </w:t>
            </w:r>
            <w:r>
              <w:rPr>
                <w:rFonts w:hint="eastAsia" w:ascii="宋体" w:hAnsi="宋体" w:cs="宋体"/>
                <w:color w:val="auto"/>
                <w:kern w:val="0"/>
                <w:highlight w:val="none"/>
              </w:rPr>
              <w:t>元</w:t>
            </w:r>
          </w:p>
        </w:tc>
      </w:tr>
      <w:tr w14:paraId="05B1F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527" w:type="dxa"/>
            <w:tcBorders>
              <w:top w:val="single" w:color="auto" w:sz="4" w:space="0"/>
              <w:left w:val="single" w:color="auto" w:sz="4" w:space="0"/>
              <w:bottom w:val="single" w:color="auto" w:sz="4" w:space="0"/>
              <w:right w:val="single" w:color="auto" w:sz="4" w:space="0"/>
            </w:tcBorders>
            <w:vAlign w:val="center"/>
          </w:tcPr>
          <w:p w14:paraId="6FFAAA75">
            <w:pPr>
              <w:widowControl/>
              <w:spacing w:line="320" w:lineRule="atLeast"/>
              <w:ind w:firstLine="2"/>
              <w:jc w:val="left"/>
              <w:rPr>
                <w:rFonts w:ascii="宋体"/>
                <w:color w:val="auto"/>
                <w:kern w:val="0"/>
                <w:szCs w:val="21"/>
                <w:highlight w:val="none"/>
              </w:rPr>
            </w:pPr>
            <w:r>
              <w:rPr>
                <w:rFonts w:hint="eastAsia" w:ascii="宋体" w:hAnsi="宋体" w:cs="宋体"/>
                <w:color w:val="auto"/>
                <w:kern w:val="0"/>
                <w:highlight w:val="none"/>
              </w:rPr>
              <w:t>实际供货日期</w:t>
            </w: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3E3E26A2">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7BC36D25">
            <w:pPr>
              <w:widowControl/>
              <w:spacing w:line="320" w:lineRule="atLeast"/>
              <w:ind w:firstLine="46"/>
              <w:jc w:val="center"/>
              <w:rPr>
                <w:rFonts w:ascii="宋体"/>
                <w:color w:val="auto"/>
                <w:kern w:val="0"/>
                <w:szCs w:val="21"/>
                <w:highlight w:val="none"/>
              </w:rPr>
            </w:pPr>
            <w:r>
              <w:rPr>
                <w:rFonts w:hint="eastAsia" w:ascii="宋体" w:hAnsi="宋体" w:cs="宋体"/>
                <w:color w:val="auto"/>
                <w:kern w:val="0"/>
                <w:highlight w:val="none"/>
              </w:rPr>
              <w:t>合同交货验收日期</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3B79FB72">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r>
      <w:tr w14:paraId="1FF6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 w:hRule="atLeast"/>
          <w:jc w:val="center"/>
        </w:trPr>
        <w:tc>
          <w:tcPr>
            <w:tcW w:w="1527" w:type="dxa"/>
            <w:tcBorders>
              <w:top w:val="single" w:color="auto" w:sz="4" w:space="0"/>
              <w:left w:val="single" w:color="auto" w:sz="4" w:space="0"/>
              <w:bottom w:val="single" w:color="auto" w:sz="4" w:space="0"/>
              <w:right w:val="single" w:color="auto" w:sz="4" w:space="0"/>
            </w:tcBorders>
            <w:vAlign w:val="center"/>
          </w:tcPr>
          <w:p w14:paraId="23434DD0">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3240" w:type="dxa"/>
            <w:gridSpan w:val="2"/>
            <w:tcBorders>
              <w:top w:val="single" w:color="auto" w:sz="4" w:space="0"/>
              <w:left w:val="single" w:color="auto" w:sz="4" w:space="0"/>
              <w:bottom w:val="single" w:color="auto" w:sz="4" w:space="0"/>
              <w:right w:val="single" w:color="auto" w:sz="4" w:space="0"/>
            </w:tcBorders>
            <w:vAlign w:val="center"/>
          </w:tcPr>
          <w:p w14:paraId="5709CFA2">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0D2E2DEF">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23795124">
            <w:pPr>
              <w:widowControl/>
              <w:spacing w:line="320" w:lineRule="atLeast"/>
              <w:ind w:firstLine="480"/>
              <w:jc w:val="left"/>
              <w:rPr>
                <w:rFonts w:ascii="宋体"/>
                <w:color w:val="auto"/>
                <w:kern w:val="0"/>
                <w:szCs w:val="21"/>
                <w:highlight w:val="none"/>
              </w:rPr>
            </w:pPr>
            <w:r>
              <w:rPr>
                <w:rFonts w:ascii="宋体"/>
                <w:color w:val="auto"/>
                <w:kern w:val="0"/>
                <w:highlight w:val="none"/>
              </w:rPr>
              <w:t> </w:t>
            </w:r>
          </w:p>
        </w:tc>
      </w:tr>
      <w:tr w14:paraId="5D4B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152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228D6F6">
            <w:pPr>
              <w:widowControl/>
              <w:spacing w:line="320" w:lineRule="atLeast"/>
              <w:jc w:val="left"/>
              <w:rPr>
                <w:rFonts w:ascii="宋体"/>
                <w:color w:val="auto"/>
                <w:kern w:val="0"/>
                <w:szCs w:val="21"/>
                <w:highlight w:val="none"/>
              </w:rPr>
            </w:pPr>
            <w:r>
              <w:rPr>
                <w:rFonts w:hint="eastAsia" w:ascii="宋体" w:hAnsi="宋体" w:cs="宋体"/>
                <w:color w:val="auto"/>
                <w:kern w:val="0"/>
                <w:highlight w:val="none"/>
              </w:rPr>
              <w:t>验收具体内容</w:t>
            </w:r>
          </w:p>
        </w:tc>
        <w:tc>
          <w:tcPr>
            <w:tcW w:w="8100" w:type="dxa"/>
            <w:gridSpan w:val="6"/>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0E7E087">
            <w:pPr>
              <w:widowControl/>
              <w:spacing w:line="320" w:lineRule="atLeast"/>
              <w:jc w:val="left"/>
              <w:rPr>
                <w:rFonts w:ascii="宋体" w:hAnsi="宋体" w:cs="宋体"/>
                <w:color w:val="auto"/>
                <w:kern w:val="0"/>
                <w:szCs w:val="21"/>
                <w:highlight w:val="none"/>
              </w:rPr>
            </w:pPr>
            <w:r>
              <w:rPr>
                <w:rFonts w:hint="eastAsia" w:ascii="宋体" w:hAnsi="宋体" w:cs="宋体"/>
                <w:color w:val="auto"/>
                <w:kern w:val="0"/>
                <w:highlight w:val="none"/>
              </w:rPr>
              <w:t>（应按采购合同、招标文件、投标响应文件及验收方案等进行验收；并核对中标或者成交供应商在安装调试等方面是否违反合同约定或服务规范要求、提供的质量保证证明材料是否齐全、应有的配件及附件是否达到合同约定等。可附件）</w:t>
            </w:r>
          </w:p>
        </w:tc>
      </w:tr>
      <w:tr w14:paraId="0E23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152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AF91BCF">
            <w:pPr>
              <w:widowControl/>
              <w:spacing w:line="320" w:lineRule="atLeast"/>
              <w:jc w:val="left"/>
              <w:rPr>
                <w:rFonts w:ascii="宋体"/>
                <w:color w:val="auto"/>
                <w:kern w:val="0"/>
                <w:szCs w:val="21"/>
                <w:highlight w:val="none"/>
              </w:rPr>
            </w:pPr>
            <w:r>
              <w:rPr>
                <w:rFonts w:hint="eastAsia" w:ascii="宋体" w:hAnsi="宋体" w:cs="宋体"/>
                <w:color w:val="auto"/>
                <w:kern w:val="0"/>
                <w:highlight w:val="none"/>
              </w:rPr>
              <w:t>验收小组意见</w:t>
            </w:r>
          </w:p>
        </w:tc>
        <w:tc>
          <w:tcPr>
            <w:tcW w:w="8100" w:type="dxa"/>
            <w:gridSpan w:val="6"/>
            <w:tcBorders>
              <w:top w:val="single" w:color="auto" w:sz="4" w:space="0"/>
              <w:left w:val="single" w:color="auto" w:sz="4" w:space="0"/>
              <w:bottom w:val="single" w:color="auto" w:sz="4" w:space="0"/>
              <w:right w:val="single" w:color="auto" w:sz="4" w:space="0"/>
            </w:tcBorders>
            <w:vAlign w:val="center"/>
          </w:tcPr>
          <w:p w14:paraId="7569661A">
            <w:pPr>
              <w:widowControl/>
              <w:spacing w:line="320" w:lineRule="atLeast"/>
              <w:jc w:val="left"/>
              <w:rPr>
                <w:rFonts w:ascii="宋体" w:hAnsi="Calibri"/>
                <w:color w:val="auto"/>
                <w:kern w:val="0"/>
                <w:szCs w:val="21"/>
                <w:highlight w:val="none"/>
              </w:rPr>
            </w:pPr>
            <w:r>
              <w:rPr>
                <w:rFonts w:ascii="宋体"/>
                <w:color w:val="auto"/>
                <w:kern w:val="0"/>
                <w:highlight w:val="none"/>
              </w:rPr>
              <w:t> </w:t>
            </w:r>
            <w:r>
              <w:rPr>
                <w:rFonts w:hint="eastAsia" w:ascii="宋体" w:hAnsi="宋体" w:cs="宋体"/>
                <w:color w:val="auto"/>
                <w:kern w:val="0"/>
                <w:highlight w:val="none"/>
              </w:rPr>
              <w:t>验收结论性意见：</w:t>
            </w:r>
          </w:p>
          <w:p w14:paraId="42841E7E">
            <w:pPr>
              <w:widowControl/>
              <w:spacing w:line="320" w:lineRule="atLeast"/>
              <w:jc w:val="left"/>
              <w:rPr>
                <w:rFonts w:ascii="宋体"/>
                <w:color w:val="auto"/>
                <w:kern w:val="0"/>
                <w:szCs w:val="21"/>
                <w:highlight w:val="none"/>
              </w:rPr>
            </w:pPr>
            <w:r>
              <w:rPr>
                <w:rFonts w:ascii="宋体"/>
                <w:color w:val="auto"/>
                <w:kern w:val="0"/>
                <w:highlight w:val="none"/>
              </w:rPr>
              <w:t> </w:t>
            </w:r>
          </w:p>
        </w:tc>
      </w:tr>
      <w:tr w14:paraId="6868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0EA64A3">
            <w:pPr>
              <w:widowControl/>
              <w:jc w:val="left"/>
              <w:rPr>
                <w:rFonts w:ascii="宋体"/>
                <w:color w:val="auto"/>
                <w:kern w:val="0"/>
                <w:szCs w:val="21"/>
                <w:highlight w:val="none"/>
              </w:rPr>
            </w:pPr>
          </w:p>
        </w:tc>
        <w:tc>
          <w:tcPr>
            <w:tcW w:w="8100" w:type="dxa"/>
            <w:gridSpan w:val="6"/>
            <w:tcBorders>
              <w:top w:val="single" w:color="auto" w:sz="4" w:space="0"/>
              <w:left w:val="single" w:color="auto" w:sz="4" w:space="0"/>
              <w:bottom w:val="single" w:color="auto" w:sz="4" w:space="0"/>
              <w:right w:val="single" w:color="auto" w:sz="4" w:space="0"/>
            </w:tcBorders>
            <w:vAlign w:val="center"/>
          </w:tcPr>
          <w:p w14:paraId="5D70A2C1">
            <w:pPr>
              <w:widowControl/>
              <w:spacing w:line="320" w:lineRule="atLeast"/>
              <w:ind w:firstLine="96"/>
              <w:jc w:val="left"/>
              <w:rPr>
                <w:rFonts w:ascii="宋体" w:hAnsi="Calibri"/>
                <w:color w:val="auto"/>
                <w:kern w:val="0"/>
                <w:szCs w:val="21"/>
                <w:highlight w:val="none"/>
              </w:rPr>
            </w:pPr>
            <w:r>
              <w:rPr>
                <w:rFonts w:hint="eastAsia" w:ascii="宋体" w:hAnsi="宋体" w:cs="宋体"/>
                <w:color w:val="auto"/>
                <w:kern w:val="0"/>
                <w:highlight w:val="none"/>
              </w:rPr>
              <w:t>有异议的意见和说明理由：</w:t>
            </w:r>
          </w:p>
          <w:p w14:paraId="07C74486">
            <w:pPr>
              <w:widowControl/>
              <w:spacing w:line="320" w:lineRule="atLeast"/>
              <w:jc w:val="left"/>
              <w:rPr>
                <w:rFonts w:ascii="宋体"/>
                <w:color w:val="auto"/>
                <w:kern w:val="0"/>
                <w:szCs w:val="21"/>
                <w:highlight w:val="none"/>
              </w:rPr>
            </w:pPr>
            <w:r>
              <w:rPr>
                <w:rFonts w:ascii="宋体"/>
                <w:color w:val="auto"/>
                <w:kern w:val="0"/>
                <w:highlight w:val="none"/>
              </w:rPr>
              <w:t>        </w:t>
            </w:r>
            <w:r>
              <w:rPr>
                <w:rFonts w:hint="eastAsia" w:ascii="宋体" w:hAnsi="宋体" w:cs="宋体"/>
                <w:color w:val="auto"/>
                <w:kern w:val="0"/>
                <w:highlight w:val="none"/>
              </w:rPr>
              <w:t xml:space="preserve">                              签字：</w:t>
            </w:r>
          </w:p>
        </w:tc>
      </w:tr>
      <w:tr w14:paraId="5034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9627" w:type="dxa"/>
            <w:gridSpan w:val="7"/>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82A4E1">
            <w:pPr>
              <w:widowControl/>
              <w:spacing w:line="320" w:lineRule="atLeast"/>
              <w:jc w:val="left"/>
              <w:rPr>
                <w:rFonts w:ascii="宋体"/>
                <w:color w:val="auto"/>
                <w:kern w:val="0"/>
                <w:szCs w:val="21"/>
                <w:highlight w:val="none"/>
              </w:rPr>
            </w:pPr>
            <w:r>
              <w:rPr>
                <w:rFonts w:hint="eastAsia" w:ascii="宋体" w:hAnsi="宋体" w:cs="宋体"/>
                <w:color w:val="auto"/>
                <w:kern w:val="0"/>
                <w:highlight w:val="none"/>
              </w:rPr>
              <w:t>验收小组成员签字：</w:t>
            </w:r>
          </w:p>
        </w:tc>
      </w:tr>
      <w:tr w14:paraId="6B7A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9627" w:type="dxa"/>
            <w:gridSpan w:val="7"/>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DF934F">
            <w:pPr>
              <w:widowControl/>
              <w:spacing w:line="320" w:lineRule="atLeast"/>
              <w:jc w:val="left"/>
              <w:rPr>
                <w:rFonts w:ascii="宋体" w:hAnsi="Calibri"/>
                <w:color w:val="auto"/>
                <w:kern w:val="0"/>
                <w:szCs w:val="21"/>
                <w:highlight w:val="none"/>
              </w:rPr>
            </w:pPr>
            <w:r>
              <w:rPr>
                <w:rFonts w:hint="eastAsia" w:ascii="宋体" w:hAnsi="宋体" w:cs="宋体"/>
                <w:color w:val="auto"/>
                <w:kern w:val="0"/>
                <w:highlight w:val="none"/>
              </w:rPr>
              <w:t>监督人员或其他相关人员签字：</w:t>
            </w:r>
          </w:p>
          <w:p w14:paraId="70BB0CDE">
            <w:pPr>
              <w:widowControl/>
              <w:spacing w:line="320" w:lineRule="atLeast"/>
              <w:ind w:firstLine="74"/>
              <w:jc w:val="left"/>
              <w:rPr>
                <w:rFonts w:ascii="宋体"/>
                <w:color w:val="auto"/>
                <w:kern w:val="0"/>
                <w:szCs w:val="21"/>
                <w:highlight w:val="none"/>
              </w:rPr>
            </w:pPr>
            <w:r>
              <w:rPr>
                <w:rFonts w:hint="eastAsia" w:ascii="宋体" w:hAnsi="宋体" w:cs="宋体"/>
                <w:color w:val="auto"/>
                <w:kern w:val="0"/>
                <w:highlight w:val="none"/>
              </w:rPr>
              <w:t>或受邀机构的意见（盖章）：</w:t>
            </w:r>
          </w:p>
        </w:tc>
      </w:tr>
      <w:tr w14:paraId="60A0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4767"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E477DF3">
            <w:pPr>
              <w:widowControl/>
              <w:spacing w:line="320" w:lineRule="atLeast"/>
              <w:ind w:firstLine="74"/>
              <w:jc w:val="left"/>
              <w:rPr>
                <w:rFonts w:ascii="宋体" w:hAnsi="Calibri"/>
                <w:color w:val="auto"/>
                <w:kern w:val="0"/>
                <w:szCs w:val="21"/>
                <w:highlight w:val="none"/>
              </w:rPr>
            </w:pPr>
            <w:r>
              <w:rPr>
                <w:rFonts w:hint="eastAsia" w:ascii="宋体" w:hAnsi="宋体" w:cs="宋体"/>
                <w:color w:val="auto"/>
                <w:kern w:val="0"/>
                <w:highlight w:val="none"/>
              </w:rPr>
              <w:t>中标或者成交供应商负责人签字或盖章：</w:t>
            </w:r>
          </w:p>
          <w:p w14:paraId="4AF26E3E">
            <w:pPr>
              <w:widowControl/>
              <w:spacing w:line="320" w:lineRule="atLeast"/>
              <w:jc w:val="left"/>
              <w:rPr>
                <w:rFonts w:ascii="宋体"/>
                <w:color w:val="auto"/>
                <w:kern w:val="0"/>
                <w:szCs w:val="21"/>
                <w:highlight w:val="none"/>
              </w:rPr>
            </w:pPr>
            <w:r>
              <w:rPr>
                <w:rFonts w:hint="eastAsia" w:ascii="宋体" w:hAnsi="宋体" w:cs="宋体"/>
                <w:color w:val="auto"/>
                <w:kern w:val="0"/>
                <w:highlight w:val="none"/>
              </w:rPr>
              <w:t>联系电话：</w:t>
            </w:r>
            <w:r>
              <w:rPr>
                <w:rFonts w:ascii="宋体"/>
                <w:color w:val="auto"/>
                <w:kern w:val="0"/>
                <w:highlight w:val="none"/>
              </w:rPr>
              <w:t>        </w:t>
            </w:r>
            <w:r>
              <w:rPr>
                <w:rFonts w:hint="eastAsia" w:ascii="宋体" w:hAnsi="宋体" w:cs="宋体"/>
                <w:color w:val="auto"/>
                <w:kern w:val="0"/>
                <w:highlight w:val="none"/>
              </w:rPr>
              <w:t xml:space="preserve">年  </w:t>
            </w:r>
            <w:r>
              <w:rPr>
                <w:rFonts w:ascii="宋体"/>
                <w:color w:val="auto"/>
                <w:kern w:val="0"/>
                <w:highlight w:val="none"/>
              </w:rPr>
              <w:t> </w:t>
            </w:r>
            <w:r>
              <w:rPr>
                <w:rFonts w:hint="eastAsia" w:ascii="宋体" w:hAnsi="宋体" w:cs="宋体"/>
                <w:color w:val="auto"/>
                <w:kern w:val="0"/>
                <w:highlight w:val="none"/>
              </w:rPr>
              <w:t xml:space="preserve">月  </w:t>
            </w:r>
            <w:r>
              <w:rPr>
                <w:rFonts w:ascii="宋体"/>
                <w:color w:val="auto"/>
                <w:kern w:val="0"/>
                <w:highlight w:val="none"/>
              </w:rPr>
              <w:t> </w:t>
            </w:r>
            <w:r>
              <w:rPr>
                <w:rFonts w:hint="eastAsia" w:ascii="宋体" w:hAnsi="宋体" w:cs="宋体"/>
                <w:color w:val="auto"/>
                <w:kern w:val="0"/>
                <w:highlight w:val="none"/>
              </w:rPr>
              <w:t>日</w:t>
            </w:r>
          </w:p>
        </w:tc>
        <w:tc>
          <w:tcPr>
            <w:tcW w:w="4860" w:type="dxa"/>
            <w:gridSpan w:val="4"/>
            <w:tcBorders>
              <w:top w:val="single" w:color="auto" w:sz="4" w:space="0"/>
              <w:left w:val="single" w:color="auto" w:sz="4" w:space="0"/>
              <w:bottom w:val="single" w:color="auto" w:sz="4" w:space="0"/>
              <w:right w:val="single" w:color="auto" w:sz="4" w:space="0"/>
            </w:tcBorders>
            <w:vAlign w:val="center"/>
          </w:tcPr>
          <w:p w14:paraId="1F2E8060">
            <w:pPr>
              <w:widowControl/>
              <w:spacing w:line="320" w:lineRule="atLeast"/>
              <w:jc w:val="left"/>
              <w:rPr>
                <w:rFonts w:ascii="宋体" w:hAnsi="Calibri"/>
                <w:color w:val="auto"/>
                <w:kern w:val="0"/>
                <w:szCs w:val="21"/>
                <w:highlight w:val="none"/>
              </w:rPr>
            </w:pPr>
            <w:r>
              <w:rPr>
                <w:rFonts w:ascii="宋体"/>
                <w:color w:val="auto"/>
                <w:kern w:val="0"/>
                <w:highlight w:val="none"/>
              </w:rPr>
              <w:t> </w:t>
            </w:r>
            <w:r>
              <w:rPr>
                <w:rFonts w:hint="eastAsia" w:ascii="宋体" w:hAnsi="宋体" w:cs="宋体"/>
                <w:color w:val="auto"/>
                <w:kern w:val="0"/>
                <w:highlight w:val="none"/>
              </w:rPr>
              <w:t>采购人或受托机构的意见（盖章）：</w:t>
            </w:r>
          </w:p>
          <w:p w14:paraId="438CF0AF">
            <w:pPr>
              <w:widowControl/>
              <w:spacing w:line="320" w:lineRule="atLeast"/>
              <w:jc w:val="left"/>
              <w:rPr>
                <w:rFonts w:ascii="宋体"/>
                <w:color w:val="auto"/>
                <w:kern w:val="0"/>
                <w:szCs w:val="21"/>
                <w:highlight w:val="none"/>
              </w:rPr>
            </w:pPr>
            <w:r>
              <w:rPr>
                <w:rFonts w:hint="eastAsia" w:ascii="宋体" w:hAnsi="宋体" w:cs="宋体"/>
                <w:color w:val="auto"/>
                <w:kern w:val="0"/>
                <w:highlight w:val="none"/>
              </w:rPr>
              <w:t>联系电话：</w:t>
            </w:r>
            <w:r>
              <w:rPr>
                <w:rFonts w:ascii="宋体"/>
                <w:color w:val="auto"/>
                <w:kern w:val="0"/>
                <w:highlight w:val="none"/>
              </w:rPr>
              <w:t>                 </w:t>
            </w:r>
            <w:r>
              <w:rPr>
                <w:rFonts w:hint="eastAsia" w:ascii="宋体" w:hAnsi="宋体" w:cs="宋体"/>
                <w:color w:val="auto"/>
                <w:kern w:val="0"/>
                <w:highlight w:val="none"/>
              </w:rPr>
              <w:t>年</w:t>
            </w:r>
            <w:r>
              <w:rPr>
                <w:rFonts w:ascii="宋体"/>
                <w:color w:val="auto"/>
                <w:kern w:val="0"/>
                <w:highlight w:val="none"/>
              </w:rPr>
              <w:t>  </w:t>
            </w:r>
            <w:r>
              <w:rPr>
                <w:rFonts w:hint="eastAsia" w:ascii="宋体"/>
                <w:color w:val="auto"/>
                <w:kern w:val="0"/>
                <w:highlight w:val="none"/>
              </w:rPr>
              <w:t xml:space="preserve"> </w:t>
            </w:r>
            <w:r>
              <w:rPr>
                <w:rFonts w:ascii="宋体"/>
                <w:color w:val="auto"/>
                <w:kern w:val="0"/>
                <w:highlight w:val="none"/>
              </w:rPr>
              <w:t> </w:t>
            </w:r>
            <w:r>
              <w:rPr>
                <w:rFonts w:hint="eastAsia" w:ascii="宋体" w:hAnsi="宋体" w:cs="宋体"/>
                <w:color w:val="auto"/>
                <w:kern w:val="0"/>
                <w:highlight w:val="none"/>
              </w:rPr>
              <w:t>月</w:t>
            </w:r>
            <w:r>
              <w:rPr>
                <w:rFonts w:ascii="宋体"/>
                <w:color w:val="auto"/>
                <w:kern w:val="0"/>
                <w:highlight w:val="none"/>
              </w:rPr>
              <w:t>   </w:t>
            </w:r>
            <w:r>
              <w:rPr>
                <w:rFonts w:hint="eastAsia" w:ascii="宋体"/>
                <w:color w:val="auto"/>
                <w:kern w:val="0"/>
                <w:highlight w:val="none"/>
              </w:rPr>
              <w:t xml:space="preserve"> </w:t>
            </w:r>
            <w:r>
              <w:rPr>
                <w:rFonts w:hint="eastAsia" w:ascii="宋体" w:hAnsi="宋体" w:cs="宋体"/>
                <w:color w:val="auto"/>
                <w:kern w:val="0"/>
                <w:highlight w:val="none"/>
              </w:rPr>
              <w:t>日</w:t>
            </w:r>
          </w:p>
        </w:tc>
      </w:tr>
    </w:tbl>
    <w:p w14:paraId="6D6D888B">
      <w:pPr>
        <w:snapToGrid w:val="0"/>
        <w:spacing w:line="340" w:lineRule="exact"/>
        <w:rPr>
          <w:rFonts w:ascii="宋体" w:hAnsi="宋体" w:cs="宋体"/>
          <w:b/>
          <w:color w:val="auto"/>
          <w:highlight w:val="none"/>
        </w:rPr>
      </w:pPr>
    </w:p>
    <w:p w14:paraId="09FFFEE4">
      <w:pPr>
        <w:snapToGrid w:val="0"/>
        <w:spacing w:line="340" w:lineRule="exact"/>
        <w:rPr>
          <w:rFonts w:ascii="宋体" w:hAnsi="宋体" w:cs="宋体"/>
          <w:b/>
          <w:color w:val="auto"/>
          <w:highlight w:val="none"/>
        </w:rPr>
      </w:pPr>
    </w:p>
    <w:p w14:paraId="67A7AB1A">
      <w:pPr>
        <w:pStyle w:val="26"/>
        <w:snapToGrid w:val="0"/>
        <w:spacing w:line="340" w:lineRule="exact"/>
        <w:rPr>
          <w:rFonts w:hAnsi="宋体" w:cs="宋体"/>
          <w:b/>
          <w:color w:val="auto"/>
          <w:sz w:val="24"/>
          <w:szCs w:val="24"/>
          <w:highlight w:val="none"/>
        </w:rPr>
      </w:pPr>
    </w:p>
    <w:p w14:paraId="275EE856">
      <w:pPr>
        <w:pStyle w:val="26"/>
        <w:snapToGrid w:val="0"/>
        <w:spacing w:line="340" w:lineRule="exact"/>
        <w:rPr>
          <w:rFonts w:hAnsi="宋体" w:cs="宋体"/>
          <w:b/>
          <w:color w:val="auto"/>
          <w:sz w:val="24"/>
          <w:szCs w:val="24"/>
          <w:highlight w:val="none"/>
        </w:rPr>
      </w:pPr>
      <w:r>
        <w:rPr>
          <w:rFonts w:hint="eastAsia" w:hAnsi="宋体" w:cs="宋体"/>
          <w:b/>
          <w:color w:val="auto"/>
          <w:sz w:val="24"/>
          <w:szCs w:val="24"/>
          <w:highlight w:val="none"/>
        </w:rPr>
        <w:t>附表4：</w:t>
      </w:r>
    </w:p>
    <w:p w14:paraId="3E70E346">
      <w:pPr>
        <w:widowControl/>
        <w:jc w:val="left"/>
        <w:rPr>
          <w:rFonts w:ascii="宋体" w:hAnsi="宋体" w:cs="宋体"/>
          <w:color w:val="auto"/>
          <w:kern w:val="0"/>
          <w:sz w:val="24"/>
          <w:highlight w:val="none"/>
        </w:rPr>
      </w:pPr>
      <w:r>
        <w:rPr>
          <w:rFonts w:ascii="宋体" w:hAnsi="宋体" w:cs="宋体"/>
          <w:color w:val="auto"/>
          <w:kern w:val="0"/>
          <w:sz w:val="24"/>
          <w:highlight w:val="none"/>
        </w:rPr>
        <w:drawing>
          <wp:inline distT="0" distB="0" distL="114300" distR="114300">
            <wp:extent cx="5928360" cy="5829300"/>
            <wp:effectExtent l="0" t="0" r="1524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5928360" cy="5829300"/>
                    </a:xfrm>
                    <a:prstGeom prst="rect">
                      <a:avLst/>
                    </a:prstGeom>
                    <a:noFill/>
                    <a:ln>
                      <a:noFill/>
                    </a:ln>
                  </pic:spPr>
                </pic:pic>
              </a:graphicData>
            </a:graphic>
          </wp:inline>
        </w:drawing>
      </w:r>
    </w:p>
    <w:p w14:paraId="44BBB714">
      <w:pPr>
        <w:spacing w:line="360" w:lineRule="exact"/>
        <w:ind w:firstLine="480"/>
        <w:jc w:val="center"/>
        <w:rPr>
          <w:rFonts w:ascii="宋体" w:hAnsi="宋体"/>
          <w:b/>
          <w:color w:val="auto"/>
          <w:sz w:val="32"/>
          <w:szCs w:val="32"/>
          <w:highlight w:val="none"/>
        </w:rPr>
      </w:pPr>
    </w:p>
    <w:p w14:paraId="39DA3430">
      <w:pPr>
        <w:spacing w:line="360" w:lineRule="exact"/>
        <w:ind w:firstLine="643"/>
        <w:jc w:val="center"/>
        <w:rPr>
          <w:rFonts w:ascii="宋体" w:hAnsi="宋体"/>
          <w:b/>
          <w:color w:val="auto"/>
          <w:sz w:val="32"/>
          <w:szCs w:val="32"/>
          <w:highlight w:val="none"/>
        </w:rPr>
      </w:pPr>
    </w:p>
    <w:p w14:paraId="1B8D2E04">
      <w:pPr>
        <w:spacing w:line="360" w:lineRule="exact"/>
        <w:ind w:firstLine="643"/>
        <w:jc w:val="center"/>
        <w:rPr>
          <w:rFonts w:ascii="宋体" w:hAnsi="宋体"/>
          <w:b/>
          <w:color w:val="auto"/>
          <w:sz w:val="32"/>
          <w:szCs w:val="32"/>
          <w:highlight w:val="none"/>
        </w:rPr>
      </w:pPr>
    </w:p>
    <w:p w14:paraId="13F3F8EA">
      <w:pPr>
        <w:spacing w:line="360" w:lineRule="exact"/>
        <w:ind w:firstLine="643"/>
        <w:jc w:val="center"/>
        <w:rPr>
          <w:rFonts w:ascii="宋体" w:hAnsi="宋体"/>
          <w:b/>
          <w:color w:val="auto"/>
          <w:sz w:val="32"/>
          <w:szCs w:val="32"/>
          <w:highlight w:val="none"/>
        </w:rPr>
      </w:pPr>
    </w:p>
    <w:p w14:paraId="3967ED68">
      <w:pPr>
        <w:spacing w:line="360" w:lineRule="exact"/>
        <w:ind w:firstLine="643"/>
        <w:jc w:val="center"/>
        <w:rPr>
          <w:rFonts w:ascii="宋体" w:hAnsi="宋体"/>
          <w:b/>
          <w:color w:val="auto"/>
          <w:sz w:val="32"/>
          <w:szCs w:val="32"/>
          <w:highlight w:val="none"/>
        </w:rPr>
      </w:pPr>
    </w:p>
    <w:p w14:paraId="56823304">
      <w:pPr>
        <w:spacing w:line="360" w:lineRule="exact"/>
        <w:ind w:firstLine="643"/>
        <w:jc w:val="center"/>
        <w:rPr>
          <w:rFonts w:ascii="宋体" w:hAnsi="宋体"/>
          <w:b/>
          <w:color w:val="auto"/>
          <w:sz w:val="32"/>
          <w:szCs w:val="32"/>
          <w:highlight w:val="none"/>
        </w:rPr>
      </w:pPr>
    </w:p>
    <w:p w14:paraId="07DEF361">
      <w:pPr>
        <w:spacing w:line="360" w:lineRule="exact"/>
        <w:ind w:firstLine="643"/>
        <w:jc w:val="center"/>
        <w:rPr>
          <w:rFonts w:ascii="宋体" w:hAnsi="宋体"/>
          <w:b/>
          <w:color w:val="auto"/>
          <w:sz w:val="32"/>
          <w:szCs w:val="32"/>
          <w:highlight w:val="none"/>
        </w:rPr>
      </w:pPr>
    </w:p>
    <w:p w14:paraId="212E93FF">
      <w:pPr>
        <w:spacing w:line="360" w:lineRule="exact"/>
        <w:ind w:firstLine="643"/>
        <w:jc w:val="center"/>
        <w:rPr>
          <w:rFonts w:ascii="宋体" w:hAnsi="宋体"/>
          <w:b/>
          <w:color w:val="auto"/>
          <w:sz w:val="32"/>
          <w:szCs w:val="32"/>
          <w:highlight w:val="none"/>
        </w:rPr>
      </w:pPr>
    </w:p>
    <w:p w14:paraId="20F5D085">
      <w:pPr>
        <w:spacing w:line="360" w:lineRule="exact"/>
        <w:ind w:firstLine="643"/>
        <w:jc w:val="center"/>
        <w:rPr>
          <w:rFonts w:ascii="宋体" w:hAnsi="宋体"/>
          <w:b/>
          <w:color w:val="auto"/>
          <w:sz w:val="32"/>
          <w:szCs w:val="32"/>
          <w:highlight w:val="none"/>
        </w:rPr>
      </w:pPr>
    </w:p>
    <w:p w14:paraId="4A53900E">
      <w:pPr>
        <w:spacing w:line="360" w:lineRule="exact"/>
        <w:ind w:firstLine="643"/>
        <w:jc w:val="center"/>
        <w:rPr>
          <w:rFonts w:ascii="宋体" w:hAnsi="宋体"/>
          <w:b/>
          <w:color w:val="auto"/>
          <w:sz w:val="32"/>
          <w:szCs w:val="32"/>
          <w:highlight w:val="none"/>
        </w:rPr>
      </w:pPr>
    </w:p>
    <w:p w14:paraId="6EDEB4DC">
      <w:pPr>
        <w:spacing w:line="360" w:lineRule="exact"/>
        <w:ind w:firstLine="643"/>
        <w:jc w:val="center"/>
        <w:rPr>
          <w:rFonts w:ascii="宋体" w:hAnsi="宋体"/>
          <w:b/>
          <w:color w:val="auto"/>
          <w:sz w:val="32"/>
          <w:szCs w:val="32"/>
          <w:highlight w:val="none"/>
        </w:rPr>
      </w:pPr>
    </w:p>
    <w:p w14:paraId="086CDD1B">
      <w:pPr>
        <w:spacing w:line="360" w:lineRule="exact"/>
        <w:ind w:firstLine="643"/>
        <w:jc w:val="center"/>
        <w:rPr>
          <w:rFonts w:ascii="宋体" w:hAnsi="宋体"/>
          <w:b/>
          <w:color w:val="auto"/>
          <w:sz w:val="32"/>
          <w:szCs w:val="32"/>
          <w:highlight w:val="none"/>
        </w:rPr>
      </w:pPr>
    </w:p>
    <w:p w14:paraId="2EFD0E0A">
      <w:pPr>
        <w:spacing w:line="360" w:lineRule="exact"/>
        <w:jc w:val="center"/>
        <w:rPr>
          <w:rFonts w:ascii="宋体" w:hAnsi="宋体"/>
          <w:b/>
          <w:color w:val="auto"/>
          <w:sz w:val="32"/>
          <w:szCs w:val="32"/>
          <w:highlight w:val="none"/>
        </w:rPr>
      </w:pPr>
      <w:r>
        <w:rPr>
          <w:rFonts w:hint="eastAsia" w:ascii="宋体" w:hAnsi="宋体"/>
          <w:b/>
          <w:color w:val="auto"/>
          <w:sz w:val="32"/>
          <w:szCs w:val="32"/>
          <w:highlight w:val="none"/>
        </w:rPr>
        <w:t>第三章　采购需求</w:t>
      </w:r>
    </w:p>
    <w:p w14:paraId="6699BEF7">
      <w:pPr>
        <w:adjustRightInd w:val="0"/>
        <w:spacing w:line="300" w:lineRule="exact"/>
        <w:ind w:firstLine="431"/>
        <w:rPr>
          <w:rFonts w:ascii="宋体" w:hAnsi="宋体"/>
          <w:b/>
          <w:bCs/>
          <w:color w:val="auto"/>
          <w:highlight w:val="none"/>
        </w:rPr>
      </w:pPr>
    </w:p>
    <w:p w14:paraId="7D8908F7">
      <w:pPr>
        <w:adjustRightInd w:val="0"/>
        <w:spacing w:line="500" w:lineRule="exact"/>
        <w:rPr>
          <w:rFonts w:ascii="宋体" w:hAnsi="宋体"/>
          <w:b/>
          <w:bCs/>
          <w:color w:val="auto"/>
          <w:sz w:val="24"/>
          <w:highlight w:val="none"/>
        </w:rPr>
      </w:pPr>
      <w:r>
        <w:rPr>
          <w:rFonts w:hint="eastAsia" w:ascii="宋体" w:hAnsi="宋体"/>
          <w:b/>
          <w:bCs/>
          <w:color w:val="auto"/>
          <w:sz w:val="24"/>
          <w:highlight w:val="none"/>
        </w:rPr>
        <w:t>Ⅰ、说明：</w:t>
      </w:r>
    </w:p>
    <w:p w14:paraId="3DC3E1ED">
      <w:pPr>
        <w:adjustRightInd w:val="0"/>
        <w:spacing w:line="360" w:lineRule="exact"/>
        <w:ind w:firstLine="422" w:firstLineChars="200"/>
        <w:rPr>
          <w:rFonts w:ascii="宋体" w:hAnsi="宋体"/>
          <w:b/>
          <w:bCs/>
          <w:color w:val="auto"/>
          <w:highlight w:val="none"/>
        </w:rPr>
      </w:pPr>
      <w:r>
        <w:rPr>
          <w:rFonts w:hint="eastAsia" w:ascii="宋体" w:hAnsi="宋体"/>
          <w:b/>
          <w:bCs/>
          <w:color w:val="auto"/>
          <w:highlight w:val="none"/>
        </w:rPr>
        <w:t>一、本项目所要执行的政府采购政策：</w:t>
      </w:r>
    </w:p>
    <w:p w14:paraId="0C38015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（一）</w:t>
      </w:r>
      <w:r>
        <w:rPr>
          <w:rFonts w:ascii="宋体" w:hAnsi="宋体"/>
          <w:color w:val="auto"/>
          <w:szCs w:val="21"/>
          <w:highlight w:val="none"/>
        </w:rPr>
        <w:t>根据《政府采购促进中小企业发展管理办法》（财库</w:t>
      </w:r>
      <w:r>
        <w:rPr>
          <w:rFonts w:hint="eastAsia" w:ascii="宋体" w:hAnsi="宋体"/>
          <w:color w:val="auto"/>
          <w:szCs w:val="21"/>
          <w:highlight w:val="none"/>
          <w:lang w:eastAsia="zh-CN"/>
        </w:rPr>
        <w:t>〔2020〕46号</w:t>
      </w:r>
      <w:r>
        <w:rPr>
          <w:rFonts w:ascii="宋体" w:hAnsi="宋体"/>
          <w:color w:val="auto"/>
          <w:szCs w:val="21"/>
          <w:highlight w:val="none"/>
        </w:rPr>
        <w:t>）</w:t>
      </w:r>
      <w:r>
        <w:rPr>
          <w:rFonts w:hint="eastAsia" w:ascii="宋体" w:hAnsi="宋体"/>
          <w:color w:val="auto"/>
          <w:szCs w:val="21"/>
          <w:highlight w:val="none"/>
        </w:rPr>
        <w:t>、《广西壮族自治区财政厅关于持续优化政府采购营商环境推动高质量发展的通知》（桂财采〔2024〕55号）</w:t>
      </w:r>
      <w:r>
        <w:rPr>
          <w:color w:val="auto"/>
          <w:highlight w:val="none"/>
        </w:rPr>
        <w:t>的规定</w:t>
      </w:r>
      <w:r>
        <w:rPr>
          <w:rFonts w:ascii="宋体" w:hAnsi="宋体"/>
          <w:color w:val="auto"/>
          <w:szCs w:val="21"/>
          <w:highlight w:val="none"/>
        </w:rPr>
        <w:t>，</w:t>
      </w:r>
      <w:r>
        <w:rPr>
          <w:rFonts w:hint="eastAsia" w:ascii="宋体" w:hAnsi="宋体"/>
          <w:color w:val="auto"/>
          <w:szCs w:val="21"/>
          <w:highlight w:val="none"/>
        </w:rPr>
        <w:t>投标人提供的货物全部由符合政策要求的小型、微型企业制造，投标文件中提供《中小企业声明函》的</w:t>
      </w:r>
      <w:r>
        <w:rPr>
          <w:rFonts w:ascii="宋体" w:hAnsi="宋体"/>
          <w:color w:val="auto"/>
          <w:szCs w:val="21"/>
          <w:highlight w:val="none"/>
        </w:rPr>
        <w:t>，投标人的投标报价给予</w:t>
      </w:r>
      <w:r>
        <w:rPr>
          <w:rFonts w:hint="eastAsia" w:ascii="宋体" w:hAnsi="宋体"/>
          <w:color w:val="auto"/>
          <w:szCs w:val="21"/>
          <w:highlight w:val="none"/>
        </w:rPr>
        <w:t>20</w:t>
      </w:r>
      <w:r>
        <w:rPr>
          <w:rFonts w:ascii="宋体" w:hAnsi="宋体"/>
          <w:color w:val="auto"/>
          <w:szCs w:val="21"/>
          <w:highlight w:val="none"/>
        </w:rPr>
        <w:t>%的扣除。本项目非专门面向中小企业采购。</w:t>
      </w:r>
    </w:p>
    <w:p w14:paraId="7829A24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（二）根据财政部、司法部关于政府采购支持监狱企业发展有关问题的通知（财库</w:t>
      </w:r>
      <w:r>
        <w:rPr>
          <w:rFonts w:hint="eastAsia" w:ascii="宋体" w:hAnsi="宋体"/>
          <w:color w:val="auto"/>
          <w:szCs w:val="21"/>
          <w:highlight w:val="none"/>
          <w:lang w:eastAsia="zh-CN"/>
        </w:rPr>
        <w:t>〔2014〕68号</w:t>
      </w:r>
      <w:r>
        <w:rPr>
          <w:rFonts w:hint="eastAsia" w:ascii="宋体" w:hAnsi="宋体"/>
          <w:color w:val="auto"/>
          <w:szCs w:val="21"/>
          <w:highlight w:val="none"/>
        </w:rPr>
        <w:t>），监狱企业视同小型、微型企业，</w:t>
      </w:r>
      <w:r>
        <w:rPr>
          <w:rFonts w:hint="eastAsia" w:hAnsi="宋体"/>
          <w:bCs/>
          <w:color w:val="auto"/>
          <w:highlight w:val="none"/>
        </w:rPr>
        <w:t>享受预留份额、评审价格扣除等政府采购政策。</w:t>
      </w:r>
      <w:r>
        <w:rPr>
          <w:rFonts w:hint="eastAsia" w:ascii="宋体" w:hAnsi="宋体"/>
          <w:color w:val="auto"/>
          <w:szCs w:val="21"/>
          <w:highlight w:val="none"/>
        </w:rPr>
        <w:t>监狱企业</w:t>
      </w:r>
      <w:r>
        <w:rPr>
          <w:rFonts w:hint="eastAsia" w:ascii="宋体" w:hAnsi="宋体"/>
          <w:bCs/>
          <w:color w:val="auto"/>
          <w:highlight w:val="none"/>
        </w:rPr>
        <w:t>属于小型、微型企业的，不重复享受政策。</w:t>
      </w:r>
    </w:p>
    <w:p w14:paraId="33B27A25">
      <w:pPr>
        <w:spacing w:line="360" w:lineRule="exact"/>
        <w:ind w:firstLine="420" w:firstLineChars="200"/>
        <w:rPr>
          <w:rFonts w:hAnsi="宋体"/>
          <w:bCs/>
          <w:color w:val="auto"/>
          <w:highlight w:val="none"/>
        </w:rPr>
      </w:pPr>
      <w:r>
        <w:rPr>
          <w:rFonts w:hint="eastAsia" w:ascii="宋体" w:hAnsi="宋体"/>
          <w:color w:val="auto"/>
          <w:highlight w:val="none"/>
        </w:rPr>
        <w:t>（三）按照</w:t>
      </w:r>
      <w:r>
        <w:rPr>
          <w:rFonts w:hint="eastAsia" w:ascii="宋体" w:hAnsi="宋体"/>
          <w:bCs/>
          <w:color w:val="auto"/>
          <w:highlight w:val="none"/>
        </w:rPr>
        <w:t>《关于促进残疾人就业政府采购政策的通知》（财库〔2017〕141号）的规定，残疾人福利性单位视同小型、微型企业，享受预留份额、评审中价格扣除等促进中小企业发展的政府采购政策。残疾人福利性单位属于小型、微型企业的，不重复享受政策。</w:t>
      </w:r>
    </w:p>
    <w:p w14:paraId="418E09F7">
      <w:pPr>
        <w:pStyle w:val="17"/>
        <w:spacing w:line="360" w:lineRule="exact"/>
        <w:rPr>
          <w:rFonts w:ascii="宋体" w:hAnsi="宋体" w:cs="宋体"/>
          <w:b/>
          <w:color w:val="auto"/>
          <w:kern w:val="0"/>
          <w:sz w:val="24"/>
          <w:highlight w:val="none"/>
        </w:rPr>
      </w:pPr>
      <w:r>
        <w:rPr>
          <w:rFonts w:hint="eastAsia" w:ascii="宋体" w:hAnsi="宋体"/>
          <w:b/>
          <w:bCs/>
          <w:color w:val="auto"/>
          <w:highlight w:val="none"/>
        </w:rPr>
        <w:t xml:space="preserve">    （四）根据财库〔2019〕9号及财库〔2019〕19号文件规定，台式计算机，便携式计算机、平板式微型计算机，液晶显示器，制冷压缩机（冷水机组、溴化锂吸收式冷水机组），空调机组[多联式空调（热泵）机组（制冷量＞14000W），单元式空气调节机]，专用制冷、空调设备（机房空调），镇流器（管型荧光灯镇流器），空调机[房间空气调节器、多联式空调（热泵）机组（制冷量≤14000W）、单元式空气调节机（制冷量≤14000W）]，电热水器，普通照明用双端荧光灯，电视设备[普通电视设备（电视机）]，视频设备[视频监控设备（监视器）]，便器（坐便器、蹲便器、小便器），水嘴均为节能产品政府采购品目清单内标注“</w:t>
      </w:r>
      <w:r>
        <w:rPr>
          <w:rFonts w:hint="eastAsia" w:ascii="宋体" w:hAnsi="宋体"/>
          <w:color w:val="auto"/>
          <w:szCs w:val="21"/>
          <w:highlight w:val="none"/>
        </w:rPr>
        <w:t>★</w:t>
      </w:r>
      <w:r>
        <w:rPr>
          <w:rFonts w:hint="eastAsia" w:ascii="宋体" w:hAnsi="宋体"/>
          <w:b/>
          <w:bCs/>
          <w:color w:val="auto"/>
          <w:highlight w:val="none"/>
        </w:rPr>
        <w:t>”的品目，属于政府强制采购节能产品。本项目不涉及政府强制采购节能产品。</w:t>
      </w:r>
    </w:p>
    <w:p w14:paraId="28D2F23E">
      <w:pPr>
        <w:adjustRightInd w:val="0"/>
        <w:spacing w:line="360" w:lineRule="exact"/>
        <w:ind w:firstLine="431"/>
        <w:rPr>
          <w:rFonts w:hint="eastAsia" w:ascii="宋体" w:hAnsi="宋体"/>
          <w:color w:val="auto"/>
          <w:szCs w:val="21"/>
          <w:highlight w:val="none"/>
        </w:rPr>
      </w:pPr>
      <w:r>
        <w:rPr>
          <w:rFonts w:hint="eastAsia" w:ascii="宋体" w:hAnsi="宋体"/>
          <w:color w:val="auto"/>
          <w:szCs w:val="21"/>
          <w:highlight w:val="none"/>
        </w:rPr>
        <w:t>（五）优先采购环境标志产品、节能产品。</w:t>
      </w:r>
    </w:p>
    <w:p w14:paraId="24684C82">
      <w:pPr>
        <w:adjustRightInd w:val="0"/>
        <w:spacing w:line="360" w:lineRule="exact"/>
        <w:ind w:firstLine="431"/>
        <w:rPr>
          <w:rFonts w:hint="eastAsia" w:ascii="宋体" w:hAnsi="宋体" w:eastAsia="宋体" w:cs="Times New Roman"/>
          <w:color w:val="auto"/>
          <w:szCs w:val="21"/>
          <w:highlight w:val="none"/>
        </w:rPr>
      </w:pPr>
      <w:r>
        <w:rPr>
          <w:rFonts w:hint="eastAsia" w:ascii="宋体" w:hAnsi="宋体" w:eastAsia="宋体" w:cs="Times New Roman"/>
          <w:b/>
          <w:bCs/>
          <w:color w:val="auto"/>
          <w:szCs w:val="21"/>
          <w:highlight w:val="none"/>
        </w:rPr>
        <w:t>（</w:t>
      </w:r>
      <w:r>
        <w:rPr>
          <w:rFonts w:hint="eastAsia" w:ascii="宋体" w:hAnsi="宋体" w:eastAsia="宋体" w:cs="Times New Roman"/>
          <w:b/>
          <w:bCs/>
          <w:color w:val="auto"/>
          <w:szCs w:val="21"/>
          <w:highlight w:val="none"/>
          <w:lang w:eastAsia="zh-CN"/>
        </w:rPr>
        <w:t>六</w:t>
      </w:r>
      <w:r>
        <w:rPr>
          <w:rFonts w:hint="eastAsia" w:ascii="宋体" w:hAnsi="宋体" w:eastAsia="宋体" w:cs="Times New Roman"/>
          <w:b/>
          <w:bCs/>
          <w:color w:val="auto"/>
          <w:szCs w:val="21"/>
          <w:highlight w:val="none"/>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6FF8B75">
      <w:pPr>
        <w:spacing w:line="360" w:lineRule="exact"/>
        <w:ind w:firstLine="420" w:firstLineChars="200"/>
        <w:rPr>
          <w:rFonts w:ascii="宋体" w:hAnsi="宋体"/>
          <w:bCs/>
          <w:color w:val="auto"/>
          <w:highlight w:val="none"/>
        </w:rPr>
      </w:pPr>
      <w:r>
        <w:rPr>
          <w:rFonts w:hint="eastAsia" w:ascii="宋体" w:hAnsi="宋体"/>
          <w:bCs/>
          <w:color w:val="auto"/>
          <w:highlight w:val="none"/>
        </w:rPr>
        <w:t>二、采购需求中出现的品牌、型号或者生产厂家仅起参考作用，不属于指定品牌、型号或者生产厂家的情形。投标人可参照或者选用其他相当的品牌、型号或者生产厂家替代，但选用的投标产品参数性能必须满足实质性要求。</w:t>
      </w:r>
    </w:p>
    <w:p w14:paraId="2B925B50">
      <w:pPr>
        <w:spacing w:line="360" w:lineRule="exact"/>
        <w:ind w:firstLine="420" w:firstLineChars="200"/>
        <w:rPr>
          <w:rFonts w:ascii="宋体" w:hAnsi="宋体"/>
          <w:bCs/>
          <w:color w:val="auto"/>
          <w:highlight w:val="none"/>
        </w:rPr>
      </w:pPr>
      <w:r>
        <w:rPr>
          <w:rFonts w:hint="eastAsia" w:ascii="宋体" w:hAnsi="宋体"/>
          <w:bCs/>
          <w:color w:val="auto"/>
          <w:highlight w:val="none"/>
        </w:rPr>
        <w:t>三、投标人必须自行为其投标产品侵犯他人的知识产权或者专利成果或其他合法权益的行为承担相应法律责任。</w:t>
      </w:r>
    </w:p>
    <w:p w14:paraId="454064F8">
      <w:pPr>
        <w:spacing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四、实质性要求是指“采购需求”中标注“▲”符号的条款以及招标文件中要求“必须提供”的条款，投标人对实质性要求若有任意一项不满足，投标文件作无效处理。</w:t>
      </w:r>
    </w:p>
    <w:p w14:paraId="7D7E7BFA">
      <w:pPr>
        <w:spacing w:line="360" w:lineRule="exact"/>
        <w:ind w:firstLine="420" w:firstLineChars="200"/>
        <w:rPr>
          <w:rFonts w:ascii="宋体" w:hAnsi="宋体"/>
          <w:bCs/>
          <w:color w:val="auto"/>
          <w:highlight w:val="none"/>
        </w:rPr>
      </w:pPr>
    </w:p>
    <w:p w14:paraId="097ADC3C">
      <w:pPr>
        <w:adjustRightInd w:val="0"/>
        <w:spacing w:line="360" w:lineRule="exact"/>
        <w:rPr>
          <w:rFonts w:hint="eastAsia" w:ascii="宋体" w:hAnsi="宋体"/>
          <w:b/>
          <w:color w:val="auto"/>
          <w:sz w:val="24"/>
          <w:highlight w:val="none"/>
        </w:rPr>
      </w:pPr>
    </w:p>
    <w:p w14:paraId="0A70BA04">
      <w:pPr>
        <w:adjustRightInd w:val="0"/>
        <w:spacing w:line="360" w:lineRule="exact"/>
        <w:rPr>
          <w:rFonts w:hint="eastAsia" w:ascii="宋体" w:hAnsi="宋体"/>
          <w:b/>
          <w:color w:val="auto"/>
          <w:sz w:val="24"/>
          <w:highlight w:val="none"/>
        </w:rPr>
      </w:pPr>
    </w:p>
    <w:p w14:paraId="2021156B">
      <w:pPr>
        <w:adjustRightInd w:val="0"/>
        <w:spacing w:line="360" w:lineRule="exact"/>
        <w:rPr>
          <w:rFonts w:hint="eastAsia" w:ascii="宋体" w:hAnsi="宋体"/>
          <w:b/>
          <w:color w:val="auto"/>
          <w:sz w:val="24"/>
          <w:highlight w:val="none"/>
        </w:rPr>
      </w:pPr>
    </w:p>
    <w:p w14:paraId="43613CFC">
      <w:pPr>
        <w:adjustRightInd w:val="0"/>
        <w:spacing w:line="360" w:lineRule="exact"/>
        <w:rPr>
          <w:rFonts w:hint="eastAsia" w:ascii="宋体" w:hAnsi="宋体"/>
          <w:b/>
          <w:color w:val="auto"/>
          <w:sz w:val="24"/>
          <w:highlight w:val="none"/>
        </w:rPr>
      </w:pPr>
    </w:p>
    <w:p w14:paraId="7785B1C9">
      <w:pPr>
        <w:adjustRightInd w:val="0"/>
        <w:spacing w:line="360" w:lineRule="exact"/>
        <w:rPr>
          <w:rFonts w:hint="eastAsia" w:ascii="宋体" w:hAnsi="宋体"/>
          <w:b/>
          <w:color w:val="auto"/>
          <w:sz w:val="24"/>
          <w:highlight w:val="none"/>
        </w:rPr>
      </w:pPr>
    </w:p>
    <w:p w14:paraId="78FB8BEC">
      <w:pPr>
        <w:adjustRightInd w:val="0"/>
        <w:spacing w:line="360" w:lineRule="exact"/>
        <w:rPr>
          <w:rFonts w:hint="eastAsia" w:ascii="宋体" w:hAnsi="宋体"/>
          <w:b/>
          <w:color w:val="auto"/>
          <w:sz w:val="24"/>
          <w:highlight w:val="none"/>
        </w:rPr>
      </w:pPr>
    </w:p>
    <w:p w14:paraId="5DB9798B">
      <w:pPr>
        <w:adjustRightInd w:val="0"/>
        <w:spacing w:line="360" w:lineRule="exact"/>
        <w:rPr>
          <w:rFonts w:hint="eastAsia" w:ascii="宋体" w:hAnsi="宋体"/>
          <w:b/>
          <w:color w:val="auto"/>
          <w:sz w:val="24"/>
          <w:highlight w:val="none"/>
        </w:rPr>
      </w:pPr>
      <w:r>
        <w:rPr>
          <w:rFonts w:hint="eastAsia" w:ascii="宋体" w:hAnsi="宋体"/>
          <w:b/>
          <w:color w:val="auto"/>
          <w:sz w:val="24"/>
          <w:highlight w:val="none"/>
        </w:rPr>
        <w:t>Ⅱ、采购需求一览表</w:t>
      </w:r>
    </w:p>
    <w:p w14:paraId="42ECCCA7">
      <w:pPr>
        <w:adjustRightInd w:val="0"/>
        <w:spacing w:line="360" w:lineRule="exact"/>
        <w:rPr>
          <w:rFonts w:hint="default" w:ascii="宋体" w:hAnsi="宋体" w:eastAsia="宋体"/>
          <w:b/>
          <w:color w:val="auto"/>
          <w:sz w:val="24"/>
          <w:highlight w:val="none"/>
          <w:lang w:val="en-US" w:eastAsia="zh-CN"/>
        </w:rPr>
      </w:pPr>
    </w:p>
    <w:p w14:paraId="6AE748DA">
      <w:pPr>
        <w:adjustRightInd w:val="0"/>
        <w:spacing w:line="360" w:lineRule="exact"/>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分标1：</w:t>
      </w:r>
      <w:r>
        <w:rPr>
          <w:rFonts w:hint="eastAsia" w:ascii="宋体" w:hAnsi="宋体"/>
          <w:b/>
          <w:color w:val="auto"/>
          <w:sz w:val="24"/>
          <w:highlight w:val="none"/>
          <w:lang w:val="en-US" w:eastAsia="zh-CN"/>
        </w:rPr>
        <w:t>康复科、脾胃病科设备</w:t>
      </w:r>
    </w:p>
    <w:tbl>
      <w:tblPr>
        <w:tblStyle w:val="51"/>
        <w:tblW w:w="9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531"/>
        <w:gridCol w:w="934"/>
        <w:gridCol w:w="4045"/>
        <w:gridCol w:w="709"/>
        <w:gridCol w:w="753"/>
        <w:gridCol w:w="1319"/>
      </w:tblGrid>
      <w:tr w14:paraId="4CE3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092EB80B">
            <w:pPr>
              <w:wordWrap w:val="0"/>
              <w:rPr>
                <w:rFonts w:hint="eastAsia" w:ascii="宋体" w:hAnsi="宋体" w:cs="宋体"/>
                <w:b/>
                <w:color w:val="auto"/>
                <w:szCs w:val="21"/>
                <w:highlight w:val="none"/>
              </w:rPr>
            </w:pPr>
            <w:r>
              <w:rPr>
                <w:rFonts w:hint="eastAsia" w:ascii="宋体" w:hAnsi="宋体" w:cs="宋体"/>
                <w:b/>
                <w:color w:val="auto"/>
                <w:szCs w:val="21"/>
                <w:highlight w:val="none"/>
              </w:rPr>
              <w:t>一、采购内容及技术要求</w:t>
            </w:r>
          </w:p>
        </w:tc>
      </w:tr>
      <w:tr w14:paraId="0AD6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4D7ED9E2">
            <w:pPr>
              <w:wordWrap w:val="0"/>
              <w:adjustRightInd w:val="0"/>
              <w:snapToGrid w:val="0"/>
              <w:jc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项号</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5D23961">
            <w:pPr>
              <w:wordWrap w:val="0"/>
              <w:adjustRightInd w:val="0"/>
              <w:snapToGrid w:val="0"/>
              <w:jc w:val="center"/>
              <w:rPr>
                <w:rFonts w:hint="eastAsia" w:ascii="宋体" w:hAnsi="宋体" w:cs="宋体"/>
                <w:b/>
                <w:color w:val="auto"/>
                <w:szCs w:val="21"/>
                <w:highlight w:val="none"/>
              </w:rPr>
            </w:pPr>
            <w:r>
              <w:rPr>
                <w:rFonts w:hint="eastAsia" w:ascii="宋体" w:hAnsi="宋体" w:cs="宋体"/>
                <w:b/>
                <w:color w:val="auto"/>
                <w:szCs w:val="21"/>
                <w:highlight w:val="none"/>
              </w:rPr>
              <w:t>标的名称</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49862B9C">
            <w:pPr>
              <w:widowControl/>
              <w:wordWrap w:val="0"/>
              <w:jc w:val="center"/>
              <w:rPr>
                <w:rFonts w:ascii="宋体" w:hAnsi="宋体" w:cs="宋体"/>
                <w:b/>
                <w:color w:val="auto"/>
                <w:szCs w:val="21"/>
                <w:highlight w:val="none"/>
              </w:rPr>
            </w:pPr>
            <w:r>
              <w:rPr>
                <w:rFonts w:hint="eastAsia" w:ascii="宋体" w:hAnsi="宋体" w:cs="宋体"/>
                <w:b/>
                <w:color w:val="auto"/>
                <w:szCs w:val="21"/>
                <w:highlight w:val="none"/>
              </w:rPr>
              <w:t>标的所属行业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6E4B114C">
            <w:pPr>
              <w:wordWrap w:val="0"/>
              <w:jc w:val="center"/>
              <w:rPr>
                <w:rFonts w:ascii="宋体" w:hAnsi="宋体" w:cs="宋体"/>
                <w:b/>
                <w:color w:val="auto"/>
                <w:szCs w:val="21"/>
                <w:highlight w:val="none"/>
              </w:rPr>
            </w:pPr>
            <w:r>
              <w:rPr>
                <w:rFonts w:hint="eastAsia" w:ascii="宋体" w:hAnsi="宋体" w:cs="宋体"/>
                <w:b/>
                <w:color w:val="auto"/>
                <w:szCs w:val="21"/>
                <w:highlight w:val="none"/>
              </w:rPr>
              <w:t>技术要求</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B491671">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数量</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1702B1C6">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单位</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28F2A43B">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参考单价（元）</w:t>
            </w:r>
          </w:p>
        </w:tc>
      </w:tr>
      <w:tr w14:paraId="72A0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428F763F">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0C72ACD8">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壁挂式等离子体空气消毒器</w:t>
            </w:r>
          </w:p>
        </w:tc>
        <w:tc>
          <w:tcPr>
            <w:tcW w:w="934" w:type="dxa"/>
            <w:tcBorders>
              <w:top w:val="single" w:color="auto" w:sz="4" w:space="0"/>
              <w:left w:val="single" w:color="auto" w:sz="4" w:space="0"/>
              <w:right w:val="single" w:color="auto" w:sz="4" w:space="0"/>
            </w:tcBorders>
            <w:noWrap w:val="0"/>
            <w:vAlign w:val="center"/>
          </w:tcPr>
          <w:p w14:paraId="02D319D3">
            <w:pPr>
              <w:tabs>
                <w:tab w:val="left" w:pos="180"/>
                <w:tab w:val="left" w:pos="1620"/>
              </w:tabs>
              <w:adjustRightInd w:val="0"/>
              <w:snapToGrid w:val="0"/>
              <w:spacing w:line="360" w:lineRule="exact"/>
              <w:jc w:val="center"/>
              <w:rPr>
                <w:rFonts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72F62097">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最大</w:t>
            </w:r>
            <w:r>
              <w:rPr>
                <w:rFonts w:hint="eastAsia" w:ascii="宋体" w:hAnsi="宋体" w:eastAsia="宋体" w:cs="宋体"/>
                <w:b w:val="0"/>
                <w:bCs w:val="0"/>
                <w:color w:val="auto"/>
                <w:sz w:val="21"/>
                <w:szCs w:val="21"/>
                <w:highlight w:val="none"/>
              </w:rPr>
              <w:t>适用范围：</w:t>
            </w:r>
            <w:r>
              <w:rPr>
                <w:rFonts w:hint="eastAsia" w:ascii="宋体" w:hAnsi="宋体" w:eastAsia="宋体" w:cs="宋体"/>
                <w:b w:val="0"/>
                <w:bCs w:val="0"/>
                <w:color w:val="auto"/>
                <w:sz w:val="21"/>
                <w:szCs w:val="21"/>
                <w:highlight w:val="none"/>
                <w:lang w:val="en-US" w:eastAsia="zh-CN"/>
              </w:rPr>
              <w:t>100</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eastAsia="zh-CN"/>
              </w:rPr>
              <w:t>，安装方式</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壁挂</w:t>
            </w:r>
            <w:r>
              <w:rPr>
                <w:rFonts w:hint="eastAsia" w:ascii="宋体" w:hAnsi="宋体" w:cs="宋体"/>
                <w:b w:val="0"/>
                <w:bCs w:val="0"/>
                <w:color w:val="auto"/>
                <w:sz w:val="21"/>
                <w:szCs w:val="21"/>
                <w:highlight w:val="none"/>
                <w:lang w:eastAsia="zh-CN"/>
              </w:rPr>
              <w:t>。</w:t>
            </w:r>
          </w:p>
          <w:p w14:paraId="039C6BFB">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具有PM2.5实时显示功能</w:t>
            </w:r>
            <w:r>
              <w:rPr>
                <w:rFonts w:hint="eastAsia" w:ascii="宋体" w:hAnsi="宋体" w:eastAsia="宋体" w:cs="宋体"/>
                <w:b w:val="0"/>
                <w:bCs w:val="0"/>
                <w:color w:val="auto"/>
                <w:sz w:val="21"/>
                <w:szCs w:val="21"/>
                <w:highlight w:val="none"/>
                <w:lang w:eastAsia="zh-CN"/>
              </w:rPr>
              <w:t>。</w:t>
            </w:r>
          </w:p>
          <w:p w14:paraId="1557C7BD">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采用</w:t>
            </w:r>
            <w:r>
              <w:rPr>
                <w:rFonts w:hint="eastAsia" w:ascii="宋体" w:hAnsi="宋体" w:eastAsia="宋体" w:cs="宋体"/>
                <w:b w:val="0"/>
                <w:bCs w:val="0"/>
                <w:color w:val="auto"/>
                <w:sz w:val="21"/>
                <w:szCs w:val="21"/>
                <w:highlight w:val="none"/>
                <w:lang w:eastAsia="zh-CN"/>
              </w:rPr>
              <w:t>彩色</w:t>
            </w:r>
            <w:r>
              <w:rPr>
                <w:rFonts w:hint="eastAsia" w:ascii="宋体" w:hAnsi="宋体" w:eastAsia="宋体" w:cs="宋体"/>
                <w:b w:val="0"/>
                <w:bCs w:val="0"/>
                <w:color w:val="auto"/>
                <w:sz w:val="21"/>
                <w:szCs w:val="21"/>
                <w:highlight w:val="none"/>
              </w:rPr>
              <w:t>液晶屏，</w:t>
            </w:r>
            <w:r>
              <w:rPr>
                <w:rFonts w:hint="eastAsia" w:ascii="宋体" w:hAnsi="宋体" w:eastAsia="宋体" w:cs="宋体"/>
                <w:b w:val="0"/>
                <w:bCs w:val="0"/>
                <w:color w:val="auto"/>
                <w:sz w:val="21"/>
                <w:szCs w:val="21"/>
                <w:highlight w:val="none"/>
                <w:lang w:val="en-US" w:eastAsia="zh-CN"/>
              </w:rPr>
              <w:t>具有</w:t>
            </w:r>
            <w:r>
              <w:rPr>
                <w:rFonts w:hint="eastAsia" w:ascii="宋体" w:hAnsi="宋体" w:eastAsia="宋体" w:cs="宋体"/>
                <w:b w:val="0"/>
                <w:bCs w:val="0"/>
                <w:color w:val="auto"/>
                <w:sz w:val="21"/>
                <w:szCs w:val="21"/>
                <w:highlight w:val="none"/>
              </w:rPr>
              <w:t>中文操作菜单</w:t>
            </w:r>
            <w:r>
              <w:rPr>
                <w:rFonts w:hint="eastAsia" w:ascii="宋体" w:hAnsi="宋体" w:eastAsia="宋体" w:cs="宋体"/>
                <w:b w:val="0"/>
                <w:bCs w:val="0"/>
                <w:color w:val="auto"/>
                <w:sz w:val="21"/>
                <w:szCs w:val="21"/>
                <w:highlight w:val="none"/>
                <w:lang w:eastAsia="zh-CN"/>
              </w:rPr>
              <w:t>。</w:t>
            </w:r>
          </w:p>
          <w:p w14:paraId="5463FA5A">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等离子体的密度：5.85×10</w:t>
            </w:r>
            <w:r>
              <w:rPr>
                <w:rFonts w:hint="eastAsia" w:ascii="宋体" w:hAnsi="宋体" w:eastAsia="宋体" w:cs="宋体"/>
                <w:b w:val="0"/>
                <w:bCs w:val="0"/>
                <w:color w:val="auto"/>
                <w:sz w:val="21"/>
                <w:szCs w:val="21"/>
                <w:highlight w:val="none"/>
                <w:vertAlign w:val="superscript"/>
              </w:rPr>
              <w:t>17</w:t>
            </w:r>
            <w:r>
              <w:rPr>
                <w:rFonts w:hint="eastAsia" w:ascii="宋体" w:hAnsi="宋体" w:eastAsia="宋体" w:cs="宋体"/>
                <w:b w:val="0"/>
                <w:bCs w:val="0"/>
                <w:color w:val="auto"/>
                <w:sz w:val="21"/>
                <w:szCs w:val="21"/>
                <w:highlight w:val="none"/>
              </w:rPr>
              <w:t>-8.02×10</w:t>
            </w:r>
            <w:r>
              <w:rPr>
                <w:rFonts w:hint="eastAsia" w:ascii="宋体" w:hAnsi="宋体" w:eastAsia="宋体" w:cs="宋体"/>
                <w:b w:val="0"/>
                <w:bCs w:val="0"/>
                <w:color w:val="auto"/>
                <w:sz w:val="21"/>
                <w:szCs w:val="21"/>
                <w:highlight w:val="none"/>
                <w:vertAlign w:val="superscript"/>
              </w:rPr>
              <w:t>17</w:t>
            </w:r>
            <w:r>
              <w:rPr>
                <w:rFonts w:hint="eastAsia" w:ascii="宋体" w:hAnsi="宋体" w:eastAsia="宋体" w:cs="宋体"/>
                <w:b w:val="0"/>
                <w:bCs w:val="0"/>
                <w:color w:val="auto"/>
                <w:sz w:val="21"/>
                <w:szCs w:val="21"/>
                <w:highlight w:val="none"/>
              </w:rPr>
              <w:t>m</w:t>
            </w:r>
            <w:r>
              <w:rPr>
                <w:rFonts w:hint="eastAsia" w:ascii="宋体" w:hAnsi="宋体" w:eastAsia="宋体" w:cs="宋体"/>
                <w:b w:val="0"/>
                <w:bCs w:val="0"/>
                <w:color w:val="auto"/>
                <w:sz w:val="21"/>
                <w:szCs w:val="21"/>
                <w:highlight w:val="none"/>
                <w:vertAlign w:val="superscript"/>
              </w:rPr>
              <w:t>-3</w:t>
            </w:r>
            <w:r>
              <w:rPr>
                <w:rFonts w:hint="eastAsia" w:ascii="宋体" w:hAnsi="宋体" w:eastAsia="宋体" w:cs="宋体"/>
                <w:b w:val="0"/>
                <w:bCs w:val="0"/>
                <w:color w:val="auto"/>
                <w:highlight w:val="none"/>
                <w:lang w:eastAsia="zh-CN"/>
              </w:rPr>
              <w:t>。</w:t>
            </w:r>
          </w:p>
          <w:p w14:paraId="665E2A82">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等离子体的电源：能自动调节放电频率的电源，可随排风量的大小自动调节</w:t>
            </w:r>
            <w:r>
              <w:rPr>
                <w:rFonts w:hint="eastAsia" w:ascii="宋体" w:hAnsi="宋体" w:eastAsia="宋体" w:cs="宋体"/>
                <w:b w:val="0"/>
                <w:bCs w:val="0"/>
                <w:color w:val="auto"/>
                <w:highlight w:val="none"/>
                <w:lang w:eastAsia="zh-CN"/>
              </w:rPr>
              <w:t>。</w:t>
            </w:r>
          </w:p>
          <w:p w14:paraId="44ADD19A">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采用直流电频风机，风速八档可调，具备风机故障报警功能</w:t>
            </w:r>
            <w:r>
              <w:rPr>
                <w:rFonts w:hint="eastAsia" w:ascii="宋体" w:hAnsi="宋体" w:eastAsia="宋体" w:cs="宋体"/>
                <w:b w:val="0"/>
                <w:bCs w:val="0"/>
                <w:color w:val="auto"/>
                <w:highlight w:val="none"/>
                <w:lang w:eastAsia="zh-CN"/>
              </w:rPr>
              <w:t>。</w:t>
            </w:r>
          </w:p>
          <w:p w14:paraId="691A37B2">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7.等离子体模块采用两段式，电离区电压9.5K</w:t>
            </w:r>
            <w:r>
              <w:rPr>
                <w:rFonts w:hint="eastAsia" w:ascii="宋体" w:hAnsi="宋体" w:cs="宋体"/>
                <w:b w:val="0"/>
                <w:bCs w:val="0"/>
                <w:color w:val="auto"/>
                <w:sz w:val="21"/>
                <w:szCs w:val="21"/>
                <w:highlight w:val="none"/>
                <w:lang w:val="en-US" w:eastAsia="zh-CN"/>
              </w:rPr>
              <w:t>v</w:t>
            </w:r>
            <w:r>
              <w:rPr>
                <w:rFonts w:hint="eastAsia" w:ascii="宋体" w:hAnsi="宋体" w:eastAsia="宋体" w:cs="宋体"/>
                <w:b w:val="0"/>
                <w:bCs w:val="0"/>
                <w:color w:val="auto"/>
                <w:sz w:val="21"/>
                <w:szCs w:val="21"/>
                <w:highlight w:val="none"/>
                <w:lang w:val="en-US" w:eastAsia="zh-CN"/>
              </w:rPr>
              <w:t>±0.5K</w:t>
            </w:r>
            <w:r>
              <w:rPr>
                <w:rFonts w:hint="eastAsia" w:ascii="宋体" w:hAnsi="宋体" w:cs="宋体"/>
                <w:b w:val="0"/>
                <w:bCs w:val="0"/>
                <w:color w:val="auto"/>
                <w:sz w:val="21"/>
                <w:szCs w:val="21"/>
                <w:highlight w:val="none"/>
                <w:lang w:val="en-US" w:eastAsia="zh-CN"/>
              </w:rPr>
              <w:t>v，</w:t>
            </w:r>
            <w:r>
              <w:rPr>
                <w:rFonts w:hint="eastAsia" w:ascii="宋体" w:hAnsi="宋体" w:eastAsia="宋体" w:cs="宋体"/>
                <w:b w:val="0"/>
                <w:bCs w:val="0"/>
                <w:color w:val="auto"/>
                <w:sz w:val="21"/>
                <w:szCs w:val="21"/>
                <w:highlight w:val="none"/>
                <w:lang w:val="en-US" w:eastAsia="zh-CN"/>
              </w:rPr>
              <w:t>集尘区电压3.5K</w:t>
            </w:r>
            <w:r>
              <w:rPr>
                <w:rFonts w:hint="eastAsia" w:ascii="宋体" w:hAnsi="宋体" w:cs="宋体"/>
                <w:b w:val="0"/>
                <w:bCs w:val="0"/>
                <w:color w:val="auto"/>
                <w:sz w:val="21"/>
                <w:szCs w:val="21"/>
                <w:highlight w:val="none"/>
                <w:lang w:val="en-US" w:eastAsia="zh-CN"/>
              </w:rPr>
              <w:t>v</w:t>
            </w:r>
            <w:r>
              <w:rPr>
                <w:rFonts w:hint="eastAsia" w:ascii="宋体" w:hAnsi="宋体" w:eastAsia="宋体" w:cs="宋体"/>
                <w:b w:val="0"/>
                <w:bCs w:val="0"/>
                <w:color w:val="auto"/>
                <w:sz w:val="21"/>
                <w:szCs w:val="21"/>
                <w:highlight w:val="none"/>
                <w:lang w:val="en-US" w:eastAsia="zh-CN"/>
              </w:rPr>
              <w:t>±0.5K</w:t>
            </w:r>
            <w:r>
              <w:rPr>
                <w:rFonts w:hint="eastAsia" w:ascii="宋体" w:hAnsi="宋体" w:cs="宋体"/>
                <w:b w:val="0"/>
                <w:bCs w:val="0"/>
                <w:color w:val="auto"/>
                <w:sz w:val="21"/>
                <w:szCs w:val="21"/>
                <w:highlight w:val="none"/>
                <w:lang w:val="en-US" w:eastAsia="zh-CN"/>
              </w:rPr>
              <w:t>v</w:t>
            </w:r>
            <w:r>
              <w:rPr>
                <w:rFonts w:hint="eastAsia" w:ascii="宋体" w:hAnsi="宋体" w:eastAsia="宋体" w:cs="宋体"/>
                <w:b w:val="0"/>
                <w:bCs w:val="0"/>
                <w:color w:val="auto"/>
                <w:highlight w:val="none"/>
                <w:lang w:eastAsia="zh-CN"/>
              </w:rPr>
              <w:t>。</w:t>
            </w:r>
          </w:p>
          <w:p w14:paraId="0A052EED">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8.等离子体集尘区采用微静电技术，正负电极间距</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2mm。</w:t>
            </w:r>
          </w:p>
          <w:p w14:paraId="60339881">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9.洁净空气量Q：颗粒物</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360</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val="en-US" w:eastAsia="zh-CN"/>
              </w:rPr>
              <w:t>/h。</w:t>
            </w:r>
          </w:p>
          <w:p w14:paraId="22B58123">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净化效果：</w:t>
            </w:r>
            <w:r>
              <w:rPr>
                <w:rFonts w:hint="eastAsia" w:ascii="宋体" w:hAnsi="宋体" w:eastAsia="宋体" w:cs="宋体"/>
                <w:b w:val="0"/>
                <w:bCs w:val="0"/>
                <w:color w:val="auto"/>
                <w:sz w:val="21"/>
                <w:szCs w:val="21"/>
                <w:highlight w:val="none"/>
                <w:lang w:eastAsia="zh-CN"/>
              </w:rPr>
              <w:t>机器工作</w:t>
            </w:r>
            <w:r>
              <w:rPr>
                <w:rFonts w:hint="eastAsia" w:ascii="宋体" w:hAnsi="宋体" w:eastAsia="宋体" w:cs="宋体"/>
                <w:b w:val="0"/>
                <w:bCs w:val="0"/>
                <w:color w:val="auto"/>
                <w:sz w:val="21"/>
                <w:szCs w:val="21"/>
                <w:highlight w:val="none"/>
                <w:lang w:val="en-US" w:eastAsia="zh-CN"/>
              </w:rPr>
              <w:t>60分钟，0.5μm及以上颗粒物</w:t>
            </w:r>
            <w:r>
              <w:rPr>
                <w:rFonts w:hint="eastAsia" w:ascii="宋体" w:hAnsi="宋体" w:eastAsia="宋体" w:cs="宋体"/>
                <w:b w:val="0"/>
                <w:bCs w:val="0"/>
                <w:color w:val="auto"/>
                <w:sz w:val="21"/>
                <w:szCs w:val="21"/>
                <w:highlight w:val="none"/>
              </w:rPr>
              <w:t>去除率</w:t>
            </w:r>
            <w:r>
              <w:rPr>
                <w:rFonts w:hint="eastAsia" w:ascii="宋体" w:hAnsi="宋体" w:eastAsia="宋体" w:cs="宋体"/>
                <w:b w:val="0"/>
                <w:bCs w:val="0"/>
                <w:color w:val="auto"/>
                <w:sz w:val="21"/>
                <w:szCs w:val="21"/>
                <w:highlight w:val="none"/>
                <w:lang w:val="en-US" w:eastAsia="zh-CN"/>
              </w:rPr>
              <w:t>至少</w:t>
            </w:r>
            <w:r>
              <w:rPr>
                <w:rFonts w:hint="eastAsia" w:ascii="宋体" w:hAnsi="宋体" w:eastAsia="宋体" w:cs="宋体"/>
                <w:b w:val="0"/>
                <w:bCs w:val="0"/>
                <w:color w:val="auto"/>
                <w:sz w:val="21"/>
                <w:szCs w:val="21"/>
                <w:highlight w:val="none"/>
              </w:rPr>
              <w:t>达9</w:t>
            </w:r>
            <w:r>
              <w:rPr>
                <w:rFonts w:hint="eastAsia" w:ascii="宋体" w:hAnsi="宋体" w:eastAsia="宋体" w:cs="宋体"/>
                <w:b w:val="0"/>
                <w:bCs w:val="0"/>
                <w:color w:val="auto"/>
                <w:sz w:val="21"/>
                <w:szCs w:val="21"/>
                <w:highlight w:val="none"/>
                <w:lang w:val="en-US" w:eastAsia="zh-CN"/>
              </w:rPr>
              <w:t>9</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99</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可使十万级洁净度的房间净化达到万级洁净度</w:t>
            </w:r>
            <w:r>
              <w:rPr>
                <w:rFonts w:hint="eastAsia" w:ascii="宋体" w:hAnsi="宋体" w:eastAsia="宋体" w:cs="宋体"/>
                <w:b w:val="0"/>
                <w:bCs w:val="0"/>
                <w:color w:val="auto"/>
                <w:sz w:val="21"/>
                <w:szCs w:val="21"/>
                <w:highlight w:val="none"/>
                <w:lang w:eastAsia="zh-CN"/>
              </w:rPr>
              <w:t>。</w:t>
            </w:r>
          </w:p>
          <w:p w14:paraId="39CE8B94">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rPr>
              <w:t>控制方式：定时控制程序数量≥</w:t>
            </w: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组，每组能</w:t>
            </w:r>
            <w:r>
              <w:rPr>
                <w:rFonts w:hint="eastAsia" w:ascii="宋体" w:hAnsi="宋体" w:cs="宋体"/>
                <w:b w:val="0"/>
                <w:bCs w:val="0"/>
                <w:color w:val="auto"/>
                <w:sz w:val="21"/>
                <w:szCs w:val="21"/>
                <w:highlight w:val="none"/>
                <w:lang w:eastAsia="zh-CN"/>
              </w:rPr>
              <w:t>选择</w:t>
            </w:r>
            <w:r>
              <w:rPr>
                <w:rFonts w:hint="eastAsia" w:ascii="宋体" w:hAnsi="宋体" w:eastAsia="宋体" w:cs="宋体"/>
                <w:b w:val="0"/>
                <w:bCs w:val="0"/>
                <w:color w:val="auto"/>
                <w:sz w:val="21"/>
                <w:szCs w:val="21"/>
                <w:highlight w:val="none"/>
              </w:rPr>
              <w:t>三种时段</w:t>
            </w:r>
            <w:r>
              <w:rPr>
                <w:rFonts w:hint="eastAsia" w:ascii="宋体" w:hAnsi="宋体" w:eastAsia="宋体" w:cs="宋体"/>
                <w:b w:val="0"/>
                <w:bCs w:val="0"/>
                <w:color w:val="auto"/>
                <w:sz w:val="21"/>
                <w:szCs w:val="21"/>
                <w:highlight w:val="none"/>
                <w:lang w:eastAsia="zh-CN"/>
              </w:rPr>
              <w:t>。</w:t>
            </w:r>
          </w:p>
          <w:p w14:paraId="27330A0F">
            <w:pPr>
              <w:pStyle w:val="100"/>
              <w:keepNext w:val="0"/>
              <w:keepLines w:val="0"/>
              <w:pageBreakBefore w:val="0"/>
              <w:widowControl w:val="0"/>
              <w:numPr>
                <w:ilvl w:val="0"/>
                <w:numId w:val="0"/>
              </w:numPr>
              <w:tabs>
                <w:tab w:val="left" w:pos="416"/>
              </w:tabs>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消毒效果：白色葡萄球菌</w:t>
            </w:r>
            <w:r>
              <w:rPr>
                <w:rFonts w:hint="eastAsia" w:ascii="宋体" w:hAnsi="宋体" w:eastAsia="宋体" w:cs="宋体"/>
                <w:b/>
                <w:bCs/>
                <w:color w:val="auto"/>
                <w:sz w:val="21"/>
                <w:szCs w:val="21"/>
                <w:highlight w:val="none"/>
                <w:lang w:eastAsia="zh-CN"/>
              </w:rPr>
              <w:t>的</w:t>
            </w:r>
            <w:r>
              <w:rPr>
                <w:rFonts w:hint="eastAsia" w:ascii="宋体" w:hAnsi="宋体" w:eastAsia="宋体" w:cs="宋体"/>
                <w:b/>
                <w:bCs/>
                <w:color w:val="auto"/>
                <w:sz w:val="21"/>
                <w:szCs w:val="21"/>
                <w:highlight w:val="none"/>
              </w:rPr>
              <w:t>杀灭率为≥99.9%</w:t>
            </w:r>
            <w:r>
              <w:rPr>
                <w:rFonts w:hint="eastAsia" w:ascii="宋体" w:hAnsi="宋体" w:eastAsia="宋体" w:cs="宋体"/>
                <w:b/>
                <w:bCs/>
                <w:color w:val="auto"/>
                <w:sz w:val="21"/>
                <w:szCs w:val="21"/>
                <w:highlight w:val="none"/>
                <w:lang w:eastAsia="zh-CN"/>
              </w:rPr>
              <w:t>。</w:t>
            </w:r>
          </w:p>
          <w:p w14:paraId="115AE238">
            <w:pPr>
              <w:pStyle w:val="100"/>
              <w:keepNext w:val="0"/>
              <w:keepLines w:val="0"/>
              <w:pageBreakBefore w:val="0"/>
              <w:widowControl w:val="0"/>
              <w:numPr>
                <w:ilvl w:val="0"/>
                <w:numId w:val="0"/>
              </w:numPr>
              <w:tabs>
                <w:tab w:val="left" w:pos="416"/>
              </w:tabs>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▲13.空气中</w:t>
            </w:r>
            <w:r>
              <w:rPr>
                <w:rFonts w:hint="eastAsia" w:ascii="宋体" w:hAnsi="宋体" w:eastAsia="宋体" w:cs="宋体"/>
                <w:b/>
                <w:bCs/>
                <w:color w:val="auto"/>
                <w:sz w:val="21"/>
                <w:szCs w:val="21"/>
                <w:highlight w:val="none"/>
              </w:rPr>
              <w:t>自然菌的消亡率</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9</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p>
          <w:p w14:paraId="0E3E3E02">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14.在</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20</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eastAsia="zh-CN"/>
              </w:rPr>
              <w:t>密闭空间，工作</w:t>
            </w:r>
            <w:r>
              <w:rPr>
                <w:rFonts w:hint="eastAsia" w:ascii="宋体" w:hAnsi="宋体" w:eastAsia="宋体" w:cs="宋体"/>
                <w:b w:val="0"/>
                <w:bCs w:val="0"/>
                <w:color w:val="auto"/>
                <w:sz w:val="21"/>
                <w:szCs w:val="21"/>
                <w:highlight w:val="none"/>
                <w:lang w:val="en-US" w:eastAsia="zh-CN"/>
              </w:rPr>
              <w:t>60分钟。</w:t>
            </w:r>
            <w:r>
              <w:rPr>
                <w:rFonts w:hint="eastAsia" w:ascii="宋体" w:hAnsi="宋体" w:eastAsia="宋体" w:cs="宋体"/>
                <w:b w:val="0"/>
                <w:bCs w:val="0"/>
                <w:color w:val="auto"/>
                <w:sz w:val="21"/>
                <w:szCs w:val="21"/>
                <w:highlight w:val="none"/>
                <w:lang w:eastAsia="zh-CN"/>
              </w:rPr>
              <w:t>环境中的</w:t>
            </w:r>
            <w:r>
              <w:rPr>
                <w:rFonts w:hint="eastAsia" w:ascii="宋体" w:hAnsi="宋体" w:eastAsia="宋体" w:cs="宋体"/>
                <w:b w:val="0"/>
                <w:bCs w:val="0"/>
                <w:color w:val="auto"/>
                <w:sz w:val="21"/>
                <w:szCs w:val="21"/>
                <w:highlight w:val="none"/>
              </w:rPr>
              <w:t>臭氧浓度：≤0.</w:t>
            </w:r>
            <w:r>
              <w:rPr>
                <w:rFonts w:hint="eastAsia" w:ascii="宋体" w:hAnsi="宋体" w:eastAsia="宋体" w:cs="宋体"/>
                <w:b w:val="0"/>
                <w:bCs w:val="0"/>
                <w:color w:val="auto"/>
                <w:sz w:val="21"/>
                <w:szCs w:val="21"/>
                <w:highlight w:val="none"/>
                <w:lang w:val="en-US" w:eastAsia="zh-CN"/>
              </w:rPr>
              <w:t>001</w:t>
            </w:r>
            <w:r>
              <w:rPr>
                <w:rFonts w:hint="eastAsia" w:ascii="宋体" w:hAnsi="宋体" w:eastAsia="宋体" w:cs="宋体"/>
                <w:b w:val="0"/>
                <w:bCs w:val="0"/>
                <w:color w:val="auto"/>
                <w:sz w:val="21"/>
                <w:szCs w:val="21"/>
                <w:highlight w:val="none"/>
              </w:rPr>
              <w:t>mg/</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eastAsia="zh-CN"/>
              </w:rPr>
              <w:t>。</w:t>
            </w:r>
          </w:p>
          <w:p w14:paraId="7457BD94">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15.对</w:t>
            </w:r>
            <w:r>
              <w:rPr>
                <w:rFonts w:hint="eastAsia" w:ascii="宋体" w:hAnsi="宋体" w:eastAsia="宋体" w:cs="宋体"/>
                <w:b w:val="0"/>
                <w:bCs w:val="0"/>
                <w:color w:val="auto"/>
                <w:sz w:val="21"/>
                <w:szCs w:val="21"/>
                <w:highlight w:val="none"/>
                <w:u w:val="none"/>
                <w:lang w:val="en-US" w:eastAsia="zh-CN"/>
              </w:rPr>
              <w:t>甲型流感病毒</w:t>
            </w:r>
            <w:r>
              <w:rPr>
                <w:rFonts w:hint="eastAsia" w:ascii="宋体" w:hAnsi="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u w:val="none"/>
                <w:lang w:val="en-US" w:eastAsia="zh-CN"/>
              </w:rPr>
              <w:t>H1N1</w:t>
            </w:r>
            <w:r>
              <w:rPr>
                <w:rFonts w:hint="eastAsia" w:ascii="宋体" w:hAnsi="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lang w:val="en-US" w:eastAsia="zh-CN"/>
              </w:rPr>
              <w:t>的清除率＞99.99%</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对</w:t>
            </w:r>
            <w:r>
              <w:rPr>
                <w:rFonts w:hint="eastAsia" w:ascii="宋体" w:hAnsi="宋体" w:eastAsia="宋体" w:cs="宋体"/>
                <w:b w:val="0"/>
                <w:bCs w:val="0"/>
                <w:color w:val="auto"/>
                <w:sz w:val="21"/>
                <w:szCs w:val="21"/>
                <w:highlight w:val="none"/>
                <w:u w:val="none"/>
                <w:lang w:val="en-US" w:eastAsia="zh-CN"/>
              </w:rPr>
              <w:t>冠状病毒（HCoV-229E</w:t>
            </w:r>
            <w:r>
              <w:rPr>
                <w:rFonts w:hint="eastAsia" w:ascii="宋体" w:hAnsi="宋体" w:cs="宋体"/>
                <w:b w:val="0"/>
                <w:bCs w:val="0"/>
                <w:color w:val="auto"/>
                <w:sz w:val="21"/>
                <w:szCs w:val="21"/>
                <w:highlight w:val="none"/>
                <w:u w:val="none"/>
                <w:lang w:val="en-US" w:eastAsia="zh-CN"/>
              </w:rPr>
              <w:t>）</w:t>
            </w:r>
            <w:r>
              <w:rPr>
                <w:rFonts w:hint="eastAsia" w:ascii="宋体" w:hAnsi="宋体" w:eastAsia="宋体" w:cs="宋体"/>
                <w:b w:val="0"/>
                <w:bCs w:val="0"/>
                <w:color w:val="auto"/>
                <w:sz w:val="21"/>
                <w:szCs w:val="21"/>
                <w:highlight w:val="none"/>
                <w:lang w:val="en-US" w:eastAsia="zh-CN"/>
              </w:rPr>
              <w:t>的清除率＞99.99%。</w:t>
            </w:r>
          </w:p>
          <w:p w14:paraId="6A4F3346">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16.</w:t>
            </w:r>
            <w:r>
              <w:rPr>
                <w:rFonts w:hint="eastAsia" w:ascii="宋体" w:hAnsi="宋体" w:eastAsia="宋体" w:cs="宋体"/>
                <w:b w:val="0"/>
                <w:bCs w:val="0"/>
                <w:color w:val="auto"/>
                <w:sz w:val="21"/>
                <w:szCs w:val="21"/>
                <w:highlight w:val="none"/>
                <w:lang w:eastAsia="zh-CN"/>
              </w:rPr>
              <w:t>对龟分枝杆菌的杀灭率</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99.97%。</w:t>
            </w:r>
          </w:p>
          <w:p w14:paraId="6C857E17">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17.</w:t>
            </w:r>
            <w:r>
              <w:rPr>
                <w:rFonts w:hint="eastAsia" w:ascii="宋体" w:hAnsi="宋体" w:eastAsia="宋体" w:cs="宋体"/>
                <w:b w:val="0"/>
                <w:bCs w:val="0"/>
                <w:color w:val="auto"/>
                <w:sz w:val="21"/>
                <w:szCs w:val="21"/>
                <w:highlight w:val="none"/>
              </w:rPr>
              <w:t>机器外壳采用ABS注塑</w:t>
            </w:r>
            <w:r>
              <w:rPr>
                <w:rFonts w:hint="eastAsia" w:ascii="宋体" w:hAnsi="宋体" w:eastAsia="宋体" w:cs="宋体"/>
                <w:b w:val="0"/>
                <w:bCs w:val="0"/>
                <w:color w:val="auto"/>
                <w:sz w:val="21"/>
                <w:szCs w:val="21"/>
                <w:highlight w:val="none"/>
                <w:lang w:eastAsia="zh-CN"/>
              </w:rPr>
              <w:t>工艺</w:t>
            </w:r>
            <w:r>
              <w:rPr>
                <w:rFonts w:hint="eastAsia" w:ascii="宋体" w:hAnsi="宋体" w:eastAsia="宋体" w:cs="宋体"/>
                <w:b w:val="0"/>
                <w:bCs w:val="0"/>
                <w:color w:val="auto"/>
                <w:sz w:val="21"/>
                <w:szCs w:val="21"/>
                <w:highlight w:val="none"/>
              </w:rPr>
              <w:t>，风道采用下进上出结构。</w:t>
            </w:r>
          </w:p>
          <w:p w14:paraId="710BC1D7">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18.</w:t>
            </w:r>
            <w:r>
              <w:rPr>
                <w:rFonts w:hint="eastAsia" w:ascii="宋体" w:hAnsi="宋体" w:eastAsia="宋体" w:cs="宋体"/>
                <w:b w:val="0"/>
                <w:bCs w:val="0"/>
                <w:color w:val="auto"/>
                <w:sz w:val="21"/>
                <w:szCs w:val="21"/>
                <w:highlight w:val="none"/>
              </w:rPr>
              <w:t>待机功耗：≤0.5W，</w:t>
            </w:r>
            <w:r>
              <w:rPr>
                <w:rFonts w:hint="eastAsia" w:ascii="宋体" w:hAnsi="宋体" w:eastAsia="宋体" w:cs="宋体"/>
                <w:b w:val="0"/>
                <w:bCs w:val="0"/>
                <w:color w:val="auto"/>
                <w:sz w:val="21"/>
                <w:szCs w:val="21"/>
                <w:highlight w:val="none"/>
                <w:lang w:eastAsia="zh-CN"/>
              </w:rPr>
              <w:t>输入</w:t>
            </w:r>
            <w:r>
              <w:rPr>
                <w:rFonts w:hint="eastAsia" w:ascii="宋体" w:hAnsi="宋体" w:eastAsia="宋体" w:cs="宋体"/>
                <w:b w:val="0"/>
                <w:bCs w:val="0"/>
                <w:color w:val="auto"/>
                <w:sz w:val="21"/>
                <w:szCs w:val="21"/>
                <w:highlight w:val="none"/>
              </w:rPr>
              <w:t>功率（W）：≤40W</w:t>
            </w:r>
            <w:r>
              <w:rPr>
                <w:rFonts w:hint="eastAsia" w:ascii="宋体" w:hAnsi="宋体" w:eastAsia="宋体" w:cs="宋体"/>
                <w:b w:val="0"/>
                <w:bCs w:val="0"/>
                <w:color w:val="auto"/>
                <w:sz w:val="21"/>
                <w:szCs w:val="21"/>
                <w:highlight w:val="none"/>
                <w:lang w:eastAsia="zh-CN"/>
              </w:rPr>
              <w:t>。</w:t>
            </w:r>
          </w:p>
          <w:p w14:paraId="6FAC8C4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19.</w:t>
            </w:r>
            <w:r>
              <w:rPr>
                <w:rFonts w:hint="eastAsia" w:ascii="宋体" w:hAnsi="宋体" w:eastAsia="宋体" w:cs="宋体"/>
                <w:b w:val="0"/>
                <w:bCs w:val="0"/>
                <w:color w:val="auto"/>
                <w:sz w:val="21"/>
                <w:szCs w:val="21"/>
                <w:highlight w:val="none"/>
              </w:rPr>
              <w:t>负离子发生量：≥1</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10</w:t>
            </w:r>
            <w:r>
              <w:rPr>
                <w:rFonts w:hint="eastAsia" w:ascii="宋体" w:hAnsi="宋体" w:eastAsia="宋体" w:cs="宋体"/>
                <w:b w:val="0"/>
                <w:bCs w:val="0"/>
                <w:color w:val="auto"/>
                <w:sz w:val="21"/>
                <w:szCs w:val="21"/>
                <w:highlight w:val="none"/>
                <w:vertAlign w:val="superscript"/>
                <w:lang w:val="en-US" w:eastAsia="zh-CN"/>
              </w:rPr>
              <w:t>8</w:t>
            </w:r>
            <w:r>
              <w:rPr>
                <w:rFonts w:hint="eastAsia" w:ascii="宋体" w:hAnsi="宋体" w:eastAsia="宋体" w:cs="宋体"/>
                <w:b w:val="0"/>
                <w:bCs w:val="0"/>
                <w:color w:val="auto"/>
                <w:sz w:val="21"/>
                <w:szCs w:val="21"/>
                <w:highlight w:val="none"/>
              </w:rPr>
              <w:t>个/‌cm³</w:t>
            </w:r>
            <w:r>
              <w:rPr>
                <w:rFonts w:hint="eastAsia" w:ascii="宋体" w:hAnsi="宋体" w:cs="宋体"/>
                <w:b w:val="0"/>
                <w:bCs w:val="0"/>
                <w:color w:val="auto"/>
                <w:sz w:val="21"/>
                <w:szCs w:val="21"/>
                <w:highlight w:val="none"/>
                <w:lang w:eastAsia="zh-CN"/>
              </w:rPr>
              <w:t>。</w:t>
            </w:r>
          </w:p>
          <w:p w14:paraId="0439A377">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20.初效过滤棉采用折叠式过滤棉。</w:t>
            </w:r>
          </w:p>
          <w:p w14:paraId="06EC3D44">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.投标人于投标文件中必须提供所投产品相应有效的卫生安全评价报告，加盖投标人电子签章</w:t>
            </w:r>
            <w:r>
              <w:rPr>
                <w:rFonts w:hint="eastAsia" w:ascii="宋体" w:hAnsi="宋体" w:eastAsia="宋体" w:cs="宋体"/>
                <w:b/>
                <w:bCs/>
                <w:color w:val="auto"/>
                <w:sz w:val="21"/>
                <w:szCs w:val="21"/>
                <w:highlight w:val="none"/>
                <w:lang w:eastAsia="zh-CN"/>
              </w:rPr>
              <w:t>。</w:t>
            </w:r>
          </w:p>
          <w:p w14:paraId="6AB08785">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.循环风量：</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1000</w:t>
            </w:r>
            <w:r>
              <w:rPr>
                <w:rFonts w:ascii="宋体" w:hAnsi="宋体" w:eastAsia="宋体" w:cs="宋体"/>
                <w:color w:val="auto"/>
                <w:sz w:val="24"/>
                <w:szCs w:val="24"/>
                <w:highlight w:val="none"/>
              </w:rPr>
              <w:t>m³</w:t>
            </w:r>
            <w:r>
              <w:rPr>
                <w:rFonts w:hint="eastAsia" w:ascii="宋体" w:hAnsi="宋体" w:eastAsia="宋体" w:cs="宋体"/>
                <w:b w:val="0"/>
                <w:bCs w:val="0"/>
                <w:color w:val="auto"/>
                <w:sz w:val="21"/>
                <w:szCs w:val="21"/>
                <w:highlight w:val="none"/>
                <w:lang w:val="en-US" w:eastAsia="zh-CN"/>
              </w:rPr>
              <w:t>/h</w:t>
            </w:r>
            <w:r>
              <w:rPr>
                <w:rFonts w:hint="eastAsia" w:ascii="宋体" w:hAnsi="宋体" w:eastAsia="宋体" w:cs="宋体"/>
                <w:b w:val="0"/>
                <w:bCs w:val="0"/>
                <w:color w:val="auto"/>
                <w:highlight w:val="none"/>
                <w:lang w:eastAsia="zh-CN"/>
              </w:rPr>
              <w:t>。</w:t>
            </w:r>
          </w:p>
          <w:p w14:paraId="7CF4B670">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提供手动、常开、定时三种工作模式供用户选择</w:t>
            </w:r>
            <w:r>
              <w:rPr>
                <w:rFonts w:hint="eastAsia" w:ascii="宋体" w:hAnsi="宋体" w:eastAsia="宋体" w:cs="宋体"/>
                <w:b w:val="0"/>
                <w:bCs w:val="0"/>
                <w:color w:val="auto"/>
                <w:sz w:val="21"/>
                <w:szCs w:val="21"/>
                <w:highlight w:val="none"/>
                <w:lang w:eastAsia="zh-CN"/>
              </w:rPr>
              <w:t>。</w:t>
            </w:r>
          </w:p>
          <w:p w14:paraId="00630A8F">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人机共存：设备为动态消毒机，可在人机共存的环境中使用，且不生成二次污染</w:t>
            </w:r>
            <w:r>
              <w:rPr>
                <w:rFonts w:hint="eastAsia" w:ascii="宋体" w:hAnsi="宋体" w:eastAsia="宋体" w:cs="宋体"/>
                <w:b w:val="0"/>
                <w:bCs w:val="0"/>
                <w:color w:val="auto"/>
                <w:sz w:val="21"/>
                <w:szCs w:val="21"/>
                <w:highlight w:val="none"/>
                <w:lang w:eastAsia="zh-CN"/>
              </w:rPr>
              <w:t>。</w:t>
            </w:r>
          </w:p>
          <w:p w14:paraId="332FC408">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7446019">
            <w:pPr>
              <w:keepNext w:val="0"/>
              <w:keepLines w:val="0"/>
              <w:widowControl/>
              <w:suppressLineNumbers w:val="0"/>
              <w:jc w:val="center"/>
              <w:textAlignment w:val="center"/>
              <w:rPr>
                <w:rFonts w:hint="eastAsia" w:ascii="宋体" w:hAnsi="宋体" w:eastAsia="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4</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0BEF089E">
            <w:pPr>
              <w:tabs>
                <w:tab w:val="left" w:pos="180"/>
                <w:tab w:val="left" w:pos="1620"/>
              </w:tabs>
              <w:adjustRightInd w:val="0"/>
              <w:snapToGrid w:val="0"/>
              <w:spacing w:line="36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D42CDD1">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4400.00</w:t>
            </w:r>
          </w:p>
        </w:tc>
      </w:tr>
      <w:tr w14:paraId="74B1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6969729">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2</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53C687E8">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肌电生物反馈刺激仪</w:t>
            </w:r>
          </w:p>
        </w:tc>
        <w:tc>
          <w:tcPr>
            <w:tcW w:w="934" w:type="dxa"/>
            <w:tcBorders>
              <w:top w:val="single" w:color="auto" w:sz="4" w:space="0"/>
              <w:left w:val="single" w:color="auto" w:sz="4" w:space="0"/>
              <w:right w:val="single" w:color="auto" w:sz="4" w:space="0"/>
            </w:tcBorders>
            <w:noWrap w:val="0"/>
            <w:vAlign w:val="center"/>
          </w:tcPr>
          <w:p w14:paraId="0906BE30">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1254839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一、工作原理</w:t>
            </w:r>
          </w:p>
          <w:p w14:paraId="5B4E17B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采集患者体表的肌电信号，经过滤波处理提取信号强度，根据肌电反馈大小同步输出相应强度的电刺激，激发患者特定肢体部位肌肉伸缩运动，实现患肢自主运动功能训练。</w:t>
            </w:r>
          </w:p>
          <w:p w14:paraId="06736FF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二、技术参数</w:t>
            </w:r>
          </w:p>
          <w:p w14:paraId="20781453">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strike w:val="0"/>
                <w:color w:val="auto"/>
                <w:sz w:val="21"/>
                <w:szCs w:val="21"/>
                <w:highlight w:val="none"/>
                <w:lang w:val="en-US" w:eastAsia="zh-CN"/>
              </w:rPr>
              <w:t>主</w:t>
            </w:r>
            <w:r>
              <w:rPr>
                <w:rFonts w:hint="eastAsia" w:ascii="宋体" w:hAnsi="宋体" w:eastAsia="宋体" w:cs="宋体"/>
                <w:b w:val="0"/>
                <w:bCs w:val="0"/>
                <w:color w:val="auto"/>
                <w:sz w:val="21"/>
                <w:szCs w:val="21"/>
                <w:highlight w:val="none"/>
                <w:lang w:val="en-US" w:eastAsia="zh-CN"/>
              </w:rPr>
              <w:t>机可随身携带，主机外形：长≥375mm，宽≥135mm，高≥26mm，单个主机重量≤210g。</w:t>
            </w:r>
          </w:p>
          <w:p w14:paraId="57824AB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2.≥3.5英寸彩色触摸屏设计，各项数据实时显示，采用内置环保锂电池，Type-C充电端口，充满电可连续使用至少4小时。</w:t>
            </w:r>
          </w:p>
          <w:p w14:paraId="671CD99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每次启动治疗，所有输出强度均自动置于0位置，防止在非启动状态下出现有电流造成患者灼伤风险，具备电极脱落检测功能；异常时（短路或开路时）停止刺激输出，并作出屏幕弹窗提示，主机具有低电量报警提示功能。</w:t>
            </w:r>
          </w:p>
          <w:p w14:paraId="530D002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4.治疗模式：连续脉冲治疗模式，输出波形：双向方波。</w:t>
            </w:r>
          </w:p>
          <w:p w14:paraId="700111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5.反馈阈值：10～1000μV，允差±10%，分辨率</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测量灵敏度</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：≤2μV。</w:t>
            </w:r>
          </w:p>
          <w:p w14:paraId="494748A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6.通频带：通频带应不窄于20Hz～500Hz</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-3dB</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不包括陷波波段</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，系统噪声：≤1μV。</w:t>
            </w:r>
          </w:p>
          <w:p w14:paraId="689B9D7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7.差模输入阻抗：＞5MΩ，共模抑制比：＞100dB。</w:t>
            </w:r>
          </w:p>
          <w:p w14:paraId="2903A89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8.频率：2Hz～100Hz可调，脉宽：50μs～450μs可调。</w:t>
            </w:r>
          </w:p>
          <w:p w14:paraId="0D04881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输出峰值电流强度：0～60mA可调</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允差±10%或±2mA。</w:t>
            </w:r>
          </w:p>
          <w:p w14:paraId="16DC1A5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10.不少于4种工作模式，其中至少包括表面肌电评估、神经肌肉电刺激、肌电触发电刺激、助力电刺激。</w:t>
            </w:r>
          </w:p>
          <w:p w14:paraId="5E36E7D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11.具备神经肌肉电刺激功能，在被动状态下接受电刺激治疗，以作为提高肌肉兴奋性的作用。</w:t>
            </w:r>
          </w:p>
          <w:p w14:paraId="543CADA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12.具备肌电触发电刺激功能，可采集并量化表面肌电信号，当肌肉激活状态达到目标阈值时，启动相匹配的激励性电刺激，患者进行肌肉收缩，激活电刺激靶肌群，产生正性反馈治疗。</w:t>
            </w:r>
          </w:p>
          <w:p w14:paraId="6D45A90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13.具备助力电刺激功能，强化正反馈，根据肌电信号实时改变电刺激强度，肌电值越大，电流强度也越大；强调患者的主观运动，并提供积极、正向的反馈，帮助患者恢复运动功能。</w:t>
            </w:r>
          </w:p>
          <w:p w14:paraId="4C7E3F8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14.具备不锈钢一体式电极，可直接佩戴于手臂，具备表面肌电评估功能，实时评估患者肌力情况，具备表面肌电评估功能，实时评估患者肌力情况</w:t>
            </w:r>
            <w:r>
              <w:rPr>
                <w:rFonts w:hint="eastAsia" w:ascii="宋体" w:hAnsi="宋体" w:cs="宋体"/>
                <w:b/>
                <w:bCs/>
                <w:color w:val="auto"/>
                <w:sz w:val="21"/>
                <w:szCs w:val="21"/>
                <w:highlight w:val="none"/>
                <w:lang w:val="en-US" w:eastAsia="zh-CN"/>
              </w:rPr>
              <w:t>。</w:t>
            </w:r>
          </w:p>
          <w:p w14:paraId="6B367B6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15.主机内置不少于4个处方，其中至少包括：肌力增强、促进血循</w:t>
            </w:r>
            <w:r>
              <w:rPr>
                <w:rFonts w:hint="eastAsia" w:ascii="宋体" w:hAnsi="宋体" w:cs="宋体"/>
                <w:b/>
                <w:bCs/>
                <w:color w:val="auto"/>
                <w:sz w:val="21"/>
                <w:szCs w:val="21"/>
                <w:highlight w:val="none"/>
                <w:lang w:val="en-US" w:eastAsia="zh-CN"/>
              </w:rPr>
              <w:t>环</w:t>
            </w:r>
            <w:r>
              <w:rPr>
                <w:rFonts w:hint="eastAsia" w:ascii="宋体" w:hAnsi="宋体" w:eastAsia="宋体" w:cs="宋体"/>
                <w:b/>
                <w:bCs/>
                <w:color w:val="auto"/>
                <w:sz w:val="21"/>
                <w:szCs w:val="21"/>
                <w:highlight w:val="none"/>
                <w:lang w:val="en-US" w:eastAsia="zh-CN"/>
              </w:rPr>
              <w:t>、缓解痉挛、镇痛。</w:t>
            </w:r>
          </w:p>
          <w:p w14:paraId="0F3B9FF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16.电极片为设备的一部分，可重复使用，不需要耗材。</w:t>
            </w:r>
          </w:p>
          <w:p w14:paraId="28ABAFC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1019C78">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6</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599E6DC3">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5B4FD75B">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19000.00</w:t>
            </w:r>
          </w:p>
        </w:tc>
      </w:tr>
      <w:tr w14:paraId="079D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42DD0F3B">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3</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1DAE8158">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内镜用二氧化碳送气装置</w:t>
            </w:r>
          </w:p>
        </w:tc>
        <w:tc>
          <w:tcPr>
            <w:tcW w:w="934" w:type="dxa"/>
            <w:tcBorders>
              <w:top w:val="single" w:color="auto" w:sz="4" w:space="0"/>
              <w:left w:val="single" w:color="auto" w:sz="4" w:space="0"/>
              <w:right w:val="single" w:color="auto" w:sz="4" w:space="0"/>
            </w:tcBorders>
            <w:noWrap w:val="0"/>
            <w:vAlign w:val="center"/>
          </w:tcPr>
          <w:p w14:paraId="5B220F1E">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53CEC57A">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snapToGrid w:val="0"/>
                <w:color w:val="auto"/>
                <w:sz w:val="21"/>
                <w:szCs w:val="21"/>
                <w:highlight w:val="none"/>
              </w:rPr>
              <w:t>气体类型：医用二氧化碳气体</w:t>
            </w:r>
            <w:r>
              <w:rPr>
                <w:rFonts w:hint="eastAsia" w:ascii="宋体" w:hAnsi="宋体" w:eastAsia="宋体" w:cs="宋体"/>
                <w:b w:val="0"/>
                <w:bCs w:val="0"/>
                <w:snapToGrid w:val="0"/>
                <w:color w:val="auto"/>
                <w:sz w:val="21"/>
                <w:szCs w:val="21"/>
                <w:highlight w:val="none"/>
                <w:lang w:eastAsia="zh-CN"/>
              </w:rPr>
              <w:t>。</w:t>
            </w:r>
          </w:p>
          <w:p w14:paraId="12653F88">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具有输出压力监测，当输出管路终端的压力超过45kPa（允许有±5kPa的偏差）时，设备应中断二氧化碳气体输出并发出声音提示。</w:t>
            </w:r>
          </w:p>
          <w:p w14:paraId="15F0DF03">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val="0"/>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val="0"/>
                <w:color w:val="auto"/>
                <w:kern w:val="2"/>
                <w:sz w:val="21"/>
                <w:szCs w:val="21"/>
                <w:highlight w:val="none"/>
                <w:lang w:val="en-US" w:eastAsia="zh-CN" w:bidi="ar-SA"/>
              </w:rPr>
              <w:t>3.</w:t>
            </w:r>
            <w:r>
              <w:rPr>
                <w:rFonts w:hint="eastAsia" w:ascii="宋体" w:hAnsi="宋体" w:eastAsia="宋体" w:cs="宋体"/>
                <w:b/>
                <w:bCs w:val="0"/>
                <w:color w:val="auto"/>
                <w:sz w:val="21"/>
                <w:szCs w:val="21"/>
                <w:highlight w:val="none"/>
              </w:rPr>
              <w:t>有输出“高流量”档和“低流量”档选择功能，高流量档（Flow High）：3.0 L/min±0.3L/min</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rPr>
              <w:t>低流量档（Flow Low）：2.0 L/min±0.2L/min</w:t>
            </w:r>
            <w:r>
              <w:rPr>
                <w:rFonts w:hint="eastAsia" w:ascii="宋体" w:hAnsi="宋体" w:cs="宋体"/>
                <w:b/>
                <w:bCs w:val="0"/>
                <w:color w:val="auto"/>
                <w:sz w:val="21"/>
                <w:szCs w:val="21"/>
                <w:highlight w:val="none"/>
                <w:lang w:eastAsia="zh-CN"/>
              </w:rPr>
              <w:t>。</w:t>
            </w:r>
          </w:p>
          <w:p w14:paraId="771CE845">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4.送气装置能实时显示气体流量，开机默认为上一次设置的流量档位。</w:t>
            </w:r>
          </w:p>
          <w:p w14:paraId="425EE7DF">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具有输入压力监测，提供欠压/过压报警功能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输入额定压力：350kPa±30kPa</w:t>
            </w:r>
            <w:r>
              <w:rPr>
                <w:rFonts w:hint="eastAsia" w:ascii="宋体" w:hAnsi="宋体" w:eastAsia="宋体" w:cs="宋体"/>
                <w:color w:val="auto"/>
                <w:sz w:val="21"/>
                <w:szCs w:val="21"/>
                <w:highlight w:val="none"/>
                <w:lang w:val="en-US" w:eastAsia="zh-CN"/>
              </w:rPr>
              <w:t>.</w:t>
            </w:r>
          </w:p>
          <w:p w14:paraId="24403A3F">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val="0"/>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val="0"/>
                <w:color w:val="auto"/>
                <w:sz w:val="21"/>
                <w:szCs w:val="21"/>
                <w:highlight w:val="none"/>
                <w:lang w:val="en-US" w:eastAsia="zh-CN"/>
              </w:rPr>
              <w:t>6.</w:t>
            </w:r>
            <w:r>
              <w:rPr>
                <w:rFonts w:hint="eastAsia" w:ascii="宋体" w:hAnsi="宋体" w:eastAsia="宋体" w:cs="宋体"/>
                <w:b/>
                <w:bCs w:val="0"/>
                <w:color w:val="auto"/>
                <w:sz w:val="21"/>
                <w:szCs w:val="21"/>
                <w:highlight w:val="none"/>
              </w:rPr>
              <w:t>工作压力范围：100kPa～600kPa</w:t>
            </w:r>
            <w:r>
              <w:rPr>
                <w:rFonts w:hint="eastAsia" w:ascii="宋体" w:hAnsi="宋体" w:eastAsia="宋体" w:cs="宋体"/>
                <w:b/>
                <w:bCs w:val="0"/>
                <w:color w:val="auto"/>
                <w:sz w:val="21"/>
                <w:szCs w:val="21"/>
                <w:highlight w:val="none"/>
                <w:lang w:eastAsia="zh-CN"/>
              </w:rPr>
              <w:t>。</w:t>
            </w:r>
          </w:p>
          <w:p w14:paraId="5D706176">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具有定时功能，当未选择定时档位时，定时功能被禁止</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开机默认为定时功能被禁止。</w:t>
            </w:r>
          </w:p>
          <w:p w14:paraId="42A52F9F">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定时短（Short）：15 min，误差为±10s定时长（Long）：30min，误差为±10s</w:t>
            </w:r>
            <w:r>
              <w:rPr>
                <w:rFonts w:hint="eastAsia" w:ascii="宋体" w:hAnsi="宋体" w:eastAsia="宋体" w:cs="宋体"/>
                <w:b w:val="0"/>
                <w:bCs/>
                <w:color w:val="auto"/>
                <w:sz w:val="21"/>
                <w:szCs w:val="21"/>
                <w:highlight w:val="none"/>
                <w:lang w:eastAsia="zh-CN"/>
              </w:rPr>
              <w:t>。</w:t>
            </w:r>
          </w:p>
          <w:p w14:paraId="2BCF24DC">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具有输出加热功能，送气装置输出二氧化碳气体温度不超过37℃。</w:t>
            </w:r>
          </w:p>
          <w:p w14:paraId="096F4BFE">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3D41190">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42B23C09">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4A1071A0">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53000.00</w:t>
            </w:r>
          </w:p>
        </w:tc>
      </w:tr>
      <w:tr w14:paraId="07743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189F818E">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4</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B6EE36F">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输液泵</w:t>
            </w:r>
          </w:p>
        </w:tc>
        <w:tc>
          <w:tcPr>
            <w:tcW w:w="934" w:type="dxa"/>
            <w:tcBorders>
              <w:top w:val="single" w:color="auto" w:sz="4" w:space="0"/>
              <w:left w:val="single" w:color="auto" w:sz="4" w:space="0"/>
              <w:right w:val="single" w:color="auto" w:sz="4" w:space="0"/>
            </w:tcBorders>
            <w:noWrap w:val="0"/>
            <w:vAlign w:val="center"/>
          </w:tcPr>
          <w:p w14:paraId="769B9A6C">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7753FF0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1.</w:t>
            </w:r>
            <w:r>
              <w:rPr>
                <w:rFonts w:hint="eastAsia" w:ascii="宋体" w:hAnsi="宋体" w:cs="宋体"/>
                <w:b/>
                <w:bCs/>
                <w:color w:val="auto"/>
                <w:sz w:val="21"/>
                <w:szCs w:val="21"/>
                <w:highlight w:val="none"/>
                <w:lang w:val="en-US" w:eastAsia="zh-CN"/>
              </w:rPr>
              <w:t>设计使用年限</w:t>
            </w:r>
            <w:r>
              <w:rPr>
                <w:rFonts w:hint="eastAsia" w:ascii="宋体" w:hAnsi="宋体" w:eastAsia="宋体" w:cs="宋体"/>
                <w:b/>
                <w:bCs/>
                <w:color w:val="auto"/>
                <w:sz w:val="21"/>
                <w:szCs w:val="21"/>
                <w:highlight w:val="none"/>
                <w:lang w:val="en-US" w:eastAsia="zh-CN"/>
              </w:rPr>
              <w:t>≥10年，支持输血功能以及支持输肠内营养液功能。</w:t>
            </w:r>
          </w:p>
          <w:p w14:paraId="08C2E4D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2.输液精度≤±5%。</w:t>
            </w:r>
          </w:p>
          <w:p w14:paraId="73ADED67">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3.输液速度范围：0.1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2000ml/h</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且最小步进为0.01ml/h。</w:t>
            </w:r>
          </w:p>
          <w:p w14:paraId="7690B80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4.快推速度范围：0.1</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2000ml/h。</w:t>
            </w:r>
          </w:p>
          <w:p w14:paraId="7A2A462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5.可自动统计四种累计量：24h累计量、最近累计量、自定义时间段累计量、定时间隔累计量。</w:t>
            </w:r>
          </w:p>
          <w:p w14:paraId="77724C0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6.不少于8种输液模式，至少包括：速度模式、时间模式、体重模式、梯度模式、序列模式、剂量时间模式</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间断给药模式、点滴模式。</w:t>
            </w:r>
          </w:p>
          <w:p w14:paraId="500DDF0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7.支持镇痛药、化疗药、胰岛素输注。</w:t>
            </w:r>
          </w:p>
          <w:p w14:paraId="57A11B5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▲8.可选时辰给药模式，支持正弦时辰给药和恒速时辰给药两种方式，适用于肿瘤科输注化疗药物。</w:t>
            </w:r>
          </w:p>
          <w:p w14:paraId="36275E87">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9.不小于3.5英寸彩色显示屏，电容触摸屏技术。</w:t>
            </w:r>
          </w:p>
          <w:p w14:paraId="176DA95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10.支持药物库，可储存至少5000种药物信息。</w:t>
            </w:r>
          </w:p>
          <w:p w14:paraId="31E6579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11.支持药物色彩标识，选择不同类型药物时对应的药物色彩标识自动显示在屏幕上，支持20种及以上颜色。</w:t>
            </w:r>
          </w:p>
          <w:p w14:paraId="6BAC32A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12.在线动态压力监测，可实时显示当前压力数值。</w:t>
            </w:r>
          </w:p>
          <w:p w14:paraId="08E4826D">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13.阻塞压力报警档位至少15档，最低档位可设置50mmHg。</w:t>
            </w:r>
          </w:p>
          <w:p w14:paraId="5FB7023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14.具备阻塞前预警提示功能，当管路压力未触发阻塞报警时，泵可自动识别压力上升并在屏幕上进行提示。</w:t>
            </w:r>
          </w:p>
          <w:p w14:paraId="51EF952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15.具备阻塞后自动重启输液功能，短暂性阻塞触发报警后，泵检测到阻塞压力缓解时，无需人为干预，泵自动重新启动输液。</w:t>
            </w:r>
          </w:p>
          <w:p w14:paraId="34B3866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16.具备气泡报警功能，支持最小15μL的单个气泡报警。</w:t>
            </w:r>
          </w:p>
          <w:p w14:paraId="7C97F7F9">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17.具有历史记录功能，可存储至少5000条的历史记录</w:t>
            </w:r>
            <w:r>
              <w:rPr>
                <w:rFonts w:hint="eastAsia" w:ascii="宋体" w:hAnsi="宋体" w:eastAsia="宋体" w:cs="宋体"/>
                <w:color w:val="auto"/>
                <w:sz w:val="21"/>
                <w:szCs w:val="21"/>
                <w:highlight w:val="none"/>
                <w:lang w:eastAsia="zh-CN"/>
              </w:rPr>
              <w:t>。</w:t>
            </w:r>
          </w:p>
          <w:p w14:paraId="6B78B80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18.电池工作时间≥5小时@25ml/h。</w:t>
            </w:r>
          </w:p>
          <w:p w14:paraId="06DAE10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▲19.防异物及进液等级不低于IP44。</w:t>
            </w:r>
          </w:p>
          <w:p w14:paraId="75D0BD85">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ascii="宋体" w:hAnsi="宋体" w:cs="宋体"/>
                <w:b/>
                <w:color w:val="auto"/>
                <w:szCs w:val="21"/>
                <w:highlight w:val="none"/>
              </w:rPr>
            </w:pPr>
            <w:r>
              <w:rPr>
                <w:rFonts w:hint="eastAsia" w:ascii="宋体" w:hAnsi="宋体" w:eastAsia="宋体" w:cs="宋体"/>
                <w:color w:val="auto"/>
                <w:sz w:val="21"/>
                <w:szCs w:val="21"/>
                <w:highlight w:val="none"/>
                <w:lang w:val="en-US" w:eastAsia="zh-CN"/>
              </w:rPr>
              <w:t>20.整机重量不超过1.5kg。</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6245208">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3</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11D8E7D6">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33A53E72">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5500.00</w:t>
            </w:r>
          </w:p>
        </w:tc>
      </w:tr>
      <w:tr w14:paraId="57E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7FEEBFD5">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5</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63EE63B">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体外振动排痰机</w:t>
            </w:r>
          </w:p>
        </w:tc>
        <w:tc>
          <w:tcPr>
            <w:tcW w:w="934" w:type="dxa"/>
            <w:tcBorders>
              <w:top w:val="single" w:color="auto" w:sz="4" w:space="0"/>
              <w:left w:val="single" w:color="auto" w:sz="4" w:space="0"/>
              <w:right w:val="single" w:color="auto" w:sz="4" w:space="0"/>
            </w:tcBorders>
            <w:noWrap w:val="0"/>
            <w:vAlign w:val="center"/>
          </w:tcPr>
          <w:p w14:paraId="0FCA30D5">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5D870542">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1.适用范围：协助术后、体弱患者增强排除呼吸系统痰液等分泌物的能力，改善淤滞的肺部血液循环状况，预防、减少呼吸系统并发症的发生。</w:t>
            </w:r>
          </w:p>
          <w:p w14:paraId="48CF515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2.结构形式：不可分拆的柜机推车式，显示方式：液晶显示界面，主要构成：由一台主机、</w:t>
            </w:r>
            <w:r>
              <w:rPr>
                <w:rFonts w:hint="eastAsia" w:ascii="宋体" w:hAnsi="宋体" w:cs="宋体"/>
                <w:b/>
                <w:bCs/>
                <w:color w:val="auto"/>
                <w:sz w:val="21"/>
                <w:szCs w:val="21"/>
                <w:highlight w:val="none"/>
                <w:lang w:val="en-US" w:eastAsia="zh-CN"/>
              </w:rPr>
              <w:t>两</w:t>
            </w:r>
            <w:r>
              <w:rPr>
                <w:rFonts w:hint="eastAsia" w:ascii="宋体" w:hAnsi="宋体" w:eastAsia="宋体" w:cs="宋体"/>
                <w:b/>
                <w:bCs/>
                <w:color w:val="auto"/>
                <w:sz w:val="21"/>
                <w:szCs w:val="21"/>
                <w:highlight w:val="none"/>
                <w:lang w:val="en-US" w:eastAsia="zh-CN"/>
              </w:rPr>
              <w:t>套传动系统和</w:t>
            </w:r>
            <w:r>
              <w:rPr>
                <w:rFonts w:hint="eastAsia" w:ascii="宋体" w:hAnsi="宋体" w:cs="宋体"/>
                <w:b/>
                <w:bCs/>
                <w:color w:val="auto"/>
                <w:sz w:val="21"/>
                <w:szCs w:val="21"/>
                <w:highlight w:val="none"/>
                <w:lang w:val="en-US" w:eastAsia="zh-CN"/>
              </w:rPr>
              <w:t>两</w:t>
            </w:r>
            <w:r>
              <w:rPr>
                <w:rFonts w:hint="eastAsia" w:ascii="宋体" w:hAnsi="宋体" w:eastAsia="宋体" w:cs="宋体"/>
                <w:b/>
                <w:bCs/>
                <w:color w:val="auto"/>
                <w:sz w:val="21"/>
                <w:szCs w:val="21"/>
                <w:highlight w:val="none"/>
                <w:lang w:val="en-US" w:eastAsia="zh-CN"/>
              </w:rPr>
              <w:t>套动力输出装置（即治疗头）等组成。</w:t>
            </w:r>
          </w:p>
          <w:p w14:paraId="0F813D7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3.操作方式：</w:t>
            </w:r>
            <w:r>
              <w:rPr>
                <w:rFonts w:hint="eastAsia" w:ascii="宋体" w:hAnsi="宋体" w:cs="宋体"/>
                <w:b/>
                <w:bCs/>
                <w:color w:val="auto"/>
                <w:sz w:val="21"/>
                <w:szCs w:val="21"/>
                <w:highlight w:val="none"/>
                <w:lang w:val="en-US" w:eastAsia="zh-CN"/>
              </w:rPr>
              <w:t>采用</w:t>
            </w:r>
            <w:r>
              <w:rPr>
                <w:rFonts w:hint="eastAsia" w:ascii="宋体" w:hAnsi="宋体" w:eastAsia="宋体" w:cs="宋体"/>
                <w:b/>
                <w:bCs/>
                <w:color w:val="auto"/>
                <w:sz w:val="21"/>
                <w:szCs w:val="21"/>
                <w:highlight w:val="none"/>
                <w:lang w:val="en-US" w:eastAsia="zh-CN"/>
              </w:rPr>
              <w:t>一键飞梭的操作方式，所有功能的调节仅需通过对一个键施以旋转及按压动作即可全部完成</w:t>
            </w:r>
            <w:r>
              <w:rPr>
                <w:rFonts w:hint="eastAsia" w:ascii="宋体" w:hAnsi="宋体" w:cs="宋体"/>
                <w:b/>
                <w:bCs/>
                <w:color w:val="auto"/>
                <w:sz w:val="21"/>
                <w:szCs w:val="21"/>
                <w:highlight w:val="none"/>
                <w:lang w:eastAsia="zh-CN"/>
              </w:rPr>
              <w:t>（投标人于投标文件中必须提供所投产品满足本项功能的相关有效证明材料，可以是产品彩页、产品实物图、产品说明书等相关有效证明材料，并加盖投标人电子签章）</w:t>
            </w:r>
            <w:r>
              <w:rPr>
                <w:rFonts w:hint="eastAsia" w:ascii="宋体" w:hAnsi="宋体" w:eastAsia="宋体" w:cs="宋体"/>
                <w:color w:val="auto"/>
                <w:sz w:val="21"/>
                <w:szCs w:val="21"/>
                <w:highlight w:val="none"/>
                <w:lang w:val="en-US" w:eastAsia="zh-CN"/>
              </w:rPr>
              <w:t>。</w:t>
            </w:r>
          </w:p>
          <w:p w14:paraId="15815203">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▲4.输出路数：至少包含一路C型标准传动形式，一路X型轻便传动形式，伺服系统：具有动力补偿功能，动力补偿能力≥3Hz。</w:t>
            </w:r>
          </w:p>
          <w:p w14:paraId="6A6D923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5.标准传动形式：动力头外径尺寸≥90mm，至少配备6种不同型号的治疗头。</w:t>
            </w:r>
          </w:p>
          <w:p w14:paraId="6D8A389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6.轻便传动形式：动力头外径尺寸≥50mm，至少配备5种不同型号的治疗头。</w:t>
            </w:r>
          </w:p>
          <w:p w14:paraId="14055504">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7.传动动力头偏心距：轻便型1.7mm±1mm；标准型3mm±0.5mm。</w:t>
            </w:r>
          </w:p>
          <w:p w14:paraId="4F5600F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8.工作模式：手动模式和自动程序模式。</w:t>
            </w:r>
          </w:p>
          <w:p w14:paraId="2A2A77F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9.手动模式频率范围：标准型传动型式为10Hz～60Hz，频率连续可调，步距为1Hz。</w:t>
            </w:r>
          </w:p>
          <w:p w14:paraId="000FCFD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轻便型传动型式为10Hz～30Hz，频率连续可调，步距为1Hz。</w:t>
            </w:r>
          </w:p>
          <w:p w14:paraId="5069316D">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10.手动模式定时范围：1min</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60min，连续可调，步距1min。</w:t>
            </w:r>
          </w:p>
          <w:p w14:paraId="1FFDE04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▲11.自动程序模式：至少有四种自动程序模式。</w:t>
            </w:r>
          </w:p>
          <w:p w14:paraId="07758C2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12.自动模式定时范围：5min、10min、15min、20min。</w:t>
            </w:r>
          </w:p>
          <w:p w14:paraId="3ECB7D83">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cs="宋体"/>
                <w:color w:val="auto"/>
                <w:sz w:val="21"/>
                <w:szCs w:val="21"/>
                <w:highlight w:val="none"/>
                <w:lang w:val="en-US" w:eastAsia="zh-CN"/>
              </w:rPr>
              <w:t>配备</w:t>
            </w:r>
            <w:r>
              <w:rPr>
                <w:rFonts w:hint="eastAsia" w:ascii="宋体" w:hAnsi="宋体" w:cs="宋体"/>
                <w:b w:val="0"/>
                <w:bCs/>
                <w:color w:val="auto"/>
                <w:szCs w:val="21"/>
                <w:highlight w:val="none"/>
                <w:lang w:val="en-US" w:eastAsia="zh-CN"/>
              </w:rPr>
              <w:t>体外振动排痰机</w:t>
            </w:r>
            <w:r>
              <w:rPr>
                <w:rFonts w:hint="eastAsia" w:ascii="宋体" w:hAnsi="宋体" w:cs="宋体"/>
                <w:color w:val="auto"/>
                <w:sz w:val="21"/>
                <w:szCs w:val="21"/>
                <w:highlight w:val="none"/>
                <w:lang w:val="en-US" w:eastAsia="zh-CN"/>
              </w:rPr>
              <w:t>控制软件并</w:t>
            </w:r>
            <w:r>
              <w:rPr>
                <w:rFonts w:hint="eastAsia" w:ascii="宋体" w:hAnsi="宋体" w:eastAsia="宋体" w:cs="宋体"/>
                <w:color w:val="auto"/>
                <w:sz w:val="21"/>
                <w:szCs w:val="21"/>
                <w:highlight w:val="none"/>
                <w:lang w:val="en-US" w:eastAsia="zh-CN"/>
              </w:rPr>
              <w:t>具有</w:t>
            </w:r>
            <w:r>
              <w:rPr>
                <w:rFonts w:hint="eastAsia" w:ascii="宋体" w:hAnsi="宋体" w:cs="宋体"/>
                <w:color w:val="auto"/>
                <w:sz w:val="21"/>
                <w:szCs w:val="21"/>
                <w:highlight w:val="none"/>
                <w:lang w:val="en-US" w:eastAsia="zh-CN"/>
              </w:rPr>
              <w:t>合法</w:t>
            </w:r>
            <w:r>
              <w:rPr>
                <w:rFonts w:hint="eastAsia" w:ascii="宋体" w:hAnsi="宋体" w:eastAsia="宋体" w:cs="宋体"/>
                <w:color w:val="auto"/>
                <w:sz w:val="21"/>
                <w:szCs w:val="21"/>
                <w:highlight w:val="none"/>
                <w:lang w:val="en-US" w:eastAsia="zh-CN"/>
              </w:rPr>
              <w:t>知识产权</w:t>
            </w:r>
            <w:r>
              <w:rPr>
                <w:rFonts w:hint="eastAsia" w:ascii="宋体" w:hAnsi="宋体" w:cs="宋体"/>
                <w:b/>
                <w:bCs/>
                <w:color w:val="auto"/>
                <w:sz w:val="21"/>
                <w:szCs w:val="21"/>
                <w:highlight w:val="none"/>
                <w:lang w:val="en-US" w:eastAsia="zh-CN"/>
              </w:rPr>
              <w:t>【投标人于投标文件中提供相关有效证明材料（</w:t>
            </w:r>
            <w:r>
              <w:rPr>
                <w:rFonts w:hint="eastAsia" w:ascii="宋体" w:hAnsi="宋体" w:eastAsia="宋体" w:cs="宋体"/>
                <w:b/>
                <w:bCs/>
                <w:color w:val="auto"/>
                <w:sz w:val="21"/>
                <w:szCs w:val="21"/>
                <w:highlight w:val="none"/>
                <w:lang w:val="en-US" w:eastAsia="zh-CN"/>
              </w:rPr>
              <w:t>包括</w:t>
            </w:r>
            <w:r>
              <w:rPr>
                <w:rFonts w:hint="eastAsia" w:ascii="宋体" w:hAnsi="宋体" w:cs="宋体"/>
                <w:b/>
                <w:bCs/>
                <w:color w:val="auto"/>
                <w:sz w:val="21"/>
                <w:szCs w:val="21"/>
                <w:highlight w:val="none"/>
                <w:lang w:val="en-US" w:eastAsia="zh-CN"/>
              </w:rPr>
              <w:t>但不限于</w:t>
            </w:r>
            <w:r>
              <w:rPr>
                <w:rFonts w:hint="eastAsia" w:ascii="宋体" w:hAnsi="宋体" w:eastAsia="宋体" w:cs="宋体"/>
                <w:b/>
                <w:bCs/>
                <w:color w:val="auto"/>
                <w:sz w:val="21"/>
                <w:szCs w:val="21"/>
                <w:highlight w:val="none"/>
                <w:lang w:val="en-US" w:eastAsia="zh-CN"/>
              </w:rPr>
              <w:t>计算机软件著作权登记证书</w:t>
            </w:r>
            <w:r>
              <w:rPr>
                <w:rFonts w:hint="eastAsia" w:ascii="宋体" w:hAnsi="宋体" w:cs="宋体"/>
                <w:b/>
                <w:bCs/>
                <w:color w:val="auto"/>
                <w:sz w:val="21"/>
                <w:szCs w:val="21"/>
                <w:highlight w:val="none"/>
                <w:lang w:val="en-US" w:eastAsia="zh-CN"/>
              </w:rPr>
              <w:t>复印件等相关有效证明材料</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，加盖投标人电子签章】</w:t>
            </w:r>
            <w:r>
              <w:rPr>
                <w:rFonts w:hint="eastAsia" w:ascii="宋体" w:hAnsi="宋体" w:cs="宋体"/>
                <w:color w:val="auto"/>
                <w:sz w:val="21"/>
                <w:szCs w:val="21"/>
                <w:highlight w:val="none"/>
                <w:lang w:val="en-US" w:eastAsia="zh-CN"/>
              </w:rPr>
              <w:t>。</w:t>
            </w:r>
          </w:p>
          <w:p w14:paraId="4A6885EF">
            <w:pPr>
              <w:pStyle w:val="100"/>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B49768C">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7246BFFD">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9C59991">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25000.00</w:t>
            </w:r>
          </w:p>
        </w:tc>
      </w:tr>
      <w:tr w14:paraId="6057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55C9552">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6</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322D8695">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医用转运车</w:t>
            </w:r>
          </w:p>
        </w:tc>
        <w:tc>
          <w:tcPr>
            <w:tcW w:w="934" w:type="dxa"/>
            <w:tcBorders>
              <w:top w:val="single" w:color="auto" w:sz="4" w:space="0"/>
              <w:left w:val="single" w:color="auto" w:sz="4" w:space="0"/>
              <w:right w:val="single" w:color="auto" w:sz="4" w:space="0"/>
            </w:tcBorders>
            <w:noWrap w:val="0"/>
            <w:vAlign w:val="center"/>
          </w:tcPr>
          <w:p w14:paraId="23847700">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2B6E334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1.规格：≥1930×640×670/970mm。</w:t>
            </w:r>
          </w:p>
          <w:p w14:paraId="398FDE8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2.床板长≤1900mm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床板宽≤640mm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高低升降670</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970mm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背部升降0 ~75°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倾斜调节0°~18°。护栏尺寸：≤1000mm </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长</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×250mm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高</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±30mm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p w14:paraId="277A58D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▲3.安全工作载荷：≥300KG。</w:t>
            </w:r>
          </w:p>
          <w:p w14:paraId="53EF052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▲4.背部升降系统：采用静音气弹簧控制。</w:t>
            </w:r>
          </w:p>
          <w:p w14:paraId="7585566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5.高低升降系统：采用油压缸控制。</w:t>
            </w:r>
          </w:p>
          <w:p w14:paraId="61C792F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6.床板护栏采用PP工程塑料一次吹塑成型。</w:t>
            </w:r>
          </w:p>
          <w:p w14:paraId="2299618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▲7.框架：采用钢材制成。</w:t>
            </w:r>
          </w:p>
          <w:p w14:paraId="47F3A5F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8.脚轮：采用中控锁四个直径≤200mm的脚轮，推车四角都有脚轮控制系统，一脚制动，四轮同时固定。</w:t>
            </w:r>
          </w:p>
          <w:p w14:paraId="75C03DE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9.中控刹车连动杆采用一体化圆管成型。</w:t>
            </w:r>
          </w:p>
          <w:p w14:paraId="17F204F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10.独立的中心第五轮系统：推车的两侧都安装有控制踏杆，中心第五轮收起时即自由行进；使用时，即“直行”状态，克服运送过程中的惯性作用力，有效地控制前进方向。</w:t>
            </w:r>
          </w:p>
          <w:p w14:paraId="11B7F57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11.床体下有一体式托盘，可放置氧气瓶，托盘能承重≥10Kg</w:t>
            </w:r>
          </w:p>
          <w:p w14:paraId="064FCE4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12.床垫：采用面料表面防水处理，装有拉链，外部面料可水洗。</w:t>
            </w:r>
          </w:p>
          <w:p w14:paraId="74AFD20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▲13.产品配置</w:t>
            </w:r>
          </w:p>
          <w:p w14:paraId="43417A8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（1）钢塑车体1张。</w:t>
            </w:r>
          </w:p>
          <w:p w14:paraId="2891425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（2）PE大护栏1块。</w:t>
            </w:r>
          </w:p>
          <w:p w14:paraId="3D4F428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（3）PE一次成型床板1块。</w:t>
            </w:r>
          </w:p>
          <w:p w14:paraId="3638454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（4）输液架1个。</w:t>
            </w:r>
          </w:p>
          <w:p w14:paraId="52FC2C2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（5）带刹万向轮4个。</w:t>
            </w:r>
          </w:p>
          <w:p w14:paraId="79554D3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（6）中控轮1个。</w:t>
            </w:r>
          </w:p>
          <w:p w14:paraId="44339B5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（7）液压缸2个。</w:t>
            </w:r>
          </w:p>
          <w:p w14:paraId="7917DBF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（8）可转移防水床垫1张。</w:t>
            </w:r>
          </w:p>
          <w:p w14:paraId="3AB2B0C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C896873">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5</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706B0D74">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7D71E6D2">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7800.00</w:t>
            </w:r>
          </w:p>
        </w:tc>
      </w:tr>
      <w:tr w14:paraId="57DF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69DB9BF1">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7</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5D028916">
            <w:pPr>
              <w:wordWrap w:val="0"/>
              <w:adjustRightInd w:val="0"/>
              <w:snapToGrid w:val="0"/>
              <w:jc w:val="center"/>
              <w:rPr>
                <w:rFonts w:hint="eastAsia" w:ascii="宋体" w:hAnsi="宋体" w:cs="宋体"/>
                <w:b w:val="0"/>
                <w:bCs/>
                <w:color w:val="auto"/>
                <w:szCs w:val="21"/>
                <w:highlight w:val="none"/>
              </w:rPr>
            </w:pPr>
            <w:r>
              <w:rPr>
                <w:rFonts w:hint="eastAsia" w:ascii="宋体" w:hAnsi="宋体" w:cs="宋体"/>
                <w:b w:val="0"/>
                <w:bCs/>
                <w:color w:val="auto"/>
                <w:szCs w:val="21"/>
                <w:highlight w:val="none"/>
                <w:lang w:val="en-US" w:eastAsia="zh-CN"/>
              </w:rPr>
              <w:t>治疗车</w:t>
            </w:r>
          </w:p>
        </w:tc>
        <w:tc>
          <w:tcPr>
            <w:tcW w:w="934" w:type="dxa"/>
            <w:tcBorders>
              <w:top w:val="single" w:color="auto" w:sz="4" w:space="0"/>
              <w:left w:val="single" w:color="auto" w:sz="4" w:space="0"/>
              <w:right w:val="single" w:color="auto" w:sz="4" w:space="0"/>
            </w:tcBorders>
            <w:noWrap w:val="0"/>
            <w:vAlign w:val="center"/>
          </w:tcPr>
          <w:p w14:paraId="52F2EC67">
            <w:pPr>
              <w:tabs>
                <w:tab w:val="left" w:pos="180"/>
                <w:tab w:val="left" w:pos="1620"/>
              </w:tabs>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0A65D825">
            <w:pPr>
              <w:pStyle w:val="23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right="0" w:right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pacing w:val="-6"/>
                <w:sz w:val="21"/>
                <w:szCs w:val="21"/>
                <w:highlight w:val="none"/>
                <w:lang w:val="en-US" w:eastAsia="zh-CN"/>
              </w:rPr>
              <w:t>1.</w:t>
            </w:r>
            <w:r>
              <w:rPr>
                <w:rFonts w:hint="eastAsia" w:ascii="宋体" w:hAnsi="宋体" w:eastAsia="宋体" w:cs="宋体"/>
                <w:b w:val="0"/>
                <w:bCs w:val="0"/>
                <w:color w:val="auto"/>
                <w:spacing w:val="-6"/>
                <w:sz w:val="21"/>
                <w:szCs w:val="21"/>
                <w:highlight w:val="none"/>
              </w:rPr>
              <w:t>规格：</w:t>
            </w:r>
            <w:r>
              <w:rPr>
                <w:rFonts w:hint="eastAsia" w:ascii="宋体" w:hAnsi="宋体" w:eastAsia="宋体" w:cs="宋体"/>
                <w:b w:val="0"/>
                <w:bCs w:val="0"/>
                <w:color w:val="auto"/>
                <w:sz w:val="21"/>
                <w:szCs w:val="21"/>
                <w:highlight w:val="none"/>
              </w:rPr>
              <w:t>600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400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880mm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允差±20mm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2台</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660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440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880mm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允差±20mm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2台</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800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480</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rPr>
              <w:t>880mm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允差±20mm</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1台</w:t>
            </w:r>
            <w:r>
              <w:rPr>
                <w:rFonts w:hint="eastAsia" w:ascii="宋体" w:hAnsi="宋体" w:eastAsia="宋体" w:cs="宋体"/>
                <w:b w:val="0"/>
                <w:bCs w:val="0"/>
                <w:color w:val="auto"/>
                <w:sz w:val="21"/>
                <w:szCs w:val="21"/>
                <w:highlight w:val="none"/>
                <w:lang w:eastAsia="zh-CN"/>
              </w:rPr>
              <w:t>）。</w:t>
            </w:r>
          </w:p>
          <w:p w14:paraId="6187E604">
            <w:pPr>
              <w:pStyle w:val="23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right="0" w:rightChars="0"/>
              <w:textAlignment w:val="auto"/>
              <w:rPr>
                <w:rFonts w:hint="eastAsia" w:ascii="宋体" w:hAnsi="宋体" w:eastAsia="宋体" w:cs="宋体"/>
                <w:b w:val="0"/>
                <w:bCs w:val="0"/>
                <w:color w:val="auto"/>
                <w:spacing w:val="2"/>
                <w:sz w:val="21"/>
                <w:szCs w:val="21"/>
                <w:highlight w:val="none"/>
              </w:rPr>
            </w:pPr>
            <w:r>
              <w:rPr>
                <w:rFonts w:hint="eastAsia" w:ascii="宋体" w:hAnsi="宋体" w:eastAsia="宋体" w:cs="宋体"/>
                <w:b w:val="0"/>
                <w:bCs w:val="0"/>
                <w:color w:val="auto"/>
                <w:spacing w:val="2"/>
                <w:sz w:val="21"/>
                <w:szCs w:val="21"/>
                <w:highlight w:val="none"/>
                <w:lang w:val="en-US" w:eastAsia="zh-CN"/>
              </w:rPr>
              <w:t>2.</w:t>
            </w:r>
            <w:r>
              <w:rPr>
                <w:rFonts w:hint="eastAsia" w:ascii="宋体" w:hAnsi="宋体" w:eastAsia="宋体" w:cs="宋体"/>
                <w:b w:val="0"/>
                <w:bCs w:val="0"/>
                <w:color w:val="auto"/>
                <w:spacing w:val="2"/>
                <w:sz w:val="21"/>
                <w:szCs w:val="21"/>
                <w:highlight w:val="none"/>
              </w:rPr>
              <w:t>框架：采用</w:t>
            </w:r>
            <w:r>
              <w:rPr>
                <w:rFonts w:hint="eastAsia" w:ascii="宋体" w:hAnsi="宋体" w:eastAsia="宋体" w:cs="宋体"/>
                <w:b w:val="0"/>
                <w:bCs w:val="0"/>
                <w:color w:val="auto"/>
                <w:spacing w:val="2"/>
                <w:sz w:val="21"/>
                <w:szCs w:val="21"/>
                <w:highlight w:val="none"/>
                <w:lang w:val="en-US" w:eastAsia="zh-CN"/>
              </w:rPr>
              <w:t>不锈</w:t>
            </w:r>
            <w:r>
              <w:rPr>
                <w:rFonts w:hint="eastAsia" w:ascii="宋体" w:hAnsi="宋体" w:eastAsia="宋体" w:cs="宋体"/>
                <w:b w:val="0"/>
                <w:bCs w:val="0"/>
                <w:color w:val="auto"/>
                <w:spacing w:val="2"/>
                <w:sz w:val="21"/>
                <w:szCs w:val="21"/>
                <w:highlight w:val="none"/>
              </w:rPr>
              <w:t>钢材制成。</w:t>
            </w:r>
          </w:p>
          <w:p w14:paraId="05881422">
            <w:pPr>
              <w:pStyle w:val="23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right="0" w:rightChars="0"/>
              <w:textAlignment w:val="auto"/>
              <w:rPr>
                <w:rFonts w:hint="eastAsia" w:ascii="宋体" w:hAnsi="宋体" w:eastAsia="宋体" w:cs="宋体"/>
                <w:b w:val="0"/>
                <w:bCs w:val="0"/>
                <w:color w:val="auto"/>
                <w:spacing w:val="-8"/>
                <w:sz w:val="21"/>
                <w:szCs w:val="21"/>
                <w:highlight w:val="none"/>
                <w:lang w:eastAsia="zh-CN"/>
              </w:rPr>
            </w:pPr>
            <w:r>
              <w:rPr>
                <w:rFonts w:hint="eastAsia" w:ascii="宋体" w:hAnsi="宋体" w:eastAsia="宋体" w:cs="宋体"/>
                <w:b w:val="0"/>
                <w:bCs w:val="0"/>
                <w:color w:val="auto"/>
                <w:spacing w:val="-8"/>
                <w:sz w:val="21"/>
                <w:szCs w:val="21"/>
                <w:highlight w:val="none"/>
                <w:lang w:val="en-US" w:eastAsia="zh-CN"/>
              </w:rPr>
              <w:t>3.</w:t>
            </w:r>
            <w:r>
              <w:rPr>
                <w:rFonts w:hint="eastAsia" w:ascii="宋体" w:hAnsi="宋体" w:eastAsia="宋体" w:cs="宋体"/>
                <w:b w:val="0"/>
                <w:bCs w:val="0"/>
                <w:color w:val="auto"/>
                <w:spacing w:val="-8"/>
                <w:sz w:val="21"/>
                <w:szCs w:val="21"/>
                <w:highlight w:val="none"/>
              </w:rPr>
              <w:t>脚轮：</w:t>
            </w:r>
            <w:r>
              <w:rPr>
                <w:rFonts w:hint="eastAsia" w:ascii="宋体" w:hAnsi="宋体" w:eastAsia="宋体" w:cs="宋体"/>
                <w:b w:val="0"/>
                <w:bCs w:val="0"/>
                <w:color w:val="auto"/>
                <w:spacing w:val="-8"/>
                <w:sz w:val="21"/>
                <w:szCs w:val="21"/>
                <w:highlight w:val="none"/>
                <w:lang w:val="en-US" w:eastAsia="zh-CN"/>
              </w:rPr>
              <w:t>4个脚轮，不少于两个可锁定的</w:t>
            </w:r>
            <w:r>
              <w:rPr>
                <w:rFonts w:hint="eastAsia" w:ascii="宋体" w:hAnsi="宋体" w:eastAsia="宋体" w:cs="宋体"/>
                <w:b w:val="0"/>
                <w:bCs w:val="0"/>
                <w:color w:val="auto"/>
                <w:spacing w:val="-8"/>
                <w:sz w:val="21"/>
                <w:szCs w:val="21"/>
                <w:highlight w:val="none"/>
              </w:rPr>
              <w:t>脚轮</w:t>
            </w:r>
            <w:r>
              <w:rPr>
                <w:rFonts w:hint="eastAsia" w:ascii="宋体" w:hAnsi="宋体" w:eastAsia="宋体" w:cs="宋体"/>
                <w:b w:val="0"/>
                <w:bCs w:val="0"/>
                <w:color w:val="auto"/>
                <w:spacing w:val="-8"/>
                <w:sz w:val="21"/>
                <w:szCs w:val="21"/>
                <w:highlight w:val="none"/>
                <w:lang w:eastAsia="zh-CN"/>
              </w:rPr>
              <w:t>。</w:t>
            </w:r>
          </w:p>
          <w:p w14:paraId="1F430040">
            <w:pPr>
              <w:pStyle w:val="23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right="0" w:rightChars="0"/>
              <w:textAlignment w:val="auto"/>
              <w:rPr>
                <w:rFonts w:hint="eastAsia" w:ascii="宋体" w:hAnsi="宋体" w:eastAsia="宋体" w:cs="宋体"/>
                <w:b w:val="0"/>
                <w:bCs w:val="0"/>
                <w:color w:val="auto"/>
                <w:spacing w:val="-8"/>
                <w:sz w:val="21"/>
                <w:szCs w:val="21"/>
                <w:highlight w:val="none"/>
                <w:lang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设计</w:t>
            </w:r>
            <w:r>
              <w:rPr>
                <w:rFonts w:hint="eastAsia" w:ascii="宋体" w:hAnsi="宋体" w:eastAsia="宋体" w:cs="宋体"/>
                <w:b/>
                <w:bCs/>
                <w:color w:val="auto"/>
                <w:sz w:val="21"/>
                <w:szCs w:val="21"/>
                <w:highlight w:val="none"/>
                <w:lang w:eastAsia="zh-CN"/>
              </w:rPr>
              <w:t>使用</w:t>
            </w:r>
            <w:r>
              <w:rPr>
                <w:rFonts w:hint="eastAsia" w:ascii="宋体" w:hAnsi="宋体" w:cs="宋体"/>
                <w:b/>
                <w:bCs/>
                <w:color w:val="auto"/>
                <w:sz w:val="21"/>
                <w:szCs w:val="21"/>
                <w:highlight w:val="none"/>
                <w:lang w:eastAsia="zh-CN"/>
              </w:rPr>
              <w:t>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CFAEE5F">
            <w:pPr>
              <w:keepNext w:val="0"/>
              <w:keepLines w:val="0"/>
              <w:widowControl/>
              <w:suppressLineNumbers w:val="0"/>
              <w:jc w:val="center"/>
              <w:textAlignment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5</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71BB3D2E">
            <w:pPr>
              <w:tabs>
                <w:tab w:val="left" w:pos="180"/>
                <w:tab w:val="left" w:pos="1620"/>
              </w:tabs>
              <w:adjustRightInd w:val="0"/>
              <w:snapToGrid w:val="0"/>
              <w:spacing w:line="360" w:lineRule="exact"/>
              <w:jc w:val="center"/>
              <w:rPr>
                <w:rFonts w:hint="eastAsia" w:ascii="宋体" w:hAnsi="宋体" w:cs="宋体"/>
                <w:color w:val="auto"/>
                <w:szCs w:val="21"/>
                <w:highlight w:val="none"/>
                <w:lang w:val="en-US" w:eastAsia="zh-CN"/>
              </w:rPr>
            </w:pPr>
            <w:r>
              <w:rPr>
                <w:rFonts w:hint="eastAsia" w:ascii="宋体" w:hAnsi="宋体" w:eastAsia="宋体" w:cs="宋体"/>
                <w:i w:val="0"/>
                <w:iCs w:val="0"/>
                <w:color w:val="auto"/>
                <w:kern w:val="0"/>
                <w:sz w:val="20"/>
                <w:szCs w:val="20"/>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70EC3B81">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2200.00</w:t>
            </w:r>
          </w:p>
        </w:tc>
      </w:tr>
      <w:tr w14:paraId="27E0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368238C2">
            <w:pPr>
              <w:tabs>
                <w:tab w:val="left" w:pos="180"/>
                <w:tab w:val="left" w:pos="1620"/>
              </w:tabs>
              <w:adjustRightInd w:val="0"/>
              <w:snapToGrid w:val="0"/>
              <w:spacing w:line="360" w:lineRule="exact"/>
              <w:jc w:val="left"/>
              <w:rPr>
                <w:rFonts w:hint="default" w:ascii="宋体" w:hAnsi="宋体" w:eastAsia="宋体" w:cs="宋体"/>
                <w:color w:val="auto"/>
                <w:szCs w:val="21"/>
                <w:highlight w:val="none"/>
                <w:lang w:val="en-US" w:eastAsia="zh-CN"/>
              </w:rPr>
            </w:pPr>
            <w:r>
              <w:rPr>
                <w:rFonts w:hint="eastAsia" w:ascii="宋体" w:hAnsi="宋体" w:cs="宋体"/>
                <w:b/>
                <w:bCs/>
                <w:color w:val="auto"/>
                <w:szCs w:val="21"/>
                <w:highlight w:val="none"/>
                <w:lang w:val="en-US" w:eastAsia="zh-CN"/>
              </w:rPr>
              <w:t>二、核心产品：本项目核心产品为第2项号标的“肌电生物反馈刺激仪”</w:t>
            </w:r>
          </w:p>
        </w:tc>
      </w:tr>
      <w:tr w14:paraId="49D5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232DAE4D">
            <w:pPr>
              <w:wordWrap w:val="0"/>
              <w:adjustRightInd w:val="0"/>
              <w:snapToGrid w:val="0"/>
              <w:spacing w:line="300" w:lineRule="exact"/>
              <w:jc w:val="left"/>
              <w:textAlignment w:val="center"/>
              <w:rPr>
                <w:rFonts w:ascii="宋体" w:hAnsi="宋体" w:cs="宋体"/>
                <w:b/>
                <w:color w:val="auto"/>
                <w:szCs w:val="21"/>
                <w:highlight w:val="none"/>
              </w:rPr>
            </w:pPr>
            <w:r>
              <w:rPr>
                <w:rFonts w:hint="eastAsia" w:ascii="宋体" w:hAnsi="宋体" w:cs="宋体"/>
                <w:b/>
                <w:color w:val="auto"/>
                <w:kern w:val="0"/>
                <w:szCs w:val="21"/>
                <w:highlight w:val="none"/>
              </w:rPr>
              <w:t>▲</w:t>
            </w:r>
            <w:r>
              <w:rPr>
                <w:rFonts w:hint="eastAsia" w:ascii="宋体" w:hAnsi="宋体" w:cs="宋体"/>
                <w:b/>
                <w:color w:val="auto"/>
                <w:szCs w:val="21"/>
                <w:highlight w:val="none"/>
                <w:lang w:val="en-US" w:eastAsia="zh-CN"/>
              </w:rPr>
              <w:t>三</w:t>
            </w:r>
            <w:r>
              <w:rPr>
                <w:rFonts w:hint="eastAsia" w:ascii="宋体" w:hAnsi="宋体" w:cs="宋体"/>
                <w:b/>
                <w:color w:val="auto"/>
                <w:szCs w:val="21"/>
                <w:highlight w:val="none"/>
              </w:rPr>
              <w:t>、商务要求</w:t>
            </w:r>
          </w:p>
        </w:tc>
      </w:tr>
      <w:tr w14:paraId="4BD9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EECCCB7">
            <w:pPr>
              <w:wordWrap w:val="0"/>
              <w:adjustRightInd w:val="0"/>
              <w:snapToGrid w:val="0"/>
              <w:spacing w:line="300" w:lineRule="exact"/>
              <w:jc w:val="center"/>
              <w:textAlignment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（一）售后服务</w:t>
            </w:r>
            <w:r>
              <w:rPr>
                <w:rFonts w:hint="eastAsia" w:ascii="宋体" w:hAnsi="宋体" w:cs="宋体"/>
                <w:b/>
                <w:color w:val="auto"/>
                <w:szCs w:val="21"/>
                <w:highlight w:val="none"/>
                <w:lang w:val="en-US" w:eastAsia="zh-CN"/>
              </w:rPr>
              <w:t>基本要求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6D89192">
            <w:pPr>
              <w:wordWrap w:val="0"/>
              <w:adjustRightInd w:val="0"/>
              <w:snapToGrid w:val="0"/>
              <w:spacing w:line="340" w:lineRule="exact"/>
              <w:ind w:firstLine="422" w:firstLineChars="200"/>
              <w:textAlignment w:val="center"/>
              <w:rPr>
                <w:rFonts w:ascii="宋体" w:hAnsi="宋体" w:cs="宋体"/>
                <w:b/>
                <w:color w:val="auto"/>
                <w:szCs w:val="21"/>
                <w:highlight w:val="none"/>
              </w:rPr>
            </w:pPr>
            <w:r>
              <w:rPr>
                <w:rFonts w:hint="eastAsia" w:ascii="宋体" w:hAnsi="宋体" w:cs="宋体"/>
                <w:b/>
                <w:color w:val="auto"/>
                <w:szCs w:val="21"/>
                <w:highlight w:val="none"/>
              </w:rPr>
              <w:t>投标人提供的以下售后服务均应包含在投标报价中，采购人不再就此另行支付任</w:t>
            </w:r>
            <w:r>
              <w:rPr>
                <w:rFonts w:hint="eastAsia" w:ascii="宋体" w:hAnsi="宋体" w:cs="宋体"/>
                <w:b/>
                <w:color w:val="auto"/>
                <w:szCs w:val="21"/>
                <w:highlight w:val="none"/>
              </w:rPr>
              <w:t>何费用：</w:t>
            </w:r>
          </w:p>
          <w:p w14:paraId="7011F68C">
            <w:pPr>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1.按国家有关产品“三包”规定执行“三包”</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不少于</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年（从验收合格之日起计算）。</w:t>
            </w:r>
          </w:p>
          <w:p w14:paraId="274691DE">
            <w:pPr>
              <w:wordWrap w:val="0"/>
              <w:spacing w:line="340" w:lineRule="exact"/>
              <w:rPr>
                <w:rFonts w:ascii="宋体" w:hAnsi="宋体" w:cs="宋体"/>
                <w:b/>
                <w:color w:val="auto"/>
                <w:szCs w:val="21"/>
                <w:highlight w:val="none"/>
              </w:rPr>
            </w:pPr>
            <w:r>
              <w:rPr>
                <w:rFonts w:hint="eastAsia" w:ascii="宋体" w:hAnsi="宋体" w:cs="宋体"/>
                <w:b/>
                <w:color w:val="auto"/>
                <w:szCs w:val="21"/>
                <w:highlight w:val="none"/>
              </w:rPr>
              <w:t>2.招标范围内的货物送货上门、安装调试合格；</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内提供上门维修以及更换零配件服务。如果需要更换配件的，要求更换的配件应与更换的品牌、类型相一致或者是同类同档次的替代品，后者需征得采购人同意。</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内提供技术培训服务，保证采购人使用人员正常操作产品的各种功能。</w:t>
            </w:r>
          </w:p>
          <w:p w14:paraId="3FCBDE47">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内接到报障电话应在1小时内给予响应，需要现场维修的，应在2个小时内到达故障现场；一般问题应在到达后2小时内解决，重大问题或其他无法迅速解决的问题应在48小时内解决。</w:t>
            </w:r>
          </w:p>
          <w:p w14:paraId="63C16EE6">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4.若产品自带软件的，则须提供</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内软件升级服务。</w:t>
            </w:r>
          </w:p>
          <w:p w14:paraId="509FDF7C">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5.在</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内因货物本身的质量问题发生故障，中标人应负责修理和更换零部件。对达不到技术要求者，根据实际情况，经双方协商，可按以下办法处理：</w:t>
            </w:r>
          </w:p>
          <w:p w14:paraId="550502D8">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①更换：由中标人承担所有发生的全部费用。</w:t>
            </w:r>
          </w:p>
          <w:p w14:paraId="3292B271">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hint="default" w:ascii="宋体" w:hAnsi="宋体" w:eastAsia="宋体" w:cs="宋体"/>
                <w:b/>
                <w:bCs w:val="0"/>
                <w:color w:val="auto"/>
                <w:szCs w:val="21"/>
                <w:highlight w:val="none"/>
                <w:lang w:val="en-US" w:eastAsia="zh-CN"/>
              </w:rPr>
            </w:pPr>
            <w:r>
              <w:rPr>
                <w:rFonts w:hint="eastAsia" w:ascii="宋体" w:hAnsi="宋体" w:cs="宋体"/>
                <w:b/>
                <w:color w:val="auto"/>
                <w:szCs w:val="21"/>
                <w:highlight w:val="none"/>
              </w:rPr>
              <w:t>②退货处理：中标人应退还采购人支付的合同款，同时应承担该货物的直接费用（运输、保险、检验、贷款利息及银行手续费等）。</w:t>
            </w:r>
          </w:p>
        </w:tc>
      </w:tr>
      <w:tr w14:paraId="3224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DF86169">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（二）交付时间和地点</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09FE08C3">
            <w:pPr>
              <w:keepNext w:val="0"/>
              <w:keepLines w:val="0"/>
              <w:pageBreakBefore w:val="0"/>
              <w:widowControl w:val="0"/>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cs="宋体"/>
                <w:b/>
                <w:color w:val="auto"/>
                <w:szCs w:val="21"/>
                <w:highlight w:val="none"/>
              </w:rPr>
              <w:t>1.交付时间：自签订合同之日起</w:t>
            </w:r>
            <w:r>
              <w:rPr>
                <w:rFonts w:hint="eastAsia" w:ascii="宋体" w:hAnsi="宋体" w:cs="宋体"/>
                <w:b/>
                <w:bCs w:val="0"/>
                <w:color w:val="auto"/>
                <w:szCs w:val="21"/>
                <w:highlight w:val="none"/>
                <w:lang w:val="en-US" w:eastAsia="zh-CN"/>
              </w:rPr>
              <w:t>10</w:t>
            </w:r>
            <w:r>
              <w:rPr>
                <w:rFonts w:hint="eastAsia" w:ascii="宋体" w:hAnsi="宋体" w:cs="宋体"/>
                <w:b/>
                <w:color w:val="auto"/>
                <w:szCs w:val="21"/>
                <w:highlight w:val="none"/>
              </w:rPr>
              <w:t>个工作日内到货并全部安装调试合格完毕。</w:t>
            </w:r>
          </w:p>
          <w:p w14:paraId="11BE37EA">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2.交付地点：广西桂林市内采购人指定地点</w:t>
            </w:r>
            <w:r>
              <w:rPr>
                <w:rFonts w:hint="eastAsia" w:ascii="宋体" w:hAnsi="宋体" w:cs="宋体"/>
                <w:b/>
                <w:color w:val="auto"/>
                <w:szCs w:val="21"/>
                <w:highlight w:val="none"/>
                <w:lang w:eastAsia="zh-CN"/>
              </w:rPr>
              <w:t>（桂林市中西医结合医院内）</w:t>
            </w:r>
            <w:r>
              <w:rPr>
                <w:rFonts w:hint="eastAsia" w:ascii="宋体" w:hAnsi="宋体" w:cs="宋体"/>
                <w:b/>
                <w:color w:val="auto"/>
                <w:szCs w:val="21"/>
                <w:highlight w:val="none"/>
              </w:rPr>
              <w:t>。</w:t>
            </w:r>
          </w:p>
        </w:tc>
      </w:tr>
      <w:tr w14:paraId="6C9A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389FADE">
            <w:pPr>
              <w:wordWrap w:val="0"/>
              <w:adjustRightInd w:val="0"/>
              <w:snapToGrid w:val="0"/>
              <w:spacing w:line="300" w:lineRule="exact"/>
              <w:jc w:val="both"/>
              <w:textAlignment w:val="center"/>
              <w:rPr>
                <w:rFonts w:ascii="宋体" w:hAnsi="宋体" w:cs="宋体"/>
                <w:b/>
                <w:color w:val="auto"/>
                <w:szCs w:val="21"/>
                <w:highlight w:val="none"/>
              </w:rPr>
            </w:pPr>
            <w:r>
              <w:rPr>
                <w:rFonts w:hint="eastAsia" w:ascii="宋体" w:hAnsi="宋体" w:cs="宋体"/>
                <w:b/>
                <w:color w:val="auto"/>
                <w:szCs w:val="21"/>
                <w:highlight w:val="none"/>
              </w:rPr>
              <w:t>（三）付款方式</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4F40E71">
            <w:pPr>
              <w:keepNext w:val="0"/>
              <w:keepLines w:val="0"/>
              <w:pageBreakBefore w:val="0"/>
              <w:widowControl w:val="0"/>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cs="宋体"/>
                <w:b/>
                <w:color w:val="auto"/>
                <w:szCs w:val="21"/>
                <w:highlight w:val="none"/>
              </w:rPr>
              <w:t>验收合格后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金额的50%，验收合格满</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年</w:t>
            </w:r>
            <w:r>
              <w:rPr>
                <w:rFonts w:hint="eastAsia" w:ascii="宋体" w:hAnsi="宋体" w:cs="宋体"/>
                <w:b/>
                <w:color w:val="auto"/>
                <w:szCs w:val="21"/>
                <w:highlight w:val="none"/>
                <w:lang w:eastAsia="zh-CN"/>
              </w:rPr>
              <w:t>后支付合同</w:t>
            </w:r>
            <w:r>
              <w:rPr>
                <w:rFonts w:hint="eastAsia" w:ascii="宋体" w:hAnsi="宋体" w:cs="宋体"/>
                <w:b/>
                <w:color w:val="auto"/>
                <w:szCs w:val="21"/>
                <w:highlight w:val="none"/>
              </w:rPr>
              <w:t>金额的45%，</w:t>
            </w:r>
            <w:r>
              <w:rPr>
                <w:rFonts w:hint="eastAsia" w:ascii="宋体" w:hAnsi="宋体" w:cs="宋体"/>
                <w:b/>
                <w:color w:val="auto"/>
                <w:szCs w:val="21"/>
                <w:highlight w:val="none"/>
                <w:lang w:eastAsia="zh-CN"/>
              </w:rPr>
              <w:t>所有设备质保期</w:t>
            </w:r>
            <w:r>
              <w:rPr>
                <w:rFonts w:hint="eastAsia" w:ascii="宋体" w:hAnsi="宋体" w:cs="宋体"/>
                <w:b/>
                <w:color w:val="auto"/>
                <w:szCs w:val="21"/>
                <w:highlight w:val="none"/>
              </w:rPr>
              <w:t>满后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金额的5%（无息）。</w:t>
            </w:r>
          </w:p>
        </w:tc>
      </w:tr>
      <w:tr w14:paraId="388F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C643C62">
            <w:pPr>
              <w:wordWrap w:val="0"/>
              <w:adjustRightInd w:val="0"/>
              <w:snapToGrid w:val="0"/>
              <w:spacing w:line="300" w:lineRule="exact"/>
              <w:jc w:val="both"/>
              <w:textAlignment w:val="center"/>
              <w:rPr>
                <w:rFonts w:ascii="宋体" w:hAnsi="宋体" w:cs="宋体"/>
                <w:b/>
                <w:color w:val="auto"/>
                <w:szCs w:val="21"/>
                <w:highlight w:val="none"/>
              </w:rPr>
            </w:pPr>
            <w:r>
              <w:rPr>
                <w:rFonts w:hint="eastAsia" w:ascii="宋体" w:hAnsi="宋体" w:cs="宋体"/>
                <w:b/>
                <w:color w:val="auto"/>
                <w:szCs w:val="21"/>
                <w:highlight w:val="none"/>
              </w:rPr>
              <w:t>（四）包装和运输</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2243F4D3">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1.原厂原包装，包装完好完整、无破损、未开封。</w:t>
            </w:r>
          </w:p>
          <w:p w14:paraId="5E29C72C">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2.包装及运输方式应综合考虑运输距离、防潮、防震、防锈和防破损装卸等要求。</w:t>
            </w:r>
          </w:p>
          <w:p w14:paraId="01CB250C">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3.国家对包装及运输有相关强制性标准或要求的，中标人应当执行。</w:t>
            </w:r>
          </w:p>
          <w:p w14:paraId="5415E399">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4.产品（含包装）运抵采购人指定交付地点前发生损坏的，相关损失由中标人自行承担。</w:t>
            </w:r>
          </w:p>
        </w:tc>
      </w:tr>
      <w:tr w14:paraId="137F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6EE0E4A">
            <w:pPr>
              <w:wordWrap w:val="0"/>
              <w:adjustRightInd w:val="0"/>
              <w:snapToGrid w:val="0"/>
              <w:spacing w:line="300" w:lineRule="exact"/>
              <w:jc w:val="both"/>
              <w:textAlignment w:val="center"/>
              <w:rPr>
                <w:rFonts w:ascii="宋体" w:hAnsi="宋体" w:cs="宋体"/>
                <w:b/>
                <w:color w:val="auto"/>
                <w:szCs w:val="21"/>
                <w:highlight w:val="none"/>
              </w:rPr>
            </w:pPr>
            <w:r>
              <w:rPr>
                <w:rFonts w:hint="eastAsia" w:ascii="宋体" w:hAnsi="宋体" w:cs="宋体"/>
                <w:b/>
                <w:color w:val="auto"/>
                <w:szCs w:val="21"/>
                <w:highlight w:val="none"/>
              </w:rPr>
              <w:t>（五）保险</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BB72D81">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若投标人为本项目标的及标的涉及的相关材料、设备、人员、运输等购买保险的，相关费用由投标人自行承担。</w:t>
            </w:r>
          </w:p>
        </w:tc>
      </w:tr>
      <w:tr w14:paraId="183A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C741B05">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（六）验收标准</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86F405E">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1.中标人提供的产品必须符合国家、行业强制执行的相关质量标准要求以及产品制造厂家合格产品的出厂质量标准。</w:t>
            </w:r>
          </w:p>
          <w:p w14:paraId="5C3EE5D1">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设备须全新、完好、无破损，产品到货后，采购人现场根据招标文件要求、投标文件承诺以及国家相关标准、地方标准进行验收，必要时，采购人有权邀请国家质量监督检验部门或国家认可的检测机构参与共同验收。如产品不满足投标文件要求、中标人投标文件承诺或国家、行业强制执行的相关质量标准要求以及产品制造厂家合格产品的出厂质量标准，采购人有权不予验收</w:t>
            </w:r>
            <w:r>
              <w:rPr>
                <w:rFonts w:hint="eastAsia" w:ascii="宋体" w:hAnsi="宋体" w:cs="宋体"/>
                <w:b/>
                <w:color w:val="auto"/>
                <w:sz w:val="21"/>
                <w:szCs w:val="21"/>
                <w:highlight w:val="none"/>
                <w:lang w:eastAsia="zh-CN"/>
              </w:rPr>
              <w:t>并有权终止合同</w:t>
            </w:r>
            <w:r>
              <w:rPr>
                <w:rFonts w:hint="eastAsia" w:ascii="宋体" w:hAnsi="宋体" w:eastAsia="宋体" w:cs="宋体"/>
                <w:b/>
                <w:color w:val="auto"/>
                <w:sz w:val="21"/>
                <w:szCs w:val="21"/>
                <w:highlight w:val="none"/>
              </w:rPr>
              <w:t>，由此造成采购人的经济损失由中标人承担全部赔偿责任包括</w:t>
            </w:r>
            <w:r>
              <w:rPr>
                <w:rFonts w:hint="eastAsia" w:ascii="宋体" w:hAnsi="宋体" w:eastAsia="宋体" w:cs="宋体"/>
                <w:b/>
                <w:color w:val="auto"/>
                <w:sz w:val="21"/>
                <w:szCs w:val="21"/>
                <w:highlight w:val="none"/>
                <w:lang w:eastAsia="zh-CN"/>
              </w:rPr>
              <w:t>但</w:t>
            </w:r>
            <w:r>
              <w:rPr>
                <w:rFonts w:hint="eastAsia" w:ascii="宋体" w:hAnsi="宋体" w:eastAsia="宋体" w:cs="宋体"/>
                <w:b/>
                <w:color w:val="auto"/>
                <w:sz w:val="21"/>
                <w:szCs w:val="21"/>
                <w:highlight w:val="none"/>
              </w:rPr>
              <w:t>不限于采购人的经济损失及律师费、诉讼费、鉴定费等。</w:t>
            </w:r>
          </w:p>
          <w:p w14:paraId="49E6DC0A">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中标人必须于供货时向采购人提供所投医疗器械产品由行政主管部门核准资格文件、产品注册时的检测检验报告书，产品彩页或参数说明书等资料材料，以便核实相关技术参数，否则不予验收，中标人应承担逾期交货违约责任。</w:t>
            </w:r>
          </w:p>
          <w:p w14:paraId="5AC7C7EF">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4.中标人交货前应对产品做出全面的检查和对验收文件进行整理，并列出清单，作为采购人验收和使用的技术条件依据，验收的结果应随货物交采购人。</w:t>
            </w:r>
          </w:p>
          <w:p w14:paraId="4F213C4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5.采购人依据招标文件的技术规格要求和国家有关质量标准对货物进行现场初步验收，外观、说明书符合招标文件技术要求的，给予签收，初步验收不合格的不予签收。货到后，采购人应当在到货（安装、调试</w:t>
            </w:r>
            <w:r>
              <w:rPr>
                <w:rFonts w:hint="eastAsia" w:ascii="宋体" w:hAnsi="宋体" w:cs="宋体"/>
                <w:b/>
                <w:color w:val="auto"/>
                <w:sz w:val="21"/>
                <w:szCs w:val="21"/>
                <w:highlight w:val="none"/>
                <w:lang w:eastAsia="zh-CN"/>
              </w:rPr>
              <w:t>完成</w:t>
            </w:r>
            <w:r>
              <w:rPr>
                <w:rFonts w:hint="eastAsia" w:ascii="宋体" w:hAnsi="宋体" w:eastAsia="宋体" w:cs="宋体"/>
                <w:b/>
                <w:color w:val="auto"/>
                <w:sz w:val="21"/>
                <w:szCs w:val="21"/>
                <w:highlight w:val="none"/>
              </w:rPr>
              <w:t xml:space="preserve">）后七个工作日内进行验收。验收合格后由双方签署货物验收单并加盖公章，双方各执一份。 </w:t>
            </w:r>
          </w:p>
          <w:p w14:paraId="578553B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6.采购人对中标人提供的货物在使用前进行调试时，投标人须负责安装并培训采购人的使用人员，并协助采购人一起调试，直到符合技术要求，采购人予以最终验收。</w:t>
            </w:r>
          </w:p>
          <w:p w14:paraId="170E618E">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7.对技术复杂的货物，采购人应请国家认可的专业检测机构参与初步验收及最终验收，并由其出具质量检测报告。</w:t>
            </w:r>
          </w:p>
          <w:p w14:paraId="5B503CD8">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8.验收时中标人必须在现场，验收完毕后做出验收结果报告，验收费用由中标人负责。</w:t>
            </w:r>
          </w:p>
          <w:p w14:paraId="1CC8691C">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9.采购人对验收有异议的，在验收后7个工作日内以书面形式向中标人提出，中标人应自收到采购人书面异议后7日内及时予以解决。</w:t>
            </w:r>
          </w:p>
          <w:p w14:paraId="68158AD4">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10.</w:t>
            </w:r>
            <w:r>
              <w:rPr>
                <w:rFonts w:hint="eastAsia" w:ascii="宋体" w:hAnsi="宋体" w:cs="宋体"/>
                <w:b/>
                <w:color w:val="auto"/>
                <w:sz w:val="21"/>
                <w:szCs w:val="21"/>
                <w:highlight w:val="none"/>
                <w:lang w:eastAsia="zh-CN"/>
              </w:rPr>
              <w:t>中标</w:t>
            </w:r>
            <w:r>
              <w:rPr>
                <w:rFonts w:hint="eastAsia" w:ascii="宋体" w:hAnsi="宋体" w:eastAsia="宋体" w:cs="宋体"/>
                <w:b/>
                <w:color w:val="auto"/>
                <w:sz w:val="21"/>
                <w:szCs w:val="21"/>
                <w:highlight w:val="none"/>
              </w:rPr>
              <w:t>人所投本分标</w:t>
            </w:r>
            <w:r>
              <w:rPr>
                <w:rFonts w:hint="eastAsia" w:ascii="宋体" w:hAnsi="宋体" w:cs="宋体"/>
                <w:b/>
                <w:color w:val="auto"/>
                <w:sz w:val="21"/>
                <w:szCs w:val="21"/>
                <w:highlight w:val="none"/>
                <w:lang w:eastAsia="zh-CN"/>
              </w:rPr>
              <w:t>标的</w:t>
            </w:r>
            <w:r>
              <w:rPr>
                <w:rFonts w:hint="eastAsia" w:ascii="宋体" w:hAnsi="宋体" w:eastAsia="宋体" w:cs="宋体"/>
                <w:b/>
                <w:color w:val="auto"/>
                <w:sz w:val="21"/>
                <w:szCs w:val="21"/>
                <w:highlight w:val="none"/>
              </w:rPr>
              <w:t>如属消毒产品管理的，供货时中标人必须向采购人提供相应有效的“①生产企业卫生许可证；②产品备案凭证或者卫生许可批件”（加盖原件持有者的印章），否则，不予验收。</w:t>
            </w:r>
          </w:p>
        </w:tc>
      </w:tr>
      <w:tr w14:paraId="5A48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2910BA3B">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（七）</w:t>
            </w:r>
            <w:r>
              <w:rPr>
                <w:rFonts w:hint="eastAsia" w:ascii="宋体" w:hAnsi="宋体" w:cs="新宋体"/>
                <w:b/>
                <w:color w:val="auto"/>
                <w:kern w:val="0"/>
                <w:szCs w:val="21"/>
                <w:highlight w:val="none"/>
              </w:rPr>
              <w:t>医疗器械注册证</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A14DE00">
            <w:pPr>
              <w:keepNext w:val="0"/>
              <w:keepLines w:val="0"/>
              <w:pageBreakBefore w:val="0"/>
              <w:widowControl w:val="0"/>
              <w:tabs>
                <w:tab w:val="left" w:pos="1305"/>
              </w:tabs>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b/>
                <w:color w:val="auto"/>
                <w:szCs w:val="21"/>
                <w:highlight w:val="none"/>
              </w:rPr>
              <w:t>投标人于投标文件中必须提供所投</w:t>
            </w:r>
            <w:r>
              <w:rPr>
                <w:rFonts w:hint="eastAsia" w:ascii="宋体" w:hAnsi="宋体"/>
                <w:b/>
                <w:color w:val="auto"/>
                <w:szCs w:val="21"/>
                <w:highlight w:val="none"/>
                <w:lang w:val="en-US" w:eastAsia="zh-CN"/>
              </w:rPr>
              <w:t>第2项号标的“肌电生物反馈刺激仪”、第3项号标的“内镜用二氧化碳送气装置”、第4项号标的“输液泵”、第5项号标的“体外振动排痰机”</w:t>
            </w:r>
            <w:r>
              <w:rPr>
                <w:rFonts w:hint="eastAsia" w:ascii="宋体" w:hAnsi="宋体"/>
                <w:b/>
                <w:color w:val="auto"/>
                <w:szCs w:val="21"/>
                <w:highlight w:val="none"/>
              </w:rPr>
              <w:t>相应有效的《中华人民共和国医疗器械注册证》复印件（必须包括产品相应的许可事项和登记事项，否则，应附注册登记表或认可表资料，要求清晰反映相关内容）。</w:t>
            </w:r>
          </w:p>
        </w:tc>
      </w:tr>
      <w:tr w14:paraId="6FA6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C973668">
            <w:pPr>
              <w:wordWrap w:val="0"/>
              <w:adjustRightInd w:val="0"/>
              <w:snapToGrid w:val="0"/>
              <w:spacing w:line="320" w:lineRule="exact"/>
              <w:jc w:val="center"/>
              <w:rPr>
                <w:rFonts w:ascii="宋体" w:hAnsi="宋体"/>
                <w:b/>
                <w:color w:val="auto"/>
                <w:kern w:val="0"/>
                <w:highlight w:val="none"/>
              </w:rPr>
            </w:pPr>
            <w:r>
              <w:rPr>
                <w:rFonts w:hint="eastAsia" w:ascii="宋体" w:hAnsi="宋体" w:cs="宋体"/>
                <w:b/>
                <w:color w:val="auto"/>
                <w:kern w:val="0"/>
                <w:szCs w:val="21"/>
                <w:highlight w:val="none"/>
              </w:rPr>
              <w:t>（八）进口产品说明</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78FEFD60">
            <w:pPr>
              <w:keepNext w:val="0"/>
              <w:keepLines w:val="0"/>
              <w:pageBreakBefore w:val="0"/>
              <w:widowControl w:val="0"/>
              <w:kinsoku/>
              <w:wordWrap w:val="0"/>
              <w:overflowPunct/>
              <w:topLinePunct w:val="0"/>
              <w:autoSpaceDE/>
              <w:autoSpaceDN/>
              <w:bidi w:val="0"/>
              <w:adjustRightInd w:val="0"/>
              <w:snapToGrid w:val="0"/>
              <w:spacing w:line="380" w:lineRule="exact"/>
              <w:jc w:val="left"/>
              <w:rPr>
                <w:rFonts w:ascii="宋体" w:hAnsi="宋体"/>
                <w:b/>
                <w:color w:val="auto"/>
                <w:szCs w:val="21"/>
                <w:highlight w:val="none"/>
              </w:rPr>
            </w:pPr>
            <w:r>
              <w:rPr>
                <w:rFonts w:hint="eastAsia" w:ascii="宋体" w:hAnsi="宋体"/>
                <w:b/>
                <w:color w:val="auto"/>
                <w:highlight w:val="none"/>
              </w:rPr>
              <w:t>本</w:t>
            </w:r>
            <w:r>
              <w:rPr>
                <w:rFonts w:hint="eastAsia" w:ascii="宋体" w:hAnsi="宋体"/>
                <w:b/>
                <w:color w:val="auto"/>
                <w:highlight w:val="none"/>
                <w:lang w:val="en-US" w:eastAsia="zh-CN"/>
              </w:rPr>
              <w:t>分标</w:t>
            </w:r>
            <w:r>
              <w:rPr>
                <w:rFonts w:hint="eastAsia" w:ascii="宋体" w:hAnsi="宋体"/>
                <w:b/>
                <w:color w:val="auto"/>
                <w:highlight w:val="none"/>
              </w:rPr>
              <w:t>所有标的均不接受进口产品（即通过中国海关报关验放进入中国境内且产自关境外的产品）参与投标，如有此类产品参与投标的作无效投标处理。</w:t>
            </w:r>
          </w:p>
        </w:tc>
      </w:tr>
      <w:tr w14:paraId="71A9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06881587">
            <w:pPr>
              <w:wordWrap w:val="0"/>
              <w:adjustRightInd w:val="0"/>
              <w:snapToGrid w:val="0"/>
              <w:spacing w:line="320" w:lineRule="exact"/>
              <w:jc w:val="center"/>
              <w:rPr>
                <w:rFonts w:hint="eastAsia" w:ascii="宋体" w:hAnsi="宋体" w:eastAsia="宋体" w:cs="宋体"/>
                <w:b/>
                <w:color w:val="auto"/>
                <w:kern w:val="0"/>
                <w:szCs w:val="21"/>
                <w:highlight w:val="none"/>
                <w:lang w:eastAsia="zh-CN"/>
              </w:rPr>
            </w:pPr>
            <w:r>
              <w:rPr>
                <w:rFonts w:hint="eastAsia" w:ascii="宋体" w:hAnsi="宋体" w:cs="宋体"/>
                <w:b/>
                <w:color w:val="auto"/>
                <w:kern w:val="0"/>
                <w:szCs w:val="21"/>
                <w:highlight w:val="none"/>
              </w:rPr>
              <w:t>（</w:t>
            </w:r>
            <w:r>
              <w:rPr>
                <w:rFonts w:hint="eastAsia" w:ascii="宋体" w:hAnsi="宋体" w:cs="宋体"/>
                <w:b/>
                <w:color w:val="auto"/>
                <w:kern w:val="0"/>
                <w:szCs w:val="21"/>
                <w:highlight w:val="none"/>
                <w:lang w:val="en-US" w:eastAsia="zh-CN"/>
              </w:rPr>
              <w:t>九</w:t>
            </w:r>
            <w:r>
              <w:rPr>
                <w:rFonts w:hint="eastAsia" w:ascii="宋体" w:hAnsi="宋体" w:cs="宋体"/>
                <w:b/>
                <w:color w:val="auto"/>
                <w:kern w:val="0"/>
                <w:szCs w:val="21"/>
                <w:highlight w:val="none"/>
              </w:rPr>
              <w:t>）采购</w:t>
            </w:r>
            <w:r>
              <w:rPr>
                <w:rFonts w:hint="eastAsia" w:ascii="宋体" w:hAnsi="宋体" w:cs="宋体"/>
                <w:b/>
                <w:color w:val="auto"/>
                <w:kern w:val="0"/>
                <w:szCs w:val="21"/>
                <w:highlight w:val="none"/>
              </w:rPr>
              <w:t>预算</w:t>
            </w:r>
            <w:r>
              <w:rPr>
                <w:rFonts w:hint="eastAsia" w:ascii="宋体" w:hAnsi="宋体" w:cs="宋体"/>
                <w:b/>
                <w:color w:val="auto"/>
                <w:kern w:val="0"/>
                <w:szCs w:val="21"/>
                <w:highlight w:val="none"/>
                <w:lang w:eastAsia="zh-CN"/>
              </w:rPr>
              <w:t>、最高限价</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1E83E5D5">
            <w:pPr>
              <w:keepNext w:val="0"/>
              <w:keepLines w:val="0"/>
              <w:pageBreakBefore w:val="0"/>
              <w:widowControl w:val="0"/>
              <w:kinsoku/>
              <w:wordWrap/>
              <w:overflowPunct/>
              <w:topLinePunct w:val="0"/>
              <w:autoSpaceDE/>
              <w:autoSpaceDN/>
              <w:bidi w:val="0"/>
              <w:spacing w:line="330" w:lineRule="exact"/>
              <w:textAlignment w:val="auto"/>
              <w:rPr>
                <w:rFonts w:ascii="宋体" w:hAnsi="宋体"/>
                <w:b/>
                <w:color w:val="auto"/>
                <w:szCs w:val="21"/>
                <w:highlight w:val="none"/>
              </w:rPr>
            </w:pPr>
            <w:r>
              <w:rPr>
                <w:rFonts w:hint="eastAsia" w:ascii="宋体" w:hAnsi="宋体"/>
                <w:b/>
                <w:color w:val="auto"/>
                <w:szCs w:val="21"/>
                <w:highlight w:val="none"/>
                <w:lang w:val="en-US" w:eastAsia="zh-CN"/>
              </w:rPr>
              <w:t>分标1采购预算金额为</w:t>
            </w:r>
            <w:r>
              <w:rPr>
                <w:rFonts w:hint="eastAsia" w:ascii="宋体" w:hAnsi="宋体"/>
                <w:b/>
                <w:color w:val="auto"/>
                <w:szCs w:val="21"/>
                <w:highlight w:val="none"/>
                <w:lang w:val="en-US" w:eastAsia="zh-CN"/>
              </w:rPr>
              <w:t>贰拾捌万伍仟捌佰元整（¥</w:t>
            </w:r>
            <w:r>
              <w:rPr>
                <w:rFonts w:hint="eastAsia" w:ascii="宋体" w:hAnsi="宋体"/>
                <w:b/>
                <w:color w:val="auto"/>
                <w:szCs w:val="21"/>
                <w:highlight w:val="none"/>
              </w:rPr>
              <w:t>285800</w:t>
            </w:r>
            <w:r>
              <w:rPr>
                <w:rFonts w:hint="eastAsia" w:ascii="宋体" w:hAnsi="宋体"/>
                <w:b/>
                <w:color w:val="auto"/>
                <w:szCs w:val="21"/>
                <w:highlight w:val="none"/>
                <w:lang w:val="en-US" w:eastAsia="zh-CN"/>
              </w:rPr>
              <w:t>.00），最高限价金额为贰拾柒万陆仟壹佰元整（¥276100.00）</w:t>
            </w:r>
            <w:r>
              <w:rPr>
                <w:rFonts w:hint="eastAsia" w:ascii="宋体" w:hAnsi="宋体"/>
                <w:b/>
                <w:color w:val="auto"/>
                <w:szCs w:val="21"/>
                <w:highlight w:val="none"/>
                <w:lang w:val="en-US" w:eastAsia="zh-CN"/>
              </w:rPr>
              <w:t>，投标人所投分标</w:t>
            </w:r>
            <w:r>
              <w:rPr>
                <w:rFonts w:hint="eastAsia" w:ascii="宋体" w:hAnsi="宋体"/>
                <w:b/>
                <w:color w:val="auto"/>
                <w:szCs w:val="21"/>
                <w:highlight w:val="none"/>
              </w:rPr>
              <w:t>投标报价超过</w:t>
            </w:r>
            <w:r>
              <w:rPr>
                <w:rFonts w:hint="eastAsia" w:ascii="宋体" w:hAnsi="宋体"/>
                <w:b/>
                <w:color w:val="auto"/>
                <w:szCs w:val="21"/>
                <w:highlight w:val="none"/>
                <w:lang w:val="en-US" w:eastAsia="zh-CN"/>
              </w:rPr>
              <w:t>相应分标</w:t>
            </w:r>
            <w:r>
              <w:rPr>
                <w:rFonts w:hint="eastAsia" w:ascii="宋体" w:hAnsi="宋体"/>
                <w:b/>
                <w:color w:val="auto"/>
                <w:szCs w:val="21"/>
                <w:highlight w:val="none"/>
                <w:lang w:eastAsia="zh-CN"/>
              </w:rPr>
              <w:t>最高限价</w:t>
            </w:r>
            <w:r>
              <w:rPr>
                <w:rFonts w:hint="eastAsia" w:ascii="宋体" w:hAnsi="宋体"/>
                <w:b/>
                <w:color w:val="auto"/>
                <w:szCs w:val="21"/>
                <w:highlight w:val="none"/>
              </w:rPr>
              <w:t>金额的，投标文件作无效处理。</w:t>
            </w:r>
          </w:p>
        </w:tc>
      </w:tr>
      <w:tr w14:paraId="13A5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73AACE7D">
            <w:pPr>
              <w:keepNext w:val="0"/>
              <w:keepLines w:val="0"/>
              <w:pageBreakBefore w:val="0"/>
              <w:widowControl w:val="0"/>
              <w:kinsoku/>
              <w:wordWrap w:val="0"/>
              <w:overflowPunct/>
              <w:topLinePunct w:val="0"/>
              <w:autoSpaceDE/>
              <w:autoSpaceDN/>
              <w:bidi w:val="0"/>
              <w:adjustRightInd w:val="0"/>
              <w:snapToGrid w:val="0"/>
              <w:spacing w:line="380" w:lineRule="exact"/>
              <w:jc w:val="left"/>
              <w:textAlignment w:val="center"/>
              <w:rPr>
                <w:rFonts w:ascii="仿宋_GB2312" w:hAnsi="宋体" w:eastAsia="仿宋_GB2312"/>
                <w:color w:val="auto"/>
                <w:sz w:val="28"/>
                <w:szCs w:val="28"/>
                <w:highlight w:val="none"/>
              </w:rPr>
            </w:pPr>
            <w:r>
              <w:rPr>
                <w:rFonts w:hint="eastAsia" w:ascii="宋体" w:hAnsi="宋体" w:cs="宋体"/>
                <w:b/>
                <w:color w:val="auto"/>
                <w:szCs w:val="21"/>
                <w:highlight w:val="none"/>
                <w:lang w:val="en-US" w:eastAsia="zh-CN"/>
              </w:rPr>
              <w:t>四</w:t>
            </w:r>
            <w:r>
              <w:rPr>
                <w:rFonts w:hint="eastAsia" w:ascii="宋体" w:hAnsi="宋体" w:cs="宋体"/>
                <w:b/>
                <w:color w:val="auto"/>
                <w:szCs w:val="21"/>
                <w:highlight w:val="none"/>
              </w:rPr>
              <w:t>、与实现项目目标相关的其他要求</w:t>
            </w:r>
          </w:p>
        </w:tc>
      </w:tr>
      <w:tr w14:paraId="42DA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BEFE48E">
            <w:pPr>
              <w:wordWrap w:val="0"/>
              <w:adjustRightInd w:val="0"/>
              <w:snapToGrid w:val="0"/>
              <w:spacing w:line="320" w:lineRule="exact"/>
              <w:jc w:val="center"/>
              <w:rPr>
                <w:rFonts w:ascii="宋体" w:hAnsi="宋体"/>
                <w:bCs/>
                <w:color w:val="auto"/>
                <w:szCs w:val="21"/>
                <w:highlight w:val="none"/>
              </w:rPr>
            </w:pPr>
            <w:r>
              <w:rPr>
                <w:rFonts w:hint="eastAsia" w:hAnsi="宋体"/>
                <w:bCs/>
                <w:color w:val="auto"/>
                <w:highlight w:val="none"/>
              </w:rPr>
              <w:t>（</w:t>
            </w:r>
            <w:r>
              <w:rPr>
                <w:rFonts w:hint="eastAsia" w:ascii="宋体" w:hAnsi="宋体"/>
                <w:color w:val="auto"/>
                <w:szCs w:val="21"/>
                <w:highlight w:val="none"/>
              </w:rPr>
              <w:t>一）配送及安装实施方案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0033DC19">
            <w:pPr>
              <w:wordWrap w:val="0"/>
              <w:adjustRightInd w:val="0"/>
              <w:snapToGrid w:val="0"/>
              <w:spacing w:line="340" w:lineRule="exact"/>
              <w:rPr>
                <w:rFonts w:hAnsi="宋体" w:cs="宋体"/>
                <w:b/>
                <w:color w:val="auto"/>
                <w:kern w:val="0"/>
                <w:szCs w:val="21"/>
                <w:highlight w:val="none"/>
              </w:rPr>
            </w:pPr>
            <w:r>
              <w:rPr>
                <w:rFonts w:hint="eastAsia" w:hAnsi="宋体" w:cs="宋体"/>
                <w:color w:val="auto"/>
                <w:kern w:val="0"/>
                <w:szCs w:val="21"/>
                <w:highlight w:val="none"/>
              </w:rPr>
              <w:t>投标人根据自身情况，可于投标文</w:t>
            </w:r>
            <w:r>
              <w:rPr>
                <w:rFonts w:hint="eastAsia" w:hAnsi="宋体" w:cs="宋体"/>
                <w:color w:val="auto"/>
                <w:kern w:val="0"/>
                <w:szCs w:val="21"/>
                <w:highlight w:val="none"/>
                <w:lang w:eastAsia="zh-CN"/>
              </w:rPr>
              <w:t>件中</w:t>
            </w:r>
            <w:r>
              <w:rPr>
                <w:rFonts w:hint="eastAsia" w:hAnsi="宋体" w:cs="宋体"/>
                <w:color w:val="auto"/>
                <w:kern w:val="0"/>
                <w:szCs w:val="21"/>
                <w:highlight w:val="none"/>
              </w:rPr>
              <w:t>提供</w:t>
            </w:r>
            <w:r>
              <w:rPr>
                <w:rFonts w:hint="eastAsia" w:ascii="宋体" w:hAnsi="宋体"/>
                <w:color w:val="auto"/>
                <w:szCs w:val="21"/>
                <w:highlight w:val="none"/>
              </w:rPr>
              <w:t>配送及安装实施方案</w:t>
            </w:r>
            <w:r>
              <w:rPr>
                <w:rFonts w:hint="eastAsia" w:hAnsi="宋体"/>
                <w:color w:val="auto"/>
                <w:spacing w:val="-4"/>
                <w:highlight w:val="none"/>
              </w:rPr>
              <w:t>，包含但不限于：</w:t>
            </w:r>
            <w:r>
              <w:rPr>
                <w:rFonts w:hint="eastAsia" w:hAnsi="宋体" w:cs="宋体"/>
                <w:color w:val="auto"/>
                <w:szCs w:val="21"/>
                <w:highlight w:val="none"/>
              </w:rPr>
              <w:t>①项</w:t>
            </w:r>
            <w:r>
              <w:rPr>
                <w:rFonts w:hint="eastAsia" w:hAnsi="宋体"/>
                <w:color w:val="auto"/>
                <w:szCs w:val="21"/>
                <w:highlight w:val="none"/>
              </w:rPr>
              <w:t>目管理方案；②配送组织安排；③设备安装方案、设备调试及试运行方案；④设备安装技术人员配备；⑤技术支持方案等</w:t>
            </w:r>
            <w:r>
              <w:rPr>
                <w:rFonts w:hint="eastAsia" w:hAnsi="宋体" w:cs="宋体"/>
                <w:color w:val="auto"/>
                <w:kern w:val="0"/>
                <w:szCs w:val="21"/>
                <w:highlight w:val="none"/>
              </w:rPr>
              <w:t>。</w:t>
            </w:r>
          </w:p>
          <w:p w14:paraId="02FEC6C3">
            <w:pPr>
              <w:wordWrap w:val="0"/>
              <w:adjustRightInd w:val="0"/>
              <w:snapToGrid w:val="0"/>
              <w:spacing w:line="340" w:lineRule="exact"/>
              <w:rPr>
                <w:rFonts w:hAnsi="宋体" w:cs="宋体"/>
                <w:color w:val="auto"/>
                <w:kern w:val="0"/>
                <w:szCs w:val="21"/>
                <w:highlight w:val="none"/>
              </w:rPr>
            </w:pPr>
            <w:r>
              <w:rPr>
                <w:rFonts w:hint="eastAsia" w:hAnsi="宋体" w:cs="宋体"/>
                <w:b/>
                <w:color w:val="auto"/>
                <w:kern w:val="0"/>
                <w:szCs w:val="21"/>
                <w:highlight w:val="none"/>
              </w:rPr>
              <w:t>注：上述配送及安装实施方案详见第四章“评标办法”。</w:t>
            </w:r>
          </w:p>
        </w:tc>
      </w:tr>
      <w:tr w14:paraId="207B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78DF99D">
            <w:pPr>
              <w:wordWrap w:val="0"/>
              <w:adjustRightInd w:val="0"/>
              <w:snapToGrid w:val="0"/>
              <w:spacing w:line="320" w:lineRule="exact"/>
              <w:jc w:val="center"/>
              <w:rPr>
                <w:rFonts w:ascii="宋体" w:hAnsi="宋体"/>
                <w:bCs/>
                <w:color w:val="auto"/>
                <w:szCs w:val="21"/>
                <w:highlight w:val="none"/>
              </w:rPr>
            </w:pPr>
            <w:r>
              <w:rPr>
                <w:rFonts w:hint="eastAsia" w:ascii="宋体" w:hAnsi="宋体"/>
                <w:bCs/>
                <w:color w:val="auto"/>
                <w:szCs w:val="21"/>
                <w:highlight w:val="none"/>
              </w:rPr>
              <w:t>（二）</w:t>
            </w:r>
            <w:r>
              <w:rPr>
                <w:rFonts w:hint="eastAsia" w:ascii="宋体" w:hAnsi="宋体" w:cs="宋体"/>
                <w:color w:val="auto"/>
                <w:szCs w:val="21"/>
                <w:highlight w:val="none"/>
              </w:rPr>
              <w:t>售后服务方案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94C9AA7">
            <w:pPr>
              <w:wordWrap w:val="0"/>
              <w:adjustRightInd w:val="0"/>
              <w:snapToGrid w:val="0"/>
              <w:spacing w:line="340" w:lineRule="exact"/>
              <w:rPr>
                <w:rFonts w:ascii="宋体" w:hAnsi="宋体"/>
                <w:color w:val="auto"/>
                <w:szCs w:val="21"/>
                <w:highlight w:val="none"/>
              </w:rPr>
            </w:pPr>
            <w:r>
              <w:rPr>
                <w:rFonts w:hint="eastAsia" w:ascii="宋体" w:hAnsi="宋体"/>
                <w:color w:val="auto"/>
                <w:szCs w:val="21"/>
                <w:highlight w:val="none"/>
              </w:rPr>
              <w:t>投标人根据售后服务基本要求和自身情况，可于投标文</w:t>
            </w:r>
            <w:r>
              <w:rPr>
                <w:rFonts w:hint="eastAsia" w:ascii="宋体" w:hAnsi="宋体"/>
                <w:color w:val="auto"/>
                <w:szCs w:val="21"/>
                <w:highlight w:val="none"/>
                <w:lang w:eastAsia="zh-CN"/>
              </w:rPr>
              <w:t>件中</w:t>
            </w:r>
            <w:r>
              <w:rPr>
                <w:rFonts w:hint="eastAsia" w:ascii="宋体" w:hAnsi="宋体"/>
                <w:color w:val="auto"/>
                <w:szCs w:val="21"/>
                <w:highlight w:val="none"/>
              </w:rPr>
              <w:t>提供</w:t>
            </w:r>
            <w:r>
              <w:rPr>
                <w:rFonts w:hint="eastAsia" w:ascii="宋体" w:hAnsi="宋体" w:cs="宋体"/>
                <w:color w:val="auto"/>
                <w:szCs w:val="21"/>
                <w:highlight w:val="none"/>
              </w:rPr>
              <w:t>售后服务方案</w:t>
            </w:r>
            <w:r>
              <w:rPr>
                <w:rFonts w:hint="eastAsia" w:ascii="宋体" w:hAnsi="宋体"/>
                <w:color w:val="auto"/>
                <w:szCs w:val="21"/>
                <w:highlight w:val="none"/>
              </w:rPr>
              <w:t>，包含但不限于：</w:t>
            </w:r>
            <w:r>
              <w:rPr>
                <w:rFonts w:hint="eastAsia" w:hAnsi="宋体"/>
                <w:color w:val="auto"/>
                <w:szCs w:val="21"/>
                <w:highlight w:val="none"/>
              </w:rPr>
              <w:t>①售后人员配备情况；②常见故障及解决方案；③</w:t>
            </w:r>
            <w:r>
              <w:rPr>
                <w:rFonts w:hint="eastAsia"/>
                <w:color w:val="auto"/>
                <w:szCs w:val="21"/>
                <w:highlight w:val="none"/>
              </w:rPr>
              <w:t>培训方案</w:t>
            </w:r>
            <w:r>
              <w:rPr>
                <w:rFonts w:hint="eastAsia" w:hAnsi="宋体"/>
                <w:color w:val="auto"/>
                <w:szCs w:val="21"/>
                <w:highlight w:val="none"/>
              </w:rPr>
              <w:t>；④</w:t>
            </w:r>
            <w:r>
              <w:rPr>
                <w:rFonts w:hint="eastAsia" w:hAnsi="宋体"/>
                <w:color w:val="auto"/>
                <w:szCs w:val="21"/>
                <w:highlight w:val="none"/>
                <w:lang w:eastAsia="zh-CN"/>
              </w:rPr>
              <w:t>质保期</w:t>
            </w:r>
            <w:r>
              <w:rPr>
                <w:rFonts w:hint="eastAsia" w:hAnsi="宋体"/>
                <w:color w:val="auto"/>
                <w:szCs w:val="21"/>
                <w:highlight w:val="none"/>
              </w:rPr>
              <w:t>外维修方案；⑤其他实质性优惠措施</w:t>
            </w:r>
            <w:r>
              <w:rPr>
                <w:rFonts w:hint="eastAsia" w:hAnsi="宋体"/>
                <w:color w:val="auto"/>
                <w:spacing w:val="-4"/>
                <w:highlight w:val="none"/>
              </w:rPr>
              <w:t>等。</w:t>
            </w:r>
          </w:p>
          <w:p w14:paraId="1E33D37F">
            <w:pPr>
              <w:wordWrap w:val="0"/>
              <w:adjustRightInd w:val="0"/>
              <w:snapToGrid w:val="0"/>
              <w:spacing w:line="340" w:lineRule="exact"/>
              <w:rPr>
                <w:b/>
                <w:bCs/>
                <w:color w:val="auto"/>
                <w:highlight w:val="none"/>
              </w:rPr>
            </w:pPr>
            <w:r>
              <w:rPr>
                <w:rFonts w:hint="eastAsia"/>
                <w:b/>
                <w:bCs/>
                <w:color w:val="auto"/>
                <w:highlight w:val="none"/>
              </w:rPr>
              <w:t>注：上述售后服务方案评分详见第四章“评标办法”。</w:t>
            </w:r>
          </w:p>
        </w:tc>
      </w:tr>
      <w:tr w14:paraId="739F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21C3D577">
            <w:pPr>
              <w:wordWrap w:val="0"/>
              <w:adjustRightInd w:val="0"/>
              <w:snapToGrid w:val="0"/>
              <w:spacing w:line="320" w:lineRule="exact"/>
              <w:jc w:val="center"/>
              <w:rPr>
                <w:rFonts w:ascii="宋体" w:hAnsi="宋体"/>
                <w:i/>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三</w:t>
            </w:r>
            <w:r>
              <w:rPr>
                <w:rFonts w:hint="eastAsia" w:ascii="宋体" w:hAnsi="宋体"/>
                <w:color w:val="auto"/>
                <w:szCs w:val="21"/>
                <w:highlight w:val="none"/>
              </w:rPr>
              <w:t>）履约能力要求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55AC17E0">
            <w:pPr>
              <w:wordWrap w:val="0"/>
              <w:adjustRightInd w:val="0"/>
              <w:snapToGrid w:val="0"/>
              <w:spacing w:line="340" w:lineRule="exact"/>
              <w:rPr>
                <w:rFonts w:ascii="宋体" w:hAnsi="宋体"/>
                <w:color w:val="auto"/>
                <w:szCs w:val="21"/>
                <w:highlight w:val="none"/>
              </w:rPr>
            </w:pPr>
            <w:r>
              <w:rPr>
                <w:rFonts w:hint="eastAsia" w:hAnsi="宋体"/>
                <w:color w:val="auto"/>
                <w:szCs w:val="21"/>
                <w:highlight w:val="none"/>
              </w:rPr>
              <w:t>投标人或</w:t>
            </w:r>
            <w:r>
              <w:rPr>
                <w:rFonts w:hint="eastAsia"/>
                <w:color w:val="auto"/>
                <w:highlight w:val="none"/>
              </w:rPr>
              <w:t>所投</w:t>
            </w:r>
            <w:r>
              <w:rPr>
                <w:rFonts w:hint="eastAsia"/>
                <w:color w:val="auto"/>
                <w:highlight w:val="none"/>
                <w:lang w:eastAsia="zh-CN"/>
              </w:rPr>
              <w:t>核心</w:t>
            </w:r>
            <w:r>
              <w:rPr>
                <w:rFonts w:hint="eastAsia"/>
                <w:color w:val="auto"/>
                <w:highlight w:val="none"/>
              </w:rPr>
              <w:t>产品</w:t>
            </w:r>
            <w:r>
              <w:rPr>
                <w:rFonts w:hint="eastAsia" w:hAnsi="宋体"/>
                <w:color w:val="auto"/>
                <w:szCs w:val="21"/>
                <w:highlight w:val="none"/>
              </w:rPr>
              <w:t>生产厂家</w:t>
            </w:r>
            <w:r>
              <w:rPr>
                <w:rFonts w:hint="eastAsia" w:ascii="宋体" w:hAnsi="宋体"/>
                <w:color w:val="auto"/>
                <w:szCs w:val="21"/>
                <w:highlight w:val="none"/>
              </w:rPr>
              <w:t>自2022年以来具有</w:t>
            </w:r>
            <w:r>
              <w:rPr>
                <w:rFonts w:hint="eastAsia" w:ascii="宋体" w:hAnsi="宋体"/>
                <w:color w:val="auto"/>
                <w:szCs w:val="21"/>
                <w:highlight w:val="none"/>
                <w:lang w:val="en-US" w:eastAsia="zh-CN"/>
              </w:rPr>
              <w:t>核心产品</w:t>
            </w:r>
            <w:r>
              <w:rPr>
                <w:rFonts w:hint="eastAsia" w:ascii="宋体" w:hAnsi="宋体"/>
                <w:color w:val="auto"/>
                <w:szCs w:val="21"/>
                <w:highlight w:val="none"/>
              </w:rPr>
              <w:t>销售业绩。</w:t>
            </w:r>
          </w:p>
          <w:p w14:paraId="21B67CEB">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b/>
                <w:i/>
                <w:color w:val="auto"/>
                <w:szCs w:val="21"/>
                <w:highlight w:val="none"/>
              </w:rPr>
            </w:pPr>
            <w:r>
              <w:rPr>
                <w:rFonts w:hint="eastAsia"/>
                <w:b/>
                <w:bCs/>
                <w:color w:val="auto"/>
                <w:highlight w:val="none"/>
              </w:rPr>
              <w:t>注：上述履约能力加分详见第四章“评标办法”。</w:t>
            </w:r>
          </w:p>
        </w:tc>
      </w:tr>
      <w:tr w14:paraId="74DD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965407C">
            <w:pPr>
              <w:wordWrap w:val="0"/>
              <w:adjustRightInd w:val="0"/>
              <w:snapToGrid w:val="0"/>
              <w:spacing w:line="320" w:lineRule="exact"/>
              <w:jc w:val="center"/>
              <w:rPr>
                <w:rFonts w:ascii="宋体" w:hAnsi="宋体"/>
                <w:i/>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四</w:t>
            </w:r>
            <w:r>
              <w:rPr>
                <w:rFonts w:hint="eastAsia" w:ascii="宋体" w:hAnsi="宋体"/>
                <w:color w:val="auto"/>
                <w:szCs w:val="21"/>
                <w:highlight w:val="none"/>
              </w:rPr>
              <w:t>）政策性加分条件</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120FA94">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color w:val="auto"/>
                <w:highlight w:val="none"/>
              </w:rPr>
            </w:pPr>
            <w:r>
              <w:rPr>
                <w:rFonts w:hint="eastAsia" w:ascii="宋体" w:hAnsi="宋体"/>
                <w:color w:val="auto"/>
                <w:highlight w:val="none"/>
              </w:rPr>
              <w:t>1.节能产品加分：属于财政部《节能产品政府采购品目清单》内优先采购（清单内未标注“★”的品目）的产品</w:t>
            </w:r>
            <w:r>
              <w:rPr>
                <w:rFonts w:hint="eastAsia" w:ascii="宋体" w:hAnsi="宋体"/>
                <w:color w:val="auto"/>
                <w:highlight w:val="none"/>
                <w:lang w:eastAsia="zh-CN"/>
              </w:rPr>
              <w:t>（在</w:t>
            </w:r>
            <w:r>
              <w:rPr>
                <w:rFonts w:hint="eastAsia" w:ascii="宋体" w:hAnsi="宋体"/>
                <w:color w:val="auto"/>
                <w:highlight w:val="none"/>
              </w:rPr>
              <w:t>投标文件中提供有效的认证证书复印件，并加盖投标人</w:t>
            </w:r>
            <w:r>
              <w:rPr>
                <w:rFonts w:hint="eastAsia" w:hAnsi="宋体"/>
                <w:color w:val="auto"/>
                <w:highlight w:val="none"/>
              </w:rPr>
              <w:t>电子签章</w:t>
            </w:r>
            <w:r>
              <w:rPr>
                <w:rFonts w:hint="eastAsia" w:ascii="宋体" w:hAnsi="宋体"/>
                <w:color w:val="auto"/>
                <w:highlight w:val="none"/>
              </w:rPr>
              <w:t>），相应予以加分。</w:t>
            </w:r>
          </w:p>
          <w:p w14:paraId="77E2B259">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color w:val="auto"/>
                <w:highlight w:val="none"/>
              </w:rPr>
            </w:pPr>
            <w:r>
              <w:rPr>
                <w:rFonts w:hint="eastAsia" w:ascii="宋体" w:hAnsi="宋体"/>
                <w:color w:val="auto"/>
                <w:highlight w:val="none"/>
              </w:rPr>
              <w:t>2.环境标志产品加分：属于财政部《环境标志产品政府采购品目清单》内的产品（投标文件中提供有效的认证证书复印件，并加盖投标人</w:t>
            </w:r>
            <w:r>
              <w:rPr>
                <w:rFonts w:hint="eastAsia" w:hAnsi="宋体"/>
                <w:color w:val="auto"/>
                <w:highlight w:val="none"/>
              </w:rPr>
              <w:t>电子签章</w:t>
            </w:r>
            <w:r>
              <w:rPr>
                <w:rFonts w:hint="eastAsia" w:ascii="宋体" w:hAnsi="宋体"/>
                <w:color w:val="auto"/>
                <w:highlight w:val="none"/>
              </w:rPr>
              <w:t>），相应予以加分。</w:t>
            </w:r>
          </w:p>
          <w:p w14:paraId="5F70B281">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b/>
                <w:color w:val="auto"/>
                <w:szCs w:val="21"/>
                <w:highlight w:val="none"/>
              </w:rPr>
            </w:pPr>
            <w:r>
              <w:rPr>
                <w:rFonts w:hint="eastAsia" w:ascii="宋体" w:hAnsi="宋体"/>
                <w:b/>
                <w:color w:val="auto"/>
                <w:highlight w:val="none"/>
              </w:rPr>
              <w:t>注：上述政策性加分详见第四章“评标办法”。</w:t>
            </w:r>
          </w:p>
        </w:tc>
      </w:tr>
    </w:tbl>
    <w:p w14:paraId="2ED45BF6">
      <w:pPr>
        <w:ind w:firstLine="643" w:firstLineChars="200"/>
        <w:jc w:val="center"/>
        <w:rPr>
          <w:rFonts w:ascii="宋体" w:hAnsi="宋体"/>
          <w:b/>
          <w:color w:val="auto"/>
          <w:sz w:val="32"/>
          <w:szCs w:val="32"/>
          <w:highlight w:val="none"/>
        </w:rPr>
      </w:pPr>
    </w:p>
    <w:p w14:paraId="22FE97A0">
      <w:pPr>
        <w:ind w:firstLine="643" w:firstLineChars="200"/>
        <w:jc w:val="center"/>
        <w:rPr>
          <w:rFonts w:ascii="宋体" w:hAnsi="宋体"/>
          <w:b/>
          <w:color w:val="auto"/>
          <w:sz w:val="32"/>
          <w:szCs w:val="32"/>
          <w:highlight w:val="none"/>
        </w:rPr>
      </w:pPr>
    </w:p>
    <w:p w14:paraId="78FA4B8D">
      <w:pPr>
        <w:jc w:val="both"/>
        <w:rPr>
          <w:rFonts w:hint="eastAsia" w:ascii="宋体" w:hAnsi="宋体" w:eastAsia="宋体"/>
          <w:b/>
          <w:color w:val="auto"/>
          <w:sz w:val="32"/>
          <w:szCs w:val="32"/>
          <w:highlight w:val="none"/>
          <w:lang w:eastAsia="zh-CN"/>
        </w:rPr>
      </w:pPr>
    </w:p>
    <w:p w14:paraId="74178040">
      <w:pPr>
        <w:adjustRightInd w:val="0"/>
        <w:spacing w:line="360" w:lineRule="exact"/>
        <w:rPr>
          <w:rFonts w:hint="eastAsia" w:ascii="宋体" w:hAnsi="宋体"/>
          <w:b/>
          <w:color w:val="auto"/>
          <w:sz w:val="24"/>
          <w:highlight w:val="none"/>
          <w:lang w:val="en-US" w:eastAsia="zh-CN"/>
        </w:rPr>
      </w:pPr>
    </w:p>
    <w:p w14:paraId="443E3C2C">
      <w:pPr>
        <w:adjustRightInd w:val="0"/>
        <w:spacing w:line="360" w:lineRule="exact"/>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分标2：消毒供应室、心电图室设备</w:t>
      </w:r>
    </w:p>
    <w:tbl>
      <w:tblPr>
        <w:tblStyle w:val="51"/>
        <w:tblW w:w="9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531"/>
        <w:gridCol w:w="934"/>
        <w:gridCol w:w="4045"/>
        <w:gridCol w:w="709"/>
        <w:gridCol w:w="753"/>
        <w:gridCol w:w="1319"/>
      </w:tblGrid>
      <w:tr w14:paraId="6CAD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11287FF2">
            <w:pPr>
              <w:wordWrap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一、采购内容及技术要求</w:t>
            </w:r>
          </w:p>
        </w:tc>
      </w:tr>
      <w:tr w14:paraId="11D2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4D43342">
            <w:pPr>
              <w:wordWrap w:val="0"/>
              <w:adjustRightInd w:val="0"/>
              <w:snapToGrid w:val="0"/>
              <w:jc w:val="cente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项号</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42EAADE5">
            <w:pPr>
              <w:wordWrap w:val="0"/>
              <w:adjustRightInd w:val="0"/>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6E9C4BEC">
            <w:pPr>
              <w:widowControl/>
              <w:wordWrap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标的所属行业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4E818C58">
            <w:pPr>
              <w:wordWrap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技术要求</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CC6F2BF">
            <w:pPr>
              <w:wordWrap w:val="0"/>
              <w:adjustRightInd w:val="0"/>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6F170ED7">
            <w:pPr>
              <w:wordWrap w:val="0"/>
              <w:adjustRightInd w:val="0"/>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89F15E3">
            <w:pPr>
              <w:wordWrap w:val="0"/>
              <w:adjustRightInd w:val="0"/>
              <w:snapToGrid w:val="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参考单价（元）</w:t>
            </w:r>
          </w:p>
        </w:tc>
      </w:tr>
      <w:tr w14:paraId="51F5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529F2386">
            <w:pPr>
              <w:wordWrap w:val="0"/>
              <w:adjustRightInd w:val="0"/>
              <w:snapToGrid w:val="0"/>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198BE5B6">
            <w:pPr>
              <w:wordWrap w:val="0"/>
              <w:adjustRightInd w:val="0"/>
              <w:snapToGrid w:val="0"/>
              <w:jc w:val="center"/>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lang w:val="en-US" w:eastAsia="zh-CN"/>
              </w:rPr>
              <w:t>电热蒸汽发生器</w:t>
            </w:r>
          </w:p>
        </w:tc>
        <w:tc>
          <w:tcPr>
            <w:tcW w:w="934" w:type="dxa"/>
            <w:tcBorders>
              <w:top w:val="single" w:color="auto" w:sz="4" w:space="0"/>
              <w:left w:val="single" w:color="auto" w:sz="4" w:space="0"/>
              <w:right w:val="single" w:color="auto" w:sz="4" w:space="0"/>
            </w:tcBorders>
            <w:noWrap w:val="0"/>
            <w:vAlign w:val="center"/>
          </w:tcPr>
          <w:p w14:paraId="19C3E50B">
            <w:pPr>
              <w:keepNext w:val="0"/>
              <w:keepLines w:val="0"/>
              <w:pageBreakBefore w:val="0"/>
              <w:widowControl w:val="0"/>
              <w:tabs>
                <w:tab w:val="left" w:pos="180"/>
                <w:tab w:val="left" w:pos="1620"/>
              </w:tabs>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06064FB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1.用途：将水转化成高温高压的蒸汽，用于消毒和灭菌或者满足其他用蒸汽源的要求。</w:t>
            </w:r>
          </w:p>
          <w:p w14:paraId="0BB4CC1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2.功能要求：有自动加水、自动产生蒸汽、自动缺水保护、自动超压保护的功能。</w:t>
            </w:r>
          </w:p>
          <w:p w14:paraId="62ADC7A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3.最高工作压力≥0.60MPa。</w:t>
            </w:r>
          </w:p>
          <w:p w14:paraId="5596EC3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4.最高工作温度≥165℃。</w:t>
            </w:r>
          </w:p>
          <w:p w14:paraId="14CE787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5.电源：380V/50Hz。</w:t>
            </w:r>
          </w:p>
          <w:p w14:paraId="662A82B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6.最大电流≥120A。</w:t>
            </w:r>
          </w:p>
          <w:p w14:paraId="13A0916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7.功率≤60</w:t>
            </w:r>
            <w:r>
              <w:rPr>
                <w:rFonts w:hint="eastAsia" w:ascii="宋体" w:hAnsi="宋体" w:cs="宋体"/>
                <w:b/>
                <w:bCs/>
                <w:color w:val="auto"/>
                <w:sz w:val="21"/>
                <w:szCs w:val="21"/>
                <w:highlight w:val="none"/>
                <w:lang w:val="en-US" w:eastAsia="zh-CN"/>
              </w:rPr>
              <w:t>kW</w:t>
            </w:r>
            <w:r>
              <w:rPr>
                <w:rFonts w:hint="eastAsia" w:ascii="宋体" w:hAnsi="宋体" w:eastAsia="宋体" w:cs="宋体"/>
                <w:b/>
                <w:bCs/>
                <w:color w:val="auto"/>
                <w:sz w:val="21"/>
                <w:szCs w:val="21"/>
                <w:highlight w:val="none"/>
                <w:lang w:val="en-US" w:eastAsia="zh-CN"/>
              </w:rPr>
              <w:t>。</w:t>
            </w:r>
          </w:p>
          <w:p w14:paraId="480A321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8.最大蒸汽产量≥80kg/h。</w:t>
            </w:r>
          </w:p>
          <w:p w14:paraId="1D77472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.外形尺寸</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长×宽×高</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≤800×500×1560mm</w:t>
            </w:r>
            <w:r>
              <w:rPr>
                <w:rFonts w:hint="eastAsia" w:ascii="宋体" w:hAnsi="宋体" w:eastAsia="宋体" w:cs="宋体"/>
                <w:color w:val="auto"/>
                <w:sz w:val="21"/>
                <w:szCs w:val="21"/>
                <w:highlight w:val="none"/>
                <w:lang w:eastAsia="zh-CN"/>
              </w:rPr>
              <w:t>。</w:t>
            </w:r>
          </w:p>
          <w:p w14:paraId="6C2A3FA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10.证件办理：该设备属于压力容器，设备到货后30天内完成办理特种设备使用登记证</w:t>
            </w:r>
            <w:r>
              <w:rPr>
                <w:rFonts w:hint="eastAsia" w:ascii="宋体" w:hAnsi="宋体" w:cs="宋体"/>
                <w:b/>
                <w:bCs/>
                <w:color w:val="auto"/>
                <w:sz w:val="21"/>
                <w:szCs w:val="21"/>
                <w:highlight w:val="none"/>
                <w:lang w:val="en-US" w:eastAsia="zh-CN"/>
              </w:rPr>
              <w:t>，且</w:t>
            </w:r>
            <w:r>
              <w:rPr>
                <w:rFonts w:hint="eastAsia" w:ascii="宋体" w:hAnsi="宋体" w:eastAsia="宋体" w:cs="宋体"/>
                <w:b/>
                <w:bCs/>
                <w:color w:val="auto"/>
                <w:sz w:val="21"/>
                <w:szCs w:val="21"/>
                <w:highlight w:val="none"/>
                <w:lang w:val="en-US" w:eastAsia="zh-CN"/>
              </w:rPr>
              <w:t>压力表、安全阀</w:t>
            </w:r>
            <w:r>
              <w:rPr>
                <w:rFonts w:hint="eastAsia" w:ascii="宋体" w:hAnsi="宋体" w:cs="宋体"/>
                <w:b/>
                <w:bCs/>
                <w:color w:val="auto"/>
                <w:sz w:val="21"/>
                <w:szCs w:val="21"/>
                <w:highlight w:val="none"/>
                <w:lang w:val="en-US" w:eastAsia="zh-CN"/>
              </w:rPr>
              <w:t>经</w:t>
            </w:r>
            <w:r>
              <w:rPr>
                <w:rFonts w:hint="eastAsia" w:ascii="宋体" w:hAnsi="宋体" w:eastAsia="宋体" w:cs="宋体"/>
                <w:b/>
                <w:bCs/>
                <w:color w:val="auto"/>
                <w:sz w:val="21"/>
                <w:szCs w:val="21"/>
                <w:highlight w:val="none"/>
                <w:lang w:val="en-US" w:eastAsia="zh-CN"/>
              </w:rPr>
              <w:t>检验合格后移交给采购人。</w:t>
            </w:r>
          </w:p>
          <w:p w14:paraId="1227AC6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AA92B96">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286FE4E4">
            <w:pPr>
              <w:tabs>
                <w:tab w:val="left" w:pos="180"/>
                <w:tab w:val="left" w:pos="1620"/>
              </w:tabs>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4F238D5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highlight w:val="none"/>
                <w:u w:val="none"/>
                <w:lang w:val="en-US" w:eastAsia="zh-CN" w:bidi="ar"/>
              </w:rPr>
              <w:t>29000.00</w:t>
            </w:r>
          </w:p>
        </w:tc>
      </w:tr>
      <w:tr w14:paraId="285C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E31DD41">
            <w:pPr>
              <w:wordWrap w:val="0"/>
              <w:adjustRightInd w:val="0"/>
              <w:snapToGrid w:val="0"/>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A64B6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脉动真空灭菌器</w:t>
            </w:r>
          </w:p>
        </w:tc>
        <w:tc>
          <w:tcPr>
            <w:tcW w:w="934" w:type="dxa"/>
            <w:tcBorders>
              <w:top w:val="single" w:color="auto" w:sz="4" w:space="0"/>
              <w:left w:val="single" w:color="auto" w:sz="4" w:space="0"/>
              <w:right w:val="single" w:color="auto" w:sz="4" w:space="0"/>
            </w:tcBorders>
            <w:noWrap w:val="0"/>
            <w:vAlign w:val="center"/>
          </w:tcPr>
          <w:p w14:paraId="7454284C">
            <w:pPr>
              <w:keepNext w:val="0"/>
              <w:keepLines w:val="0"/>
              <w:pageBreakBefore w:val="0"/>
              <w:widowControl w:val="0"/>
              <w:tabs>
                <w:tab w:val="left" w:pos="180"/>
                <w:tab w:val="left" w:pos="1620"/>
              </w:tabs>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1BA9809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设备容积</w:t>
            </w:r>
            <w:r>
              <w:rPr>
                <w:rFonts w:hint="eastAsia" w:ascii="宋体" w:hAnsi="宋体" w:eastAsia="宋体" w:cs="宋体"/>
                <w:color w:val="auto"/>
                <w:sz w:val="21"/>
                <w:szCs w:val="21"/>
                <w:highlight w:val="none"/>
                <w:lang w:val="en-US" w:eastAsia="zh-CN"/>
              </w:rPr>
              <w:t>≥120</w:t>
            </w:r>
            <w:r>
              <w:rPr>
                <w:rFonts w:hint="eastAsia" w:ascii="宋体" w:hAnsi="宋体" w:eastAsia="宋体" w:cs="宋体"/>
                <w:color w:val="auto"/>
                <w:sz w:val="21"/>
                <w:szCs w:val="21"/>
                <w:highlight w:val="none"/>
              </w:rPr>
              <w:t>0L</w:t>
            </w:r>
            <w:r>
              <w:rPr>
                <w:rFonts w:hint="eastAsia" w:ascii="宋体" w:hAnsi="宋体" w:eastAsia="宋体" w:cs="宋体"/>
                <w:color w:val="auto"/>
                <w:sz w:val="21"/>
                <w:szCs w:val="21"/>
                <w:highlight w:val="none"/>
                <w:lang w:eastAsia="zh-CN"/>
              </w:rPr>
              <w:t>。</w:t>
            </w:r>
          </w:p>
          <w:p w14:paraId="5194044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设计参数：设计压力≥0.3Mpa，设计温度≥144℃</w:t>
            </w:r>
            <w:r>
              <w:rPr>
                <w:rFonts w:hint="eastAsia" w:ascii="宋体" w:hAnsi="宋体" w:eastAsia="宋体" w:cs="宋体"/>
                <w:b/>
                <w:bCs/>
                <w:color w:val="auto"/>
                <w:sz w:val="21"/>
                <w:szCs w:val="21"/>
                <w:highlight w:val="none"/>
                <w:lang w:val="en-US" w:eastAsia="zh-CN"/>
              </w:rPr>
              <w:t>【投标人于投标文件中提供所投产品满足“设计压力、设计温度”技术参数的证明材料（可以是产品说明书、彩页、功能截图等任一证明材料</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加盖投标人电子签章】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安全阀开启压力：安全阀开启压力≥0.28MPa</w:t>
            </w:r>
            <w:r>
              <w:rPr>
                <w:rFonts w:hint="eastAsia" w:ascii="宋体" w:hAnsi="宋体" w:eastAsia="宋体" w:cs="宋体"/>
                <w:color w:val="auto"/>
                <w:sz w:val="21"/>
                <w:szCs w:val="21"/>
                <w:highlight w:val="none"/>
                <w:lang w:eastAsia="zh-CN"/>
              </w:rPr>
              <w:t>。</w:t>
            </w:r>
          </w:p>
          <w:p w14:paraId="0685C33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灭菌器主体寿命及材质：主体设计≥1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年。主体结构模型为矩形环形加强筋结构，内壳、门板为3</w:t>
            </w:r>
            <w:r>
              <w:rPr>
                <w:rFonts w:hint="eastAsia" w:ascii="宋体" w:hAnsi="宋体" w:eastAsia="宋体" w:cs="宋体"/>
                <w:b/>
                <w:bCs/>
                <w:color w:val="auto"/>
                <w:sz w:val="21"/>
                <w:szCs w:val="21"/>
                <w:highlight w:val="none"/>
                <w:lang w:val="en-US" w:eastAsia="zh-CN"/>
              </w:rPr>
              <w:t>04</w:t>
            </w:r>
            <w:r>
              <w:rPr>
                <w:rFonts w:hint="eastAsia" w:ascii="宋体" w:hAnsi="宋体" w:eastAsia="宋体" w:cs="宋体"/>
                <w:b/>
                <w:bCs/>
                <w:color w:val="auto"/>
                <w:sz w:val="21"/>
                <w:szCs w:val="21"/>
                <w:highlight w:val="none"/>
              </w:rPr>
              <w:t>不锈钢材质</w:t>
            </w:r>
            <w:r>
              <w:rPr>
                <w:rFonts w:hint="eastAsia" w:ascii="宋体" w:hAnsi="宋体" w:eastAsia="宋体" w:cs="宋体"/>
                <w:b/>
                <w:bCs/>
                <w:color w:val="auto"/>
                <w:sz w:val="21"/>
                <w:szCs w:val="21"/>
                <w:highlight w:val="none"/>
                <w:lang w:eastAsia="zh-CN"/>
              </w:rPr>
              <w:t>。</w:t>
            </w:r>
          </w:p>
          <w:p w14:paraId="627C5A1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设备主体</w:t>
            </w:r>
            <w:r>
              <w:rPr>
                <w:rFonts w:hint="eastAsia" w:ascii="宋体" w:hAnsi="宋体" w:eastAsia="宋体" w:cs="宋体"/>
                <w:color w:val="auto"/>
                <w:sz w:val="21"/>
                <w:szCs w:val="21"/>
                <w:highlight w:val="none"/>
                <w:lang w:val="en-US" w:eastAsia="zh-CN"/>
              </w:rPr>
              <w:t>结构</w:t>
            </w:r>
            <w:r>
              <w:rPr>
                <w:rFonts w:hint="eastAsia" w:ascii="宋体" w:hAnsi="宋体" w:eastAsia="宋体" w:cs="宋体"/>
                <w:color w:val="auto"/>
                <w:sz w:val="21"/>
                <w:szCs w:val="21"/>
                <w:highlight w:val="none"/>
              </w:rPr>
              <w:t>：环形加强筋结构，环形加强筋个数≥4个。多点进汽，进汽口数量≥4个</w:t>
            </w:r>
            <w:r>
              <w:rPr>
                <w:rFonts w:hint="eastAsia" w:ascii="宋体" w:hAnsi="宋体" w:eastAsia="宋体" w:cs="宋体"/>
                <w:color w:val="auto"/>
                <w:sz w:val="21"/>
                <w:szCs w:val="21"/>
                <w:highlight w:val="none"/>
                <w:lang w:eastAsia="zh-CN"/>
              </w:rPr>
              <w:t>。</w:t>
            </w:r>
          </w:p>
          <w:p w14:paraId="40C025E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管路结构：管路采用SUS304不锈钢，管路带保温，卡箍连接</w:t>
            </w:r>
            <w:r>
              <w:rPr>
                <w:rFonts w:hint="eastAsia" w:ascii="宋体" w:hAnsi="宋体" w:eastAsia="宋体" w:cs="宋体"/>
                <w:color w:val="auto"/>
                <w:sz w:val="21"/>
                <w:szCs w:val="21"/>
                <w:highlight w:val="none"/>
                <w:lang w:eastAsia="zh-CN"/>
              </w:rPr>
              <w:t>。</w:t>
            </w:r>
          </w:p>
          <w:p w14:paraId="4DDD310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设备柜体保温采用彩钢板保温，管路带保温，并且冷热管颜色区分</w:t>
            </w:r>
            <w:r>
              <w:rPr>
                <w:rFonts w:hint="eastAsia" w:ascii="宋体" w:hAnsi="宋体" w:eastAsia="宋体" w:cs="宋体"/>
                <w:color w:val="auto"/>
                <w:sz w:val="21"/>
                <w:szCs w:val="21"/>
                <w:highlight w:val="none"/>
                <w:lang w:eastAsia="zh-CN"/>
              </w:rPr>
              <w:t>。</w:t>
            </w:r>
          </w:p>
          <w:p w14:paraId="164E5E5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主控制系统：PLC控制</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并配置＞</w:t>
            </w:r>
            <w:r>
              <w:rPr>
                <w:rFonts w:hint="eastAsia" w:ascii="宋体" w:hAnsi="宋体" w:eastAsia="宋体" w:cs="宋体"/>
                <w:b/>
                <w:bCs/>
                <w:color w:val="auto"/>
                <w:sz w:val="21"/>
                <w:szCs w:val="21"/>
                <w:highlight w:val="none"/>
                <w:lang w:val="en-US" w:eastAsia="zh-CN"/>
              </w:rPr>
              <w:t>8英</w:t>
            </w:r>
            <w:r>
              <w:rPr>
                <w:rFonts w:hint="eastAsia" w:ascii="宋体" w:hAnsi="宋体" w:eastAsia="宋体" w:cs="宋体"/>
                <w:b/>
                <w:bCs/>
                <w:color w:val="auto"/>
                <w:sz w:val="21"/>
                <w:szCs w:val="21"/>
                <w:highlight w:val="none"/>
              </w:rPr>
              <w:t>寸彩色触摸屏人机操作界面，显示灭菌器内室、夹套温度压力</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投标人于投标文件中必须</w:t>
            </w:r>
            <w:r>
              <w:rPr>
                <w:rFonts w:hint="eastAsia" w:ascii="宋体" w:hAnsi="宋体" w:eastAsia="宋体" w:cs="宋体"/>
                <w:b/>
                <w:bCs/>
                <w:color w:val="auto"/>
                <w:sz w:val="21"/>
                <w:szCs w:val="21"/>
                <w:highlight w:val="none"/>
              </w:rPr>
              <w:t>提供</w:t>
            </w:r>
            <w:r>
              <w:rPr>
                <w:rFonts w:hint="eastAsia" w:ascii="宋体" w:hAnsi="宋体" w:eastAsia="宋体" w:cs="宋体"/>
                <w:b/>
                <w:bCs/>
                <w:color w:val="auto"/>
                <w:sz w:val="21"/>
                <w:szCs w:val="21"/>
                <w:highlight w:val="none"/>
                <w:lang w:val="en-US" w:eastAsia="zh-CN"/>
              </w:rPr>
              <w:t>所投产品具有“</w:t>
            </w:r>
            <w:r>
              <w:rPr>
                <w:rFonts w:hint="eastAsia" w:ascii="宋体" w:hAnsi="宋体" w:eastAsia="宋体" w:cs="宋体"/>
                <w:b/>
                <w:bCs/>
                <w:color w:val="auto"/>
                <w:sz w:val="21"/>
                <w:szCs w:val="21"/>
                <w:highlight w:val="none"/>
              </w:rPr>
              <w:t>显示灭菌器内室、夹套温度压力</w:t>
            </w:r>
            <w:r>
              <w:rPr>
                <w:rFonts w:hint="eastAsia" w:ascii="宋体" w:hAnsi="宋体" w:eastAsia="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配置</w:t>
            </w:r>
            <w:r>
              <w:rPr>
                <w:rFonts w:hint="eastAsia" w:ascii="宋体" w:hAnsi="宋体" w:eastAsia="宋体" w:cs="宋体"/>
                <w:b/>
                <w:bCs/>
                <w:color w:val="auto"/>
                <w:sz w:val="21"/>
                <w:szCs w:val="21"/>
                <w:highlight w:val="none"/>
                <w:lang w:val="en-US" w:eastAsia="zh-CN"/>
              </w:rPr>
              <w:t>的证明材料（可以是实物图片、产品说明书、彩页等任一证明材料</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加盖投标人电子签章】。</w:t>
            </w:r>
            <w:r>
              <w:rPr>
                <w:rFonts w:hint="eastAsia" w:ascii="宋体" w:hAnsi="宋体" w:eastAsia="宋体" w:cs="宋体"/>
                <w:b/>
                <w:bCs/>
                <w:color w:val="auto"/>
                <w:sz w:val="21"/>
                <w:szCs w:val="21"/>
                <w:highlight w:val="none"/>
              </w:rPr>
              <w:t>采用智能双压力控制，夹层与内室均采用压力变送器</w:t>
            </w:r>
            <w:r>
              <w:rPr>
                <w:rFonts w:hint="eastAsia" w:ascii="宋体" w:hAnsi="宋体" w:eastAsia="宋体" w:cs="宋体"/>
                <w:b/>
                <w:bCs/>
                <w:color w:val="auto"/>
                <w:sz w:val="21"/>
                <w:szCs w:val="21"/>
                <w:highlight w:val="none"/>
                <w:lang w:eastAsia="zh-CN"/>
              </w:rPr>
              <w:t>。</w:t>
            </w:r>
          </w:p>
          <w:p w14:paraId="67AA81B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记录方式：灭菌过程的温度、压力、时间、过程阶段、预置参数等均在触摸屏上自动显示打印机打印工作过程参数和曲线</w:t>
            </w:r>
            <w:r>
              <w:rPr>
                <w:rFonts w:hint="eastAsia" w:ascii="宋体" w:hAnsi="宋体" w:eastAsia="宋体" w:cs="宋体"/>
                <w:color w:val="auto"/>
                <w:sz w:val="21"/>
                <w:szCs w:val="21"/>
                <w:highlight w:val="none"/>
                <w:lang w:eastAsia="zh-CN"/>
              </w:rPr>
              <w:t>。</w:t>
            </w:r>
          </w:p>
          <w:p w14:paraId="0DACEE8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9.证件办理：该设备属于压力容器，设备到货后30天内完成办理特种设备使用登记证</w:t>
            </w:r>
            <w:r>
              <w:rPr>
                <w:rFonts w:hint="eastAsia" w:ascii="宋体" w:hAnsi="宋体" w:cs="宋体"/>
                <w:b/>
                <w:bCs/>
                <w:color w:val="auto"/>
                <w:sz w:val="21"/>
                <w:szCs w:val="21"/>
                <w:highlight w:val="none"/>
                <w:lang w:val="en-US" w:eastAsia="zh-CN"/>
              </w:rPr>
              <w:t>，且</w:t>
            </w:r>
            <w:r>
              <w:rPr>
                <w:rFonts w:hint="eastAsia" w:ascii="宋体" w:hAnsi="宋体" w:eastAsia="宋体" w:cs="宋体"/>
                <w:b/>
                <w:bCs/>
                <w:color w:val="auto"/>
                <w:sz w:val="21"/>
                <w:szCs w:val="21"/>
                <w:highlight w:val="none"/>
                <w:lang w:val="en-US" w:eastAsia="zh-CN"/>
              </w:rPr>
              <w:t>压力表、安全阀</w:t>
            </w:r>
            <w:r>
              <w:rPr>
                <w:rFonts w:hint="eastAsia" w:ascii="宋体" w:hAnsi="宋体" w:cs="宋体"/>
                <w:b/>
                <w:bCs/>
                <w:color w:val="auto"/>
                <w:sz w:val="21"/>
                <w:szCs w:val="21"/>
                <w:highlight w:val="none"/>
                <w:lang w:val="en-US" w:eastAsia="zh-CN"/>
              </w:rPr>
              <w:t>经</w:t>
            </w:r>
            <w:r>
              <w:rPr>
                <w:rFonts w:hint="eastAsia" w:ascii="宋体" w:hAnsi="宋体" w:eastAsia="宋体" w:cs="宋体"/>
                <w:b/>
                <w:bCs/>
                <w:color w:val="auto"/>
                <w:sz w:val="21"/>
                <w:szCs w:val="21"/>
                <w:highlight w:val="none"/>
                <w:lang w:val="en-US" w:eastAsia="zh-CN"/>
              </w:rPr>
              <w:t>检验合格后移交给采购人。</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742E9F5">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0A52EA42">
            <w:pPr>
              <w:tabs>
                <w:tab w:val="left" w:pos="180"/>
                <w:tab w:val="left" w:pos="1620"/>
              </w:tabs>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49EF66A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highlight w:val="none"/>
                <w:u w:val="none"/>
                <w:lang w:val="en-US" w:eastAsia="zh-CN" w:bidi="ar"/>
              </w:rPr>
              <w:t>295500.00</w:t>
            </w:r>
          </w:p>
        </w:tc>
      </w:tr>
      <w:tr w14:paraId="2C55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0408C186">
            <w:pPr>
              <w:wordWrap w:val="0"/>
              <w:adjustRightInd w:val="0"/>
              <w:snapToGrid w:val="0"/>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45974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数字多道心电图机</w:t>
            </w:r>
          </w:p>
        </w:tc>
        <w:tc>
          <w:tcPr>
            <w:tcW w:w="934" w:type="dxa"/>
            <w:tcBorders>
              <w:top w:val="single" w:color="auto" w:sz="4" w:space="0"/>
              <w:left w:val="single" w:color="auto" w:sz="4" w:space="0"/>
              <w:right w:val="single" w:color="auto" w:sz="4" w:space="0"/>
            </w:tcBorders>
            <w:noWrap w:val="0"/>
            <w:vAlign w:val="center"/>
          </w:tcPr>
          <w:p w14:paraId="7B7C058F">
            <w:pPr>
              <w:keepNext w:val="0"/>
              <w:keepLines w:val="0"/>
              <w:pageBreakBefore w:val="0"/>
              <w:widowControl w:val="0"/>
              <w:tabs>
                <w:tab w:val="left" w:pos="180"/>
                <w:tab w:val="left" w:pos="1620"/>
              </w:tabs>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2EB4FE1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支</w:t>
            </w:r>
            <w:r>
              <w:rPr>
                <w:rFonts w:hint="eastAsia" w:ascii="宋体" w:hAnsi="宋体" w:eastAsia="宋体" w:cs="宋体"/>
                <w:color w:val="auto"/>
                <w:sz w:val="21"/>
                <w:szCs w:val="21"/>
                <w:highlight w:val="none"/>
              </w:rPr>
              <w:t>持12导同步心电图采集，可显示12道、6道、3道、1道波形</w:t>
            </w:r>
            <w:r>
              <w:rPr>
                <w:rFonts w:hint="eastAsia" w:ascii="宋体" w:hAnsi="宋体" w:eastAsia="宋体" w:cs="宋体"/>
                <w:color w:val="auto"/>
                <w:sz w:val="21"/>
                <w:szCs w:val="21"/>
                <w:highlight w:val="none"/>
                <w:lang w:eastAsia="zh-CN"/>
              </w:rPr>
              <w:t>。</w:t>
            </w:r>
          </w:p>
          <w:p w14:paraId="1E681B1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2.心电图机一体化平板设计，采集仪模块内置；主机全触控操作，无物理硬按键；支持智能操作系统，可远程更新升级</w:t>
            </w:r>
            <w:r>
              <w:rPr>
                <w:rFonts w:hint="eastAsia" w:ascii="宋体" w:hAnsi="宋体" w:eastAsia="宋体" w:cs="宋体"/>
                <w:color w:val="auto"/>
                <w:sz w:val="21"/>
                <w:szCs w:val="21"/>
                <w:highlight w:val="none"/>
                <w:lang w:eastAsia="zh-CN"/>
              </w:rPr>
              <w:t>。</w:t>
            </w:r>
          </w:p>
          <w:p w14:paraId="417C764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3.显示屏幕≥10英寸</w:t>
            </w:r>
            <w:r>
              <w:rPr>
                <w:rFonts w:hint="eastAsia" w:ascii="宋体" w:hAnsi="宋体" w:eastAsia="宋体" w:cs="宋体"/>
                <w:color w:val="auto"/>
                <w:sz w:val="21"/>
                <w:szCs w:val="21"/>
                <w:highlight w:val="none"/>
                <w:lang w:eastAsia="zh-CN"/>
              </w:rPr>
              <w:t>。</w:t>
            </w:r>
          </w:p>
          <w:p w14:paraId="0D8AB564">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4.心电图主机支持内置4G功能，不接受外置模块；心电图主机支持2.4GHz/5GHz双频段无线Wi-Fi</w:t>
            </w:r>
            <w:r>
              <w:rPr>
                <w:rFonts w:hint="eastAsia" w:ascii="宋体" w:hAnsi="宋体" w:eastAsia="宋体" w:cs="宋体"/>
                <w:color w:val="auto"/>
                <w:sz w:val="21"/>
                <w:szCs w:val="21"/>
                <w:highlight w:val="none"/>
                <w:lang w:eastAsia="zh-CN"/>
              </w:rPr>
              <w:t>。</w:t>
            </w:r>
          </w:p>
          <w:p w14:paraId="4FCE973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5.输入阻抗：≥100MΩ</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内部噪声：≤10μVP-P</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定标电压：1mV±1%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共模抑制比：＞125dB（默认交流滤波关闭）</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耐极化电压：±600mV</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频响范围：0.01</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350Hz全频滤波</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时间常数：≥5s</w:t>
            </w:r>
            <w:r>
              <w:rPr>
                <w:rFonts w:hint="eastAsia" w:ascii="宋体" w:hAnsi="宋体" w:eastAsia="宋体" w:cs="宋体"/>
                <w:color w:val="auto"/>
                <w:sz w:val="21"/>
                <w:szCs w:val="21"/>
                <w:highlight w:val="none"/>
                <w:lang w:eastAsia="zh-CN"/>
              </w:rPr>
              <w:t>。</w:t>
            </w:r>
          </w:p>
          <w:p w14:paraId="58B5C57E">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6.内置热敏打印机，支持报告自动打印</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支持智能胸导联减半打印功能</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支持设备内置扫码功能，无需外接扫码枪</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支持NFC识别功能</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支持GPS定位功能</w:t>
            </w:r>
            <w:r>
              <w:rPr>
                <w:rFonts w:hint="eastAsia" w:ascii="宋体" w:hAnsi="宋体" w:eastAsia="宋体" w:cs="宋体"/>
                <w:color w:val="auto"/>
                <w:sz w:val="21"/>
                <w:szCs w:val="21"/>
                <w:highlight w:val="none"/>
                <w:lang w:eastAsia="zh-CN"/>
              </w:rPr>
              <w:t>。</w:t>
            </w:r>
          </w:p>
          <w:p w14:paraId="067C6FB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7.QTc参数测量：内置6种</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以上测量算法，QTc计算方法可通过系统设置调阅并设置。</w:t>
            </w:r>
          </w:p>
          <w:p w14:paraId="6083471C">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8.心电图机支持批量下载预约记录功能，并支持待检查列表显示，列表应包含检查姓名、性别、年龄等信息；心电图机支持本地报告进行同屏对比对于危急值检查数据，支持优先诊断功能，以提醒诊断中心优先诊断；心电图机支持导联脱落、伪差、左右手接反、无法识别、心律失常波形的自动检测和提示功能；支持消息实时提醒功能，如危急报告提醒、诊断退回提醒、导联纠错提醒、诊断完成提醒，诊断语言：支持中/英文切换，支持诊断结论中部分信息进行词条关联修改功能</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投标人于投标文件中</w:t>
            </w:r>
            <w:r>
              <w:rPr>
                <w:rFonts w:hint="eastAsia" w:ascii="宋体" w:hAnsi="宋体" w:eastAsia="宋体" w:cs="宋体"/>
                <w:b/>
                <w:bCs/>
                <w:color w:val="auto"/>
                <w:sz w:val="21"/>
                <w:szCs w:val="21"/>
                <w:highlight w:val="none"/>
              </w:rPr>
              <w:t>提供</w:t>
            </w:r>
            <w:r>
              <w:rPr>
                <w:rFonts w:hint="eastAsia" w:ascii="宋体" w:hAnsi="宋体" w:eastAsia="宋体" w:cs="宋体"/>
                <w:b/>
                <w:bCs/>
                <w:color w:val="auto"/>
                <w:sz w:val="21"/>
                <w:szCs w:val="21"/>
                <w:highlight w:val="none"/>
                <w:lang w:val="en-US" w:eastAsia="zh-CN"/>
              </w:rPr>
              <w:t>所投产品满足本项技术参数的证明材料（可以是功能截图、产品彩页、产品说明书等任一证明材料</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加盖投标人电子签章】。</w:t>
            </w:r>
          </w:p>
          <w:p w14:paraId="7135EAE7">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9.内置可充电锂离子电池，电池容量不低于5000mAh；支持持续工作时间≥8小时</w:t>
            </w:r>
            <w:r>
              <w:rPr>
                <w:rFonts w:hint="eastAsia" w:ascii="宋体" w:hAnsi="宋体" w:eastAsia="宋体" w:cs="宋体"/>
                <w:color w:val="auto"/>
                <w:sz w:val="21"/>
                <w:szCs w:val="21"/>
                <w:highlight w:val="none"/>
                <w:lang w:eastAsia="zh-CN"/>
              </w:rPr>
              <w:t>。</w:t>
            </w:r>
          </w:p>
          <w:p w14:paraId="5F9635A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.阿托品试验采集及处理流程；支持梯形图解标记心电图数据；支持心电事件、起搏心电、晚电位功能</w:t>
            </w:r>
            <w:r>
              <w:rPr>
                <w:rFonts w:hint="eastAsia" w:ascii="宋体" w:hAnsi="宋体" w:eastAsia="宋体" w:cs="宋体"/>
                <w:color w:val="auto"/>
                <w:sz w:val="21"/>
                <w:szCs w:val="21"/>
                <w:highlight w:val="none"/>
                <w:lang w:eastAsia="zh-CN"/>
              </w:rPr>
              <w:t>。</w:t>
            </w:r>
          </w:p>
          <w:p w14:paraId="52198BE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.任意心搏放大、单导联图谱漂移功能、全屏图谱漂移功能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6A982256">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.支持与</w:t>
            </w:r>
            <w:r>
              <w:rPr>
                <w:rFonts w:hint="eastAsia" w:ascii="宋体" w:hAnsi="宋体" w:eastAsia="宋体" w:cs="宋体"/>
                <w:b/>
                <w:bCs/>
                <w:color w:val="auto"/>
                <w:sz w:val="21"/>
                <w:szCs w:val="21"/>
                <w:highlight w:val="none"/>
                <w:lang w:val="en-US" w:eastAsia="zh-CN"/>
              </w:rPr>
              <w:t>采购人</w:t>
            </w:r>
            <w:r>
              <w:rPr>
                <w:rFonts w:hint="eastAsia" w:ascii="宋体" w:hAnsi="宋体" w:eastAsia="宋体" w:cs="宋体"/>
                <w:b/>
                <w:bCs/>
                <w:color w:val="auto"/>
                <w:sz w:val="21"/>
                <w:szCs w:val="21"/>
                <w:highlight w:val="none"/>
              </w:rPr>
              <w:t>现有纳龙心电信息系统</w:t>
            </w:r>
            <w:r>
              <w:rPr>
                <w:rFonts w:hint="eastAsia" w:ascii="宋体" w:hAnsi="宋体" w:eastAsia="宋体" w:cs="宋体"/>
                <w:b/>
                <w:bCs/>
                <w:color w:val="auto"/>
                <w:sz w:val="21"/>
                <w:szCs w:val="21"/>
                <w:highlight w:val="none"/>
                <w:lang w:val="en-US" w:eastAsia="zh-CN"/>
              </w:rPr>
              <w:t>兼容</w:t>
            </w:r>
            <w:r>
              <w:rPr>
                <w:rFonts w:hint="eastAsia" w:ascii="宋体" w:hAnsi="宋体" w:eastAsia="宋体" w:cs="宋体"/>
                <w:b/>
                <w:bCs/>
                <w:color w:val="auto"/>
                <w:sz w:val="21"/>
                <w:szCs w:val="21"/>
                <w:highlight w:val="none"/>
              </w:rPr>
              <w:t>对接。</w:t>
            </w:r>
          </w:p>
          <w:p w14:paraId="2CA45AF9">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.配置清单：主机1套</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导联电极1套</w:t>
            </w:r>
            <w:r>
              <w:rPr>
                <w:rFonts w:hint="eastAsia" w:ascii="宋体" w:hAnsi="宋体" w:eastAsia="宋体" w:cs="宋体"/>
                <w:b/>
                <w:bCs/>
                <w:color w:val="auto"/>
                <w:sz w:val="21"/>
                <w:szCs w:val="21"/>
                <w:highlight w:val="none"/>
                <w:lang w:eastAsia="zh-CN"/>
              </w:rPr>
              <w:t>、导联线</w:t>
            </w:r>
            <w:r>
              <w:rPr>
                <w:rFonts w:hint="eastAsia" w:ascii="宋体" w:hAnsi="宋体" w:eastAsia="宋体" w:cs="宋体"/>
                <w:b/>
                <w:bCs/>
                <w:color w:val="auto"/>
                <w:sz w:val="21"/>
                <w:szCs w:val="21"/>
                <w:highlight w:val="none"/>
                <w:lang w:val="en-US" w:eastAsia="zh-CN"/>
              </w:rPr>
              <w:t>2套</w:t>
            </w:r>
            <w:r>
              <w:rPr>
                <w:rFonts w:hint="eastAsia" w:ascii="宋体" w:hAnsi="宋体" w:eastAsia="宋体" w:cs="宋体"/>
                <w:b/>
                <w:bCs/>
                <w:color w:val="auto"/>
                <w:sz w:val="21"/>
                <w:szCs w:val="21"/>
                <w:highlight w:val="none"/>
                <w:lang w:eastAsia="zh-CN"/>
              </w:rPr>
              <w:t>。</w:t>
            </w:r>
          </w:p>
          <w:p w14:paraId="1E9500A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eastAsia="zh-CN"/>
              </w:rPr>
            </w:pPr>
            <w:r>
              <w:rPr>
                <w:rFonts w:hint="eastAsia" w:ascii="宋体" w:hAnsi="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F9AB74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6C0C47B8">
            <w:pPr>
              <w:tabs>
                <w:tab w:val="left" w:pos="180"/>
                <w:tab w:val="left" w:pos="1620"/>
              </w:tabs>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5744B4C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highlight w:val="none"/>
                <w:u w:val="none"/>
                <w:lang w:val="en-US" w:eastAsia="zh-CN" w:bidi="ar"/>
              </w:rPr>
              <w:t>43500.00</w:t>
            </w:r>
          </w:p>
        </w:tc>
      </w:tr>
      <w:tr w14:paraId="7B97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7E13BFFB">
            <w:pPr>
              <w:wordWrap w:val="0"/>
              <w:adjustRightInd w:val="0"/>
              <w:snapToGrid w:val="0"/>
              <w:jc w:val="center"/>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4</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32D2FA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医用封口机</w:t>
            </w:r>
          </w:p>
        </w:tc>
        <w:tc>
          <w:tcPr>
            <w:tcW w:w="934" w:type="dxa"/>
            <w:tcBorders>
              <w:top w:val="single" w:color="auto" w:sz="4" w:space="0"/>
              <w:left w:val="single" w:color="auto" w:sz="4" w:space="0"/>
              <w:right w:val="single" w:color="auto" w:sz="4" w:space="0"/>
            </w:tcBorders>
            <w:noWrap w:val="0"/>
            <w:vAlign w:val="center"/>
          </w:tcPr>
          <w:p w14:paraId="4BF38A71">
            <w:pPr>
              <w:keepNext w:val="0"/>
              <w:keepLines w:val="0"/>
              <w:pageBreakBefore w:val="0"/>
              <w:widowControl w:val="0"/>
              <w:tabs>
                <w:tab w:val="left" w:pos="180"/>
                <w:tab w:val="left" w:pos="1620"/>
              </w:tabs>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29633B5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彩色液晶触控屏</w:t>
            </w:r>
            <w:r>
              <w:rPr>
                <w:rFonts w:hint="eastAsia" w:ascii="宋体" w:hAnsi="宋体" w:eastAsia="宋体" w:cs="宋体"/>
                <w:color w:val="auto"/>
                <w:sz w:val="21"/>
                <w:szCs w:val="21"/>
                <w:highlight w:val="none"/>
                <w:lang w:val="en-US" w:eastAsia="zh-CN"/>
              </w:rPr>
              <w:t>≥7</w:t>
            </w:r>
            <w:r>
              <w:rPr>
                <w:rFonts w:hint="eastAsia" w:ascii="宋体" w:hAnsi="宋体" w:cs="宋体"/>
                <w:color w:val="auto"/>
                <w:sz w:val="21"/>
                <w:szCs w:val="21"/>
                <w:highlight w:val="none"/>
                <w:lang w:val="en-US" w:eastAsia="zh-CN"/>
              </w:rPr>
              <w:t>英</w:t>
            </w:r>
            <w:r>
              <w:rPr>
                <w:rFonts w:hint="eastAsia" w:ascii="宋体" w:hAnsi="宋体" w:eastAsia="宋体" w:cs="宋体"/>
                <w:color w:val="auto"/>
                <w:sz w:val="21"/>
                <w:szCs w:val="21"/>
                <w:highlight w:val="none"/>
                <w:lang w:val="en-US" w:eastAsia="zh-CN"/>
              </w:rPr>
              <w:t>寸</w:t>
            </w:r>
            <w:r>
              <w:rPr>
                <w:rFonts w:hint="eastAsia" w:ascii="宋体" w:hAnsi="宋体" w:eastAsia="宋体" w:cs="宋体"/>
                <w:color w:val="auto"/>
                <w:sz w:val="21"/>
                <w:szCs w:val="21"/>
                <w:highlight w:val="none"/>
              </w:rPr>
              <w:t>，图形化操作界面，</w:t>
            </w:r>
            <w:r>
              <w:rPr>
                <w:rFonts w:hint="eastAsia" w:ascii="宋体" w:hAnsi="宋体" w:eastAsia="宋体" w:cs="宋体"/>
                <w:color w:val="auto"/>
                <w:sz w:val="21"/>
                <w:szCs w:val="21"/>
                <w:highlight w:val="none"/>
                <w:lang w:eastAsia="zh-CN"/>
              </w:rPr>
              <w:t>中文和符号显示，</w:t>
            </w:r>
            <w:r>
              <w:rPr>
                <w:rFonts w:hint="eastAsia" w:ascii="宋体" w:hAnsi="宋体" w:eastAsia="宋体" w:cs="宋体"/>
                <w:color w:val="auto"/>
                <w:sz w:val="21"/>
                <w:szCs w:val="21"/>
                <w:highlight w:val="none"/>
              </w:rPr>
              <w:t>内置时钟和参数可以设置并具有自动储存功能</w:t>
            </w:r>
            <w:r>
              <w:rPr>
                <w:rFonts w:hint="eastAsia" w:ascii="宋体" w:hAnsi="宋体" w:eastAsia="宋体" w:cs="宋体"/>
                <w:color w:val="auto"/>
                <w:sz w:val="21"/>
                <w:szCs w:val="21"/>
                <w:highlight w:val="none"/>
                <w:lang w:eastAsia="zh-CN"/>
              </w:rPr>
              <w:t>。</w:t>
            </w:r>
          </w:p>
          <w:p w14:paraId="1B59465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可通过自带的彩色触摸控制屏对设备使用参数和需打印的操作者</w:t>
            </w:r>
            <w:r>
              <w:rPr>
                <w:rFonts w:hint="eastAsia" w:ascii="宋体" w:hAnsi="宋体" w:eastAsia="宋体" w:cs="宋体"/>
                <w:b/>
                <w:bCs/>
                <w:color w:val="auto"/>
                <w:sz w:val="21"/>
                <w:szCs w:val="21"/>
                <w:highlight w:val="none"/>
                <w:lang w:val="en-US" w:eastAsia="zh-CN"/>
              </w:rPr>
              <w:t>姓名</w:t>
            </w:r>
            <w:r>
              <w:rPr>
                <w:rFonts w:hint="eastAsia" w:ascii="宋体" w:hAnsi="宋体" w:eastAsia="宋体" w:cs="宋体"/>
                <w:b/>
                <w:bCs/>
                <w:color w:val="auto"/>
                <w:sz w:val="21"/>
                <w:szCs w:val="21"/>
                <w:highlight w:val="none"/>
              </w:rPr>
              <w:t>、科室、物品名称</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器械名称、锅号、锅次、灭菌日期、失效日期、批次代码</w:t>
            </w:r>
            <w:r>
              <w:rPr>
                <w:rFonts w:hint="eastAsia" w:ascii="宋体" w:hAnsi="宋体" w:eastAsia="宋体" w:cs="宋体"/>
                <w:b/>
                <w:bCs/>
                <w:color w:val="auto"/>
                <w:sz w:val="21"/>
                <w:szCs w:val="21"/>
                <w:highlight w:val="none"/>
              </w:rPr>
              <w:t>进行设置或更改，同时由封口机打印相应设置内容；</w:t>
            </w:r>
            <w:r>
              <w:rPr>
                <w:rFonts w:hint="eastAsia" w:ascii="宋体" w:hAnsi="宋体" w:eastAsia="宋体" w:cs="宋体"/>
                <w:b/>
                <w:bCs/>
                <w:color w:val="auto"/>
                <w:sz w:val="21"/>
                <w:szCs w:val="21"/>
                <w:highlight w:val="none"/>
                <w:lang w:eastAsia="zh-CN"/>
              </w:rPr>
              <w:t>器械、科室、人员各能存储</w:t>
            </w:r>
            <w:r>
              <w:rPr>
                <w:rFonts w:hint="eastAsia" w:ascii="宋体" w:hAnsi="宋体" w:eastAsia="宋体" w:cs="宋体"/>
                <w:b/>
                <w:bCs/>
                <w:color w:val="auto"/>
                <w:sz w:val="21"/>
                <w:szCs w:val="21"/>
                <w:highlight w:val="none"/>
                <w:lang w:val="en-US" w:eastAsia="zh-CN"/>
              </w:rPr>
              <w:t>不少于20个相关信息。</w:t>
            </w:r>
          </w:p>
          <w:p w14:paraId="1096FEE8">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rPr>
              <w:t>3</w:t>
            </w:r>
            <w:r>
              <w:rPr>
                <w:rFonts w:hint="eastAsia" w:ascii="宋体" w:hAnsi="宋体" w:eastAsia="宋体" w:cs="宋体"/>
                <w:b/>
                <w:bCs/>
                <w:color w:val="auto"/>
                <w:sz w:val="21"/>
                <w:szCs w:val="21"/>
                <w:highlight w:val="none"/>
                <w:lang w:val="en-US" w:eastAsia="zh-CN"/>
              </w:rPr>
              <w:t>.具有自运行鉴定功能，能打印相关的日期，温度，压力，速度等参数。</w:t>
            </w:r>
          </w:p>
          <w:p w14:paraId="1C2C8A9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电脑智能温度控制设计，工作温度60～220℃任意设置，温控精度±1%；</w:t>
            </w:r>
            <w:r>
              <w:rPr>
                <w:rFonts w:hint="eastAsia" w:ascii="宋体" w:hAnsi="宋体" w:eastAsia="宋体" w:cs="宋体"/>
                <w:b/>
                <w:bCs/>
                <w:color w:val="auto"/>
                <w:sz w:val="21"/>
                <w:szCs w:val="21"/>
                <w:highlight w:val="none"/>
                <w:lang w:eastAsia="zh-CN"/>
              </w:rPr>
              <w:t>预设</w:t>
            </w:r>
            <w:r>
              <w:rPr>
                <w:rFonts w:hint="eastAsia" w:ascii="宋体" w:hAnsi="宋体" w:eastAsia="宋体" w:cs="宋体"/>
                <w:b/>
                <w:bCs/>
                <w:color w:val="auto"/>
                <w:sz w:val="21"/>
                <w:szCs w:val="21"/>
                <w:highlight w:val="none"/>
                <w:lang w:val="en-US" w:eastAsia="zh-CN"/>
              </w:rPr>
              <w:t>至少4种常用温度，至少包括：60、120、180、220度，可以根据日常需求实现快速切换。</w:t>
            </w:r>
          </w:p>
          <w:p w14:paraId="35C236C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5.带有USB接口，可以将数据导入或者导出到电脑。</w:t>
            </w:r>
          </w:p>
          <w:p w14:paraId="29C8E15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6.自带正序（倒序），实现0—9999以内的封口数量统计，具有打印边距，打印间隔等特殊功能。</w:t>
            </w:r>
          </w:p>
          <w:p w14:paraId="44E80CCA">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升温设计：20℃</w:t>
            </w:r>
            <w:r>
              <w:rPr>
                <w:rFonts w:hint="eastAsia" w:ascii="宋体" w:hAnsi="宋体" w:eastAsia="宋体" w:cs="宋体"/>
                <w:color w:val="auto"/>
                <w:sz w:val="21"/>
                <w:szCs w:val="21"/>
                <w:highlight w:val="none"/>
                <w:lang w:eastAsia="zh-CN"/>
              </w:rPr>
              <w:t>计数器</w:t>
            </w:r>
            <w:r>
              <w:rPr>
                <w:rFonts w:hint="eastAsia" w:ascii="宋体" w:hAnsi="宋体" w:eastAsia="宋体" w:cs="宋体"/>
                <w:color w:val="auto"/>
                <w:sz w:val="21"/>
                <w:szCs w:val="21"/>
                <w:highlight w:val="none"/>
              </w:rPr>
              <w:t>升至180℃只需</w:t>
            </w:r>
            <w:r>
              <w:rPr>
                <w:rFonts w:hint="eastAsia" w:ascii="宋体" w:hAnsi="宋体" w:eastAsia="宋体" w:cs="宋体"/>
                <w:color w:val="auto"/>
                <w:sz w:val="21"/>
                <w:szCs w:val="21"/>
                <w:highlight w:val="none"/>
                <w:lang w:val="en-US"/>
              </w:rPr>
              <w:t>3</w:t>
            </w:r>
            <w:r>
              <w:rPr>
                <w:rFonts w:hint="eastAsia" w:ascii="宋体" w:hAnsi="宋体" w:eastAsia="宋体" w:cs="宋体"/>
                <w:color w:val="auto"/>
                <w:sz w:val="21"/>
                <w:szCs w:val="21"/>
                <w:highlight w:val="none"/>
              </w:rPr>
              <w:t>0秒，常用工作温度从120℃变换至180℃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10秒；</w:t>
            </w:r>
          </w:p>
          <w:p w14:paraId="0DD5CCFF">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辅助降温设计：配置有微电脑控制的降温机构，减少高温封口温度至低温封口温</w:t>
            </w:r>
            <w:r>
              <w:rPr>
                <w:rFonts w:hint="eastAsia" w:ascii="宋体" w:hAnsi="宋体" w:eastAsia="宋体" w:cs="宋体"/>
                <w:color w:val="auto"/>
                <w:sz w:val="21"/>
                <w:szCs w:val="21"/>
                <w:highlight w:val="none"/>
              </w:rPr>
              <w:t>度的等待时间，常用工作温度从180℃降至120℃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40秒</w:t>
            </w:r>
            <w:r>
              <w:rPr>
                <w:rFonts w:hint="eastAsia" w:ascii="宋体" w:hAnsi="宋体" w:eastAsia="宋体" w:cs="宋体"/>
                <w:color w:val="auto"/>
                <w:sz w:val="21"/>
                <w:szCs w:val="21"/>
                <w:highlight w:val="none"/>
                <w:lang w:eastAsia="zh-CN"/>
              </w:rPr>
              <w:t>。</w:t>
            </w:r>
          </w:p>
          <w:p w14:paraId="1CE25976">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FF23141">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2266FEF3">
            <w:pPr>
              <w:tabs>
                <w:tab w:val="left" w:pos="180"/>
                <w:tab w:val="left" w:pos="1620"/>
              </w:tabs>
              <w:adjustRightInd w:val="0"/>
              <w:snapToGrid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台</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6A89CB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color w:val="auto"/>
                <w:kern w:val="0"/>
                <w:sz w:val="21"/>
                <w:szCs w:val="21"/>
                <w:highlight w:val="none"/>
                <w:u w:val="none"/>
                <w:lang w:val="en-US" w:eastAsia="zh-CN" w:bidi="ar"/>
              </w:rPr>
              <w:t>25000.00</w:t>
            </w:r>
          </w:p>
        </w:tc>
      </w:tr>
      <w:tr w14:paraId="5EF7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7E6555C7">
            <w:pPr>
              <w:tabs>
                <w:tab w:val="left" w:pos="180"/>
                <w:tab w:val="left" w:pos="1620"/>
              </w:tabs>
              <w:adjustRightInd w:val="0"/>
              <w:snapToGrid w:val="0"/>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二、核心产品：本项目核心产品为第</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项号标的“脉动真空灭菌器”</w:t>
            </w:r>
          </w:p>
        </w:tc>
      </w:tr>
      <w:tr w14:paraId="43ED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676DBA40">
            <w:pPr>
              <w:wordWrap w:val="0"/>
              <w:adjustRightInd w:val="0"/>
              <w:snapToGrid w:val="0"/>
              <w:spacing w:line="300" w:lineRule="exact"/>
              <w:jc w:val="lef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kern w:val="0"/>
                <w:sz w:val="21"/>
                <w:szCs w:val="21"/>
                <w:highlight w:val="none"/>
              </w:rPr>
              <w:t>▲</w:t>
            </w: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、商务要求</w:t>
            </w:r>
          </w:p>
        </w:tc>
      </w:tr>
      <w:tr w14:paraId="26D4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E552424">
            <w:pPr>
              <w:wordWrap w:val="0"/>
              <w:adjustRightInd w:val="0"/>
              <w:snapToGrid w:val="0"/>
              <w:spacing w:line="300" w:lineRule="exact"/>
              <w:jc w:val="center"/>
              <w:textAlignment w:val="center"/>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（一）售后服务</w:t>
            </w:r>
            <w:r>
              <w:rPr>
                <w:rFonts w:hint="eastAsia" w:ascii="宋体" w:hAnsi="宋体" w:eastAsia="宋体" w:cs="宋体"/>
                <w:b/>
                <w:color w:val="auto"/>
                <w:sz w:val="21"/>
                <w:szCs w:val="21"/>
                <w:highlight w:val="none"/>
                <w:lang w:val="en-US" w:eastAsia="zh-CN"/>
              </w:rPr>
              <w:t>基本要求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9723C91">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投标人提供的以下售后服务均应包含在投标报价中，采购人不再就此另行支付任何费用：</w:t>
            </w:r>
          </w:p>
          <w:p w14:paraId="6D60FDEA">
            <w:pPr>
              <w:keepNext w:val="0"/>
              <w:keepLines w:val="0"/>
              <w:pageBreakBefore w:val="0"/>
              <w:widowControl w:val="0"/>
              <w:kinsoku/>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1.按国家有关产品“三包”规定执行“三包”，</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不少于</w:t>
            </w:r>
            <w:r>
              <w:rPr>
                <w:rFonts w:hint="eastAsia" w:ascii="宋体" w:hAnsi="宋体" w:cs="宋体"/>
                <w:b/>
                <w:color w:val="auto"/>
                <w:sz w:val="21"/>
                <w:szCs w:val="21"/>
                <w:highlight w:val="none"/>
                <w:lang w:val="en-US" w:eastAsia="zh-CN"/>
              </w:rPr>
              <w:t>2</w:t>
            </w:r>
            <w:r>
              <w:rPr>
                <w:rFonts w:hint="eastAsia" w:ascii="宋体" w:hAnsi="宋体" w:eastAsia="宋体" w:cs="宋体"/>
                <w:b/>
                <w:color w:val="auto"/>
                <w:sz w:val="21"/>
                <w:szCs w:val="21"/>
                <w:highlight w:val="none"/>
              </w:rPr>
              <w:t>年（从验收合格之日起计算）。</w:t>
            </w:r>
          </w:p>
          <w:p w14:paraId="041D4F5E">
            <w:pPr>
              <w:keepNext w:val="0"/>
              <w:keepLines w:val="0"/>
              <w:pageBreakBefore w:val="0"/>
              <w:widowControl w:val="0"/>
              <w:kinsoku/>
              <w:wordWrap w:val="0"/>
              <w:overflowPunct/>
              <w:topLinePunct w:val="0"/>
              <w:autoSpaceDE/>
              <w:autoSpaceDN/>
              <w:bidi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2.招标范围内的货物送货上门、安装调试合格；</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内提供上门维修以及更换零配件服务。如果需要更换配件的，要求更换的配件应与更换的品牌、类型相一致或者是同类同档次的替代品，后者需征得采购人同意。</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内提供技术培训服务，保证采购人使用人员正常操作产品的各种功能。</w:t>
            </w:r>
          </w:p>
          <w:p w14:paraId="38A9557D">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内接到报障电话应在1小时内给予响应，需要现场维修的，应在2个小时内到达故障现场；一般问题应在到达后2小时内解决，重大问题或其他无法迅速解决的问题应在48小时内解决。</w:t>
            </w:r>
          </w:p>
          <w:p w14:paraId="323609B0">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4.若产品自带软件的，则须提供</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内软件升级服务。</w:t>
            </w:r>
          </w:p>
          <w:p w14:paraId="7BBF897A">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5.在</w:t>
            </w:r>
            <w:r>
              <w:rPr>
                <w:rFonts w:hint="eastAsia" w:ascii="宋体" w:hAnsi="宋体" w:cs="宋体"/>
                <w:b/>
                <w:color w:val="auto"/>
                <w:sz w:val="21"/>
                <w:szCs w:val="21"/>
                <w:highlight w:val="none"/>
                <w:lang w:eastAsia="zh-CN"/>
              </w:rPr>
              <w:t>质保期</w:t>
            </w:r>
            <w:r>
              <w:rPr>
                <w:rFonts w:hint="eastAsia" w:ascii="宋体" w:hAnsi="宋体" w:eastAsia="宋体" w:cs="宋体"/>
                <w:b/>
                <w:color w:val="auto"/>
                <w:sz w:val="21"/>
                <w:szCs w:val="21"/>
                <w:highlight w:val="none"/>
              </w:rPr>
              <w:t>内因货物本身的质量问题发生故障，中标人应负责修理和更换零部件。对达不到技术要求者，根据实际情况，经双方协商，可按以下办法处理：</w:t>
            </w:r>
          </w:p>
          <w:p w14:paraId="2E002DDA">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①更换：由中标人承担所有发生的全部费用。</w:t>
            </w:r>
          </w:p>
          <w:p w14:paraId="0A53588C">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②退货处理：中标人应退还采购人支付的合同款，同时应承担该货物的直接费用（运输、保险、检验、贷款利息及银行手续费等）。</w:t>
            </w:r>
          </w:p>
          <w:p w14:paraId="08463BC2">
            <w:pPr>
              <w:keepNext w:val="0"/>
              <w:keepLines w:val="0"/>
              <w:pageBreakBefore w:val="0"/>
              <w:widowControl w:val="0"/>
              <w:kinsoku/>
              <w:wordWrap w:val="0"/>
              <w:overflowPunct/>
              <w:topLinePunct w:val="0"/>
              <w:autoSpaceDE/>
              <w:autoSpaceDN/>
              <w:bidi w:val="0"/>
              <w:spacing w:line="4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6.负责旧设备拆除（旧设备为山东新华高压灭菌器、蒸汽发生器各1台）</w:t>
            </w:r>
            <w:r>
              <w:rPr>
                <w:rFonts w:hint="eastAsia" w:ascii="宋体" w:hAnsi="宋体" w:eastAsia="宋体" w:cs="宋体"/>
                <w:b/>
                <w:color w:val="auto"/>
                <w:sz w:val="21"/>
                <w:szCs w:val="21"/>
                <w:highlight w:val="none"/>
                <w:lang w:eastAsia="zh-CN"/>
              </w:rPr>
              <w:t>。</w:t>
            </w:r>
          </w:p>
        </w:tc>
      </w:tr>
      <w:tr w14:paraId="1EAA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D52E813">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（二）交付时间和地点</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20BDDA29">
            <w:pPr>
              <w:keepNext w:val="0"/>
              <w:keepLines w:val="0"/>
              <w:pageBreakBefore w:val="0"/>
              <w:widowControl w:val="0"/>
              <w:kinsoku/>
              <w:wordWrap w:val="0"/>
              <w:overflowPunct/>
              <w:topLinePunct w:val="0"/>
              <w:autoSpaceDE/>
              <w:autoSpaceDN/>
              <w:bidi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1.交付时间：</w:t>
            </w:r>
            <w:r>
              <w:rPr>
                <w:rFonts w:hint="eastAsia" w:ascii="宋体" w:hAnsi="宋体" w:eastAsia="宋体" w:cs="宋体"/>
                <w:b/>
                <w:bCs/>
                <w:color w:val="auto"/>
                <w:sz w:val="21"/>
                <w:szCs w:val="21"/>
                <w:highlight w:val="none"/>
                <w:lang w:val="en-US" w:eastAsia="zh-CN"/>
              </w:rPr>
              <w:t>第</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项号标的“脉动真空灭菌器”</w:t>
            </w:r>
            <w:r>
              <w:rPr>
                <w:rFonts w:hint="eastAsia" w:ascii="宋体" w:hAnsi="宋体" w:eastAsia="宋体" w:cs="宋体"/>
                <w:b/>
                <w:color w:val="auto"/>
                <w:sz w:val="21"/>
                <w:szCs w:val="21"/>
                <w:highlight w:val="none"/>
              </w:rPr>
              <w:t>自签订合同之日起1个月内到货并全部安装调试合格完毕，其余</w:t>
            </w:r>
            <w:r>
              <w:rPr>
                <w:rFonts w:hint="eastAsia" w:ascii="宋体" w:hAnsi="宋体" w:eastAsia="宋体" w:cs="宋体"/>
                <w:b/>
                <w:color w:val="auto"/>
                <w:sz w:val="21"/>
                <w:szCs w:val="21"/>
                <w:highlight w:val="none"/>
                <w:lang w:val="en-US" w:eastAsia="zh-CN"/>
              </w:rPr>
              <w:t>标的</w:t>
            </w:r>
            <w:r>
              <w:rPr>
                <w:rFonts w:hint="eastAsia" w:ascii="宋体" w:hAnsi="宋体" w:eastAsia="宋体" w:cs="宋体"/>
                <w:b/>
                <w:color w:val="auto"/>
                <w:sz w:val="21"/>
                <w:szCs w:val="21"/>
                <w:highlight w:val="none"/>
              </w:rPr>
              <w:t>自签订合同之日起10个工作日内到货并全部安装调试合格完毕。</w:t>
            </w:r>
          </w:p>
          <w:p w14:paraId="7B8A62A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2.交付地点：广西桂林市内采购人指定地点</w:t>
            </w:r>
            <w:r>
              <w:rPr>
                <w:rFonts w:hint="eastAsia" w:ascii="宋体" w:hAnsi="宋体" w:eastAsia="宋体" w:cs="宋体"/>
                <w:b/>
                <w:color w:val="auto"/>
                <w:sz w:val="21"/>
                <w:szCs w:val="21"/>
                <w:highlight w:val="none"/>
                <w:lang w:eastAsia="zh-CN"/>
              </w:rPr>
              <w:t>（桂林市中西医结合医院内）</w:t>
            </w:r>
            <w:r>
              <w:rPr>
                <w:rFonts w:hint="eastAsia" w:ascii="宋体" w:hAnsi="宋体" w:eastAsia="宋体" w:cs="宋体"/>
                <w:b/>
                <w:color w:val="auto"/>
                <w:sz w:val="21"/>
                <w:szCs w:val="21"/>
                <w:highlight w:val="none"/>
              </w:rPr>
              <w:t>。</w:t>
            </w:r>
          </w:p>
        </w:tc>
      </w:tr>
      <w:tr w14:paraId="1419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9BCEA54">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（三）付款方式</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F0CD688">
            <w:pPr>
              <w:keepNext w:val="0"/>
              <w:keepLines w:val="0"/>
              <w:pageBreakBefore w:val="0"/>
              <w:widowControl w:val="0"/>
              <w:kinsoku/>
              <w:wordWrap w:val="0"/>
              <w:overflowPunct/>
              <w:topLinePunct w:val="0"/>
              <w:autoSpaceDE/>
              <w:autoSpaceDN/>
              <w:bidi w:val="0"/>
              <w:spacing w:line="400" w:lineRule="exact"/>
              <w:rPr>
                <w:rFonts w:hint="eastAsia" w:ascii="宋体" w:hAnsi="宋体" w:eastAsia="宋体" w:cs="宋体"/>
                <w:b/>
                <w:color w:val="auto"/>
                <w:sz w:val="21"/>
                <w:szCs w:val="21"/>
                <w:highlight w:val="none"/>
              </w:rPr>
            </w:pPr>
            <w:r>
              <w:rPr>
                <w:rFonts w:hint="eastAsia" w:ascii="宋体" w:hAnsi="宋体" w:cs="宋体"/>
                <w:b/>
                <w:color w:val="auto"/>
                <w:szCs w:val="21"/>
                <w:highlight w:val="none"/>
              </w:rPr>
              <w:t>验收合格后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金额的50%，验收合格满</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年</w:t>
            </w:r>
            <w:r>
              <w:rPr>
                <w:rFonts w:hint="eastAsia" w:ascii="宋体" w:hAnsi="宋体" w:cs="宋体"/>
                <w:b/>
                <w:color w:val="auto"/>
                <w:szCs w:val="21"/>
                <w:highlight w:val="none"/>
                <w:lang w:eastAsia="zh-CN"/>
              </w:rPr>
              <w:t>后支付合同</w:t>
            </w:r>
            <w:r>
              <w:rPr>
                <w:rFonts w:hint="eastAsia" w:ascii="宋体" w:hAnsi="宋体" w:cs="宋体"/>
                <w:b/>
                <w:color w:val="auto"/>
                <w:szCs w:val="21"/>
                <w:highlight w:val="none"/>
              </w:rPr>
              <w:t>金额的45%，</w:t>
            </w:r>
            <w:r>
              <w:rPr>
                <w:rFonts w:hint="eastAsia" w:ascii="宋体" w:hAnsi="宋体" w:cs="宋体"/>
                <w:b/>
                <w:color w:val="auto"/>
                <w:szCs w:val="21"/>
                <w:highlight w:val="none"/>
                <w:lang w:eastAsia="zh-CN"/>
              </w:rPr>
              <w:t>所有设备质保期</w:t>
            </w:r>
            <w:r>
              <w:rPr>
                <w:rFonts w:hint="eastAsia" w:ascii="宋体" w:hAnsi="宋体" w:cs="宋体"/>
                <w:b/>
                <w:color w:val="auto"/>
                <w:szCs w:val="21"/>
                <w:highlight w:val="none"/>
              </w:rPr>
              <w:t>满后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金额的5%（无息）。</w:t>
            </w:r>
          </w:p>
        </w:tc>
      </w:tr>
      <w:tr w14:paraId="1A13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3452B49">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（四）包装和运输</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81A9599">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1.原厂原包装，包装完好完整、无破损、未开封。</w:t>
            </w:r>
          </w:p>
          <w:p w14:paraId="3EA8281D">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2.包装及运输方式应综合考虑运输距离、防潮、防震、防锈和防破损装卸等要求。</w:t>
            </w:r>
          </w:p>
          <w:p w14:paraId="50AE1629">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3.国家对包装及运输有相关强制性标准或要求的，中标人应当执行。</w:t>
            </w:r>
          </w:p>
          <w:p w14:paraId="7455107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4.产品（含包装）运抵采购人指定交付地点前发生损坏的，相关损失由中标人自行承担。</w:t>
            </w:r>
          </w:p>
        </w:tc>
      </w:tr>
      <w:tr w14:paraId="4237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162225F9">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（五）保险</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5FB0D042">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若投标人为本项目标的及标的涉及的相关材料、设备、人员、运输等购买保险的，相关费用由投标人自行承担。</w:t>
            </w:r>
          </w:p>
        </w:tc>
      </w:tr>
      <w:tr w14:paraId="330D2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99F195A">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（六）验收标准</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54D762E">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1.中标人提供的产品必须符合国家、行业强制执行的相关质量标准要求以及产品制造厂家合格产品的出厂质量标准。</w:t>
            </w:r>
          </w:p>
          <w:p w14:paraId="36237DF5">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设备须全新、完好、无破损，产品到货后，采购人现场根据招标文件要求、投标文件承诺以及国家相关标准、地方标准进行验收，必要时，采购人有权邀请国家质量监督检验部门或国家认可的检测机构参与共同验收。如产品不满足投标文件要求、中标人投标文件承诺或国家、行业强制执行的相关质量标准要求以及产品制造厂家合格产品的出厂质量标准，采购人有权不予验收</w:t>
            </w:r>
            <w:r>
              <w:rPr>
                <w:rFonts w:hint="eastAsia" w:ascii="宋体" w:hAnsi="宋体" w:cs="宋体"/>
                <w:b/>
                <w:color w:val="auto"/>
                <w:sz w:val="21"/>
                <w:szCs w:val="21"/>
                <w:highlight w:val="none"/>
                <w:lang w:eastAsia="zh-CN"/>
              </w:rPr>
              <w:t>并有权终止合同</w:t>
            </w:r>
            <w:r>
              <w:rPr>
                <w:rFonts w:hint="eastAsia" w:ascii="宋体" w:hAnsi="宋体" w:eastAsia="宋体" w:cs="宋体"/>
                <w:b/>
                <w:color w:val="auto"/>
                <w:sz w:val="21"/>
                <w:szCs w:val="21"/>
                <w:highlight w:val="none"/>
              </w:rPr>
              <w:t>，由此造成采购人的经济损失由中标人承担全部赔偿责任包括</w:t>
            </w:r>
            <w:r>
              <w:rPr>
                <w:rFonts w:hint="eastAsia" w:ascii="宋体" w:hAnsi="宋体" w:eastAsia="宋体" w:cs="宋体"/>
                <w:b/>
                <w:color w:val="auto"/>
                <w:sz w:val="21"/>
                <w:szCs w:val="21"/>
                <w:highlight w:val="none"/>
                <w:lang w:eastAsia="zh-CN"/>
              </w:rPr>
              <w:t>但</w:t>
            </w:r>
            <w:r>
              <w:rPr>
                <w:rFonts w:hint="eastAsia" w:ascii="宋体" w:hAnsi="宋体" w:eastAsia="宋体" w:cs="宋体"/>
                <w:b/>
                <w:color w:val="auto"/>
                <w:sz w:val="21"/>
                <w:szCs w:val="21"/>
                <w:highlight w:val="none"/>
              </w:rPr>
              <w:t>不限于采购人的经济损失及律师费、诉讼费、鉴定费等。</w:t>
            </w:r>
          </w:p>
          <w:p w14:paraId="1B9DABDC">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中标人必须于供货时向采购人提供所投医疗器械产品由行政主管部门核准资格文件、产品注册时的检测检验报告书，产品彩页或参数说明书等资料材料，以便核实相关技术参数，否则不予验收，中标人应承担逾期交货违约责任。</w:t>
            </w:r>
          </w:p>
          <w:p w14:paraId="52DDBDA3">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4.中标人交货前应对产品做出全面的检查和对验收文件进行整理，并列出清单，作为采购人验收和使用的技术条件依据，验收的结果应随货物交采购人。</w:t>
            </w:r>
          </w:p>
          <w:p w14:paraId="51EE8ACC">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5.采购人依据招标文件的技术规格要求和国家有关质量标准对货物进行现场初步验收，外观、说明书符合招标文件技术要求的，给予签收，初步验收不合格的不予签收。货到后，采购人应当在到货（安装、调试</w:t>
            </w:r>
            <w:r>
              <w:rPr>
                <w:rFonts w:hint="eastAsia" w:ascii="宋体" w:hAnsi="宋体" w:cs="宋体"/>
                <w:b/>
                <w:color w:val="auto"/>
                <w:sz w:val="21"/>
                <w:szCs w:val="21"/>
                <w:highlight w:val="none"/>
                <w:lang w:eastAsia="zh-CN"/>
              </w:rPr>
              <w:t>完成</w:t>
            </w:r>
            <w:r>
              <w:rPr>
                <w:rFonts w:hint="eastAsia" w:ascii="宋体" w:hAnsi="宋体" w:eastAsia="宋体" w:cs="宋体"/>
                <w:b/>
                <w:color w:val="auto"/>
                <w:sz w:val="21"/>
                <w:szCs w:val="21"/>
                <w:highlight w:val="none"/>
              </w:rPr>
              <w:t xml:space="preserve">）后七个工作日内进行验收。验收合格后由双方签署货物验收单并加盖公章，双方各执一份。 </w:t>
            </w:r>
          </w:p>
          <w:p w14:paraId="277B7B25">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6.采购人对中标人提供的货物在使用前进行调试时，投标人须负责安装并培训采购人的使用人员，并协助采购人一起调试，直到符合技术要求，采购人予以最终验收。</w:t>
            </w:r>
          </w:p>
          <w:p w14:paraId="0260BE1C">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7.对技术复杂的货物，采购人应请国家认可的专业检测机构参与初步验收及最终验收，并由其出具质量检测报告。</w:t>
            </w:r>
          </w:p>
          <w:p w14:paraId="7D1B515D">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8.验收时中标人必须在现场，验收完毕后做出验收结果报告，验收费用由中标人负责。</w:t>
            </w:r>
          </w:p>
          <w:p w14:paraId="75A5A54B">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9.采购人对验收有异议的，在验收后7个工作日内以书面形式向中标人提出，中标人应自收到采购人书面异议后7日内及时予以解决。</w:t>
            </w:r>
          </w:p>
          <w:p w14:paraId="08F584F1">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10.</w:t>
            </w:r>
            <w:r>
              <w:rPr>
                <w:rFonts w:hint="eastAsia" w:ascii="宋体" w:hAnsi="宋体" w:cs="宋体"/>
                <w:b/>
                <w:color w:val="auto"/>
                <w:sz w:val="21"/>
                <w:szCs w:val="21"/>
                <w:highlight w:val="none"/>
                <w:lang w:eastAsia="zh-CN"/>
              </w:rPr>
              <w:t>中标</w:t>
            </w:r>
            <w:r>
              <w:rPr>
                <w:rFonts w:hint="eastAsia" w:ascii="宋体" w:hAnsi="宋体" w:eastAsia="宋体" w:cs="宋体"/>
                <w:b/>
                <w:color w:val="auto"/>
                <w:sz w:val="21"/>
                <w:szCs w:val="21"/>
                <w:highlight w:val="none"/>
              </w:rPr>
              <w:t>人所投本分标</w:t>
            </w:r>
            <w:r>
              <w:rPr>
                <w:rFonts w:hint="eastAsia" w:ascii="宋体" w:hAnsi="宋体" w:cs="宋体"/>
                <w:b/>
                <w:color w:val="auto"/>
                <w:sz w:val="21"/>
                <w:szCs w:val="21"/>
                <w:highlight w:val="none"/>
                <w:lang w:eastAsia="zh-CN"/>
              </w:rPr>
              <w:t>标的</w:t>
            </w:r>
            <w:r>
              <w:rPr>
                <w:rFonts w:hint="eastAsia" w:ascii="宋体" w:hAnsi="宋体" w:eastAsia="宋体" w:cs="宋体"/>
                <w:b/>
                <w:color w:val="auto"/>
                <w:sz w:val="21"/>
                <w:szCs w:val="21"/>
                <w:highlight w:val="none"/>
              </w:rPr>
              <w:t>如属消毒产品管理的，供货时中标人必须向采购人提供相应有效的“①生产企业卫生许可证；②产品备案凭证或者卫生许可批件”（加盖原件持有者的印章），否则，不予验收。</w:t>
            </w:r>
          </w:p>
        </w:tc>
      </w:tr>
      <w:tr w14:paraId="3F88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169337EE">
            <w:pPr>
              <w:wordWrap w:val="0"/>
              <w:adjustRightInd w:val="0"/>
              <w:snapToGrid w:val="0"/>
              <w:spacing w:line="300" w:lineRule="exact"/>
              <w:jc w:val="center"/>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w:t>
            </w:r>
            <w:r>
              <w:rPr>
                <w:rFonts w:hint="eastAsia" w:ascii="宋体" w:hAnsi="宋体" w:eastAsia="宋体" w:cs="宋体"/>
                <w:b/>
                <w:color w:val="auto"/>
                <w:kern w:val="0"/>
                <w:sz w:val="21"/>
                <w:szCs w:val="21"/>
                <w:highlight w:val="none"/>
              </w:rPr>
              <w:t>医疗器械注册证</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8756E34">
            <w:pPr>
              <w:keepNext w:val="0"/>
              <w:keepLines w:val="0"/>
              <w:pageBreakBefore w:val="0"/>
              <w:widowControl w:val="0"/>
              <w:tabs>
                <w:tab w:val="left" w:pos="1305"/>
              </w:tabs>
              <w:kinsoku/>
              <w:wordWrap w:val="0"/>
              <w:overflowPunct/>
              <w:topLinePunct w:val="0"/>
              <w:autoSpaceDE/>
              <w:autoSpaceDN/>
              <w:bidi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投标人于投标文件中必须提供所投</w:t>
            </w:r>
            <w:r>
              <w:rPr>
                <w:rFonts w:hint="eastAsia" w:ascii="宋体" w:hAnsi="宋体" w:eastAsia="宋体" w:cs="宋体"/>
                <w:b/>
                <w:color w:val="auto"/>
                <w:sz w:val="21"/>
                <w:szCs w:val="21"/>
                <w:highlight w:val="none"/>
                <w:lang w:val="en-US" w:eastAsia="zh-CN"/>
              </w:rPr>
              <w:t>第</w:t>
            </w:r>
            <w:r>
              <w:rPr>
                <w:rFonts w:hint="eastAsia" w:ascii="宋体" w:hAnsi="宋体" w:cs="宋体"/>
                <w:b/>
                <w:color w:val="auto"/>
                <w:sz w:val="21"/>
                <w:szCs w:val="21"/>
                <w:highlight w:val="none"/>
                <w:lang w:val="en-US" w:eastAsia="zh-CN"/>
              </w:rPr>
              <w:t>2</w:t>
            </w:r>
            <w:r>
              <w:rPr>
                <w:rFonts w:hint="eastAsia" w:ascii="宋体" w:hAnsi="宋体" w:eastAsia="宋体" w:cs="宋体"/>
                <w:b/>
                <w:color w:val="auto"/>
                <w:sz w:val="21"/>
                <w:szCs w:val="21"/>
                <w:highlight w:val="none"/>
                <w:lang w:val="en-US" w:eastAsia="zh-CN"/>
              </w:rPr>
              <w:t>项号</w:t>
            </w:r>
            <w:r>
              <w:rPr>
                <w:rFonts w:hint="eastAsia" w:ascii="宋体" w:hAnsi="宋体" w:eastAsia="宋体" w:cs="宋体"/>
                <w:b/>
                <w:color w:val="auto"/>
                <w:sz w:val="21"/>
                <w:szCs w:val="21"/>
                <w:highlight w:val="none"/>
                <w:lang w:eastAsia="zh-CN"/>
              </w:rPr>
              <w:t>标的“</w:t>
            </w:r>
            <w:r>
              <w:rPr>
                <w:rFonts w:hint="eastAsia" w:ascii="宋体" w:hAnsi="宋体" w:eastAsia="宋体" w:cs="宋体"/>
                <w:b/>
                <w:color w:val="auto"/>
                <w:sz w:val="21"/>
                <w:szCs w:val="21"/>
                <w:highlight w:val="none"/>
                <w:lang w:val="en-US" w:eastAsia="zh-CN"/>
              </w:rPr>
              <w:t>脉动真空灭菌器</w:t>
            </w:r>
            <w:r>
              <w:rPr>
                <w:rFonts w:hint="eastAsia" w:ascii="宋体" w:hAnsi="宋体" w:eastAsia="宋体" w:cs="宋体"/>
                <w:b/>
                <w:color w:val="auto"/>
                <w:sz w:val="21"/>
                <w:szCs w:val="21"/>
                <w:highlight w:val="none"/>
                <w:lang w:eastAsia="zh-CN"/>
              </w:rPr>
              <w:t>”、第</w:t>
            </w:r>
            <w:r>
              <w:rPr>
                <w:rFonts w:hint="eastAsia" w:ascii="宋体" w:hAnsi="宋体" w:cs="宋体"/>
                <w:b/>
                <w:color w:val="auto"/>
                <w:sz w:val="21"/>
                <w:szCs w:val="21"/>
                <w:highlight w:val="none"/>
                <w:lang w:val="en-US" w:eastAsia="zh-CN"/>
              </w:rPr>
              <w:t>3</w:t>
            </w:r>
            <w:r>
              <w:rPr>
                <w:rFonts w:hint="eastAsia" w:ascii="宋体" w:hAnsi="宋体" w:eastAsia="宋体" w:cs="宋体"/>
                <w:b/>
                <w:color w:val="auto"/>
                <w:sz w:val="21"/>
                <w:szCs w:val="21"/>
                <w:highlight w:val="none"/>
                <w:lang w:val="en-US" w:eastAsia="zh-CN"/>
              </w:rPr>
              <w:t>项号标的</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数字多道心电图机</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rPr>
              <w:t>相应有效的《中华人民共和国医疗器械注册证》复印件（必须包括产品相应的许可事项和登记事项，否则，应附注册登记表或认可表资料，要求清晰反映相关内容）。</w:t>
            </w:r>
          </w:p>
        </w:tc>
      </w:tr>
      <w:tr w14:paraId="307A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7CE58E4">
            <w:pPr>
              <w:wordWrap w:val="0"/>
              <w:adjustRightInd w:val="0"/>
              <w:snapToGrid w:val="0"/>
              <w:spacing w:line="320" w:lineRule="exact"/>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（八）进口产品说明</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15DA5CA5">
            <w:pPr>
              <w:keepNext w:val="0"/>
              <w:keepLines w:val="0"/>
              <w:pageBreakBefore w:val="0"/>
              <w:widowControl w:val="0"/>
              <w:kinsoku/>
              <w:wordWrap w:val="0"/>
              <w:overflowPunct/>
              <w:topLinePunct w:val="0"/>
              <w:autoSpaceDE/>
              <w:autoSpaceDN/>
              <w:bidi w:val="0"/>
              <w:adjustRightInd w:val="0"/>
              <w:snapToGrid w:val="0"/>
              <w:spacing w:line="4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w:t>
            </w:r>
            <w:r>
              <w:rPr>
                <w:rFonts w:hint="eastAsia" w:ascii="宋体" w:hAnsi="宋体" w:eastAsia="宋体" w:cs="宋体"/>
                <w:b/>
                <w:color w:val="auto"/>
                <w:sz w:val="21"/>
                <w:szCs w:val="21"/>
                <w:highlight w:val="none"/>
                <w:lang w:val="en-US" w:eastAsia="zh-CN"/>
              </w:rPr>
              <w:t>分标</w:t>
            </w:r>
            <w:r>
              <w:rPr>
                <w:rFonts w:hint="eastAsia" w:ascii="宋体" w:hAnsi="宋体" w:eastAsia="宋体" w:cs="宋体"/>
                <w:b/>
                <w:color w:val="auto"/>
                <w:sz w:val="21"/>
                <w:szCs w:val="21"/>
                <w:highlight w:val="none"/>
              </w:rPr>
              <w:t>所有标的均不接受进口产品（即通过中国海关报关验放进入中国境内且产自关境外的产品）参与投标，如有此类产品参与投标的作无效投标处理。</w:t>
            </w:r>
          </w:p>
        </w:tc>
      </w:tr>
      <w:tr w14:paraId="6445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296C4677">
            <w:pPr>
              <w:wordWrap w:val="0"/>
              <w:adjustRightInd w:val="0"/>
              <w:snapToGrid w:val="0"/>
              <w:spacing w:line="320" w:lineRule="exact"/>
              <w:jc w:val="center"/>
              <w:rPr>
                <w:rFonts w:hint="eastAsia" w:ascii="宋体" w:hAnsi="宋体" w:eastAsia="宋体" w:cs="宋体"/>
                <w:b/>
                <w:color w:val="auto"/>
                <w:kern w:val="0"/>
                <w:sz w:val="21"/>
                <w:szCs w:val="21"/>
                <w:highlight w:val="none"/>
                <w:lang w:eastAsia="zh-CN"/>
              </w:rPr>
            </w:pPr>
            <w:r>
              <w:rPr>
                <w:rFonts w:hint="eastAsia" w:ascii="宋体" w:hAnsi="宋体" w:eastAsia="宋体" w:cs="宋体"/>
                <w:b/>
                <w:color w:val="auto"/>
                <w:kern w:val="0"/>
                <w:sz w:val="21"/>
                <w:szCs w:val="21"/>
                <w:highlight w:val="none"/>
              </w:rPr>
              <w:t>（</w:t>
            </w:r>
            <w:r>
              <w:rPr>
                <w:rFonts w:hint="eastAsia" w:ascii="宋体" w:hAnsi="宋体" w:eastAsia="宋体" w:cs="宋体"/>
                <w:b/>
                <w:color w:val="auto"/>
                <w:kern w:val="0"/>
                <w:sz w:val="21"/>
                <w:szCs w:val="21"/>
                <w:highlight w:val="none"/>
                <w:lang w:val="en-US" w:eastAsia="zh-CN"/>
              </w:rPr>
              <w:t>九</w:t>
            </w:r>
            <w:r>
              <w:rPr>
                <w:rFonts w:hint="eastAsia" w:ascii="宋体" w:hAnsi="宋体" w:eastAsia="宋体" w:cs="宋体"/>
                <w:b/>
                <w:color w:val="auto"/>
                <w:kern w:val="0"/>
                <w:sz w:val="21"/>
                <w:szCs w:val="21"/>
                <w:highlight w:val="none"/>
              </w:rPr>
              <w:t>）采购预算</w:t>
            </w:r>
            <w:r>
              <w:rPr>
                <w:rFonts w:hint="eastAsia" w:ascii="宋体" w:hAnsi="宋体" w:eastAsia="宋体" w:cs="宋体"/>
                <w:b/>
                <w:color w:val="auto"/>
                <w:kern w:val="0"/>
                <w:sz w:val="21"/>
                <w:szCs w:val="21"/>
                <w:highlight w:val="none"/>
                <w:lang w:eastAsia="zh-CN"/>
              </w:rPr>
              <w:t>、最高限价</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0D37A68B">
            <w:pPr>
              <w:keepNext w:val="0"/>
              <w:keepLines w:val="0"/>
              <w:pageBreakBefore w:val="0"/>
              <w:widowControl w:val="0"/>
              <w:kinsoku/>
              <w:wordWrap/>
              <w:overflowPunct/>
              <w:topLinePunct w:val="0"/>
              <w:autoSpaceDE/>
              <w:autoSpaceDN/>
              <w:bidi w:val="0"/>
              <w:spacing w:line="400" w:lineRule="exact"/>
              <w:textAlignment w:val="auto"/>
              <w:rPr>
                <w:rFonts w:hint="eastAsia" w:ascii="宋体" w:hAnsi="宋体" w:eastAsia="宋体" w:cs="宋体"/>
                <w:b/>
                <w:color w:val="auto"/>
                <w:sz w:val="21"/>
                <w:szCs w:val="21"/>
                <w:highlight w:val="none"/>
              </w:rPr>
            </w:pPr>
            <w:r>
              <w:rPr>
                <w:rFonts w:hint="eastAsia" w:ascii="宋体" w:hAnsi="宋体"/>
                <w:b/>
                <w:color w:val="auto"/>
                <w:szCs w:val="21"/>
                <w:highlight w:val="none"/>
                <w:lang w:val="en-US" w:eastAsia="zh-CN"/>
              </w:rPr>
              <w:t>分标2采购预算金额为肆拾万零壹仟肆佰元整（¥</w:t>
            </w:r>
            <w:r>
              <w:rPr>
                <w:rFonts w:hint="eastAsia" w:ascii="宋体" w:hAnsi="宋体"/>
                <w:b/>
                <w:color w:val="auto"/>
                <w:szCs w:val="21"/>
                <w:highlight w:val="none"/>
              </w:rPr>
              <w:t>401400</w:t>
            </w:r>
            <w:r>
              <w:rPr>
                <w:rFonts w:hint="eastAsia" w:ascii="宋体" w:hAnsi="宋体"/>
                <w:b/>
                <w:color w:val="auto"/>
                <w:szCs w:val="21"/>
                <w:highlight w:val="none"/>
                <w:lang w:val="en-US" w:eastAsia="zh-CN"/>
              </w:rPr>
              <w:t>.00），最高限价金额为</w:t>
            </w:r>
            <w:r>
              <w:rPr>
                <w:rFonts w:hint="eastAsia" w:ascii="宋体" w:hAnsi="宋体" w:eastAsia="宋体" w:cs="宋体"/>
                <w:b/>
                <w:color w:val="auto"/>
                <w:sz w:val="21"/>
                <w:szCs w:val="21"/>
                <w:highlight w:val="none"/>
                <w:lang w:val="en-US" w:eastAsia="zh-CN"/>
              </w:rPr>
              <w:t>叁拾玖万叁仟元整（¥393000.00）</w:t>
            </w:r>
            <w:r>
              <w:rPr>
                <w:rFonts w:hint="eastAsia" w:ascii="宋体" w:hAnsi="宋体" w:eastAsia="宋体" w:cs="宋体"/>
                <w:b/>
                <w:color w:val="auto"/>
                <w:sz w:val="21"/>
                <w:szCs w:val="21"/>
                <w:highlight w:val="none"/>
                <w:lang w:val="en-US" w:eastAsia="zh-CN"/>
              </w:rPr>
              <w:t>，投标人所投分标</w:t>
            </w:r>
            <w:r>
              <w:rPr>
                <w:rFonts w:hint="eastAsia" w:ascii="宋体" w:hAnsi="宋体" w:eastAsia="宋体" w:cs="宋体"/>
                <w:b/>
                <w:color w:val="auto"/>
                <w:sz w:val="21"/>
                <w:szCs w:val="21"/>
                <w:highlight w:val="none"/>
              </w:rPr>
              <w:t>投标报价超过</w:t>
            </w:r>
            <w:r>
              <w:rPr>
                <w:rFonts w:hint="eastAsia" w:ascii="宋体" w:hAnsi="宋体" w:eastAsia="宋体" w:cs="宋体"/>
                <w:b/>
                <w:color w:val="auto"/>
                <w:sz w:val="21"/>
                <w:szCs w:val="21"/>
                <w:highlight w:val="none"/>
                <w:lang w:val="en-US" w:eastAsia="zh-CN"/>
              </w:rPr>
              <w:t>相应分标</w:t>
            </w:r>
            <w:r>
              <w:rPr>
                <w:rFonts w:hint="eastAsia" w:ascii="宋体" w:hAnsi="宋体" w:eastAsia="宋体" w:cs="宋体"/>
                <w:b/>
                <w:color w:val="auto"/>
                <w:sz w:val="21"/>
                <w:szCs w:val="21"/>
                <w:highlight w:val="none"/>
                <w:lang w:eastAsia="zh-CN"/>
              </w:rPr>
              <w:t>最高限价</w:t>
            </w:r>
            <w:r>
              <w:rPr>
                <w:rFonts w:hint="eastAsia" w:ascii="宋体" w:hAnsi="宋体" w:eastAsia="宋体" w:cs="宋体"/>
                <w:b/>
                <w:color w:val="auto"/>
                <w:sz w:val="21"/>
                <w:szCs w:val="21"/>
                <w:highlight w:val="none"/>
              </w:rPr>
              <w:t>金额的，投标文件作无效处理。</w:t>
            </w:r>
          </w:p>
        </w:tc>
      </w:tr>
      <w:tr w14:paraId="3C78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5B6D1141">
            <w:pPr>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四</w:t>
            </w:r>
            <w:r>
              <w:rPr>
                <w:rFonts w:hint="eastAsia" w:ascii="宋体" w:hAnsi="宋体" w:eastAsia="宋体" w:cs="宋体"/>
                <w:b/>
                <w:color w:val="auto"/>
                <w:sz w:val="21"/>
                <w:szCs w:val="21"/>
                <w:highlight w:val="none"/>
              </w:rPr>
              <w:t>、与实现项目目标相关的其他要求</w:t>
            </w:r>
          </w:p>
        </w:tc>
      </w:tr>
      <w:tr w14:paraId="318F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1983434D">
            <w:pPr>
              <w:wordWrap w:val="0"/>
              <w:adjustRightInd w:val="0"/>
              <w:snapToGrid w:val="0"/>
              <w:spacing w:line="32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一）配送及安装实施方案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9BB1B33">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b/>
                <w:color w:val="auto"/>
                <w:kern w:val="0"/>
                <w:sz w:val="21"/>
                <w:szCs w:val="21"/>
                <w:highlight w:val="none"/>
              </w:rPr>
            </w:pPr>
            <w:r>
              <w:rPr>
                <w:rFonts w:hint="eastAsia" w:ascii="宋体" w:hAnsi="宋体" w:eastAsia="宋体" w:cs="宋体"/>
                <w:color w:val="auto"/>
                <w:kern w:val="0"/>
                <w:sz w:val="21"/>
                <w:szCs w:val="21"/>
                <w:highlight w:val="none"/>
              </w:rPr>
              <w:t>投标人根据自身情况，可于投标文</w:t>
            </w:r>
            <w:r>
              <w:rPr>
                <w:rFonts w:hint="eastAsia" w:ascii="宋体" w:hAnsi="宋体" w:cs="宋体"/>
                <w:color w:val="auto"/>
                <w:kern w:val="0"/>
                <w:sz w:val="21"/>
                <w:szCs w:val="21"/>
                <w:highlight w:val="none"/>
                <w:lang w:eastAsia="zh-CN"/>
              </w:rPr>
              <w:t>件中</w:t>
            </w:r>
            <w:r>
              <w:rPr>
                <w:rFonts w:hint="eastAsia" w:ascii="宋体" w:hAnsi="宋体" w:eastAsia="宋体" w:cs="宋体"/>
                <w:color w:val="auto"/>
                <w:kern w:val="0"/>
                <w:sz w:val="21"/>
                <w:szCs w:val="21"/>
                <w:highlight w:val="none"/>
              </w:rPr>
              <w:t>提供</w:t>
            </w:r>
            <w:r>
              <w:rPr>
                <w:rFonts w:hint="eastAsia" w:ascii="宋体" w:hAnsi="宋体" w:eastAsia="宋体" w:cs="宋体"/>
                <w:color w:val="auto"/>
                <w:sz w:val="21"/>
                <w:szCs w:val="21"/>
                <w:highlight w:val="none"/>
              </w:rPr>
              <w:t>配送及安装实施方案</w:t>
            </w:r>
            <w:r>
              <w:rPr>
                <w:rFonts w:hint="eastAsia" w:ascii="宋体" w:hAnsi="宋体" w:eastAsia="宋体" w:cs="宋体"/>
                <w:color w:val="auto"/>
                <w:spacing w:val="-4"/>
                <w:sz w:val="21"/>
                <w:szCs w:val="21"/>
                <w:highlight w:val="none"/>
              </w:rPr>
              <w:t>，包含但不限于：</w:t>
            </w:r>
            <w:r>
              <w:rPr>
                <w:rFonts w:hint="eastAsia" w:ascii="宋体" w:hAnsi="宋体" w:eastAsia="宋体" w:cs="宋体"/>
                <w:color w:val="auto"/>
                <w:sz w:val="21"/>
                <w:szCs w:val="21"/>
                <w:highlight w:val="none"/>
              </w:rPr>
              <w:t>①项目管理方案；②配送组织安排；③设备安装方案、设备调试及试运行方案；④设备安装技术人员配备；⑤技术支持方案等</w:t>
            </w:r>
            <w:r>
              <w:rPr>
                <w:rFonts w:hint="eastAsia" w:ascii="宋体" w:hAnsi="宋体" w:eastAsia="宋体" w:cs="宋体"/>
                <w:color w:val="auto"/>
                <w:kern w:val="0"/>
                <w:sz w:val="21"/>
                <w:szCs w:val="21"/>
                <w:highlight w:val="none"/>
              </w:rPr>
              <w:t>。</w:t>
            </w:r>
          </w:p>
          <w:p w14:paraId="6E8B67D0">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注：上述配送及安装实施方案详见第四章“评标办法”。</w:t>
            </w:r>
          </w:p>
        </w:tc>
      </w:tr>
      <w:tr w14:paraId="1548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0DDD73CA">
            <w:pPr>
              <w:wordWrap w:val="0"/>
              <w:adjustRightInd w:val="0"/>
              <w:snapToGrid w:val="0"/>
              <w:spacing w:line="320" w:lineRule="exact"/>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（二）</w:t>
            </w:r>
            <w:r>
              <w:rPr>
                <w:rFonts w:hint="eastAsia" w:ascii="宋体" w:hAnsi="宋体" w:eastAsia="宋体" w:cs="宋体"/>
                <w:color w:val="auto"/>
                <w:sz w:val="21"/>
                <w:szCs w:val="21"/>
                <w:highlight w:val="none"/>
              </w:rPr>
              <w:t>售后服务方案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6DFBA95">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投标人根据售后服务基本要求和自身情况，可于投标文</w:t>
            </w:r>
            <w:r>
              <w:rPr>
                <w:rFonts w:hint="eastAsia" w:ascii="宋体" w:hAnsi="宋体" w:cs="宋体"/>
                <w:color w:val="auto"/>
                <w:sz w:val="21"/>
                <w:szCs w:val="21"/>
                <w:highlight w:val="none"/>
                <w:lang w:eastAsia="zh-CN"/>
              </w:rPr>
              <w:t>件中</w:t>
            </w:r>
            <w:r>
              <w:rPr>
                <w:rFonts w:hint="eastAsia" w:ascii="宋体" w:hAnsi="宋体" w:eastAsia="宋体" w:cs="宋体"/>
                <w:color w:val="auto"/>
                <w:sz w:val="21"/>
                <w:szCs w:val="21"/>
                <w:highlight w:val="none"/>
              </w:rPr>
              <w:t>提供售后服务方案，包含但不限于：①售后人员配备情况；②常见故障及解决方案；③培训方案；④</w:t>
            </w:r>
            <w:r>
              <w:rPr>
                <w:rFonts w:hint="eastAsia" w:ascii="宋体" w:hAnsi="宋体" w:cs="宋体"/>
                <w:color w:val="auto"/>
                <w:sz w:val="21"/>
                <w:szCs w:val="21"/>
                <w:highlight w:val="none"/>
                <w:lang w:eastAsia="zh-CN"/>
              </w:rPr>
              <w:t>质保期</w:t>
            </w:r>
            <w:r>
              <w:rPr>
                <w:rFonts w:hint="eastAsia" w:ascii="宋体" w:hAnsi="宋体" w:eastAsia="宋体" w:cs="宋体"/>
                <w:color w:val="auto"/>
                <w:sz w:val="21"/>
                <w:szCs w:val="21"/>
                <w:highlight w:val="none"/>
              </w:rPr>
              <w:t>外维修方案；⑤其他实质性优惠措施</w:t>
            </w:r>
            <w:r>
              <w:rPr>
                <w:rFonts w:hint="eastAsia" w:ascii="宋体" w:hAnsi="宋体" w:eastAsia="宋体" w:cs="宋体"/>
                <w:color w:val="auto"/>
                <w:spacing w:val="-4"/>
                <w:sz w:val="21"/>
                <w:szCs w:val="21"/>
                <w:highlight w:val="none"/>
              </w:rPr>
              <w:t>等。</w:t>
            </w:r>
          </w:p>
          <w:p w14:paraId="62ABD3F9">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注：上述售后服务方案评分详见第四章“评标办法”。</w:t>
            </w:r>
          </w:p>
        </w:tc>
      </w:tr>
      <w:tr w14:paraId="7F2DE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7FA7340">
            <w:pPr>
              <w:wordWrap w:val="0"/>
              <w:adjustRightInd w:val="0"/>
              <w:snapToGrid w:val="0"/>
              <w:spacing w:line="320" w:lineRule="exact"/>
              <w:jc w:val="center"/>
              <w:rPr>
                <w:rFonts w:hint="eastAsia" w:ascii="宋体" w:hAnsi="宋体" w:eastAsia="宋体" w:cs="宋体"/>
                <w:i/>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）履约能力要求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E568B00">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投标人或所投</w:t>
            </w:r>
            <w:r>
              <w:rPr>
                <w:rFonts w:hint="eastAsia" w:ascii="宋体" w:hAnsi="宋体" w:eastAsia="宋体" w:cs="宋体"/>
                <w:color w:val="auto"/>
                <w:sz w:val="21"/>
                <w:szCs w:val="21"/>
                <w:highlight w:val="none"/>
                <w:lang w:eastAsia="zh-CN"/>
              </w:rPr>
              <w:t>核心</w:t>
            </w:r>
            <w:r>
              <w:rPr>
                <w:rFonts w:hint="eastAsia" w:ascii="宋体" w:hAnsi="宋体" w:eastAsia="宋体" w:cs="宋体"/>
                <w:color w:val="auto"/>
                <w:sz w:val="21"/>
                <w:szCs w:val="21"/>
                <w:highlight w:val="none"/>
              </w:rPr>
              <w:t>产品生产厂家自2022年以来具有</w:t>
            </w:r>
            <w:r>
              <w:rPr>
                <w:rFonts w:hint="eastAsia" w:ascii="宋体" w:hAnsi="宋体" w:eastAsia="宋体" w:cs="宋体"/>
                <w:color w:val="auto"/>
                <w:sz w:val="21"/>
                <w:szCs w:val="21"/>
                <w:highlight w:val="none"/>
                <w:lang w:val="en-US" w:eastAsia="zh-CN"/>
              </w:rPr>
              <w:t>核心产品</w:t>
            </w:r>
            <w:r>
              <w:rPr>
                <w:rFonts w:hint="eastAsia" w:ascii="宋体" w:hAnsi="宋体" w:eastAsia="宋体" w:cs="宋体"/>
                <w:color w:val="auto"/>
                <w:sz w:val="21"/>
                <w:szCs w:val="21"/>
                <w:highlight w:val="none"/>
              </w:rPr>
              <w:t>销售业绩。</w:t>
            </w:r>
          </w:p>
          <w:p w14:paraId="468F8438">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b/>
                <w:i/>
                <w:color w:val="auto"/>
                <w:sz w:val="21"/>
                <w:szCs w:val="21"/>
                <w:highlight w:val="none"/>
              </w:rPr>
            </w:pPr>
            <w:r>
              <w:rPr>
                <w:rFonts w:hint="eastAsia" w:ascii="宋体" w:hAnsi="宋体" w:eastAsia="宋体" w:cs="宋体"/>
                <w:b/>
                <w:bCs/>
                <w:color w:val="auto"/>
                <w:sz w:val="21"/>
                <w:szCs w:val="21"/>
                <w:highlight w:val="none"/>
              </w:rPr>
              <w:t>注：上述履约能力加分详见第四章“评标办法”。</w:t>
            </w:r>
          </w:p>
        </w:tc>
      </w:tr>
      <w:tr w14:paraId="1C80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D1B2EAF">
            <w:pPr>
              <w:wordWrap w:val="0"/>
              <w:adjustRightInd w:val="0"/>
              <w:snapToGrid w:val="0"/>
              <w:spacing w:line="320" w:lineRule="exact"/>
              <w:jc w:val="center"/>
              <w:rPr>
                <w:rFonts w:hint="eastAsia" w:ascii="宋体" w:hAnsi="宋体" w:eastAsia="宋体" w:cs="宋体"/>
                <w:i/>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）政策性加分条件</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02DAEDD">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1.节能产品加分：属于财政部《节能产品政府采购品目清单》内优先采购（清单内未标注“★”的品目）的产品</w:t>
            </w:r>
            <w:r>
              <w:rPr>
                <w:rFonts w:hint="eastAsia" w:ascii="宋体" w:hAnsi="宋体" w:eastAsia="宋体" w:cs="宋体"/>
                <w:color w:val="auto"/>
                <w:sz w:val="21"/>
                <w:szCs w:val="21"/>
                <w:highlight w:val="none"/>
                <w:lang w:eastAsia="zh-CN"/>
              </w:rPr>
              <w:t>（在</w:t>
            </w:r>
            <w:r>
              <w:rPr>
                <w:rFonts w:hint="eastAsia" w:ascii="宋体" w:hAnsi="宋体" w:eastAsia="宋体" w:cs="宋体"/>
                <w:color w:val="auto"/>
                <w:sz w:val="21"/>
                <w:szCs w:val="21"/>
                <w:highlight w:val="none"/>
              </w:rPr>
              <w:t>投标文件中提供有效的认证证书复印件，并加盖投标人电子签章），相应予以加分。</w:t>
            </w:r>
          </w:p>
          <w:p w14:paraId="0BAD56F9">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2.环境标志产品加分：属于财政部《环境标志产品政府采购品目清单》内的产品（投标文件中提供有效的认证证书复印件，并加盖投标人电子签章），相应予以加分。</w:t>
            </w:r>
          </w:p>
          <w:p w14:paraId="7D577187">
            <w:pPr>
              <w:keepNext w:val="0"/>
              <w:keepLines w:val="0"/>
              <w:pageBreakBefore w:val="0"/>
              <w:widowControl w:val="0"/>
              <w:kinsoku/>
              <w:wordWrap w:val="0"/>
              <w:overflowPunct/>
              <w:topLinePunct w:val="0"/>
              <w:autoSpaceDE/>
              <w:autoSpaceDN/>
              <w:bidi w:val="0"/>
              <w:adjustRightInd w:val="0"/>
              <w:snapToGrid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注：上述政策性加分详见第四章“评标办法”。</w:t>
            </w:r>
          </w:p>
        </w:tc>
      </w:tr>
    </w:tbl>
    <w:p w14:paraId="116227C8">
      <w:pPr>
        <w:adjustRightInd w:val="0"/>
        <w:spacing w:line="360" w:lineRule="exact"/>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分标3：老年病肺病科，脾胃病科设备</w:t>
      </w:r>
    </w:p>
    <w:tbl>
      <w:tblPr>
        <w:tblStyle w:val="51"/>
        <w:tblW w:w="99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1531"/>
        <w:gridCol w:w="934"/>
        <w:gridCol w:w="4045"/>
        <w:gridCol w:w="709"/>
        <w:gridCol w:w="753"/>
        <w:gridCol w:w="1319"/>
      </w:tblGrid>
      <w:tr w14:paraId="52BD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53E59D57">
            <w:pPr>
              <w:wordWrap w:val="0"/>
              <w:rPr>
                <w:rFonts w:hint="eastAsia" w:ascii="宋体" w:hAnsi="宋体" w:cs="宋体"/>
                <w:b/>
                <w:color w:val="auto"/>
                <w:szCs w:val="21"/>
                <w:highlight w:val="none"/>
              </w:rPr>
            </w:pPr>
            <w:r>
              <w:rPr>
                <w:rFonts w:hint="eastAsia" w:ascii="宋体" w:hAnsi="宋体" w:cs="宋体"/>
                <w:b/>
                <w:color w:val="auto"/>
                <w:szCs w:val="21"/>
                <w:highlight w:val="none"/>
              </w:rPr>
              <w:t>一、采购内容及技术要求</w:t>
            </w:r>
          </w:p>
        </w:tc>
      </w:tr>
      <w:tr w14:paraId="68AC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0B850EC4">
            <w:pPr>
              <w:wordWrap w:val="0"/>
              <w:adjustRightInd w:val="0"/>
              <w:snapToGrid w:val="0"/>
              <w:jc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项号</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5AEAC588">
            <w:pPr>
              <w:wordWrap w:val="0"/>
              <w:adjustRightInd w:val="0"/>
              <w:snapToGrid w:val="0"/>
              <w:jc w:val="center"/>
              <w:rPr>
                <w:rFonts w:hint="eastAsia" w:ascii="宋体" w:hAnsi="宋体" w:cs="宋体"/>
                <w:b/>
                <w:color w:val="auto"/>
                <w:szCs w:val="21"/>
                <w:highlight w:val="none"/>
              </w:rPr>
            </w:pPr>
            <w:r>
              <w:rPr>
                <w:rFonts w:hint="eastAsia" w:ascii="宋体" w:hAnsi="宋体" w:cs="宋体"/>
                <w:b/>
                <w:color w:val="auto"/>
                <w:szCs w:val="21"/>
                <w:highlight w:val="none"/>
              </w:rPr>
              <w:t>标的名称</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2725AA15">
            <w:pPr>
              <w:widowControl/>
              <w:wordWrap w:val="0"/>
              <w:jc w:val="center"/>
              <w:rPr>
                <w:rFonts w:ascii="宋体" w:hAnsi="宋体" w:cs="宋体"/>
                <w:b/>
                <w:color w:val="auto"/>
                <w:szCs w:val="21"/>
                <w:highlight w:val="none"/>
              </w:rPr>
            </w:pPr>
            <w:r>
              <w:rPr>
                <w:rFonts w:hint="eastAsia" w:ascii="宋体" w:hAnsi="宋体" w:cs="宋体"/>
                <w:b/>
                <w:color w:val="auto"/>
                <w:szCs w:val="21"/>
                <w:highlight w:val="none"/>
              </w:rPr>
              <w:t>标的所属行业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60D8FCDA">
            <w:pPr>
              <w:wordWrap w:val="0"/>
              <w:jc w:val="center"/>
              <w:rPr>
                <w:rFonts w:ascii="宋体" w:hAnsi="宋体" w:cs="宋体"/>
                <w:b/>
                <w:color w:val="auto"/>
                <w:szCs w:val="21"/>
                <w:highlight w:val="none"/>
              </w:rPr>
            </w:pPr>
            <w:r>
              <w:rPr>
                <w:rFonts w:hint="eastAsia" w:ascii="宋体" w:hAnsi="宋体" w:cs="宋体"/>
                <w:b/>
                <w:color w:val="auto"/>
                <w:szCs w:val="21"/>
                <w:highlight w:val="none"/>
              </w:rPr>
              <w:t>技术要求</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68CD1E0">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数量</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1D307066">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单位</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6041CC64">
            <w:pPr>
              <w:wordWrap w:val="0"/>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参考单价（元）</w:t>
            </w:r>
          </w:p>
        </w:tc>
      </w:tr>
      <w:tr w14:paraId="05D2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29C2B3A9">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6A4E6F73">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内镜清洗工作站</w:t>
            </w:r>
          </w:p>
        </w:tc>
        <w:tc>
          <w:tcPr>
            <w:tcW w:w="934" w:type="dxa"/>
            <w:tcBorders>
              <w:top w:val="single" w:color="auto" w:sz="4" w:space="0"/>
              <w:left w:val="single" w:color="auto" w:sz="4" w:space="0"/>
              <w:right w:val="single" w:color="auto" w:sz="4" w:space="0"/>
            </w:tcBorders>
            <w:noWrap w:val="0"/>
            <w:vAlign w:val="center"/>
          </w:tcPr>
          <w:p w14:paraId="47B23AF4">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126E043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台面、洗消槽、功能背板及干燥台等主体配置与材质要求：洗消槽、功能背板、干燥台面等，采用PMMA高分子材料，PMMA-ABS板材的拉伸强度、断裂生长率、弯曲强度、简支梁缺口冲击强度，且能达到拉伸强度≥135.0MPa、断裂生长率≥15.7%、弯曲强度≥253.9MPa、简支梁缺口冲击强度≥10.2CkJ/㎡、10%应变时的压缩应力≥453.9MPa</w:t>
            </w:r>
            <w:r>
              <w:rPr>
                <w:rFonts w:hint="eastAsia" w:ascii="宋体" w:hAnsi="宋体" w:eastAsia="宋体" w:cs="宋体"/>
                <w:b/>
                <w:bCs/>
                <w:color w:val="auto"/>
                <w:sz w:val="21"/>
                <w:szCs w:val="21"/>
                <w:highlight w:val="none"/>
                <w:u w:val="none"/>
                <w:lang w:val="en-US" w:eastAsia="zh-CN"/>
              </w:rPr>
              <w:t>（投标人于投标文件中提供由国家认可的检测机构出具的所投产品材料满足本项“拉伸强度、断裂生长率、弯曲强度、简支梁缺口冲击强度及10%应变时的压缩应力”技术参数的检测报告复印件，加盖</w:t>
            </w:r>
            <w:r>
              <w:rPr>
                <w:rFonts w:hint="eastAsia" w:ascii="宋体" w:hAnsi="宋体" w:cs="宋体"/>
                <w:b/>
                <w:bCs/>
                <w:color w:val="auto"/>
                <w:sz w:val="21"/>
                <w:szCs w:val="21"/>
                <w:highlight w:val="none"/>
                <w:u w:val="none"/>
                <w:lang w:val="en-US" w:eastAsia="zh-CN"/>
              </w:rPr>
              <w:t>投标人</w:t>
            </w:r>
            <w:r>
              <w:rPr>
                <w:rFonts w:hint="eastAsia" w:ascii="宋体" w:hAnsi="宋体" w:eastAsia="宋体" w:cs="宋体"/>
                <w:b/>
                <w:bCs/>
                <w:color w:val="auto"/>
                <w:sz w:val="21"/>
                <w:szCs w:val="21"/>
                <w:highlight w:val="none"/>
                <w:u w:val="none"/>
                <w:lang w:val="en-US" w:eastAsia="zh-CN"/>
              </w:rPr>
              <w:t>电子签章）</w:t>
            </w:r>
            <w:r>
              <w:rPr>
                <w:rFonts w:hint="eastAsia" w:ascii="宋体" w:hAnsi="宋体" w:cs="宋体"/>
                <w:color w:val="auto"/>
                <w:sz w:val="21"/>
                <w:szCs w:val="21"/>
                <w:highlight w:val="none"/>
                <w:lang w:val="en-US" w:eastAsia="zh-CN"/>
              </w:rPr>
              <w:t>。</w:t>
            </w:r>
          </w:p>
          <w:p w14:paraId="730019B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用模具一体成形，抗压强度高；抗氧化，耐强酸强碱，满足清洗槽使用消毒液不腐蚀</w:t>
            </w:r>
            <w:r>
              <w:rPr>
                <w:rFonts w:hint="eastAsia"/>
                <w:color w:val="auto"/>
                <w:highlight w:val="none"/>
                <w:lang w:eastAsia="zh-CN"/>
              </w:rPr>
              <w:t>。</w:t>
            </w:r>
            <w:r>
              <w:rPr>
                <w:rFonts w:hint="eastAsia" w:ascii="宋体" w:hAnsi="宋体" w:eastAsia="宋体" w:cs="宋体"/>
                <w:color w:val="auto"/>
                <w:sz w:val="21"/>
                <w:szCs w:val="21"/>
                <w:highlight w:val="none"/>
                <w:lang w:val="en-US" w:eastAsia="zh-CN"/>
              </w:rPr>
              <w:t>损伤后易修复；对人体无毒性等。</w:t>
            </w:r>
          </w:p>
          <w:p w14:paraId="75C90FB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2台面、洗消槽及干燥台的规格与形状要求：背板主体长度要求≥5米；洗消槽规格：为满足现场安装条件及流程要求，洗消槽尺寸满足单槽尺寸：长685mm×宽760mm（±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mm）、单内槽尺寸：长355mm×宽420mm（±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mm）；双槽尺寸：长1315mm×宽760mm（±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mm）、双内槽尺寸：长500×宽430mm（±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mm）；干燥台规格：长1500mm×宽760mm（±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mm）。设备高度：台面高度880mm（±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mm），设备整体高度1550mm（±</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mm）。内镜清洗工作站不锈钢主体支架采用304不锈钢材质，厚度≥1.2mm。工作站清洗槽、消毒槽有容量标识，标示的分度值不大于2L，且容量标识误差不超过20%。</w:t>
            </w:r>
          </w:p>
          <w:p w14:paraId="6C7554D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多功能自动灌流器</w:t>
            </w:r>
          </w:p>
          <w:p w14:paraId="6F6215A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2.1</w:t>
            </w:r>
            <w:r>
              <w:rPr>
                <w:rFonts w:hint="eastAsia" w:ascii="宋体" w:hAnsi="宋体" w:eastAsia="宋体" w:cs="宋体"/>
                <w:color w:val="auto"/>
                <w:sz w:val="21"/>
                <w:szCs w:val="21"/>
                <w:highlight w:val="none"/>
                <w:lang w:val="en-US" w:eastAsia="zh-CN"/>
              </w:rPr>
              <w:t>配置及功能要求：自动灌流器可以全自动一次性完成三个环节的工作：注液、注气、计时，在每次注液后，当灌流到倒数15～20s时自动注气，为集成芯片（可电脑程控）</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各种数据可自行自由设定（0～99分59秒），要求计时准确。面板为数码管显示防水屏（其工作电压为≤12V）。</w:t>
            </w:r>
          </w:p>
          <w:p w14:paraId="74202ED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2.2</w:t>
            </w:r>
            <w:r>
              <w:rPr>
                <w:rFonts w:hint="eastAsia" w:ascii="宋体" w:hAnsi="宋体" w:eastAsia="宋体" w:cs="宋体"/>
                <w:b/>
                <w:bCs/>
                <w:color w:val="auto"/>
                <w:sz w:val="21"/>
                <w:szCs w:val="21"/>
                <w:highlight w:val="none"/>
                <w:lang w:val="en-US" w:eastAsia="zh-CN"/>
              </w:rPr>
              <w:t>数量</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5套</w:t>
            </w:r>
            <w:r>
              <w:rPr>
                <w:rFonts w:hint="eastAsia" w:ascii="宋体" w:hAnsi="宋体" w:cs="宋体"/>
                <w:b/>
                <w:bCs/>
                <w:color w:val="auto"/>
                <w:sz w:val="21"/>
                <w:szCs w:val="21"/>
                <w:highlight w:val="none"/>
                <w:lang w:val="en-US" w:eastAsia="zh-CN"/>
              </w:rPr>
              <w:t>。</w:t>
            </w:r>
          </w:p>
          <w:p w14:paraId="7D3107A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.节酶系统：</w:t>
            </w:r>
          </w:p>
          <w:p w14:paraId="0EF4383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3.1技术要求：</w:t>
            </w:r>
            <w:r>
              <w:rPr>
                <w:rFonts w:hint="eastAsia" w:ascii="宋体" w:hAnsi="宋体" w:eastAsia="宋体" w:cs="宋体"/>
                <w:color w:val="auto"/>
                <w:sz w:val="21"/>
                <w:szCs w:val="21"/>
                <w:highlight w:val="none"/>
                <w:lang w:val="en-US" w:eastAsia="zh-CN"/>
              </w:rPr>
              <w:t>内镜各腔道灌注5s～10s，灌流总量≥200mL。用酶量只有原有常规方法的5%～10%，节约酶液达90%～95%。</w:t>
            </w:r>
          </w:p>
          <w:p w14:paraId="0D17302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3.2数量：</w:t>
            </w:r>
            <w:r>
              <w:rPr>
                <w:rFonts w:hint="eastAsia" w:ascii="宋体" w:hAnsi="宋体" w:eastAsia="宋体" w:cs="宋体"/>
                <w:b/>
                <w:bCs/>
                <w:color w:val="auto"/>
                <w:sz w:val="21"/>
                <w:szCs w:val="21"/>
                <w:highlight w:val="none"/>
                <w:lang w:val="en-US" w:eastAsia="zh-CN"/>
              </w:rPr>
              <w:t>1套</w:t>
            </w:r>
            <w:r>
              <w:rPr>
                <w:rFonts w:hint="eastAsia" w:ascii="宋体" w:hAnsi="宋体" w:cs="宋体"/>
                <w:color w:val="auto"/>
                <w:sz w:val="21"/>
                <w:szCs w:val="21"/>
                <w:highlight w:val="none"/>
                <w:lang w:val="en-US" w:eastAsia="zh-CN"/>
              </w:rPr>
              <w:t>。</w:t>
            </w:r>
          </w:p>
          <w:p w14:paraId="2B986F5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.中心气体处理器：</w:t>
            </w:r>
          </w:p>
          <w:p w14:paraId="25410A4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4.1技术参数：</w:t>
            </w:r>
            <w:r>
              <w:rPr>
                <w:rFonts w:hint="eastAsia" w:ascii="宋体" w:hAnsi="宋体" w:eastAsia="宋体" w:cs="宋体"/>
                <w:color w:val="auto"/>
                <w:sz w:val="21"/>
                <w:szCs w:val="21"/>
                <w:highlight w:val="none"/>
                <w:lang w:val="en-US" w:eastAsia="zh-CN"/>
              </w:rPr>
              <w:t>能过滤直径≥0.3μm的微粒，具有压力显示功能，显示精确度≤0.02 MPa</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具备压力可调功能可调范围0.05～1.0MPa</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为内镜腔道提供清洁而安全的气压。</w:t>
            </w:r>
          </w:p>
          <w:p w14:paraId="5FBFC62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4.2数量：</w:t>
            </w:r>
            <w:r>
              <w:rPr>
                <w:rFonts w:hint="eastAsia" w:ascii="宋体" w:hAnsi="宋体" w:eastAsia="宋体" w:cs="宋体"/>
                <w:b/>
                <w:bCs/>
                <w:color w:val="auto"/>
                <w:sz w:val="21"/>
                <w:szCs w:val="21"/>
                <w:highlight w:val="none"/>
                <w:lang w:val="en-US" w:eastAsia="zh-CN"/>
              </w:rPr>
              <w:t>1套</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包括气源处理系统和灌流气压调节器</w:t>
            </w:r>
            <w:r>
              <w:rPr>
                <w:rFonts w:hint="eastAsia" w:ascii="宋体" w:hAnsi="宋体" w:cs="宋体"/>
                <w:b/>
                <w:bCs/>
                <w:color w:val="auto"/>
                <w:sz w:val="21"/>
                <w:szCs w:val="21"/>
                <w:highlight w:val="none"/>
                <w:lang w:val="en-US" w:eastAsia="zh-CN"/>
              </w:rPr>
              <w:t>。</w:t>
            </w:r>
          </w:p>
          <w:p w14:paraId="26BA00E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.医用无油空气压缩机</w:t>
            </w:r>
          </w:p>
          <w:p w14:paraId="1719F26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5.1技术参数：</w:t>
            </w:r>
            <w:r>
              <w:rPr>
                <w:rFonts w:hint="eastAsia" w:ascii="宋体" w:hAnsi="宋体" w:eastAsia="宋体" w:cs="宋体"/>
                <w:color w:val="auto"/>
                <w:sz w:val="21"/>
                <w:szCs w:val="21"/>
                <w:highlight w:val="none"/>
                <w:lang w:val="en-US" w:eastAsia="zh-CN"/>
              </w:rPr>
              <w:t>采用医用无油空压机</w:t>
            </w:r>
            <w:r>
              <w:rPr>
                <w:rFonts w:hint="eastAsia" w:ascii="宋体" w:hAnsi="宋体" w:cs="宋体"/>
                <w:color w:val="auto"/>
                <w:sz w:val="21"/>
                <w:szCs w:val="21"/>
                <w:highlight w:val="none"/>
                <w:lang w:val="en-US" w:eastAsia="zh-CN"/>
              </w:rPr>
              <w:t>，具</w:t>
            </w:r>
            <w:r>
              <w:rPr>
                <w:rFonts w:hint="eastAsia" w:ascii="宋体" w:hAnsi="宋体" w:eastAsia="宋体" w:cs="宋体"/>
                <w:color w:val="auto"/>
                <w:sz w:val="21"/>
                <w:szCs w:val="21"/>
                <w:highlight w:val="none"/>
                <w:lang w:val="en-US" w:eastAsia="zh-CN"/>
              </w:rPr>
              <w:t>有主动散热、自动排水功能，供气压力：≥0.7MPa，供气量：≤120L/min，储气量：≤30L，噪音≤50dB，电压：220V，输出功率：≤750W，为内镜清洗工作提供持续纯净的压力空气。</w:t>
            </w:r>
          </w:p>
          <w:p w14:paraId="7428547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5.2数量：</w:t>
            </w:r>
            <w:r>
              <w:rPr>
                <w:rFonts w:hint="eastAsia" w:ascii="宋体" w:hAnsi="宋体" w:eastAsia="宋体" w:cs="宋体"/>
                <w:color w:val="auto"/>
                <w:sz w:val="21"/>
                <w:szCs w:val="21"/>
                <w:highlight w:val="none"/>
                <w:lang w:val="en-US" w:eastAsia="zh-CN"/>
              </w:rPr>
              <w:t>1台。</w:t>
            </w:r>
          </w:p>
          <w:p w14:paraId="3472691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.高压供水器</w:t>
            </w:r>
          </w:p>
          <w:p w14:paraId="5302E46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6.1技术</w:t>
            </w:r>
            <w:r>
              <w:rPr>
                <w:rFonts w:hint="eastAsia" w:ascii="宋体" w:hAnsi="宋体" w:eastAsia="宋体" w:cs="宋体"/>
                <w:color w:val="auto"/>
                <w:sz w:val="21"/>
                <w:szCs w:val="21"/>
                <w:highlight w:val="none"/>
                <w:lang w:val="en-US" w:eastAsia="zh-CN"/>
              </w:rPr>
              <w:t>要求：电压：DC≥12V，电流：≥3.5A，出水水压：≥0.4MPa（恒压），功率：≥36W，流量：≥5.0L/min（0.3T/h），控制：水压自动恒定控制、自动启动，高压脉冲型，具有高水压低水流功能。</w:t>
            </w:r>
          </w:p>
          <w:p w14:paraId="1C06216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6.2数量：</w:t>
            </w:r>
            <w:r>
              <w:rPr>
                <w:rFonts w:hint="eastAsia" w:ascii="宋体" w:hAnsi="宋体" w:eastAsia="宋体" w:cs="宋体"/>
                <w:b/>
                <w:bCs/>
                <w:color w:val="auto"/>
                <w:sz w:val="21"/>
                <w:szCs w:val="21"/>
                <w:highlight w:val="none"/>
                <w:lang w:val="en-US" w:eastAsia="zh-CN"/>
              </w:rPr>
              <w:t>1台</w:t>
            </w:r>
            <w:r>
              <w:rPr>
                <w:rFonts w:hint="eastAsia" w:ascii="宋体" w:hAnsi="宋体" w:eastAsia="宋体" w:cs="宋体"/>
                <w:color w:val="auto"/>
                <w:sz w:val="21"/>
                <w:szCs w:val="21"/>
                <w:highlight w:val="none"/>
                <w:lang w:val="en-US" w:eastAsia="zh-CN"/>
              </w:rPr>
              <w:t>。</w:t>
            </w:r>
          </w:p>
          <w:p w14:paraId="3AF0CC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.清洗喷枪</w:t>
            </w:r>
          </w:p>
          <w:p w14:paraId="71DFC90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7.1技术要求：</w:t>
            </w:r>
            <w:r>
              <w:rPr>
                <w:rFonts w:hint="eastAsia" w:ascii="宋体" w:hAnsi="宋体" w:eastAsia="宋体" w:cs="宋体"/>
                <w:color w:val="auto"/>
                <w:sz w:val="21"/>
                <w:szCs w:val="21"/>
                <w:highlight w:val="none"/>
                <w:lang w:val="en-US" w:eastAsia="zh-CN"/>
              </w:rPr>
              <w:t>枪体采用SUS304不锈钢</w:t>
            </w:r>
            <w:r>
              <w:rPr>
                <w:rFonts w:hint="eastAsia" w:ascii="宋体" w:hAnsi="宋体" w:cs="宋体"/>
                <w:color w:val="auto"/>
                <w:sz w:val="21"/>
                <w:szCs w:val="21"/>
                <w:highlight w:val="none"/>
                <w:lang w:val="en-US" w:eastAsia="zh-CN"/>
              </w:rPr>
              <w:t>（即06Cr19Ni10）</w:t>
            </w:r>
            <w:r>
              <w:rPr>
                <w:rFonts w:hint="eastAsia" w:ascii="宋体" w:hAnsi="宋体" w:eastAsia="宋体" w:cs="宋体"/>
                <w:color w:val="auto"/>
                <w:sz w:val="21"/>
                <w:szCs w:val="21"/>
                <w:highlight w:val="none"/>
                <w:lang w:val="en-US" w:eastAsia="zh-CN"/>
              </w:rPr>
              <w:t>，防止内腔腐蚀生锈；耐受压力0-0.7MPa。喷枪能够不借用工具完成拆卸，握柄为圆柱竹节式设计。</w:t>
            </w:r>
          </w:p>
          <w:p w14:paraId="630EB52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2数量：</w:t>
            </w:r>
            <w:r>
              <w:rPr>
                <w:rFonts w:hint="eastAsia" w:ascii="宋体" w:hAnsi="宋体" w:eastAsia="宋体" w:cs="宋体"/>
                <w:b/>
                <w:bCs/>
                <w:color w:val="auto"/>
                <w:sz w:val="21"/>
                <w:szCs w:val="21"/>
                <w:highlight w:val="none"/>
                <w:lang w:val="en-US" w:eastAsia="zh-CN"/>
              </w:rPr>
              <w:t>6把</w:t>
            </w:r>
            <w:r>
              <w:rPr>
                <w:rFonts w:hint="eastAsia" w:ascii="宋体" w:hAnsi="宋体" w:eastAsia="宋体" w:cs="宋体"/>
                <w:color w:val="auto"/>
                <w:sz w:val="21"/>
                <w:szCs w:val="21"/>
                <w:highlight w:val="none"/>
                <w:lang w:val="en-US" w:eastAsia="zh-CN"/>
              </w:rPr>
              <w:t>。</w:t>
            </w:r>
          </w:p>
          <w:p w14:paraId="104A9D7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.给排水系统</w:t>
            </w:r>
          </w:p>
          <w:p w14:paraId="19078A5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8.1技术要求：</w:t>
            </w:r>
            <w:r>
              <w:rPr>
                <w:rFonts w:hint="eastAsia" w:ascii="宋体" w:hAnsi="宋体" w:eastAsia="宋体" w:cs="宋体"/>
                <w:b w:val="0"/>
                <w:bCs w:val="0"/>
                <w:color w:val="auto"/>
                <w:sz w:val="21"/>
                <w:szCs w:val="21"/>
                <w:highlight w:val="none"/>
                <w:lang w:val="en-US" w:eastAsia="zh-CN"/>
              </w:rPr>
              <w:t>给</w:t>
            </w:r>
            <w:r>
              <w:rPr>
                <w:rFonts w:hint="eastAsia" w:ascii="宋体" w:hAnsi="宋体" w:eastAsia="宋体" w:cs="宋体"/>
                <w:color w:val="auto"/>
                <w:sz w:val="21"/>
                <w:szCs w:val="21"/>
                <w:highlight w:val="none"/>
                <w:lang w:val="en-US" w:eastAsia="zh-CN"/>
              </w:rPr>
              <w:t>水系统材质采用SUS304</w:t>
            </w:r>
            <w:r>
              <w:rPr>
                <w:rFonts w:hint="eastAsia" w:ascii="宋体" w:hAnsi="宋体" w:cs="宋体"/>
                <w:color w:val="auto"/>
                <w:sz w:val="21"/>
                <w:szCs w:val="21"/>
                <w:highlight w:val="none"/>
                <w:lang w:val="en-US" w:eastAsia="zh-CN"/>
              </w:rPr>
              <w:t>（即06Cr19Ni10）</w:t>
            </w:r>
            <w:r>
              <w:rPr>
                <w:rFonts w:hint="eastAsia" w:ascii="宋体" w:hAnsi="宋体" w:eastAsia="宋体" w:cs="宋体"/>
                <w:color w:val="auto"/>
                <w:sz w:val="21"/>
                <w:szCs w:val="21"/>
                <w:highlight w:val="none"/>
                <w:lang w:val="en-US" w:eastAsia="zh-CN"/>
              </w:rPr>
              <w:t>不锈钢材质水龙头，陶瓷阀芯，360度旋转式设计，有冷热水接口，冷热水开关独立控制。多层防腐防锈处理，可承受强酸强碱环境的使用；水龙头具有过滤功能，过滤网孔径≤250µm（≥60目）；排水系统采用：304#不锈钢下水器。</w:t>
            </w:r>
          </w:p>
          <w:p w14:paraId="2CC56E0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8.2数量：</w:t>
            </w:r>
            <w:r>
              <w:rPr>
                <w:rFonts w:hint="eastAsia" w:ascii="宋体" w:hAnsi="宋体" w:eastAsia="宋体" w:cs="宋体"/>
                <w:b/>
                <w:bCs/>
                <w:color w:val="auto"/>
                <w:sz w:val="21"/>
                <w:szCs w:val="21"/>
                <w:highlight w:val="none"/>
                <w:lang w:val="en-US" w:eastAsia="zh-CN"/>
              </w:rPr>
              <w:t>5个点位</w:t>
            </w:r>
            <w:r>
              <w:rPr>
                <w:rFonts w:hint="eastAsia" w:ascii="宋体" w:hAnsi="宋体" w:eastAsia="宋体" w:cs="宋体"/>
                <w:color w:val="auto"/>
                <w:sz w:val="21"/>
                <w:szCs w:val="21"/>
                <w:highlight w:val="none"/>
                <w:lang w:val="en-US" w:eastAsia="zh-CN"/>
              </w:rPr>
              <w:t>。</w:t>
            </w:r>
          </w:p>
          <w:p w14:paraId="416A27B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.镜体测漏系统</w:t>
            </w:r>
          </w:p>
          <w:p w14:paraId="42E13F1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9.1技术要求：</w:t>
            </w:r>
            <w:r>
              <w:rPr>
                <w:rFonts w:hint="eastAsia" w:ascii="宋体" w:hAnsi="宋体" w:eastAsia="宋体" w:cs="宋体"/>
                <w:color w:val="auto"/>
                <w:sz w:val="21"/>
                <w:szCs w:val="21"/>
                <w:highlight w:val="none"/>
                <w:lang w:val="en-US" w:eastAsia="zh-CN"/>
              </w:rPr>
              <w:t>采用微电脑控制系统和电子压力传感器检测压力，使用旋转编码开关调节测漏压力和测漏时间，检测压力和检测时间连续可调，测漏结束自动泄压和数值提示，可根据不同内镜厂家要求，选择测漏压力和测漏时间，保证检测灵敏度和保护内镜免受过压影响；测漏压力数字显示，连续可调，压力范围1～35KPa；测漏时间数字显示，连续可调时间范围10～90秒。</w:t>
            </w:r>
          </w:p>
          <w:p w14:paraId="1C483F9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9.2数量</w:t>
            </w:r>
            <w:r>
              <w:rPr>
                <w:rFonts w:hint="eastAsia" w:ascii="宋体" w:hAnsi="宋体" w:eastAsia="宋体" w:cs="宋体"/>
                <w:b/>
                <w:bCs/>
                <w:color w:val="auto"/>
                <w:sz w:val="21"/>
                <w:szCs w:val="21"/>
                <w:highlight w:val="none"/>
                <w:lang w:val="en-US" w:eastAsia="zh-CN"/>
              </w:rPr>
              <w:t>1套。</w:t>
            </w:r>
          </w:p>
          <w:p w14:paraId="2F5B715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39BEEE7">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5148FBBE">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套</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07BE08BF">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139000.00</w:t>
            </w:r>
          </w:p>
        </w:tc>
      </w:tr>
      <w:tr w14:paraId="622D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14" w:type="dxa"/>
            <w:tcBorders>
              <w:top w:val="single" w:color="auto" w:sz="4" w:space="0"/>
              <w:left w:val="single" w:color="auto" w:sz="4" w:space="0"/>
              <w:bottom w:val="single" w:color="auto" w:sz="4" w:space="0"/>
              <w:right w:val="single" w:color="auto" w:sz="4" w:space="0"/>
            </w:tcBorders>
            <w:noWrap w:val="0"/>
            <w:vAlign w:val="center"/>
          </w:tcPr>
          <w:p w14:paraId="3444D6B2">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2</w:t>
            </w:r>
          </w:p>
        </w:tc>
        <w:tc>
          <w:tcPr>
            <w:tcW w:w="1531" w:type="dxa"/>
            <w:tcBorders>
              <w:top w:val="single" w:color="auto" w:sz="4" w:space="0"/>
              <w:left w:val="single" w:color="auto" w:sz="4" w:space="0"/>
              <w:bottom w:val="single" w:color="auto" w:sz="4" w:space="0"/>
              <w:right w:val="single" w:color="auto" w:sz="4" w:space="0"/>
            </w:tcBorders>
            <w:noWrap w:val="0"/>
            <w:vAlign w:val="center"/>
          </w:tcPr>
          <w:p w14:paraId="2EB6A3C0">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智能肌少症与跌倒风险测评系统</w:t>
            </w:r>
          </w:p>
        </w:tc>
        <w:tc>
          <w:tcPr>
            <w:tcW w:w="934" w:type="dxa"/>
            <w:tcBorders>
              <w:top w:val="single" w:color="auto" w:sz="4" w:space="0"/>
              <w:left w:val="single" w:color="auto" w:sz="4" w:space="0"/>
              <w:right w:val="single" w:color="auto" w:sz="4" w:space="0"/>
            </w:tcBorders>
            <w:noWrap w:val="0"/>
            <w:vAlign w:val="center"/>
          </w:tcPr>
          <w:p w14:paraId="0B38E520">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工业</w:t>
            </w:r>
          </w:p>
        </w:tc>
        <w:tc>
          <w:tcPr>
            <w:tcW w:w="4045" w:type="dxa"/>
            <w:tcBorders>
              <w:top w:val="single" w:color="auto" w:sz="4" w:space="0"/>
              <w:left w:val="single" w:color="auto" w:sz="4" w:space="0"/>
              <w:bottom w:val="single" w:color="auto" w:sz="4" w:space="0"/>
              <w:right w:val="single" w:color="auto" w:sz="4" w:space="0"/>
            </w:tcBorders>
            <w:noWrap w:val="0"/>
            <w:vAlign w:val="center"/>
          </w:tcPr>
          <w:p w14:paraId="44D0F36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eastAsia="宋体" w:cs="宋体"/>
                <w:b w:val="0"/>
                <w:bCs w:val="0"/>
                <w:color w:val="auto"/>
                <w:sz w:val="21"/>
                <w:szCs w:val="21"/>
                <w:highlight w:val="none"/>
                <w:lang w:eastAsia="zh-CN"/>
              </w:rPr>
              <w:t>整个系统由人体成分测试、SARC-Calf量表测试、Morse量表测试、握力测试、6米步速测试、4米定时走测试、5次坐</w:t>
            </w:r>
            <w:r>
              <w:rPr>
                <w:rFonts w:hint="eastAsia" w:ascii="宋体" w:hAnsi="宋体" w:eastAsia="宋体" w:cs="宋体"/>
                <w:b w:val="0"/>
                <w:bCs w:val="0"/>
                <w:color w:val="auto"/>
                <w:sz w:val="21"/>
                <w:szCs w:val="21"/>
                <w:highlight w:val="none"/>
                <w:lang w:val="en-US" w:eastAsia="zh-CN"/>
              </w:rPr>
              <w:t>起</w:t>
            </w:r>
            <w:r>
              <w:rPr>
                <w:rFonts w:hint="eastAsia" w:ascii="宋体" w:hAnsi="宋体" w:eastAsia="宋体" w:cs="宋体"/>
                <w:b w:val="0"/>
                <w:bCs w:val="0"/>
                <w:color w:val="auto"/>
                <w:sz w:val="21"/>
                <w:szCs w:val="21"/>
                <w:highlight w:val="none"/>
                <w:lang w:eastAsia="zh-CN"/>
              </w:rPr>
              <w:t>测试、三姿测试、</w:t>
            </w:r>
            <w:r>
              <w:rPr>
                <w:rFonts w:hint="eastAsia" w:ascii="宋体" w:hAnsi="宋体" w:eastAsia="宋体" w:cs="宋体"/>
                <w:b w:val="0"/>
                <w:bCs w:val="0"/>
                <w:color w:val="auto"/>
                <w:sz w:val="21"/>
                <w:szCs w:val="21"/>
                <w:highlight w:val="none"/>
                <w:lang w:val="en-US" w:eastAsia="zh-CN"/>
              </w:rPr>
              <w:t>起立行走计时</w:t>
            </w:r>
            <w:r>
              <w:rPr>
                <w:rFonts w:hint="eastAsia" w:ascii="宋体" w:hAnsi="宋体" w:eastAsia="宋体" w:cs="宋体"/>
                <w:b w:val="0"/>
                <w:bCs w:val="0"/>
                <w:color w:val="auto"/>
                <w:sz w:val="21"/>
                <w:szCs w:val="21"/>
                <w:highlight w:val="none"/>
                <w:lang w:eastAsia="zh-CN"/>
              </w:rPr>
              <w:t>测试组成。</w:t>
            </w:r>
          </w:p>
          <w:p w14:paraId="230B464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w:t>
            </w:r>
            <w:r>
              <w:rPr>
                <w:rFonts w:hint="eastAsia" w:ascii="宋体" w:hAnsi="宋体" w:eastAsia="宋体" w:cs="宋体"/>
                <w:b w:val="0"/>
                <w:bCs w:val="0"/>
                <w:color w:val="auto"/>
                <w:sz w:val="21"/>
                <w:szCs w:val="21"/>
                <w:highlight w:val="none"/>
                <w:lang w:eastAsia="zh-CN"/>
              </w:rPr>
              <w:t>所有躯体功能测试项目无需重复输入个人信息。</w:t>
            </w:r>
            <w:r>
              <w:rPr>
                <w:rFonts w:hint="eastAsia" w:ascii="宋体" w:hAnsi="宋体" w:eastAsia="宋体" w:cs="宋体"/>
                <w:b w:val="0"/>
                <w:bCs w:val="0"/>
                <w:color w:val="auto"/>
                <w:kern w:val="2"/>
                <w:sz w:val="21"/>
                <w:szCs w:val="21"/>
                <w:highlight w:val="none"/>
                <w:lang w:val="en-US" w:eastAsia="zh-CN" w:bidi="ar-SA"/>
              </w:rPr>
              <w:t>检测软件具备用户管理功能，包括建档、测试、查询</w:t>
            </w:r>
            <w:r>
              <w:rPr>
                <w:rFonts w:hint="eastAsia" w:ascii="宋体" w:hAnsi="宋体" w:cs="宋体"/>
                <w:b w:val="0"/>
                <w:bCs w:val="0"/>
                <w:color w:val="auto"/>
                <w:kern w:val="2"/>
                <w:sz w:val="21"/>
                <w:szCs w:val="21"/>
                <w:highlight w:val="none"/>
                <w:lang w:val="en-US" w:eastAsia="zh-CN" w:bidi="ar-SA"/>
              </w:rPr>
              <w:t>历史记录</w:t>
            </w:r>
            <w:r>
              <w:rPr>
                <w:rFonts w:hint="eastAsia" w:ascii="宋体" w:hAnsi="宋体" w:eastAsia="宋体" w:cs="宋体"/>
                <w:b w:val="0"/>
                <w:bCs w:val="0"/>
                <w:color w:val="auto"/>
                <w:kern w:val="2"/>
                <w:sz w:val="21"/>
                <w:szCs w:val="21"/>
                <w:highlight w:val="none"/>
                <w:lang w:val="en-US" w:eastAsia="zh-CN" w:bidi="ar-SA"/>
              </w:rPr>
              <w:t>、导出检测结果等多个功能。</w:t>
            </w:r>
          </w:p>
          <w:p w14:paraId="347C9AD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3</w:t>
            </w:r>
            <w:r>
              <w:rPr>
                <w:rFonts w:hint="eastAsia" w:ascii="宋体" w:hAnsi="宋体" w:eastAsia="宋体" w:cs="宋体"/>
                <w:b w:val="0"/>
                <w:bCs w:val="0"/>
                <w:color w:val="auto"/>
                <w:kern w:val="2"/>
                <w:sz w:val="21"/>
                <w:szCs w:val="21"/>
                <w:highlight w:val="none"/>
                <w:lang w:val="en-US" w:eastAsia="zh-CN" w:bidi="ar-SA"/>
              </w:rPr>
              <w:t>.全部测试完成后，报告自动生成；个人报告由功能测试结果、正常范围及评价，肌肉量详细评价，总评等部分组成。</w:t>
            </w:r>
          </w:p>
          <w:p w14:paraId="01E265B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4</w:t>
            </w:r>
            <w:r>
              <w:rPr>
                <w:rFonts w:hint="eastAsia" w:ascii="宋体" w:hAnsi="宋体" w:eastAsia="宋体" w:cs="宋体"/>
                <w:b w:val="0"/>
                <w:bCs w:val="0"/>
                <w:color w:val="auto"/>
                <w:kern w:val="2"/>
                <w:sz w:val="21"/>
                <w:szCs w:val="21"/>
                <w:highlight w:val="none"/>
                <w:lang w:val="en-US" w:eastAsia="zh-CN" w:bidi="ar-SA"/>
              </w:rPr>
              <w:t>.提供针对性的干预方案，包含营养建议和运动建议。营养建议包含膳食宝塔、典型食谱以及饮食建议等多项内容。运动建议依据肌少症共识和运动处方指南，基于FITT-VP原则，包含有氧、力量、柔韧、平衡以及注意事项等。</w:t>
            </w:r>
          </w:p>
          <w:p w14:paraId="3E31ED9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kern w:val="2"/>
                <w:sz w:val="21"/>
                <w:szCs w:val="21"/>
                <w:highlight w:val="none"/>
                <w:lang w:val="en-US" w:eastAsia="zh-CN" w:bidi="ar-SA"/>
              </w:rPr>
              <w:t>5</w:t>
            </w: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eastAsia="zh-CN"/>
              </w:rPr>
              <w:t>可选择同一用户多份报告进行对比；可对各测试项目测试结果及肌少症风险发展史进行比较分析。</w:t>
            </w:r>
          </w:p>
          <w:p w14:paraId="735928CC">
            <w:pPr>
              <w:keepNext w:val="0"/>
              <w:keepLines w:val="0"/>
              <w:pageBreakBefore w:val="0"/>
              <w:widowControl w:val="0"/>
              <w:numPr>
                <w:ilvl w:val="0"/>
                <w:numId w:val="0"/>
              </w:numPr>
              <w:kinsoku/>
              <w:wordWrap w:val="0"/>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kern w:val="2"/>
                <w:sz w:val="21"/>
                <w:szCs w:val="21"/>
                <w:highlight w:val="none"/>
                <w:lang w:val="en-US" w:eastAsia="zh-CN" w:bidi="ar-SA"/>
              </w:rPr>
              <w:t>6</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sz w:val="21"/>
                <w:szCs w:val="21"/>
                <w:highlight w:val="none"/>
                <w:lang w:eastAsia="zh-CN"/>
              </w:rPr>
              <w:t>测试过程中软件实时显示各测试模块连接情况，保证数据上传的稳定性</w:t>
            </w: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S</w:t>
            </w:r>
            <w:r>
              <w:rPr>
                <w:rFonts w:hint="eastAsia" w:ascii="宋体" w:hAnsi="宋体" w:eastAsia="宋体" w:cs="宋体"/>
                <w:b w:val="0"/>
                <w:bCs w:val="0"/>
                <w:color w:val="auto"/>
                <w:sz w:val="21"/>
                <w:szCs w:val="21"/>
                <w:highlight w:val="none"/>
                <w:lang w:eastAsia="zh-CN"/>
              </w:rPr>
              <w:t>ARC-CalF量表，问卷电子化管理，可直接选填并提交问卷。</w:t>
            </w:r>
            <w:r>
              <w:rPr>
                <w:rFonts w:hint="eastAsia" w:ascii="宋体" w:hAnsi="宋体" w:eastAsia="宋体" w:cs="宋体"/>
                <w:b w:val="0"/>
                <w:bCs w:val="0"/>
                <w:color w:val="auto"/>
                <w:sz w:val="21"/>
                <w:szCs w:val="21"/>
                <w:highlight w:val="none"/>
                <w:lang w:val="en-US" w:eastAsia="zh-CN"/>
              </w:rPr>
              <w:t>小腿围度测试，采用</w:t>
            </w:r>
            <w:r>
              <w:rPr>
                <w:rFonts w:hint="eastAsia" w:ascii="宋体" w:hAnsi="宋体" w:eastAsia="宋体" w:cs="宋体"/>
                <w:b w:val="0"/>
                <w:bCs w:val="0"/>
                <w:color w:val="auto"/>
                <w:sz w:val="21"/>
                <w:szCs w:val="21"/>
                <w:highlight w:val="none"/>
                <w:lang w:eastAsia="zh-CN"/>
              </w:rPr>
              <w:t>智能电子软尺，可进行维度及直线测量，一键数据上传。握力测试仪，</w:t>
            </w:r>
            <w:r>
              <w:rPr>
                <w:rFonts w:hint="eastAsia" w:ascii="宋体" w:hAnsi="宋体" w:eastAsia="宋体" w:cs="宋体"/>
                <w:b w:val="0"/>
                <w:bCs w:val="0"/>
                <w:color w:val="auto"/>
                <w:sz w:val="21"/>
                <w:szCs w:val="21"/>
                <w:highlight w:val="none"/>
                <w:lang w:val="en-US" w:eastAsia="zh-CN"/>
              </w:rPr>
              <w:t>测试数据可直接上传软件系统。</w:t>
            </w:r>
          </w:p>
          <w:p w14:paraId="51C860C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kern w:val="2"/>
                <w:sz w:val="21"/>
                <w:szCs w:val="21"/>
                <w:highlight w:val="none"/>
                <w:lang w:val="en-US" w:eastAsia="zh-CN" w:bidi="ar-SA"/>
              </w:rPr>
              <w:t>7</w:t>
            </w: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eastAsia="zh-CN"/>
              </w:rPr>
              <w:t>步速测试仪，</w:t>
            </w:r>
            <w:r>
              <w:rPr>
                <w:rFonts w:hint="eastAsia" w:ascii="宋体" w:hAnsi="宋体" w:eastAsia="宋体" w:cs="宋体"/>
                <w:b/>
                <w:bCs/>
                <w:color w:val="auto"/>
                <w:sz w:val="21"/>
                <w:szCs w:val="21"/>
                <w:highlight w:val="none"/>
                <w:lang w:val="en-US" w:eastAsia="zh-CN"/>
              </w:rPr>
              <w:t>可进行6米步速测试和4米定时走测试。</w:t>
            </w:r>
            <w:r>
              <w:rPr>
                <w:rFonts w:hint="eastAsia" w:ascii="宋体" w:hAnsi="宋体" w:eastAsia="宋体" w:cs="宋体"/>
                <w:b/>
                <w:bCs/>
                <w:color w:val="auto"/>
                <w:sz w:val="21"/>
                <w:szCs w:val="21"/>
                <w:highlight w:val="none"/>
                <w:lang w:eastAsia="zh-CN"/>
              </w:rPr>
              <w:t>第二次测试可切换起点、终点位置。</w:t>
            </w:r>
          </w:p>
          <w:p w14:paraId="471B402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kern w:val="2"/>
                <w:sz w:val="21"/>
                <w:szCs w:val="21"/>
                <w:highlight w:val="none"/>
                <w:lang w:val="en-US" w:eastAsia="zh-CN" w:bidi="ar-SA"/>
              </w:rPr>
              <w:t>8</w:t>
            </w: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eastAsia="zh-CN"/>
              </w:rPr>
              <w:t>坐起测试仪，可用于5次坐起测试和起立行走计时测试；有保护扶手</w:t>
            </w:r>
            <w:r>
              <w:rPr>
                <w:rFonts w:hint="eastAsia" w:ascii="宋体" w:hAnsi="宋体" w:cs="宋体"/>
                <w:b/>
                <w:bCs/>
                <w:color w:val="auto"/>
                <w:sz w:val="21"/>
                <w:szCs w:val="21"/>
                <w:highlight w:val="none"/>
                <w:lang w:eastAsia="zh-CN"/>
              </w:rPr>
              <w:t>。</w:t>
            </w:r>
          </w:p>
          <w:p w14:paraId="57223FA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9</w:t>
            </w:r>
            <w:r>
              <w:rPr>
                <w:rFonts w:hint="eastAsia" w:ascii="宋体" w:hAnsi="宋体" w:eastAsia="宋体" w:cs="宋体"/>
                <w:b w:val="0"/>
                <w:bCs w:val="0"/>
                <w:color w:val="auto"/>
                <w:kern w:val="2"/>
                <w:sz w:val="21"/>
                <w:szCs w:val="21"/>
                <w:highlight w:val="none"/>
                <w:lang w:val="en-US" w:eastAsia="zh-CN" w:bidi="ar-SA"/>
              </w:rPr>
              <w:t>.平衡测试仪，采用柔性阵列传感器；支持自动判断及计时模式；测试面为防滑材质</w:t>
            </w:r>
            <w:r>
              <w:rPr>
                <w:rFonts w:hint="eastAsia" w:ascii="宋体" w:hAnsi="宋体" w:cs="宋体"/>
                <w:b w:val="0"/>
                <w:bCs w:val="0"/>
                <w:color w:val="auto"/>
                <w:kern w:val="2"/>
                <w:sz w:val="21"/>
                <w:szCs w:val="21"/>
                <w:highlight w:val="none"/>
                <w:lang w:val="en-US" w:eastAsia="zh-CN" w:bidi="ar-SA"/>
              </w:rPr>
              <w:t>，具</w:t>
            </w:r>
            <w:r>
              <w:rPr>
                <w:rFonts w:hint="eastAsia" w:ascii="宋体" w:hAnsi="宋体" w:eastAsia="宋体" w:cs="宋体"/>
                <w:b w:val="0"/>
                <w:bCs w:val="0"/>
                <w:color w:val="auto"/>
                <w:kern w:val="2"/>
                <w:sz w:val="21"/>
                <w:szCs w:val="21"/>
                <w:highlight w:val="none"/>
                <w:lang w:val="en-US" w:eastAsia="zh-CN" w:bidi="ar-SA"/>
              </w:rPr>
              <w:t>有测试动作引导标志。</w:t>
            </w:r>
          </w:p>
          <w:p w14:paraId="173CF20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cs="宋体"/>
                <w:b w:val="0"/>
                <w:bCs w:val="0"/>
                <w:color w:val="auto"/>
                <w:kern w:val="2"/>
                <w:sz w:val="21"/>
                <w:szCs w:val="21"/>
                <w:highlight w:val="none"/>
                <w:lang w:val="en-US" w:eastAsia="zh-CN" w:bidi="ar-SA"/>
              </w:rPr>
              <w:t>0</w:t>
            </w:r>
            <w:r>
              <w:rPr>
                <w:rFonts w:hint="eastAsia" w:ascii="宋体" w:hAnsi="宋体" w:eastAsia="宋体" w:cs="宋体"/>
                <w:b w:val="0"/>
                <w:bCs w:val="0"/>
                <w:color w:val="auto"/>
                <w:kern w:val="2"/>
                <w:sz w:val="21"/>
                <w:szCs w:val="21"/>
                <w:highlight w:val="none"/>
                <w:lang w:val="en-US" w:eastAsia="zh-CN" w:bidi="ar-SA"/>
              </w:rPr>
              <w:t>.人体成分分析仪</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测量方法：生物电阻抗测量方法（BIA），8点接触式电极；测试部位：5个节段部分测量（右上肢、左上肢、躯干、右下肢、左下肢）；测量频率：≥3个频率；测量电流：350μA；测量时间：约1分钟；输出值：总水分、蛋白质、无机盐、体脂肪量、体重、肌肉量、去脂体重、骨骼肌肉量、身体质量指数、体脂肪率、腰臀比、内脏脂肪阶段、体重控制、体型判定、营养评估、肌肉评估等；显示屏≥7</w:t>
            </w:r>
            <w:r>
              <w:rPr>
                <w:rFonts w:hint="eastAsia" w:ascii="宋体" w:hAnsi="宋体" w:cs="宋体"/>
                <w:b w:val="0"/>
                <w:bCs w:val="0"/>
                <w:color w:val="auto"/>
                <w:kern w:val="2"/>
                <w:sz w:val="21"/>
                <w:szCs w:val="21"/>
                <w:highlight w:val="none"/>
                <w:lang w:val="en-US" w:eastAsia="zh-CN" w:bidi="ar-SA"/>
              </w:rPr>
              <w:t>英</w:t>
            </w:r>
            <w:r>
              <w:rPr>
                <w:rFonts w:hint="eastAsia" w:ascii="宋体" w:hAnsi="宋体" w:eastAsia="宋体" w:cs="宋体"/>
                <w:b w:val="0"/>
                <w:bCs w:val="0"/>
                <w:color w:val="auto"/>
                <w:kern w:val="2"/>
                <w:sz w:val="21"/>
                <w:szCs w:val="21"/>
                <w:highlight w:val="none"/>
                <w:lang w:val="en-US" w:eastAsia="zh-CN" w:bidi="ar-SA"/>
              </w:rPr>
              <w:t>寸液晶触摸屏。</w:t>
            </w:r>
          </w:p>
          <w:p w14:paraId="070EDB7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w:t>
            </w:r>
            <w:r>
              <w:rPr>
                <w:rFonts w:hint="eastAsia" w:ascii="宋体" w:hAnsi="宋体" w:eastAsia="宋体" w:cs="宋体"/>
                <w:b/>
                <w:bCs/>
                <w:color w:val="auto"/>
                <w:sz w:val="21"/>
                <w:szCs w:val="21"/>
                <w:highlight w:val="none"/>
                <w:lang w:val="en-US" w:eastAsia="zh-CN"/>
              </w:rPr>
              <w:t>1</w:t>
            </w: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.配置清单：</w:t>
            </w:r>
          </w:p>
          <w:p w14:paraId="6BD5E5C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eastAsia="zh-CN"/>
              </w:rPr>
              <w:t>智能肌少症与跌倒风险测评系统软件1套。</w:t>
            </w:r>
          </w:p>
          <w:p w14:paraId="2B2E912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人体成分分析仪1台。</w:t>
            </w:r>
          </w:p>
          <w:p w14:paraId="2FB7B14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eastAsia="zh-CN"/>
              </w:rPr>
              <w:t>智能电子尺1个。</w:t>
            </w:r>
          </w:p>
          <w:p w14:paraId="62A7BA4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eastAsia="zh-CN"/>
              </w:rPr>
              <w:t>握力测试仪1个。</w:t>
            </w:r>
          </w:p>
          <w:p w14:paraId="591FC6B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eastAsia="zh-CN"/>
              </w:rPr>
              <w:t>步速测试仪1个。</w:t>
            </w:r>
          </w:p>
          <w:p w14:paraId="64E4961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eastAsia="zh-CN"/>
              </w:rPr>
              <w:t>坐站测试仪1个。</w:t>
            </w:r>
          </w:p>
          <w:p w14:paraId="0F2492B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平衡测试仪1个。</w:t>
            </w:r>
          </w:p>
          <w:p w14:paraId="5DE5211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设计</w:t>
            </w:r>
            <w:r>
              <w:rPr>
                <w:rFonts w:hint="eastAsia" w:ascii="宋体" w:hAnsi="宋体" w:cs="宋体"/>
                <w:b/>
                <w:bCs/>
                <w:color w:val="auto"/>
                <w:sz w:val="21"/>
                <w:szCs w:val="21"/>
                <w:highlight w:val="none"/>
                <w:lang w:eastAsia="zh-CN"/>
              </w:rPr>
              <w:t>使用年限</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年</w:t>
            </w:r>
            <w:r>
              <w:rPr>
                <w:rFonts w:hint="eastAsia" w:ascii="宋体" w:hAnsi="宋体" w:eastAsia="宋体" w:cs="宋体"/>
                <w:b w:val="0"/>
                <w:bCs w:val="0"/>
                <w:color w:val="auto"/>
                <w:sz w:val="21"/>
                <w:szCs w:val="21"/>
                <w:highlight w:val="none"/>
                <w:lang w:eastAsia="zh-CN"/>
              </w:rPr>
              <w:t>。</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4F55B79">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753" w:type="dxa"/>
            <w:tcBorders>
              <w:top w:val="single" w:color="auto" w:sz="4" w:space="0"/>
              <w:left w:val="single" w:color="auto" w:sz="4" w:space="0"/>
              <w:bottom w:val="single" w:color="auto" w:sz="4" w:space="0"/>
              <w:right w:val="single" w:color="auto" w:sz="4" w:space="0"/>
            </w:tcBorders>
            <w:noWrap w:val="0"/>
            <w:vAlign w:val="center"/>
          </w:tcPr>
          <w:p w14:paraId="0C4BDDAB">
            <w:pPr>
              <w:wordWrap w:val="0"/>
              <w:adjustRightInd w:val="0"/>
              <w:snapToGrid w:val="0"/>
              <w:jc w:val="center"/>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套</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52B27443">
            <w:pPr>
              <w:wordWrap w:val="0"/>
              <w:adjustRightInd w:val="0"/>
              <w:snapToGrid w:val="0"/>
              <w:jc w:val="center"/>
              <w:rPr>
                <w:rFonts w:hint="default" w:ascii="宋体" w:hAnsi="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349000.00</w:t>
            </w:r>
          </w:p>
        </w:tc>
      </w:tr>
      <w:tr w14:paraId="4F25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719BCF4A">
            <w:pPr>
              <w:tabs>
                <w:tab w:val="left" w:pos="180"/>
                <w:tab w:val="left" w:pos="1620"/>
              </w:tabs>
              <w:adjustRightInd w:val="0"/>
              <w:snapToGrid w:val="0"/>
              <w:spacing w:line="360" w:lineRule="exact"/>
              <w:jc w:val="left"/>
              <w:rPr>
                <w:rFonts w:hint="default" w:ascii="宋体" w:hAnsi="宋体" w:eastAsia="宋体" w:cs="宋体"/>
                <w:color w:val="auto"/>
                <w:szCs w:val="21"/>
                <w:highlight w:val="none"/>
                <w:lang w:val="en-US" w:eastAsia="zh-CN"/>
              </w:rPr>
            </w:pPr>
            <w:r>
              <w:rPr>
                <w:rFonts w:hint="eastAsia" w:ascii="宋体" w:hAnsi="宋体" w:cs="宋体"/>
                <w:b/>
                <w:bCs/>
                <w:color w:val="auto"/>
                <w:szCs w:val="21"/>
                <w:highlight w:val="none"/>
                <w:lang w:val="en-US" w:eastAsia="zh-CN"/>
              </w:rPr>
              <w:t>二、核心产品：本项目核心产品为第1项号标的“内镜清洗工作站”。</w:t>
            </w:r>
          </w:p>
        </w:tc>
      </w:tr>
      <w:tr w14:paraId="080B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4C56AB40">
            <w:pPr>
              <w:wordWrap w:val="0"/>
              <w:adjustRightInd w:val="0"/>
              <w:snapToGrid w:val="0"/>
              <w:spacing w:line="300" w:lineRule="exact"/>
              <w:jc w:val="left"/>
              <w:textAlignment w:val="center"/>
              <w:rPr>
                <w:rFonts w:ascii="宋体" w:hAnsi="宋体" w:cs="宋体"/>
                <w:b/>
                <w:color w:val="auto"/>
                <w:szCs w:val="21"/>
                <w:highlight w:val="none"/>
              </w:rPr>
            </w:pPr>
            <w:r>
              <w:rPr>
                <w:rFonts w:hint="eastAsia" w:ascii="宋体" w:hAnsi="宋体" w:cs="宋体"/>
                <w:b/>
                <w:color w:val="auto"/>
                <w:kern w:val="0"/>
                <w:szCs w:val="21"/>
                <w:highlight w:val="none"/>
              </w:rPr>
              <w:t>▲</w:t>
            </w:r>
            <w:r>
              <w:rPr>
                <w:rFonts w:hint="eastAsia" w:ascii="宋体" w:hAnsi="宋体" w:cs="宋体"/>
                <w:b/>
                <w:color w:val="auto"/>
                <w:szCs w:val="21"/>
                <w:highlight w:val="none"/>
                <w:lang w:val="en-US" w:eastAsia="zh-CN"/>
              </w:rPr>
              <w:t>三</w:t>
            </w:r>
            <w:r>
              <w:rPr>
                <w:rFonts w:hint="eastAsia" w:ascii="宋体" w:hAnsi="宋体" w:cs="宋体"/>
                <w:b/>
                <w:color w:val="auto"/>
                <w:szCs w:val="21"/>
                <w:highlight w:val="none"/>
              </w:rPr>
              <w:t>、商务要求</w:t>
            </w:r>
          </w:p>
        </w:tc>
      </w:tr>
      <w:tr w14:paraId="119F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17E16D6">
            <w:pPr>
              <w:wordWrap w:val="0"/>
              <w:adjustRightInd w:val="0"/>
              <w:snapToGrid w:val="0"/>
              <w:spacing w:line="300" w:lineRule="exact"/>
              <w:jc w:val="center"/>
              <w:textAlignment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（一）售后服务</w:t>
            </w:r>
            <w:r>
              <w:rPr>
                <w:rFonts w:hint="eastAsia" w:ascii="宋体" w:hAnsi="宋体" w:cs="宋体"/>
                <w:b/>
                <w:color w:val="auto"/>
                <w:szCs w:val="21"/>
                <w:highlight w:val="none"/>
                <w:lang w:val="en-US" w:eastAsia="zh-CN"/>
              </w:rPr>
              <w:t>基本要求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9EA1706">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投标人提供的以下售后服务均应包含在投标报价中，采购人不再就此另行支付任何费用：</w:t>
            </w:r>
          </w:p>
          <w:p w14:paraId="7E5A5B2E">
            <w:pPr>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eastAsia="zh-CN"/>
              </w:rPr>
              <w:t>按国家有关产品“三包”规定执行“三包”，质保期：整机质保期不少于3年（从验收合格之日起计算），第</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lang w:eastAsia="zh-CN"/>
              </w:rPr>
              <w:t>项号标的“智能肌少症与跌倒风险测评系统软件</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5</w:t>
            </w:r>
            <w:r>
              <w:rPr>
                <w:rFonts w:hint="eastAsia" w:ascii="宋体" w:hAnsi="宋体" w:cs="宋体"/>
                <w:b/>
                <w:color w:val="auto"/>
                <w:szCs w:val="21"/>
                <w:highlight w:val="none"/>
                <w:lang w:eastAsia="zh-CN"/>
              </w:rPr>
              <w:t>年内负责升级</w:t>
            </w:r>
            <w:r>
              <w:rPr>
                <w:rFonts w:hint="eastAsia" w:ascii="宋体" w:hAnsi="宋体" w:cs="宋体"/>
                <w:b/>
                <w:color w:val="auto"/>
                <w:szCs w:val="21"/>
                <w:highlight w:val="none"/>
              </w:rPr>
              <w:t>。</w:t>
            </w:r>
          </w:p>
          <w:p w14:paraId="61E540D9">
            <w:pPr>
              <w:wordWrap w:val="0"/>
              <w:spacing w:line="340" w:lineRule="exact"/>
              <w:rPr>
                <w:rFonts w:ascii="宋体" w:hAnsi="宋体" w:cs="宋体"/>
                <w:b/>
                <w:color w:val="auto"/>
                <w:szCs w:val="21"/>
                <w:highlight w:val="none"/>
              </w:rPr>
            </w:pPr>
            <w:r>
              <w:rPr>
                <w:rFonts w:hint="eastAsia" w:ascii="宋体" w:hAnsi="宋体" w:cs="宋体"/>
                <w:b/>
                <w:color w:val="auto"/>
                <w:szCs w:val="21"/>
                <w:highlight w:val="none"/>
              </w:rPr>
              <w:t>2.招标范围内的货物送货上门、安装调试合格；</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内提供上门维修以及更换零配件服务。如果需要更换配件的，要求更换的配件应与更换的品牌、类型相一致或者是同类同档次的替代品，后者需征得采购人同意。</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内提供技术培训服务，保证采购人使用人员正常操作产品的各种功能。</w:t>
            </w:r>
          </w:p>
          <w:p w14:paraId="395A77D8">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内接到报障电话应在1小时内给予响应，需要现场维修的，应在</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个小时内到达故障现场；一般问题应在到达后2小时内解决，重大问题或其他无法迅速解决的问题应在48小时内解决。</w:t>
            </w:r>
          </w:p>
          <w:p w14:paraId="5FC13EC2">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4.若产品自带软件的，则须提供</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内软件升级服务。</w:t>
            </w:r>
          </w:p>
          <w:p w14:paraId="5618CB7C">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5.在</w:t>
            </w:r>
            <w:r>
              <w:rPr>
                <w:rFonts w:hint="eastAsia" w:ascii="宋体" w:hAnsi="宋体" w:cs="宋体"/>
                <w:b/>
                <w:color w:val="auto"/>
                <w:szCs w:val="21"/>
                <w:highlight w:val="none"/>
                <w:lang w:eastAsia="zh-CN"/>
              </w:rPr>
              <w:t>质保期</w:t>
            </w:r>
            <w:r>
              <w:rPr>
                <w:rFonts w:hint="eastAsia" w:ascii="宋体" w:hAnsi="宋体" w:cs="宋体"/>
                <w:b/>
                <w:color w:val="auto"/>
                <w:szCs w:val="21"/>
                <w:highlight w:val="none"/>
              </w:rPr>
              <w:t>内因货物本身的质量问题发生故障，中标人应负责修理和更换零部件。对达不到技术要求者，根据实际情况，经双方协商，可按以下办法处理：</w:t>
            </w:r>
          </w:p>
          <w:p w14:paraId="32199610">
            <w:pPr>
              <w:wordWrap w:val="0"/>
              <w:spacing w:line="340" w:lineRule="exact"/>
              <w:jc w:val="left"/>
              <w:rPr>
                <w:rFonts w:ascii="宋体" w:hAnsi="宋体" w:cs="宋体"/>
                <w:b/>
                <w:color w:val="auto"/>
                <w:szCs w:val="21"/>
                <w:highlight w:val="none"/>
              </w:rPr>
            </w:pPr>
            <w:r>
              <w:rPr>
                <w:rFonts w:hint="eastAsia" w:ascii="宋体" w:hAnsi="宋体" w:cs="宋体"/>
                <w:b/>
                <w:color w:val="auto"/>
                <w:szCs w:val="21"/>
                <w:highlight w:val="none"/>
              </w:rPr>
              <w:t>①更换：由中标人承担所有发生的全部费用。</w:t>
            </w:r>
          </w:p>
          <w:p w14:paraId="10445E7A">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hint="default" w:ascii="宋体" w:hAnsi="宋体" w:eastAsia="宋体" w:cs="宋体"/>
                <w:b/>
                <w:bCs w:val="0"/>
                <w:color w:val="auto"/>
                <w:szCs w:val="21"/>
                <w:highlight w:val="none"/>
                <w:lang w:val="en-US" w:eastAsia="zh-CN"/>
              </w:rPr>
            </w:pPr>
            <w:r>
              <w:rPr>
                <w:rFonts w:hint="eastAsia" w:ascii="宋体" w:hAnsi="宋体" w:cs="宋体"/>
                <w:b/>
                <w:color w:val="auto"/>
                <w:szCs w:val="21"/>
                <w:highlight w:val="none"/>
              </w:rPr>
              <w:t>②退货处理：中标人应退还采购人支付的合同款，同时应承担该货物的直接费用（运输、保险、检验、贷款利息及银行手续费等）。</w:t>
            </w:r>
          </w:p>
        </w:tc>
      </w:tr>
      <w:tr w14:paraId="7EBC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042BC60D">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（二）交付时间和地点</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4DC4276">
            <w:pPr>
              <w:keepNext w:val="0"/>
              <w:keepLines w:val="0"/>
              <w:pageBreakBefore w:val="0"/>
              <w:widowControl w:val="0"/>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cs="宋体"/>
                <w:b/>
                <w:color w:val="auto"/>
                <w:szCs w:val="21"/>
                <w:highlight w:val="none"/>
              </w:rPr>
              <w:t>1.交付时间：自签订合同之日起</w:t>
            </w:r>
            <w:r>
              <w:rPr>
                <w:rFonts w:hint="eastAsia" w:ascii="宋体" w:hAnsi="宋体" w:cs="宋体"/>
                <w:b/>
                <w:color w:val="auto"/>
                <w:szCs w:val="21"/>
                <w:highlight w:val="none"/>
                <w:lang w:val="en-US" w:eastAsia="zh-CN"/>
              </w:rPr>
              <w:t>20个工作日</w:t>
            </w:r>
            <w:r>
              <w:rPr>
                <w:rFonts w:hint="eastAsia" w:ascii="宋体" w:hAnsi="宋体" w:cs="宋体"/>
                <w:b/>
                <w:color w:val="auto"/>
                <w:szCs w:val="21"/>
                <w:highlight w:val="none"/>
              </w:rPr>
              <w:t>内到货并全部安装调试合格完毕。</w:t>
            </w:r>
          </w:p>
          <w:p w14:paraId="3C6B46CB">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2.交付地点：广西桂林市内采购人指定地点</w:t>
            </w:r>
            <w:r>
              <w:rPr>
                <w:rFonts w:hint="eastAsia" w:ascii="宋体" w:hAnsi="宋体" w:cs="宋体"/>
                <w:b/>
                <w:color w:val="auto"/>
                <w:szCs w:val="21"/>
                <w:highlight w:val="none"/>
                <w:lang w:eastAsia="zh-CN"/>
              </w:rPr>
              <w:t>（桂林市中西医结合医院内）</w:t>
            </w:r>
            <w:r>
              <w:rPr>
                <w:rFonts w:hint="eastAsia" w:ascii="宋体" w:hAnsi="宋体" w:cs="宋体"/>
                <w:b/>
                <w:color w:val="auto"/>
                <w:szCs w:val="21"/>
                <w:highlight w:val="none"/>
              </w:rPr>
              <w:t>。</w:t>
            </w:r>
          </w:p>
        </w:tc>
      </w:tr>
      <w:tr w14:paraId="7C65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8CB990E">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（三）付款方式</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5C069B5">
            <w:pPr>
              <w:keepNext w:val="0"/>
              <w:keepLines w:val="0"/>
              <w:pageBreakBefore w:val="0"/>
              <w:widowControl w:val="0"/>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cs="宋体"/>
                <w:b/>
                <w:color w:val="auto"/>
                <w:szCs w:val="21"/>
                <w:highlight w:val="none"/>
              </w:rPr>
              <w:t>验收合格后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金额的50%，验收合格满</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年</w:t>
            </w:r>
            <w:r>
              <w:rPr>
                <w:rFonts w:hint="eastAsia" w:ascii="宋体" w:hAnsi="宋体" w:cs="宋体"/>
                <w:b/>
                <w:color w:val="auto"/>
                <w:szCs w:val="21"/>
                <w:highlight w:val="none"/>
                <w:lang w:eastAsia="zh-CN"/>
              </w:rPr>
              <w:t>后支付合同</w:t>
            </w:r>
            <w:r>
              <w:rPr>
                <w:rFonts w:hint="eastAsia" w:ascii="宋体" w:hAnsi="宋体" w:cs="宋体"/>
                <w:b/>
                <w:color w:val="auto"/>
                <w:szCs w:val="21"/>
                <w:highlight w:val="none"/>
              </w:rPr>
              <w:t>金额的45%，</w:t>
            </w:r>
            <w:r>
              <w:rPr>
                <w:rFonts w:hint="eastAsia" w:ascii="宋体" w:hAnsi="宋体" w:cs="宋体"/>
                <w:b/>
                <w:color w:val="auto"/>
                <w:szCs w:val="21"/>
                <w:highlight w:val="none"/>
                <w:lang w:eastAsia="zh-CN"/>
              </w:rPr>
              <w:t>所有设备质保期</w:t>
            </w:r>
            <w:r>
              <w:rPr>
                <w:rFonts w:hint="eastAsia" w:ascii="宋体" w:hAnsi="宋体" w:cs="宋体"/>
                <w:b/>
                <w:color w:val="auto"/>
                <w:szCs w:val="21"/>
                <w:highlight w:val="none"/>
              </w:rPr>
              <w:t>满后</w:t>
            </w:r>
            <w:r>
              <w:rPr>
                <w:rFonts w:hint="eastAsia" w:ascii="宋体" w:hAnsi="宋体" w:cs="宋体"/>
                <w:b/>
                <w:color w:val="auto"/>
                <w:szCs w:val="21"/>
                <w:highlight w:val="none"/>
                <w:lang w:eastAsia="zh-CN"/>
              </w:rPr>
              <w:t>支付合同</w:t>
            </w:r>
            <w:r>
              <w:rPr>
                <w:rFonts w:hint="eastAsia" w:ascii="宋体" w:hAnsi="宋体" w:cs="宋体"/>
                <w:b/>
                <w:color w:val="auto"/>
                <w:szCs w:val="21"/>
                <w:highlight w:val="none"/>
              </w:rPr>
              <w:t>金额的5%（无息）。</w:t>
            </w:r>
          </w:p>
        </w:tc>
      </w:tr>
      <w:tr w14:paraId="3173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77CDEDD">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（四）包装和运输</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6660990F">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1.原厂原包装，包装完好完整、无破损、未开封。</w:t>
            </w:r>
          </w:p>
          <w:p w14:paraId="587D36F3">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2.包装及运输方式应综合考虑运输距离、防潮、防震、防锈和防破损装卸等要求。</w:t>
            </w:r>
          </w:p>
          <w:p w14:paraId="3DBC6B7D">
            <w:pPr>
              <w:wordWrap w:val="0"/>
              <w:adjustRightInd w:val="0"/>
              <w:snapToGrid w:val="0"/>
              <w:spacing w:line="340" w:lineRule="exact"/>
              <w:textAlignment w:val="center"/>
              <w:rPr>
                <w:rFonts w:ascii="宋体" w:hAnsi="宋体" w:cs="宋体"/>
                <w:b/>
                <w:color w:val="auto"/>
                <w:szCs w:val="21"/>
                <w:highlight w:val="none"/>
              </w:rPr>
            </w:pPr>
            <w:r>
              <w:rPr>
                <w:rFonts w:hint="eastAsia" w:ascii="宋体" w:hAnsi="宋体" w:cs="宋体"/>
                <w:b/>
                <w:color w:val="auto"/>
                <w:szCs w:val="21"/>
                <w:highlight w:val="none"/>
              </w:rPr>
              <w:t>3.国家对包装及运输有相关强制性标准或要求的，中标人应当执行。</w:t>
            </w:r>
          </w:p>
          <w:p w14:paraId="1B93E8C8">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4.产品（含包装）运抵采购人指定交付地点前发生损坏的，相关损失由中标人自行承担。</w:t>
            </w:r>
          </w:p>
        </w:tc>
      </w:tr>
      <w:tr w14:paraId="01C8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D6EE130">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（五）保险</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42BF162E">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cs="宋体"/>
                <w:b/>
                <w:color w:val="auto"/>
                <w:szCs w:val="21"/>
                <w:highlight w:val="none"/>
              </w:rPr>
              <w:t>若投标人为本项目标的及标的涉及的相关材料、设备、人员、运输等购买保险的，相关费用由投标人自行承担。</w:t>
            </w:r>
          </w:p>
        </w:tc>
      </w:tr>
      <w:tr w14:paraId="5C90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6A31CC3B">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（六）验收标准</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751D8547">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1.中标人提供的产品必须符合国家、行业强制执行的相关质量标准要求以及产品制造厂家合格产品的出厂质量标准。</w:t>
            </w:r>
          </w:p>
          <w:p w14:paraId="366D266E">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设备须全新、完好、无破损，产品到货后，采购人现场根据招标文件要求、投标文件承诺以及国家相关标准、地方标准进行验收，必要时，采购人有权邀请国家质量监督检验部门或国家认可的检测机构参与共同验收。如产品不满足投标文件要求、中标人投标文件承诺或国家、行业强制执行的相关质量标准要求以及产品制造厂家合格产品的出厂质量标准，采购人有权不予验收</w:t>
            </w:r>
            <w:r>
              <w:rPr>
                <w:rFonts w:hint="eastAsia" w:ascii="宋体" w:hAnsi="宋体" w:cs="宋体"/>
                <w:b/>
                <w:color w:val="auto"/>
                <w:sz w:val="21"/>
                <w:szCs w:val="21"/>
                <w:highlight w:val="none"/>
                <w:lang w:eastAsia="zh-CN"/>
              </w:rPr>
              <w:t>并有权终止合同</w:t>
            </w:r>
            <w:r>
              <w:rPr>
                <w:rFonts w:hint="eastAsia" w:ascii="宋体" w:hAnsi="宋体" w:eastAsia="宋体" w:cs="宋体"/>
                <w:b/>
                <w:color w:val="auto"/>
                <w:sz w:val="21"/>
                <w:szCs w:val="21"/>
                <w:highlight w:val="none"/>
              </w:rPr>
              <w:t>，由此造成采购人的经济损失由中标人承担全部赔偿责任包括</w:t>
            </w:r>
            <w:r>
              <w:rPr>
                <w:rFonts w:hint="eastAsia" w:ascii="宋体" w:hAnsi="宋体" w:eastAsia="宋体" w:cs="宋体"/>
                <w:b/>
                <w:color w:val="auto"/>
                <w:sz w:val="21"/>
                <w:szCs w:val="21"/>
                <w:highlight w:val="none"/>
                <w:lang w:eastAsia="zh-CN"/>
              </w:rPr>
              <w:t>但</w:t>
            </w:r>
            <w:r>
              <w:rPr>
                <w:rFonts w:hint="eastAsia" w:ascii="宋体" w:hAnsi="宋体" w:eastAsia="宋体" w:cs="宋体"/>
                <w:b/>
                <w:color w:val="auto"/>
                <w:sz w:val="21"/>
                <w:szCs w:val="21"/>
                <w:highlight w:val="none"/>
              </w:rPr>
              <w:t>不限于采购人的经济损失及律师费、诉讼费、鉴定费等。</w:t>
            </w:r>
          </w:p>
          <w:p w14:paraId="6F98B8A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中标人必须于供货时向采购人提供所投医疗器械产品由行政主管部门核准资格文件、产品注册时的检测检验报告书，产品彩页或参数说明书等资料材料，以便核实相关技术参数，否则不予验收，中标人应承担逾期交货违约责任。</w:t>
            </w:r>
          </w:p>
          <w:p w14:paraId="0E6CCF0B">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4.中标人交货前应对产品做出全面的检查和对验收文件进行整理，并列出清单，作为采购人验收和使用的技术条件依据，验收的结果应随货物交采购人。</w:t>
            </w:r>
          </w:p>
          <w:p w14:paraId="7D1C802D">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5.采购人依据招标文件的技术规格要求和国家有关质量标准对货物进行现场初步验收，外观、说明书符合招标文件技术要求的，给予签收，初步验收不合格的不予签收。货到后，采购人应当在到货（安装、调试</w:t>
            </w:r>
            <w:r>
              <w:rPr>
                <w:rFonts w:hint="eastAsia" w:ascii="宋体" w:hAnsi="宋体" w:cs="宋体"/>
                <w:b/>
                <w:color w:val="auto"/>
                <w:sz w:val="21"/>
                <w:szCs w:val="21"/>
                <w:highlight w:val="none"/>
                <w:lang w:eastAsia="zh-CN"/>
              </w:rPr>
              <w:t>完成</w:t>
            </w:r>
            <w:r>
              <w:rPr>
                <w:rFonts w:hint="eastAsia" w:ascii="宋体" w:hAnsi="宋体" w:eastAsia="宋体" w:cs="宋体"/>
                <w:b/>
                <w:color w:val="auto"/>
                <w:sz w:val="21"/>
                <w:szCs w:val="21"/>
                <w:highlight w:val="none"/>
              </w:rPr>
              <w:t xml:space="preserve">）后七个工作日内进行验收。验收合格后由双方签署货物验收单并加盖公章，双方各执一份。 </w:t>
            </w:r>
          </w:p>
          <w:p w14:paraId="26687160">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6.采购人对中标人提供的货物在使用前进行调试时，投标人须负责安装并培训采购人的使用人员，并协助采购人一起调试，直到符合技术要求，采购人予以最终验收。</w:t>
            </w:r>
          </w:p>
          <w:p w14:paraId="5EF317CB">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7.对技术复杂的货物，采购人应请国家认可的专业检测机构参与初步验收及最终验收，并由其出具质量检测报告。</w:t>
            </w:r>
          </w:p>
          <w:p w14:paraId="4F10789F">
            <w:pPr>
              <w:keepNext w:val="0"/>
              <w:keepLines w:val="0"/>
              <w:pageBreakBefore w:val="0"/>
              <w:widowControl w:val="0"/>
              <w:kinsoku/>
              <w:wordWrap w:val="0"/>
              <w:overflowPunct/>
              <w:topLinePunct w:val="0"/>
              <w:autoSpaceDE/>
              <w:autoSpaceDN/>
              <w:bidi w:val="0"/>
              <w:adjustRightInd w:val="0"/>
              <w:snapToGrid w:val="0"/>
              <w:spacing w:line="400" w:lineRule="exact"/>
              <w:textAlignment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8.验收时中标人必须在现场，验收完毕后做出验收结果报告，验收费用由中标人负责。</w:t>
            </w:r>
          </w:p>
          <w:p w14:paraId="4145816B">
            <w:pPr>
              <w:keepNext w:val="0"/>
              <w:keepLines w:val="0"/>
              <w:pageBreakBefore w:val="0"/>
              <w:widowControl w:val="0"/>
              <w:kinsoku/>
              <w:wordWrap w:val="0"/>
              <w:overflowPunct/>
              <w:topLinePunct w:val="0"/>
              <w:autoSpaceDE/>
              <w:autoSpaceDN/>
              <w:bidi w:val="0"/>
              <w:adjustRightInd w:val="0"/>
              <w:snapToGrid w:val="0"/>
              <w:spacing w:line="380" w:lineRule="exact"/>
              <w:textAlignment w:val="center"/>
              <w:rPr>
                <w:rFonts w:ascii="宋体" w:hAnsi="宋体" w:cs="宋体"/>
                <w:b/>
                <w:color w:val="auto"/>
                <w:szCs w:val="21"/>
                <w:highlight w:val="none"/>
              </w:rPr>
            </w:pPr>
            <w:r>
              <w:rPr>
                <w:rFonts w:hint="eastAsia" w:ascii="宋体" w:hAnsi="宋体" w:eastAsia="宋体" w:cs="宋体"/>
                <w:b/>
                <w:color w:val="auto"/>
                <w:sz w:val="21"/>
                <w:szCs w:val="21"/>
                <w:highlight w:val="none"/>
              </w:rPr>
              <w:t>9.采购人对验收有异议的，在验收后7个工作日内以书面形式向中标人提出，中标人应自收到采购人书面异议后7日内及时予以解决。</w:t>
            </w:r>
          </w:p>
        </w:tc>
      </w:tr>
      <w:tr w14:paraId="41D5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052D8CF3">
            <w:pPr>
              <w:wordWrap w:val="0"/>
              <w:adjustRightInd w:val="0"/>
              <w:snapToGrid w:val="0"/>
              <w:spacing w:line="300" w:lineRule="exact"/>
              <w:jc w:val="center"/>
              <w:textAlignment w:val="center"/>
              <w:rPr>
                <w:rFonts w:ascii="宋体" w:hAnsi="宋体" w:cs="宋体"/>
                <w:b/>
                <w:color w:val="auto"/>
                <w:szCs w:val="21"/>
                <w:highlight w:val="none"/>
              </w:rPr>
            </w:pPr>
            <w:r>
              <w:rPr>
                <w:rFonts w:hint="eastAsia" w:ascii="宋体" w:hAnsi="宋体" w:cs="宋体"/>
                <w:b/>
                <w:color w:val="auto"/>
                <w:szCs w:val="21"/>
                <w:highlight w:val="none"/>
              </w:rPr>
              <w:t>（七）</w:t>
            </w:r>
            <w:r>
              <w:rPr>
                <w:rFonts w:hint="eastAsia" w:ascii="宋体" w:hAnsi="宋体" w:cs="新宋体"/>
                <w:b/>
                <w:color w:val="auto"/>
                <w:kern w:val="0"/>
                <w:szCs w:val="21"/>
                <w:highlight w:val="none"/>
              </w:rPr>
              <w:t>医疗器械注册证</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2E14C4B3">
            <w:pPr>
              <w:keepNext w:val="0"/>
              <w:keepLines w:val="0"/>
              <w:pageBreakBefore w:val="0"/>
              <w:widowControl w:val="0"/>
              <w:tabs>
                <w:tab w:val="left" w:pos="1305"/>
              </w:tabs>
              <w:kinsoku/>
              <w:wordWrap w:val="0"/>
              <w:overflowPunct/>
              <w:topLinePunct w:val="0"/>
              <w:autoSpaceDE/>
              <w:autoSpaceDN/>
              <w:bidi w:val="0"/>
              <w:spacing w:line="380" w:lineRule="exact"/>
              <w:rPr>
                <w:rFonts w:ascii="宋体" w:hAnsi="宋体" w:cs="宋体"/>
                <w:b/>
                <w:color w:val="auto"/>
                <w:szCs w:val="21"/>
                <w:highlight w:val="none"/>
              </w:rPr>
            </w:pPr>
            <w:r>
              <w:rPr>
                <w:rFonts w:hint="eastAsia" w:ascii="宋体" w:hAnsi="宋体"/>
                <w:b/>
                <w:color w:val="auto"/>
                <w:szCs w:val="21"/>
                <w:highlight w:val="none"/>
              </w:rPr>
              <w:t>投标人于投标文件中必须提供</w:t>
            </w:r>
            <w:r>
              <w:rPr>
                <w:rFonts w:hint="eastAsia" w:ascii="宋体" w:hAnsi="宋体"/>
                <w:b/>
                <w:color w:val="auto"/>
                <w:highlight w:val="none"/>
              </w:rPr>
              <w:t>所投</w:t>
            </w:r>
            <w:r>
              <w:rPr>
                <w:rFonts w:hint="eastAsia" w:asciiTheme="minorEastAsia" w:hAnsiTheme="minorEastAsia" w:eastAsiaTheme="minorEastAsia" w:cstheme="minorEastAsia"/>
                <w:b/>
                <w:color w:val="auto"/>
                <w:sz w:val="21"/>
                <w:szCs w:val="21"/>
                <w:highlight w:val="none"/>
                <w:lang w:val="en-US" w:eastAsia="zh-CN"/>
              </w:rPr>
              <w:t>第1项号标的“内镜清洗工作站”及第2项号标的“智能肌少症与跌倒风险测评系统”中的“人体成分分析仪”相</w:t>
            </w:r>
            <w:r>
              <w:rPr>
                <w:rFonts w:hint="eastAsia" w:ascii="宋体" w:hAnsi="宋体"/>
                <w:b/>
                <w:color w:val="auto"/>
                <w:szCs w:val="21"/>
                <w:highlight w:val="none"/>
              </w:rPr>
              <w:t>应有效的《中华人民共和国医疗器械注册证》复印件（必须包括产品相应的许可事项和登记事项，否则，应附注册登记表或认</w:t>
            </w:r>
            <w:r>
              <w:rPr>
                <w:rFonts w:hint="eastAsia" w:ascii="宋体" w:hAnsi="宋体"/>
                <w:b/>
                <w:color w:val="auto"/>
                <w:highlight w:val="none"/>
              </w:rPr>
              <w:t>可表资料，要求清晰反映相关内容）。</w:t>
            </w:r>
          </w:p>
        </w:tc>
      </w:tr>
      <w:tr w14:paraId="69E5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365E800A">
            <w:pPr>
              <w:wordWrap w:val="0"/>
              <w:adjustRightInd w:val="0"/>
              <w:snapToGrid w:val="0"/>
              <w:spacing w:line="320" w:lineRule="exact"/>
              <w:jc w:val="center"/>
              <w:rPr>
                <w:rFonts w:ascii="宋体" w:hAnsi="宋体"/>
                <w:b/>
                <w:color w:val="auto"/>
                <w:kern w:val="0"/>
                <w:highlight w:val="none"/>
              </w:rPr>
            </w:pPr>
            <w:r>
              <w:rPr>
                <w:rFonts w:hint="eastAsia" w:ascii="宋体" w:hAnsi="宋体" w:cs="宋体"/>
                <w:b/>
                <w:color w:val="auto"/>
                <w:kern w:val="0"/>
                <w:szCs w:val="21"/>
                <w:highlight w:val="none"/>
              </w:rPr>
              <w:t>（八）进口产品说明</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52417CB1">
            <w:pPr>
              <w:keepNext w:val="0"/>
              <w:keepLines w:val="0"/>
              <w:pageBreakBefore w:val="0"/>
              <w:widowControl w:val="0"/>
              <w:kinsoku/>
              <w:wordWrap w:val="0"/>
              <w:overflowPunct/>
              <w:topLinePunct w:val="0"/>
              <w:autoSpaceDE/>
              <w:autoSpaceDN/>
              <w:bidi w:val="0"/>
              <w:adjustRightInd w:val="0"/>
              <w:snapToGrid w:val="0"/>
              <w:spacing w:line="380" w:lineRule="exact"/>
              <w:jc w:val="left"/>
              <w:rPr>
                <w:rFonts w:ascii="宋体" w:hAnsi="宋体"/>
                <w:b/>
                <w:color w:val="auto"/>
                <w:szCs w:val="21"/>
                <w:highlight w:val="none"/>
              </w:rPr>
            </w:pPr>
            <w:r>
              <w:rPr>
                <w:rFonts w:hint="eastAsia" w:ascii="宋体" w:hAnsi="宋体"/>
                <w:b/>
                <w:color w:val="auto"/>
                <w:highlight w:val="none"/>
              </w:rPr>
              <w:t>本</w:t>
            </w:r>
            <w:r>
              <w:rPr>
                <w:rFonts w:hint="eastAsia" w:ascii="宋体" w:hAnsi="宋体"/>
                <w:b/>
                <w:color w:val="auto"/>
                <w:highlight w:val="none"/>
                <w:lang w:val="en-US" w:eastAsia="zh-CN"/>
              </w:rPr>
              <w:t>分标</w:t>
            </w:r>
            <w:r>
              <w:rPr>
                <w:rFonts w:hint="eastAsia" w:ascii="宋体" w:hAnsi="宋体"/>
                <w:b/>
                <w:color w:val="auto"/>
                <w:highlight w:val="none"/>
              </w:rPr>
              <w:t>所有标的均不接受进口产品（即通过中国海关报关验放进入中国境内且产自关境外的产品）参与投标，如有此类产品参与投标的作无效投标处理。</w:t>
            </w:r>
          </w:p>
        </w:tc>
      </w:tr>
      <w:tr w14:paraId="0A62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45FC8CE">
            <w:pPr>
              <w:wordWrap w:val="0"/>
              <w:adjustRightInd w:val="0"/>
              <w:snapToGrid w:val="0"/>
              <w:spacing w:line="320" w:lineRule="exact"/>
              <w:jc w:val="center"/>
              <w:rPr>
                <w:rFonts w:hint="eastAsia" w:ascii="宋体" w:hAnsi="宋体" w:eastAsia="宋体" w:cs="宋体"/>
                <w:b/>
                <w:color w:val="auto"/>
                <w:kern w:val="0"/>
                <w:szCs w:val="21"/>
                <w:highlight w:val="none"/>
                <w:lang w:eastAsia="zh-CN"/>
              </w:rPr>
            </w:pPr>
            <w:r>
              <w:rPr>
                <w:rFonts w:hint="eastAsia" w:ascii="宋体" w:hAnsi="宋体" w:eastAsia="宋体" w:cs="宋体"/>
                <w:b/>
                <w:color w:val="auto"/>
                <w:kern w:val="0"/>
                <w:szCs w:val="21"/>
                <w:highlight w:val="none"/>
              </w:rPr>
              <w:t>（</w:t>
            </w:r>
            <w:r>
              <w:rPr>
                <w:rFonts w:hint="eastAsia" w:ascii="宋体" w:hAnsi="宋体" w:eastAsia="宋体" w:cs="宋体"/>
                <w:b/>
                <w:color w:val="auto"/>
                <w:kern w:val="0"/>
                <w:szCs w:val="21"/>
                <w:highlight w:val="none"/>
                <w:lang w:val="en-US" w:eastAsia="zh-CN"/>
              </w:rPr>
              <w:t>九</w:t>
            </w:r>
            <w:r>
              <w:rPr>
                <w:rFonts w:hint="eastAsia" w:ascii="宋体" w:hAnsi="宋体" w:eastAsia="宋体" w:cs="宋体"/>
                <w:b/>
                <w:color w:val="auto"/>
                <w:kern w:val="0"/>
                <w:szCs w:val="21"/>
                <w:highlight w:val="none"/>
              </w:rPr>
              <w:t>）采</w:t>
            </w:r>
            <w:r>
              <w:rPr>
                <w:rFonts w:hint="eastAsia" w:ascii="宋体" w:hAnsi="宋体" w:cs="宋体"/>
                <w:b/>
                <w:color w:val="auto"/>
                <w:kern w:val="0"/>
                <w:szCs w:val="21"/>
                <w:highlight w:val="none"/>
              </w:rPr>
              <w:t>购预算</w:t>
            </w:r>
            <w:r>
              <w:rPr>
                <w:rFonts w:hint="eastAsia" w:ascii="宋体" w:hAnsi="宋体" w:cs="宋体"/>
                <w:b/>
                <w:color w:val="auto"/>
                <w:kern w:val="0"/>
                <w:szCs w:val="21"/>
                <w:highlight w:val="none"/>
                <w:lang w:eastAsia="zh-CN"/>
              </w:rPr>
              <w:t>、最高限价</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1F78E47F">
            <w:pPr>
              <w:keepNext w:val="0"/>
              <w:keepLines w:val="0"/>
              <w:pageBreakBefore w:val="0"/>
              <w:widowControl w:val="0"/>
              <w:kinsoku/>
              <w:wordWrap/>
              <w:overflowPunct/>
              <w:topLinePunct w:val="0"/>
              <w:autoSpaceDE/>
              <w:autoSpaceDN/>
              <w:bidi w:val="0"/>
              <w:spacing w:line="330" w:lineRule="exact"/>
              <w:textAlignment w:val="auto"/>
              <w:rPr>
                <w:rFonts w:ascii="宋体" w:hAnsi="宋体"/>
                <w:b/>
                <w:color w:val="auto"/>
                <w:szCs w:val="21"/>
                <w:highlight w:val="none"/>
              </w:rPr>
            </w:pPr>
            <w:r>
              <w:rPr>
                <w:rFonts w:hint="eastAsia" w:ascii="宋体" w:hAnsi="宋体"/>
                <w:b/>
                <w:color w:val="auto"/>
                <w:szCs w:val="21"/>
                <w:highlight w:val="none"/>
                <w:lang w:val="en-US" w:eastAsia="zh-CN"/>
              </w:rPr>
              <w:t>分标3采购预算金额为</w:t>
            </w:r>
            <w:r>
              <w:rPr>
                <w:rFonts w:hint="eastAsia" w:ascii="宋体" w:hAnsi="宋体" w:eastAsia="宋体" w:cs="宋体"/>
                <w:b/>
                <w:bCs w:val="0"/>
                <w:color w:val="auto"/>
                <w:sz w:val="21"/>
                <w:szCs w:val="21"/>
                <w:highlight w:val="none"/>
                <w:lang w:val="en-US" w:eastAsia="zh-CN"/>
              </w:rPr>
              <w:t>肆拾玖万元整（¥</w:t>
            </w:r>
            <w:r>
              <w:rPr>
                <w:rFonts w:hint="eastAsia" w:ascii="宋体" w:hAnsi="宋体"/>
                <w:b/>
                <w:bCs w:val="0"/>
                <w:color w:val="auto"/>
                <w:highlight w:val="none"/>
              </w:rPr>
              <w:t>490000</w:t>
            </w:r>
            <w:r>
              <w:rPr>
                <w:rFonts w:hint="eastAsia" w:ascii="宋体" w:hAnsi="宋体"/>
                <w:b/>
                <w:bCs w:val="0"/>
                <w:color w:val="auto"/>
                <w:highlight w:val="none"/>
                <w:lang w:val="en-US" w:eastAsia="zh-CN"/>
              </w:rPr>
              <w:t>.00</w:t>
            </w:r>
            <w:r>
              <w:rPr>
                <w:rFonts w:hint="eastAsia" w:ascii="宋体" w:hAnsi="宋体" w:eastAsia="宋体" w:cs="宋体"/>
                <w:b/>
                <w:bCs w:val="0"/>
                <w:color w:val="auto"/>
                <w:sz w:val="21"/>
                <w:szCs w:val="21"/>
                <w:highlight w:val="none"/>
                <w:lang w:val="en-US" w:eastAsia="zh-CN"/>
              </w:rPr>
              <w:t>）</w:t>
            </w:r>
            <w:r>
              <w:rPr>
                <w:rFonts w:hint="eastAsia" w:ascii="宋体" w:hAnsi="宋体" w:cs="宋体"/>
                <w:b/>
                <w:color w:val="auto"/>
                <w:sz w:val="21"/>
                <w:szCs w:val="21"/>
                <w:highlight w:val="none"/>
                <w:lang w:val="en-US" w:eastAsia="zh-CN"/>
              </w:rPr>
              <w:t>，</w:t>
            </w:r>
            <w:r>
              <w:rPr>
                <w:rFonts w:hint="eastAsia" w:ascii="宋体" w:hAnsi="宋体"/>
                <w:b/>
                <w:color w:val="auto"/>
                <w:szCs w:val="21"/>
                <w:highlight w:val="none"/>
                <w:lang w:val="en-US" w:eastAsia="zh-CN"/>
              </w:rPr>
              <w:t>最高限价金额为肆拾捌万捌仟元整（¥488000.00）</w:t>
            </w:r>
            <w:r>
              <w:rPr>
                <w:rFonts w:hint="eastAsia" w:ascii="宋体" w:hAnsi="宋体"/>
                <w:b/>
                <w:color w:val="auto"/>
                <w:szCs w:val="21"/>
                <w:highlight w:val="none"/>
                <w:lang w:val="en-US" w:eastAsia="zh-CN"/>
              </w:rPr>
              <w:t>，投标人所投分标</w:t>
            </w:r>
            <w:r>
              <w:rPr>
                <w:rFonts w:hint="eastAsia" w:ascii="宋体" w:hAnsi="宋体"/>
                <w:b/>
                <w:color w:val="auto"/>
                <w:szCs w:val="21"/>
                <w:highlight w:val="none"/>
              </w:rPr>
              <w:t>投标报价超过</w:t>
            </w:r>
            <w:r>
              <w:rPr>
                <w:rFonts w:hint="eastAsia" w:ascii="宋体" w:hAnsi="宋体"/>
                <w:b/>
                <w:color w:val="auto"/>
                <w:szCs w:val="21"/>
                <w:highlight w:val="none"/>
                <w:lang w:val="en-US" w:eastAsia="zh-CN"/>
              </w:rPr>
              <w:t>相应分标</w:t>
            </w:r>
            <w:r>
              <w:rPr>
                <w:rFonts w:hint="eastAsia" w:ascii="宋体" w:hAnsi="宋体"/>
                <w:b/>
                <w:color w:val="auto"/>
                <w:szCs w:val="21"/>
                <w:highlight w:val="none"/>
                <w:lang w:eastAsia="zh-CN"/>
              </w:rPr>
              <w:t>最高限价</w:t>
            </w:r>
            <w:r>
              <w:rPr>
                <w:rFonts w:hint="eastAsia" w:ascii="宋体" w:hAnsi="宋体"/>
                <w:b/>
                <w:color w:val="auto"/>
                <w:szCs w:val="21"/>
                <w:highlight w:val="none"/>
              </w:rPr>
              <w:t>金额的，投标文件作无效处理。</w:t>
            </w:r>
          </w:p>
        </w:tc>
      </w:tr>
      <w:tr w14:paraId="4744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905" w:type="dxa"/>
            <w:gridSpan w:val="7"/>
            <w:tcBorders>
              <w:top w:val="single" w:color="auto" w:sz="4" w:space="0"/>
              <w:left w:val="single" w:color="auto" w:sz="4" w:space="0"/>
              <w:bottom w:val="single" w:color="auto" w:sz="4" w:space="0"/>
              <w:right w:val="single" w:color="auto" w:sz="4" w:space="0"/>
            </w:tcBorders>
            <w:noWrap w:val="0"/>
            <w:vAlign w:val="center"/>
          </w:tcPr>
          <w:p w14:paraId="7F357623">
            <w:pPr>
              <w:keepNext w:val="0"/>
              <w:keepLines w:val="0"/>
              <w:pageBreakBefore w:val="0"/>
              <w:widowControl w:val="0"/>
              <w:kinsoku/>
              <w:wordWrap w:val="0"/>
              <w:overflowPunct/>
              <w:topLinePunct w:val="0"/>
              <w:autoSpaceDE/>
              <w:autoSpaceDN/>
              <w:bidi w:val="0"/>
              <w:adjustRightInd w:val="0"/>
              <w:snapToGrid w:val="0"/>
              <w:spacing w:line="380" w:lineRule="exact"/>
              <w:jc w:val="left"/>
              <w:textAlignment w:val="center"/>
              <w:rPr>
                <w:rFonts w:ascii="仿宋_GB2312" w:hAnsi="宋体" w:eastAsia="仿宋_GB2312"/>
                <w:color w:val="auto"/>
                <w:sz w:val="28"/>
                <w:szCs w:val="28"/>
                <w:highlight w:val="none"/>
              </w:rPr>
            </w:pPr>
            <w:r>
              <w:rPr>
                <w:rFonts w:hint="eastAsia" w:ascii="宋体" w:hAnsi="宋体" w:cs="宋体"/>
                <w:b/>
                <w:color w:val="auto"/>
                <w:szCs w:val="21"/>
                <w:highlight w:val="none"/>
                <w:lang w:val="en-US" w:eastAsia="zh-CN"/>
              </w:rPr>
              <w:t>四</w:t>
            </w:r>
            <w:r>
              <w:rPr>
                <w:rFonts w:hint="eastAsia" w:ascii="宋体" w:hAnsi="宋体" w:cs="宋体"/>
                <w:b/>
                <w:color w:val="auto"/>
                <w:szCs w:val="21"/>
                <w:highlight w:val="none"/>
              </w:rPr>
              <w:t>、与实现项目目标相关的其他要求</w:t>
            </w:r>
          </w:p>
        </w:tc>
      </w:tr>
      <w:tr w14:paraId="614F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73A2B151">
            <w:pPr>
              <w:wordWrap w:val="0"/>
              <w:adjustRightInd w:val="0"/>
              <w:snapToGrid w:val="0"/>
              <w:spacing w:line="320" w:lineRule="exact"/>
              <w:jc w:val="center"/>
              <w:rPr>
                <w:rFonts w:ascii="宋体" w:hAnsi="宋体"/>
                <w:bCs/>
                <w:color w:val="auto"/>
                <w:szCs w:val="21"/>
                <w:highlight w:val="none"/>
              </w:rPr>
            </w:pPr>
            <w:r>
              <w:rPr>
                <w:rFonts w:hint="eastAsia" w:hAnsi="宋体"/>
                <w:bCs/>
                <w:color w:val="auto"/>
                <w:highlight w:val="none"/>
              </w:rPr>
              <w:t>（</w:t>
            </w:r>
            <w:r>
              <w:rPr>
                <w:rFonts w:hint="eastAsia" w:ascii="宋体" w:hAnsi="宋体"/>
                <w:color w:val="auto"/>
                <w:szCs w:val="21"/>
                <w:highlight w:val="none"/>
              </w:rPr>
              <w:t>一）配送及安装实施方案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090588F1">
            <w:pPr>
              <w:wordWrap w:val="0"/>
              <w:adjustRightInd w:val="0"/>
              <w:snapToGrid w:val="0"/>
              <w:spacing w:line="340" w:lineRule="exact"/>
              <w:rPr>
                <w:rFonts w:hAnsi="宋体" w:cs="宋体"/>
                <w:b/>
                <w:color w:val="auto"/>
                <w:kern w:val="0"/>
                <w:szCs w:val="21"/>
                <w:highlight w:val="none"/>
              </w:rPr>
            </w:pPr>
            <w:r>
              <w:rPr>
                <w:rFonts w:hint="eastAsia" w:hAnsi="宋体" w:cs="宋体"/>
                <w:color w:val="auto"/>
                <w:kern w:val="0"/>
                <w:szCs w:val="21"/>
                <w:highlight w:val="none"/>
              </w:rPr>
              <w:t>投标人根据自身情况，可于投标文</w:t>
            </w:r>
            <w:r>
              <w:rPr>
                <w:rFonts w:hint="eastAsia" w:hAnsi="宋体" w:cs="宋体"/>
                <w:color w:val="auto"/>
                <w:kern w:val="0"/>
                <w:szCs w:val="21"/>
                <w:highlight w:val="none"/>
                <w:lang w:eastAsia="zh-CN"/>
              </w:rPr>
              <w:t>件中</w:t>
            </w:r>
            <w:r>
              <w:rPr>
                <w:rFonts w:hint="eastAsia" w:hAnsi="宋体" w:cs="宋体"/>
                <w:color w:val="auto"/>
                <w:kern w:val="0"/>
                <w:szCs w:val="21"/>
                <w:highlight w:val="none"/>
              </w:rPr>
              <w:t>提供</w:t>
            </w:r>
            <w:r>
              <w:rPr>
                <w:rFonts w:hint="eastAsia" w:ascii="宋体" w:hAnsi="宋体"/>
                <w:color w:val="auto"/>
                <w:szCs w:val="21"/>
                <w:highlight w:val="none"/>
              </w:rPr>
              <w:t>配送及安装实施方案</w:t>
            </w:r>
            <w:r>
              <w:rPr>
                <w:rFonts w:hint="eastAsia" w:hAnsi="宋体"/>
                <w:color w:val="auto"/>
                <w:spacing w:val="-4"/>
                <w:highlight w:val="none"/>
              </w:rPr>
              <w:t>，包含但不限于：</w:t>
            </w:r>
            <w:r>
              <w:rPr>
                <w:rFonts w:hint="eastAsia" w:hAnsi="宋体" w:cs="宋体"/>
                <w:color w:val="auto"/>
                <w:szCs w:val="21"/>
                <w:highlight w:val="none"/>
              </w:rPr>
              <w:t>①项</w:t>
            </w:r>
            <w:r>
              <w:rPr>
                <w:rFonts w:hint="eastAsia" w:hAnsi="宋体"/>
                <w:color w:val="auto"/>
                <w:szCs w:val="21"/>
                <w:highlight w:val="none"/>
              </w:rPr>
              <w:t>目管理方案；②配送组织安排；③设备安装方案、设备调试及试运行方案；④设备安装技术人员配备；⑤技术支持方案等</w:t>
            </w:r>
            <w:r>
              <w:rPr>
                <w:rFonts w:hint="eastAsia" w:hAnsi="宋体" w:cs="宋体"/>
                <w:color w:val="auto"/>
                <w:kern w:val="0"/>
                <w:szCs w:val="21"/>
                <w:highlight w:val="none"/>
              </w:rPr>
              <w:t>。</w:t>
            </w:r>
          </w:p>
          <w:p w14:paraId="2E130247">
            <w:pPr>
              <w:wordWrap w:val="0"/>
              <w:adjustRightInd w:val="0"/>
              <w:snapToGrid w:val="0"/>
              <w:spacing w:line="340" w:lineRule="exact"/>
              <w:rPr>
                <w:rFonts w:hAnsi="宋体" w:cs="宋体"/>
                <w:color w:val="auto"/>
                <w:kern w:val="0"/>
                <w:szCs w:val="21"/>
                <w:highlight w:val="none"/>
              </w:rPr>
            </w:pPr>
            <w:r>
              <w:rPr>
                <w:rFonts w:hint="eastAsia" w:hAnsi="宋体" w:cs="宋体"/>
                <w:b/>
                <w:color w:val="auto"/>
                <w:kern w:val="0"/>
                <w:szCs w:val="21"/>
                <w:highlight w:val="none"/>
              </w:rPr>
              <w:t>注：上述配送及安装实施方案详见第四章“评标办法”。</w:t>
            </w:r>
          </w:p>
        </w:tc>
      </w:tr>
      <w:tr w14:paraId="2C61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5F65A42B">
            <w:pPr>
              <w:wordWrap w:val="0"/>
              <w:adjustRightInd w:val="0"/>
              <w:snapToGrid w:val="0"/>
              <w:spacing w:line="320" w:lineRule="exact"/>
              <w:jc w:val="center"/>
              <w:rPr>
                <w:rFonts w:ascii="宋体" w:hAnsi="宋体"/>
                <w:bCs/>
                <w:color w:val="auto"/>
                <w:szCs w:val="21"/>
                <w:highlight w:val="none"/>
              </w:rPr>
            </w:pPr>
            <w:r>
              <w:rPr>
                <w:rFonts w:hint="eastAsia" w:ascii="宋体" w:hAnsi="宋体"/>
                <w:bCs/>
                <w:color w:val="auto"/>
                <w:szCs w:val="21"/>
                <w:highlight w:val="none"/>
              </w:rPr>
              <w:t>（二）</w:t>
            </w:r>
            <w:r>
              <w:rPr>
                <w:rFonts w:hint="eastAsia" w:ascii="宋体" w:hAnsi="宋体" w:cs="宋体"/>
                <w:color w:val="auto"/>
                <w:szCs w:val="21"/>
                <w:highlight w:val="none"/>
              </w:rPr>
              <w:t>售后服务方案</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73386F67">
            <w:pPr>
              <w:wordWrap w:val="0"/>
              <w:adjustRightInd w:val="0"/>
              <w:snapToGrid w:val="0"/>
              <w:spacing w:line="340" w:lineRule="exact"/>
              <w:rPr>
                <w:rFonts w:ascii="宋体" w:hAnsi="宋体"/>
                <w:color w:val="auto"/>
                <w:szCs w:val="21"/>
                <w:highlight w:val="none"/>
              </w:rPr>
            </w:pPr>
            <w:r>
              <w:rPr>
                <w:rFonts w:hint="eastAsia" w:ascii="宋体" w:hAnsi="宋体"/>
                <w:color w:val="auto"/>
                <w:szCs w:val="21"/>
                <w:highlight w:val="none"/>
              </w:rPr>
              <w:t>投标人根据售后服务基本要求和自身情况，可于投标文</w:t>
            </w:r>
            <w:r>
              <w:rPr>
                <w:rFonts w:hint="eastAsia" w:ascii="宋体" w:hAnsi="宋体"/>
                <w:color w:val="auto"/>
                <w:szCs w:val="21"/>
                <w:highlight w:val="none"/>
                <w:lang w:eastAsia="zh-CN"/>
              </w:rPr>
              <w:t>件中</w:t>
            </w:r>
            <w:r>
              <w:rPr>
                <w:rFonts w:hint="eastAsia" w:ascii="宋体" w:hAnsi="宋体"/>
                <w:color w:val="auto"/>
                <w:szCs w:val="21"/>
                <w:highlight w:val="none"/>
              </w:rPr>
              <w:t>提供</w:t>
            </w:r>
            <w:r>
              <w:rPr>
                <w:rFonts w:hint="eastAsia" w:ascii="宋体" w:hAnsi="宋体" w:cs="宋体"/>
                <w:color w:val="auto"/>
                <w:szCs w:val="21"/>
                <w:highlight w:val="none"/>
              </w:rPr>
              <w:t>售后服务方案</w:t>
            </w:r>
            <w:r>
              <w:rPr>
                <w:rFonts w:hint="eastAsia" w:ascii="宋体" w:hAnsi="宋体"/>
                <w:color w:val="auto"/>
                <w:szCs w:val="21"/>
                <w:highlight w:val="none"/>
              </w:rPr>
              <w:t>，包含但不限于：</w:t>
            </w:r>
            <w:r>
              <w:rPr>
                <w:rFonts w:hint="eastAsia" w:hAnsi="宋体"/>
                <w:color w:val="auto"/>
                <w:szCs w:val="21"/>
                <w:highlight w:val="none"/>
              </w:rPr>
              <w:t>①售后人员配备情况；②常见故障及解决方案；③</w:t>
            </w:r>
            <w:r>
              <w:rPr>
                <w:rFonts w:hint="eastAsia"/>
                <w:color w:val="auto"/>
                <w:szCs w:val="21"/>
                <w:highlight w:val="none"/>
              </w:rPr>
              <w:t>培训方案</w:t>
            </w:r>
            <w:r>
              <w:rPr>
                <w:rFonts w:hint="eastAsia" w:hAnsi="宋体"/>
                <w:color w:val="auto"/>
                <w:szCs w:val="21"/>
                <w:highlight w:val="none"/>
              </w:rPr>
              <w:t>；④</w:t>
            </w:r>
            <w:r>
              <w:rPr>
                <w:rFonts w:hint="eastAsia" w:hAnsi="宋体"/>
                <w:color w:val="auto"/>
                <w:szCs w:val="21"/>
                <w:highlight w:val="none"/>
                <w:lang w:eastAsia="zh-CN"/>
              </w:rPr>
              <w:t>质保期</w:t>
            </w:r>
            <w:r>
              <w:rPr>
                <w:rFonts w:hint="eastAsia" w:hAnsi="宋体"/>
                <w:color w:val="auto"/>
                <w:szCs w:val="21"/>
                <w:highlight w:val="none"/>
              </w:rPr>
              <w:t>外维修方案；⑤其他实质性优惠措施</w:t>
            </w:r>
            <w:r>
              <w:rPr>
                <w:rFonts w:hint="eastAsia" w:hAnsi="宋体"/>
                <w:color w:val="auto"/>
                <w:spacing w:val="-4"/>
                <w:highlight w:val="none"/>
              </w:rPr>
              <w:t>等。</w:t>
            </w:r>
          </w:p>
          <w:p w14:paraId="3A338A83">
            <w:pPr>
              <w:wordWrap w:val="0"/>
              <w:adjustRightInd w:val="0"/>
              <w:snapToGrid w:val="0"/>
              <w:spacing w:line="340" w:lineRule="exact"/>
              <w:rPr>
                <w:b/>
                <w:bCs/>
                <w:color w:val="auto"/>
                <w:highlight w:val="none"/>
              </w:rPr>
            </w:pPr>
            <w:r>
              <w:rPr>
                <w:rFonts w:hint="eastAsia"/>
                <w:b/>
                <w:bCs/>
                <w:color w:val="auto"/>
                <w:highlight w:val="none"/>
              </w:rPr>
              <w:t>注：上述售后服务方案评分详见第四章“评标办法”。</w:t>
            </w:r>
          </w:p>
        </w:tc>
      </w:tr>
      <w:tr w14:paraId="4616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9A19B7A">
            <w:pPr>
              <w:wordWrap w:val="0"/>
              <w:adjustRightInd w:val="0"/>
              <w:snapToGrid w:val="0"/>
              <w:spacing w:line="320" w:lineRule="exact"/>
              <w:jc w:val="center"/>
              <w:rPr>
                <w:rFonts w:ascii="宋体" w:hAnsi="宋体"/>
                <w:i/>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三</w:t>
            </w:r>
            <w:r>
              <w:rPr>
                <w:rFonts w:hint="eastAsia" w:ascii="宋体" w:hAnsi="宋体"/>
                <w:color w:val="auto"/>
                <w:szCs w:val="21"/>
                <w:highlight w:val="none"/>
              </w:rPr>
              <w:t>）履约能力要求</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7F8EF02">
            <w:pPr>
              <w:wordWrap w:val="0"/>
              <w:adjustRightInd w:val="0"/>
              <w:snapToGrid w:val="0"/>
              <w:spacing w:line="340" w:lineRule="exact"/>
              <w:rPr>
                <w:rFonts w:ascii="宋体" w:hAnsi="宋体"/>
                <w:color w:val="auto"/>
                <w:szCs w:val="21"/>
                <w:highlight w:val="none"/>
              </w:rPr>
            </w:pPr>
            <w:r>
              <w:rPr>
                <w:rFonts w:hint="eastAsia" w:hAnsi="宋体"/>
                <w:color w:val="auto"/>
                <w:szCs w:val="21"/>
                <w:highlight w:val="none"/>
              </w:rPr>
              <w:t>投标人或</w:t>
            </w:r>
            <w:r>
              <w:rPr>
                <w:rFonts w:hint="eastAsia"/>
                <w:color w:val="auto"/>
                <w:highlight w:val="none"/>
              </w:rPr>
              <w:t>所投</w:t>
            </w:r>
            <w:r>
              <w:rPr>
                <w:rFonts w:hint="eastAsia"/>
                <w:color w:val="auto"/>
                <w:highlight w:val="none"/>
                <w:lang w:eastAsia="zh-CN"/>
              </w:rPr>
              <w:t>核心</w:t>
            </w:r>
            <w:r>
              <w:rPr>
                <w:rFonts w:hint="eastAsia"/>
                <w:color w:val="auto"/>
                <w:highlight w:val="none"/>
              </w:rPr>
              <w:t>产品</w:t>
            </w:r>
            <w:r>
              <w:rPr>
                <w:rFonts w:hint="eastAsia" w:hAnsi="宋体"/>
                <w:color w:val="auto"/>
                <w:szCs w:val="21"/>
                <w:highlight w:val="none"/>
              </w:rPr>
              <w:t>生产厂家</w:t>
            </w:r>
            <w:r>
              <w:rPr>
                <w:rFonts w:hint="eastAsia" w:ascii="宋体" w:hAnsi="宋体"/>
                <w:color w:val="auto"/>
                <w:szCs w:val="21"/>
                <w:highlight w:val="none"/>
              </w:rPr>
              <w:t>自2022年以来具有</w:t>
            </w:r>
            <w:r>
              <w:rPr>
                <w:rFonts w:hint="eastAsia" w:ascii="宋体" w:hAnsi="宋体"/>
                <w:color w:val="auto"/>
                <w:szCs w:val="21"/>
                <w:highlight w:val="none"/>
                <w:lang w:val="en-US" w:eastAsia="zh-CN"/>
              </w:rPr>
              <w:t>核心产品</w:t>
            </w:r>
            <w:r>
              <w:rPr>
                <w:rFonts w:hint="eastAsia" w:ascii="宋体" w:hAnsi="宋体"/>
                <w:color w:val="auto"/>
                <w:szCs w:val="21"/>
                <w:highlight w:val="none"/>
              </w:rPr>
              <w:t>销售业绩。</w:t>
            </w:r>
          </w:p>
          <w:p w14:paraId="7F1D7B7D">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b/>
                <w:i/>
                <w:color w:val="auto"/>
                <w:szCs w:val="21"/>
                <w:highlight w:val="none"/>
              </w:rPr>
            </w:pPr>
            <w:r>
              <w:rPr>
                <w:rFonts w:hint="eastAsia"/>
                <w:b/>
                <w:bCs/>
                <w:color w:val="auto"/>
                <w:highlight w:val="none"/>
              </w:rPr>
              <w:t>注：上述履约能力加分详见第四章“评标办法”。</w:t>
            </w:r>
          </w:p>
        </w:tc>
      </w:tr>
      <w:tr w14:paraId="57FD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145" w:type="dxa"/>
            <w:gridSpan w:val="2"/>
            <w:tcBorders>
              <w:top w:val="single" w:color="auto" w:sz="4" w:space="0"/>
              <w:left w:val="single" w:color="auto" w:sz="4" w:space="0"/>
              <w:bottom w:val="single" w:color="auto" w:sz="4" w:space="0"/>
              <w:right w:val="single" w:color="auto" w:sz="4" w:space="0"/>
            </w:tcBorders>
            <w:noWrap w:val="0"/>
            <w:vAlign w:val="center"/>
          </w:tcPr>
          <w:p w14:paraId="4CB7371B">
            <w:pPr>
              <w:wordWrap w:val="0"/>
              <w:adjustRightInd w:val="0"/>
              <w:snapToGrid w:val="0"/>
              <w:spacing w:line="320" w:lineRule="exact"/>
              <w:jc w:val="center"/>
              <w:rPr>
                <w:rFonts w:ascii="宋体" w:hAnsi="宋体"/>
                <w:i/>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四</w:t>
            </w:r>
            <w:r>
              <w:rPr>
                <w:rFonts w:hint="eastAsia" w:ascii="宋体" w:hAnsi="宋体"/>
                <w:color w:val="auto"/>
                <w:szCs w:val="21"/>
                <w:highlight w:val="none"/>
              </w:rPr>
              <w:t>）政策性加分条件</w:t>
            </w:r>
          </w:p>
        </w:tc>
        <w:tc>
          <w:tcPr>
            <w:tcW w:w="7760" w:type="dxa"/>
            <w:gridSpan w:val="5"/>
            <w:tcBorders>
              <w:top w:val="single" w:color="auto" w:sz="4" w:space="0"/>
              <w:left w:val="single" w:color="auto" w:sz="4" w:space="0"/>
              <w:bottom w:val="single" w:color="auto" w:sz="4" w:space="0"/>
              <w:right w:val="single" w:color="auto" w:sz="4" w:space="0"/>
            </w:tcBorders>
            <w:noWrap w:val="0"/>
            <w:vAlign w:val="center"/>
          </w:tcPr>
          <w:p w14:paraId="307E5ED6">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color w:val="auto"/>
                <w:highlight w:val="none"/>
              </w:rPr>
            </w:pPr>
            <w:r>
              <w:rPr>
                <w:rFonts w:hint="eastAsia" w:ascii="宋体" w:hAnsi="宋体"/>
                <w:color w:val="auto"/>
                <w:highlight w:val="none"/>
              </w:rPr>
              <w:t>1.节能产品加分：属于财政部《节能产品政府采购品目清单》内优先采购（清单内未标注“★”的品目）的产品</w:t>
            </w:r>
            <w:r>
              <w:rPr>
                <w:rFonts w:hint="eastAsia" w:ascii="宋体" w:hAnsi="宋体"/>
                <w:color w:val="auto"/>
                <w:highlight w:val="none"/>
                <w:lang w:eastAsia="zh-CN"/>
              </w:rPr>
              <w:t>（在</w:t>
            </w:r>
            <w:r>
              <w:rPr>
                <w:rFonts w:hint="eastAsia" w:ascii="宋体" w:hAnsi="宋体"/>
                <w:color w:val="auto"/>
                <w:highlight w:val="none"/>
              </w:rPr>
              <w:t>投标文件中提供有效的认证证书复印件，并加盖投标人</w:t>
            </w:r>
            <w:r>
              <w:rPr>
                <w:rFonts w:hint="eastAsia" w:hAnsi="宋体"/>
                <w:color w:val="auto"/>
                <w:highlight w:val="none"/>
              </w:rPr>
              <w:t>电子签章</w:t>
            </w:r>
            <w:r>
              <w:rPr>
                <w:rFonts w:hint="eastAsia" w:ascii="宋体" w:hAnsi="宋体"/>
                <w:color w:val="auto"/>
                <w:highlight w:val="none"/>
              </w:rPr>
              <w:t>），相应予以加分。</w:t>
            </w:r>
          </w:p>
          <w:p w14:paraId="61AED2F1">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color w:val="auto"/>
                <w:highlight w:val="none"/>
              </w:rPr>
            </w:pPr>
            <w:r>
              <w:rPr>
                <w:rFonts w:hint="eastAsia" w:ascii="宋体" w:hAnsi="宋体"/>
                <w:color w:val="auto"/>
                <w:highlight w:val="none"/>
              </w:rPr>
              <w:t>2.环境标志产品加分：属于财政部《环境标志产品政府采购品目清单》内的产品（投标文件中提供有效的认证证书复印件，并加盖投标人</w:t>
            </w:r>
            <w:r>
              <w:rPr>
                <w:rFonts w:hint="eastAsia" w:hAnsi="宋体"/>
                <w:color w:val="auto"/>
                <w:highlight w:val="none"/>
              </w:rPr>
              <w:t>电子签章</w:t>
            </w:r>
            <w:r>
              <w:rPr>
                <w:rFonts w:hint="eastAsia" w:ascii="宋体" w:hAnsi="宋体"/>
                <w:color w:val="auto"/>
                <w:highlight w:val="none"/>
              </w:rPr>
              <w:t>），相应予以加分。</w:t>
            </w:r>
          </w:p>
          <w:p w14:paraId="5CE04A3E">
            <w:pPr>
              <w:keepNext w:val="0"/>
              <w:keepLines w:val="0"/>
              <w:pageBreakBefore w:val="0"/>
              <w:widowControl w:val="0"/>
              <w:kinsoku/>
              <w:wordWrap w:val="0"/>
              <w:overflowPunct/>
              <w:topLinePunct w:val="0"/>
              <w:autoSpaceDE/>
              <w:autoSpaceDN/>
              <w:bidi w:val="0"/>
              <w:adjustRightInd w:val="0"/>
              <w:snapToGrid w:val="0"/>
              <w:spacing w:line="380" w:lineRule="exact"/>
              <w:rPr>
                <w:rFonts w:ascii="宋体" w:hAnsi="宋体"/>
                <w:b/>
                <w:color w:val="auto"/>
                <w:szCs w:val="21"/>
                <w:highlight w:val="none"/>
              </w:rPr>
            </w:pPr>
            <w:r>
              <w:rPr>
                <w:rFonts w:hint="eastAsia" w:ascii="宋体" w:hAnsi="宋体"/>
                <w:b/>
                <w:color w:val="auto"/>
                <w:highlight w:val="none"/>
              </w:rPr>
              <w:t>注：上述政策性加分详见第四章“评标办法”。</w:t>
            </w:r>
          </w:p>
        </w:tc>
      </w:tr>
    </w:tbl>
    <w:p w14:paraId="5562F6FF">
      <w:pPr>
        <w:ind w:firstLine="643" w:firstLineChars="200"/>
        <w:jc w:val="center"/>
        <w:rPr>
          <w:rFonts w:ascii="宋体" w:hAnsi="宋体"/>
          <w:b/>
          <w:color w:val="auto"/>
          <w:sz w:val="32"/>
          <w:szCs w:val="32"/>
          <w:highlight w:val="none"/>
        </w:rPr>
      </w:pPr>
    </w:p>
    <w:p w14:paraId="7ADEE629">
      <w:pPr>
        <w:jc w:val="center"/>
        <w:rPr>
          <w:rFonts w:ascii="宋体" w:hAnsi="宋体"/>
          <w:b/>
          <w:color w:val="auto"/>
          <w:sz w:val="32"/>
          <w:szCs w:val="32"/>
          <w:highlight w:val="none"/>
        </w:rPr>
      </w:pPr>
      <w:r>
        <w:rPr>
          <w:rFonts w:hint="eastAsia" w:ascii="宋体" w:hAnsi="宋体"/>
          <w:b/>
          <w:color w:val="auto"/>
          <w:sz w:val="32"/>
          <w:szCs w:val="32"/>
          <w:highlight w:val="none"/>
        </w:rPr>
        <w:t>第四章 评标办法</w:t>
      </w:r>
    </w:p>
    <w:p w14:paraId="69775B0B">
      <w:pPr>
        <w:pStyle w:val="26"/>
        <w:spacing w:line="380" w:lineRule="exact"/>
        <w:ind w:firstLine="413" w:firstLineChars="196"/>
        <w:rPr>
          <w:rFonts w:hAnsi="宋体"/>
          <w:b/>
          <w:bCs/>
          <w:color w:val="auto"/>
          <w:highlight w:val="none"/>
        </w:rPr>
      </w:pPr>
      <w:r>
        <w:rPr>
          <w:rFonts w:hint="eastAsia" w:hAnsi="宋体"/>
          <w:b/>
          <w:bCs/>
          <w:color w:val="auto"/>
          <w:highlight w:val="none"/>
        </w:rPr>
        <w:t>一、评标依据及方式</w:t>
      </w:r>
    </w:p>
    <w:p w14:paraId="3F75290B">
      <w:pPr>
        <w:pStyle w:val="26"/>
        <w:spacing w:line="380" w:lineRule="exact"/>
        <w:ind w:firstLine="420" w:firstLineChars="200"/>
        <w:rPr>
          <w:rFonts w:hint="eastAsia" w:ascii="宋体" w:hAnsi="宋体" w:eastAsia="宋体" w:cs="Times New Roman"/>
          <w:color w:val="auto"/>
          <w:highlight w:val="none"/>
        </w:rPr>
      </w:pPr>
      <w:r>
        <w:rPr>
          <w:rFonts w:hint="eastAsia" w:hAnsi="宋体"/>
          <w:color w:val="auto"/>
          <w:highlight w:val="none"/>
        </w:rPr>
        <w:t>1.评标依据：评标委员会以招</w:t>
      </w:r>
      <w:r>
        <w:rPr>
          <w:rFonts w:hint="eastAsia" w:ascii="宋体" w:hAnsi="宋体" w:eastAsia="宋体" w:cs="Times New Roman"/>
          <w:color w:val="auto"/>
          <w:highlight w:val="none"/>
        </w:rPr>
        <w:t>标文件和投标文件为评标依据，对投标人的投标报价、技术、配送及安装实施方案</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rPr>
        <w:t>售后服务方案</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rPr>
        <w:t>履约能力</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rPr>
        <w:t>政策功能分（节能、环保）等方面内容进行评审并按百分制打分。</w:t>
      </w:r>
    </w:p>
    <w:p w14:paraId="67256514">
      <w:pPr>
        <w:pStyle w:val="26"/>
        <w:spacing w:line="380" w:lineRule="exact"/>
        <w:ind w:firstLine="420" w:firstLineChars="200"/>
        <w:rPr>
          <w:rFonts w:hint="eastAsia" w:ascii="宋体" w:hAnsi="宋体" w:eastAsia="宋体" w:cs="Times New Roman"/>
          <w:color w:val="auto"/>
          <w:highlight w:val="none"/>
        </w:rPr>
      </w:pPr>
      <w:r>
        <w:rPr>
          <w:rFonts w:hint="eastAsia" w:ascii="宋体" w:hAnsi="宋体" w:eastAsia="宋体" w:cs="Times New Roman"/>
          <w:color w:val="auto"/>
          <w:highlight w:val="none"/>
        </w:rPr>
        <w:t>2.评标方式：以封闭方式进行评标。</w:t>
      </w:r>
    </w:p>
    <w:p w14:paraId="4BB30A93">
      <w:pPr>
        <w:pStyle w:val="26"/>
        <w:spacing w:line="380" w:lineRule="exact"/>
        <w:ind w:left="0" w:leftChars="0" w:firstLine="420" w:firstLineChars="200"/>
        <w:rPr>
          <w:rFonts w:hAnsi="宋体"/>
          <w:b/>
          <w:bCs/>
          <w:color w:val="auto"/>
          <w:highlight w:val="none"/>
        </w:rPr>
      </w:pPr>
      <w:r>
        <w:rPr>
          <w:rFonts w:hint="eastAsia" w:hAnsi="宋体"/>
          <w:color w:val="auto"/>
          <w:highlight w:val="none"/>
        </w:rPr>
        <w:t>3.根据财库〔2012〕69号文规定，采购人和采购代理机构、评标委员会成员要严格遵守政府采购相关法律制度，依法履行各自职责，公正、客观、审慎地组织和参与评审工作。</w:t>
      </w:r>
    </w:p>
    <w:p w14:paraId="5A338A4E">
      <w:pPr>
        <w:pStyle w:val="26"/>
        <w:spacing w:line="360" w:lineRule="auto"/>
        <w:ind w:firstLine="422" w:firstLineChars="200"/>
        <w:rPr>
          <w:rFonts w:hAnsi="宋体"/>
          <w:b/>
          <w:bCs/>
          <w:color w:val="auto"/>
          <w:highlight w:val="none"/>
        </w:rPr>
      </w:pPr>
      <w:r>
        <w:rPr>
          <w:rFonts w:hint="eastAsia" w:hAnsi="宋体"/>
          <w:b/>
          <w:bCs/>
          <w:color w:val="auto"/>
          <w:highlight w:val="none"/>
        </w:rPr>
        <w:t>二、评标办法</w:t>
      </w:r>
    </w:p>
    <w:p w14:paraId="4395A747">
      <w:pPr>
        <w:pStyle w:val="26"/>
        <w:spacing w:line="360" w:lineRule="auto"/>
        <w:ind w:firstLine="420" w:firstLineChars="200"/>
        <w:rPr>
          <w:rFonts w:hAnsi="宋体"/>
          <w:bCs/>
          <w:color w:val="auto"/>
          <w:highlight w:val="none"/>
        </w:rPr>
      </w:pPr>
      <w:r>
        <w:rPr>
          <w:rFonts w:hint="eastAsia" w:hAnsi="宋体"/>
          <w:bCs/>
          <w:color w:val="auto"/>
          <w:highlight w:val="none"/>
        </w:rPr>
        <w:t>（一）对进入详评的，采用综合评分法。</w:t>
      </w:r>
    </w:p>
    <w:p w14:paraId="0BB75AE5">
      <w:pPr>
        <w:pStyle w:val="26"/>
        <w:spacing w:line="360" w:lineRule="auto"/>
        <w:ind w:firstLine="420" w:firstLineChars="200"/>
        <w:rPr>
          <w:b/>
          <w:color w:val="auto"/>
          <w:highlight w:val="none"/>
        </w:rPr>
      </w:pPr>
      <w:r>
        <w:rPr>
          <w:rFonts w:hint="eastAsia" w:hAnsi="宋体"/>
          <w:bCs/>
          <w:color w:val="auto"/>
          <w:highlight w:val="none"/>
        </w:rPr>
        <w:t>（二）计分办法（按四舍五入取至小数点后</w:t>
      </w:r>
      <w:r>
        <w:rPr>
          <w:rFonts w:hint="eastAsia" w:hAnsi="宋体"/>
          <w:bCs/>
          <w:color w:val="auto"/>
          <w:highlight w:val="none"/>
          <w:lang w:eastAsia="zh-CN"/>
        </w:rPr>
        <w:t>两位</w:t>
      </w:r>
      <w:r>
        <w:rPr>
          <w:rFonts w:hint="eastAsia" w:hAnsi="宋体"/>
          <w:bCs/>
          <w:color w:val="auto"/>
          <w:highlight w:val="none"/>
        </w:rPr>
        <w:t>）</w:t>
      </w:r>
    </w:p>
    <w:p w14:paraId="055404BD">
      <w:pPr>
        <w:pStyle w:val="26"/>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Ansi="宋体"/>
          <w:bCs/>
          <w:color w:val="auto"/>
          <w:highlight w:val="none"/>
        </w:rPr>
      </w:pPr>
      <w:r>
        <w:rPr>
          <w:rFonts w:hint="eastAsia" w:hAnsi="宋体"/>
          <w:b/>
          <w:color w:val="auto"/>
          <w:highlight w:val="none"/>
        </w:rPr>
        <w:t>1.</w:t>
      </w:r>
      <w:r>
        <w:rPr>
          <w:rFonts w:hint="eastAsia" w:hAnsi="宋体"/>
          <w:b/>
          <w:bCs/>
          <w:color w:val="auto"/>
          <w:highlight w:val="none"/>
        </w:rPr>
        <w:t>价格分…………………………………………………………………………………………………</w:t>
      </w:r>
      <w:r>
        <w:rPr>
          <w:rFonts w:hint="eastAsia" w:hAnsi="宋体"/>
          <w:b/>
          <w:bCs/>
          <w:color w:val="auto"/>
          <w:highlight w:val="none"/>
          <w:lang w:val="en-US" w:eastAsia="zh-CN"/>
        </w:rPr>
        <w:t>40</w:t>
      </w:r>
      <w:r>
        <w:rPr>
          <w:rFonts w:hint="eastAsia" w:hAnsi="宋体"/>
          <w:b/>
          <w:bCs/>
          <w:color w:val="auto"/>
          <w:highlight w:val="none"/>
        </w:rPr>
        <w:t>分</w:t>
      </w:r>
    </w:p>
    <w:p w14:paraId="03351F3C">
      <w:pPr>
        <w:pStyle w:val="26"/>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Ansi="宋体"/>
          <w:color w:val="auto"/>
          <w:highlight w:val="none"/>
        </w:rPr>
      </w:pPr>
      <w:bookmarkStart w:id="10" w:name="OLE_LINK38"/>
      <w:r>
        <w:rPr>
          <w:rFonts w:hint="eastAsia" w:hAnsi="宋体"/>
          <w:bCs/>
          <w:color w:val="auto"/>
          <w:highlight w:val="none"/>
        </w:rPr>
        <w:t>1.1</w:t>
      </w:r>
      <w:r>
        <w:rPr>
          <w:rFonts w:hint="eastAsia"/>
          <w:color w:val="auto"/>
          <w:highlight w:val="none"/>
        </w:rPr>
        <w:t>根据《政府采购促进中小企业发展管理办法》（财库〔2020〕46号）的规定、</w:t>
      </w:r>
      <w:r>
        <w:rPr>
          <w:rFonts w:hint="eastAsia" w:hAnsi="宋体"/>
          <w:color w:val="auto"/>
          <w:szCs w:val="21"/>
          <w:highlight w:val="none"/>
        </w:rPr>
        <w:t>《广西壮族自治区财政厅关于持续优化政府采购营商环境推动高质量发展的通知》（桂财采〔2024〕55号）</w:t>
      </w:r>
      <w:r>
        <w:rPr>
          <w:color w:val="auto"/>
          <w:highlight w:val="none"/>
        </w:rPr>
        <w:t>的规定</w:t>
      </w:r>
      <w:r>
        <w:rPr>
          <w:rFonts w:hint="eastAsia"/>
          <w:color w:val="auto"/>
          <w:highlight w:val="none"/>
        </w:rPr>
        <w:t>，投标人在其投标文件中提供《中小企业声明函》，且其投标全部货物由符合政策要求的小微企业制造的，对其投标报价给予20%的扣除，扣除后的价格为评标报价，即评标报价=投标报价</w:t>
      </w:r>
      <w:r>
        <w:rPr>
          <w:rFonts w:hAnsi="宋体"/>
          <w:color w:val="auto"/>
          <w:highlight w:val="none"/>
        </w:rPr>
        <w:t>×</w:t>
      </w:r>
      <w:r>
        <w:rPr>
          <w:rFonts w:hint="eastAsia"/>
          <w:color w:val="auto"/>
          <w:highlight w:val="none"/>
        </w:rPr>
        <w:t>（1-20%）；</w:t>
      </w:r>
    </w:p>
    <w:p w14:paraId="53850B7B">
      <w:pPr>
        <w:pStyle w:val="26"/>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hAnsi="宋体"/>
          <w:b/>
          <w:color w:val="auto"/>
          <w:highlight w:val="none"/>
        </w:rPr>
      </w:pPr>
      <w:r>
        <w:rPr>
          <w:rFonts w:hint="eastAsia" w:hAnsi="宋体"/>
          <w:b/>
          <w:color w:val="auto"/>
          <w:highlight w:val="none"/>
        </w:rPr>
        <w:t>注：①小型、微型企业提供中型企业制造的货物的，视同为中型企业。</w:t>
      </w:r>
    </w:p>
    <w:p w14:paraId="73A93039">
      <w:pPr>
        <w:pStyle w:val="26"/>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hAnsi="宋体"/>
          <w:color w:val="auto"/>
          <w:highlight w:val="none"/>
        </w:rPr>
      </w:pPr>
      <w:r>
        <w:rPr>
          <w:rFonts w:hint="eastAsia" w:hAnsi="宋体"/>
          <w:b/>
          <w:color w:val="auto"/>
          <w:highlight w:val="none"/>
        </w:rPr>
        <w:t xml:space="preserve">    ②评标报价为投标人的投标报价进行政策性扣除后的价格，评标报价只是作为评标时使用。最终中标人的中标金额＝投标报价。</w:t>
      </w:r>
    </w:p>
    <w:p w14:paraId="76B73363">
      <w:pPr>
        <w:pStyle w:val="26"/>
        <w:keepNext w:val="0"/>
        <w:keepLines w:val="0"/>
        <w:pageBreakBefore w:val="0"/>
        <w:widowControl w:val="0"/>
        <w:kinsoku/>
        <w:wordWrap/>
        <w:overflowPunct/>
        <w:topLinePunct w:val="0"/>
        <w:autoSpaceDE/>
        <w:autoSpaceDN/>
        <w:bidi w:val="0"/>
        <w:adjustRightInd/>
        <w:snapToGrid/>
        <w:spacing w:line="400" w:lineRule="exact"/>
        <w:ind w:firstLine="359" w:firstLineChars="171"/>
        <w:textAlignment w:val="auto"/>
        <w:rPr>
          <w:color w:val="auto"/>
          <w:highlight w:val="none"/>
        </w:rPr>
      </w:pPr>
      <w:r>
        <w:rPr>
          <w:rFonts w:hint="eastAsia"/>
          <w:color w:val="auto"/>
          <w:highlight w:val="none"/>
        </w:rPr>
        <w:t>1.</w:t>
      </w:r>
      <w:r>
        <w:rPr>
          <w:color w:val="auto"/>
          <w:highlight w:val="none"/>
        </w:rPr>
        <w:t>2</w:t>
      </w:r>
      <w:r>
        <w:rPr>
          <w:rFonts w:hint="eastAsia"/>
          <w:color w:val="auto"/>
          <w:highlight w:val="none"/>
        </w:rPr>
        <w:t>根据《关于政府采购支持监狱企业发展有关问题的通知》（财库</w:t>
      </w:r>
      <w:r>
        <w:rPr>
          <w:rFonts w:hint="eastAsia"/>
          <w:color w:val="auto"/>
          <w:highlight w:val="none"/>
          <w:lang w:eastAsia="zh-CN"/>
        </w:rPr>
        <w:t>〔2014〕68号</w:t>
      </w:r>
      <w:r>
        <w:rPr>
          <w:rFonts w:hint="eastAsia"/>
          <w:color w:val="auto"/>
          <w:highlight w:val="none"/>
        </w:rPr>
        <w:t>）和《关于促进残疾人就业政府采购政策的通知》（财库</w:t>
      </w:r>
      <w:r>
        <w:rPr>
          <w:rFonts w:hint="eastAsia"/>
          <w:color w:val="auto"/>
          <w:highlight w:val="none"/>
          <w:lang w:eastAsia="zh-CN"/>
        </w:rPr>
        <w:t>〔2017〕141号</w:t>
      </w:r>
      <w:r>
        <w:rPr>
          <w:rFonts w:hint="eastAsia"/>
          <w:color w:val="auto"/>
          <w:highlight w:val="none"/>
        </w:rPr>
        <w:t>），监狱企业和符合条件的残疾人福利性单位视同小型、微型企业，享受小型、微型企业评审中价格扣除的政府采购政策。监狱企业和残疾人福利性单位属于小型、微型企业的，不重复享受政策。</w:t>
      </w:r>
    </w:p>
    <w:p w14:paraId="6B9FAF5A">
      <w:pPr>
        <w:pStyle w:val="26"/>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Ansi="宋体"/>
          <w:color w:val="auto"/>
          <w:szCs w:val="21"/>
          <w:highlight w:val="none"/>
        </w:rPr>
      </w:pPr>
      <w:r>
        <w:rPr>
          <w:rFonts w:hint="eastAsia"/>
          <w:color w:val="auto"/>
          <w:highlight w:val="none"/>
        </w:rPr>
        <w:t>1.</w:t>
      </w:r>
      <w:r>
        <w:rPr>
          <w:color w:val="auto"/>
          <w:highlight w:val="none"/>
        </w:rPr>
        <w:t>3</w:t>
      </w:r>
      <w:r>
        <w:rPr>
          <w:rFonts w:hint="eastAsia" w:hAnsi="宋体"/>
          <w:color w:val="auto"/>
          <w:szCs w:val="21"/>
          <w:highlight w:val="none"/>
        </w:rPr>
        <w:t>本国产品政策性扣除计算方法。</w:t>
      </w:r>
    </w:p>
    <w:p w14:paraId="4B091DD0">
      <w:pPr>
        <w:pStyle w:val="26"/>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Ansi="宋体"/>
          <w:color w:val="auto"/>
          <w:highlight w:val="none"/>
        </w:rPr>
      </w:pPr>
      <w:r>
        <w:rPr>
          <w:rFonts w:hint="eastAsia" w:hAnsi="宋体"/>
          <w:color w:val="auto"/>
          <w:highlight w:val="none"/>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5752C8D8">
      <w:pPr>
        <w:pStyle w:val="26"/>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Ansi="宋体"/>
          <w:color w:val="auto"/>
          <w:highlight w:val="none"/>
        </w:rPr>
      </w:pPr>
      <w:r>
        <w:rPr>
          <w:rFonts w:hint="eastAsia" w:hAnsi="宋体"/>
          <w:color w:val="auto"/>
          <w:highlight w:val="none"/>
        </w:rPr>
        <w:t>当采购项目或者采购包中含有多种产品，供应商为该采购项目或者采购包提供的符合本国产品标准的产品成本之和占该供应商提供的全部产品成本之和的比例达到80%以上（含80%）时，依法对该供应商提供的全部产品给予价格评审优惠，即对该供应商提供的全部产品的总报价给予20%的价格扣除，用扣除后的价格参与评审。未达到80%，不享受价格评审优惠。</w:t>
      </w:r>
    </w:p>
    <w:p w14:paraId="44B2BF37">
      <w:pPr>
        <w:pStyle w:val="26"/>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Ansi="宋体"/>
          <w:color w:val="auto"/>
          <w:highlight w:val="none"/>
        </w:rPr>
      </w:pPr>
      <w:r>
        <w:rPr>
          <w:rFonts w:hint="eastAsia" w:hAnsi="宋体"/>
          <w:color w:val="auto"/>
          <w:highlight w:val="none"/>
        </w:rPr>
        <w:t>供应商在其投标文件中提供《关于符合本国产品标准的声明函》或财政部会同有关部门规定的有关证明文件，出具符合要求的《声明函》或有关证明文件的，该产品视为本国产品。</w:t>
      </w:r>
    </w:p>
    <w:p w14:paraId="3800FF76">
      <w:pPr>
        <w:pStyle w:val="26"/>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hAnsi="宋体"/>
          <w:color w:val="auto"/>
          <w:highlight w:val="none"/>
        </w:rPr>
      </w:pPr>
      <w:r>
        <w:rPr>
          <w:rFonts w:hint="eastAsia" w:hAnsi="宋体"/>
          <w:color w:val="auto"/>
          <w:highlight w:val="none"/>
        </w:rPr>
        <w:t>如果所有参与竞争的供应商均可享受本国产品价格评审优惠，则统一不进行价格扣除。</w:t>
      </w:r>
    </w:p>
    <w:p w14:paraId="469FC568">
      <w:pPr>
        <w:pStyle w:val="26"/>
        <w:keepNext w:val="0"/>
        <w:keepLines w:val="0"/>
        <w:pageBreakBefore w:val="0"/>
        <w:widowControl w:val="0"/>
        <w:kinsoku/>
        <w:wordWrap/>
        <w:overflowPunct/>
        <w:topLinePunct w:val="0"/>
        <w:autoSpaceDE/>
        <w:autoSpaceDN/>
        <w:bidi w:val="0"/>
        <w:adjustRightInd/>
        <w:snapToGrid/>
        <w:spacing w:line="400" w:lineRule="exact"/>
        <w:ind w:firstLine="359" w:firstLineChars="171"/>
        <w:textAlignment w:val="auto"/>
        <w:rPr>
          <w:rFonts w:hint="eastAsia"/>
          <w:color w:val="auto"/>
          <w:highlight w:val="none"/>
        </w:rPr>
      </w:pPr>
      <w:r>
        <w:rPr>
          <w:rFonts w:hint="eastAsia" w:hAnsi="宋体"/>
          <w:color w:val="auto"/>
          <w:szCs w:val="21"/>
          <w:highlight w:val="none"/>
        </w:rPr>
        <w:t>1.4中小企业折扣与</w:t>
      </w:r>
      <w:r>
        <w:rPr>
          <w:rFonts w:hint="eastAsia" w:ascii="Times New Roman" w:hAnsi="宋体"/>
          <w:color w:val="auto"/>
          <w:szCs w:val="24"/>
          <w:highlight w:val="none"/>
        </w:rPr>
        <w:t>本国产品折扣进行叠加计算，用扣除后的价格参加评审。即评标报价=投标报价-中小企业折扣-本国产品折扣，除上述情况外，评标报价=投标报价。</w:t>
      </w:r>
      <w:bookmarkEnd w:id="10"/>
    </w:p>
    <w:p w14:paraId="0A744DE1">
      <w:pPr>
        <w:pStyle w:val="26"/>
        <w:keepNext w:val="0"/>
        <w:keepLines w:val="0"/>
        <w:pageBreakBefore w:val="0"/>
        <w:widowControl w:val="0"/>
        <w:kinsoku/>
        <w:wordWrap/>
        <w:overflowPunct/>
        <w:topLinePunct w:val="0"/>
        <w:autoSpaceDE/>
        <w:autoSpaceDN/>
        <w:bidi w:val="0"/>
        <w:adjustRightInd/>
        <w:snapToGrid/>
        <w:spacing w:line="400" w:lineRule="exact"/>
        <w:ind w:firstLine="359" w:firstLineChars="171"/>
        <w:textAlignment w:val="auto"/>
        <w:rPr>
          <w:rFonts w:hint="eastAsia"/>
          <w:color w:val="auto"/>
          <w:highlight w:val="none"/>
        </w:rPr>
      </w:pPr>
      <w:r>
        <w:rPr>
          <w:rFonts w:hint="eastAsia"/>
          <w:color w:val="auto"/>
          <w:highlight w:val="none"/>
        </w:rPr>
        <w:t>1.</w:t>
      </w:r>
      <w:r>
        <w:rPr>
          <w:color w:val="auto"/>
          <w:highlight w:val="none"/>
        </w:rPr>
        <w:t>5</w:t>
      </w:r>
      <w:r>
        <w:rPr>
          <w:rFonts w:hint="eastAsia"/>
          <w:color w:val="auto"/>
          <w:highlight w:val="none"/>
        </w:rPr>
        <w:t>以进入评标的最低的评标报价为</w:t>
      </w:r>
      <w:r>
        <w:rPr>
          <w:rFonts w:hint="eastAsia"/>
          <w:color w:val="auto"/>
          <w:highlight w:val="none"/>
          <w:lang w:val="en-US" w:eastAsia="zh-CN"/>
        </w:rPr>
        <w:t>40</w:t>
      </w:r>
      <w:r>
        <w:rPr>
          <w:rFonts w:hint="eastAsia"/>
          <w:color w:val="auto"/>
          <w:highlight w:val="none"/>
        </w:rPr>
        <w:t>分。</w:t>
      </w:r>
    </w:p>
    <w:p w14:paraId="3F29EF8C">
      <w:pPr>
        <w:pStyle w:val="26"/>
        <w:spacing w:line="380" w:lineRule="exact"/>
        <w:ind w:firstLine="3255" w:firstLineChars="1550"/>
        <w:rPr>
          <w:rFonts w:hint="eastAsia"/>
          <w:color w:val="auto"/>
          <w:highlight w:val="none"/>
        </w:rPr>
      </w:pPr>
      <w:r>
        <w:rPr>
          <w:rFonts w:hint="eastAsia"/>
          <w:color w:val="auto"/>
          <w:highlight w:val="none"/>
        </w:rPr>
        <w:t xml:space="preserve">最低投标人评标报价金额          </w:t>
      </w:r>
    </w:p>
    <w:p w14:paraId="334CF062">
      <w:pPr>
        <w:pStyle w:val="26"/>
        <w:spacing w:line="380" w:lineRule="exact"/>
        <w:ind w:firstLine="359" w:firstLineChars="171"/>
        <w:rPr>
          <w:rFonts w:hint="eastAsia"/>
          <w:color w:val="auto"/>
          <w:highlight w:val="none"/>
        </w:rPr>
      </w:pPr>
      <w:r>
        <w:rPr>
          <w:rFonts w:hint="eastAsia"/>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1828800</wp:posOffset>
                </wp:positionH>
                <wp:positionV relativeFrom="paragraph">
                  <wp:posOffset>196850</wp:posOffset>
                </wp:positionV>
                <wp:extent cx="2200275" cy="0"/>
                <wp:effectExtent l="0" t="4445" r="0" b="5080"/>
                <wp:wrapNone/>
                <wp:docPr id="9" name="直接连接符 9"/>
                <wp:cNvGraphicFramePr/>
                <a:graphic xmlns:a="http://schemas.openxmlformats.org/drawingml/2006/main">
                  <a:graphicData uri="http://schemas.microsoft.com/office/word/2010/wordprocessingShape">
                    <wps:wsp>
                      <wps:cNvCnPr/>
                      <wps:spPr>
                        <a:xfrm>
                          <a:off x="0" y="0"/>
                          <a:ext cx="22002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4pt;margin-top:15.5pt;height:0pt;width:173.25pt;z-index:251663360;mso-width-relative:page;mso-height-relative:page;" filled="f" stroked="t" coordsize="21600,21600" o:gfxdata="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9QqkOtcAAAAJAQAADwAAAAAAAAABACAAAAAiAAAAZHJzL2Rvd25yZXYueG1sUEsBAhQA&#10;FAAAAAgAh07iQAVAJb7zAQAA5AMAAA4AAAAAAAAAAQAgAAAAJgEAAGRycy9lMm9Eb2MueG1sUEsF&#10;BgAAAAAGAAYAWQEAAIsFAAAAAA==&#10;">
                <v:fill on="f" focussize="0,0"/>
                <v:stroke color="#000000" joinstyle="round"/>
                <v:imagedata o:title=""/>
                <o:lock v:ext="edit" aspectratio="f"/>
              </v:line>
            </w:pict>
          </mc:Fallback>
        </mc:AlternateContent>
      </w:r>
      <w:r>
        <w:rPr>
          <w:rFonts w:hint="eastAsia"/>
          <w:color w:val="auto"/>
          <w:highlight w:val="none"/>
        </w:rPr>
        <w:t>1.</w:t>
      </w:r>
      <w:r>
        <w:rPr>
          <w:color w:val="auto"/>
          <w:highlight w:val="none"/>
        </w:rPr>
        <w:t>6</w:t>
      </w:r>
      <w:r>
        <w:rPr>
          <w:rFonts w:hint="eastAsia"/>
          <w:color w:val="auto"/>
          <w:highlight w:val="none"/>
        </w:rPr>
        <w:t>投标人价格分 =                                　       ×</w:t>
      </w:r>
      <w:r>
        <w:rPr>
          <w:rFonts w:hint="eastAsia"/>
          <w:color w:val="auto"/>
          <w:highlight w:val="none"/>
          <w:lang w:val="en-US" w:eastAsia="zh-CN"/>
        </w:rPr>
        <w:t>40</w:t>
      </w:r>
      <w:r>
        <w:rPr>
          <w:rFonts w:hint="eastAsia"/>
          <w:color w:val="auto"/>
          <w:highlight w:val="none"/>
        </w:rPr>
        <w:t>分</w:t>
      </w:r>
    </w:p>
    <w:p w14:paraId="6F965DE6">
      <w:pPr>
        <w:pStyle w:val="26"/>
        <w:spacing w:line="360" w:lineRule="auto"/>
        <w:ind w:firstLine="535" w:firstLineChars="255"/>
        <w:rPr>
          <w:color w:val="auto"/>
          <w:highlight w:val="none"/>
        </w:rPr>
      </w:pPr>
      <w:r>
        <w:rPr>
          <w:rFonts w:hint="eastAsia"/>
          <w:color w:val="auto"/>
          <w:highlight w:val="none"/>
        </w:rPr>
        <w:t xml:space="preserve">                           投标人评标报价金额    </w:t>
      </w:r>
    </w:p>
    <w:p w14:paraId="66533352">
      <w:pPr>
        <w:pStyle w:val="26"/>
        <w:keepNext w:val="0"/>
        <w:keepLines w:val="0"/>
        <w:pageBreakBefore w:val="0"/>
        <w:kinsoku/>
        <w:wordWrap/>
        <w:overflowPunct/>
        <w:topLinePunct w:val="0"/>
        <w:autoSpaceDE/>
        <w:autoSpaceDN/>
        <w:bidi w:val="0"/>
        <w:adjustRightInd/>
        <w:snapToGrid/>
        <w:spacing w:line="400" w:lineRule="exact"/>
        <w:ind w:firstLine="422" w:firstLineChars="200"/>
        <w:textAlignment w:val="auto"/>
        <w:outlineLvl w:val="0"/>
        <w:rPr>
          <w:rFonts w:hAnsi="宋体"/>
          <w:b/>
          <w:bCs/>
          <w:color w:val="auto"/>
          <w:highlight w:val="none"/>
        </w:rPr>
      </w:pPr>
      <w:r>
        <w:rPr>
          <w:rFonts w:hint="eastAsia" w:hAnsi="宋体"/>
          <w:b/>
          <w:bCs/>
          <w:color w:val="auto"/>
          <w:highlight w:val="none"/>
        </w:rPr>
        <w:t>2.技术分………………………………………………………………………………………………</w:t>
      </w:r>
      <w:r>
        <w:rPr>
          <w:rFonts w:hint="eastAsia" w:hAnsi="宋体"/>
          <w:b/>
          <w:bCs/>
          <w:color w:val="auto"/>
          <w:highlight w:val="none"/>
          <w:lang w:val="en-US" w:eastAsia="zh-CN"/>
        </w:rPr>
        <w:t>34</w:t>
      </w:r>
      <w:r>
        <w:rPr>
          <w:rFonts w:hint="eastAsia" w:hAnsi="宋体"/>
          <w:b/>
          <w:bCs/>
          <w:color w:val="auto"/>
          <w:highlight w:val="none"/>
        </w:rPr>
        <w:t>分</w:t>
      </w:r>
    </w:p>
    <w:p w14:paraId="617D8EE6">
      <w:pPr>
        <w:pStyle w:val="26"/>
        <w:keepNext w:val="0"/>
        <w:keepLines w:val="0"/>
        <w:pageBreakBefore w:val="0"/>
        <w:kinsoku/>
        <w:wordWrap/>
        <w:overflowPunct/>
        <w:topLinePunct w:val="0"/>
        <w:autoSpaceDE/>
        <w:autoSpaceDN/>
        <w:bidi w:val="0"/>
        <w:adjustRightInd/>
        <w:snapToGrid/>
        <w:spacing w:line="400" w:lineRule="exact"/>
        <w:ind w:firstLine="359" w:firstLineChars="171"/>
        <w:textAlignment w:val="auto"/>
        <w:rPr>
          <w:color w:val="auto"/>
          <w:highlight w:val="none"/>
        </w:rPr>
      </w:pPr>
      <w:r>
        <w:rPr>
          <w:rFonts w:hint="eastAsia"/>
          <w:color w:val="auto"/>
          <w:highlight w:val="none"/>
        </w:rPr>
        <w:t>评委根据招标文件要求，对满足招标文件全部实质性要求进入详评的各投标人投标文件“技术要求”的响应情况进行独立评审，并按如下计分方式确定得分：</w:t>
      </w:r>
    </w:p>
    <w:p w14:paraId="0DFDAC34">
      <w:pPr>
        <w:keepNext w:val="0"/>
        <w:keepLines w:val="0"/>
        <w:pageBreakBefore w:val="0"/>
        <w:kinsoku/>
        <w:wordWrap/>
        <w:overflowPunct/>
        <w:topLinePunct w:val="0"/>
        <w:autoSpaceDE/>
        <w:autoSpaceDN/>
        <w:bidi w:val="0"/>
        <w:adjustRightInd/>
        <w:snapToGrid/>
        <w:spacing w:line="400" w:lineRule="exact"/>
        <w:ind w:firstLine="422" w:firstLineChars="200"/>
        <w:jc w:val="left"/>
        <w:textAlignment w:val="auto"/>
        <w:rPr>
          <w:rFonts w:hint="default" w:ascii="宋体" w:hAnsi="宋体" w:eastAsia="宋体"/>
          <w:b/>
          <w:bCs/>
          <w:color w:val="auto"/>
          <w:szCs w:val="21"/>
          <w:highlight w:val="none"/>
          <w:lang w:val="en-US" w:eastAsia="zh-CN"/>
        </w:rPr>
      </w:pPr>
      <w:r>
        <w:rPr>
          <w:rFonts w:hint="eastAsia" w:ascii="宋体" w:hAnsi="宋体"/>
          <w:b/>
          <w:bCs/>
          <w:color w:val="auto"/>
          <w:szCs w:val="21"/>
          <w:highlight w:val="none"/>
          <w:lang w:eastAsia="zh-CN"/>
        </w:rPr>
        <w:t>分标</w:t>
      </w:r>
      <w:r>
        <w:rPr>
          <w:rFonts w:hint="eastAsia" w:ascii="宋体" w:hAnsi="宋体"/>
          <w:b/>
          <w:bCs/>
          <w:color w:val="auto"/>
          <w:szCs w:val="21"/>
          <w:highlight w:val="none"/>
          <w:lang w:val="en-US" w:eastAsia="zh-CN"/>
        </w:rPr>
        <w:t>1：</w:t>
      </w:r>
    </w:p>
    <w:p w14:paraId="3D48FA77">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color w:val="auto"/>
          <w:szCs w:val="21"/>
          <w:highlight w:val="none"/>
        </w:rPr>
      </w:pPr>
      <w:r>
        <w:rPr>
          <w:rFonts w:hint="eastAsia" w:ascii="宋体" w:hAnsi="宋体"/>
          <w:color w:val="auto"/>
          <w:szCs w:val="21"/>
          <w:highlight w:val="none"/>
        </w:rPr>
        <w:t>经评委独立评审，</w:t>
      </w:r>
      <w:r>
        <w:rPr>
          <w:rFonts w:hint="eastAsia" w:ascii="宋体" w:hAnsi="宋体"/>
          <w:color w:val="auto"/>
          <w:highlight w:val="none"/>
        </w:rPr>
        <w:t>投标人投标文件满足招标文件全部实质性要求的，得基本分</w:t>
      </w:r>
      <w:r>
        <w:rPr>
          <w:rFonts w:hint="eastAsia" w:ascii="宋体" w:hAnsi="宋体"/>
          <w:color w:val="auto"/>
          <w:highlight w:val="none"/>
          <w:lang w:val="en-US" w:eastAsia="zh-CN"/>
        </w:rPr>
        <w:t>34</w:t>
      </w:r>
      <w:r>
        <w:rPr>
          <w:rFonts w:hint="eastAsia" w:ascii="宋体" w:hAnsi="宋体"/>
          <w:color w:val="auto"/>
          <w:highlight w:val="none"/>
        </w:rPr>
        <w:t>分</w:t>
      </w:r>
      <w:r>
        <w:rPr>
          <w:rFonts w:hint="eastAsia" w:ascii="宋体" w:hAnsi="宋体"/>
          <w:color w:val="auto"/>
          <w:szCs w:val="21"/>
          <w:highlight w:val="none"/>
        </w:rPr>
        <w:t>；投标人对招标文件第三章“采购需求”的“技术要求”中</w:t>
      </w:r>
      <w:r>
        <w:rPr>
          <w:rFonts w:hint="eastAsia" w:ascii="宋体" w:hAnsi="宋体"/>
          <w:color w:val="auto"/>
          <w:highlight w:val="none"/>
        </w:rPr>
        <w:t>未标注“▲”号的技术要求</w:t>
      </w:r>
      <w:r>
        <w:rPr>
          <w:rFonts w:hint="eastAsia" w:ascii="宋体" w:hAnsi="宋体"/>
          <w:color w:val="auto"/>
          <w:szCs w:val="21"/>
          <w:highlight w:val="none"/>
        </w:rPr>
        <w:t>响应存在负偏离的，每有一项扣基本分</w:t>
      </w:r>
      <w:r>
        <w:rPr>
          <w:rFonts w:hint="eastAsia" w:ascii="宋体" w:hAnsi="宋体"/>
          <w:color w:val="auto"/>
          <w:szCs w:val="21"/>
          <w:highlight w:val="none"/>
          <w:lang w:val="en-US" w:eastAsia="zh-CN"/>
        </w:rPr>
        <w:t>0.45</w:t>
      </w:r>
      <w:r>
        <w:rPr>
          <w:rFonts w:hint="eastAsia" w:ascii="宋体" w:hAnsi="宋体"/>
          <w:color w:val="auto"/>
          <w:szCs w:val="21"/>
          <w:highlight w:val="none"/>
        </w:rPr>
        <w:t>分，最多扣</w:t>
      </w:r>
      <w:r>
        <w:rPr>
          <w:rFonts w:hint="eastAsia" w:ascii="宋体" w:hAnsi="宋体"/>
          <w:color w:val="auto"/>
          <w:szCs w:val="21"/>
          <w:highlight w:val="none"/>
          <w:lang w:val="en-US" w:eastAsia="zh-CN"/>
        </w:rPr>
        <w:t>34</w:t>
      </w:r>
      <w:r>
        <w:rPr>
          <w:rFonts w:hint="eastAsia" w:ascii="宋体" w:hAnsi="宋体"/>
          <w:color w:val="auto"/>
          <w:szCs w:val="21"/>
          <w:highlight w:val="none"/>
        </w:rPr>
        <w:t>分。</w:t>
      </w:r>
    </w:p>
    <w:p w14:paraId="0032728C">
      <w:pPr>
        <w:keepNext w:val="0"/>
        <w:keepLines w:val="0"/>
        <w:pageBreakBefore w:val="0"/>
        <w:kinsoku/>
        <w:wordWrap/>
        <w:overflowPunct/>
        <w:topLinePunct w:val="0"/>
        <w:autoSpaceDE/>
        <w:autoSpaceDN/>
        <w:bidi w:val="0"/>
        <w:adjustRightInd/>
        <w:snapToGrid/>
        <w:spacing w:line="400" w:lineRule="exact"/>
        <w:ind w:firstLine="422" w:firstLineChars="200"/>
        <w:jc w:val="left"/>
        <w:textAlignment w:val="auto"/>
        <w:rPr>
          <w:rFonts w:hint="default" w:ascii="宋体" w:hAnsi="宋体" w:eastAsia="宋体"/>
          <w:b/>
          <w:bCs/>
          <w:color w:val="auto"/>
          <w:szCs w:val="21"/>
          <w:highlight w:val="none"/>
          <w:lang w:val="en-US" w:eastAsia="zh-CN"/>
        </w:rPr>
      </w:pPr>
      <w:r>
        <w:rPr>
          <w:rFonts w:hint="eastAsia" w:ascii="宋体" w:hAnsi="宋体"/>
          <w:b/>
          <w:bCs/>
          <w:color w:val="auto"/>
          <w:szCs w:val="21"/>
          <w:highlight w:val="none"/>
          <w:lang w:eastAsia="zh-CN"/>
        </w:rPr>
        <w:t>分标</w:t>
      </w:r>
      <w:r>
        <w:rPr>
          <w:rFonts w:hint="eastAsia" w:ascii="宋体" w:hAnsi="宋体"/>
          <w:b/>
          <w:bCs/>
          <w:color w:val="auto"/>
          <w:szCs w:val="21"/>
          <w:highlight w:val="none"/>
          <w:lang w:val="en-US" w:eastAsia="zh-CN"/>
        </w:rPr>
        <w:t>2：</w:t>
      </w:r>
    </w:p>
    <w:p w14:paraId="03F6D873">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color w:val="auto"/>
          <w:szCs w:val="21"/>
          <w:highlight w:val="none"/>
        </w:rPr>
      </w:pPr>
      <w:r>
        <w:rPr>
          <w:rFonts w:hint="eastAsia" w:ascii="宋体" w:hAnsi="宋体"/>
          <w:color w:val="auto"/>
          <w:szCs w:val="21"/>
          <w:highlight w:val="none"/>
        </w:rPr>
        <w:t>经评委独立评审，</w:t>
      </w:r>
      <w:r>
        <w:rPr>
          <w:rFonts w:hint="eastAsia" w:ascii="宋体" w:hAnsi="宋体"/>
          <w:color w:val="auto"/>
          <w:highlight w:val="none"/>
        </w:rPr>
        <w:t>投标人投标文件满足招标文件全部实质性要求的，得基本分</w:t>
      </w:r>
      <w:r>
        <w:rPr>
          <w:rFonts w:hint="eastAsia" w:ascii="宋体" w:hAnsi="宋体"/>
          <w:color w:val="auto"/>
          <w:highlight w:val="none"/>
          <w:lang w:val="en-US" w:eastAsia="zh-CN"/>
        </w:rPr>
        <w:t>34</w:t>
      </w:r>
      <w:r>
        <w:rPr>
          <w:rFonts w:hint="eastAsia" w:ascii="宋体" w:hAnsi="宋体"/>
          <w:color w:val="auto"/>
          <w:highlight w:val="none"/>
        </w:rPr>
        <w:t>分</w:t>
      </w:r>
      <w:r>
        <w:rPr>
          <w:rFonts w:hint="eastAsia" w:ascii="宋体" w:hAnsi="宋体"/>
          <w:color w:val="auto"/>
          <w:szCs w:val="21"/>
          <w:highlight w:val="none"/>
        </w:rPr>
        <w:t>；投标人对招标文件第三章“采购需求”的“技术要求”中</w:t>
      </w:r>
      <w:r>
        <w:rPr>
          <w:rFonts w:hint="eastAsia" w:ascii="宋体" w:hAnsi="宋体"/>
          <w:color w:val="auto"/>
          <w:highlight w:val="none"/>
        </w:rPr>
        <w:t>未标注“▲”号的技术要求</w:t>
      </w:r>
      <w:r>
        <w:rPr>
          <w:rFonts w:hint="eastAsia" w:ascii="宋体" w:hAnsi="宋体"/>
          <w:color w:val="auto"/>
          <w:szCs w:val="21"/>
          <w:highlight w:val="none"/>
        </w:rPr>
        <w:t>响应存在负偏离的，每有一项扣基本分</w:t>
      </w:r>
      <w:r>
        <w:rPr>
          <w:rFonts w:hint="eastAsia" w:ascii="宋体" w:hAnsi="宋体"/>
          <w:color w:val="auto"/>
          <w:szCs w:val="21"/>
          <w:highlight w:val="none"/>
          <w:lang w:val="en-US" w:eastAsia="zh-CN"/>
        </w:rPr>
        <w:t>1.17</w:t>
      </w:r>
      <w:r>
        <w:rPr>
          <w:rFonts w:hint="eastAsia" w:ascii="宋体" w:hAnsi="宋体"/>
          <w:color w:val="auto"/>
          <w:szCs w:val="21"/>
          <w:highlight w:val="none"/>
        </w:rPr>
        <w:t>分，最多扣</w:t>
      </w:r>
      <w:r>
        <w:rPr>
          <w:rFonts w:hint="eastAsia" w:ascii="宋体" w:hAnsi="宋体"/>
          <w:color w:val="auto"/>
          <w:szCs w:val="21"/>
          <w:highlight w:val="none"/>
          <w:lang w:val="en-US" w:eastAsia="zh-CN"/>
        </w:rPr>
        <w:t>34</w:t>
      </w:r>
      <w:r>
        <w:rPr>
          <w:rFonts w:hint="eastAsia" w:ascii="宋体" w:hAnsi="宋体"/>
          <w:color w:val="auto"/>
          <w:szCs w:val="21"/>
          <w:highlight w:val="none"/>
        </w:rPr>
        <w:t>分。</w:t>
      </w:r>
    </w:p>
    <w:p w14:paraId="38588BEB">
      <w:pPr>
        <w:keepNext w:val="0"/>
        <w:keepLines w:val="0"/>
        <w:pageBreakBefore w:val="0"/>
        <w:kinsoku/>
        <w:wordWrap/>
        <w:overflowPunct/>
        <w:topLinePunct w:val="0"/>
        <w:autoSpaceDE/>
        <w:autoSpaceDN/>
        <w:bidi w:val="0"/>
        <w:adjustRightInd/>
        <w:snapToGrid/>
        <w:spacing w:line="400" w:lineRule="exact"/>
        <w:ind w:firstLine="422" w:firstLineChars="200"/>
        <w:jc w:val="left"/>
        <w:textAlignment w:val="auto"/>
        <w:rPr>
          <w:rFonts w:hint="default" w:ascii="宋体" w:hAnsi="宋体" w:eastAsia="宋体"/>
          <w:b/>
          <w:bCs/>
          <w:color w:val="auto"/>
          <w:szCs w:val="21"/>
          <w:highlight w:val="none"/>
          <w:lang w:val="en-US" w:eastAsia="zh-CN"/>
        </w:rPr>
      </w:pPr>
      <w:r>
        <w:rPr>
          <w:rFonts w:hint="eastAsia" w:ascii="宋体" w:hAnsi="宋体"/>
          <w:b/>
          <w:bCs/>
          <w:color w:val="auto"/>
          <w:szCs w:val="21"/>
          <w:highlight w:val="none"/>
          <w:lang w:eastAsia="zh-CN"/>
        </w:rPr>
        <w:t>分标</w:t>
      </w:r>
      <w:r>
        <w:rPr>
          <w:rFonts w:hint="eastAsia" w:ascii="宋体" w:hAnsi="宋体"/>
          <w:b/>
          <w:bCs/>
          <w:color w:val="auto"/>
          <w:szCs w:val="21"/>
          <w:highlight w:val="none"/>
          <w:lang w:val="en-US" w:eastAsia="zh-CN"/>
        </w:rPr>
        <w:t>3：</w:t>
      </w:r>
    </w:p>
    <w:p w14:paraId="5BA8B2AF">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color w:val="auto"/>
          <w:szCs w:val="21"/>
          <w:highlight w:val="none"/>
        </w:rPr>
      </w:pPr>
      <w:r>
        <w:rPr>
          <w:rFonts w:hint="eastAsia" w:ascii="宋体" w:hAnsi="宋体"/>
          <w:color w:val="auto"/>
          <w:szCs w:val="21"/>
          <w:highlight w:val="none"/>
        </w:rPr>
        <w:t>经评委独立评审，</w:t>
      </w:r>
      <w:r>
        <w:rPr>
          <w:rFonts w:hint="eastAsia" w:ascii="宋体" w:hAnsi="宋体"/>
          <w:color w:val="auto"/>
          <w:highlight w:val="none"/>
        </w:rPr>
        <w:t>投标人投标文件满足招标文件全部实质性要求的，得基本分</w:t>
      </w:r>
      <w:r>
        <w:rPr>
          <w:rFonts w:hint="eastAsia" w:ascii="宋体" w:hAnsi="宋体"/>
          <w:color w:val="auto"/>
          <w:highlight w:val="none"/>
          <w:lang w:val="en-US" w:eastAsia="zh-CN"/>
        </w:rPr>
        <w:t>34</w:t>
      </w:r>
      <w:r>
        <w:rPr>
          <w:rFonts w:hint="eastAsia" w:ascii="宋体" w:hAnsi="宋体"/>
          <w:color w:val="auto"/>
          <w:highlight w:val="none"/>
        </w:rPr>
        <w:t>分</w:t>
      </w:r>
      <w:r>
        <w:rPr>
          <w:rFonts w:hint="eastAsia" w:ascii="宋体" w:hAnsi="宋体"/>
          <w:color w:val="auto"/>
          <w:szCs w:val="21"/>
          <w:highlight w:val="none"/>
        </w:rPr>
        <w:t>；投标人对招标文件第三章“采购需求”的“技术要求”中</w:t>
      </w:r>
      <w:r>
        <w:rPr>
          <w:rFonts w:hint="eastAsia" w:ascii="宋体" w:hAnsi="宋体"/>
          <w:color w:val="auto"/>
          <w:highlight w:val="none"/>
        </w:rPr>
        <w:t>未标注“▲”号的技术要求</w:t>
      </w:r>
      <w:r>
        <w:rPr>
          <w:rFonts w:hint="eastAsia" w:ascii="宋体" w:hAnsi="宋体"/>
          <w:color w:val="auto"/>
          <w:szCs w:val="21"/>
          <w:highlight w:val="none"/>
        </w:rPr>
        <w:t>响应存在负偏离的，每有一项扣基本分</w:t>
      </w:r>
      <w:r>
        <w:rPr>
          <w:rFonts w:hint="eastAsia" w:ascii="宋体" w:hAnsi="宋体"/>
          <w:color w:val="auto"/>
          <w:szCs w:val="21"/>
          <w:highlight w:val="none"/>
          <w:lang w:val="en-US" w:eastAsia="zh-CN"/>
        </w:rPr>
        <w:t>1.89</w:t>
      </w:r>
      <w:r>
        <w:rPr>
          <w:rFonts w:hint="eastAsia" w:ascii="宋体" w:hAnsi="宋体"/>
          <w:color w:val="auto"/>
          <w:szCs w:val="21"/>
          <w:highlight w:val="none"/>
        </w:rPr>
        <w:t>分，最多扣</w:t>
      </w:r>
      <w:r>
        <w:rPr>
          <w:rFonts w:hint="eastAsia" w:ascii="宋体" w:hAnsi="宋体"/>
          <w:color w:val="auto"/>
          <w:szCs w:val="21"/>
          <w:highlight w:val="none"/>
          <w:lang w:val="en-US" w:eastAsia="zh-CN"/>
        </w:rPr>
        <w:t>34</w:t>
      </w:r>
      <w:r>
        <w:rPr>
          <w:rFonts w:hint="eastAsia" w:ascii="宋体" w:hAnsi="宋体"/>
          <w:color w:val="auto"/>
          <w:szCs w:val="21"/>
          <w:highlight w:val="none"/>
        </w:rPr>
        <w:t>分。</w:t>
      </w:r>
    </w:p>
    <w:p w14:paraId="1BA2B11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textAlignment w:val="auto"/>
        <w:rPr>
          <w:rFonts w:hint="eastAsia" w:ascii="宋体" w:hAnsi="宋体" w:cs="宋体"/>
          <w:b/>
          <w:bCs/>
          <w:color w:val="auto"/>
          <w:sz w:val="21"/>
          <w:szCs w:val="21"/>
          <w:highlight w:val="none"/>
          <w:lang w:val="en-US" w:eastAsia="zh-CN"/>
        </w:rPr>
      </w:pPr>
      <w:r>
        <w:rPr>
          <w:rFonts w:hint="eastAsia" w:asciiTheme="minorEastAsia" w:hAnsiTheme="minorEastAsia" w:eastAsiaTheme="minorEastAsia"/>
          <w:b/>
          <w:bCs/>
          <w:color w:val="auto"/>
          <w:kern w:val="2"/>
          <w:sz w:val="21"/>
          <w:highlight w:val="none"/>
        </w:rPr>
        <w:t>注：如招标文件“技术要求”中要求提供相关有效证明材料，投标人未按要求提供证明材料或所提供的证明材料不满足（或不能证明）相应技术参数要求的，相应视为负偏离；投标人投标文件中的响应承诺与证明材料不一致的，以证明材料为准。</w:t>
      </w:r>
    </w:p>
    <w:p w14:paraId="1453CA41">
      <w:pPr>
        <w:pStyle w:val="26"/>
        <w:spacing w:line="360" w:lineRule="auto"/>
        <w:ind w:firstLine="361" w:firstLineChars="171"/>
        <w:rPr>
          <w:rFonts w:hAnsi="宋体"/>
          <w:bCs/>
          <w:color w:val="auto"/>
          <w:highlight w:val="none"/>
        </w:rPr>
      </w:pPr>
      <w:r>
        <w:rPr>
          <w:rFonts w:hint="eastAsia" w:hAnsi="宋体"/>
          <w:b/>
          <w:bCs/>
          <w:color w:val="auto"/>
          <w:highlight w:val="none"/>
        </w:rPr>
        <w:t>3.配送及安装实施方案</w:t>
      </w:r>
      <w:r>
        <w:rPr>
          <w:rFonts w:hint="eastAsia" w:hAnsi="宋体"/>
          <w:b/>
          <w:color w:val="auto"/>
          <w:spacing w:val="-4"/>
          <w:highlight w:val="none"/>
        </w:rPr>
        <w:t>分</w:t>
      </w:r>
      <w:r>
        <w:rPr>
          <w:rFonts w:hint="eastAsia" w:hAnsi="宋体"/>
          <w:b/>
          <w:bCs/>
          <w:color w:val="auto"/>
          <w:highlight w:val="none"/>
        </w:rPr>
        <w:t>……………………………………………………………………………</w:t>
      </w:r>
      <w:r>
        <w:rPr>
          <w:rFonts w:hAnsi="宋体"/>
          <w:b/>
          <w:bCs/>
          <w:color w:val="auto"/>
          <w:highlight w:val="none"/>
        </w:rPr>
        <w:t>…</w:t>
      </w:r>
      <w:r>
        <w:rPr>
          <w:rFonts w:hint="eastAsia" w:hAnsi="宋体"/>
          <w:b/>
          <w:bCs/>
          <w:color w:val="auto"/>
          <w:highlight w:val="none"/>
        </w:rPr>
        <w:t>10分</w:t>
      </w:r>
    </w:p>
    <w:p w14:paraId="66D1C2F6">
      <w:pPr>
        <w:pStyle w:val="26"/>
        <w:spacing w:line="360" w:lineRule="auto"/>
        <w:ind w:firstLine="420"/>
        <w:rPr>
          <w:rFonts w:hAnsi="宋体"/>
          <w:color w:val="auto"/>
          <w:szCs w:val="21"/>
          <w:highlight w:val="none"/>
        </w:rPr>
      </w:pPr>
      <w:r>
        <w:rPr>
          <w:rFonts w:hint="eastAsia" w:hAnsi="宋体"/>
          <w:color w:val="auto"/>
          <w:szCs w:val="21"/>
          <w:highlight w:val="none"/>
        </w:rPr>
        <w:t>评委对投标人提供的配送及安装实施方案（包括但不限于：</w:t>
      </w:r>
      <w:r>
        <w:rPr>
          <w:rFonts w:hint="eastAsia" w:hAnsi="宋体" w:cs="宋体"/>
          <w:color w:val="auto"/>
          <w:szCs w:val="21"/>
          <w:highlight w:val="none"/>
        </w:rPr>
        <w:t>①项</w:t>
      </w:r>
      <w:r>
        <w:rPr>
          <w:rFonts w:hint="eastAsia" w:hAnsi="宋体"/>
          <w:color w:val="auto"/>
          <w:szCs w:val="21"/>
          <w:highlight w:val="none"/>
        </w:rPr>
        <w:t>目管理方案；②配送组织安排；③设备安装方案、设备调试及试运行方案；④设备安装技术人员配备；⑤技术支持方案等）进行独立评审并按以下规则独立打分：</w:t>
      </w:r>
    </w:p>
    <w:p w14:paraId="6CF4667F">
      <w:pPr>
        <w:pStyle w:val="26"/>
        <w:spacing w:line="360" w:lineRule="auto"/>
        <w:ind w:firstLine="420"/>
        <w:rPr>
          <w:rFonts w:hint="eastAsia" w:hAnsi="宋体"/>
          <w:color w:val="auto"/>
          <w:szCs w:val="21"/>
          <w:highlight w:val="none"/>
        </w:rPr>
      </w:pPr>
      <w:r>
        <w:rPr>
          <w:rFonts w:hint="eastAsia" w:hAnsi="宋体"/>
          <w:color w:val="auto"/>
          <w:szCs w:val="21"/>
          <w:highlight w:val="none"/>
        </w:rPr>
        <w:t>一档：五项评审因素经评审有一项</w:t>
      </w:r>
      <w:r>
        <w:rPr>
          <w:rFonts w:hint="eastAsia" w:hAnsi="宋体"/>
          <w:color w:val="auto"/>
          <w:szCs w:val="21"/>
          <w:highlight w:val="none"/>
          <w:lang w:eastAsia="zh-CN"/>
        </w:rPr>
        <w:t>合理、可行且具有针对性的</w:t>
      </w:r>
      <w:r>
        <w:rPr>
          <w:rFonts w:hint="eastAsia" w:hAnsi="宋体"/>
          <w:color w:val="auto"/>
          <w:szCs w:val="21"/>
          <w:highlight w:val="none"/>
        </w:rPr>
        <w:t>，得2分；</w:t>
      </w:r>
    </w:p>
    <w:p w14:paraId="1C38CBDF">
      <w:pPr>
        <w:pStyle w:val="26"/>
        <w:spacing w:line="360" w:lineRule="auto"/>
        <w:ind w:firstLine="420"/>
        <w:rPr>
          <w:rFonts w:hint="eastAsia" w:hAnsi="宋体"/>
          <w:color w:val="auto"/>
          <w:szCs w:val="21"/>
          <w:highlight w:val="none"/>
        </w:rPr>
      </w:pPr>
      <w:r>
        <w:rPr>
          <w:rFonts w:hint="eastAsia" w:hAnsi="宋体"/>
          <w:color w:val="auto"/>
          <w:szCs w:val="21"/>
          <w:highlight w:val="none"/>
        </w:rPr>
        <w:t>二档：五项评审因素经评审有</w:t>
      </w:r>
      <w:r>
        <w:rPr>
          <w:rFonts w:hint="eastAsia" w:hAnsi="宋体"/>
          <w:color w:val="auto"/>
          <w:szCs w:val="21"/>
          <w:highlight w:val="none"/>
          <w:lang w:eastAsia="zh-CN"/>
        </w:rPr>
        <w:t>两项合理、可行且具有针对性的</w:t>
      </w:r>
      <w:r>
        <w:rPr>
          <w:rFonts w:hint="eastAsia" w:hAnsi="宋体"/>
          <w:color w:val="auto"/>
          <w:szCs w:val="21"/>
          <w:highlight w:val="none"/>
        </w:rPr>
        <w:t>，得4分；</w:t>
      </w:r>
    </w:p>
    <w:p w14:paraId="79DCC900">
      <w:pPr>
        <w:pStyle w:val="26"/>
        <w:spacing w:line="360" w:lineRule="auto"/>
        <w:ind w:firstLine="420"/>
        <w:rPr>
          <w:rFonts w:hint="eastAsia" w:hAnsi="宋体"/>
          <w:color w:val="auto"/>
          <w:szCs w:val="21"/>
          <w:highlight w:val="none"/>
        </w:rPr>
      </w:pPr>
      <w:r>
        <w:rPr>
          <w:rFonts w:hint="eastAsia" w:hAnsi="宋体"/>
          <w:color w:val="auto"/>
          <w:szCs w:val="21"/>
          <w:highlight w:val="none"/>
        </w:rPr>
        <w:t>三档：五项评审因素经评审有三项</w:t>
      </w:r>
      <w:r>
        <w:rPr>
          <w:rFonts w:hint="eastAsia" w:hAnsi="宋体"/>
          <w:color w:val="auto"/>
          <w:szCs w:val="21"/>
          <w:highlight w:val="none"/>
          <w:lang w:eastAsia="zh-CN"/>
        </w:rPr>
        <w:t>合理、可行且具有针对性的</w:t>
      </w:r>
      <w:r>
        <w:rPr>
          <w:rFonts w:hint="eastAsia" w:hAnsi="宋体"/>
          <w:color w:val="auto"/>
          <w:szCs w:val="21"/>
          <w:highlight w:val="none"/>
        </w:rPr>
        <w:t>，得6分；</w:t>
      </w:r>
    </w:p>
    <w:p w14:paraId="50B1D2EB">
      <w:pPr>
        <w:pStyle w:val="26"/>
        <w:spacing w:line="360" w:lineRule="auto"/>
        <w:ind w:firstLine="420"/>
        <w:rPr>
          <w:rFonts w:hint="eastAsia" w:hAnsi="宋体"/>
          <w:color w:val="auto"/>
          <w:szCs w:val="21"/>
          <w:highlight w:val="none"/>
        </w:rPr>
      </w:pPr>
      <w:r>
        <w:rPr>
          <w:rFonts w:hint="eastAsia" w:hAnsi="宋体"/>
          <w:color w:val="auto"/>
          <w:szCs w:val="21"/>
          <w:highlight w:val="none"/>
        </w:rPr>
        <w:t>四档：五项评审因素经评审有四项</w:t>
      </w:r>
      <w:r>
        <w:rPr>
          <w:rFonts w:hint="eastAsia" w:hAnsi="宋体"/>
          <w:color w:val="auto"/>
          <w:szCs w:val="21"/>
          <w:highlight w:val="none"/>
          <w:lang w:eastAsia="zh-CN"/>
        </w:rPr>
        <w:t>合理、可行且具有针对性的</w:t>
      </w:r>
      <w:r>
        <w:rPr>
          <w:rFonts w:hint="eastAsia" w:hAnsi="宋体"/>
          <w:color w:val="auto"/>
          <w:szCs w:val="21"/>
          <w:highlight w:val="none"/>
        </w:rPr>
        <w:t>，得8分；</w:t>
      </w:r>
    </w:p>
    <w:p w14:paraId="586F94C1">
      <w:pPr>
        <w:pStyle w:val="26"/>
        <w:spacing w:line="360" w:lineRule="auto"/>
        <w:ind w:firstLine="420"/>
        <w:rPr>
          <w:rFonts w:hint="eastAsia" w:hAnsi="宋体"/>
          <w:color w:val="auto"/>
          <w:szCs w:val="21"/>
          <w:highlight w:val="none"/>
        </w:rPr>
      </w:pPr>
      <w:r>
        <w:rPr>
          <w:rFonts w:hint="eastAsia" w:hAnsi="宋体"/>
          <w:color w:val="auto"/>
          <w:szCs w:val="21"/>
          <w:highlight w:val="none"/>
        </w:rPr>
        <w:t>五档：五项评审因素经评审均</w:t>
      </w:r>
      <w:r>
        <w:rPr>
          <w:rFonts w:hint="eastAsia" w:hAnsi="宋体"/>
          <w:color w:val="auto"/>
          <w:szCs w:val="21"/>
          <w:highlight w:val="none"/>
          <w:lang w:eastAsia="zh-CN"/>
        </w:rPr>
        <w:t>合理、可行且具有针对性</w:t>
      </w:r>
      <w:r>
        <w:rPr>
          <w:rFonts w:hint="eastAsia" w:hAnsi="宋体"/>
          <w:color w:val="auto"/>
          <w:szCs w:val="21"/>
          <w:highlight w:val="none"/>
        </w:rPr>
        <w:t>，得10分。</w:t>
      </w:r>
    </w:p>
    <w:p w14:paraId="117709D8">
      <w:pPr>
        <w:pStyle w:val="26"/>
        <w:spacing w:line="360" w:lineRule="auto"/>
        <w:ind w:firstLine="420"/>
        <w:rPr>
          <w:rFonts w:hint="eastAsia" w:ascii="宋体" w:hAnsi="宋体" w:eastAsia="宋体" w:cs="宋体"/>
          <w:b/>
          <w:bCs/>
          <w:color w:val="auto"/>
          <w:sz w:val="21"/>
          <w:szCs w:val="21"/>
          <w:highlight w:val="none"/>
          <w:lang w:eastAsia="zh-CN"/>
        </w:rPr>
      </w:pPr>
      <w:r>
        <w:rPr>
          <w:rFonts w:hint="eastAsia" w:hAnsi="宋体"/>
          <w:color w:val="auto"/>
          <w:szCs w:val="21"/>
          <w:highlight w:val="none"/>
          <w:lang w:eastAsia="zh-CN"/>
        </w:rPr>
        <w:t>注：</w:t>
      </w:r>
      <w:r>
        <w:rPr>
          <w:rFonts w:hint="eastAsia" w:ascii="宋体" w:hAnsi="宋体" w:cs="宋体"/>
          <w:b/>
          <w:bCs/>
          <w:color w:val="auto"/>
          <w:sz w:val="21"/>
          <w:szCs w:val="21"/>
          <w:highlight w:val="none"/>
          <w:lang w:val="en-US" w:eastAsia="zh-CN"/>
        </w:rPr>
        <w:t>①供应商</w:t>
      </w:r>
      <w:r>
        <w:rPr>
          <w:rFonts w:hint="eastAsia" w:ascii="宋体" w:hAnsi="宋体" w:eastAsia="宋体" w:cs="宋体"/>
          <w:b/>
          <w:bCs/>
          <w:color w:val="auto"/>
          <w:sz w:val="21"/>
          <w:szCs w:val="21"/>
          <w:highlight w:val="none"/>
          <w:lang w:eastAsia="zh-CN"/>
        </w:rPr>
        <w:t>未提供</w:t>
      </w:r>
      <w:r>
        <w:rPr>
          <w:rFonts w:hint="eastAsia" w:hAnsi="宋体" w:cs="宋体"/>
          <w:b/>
          <w:bCs/>
          <w:color w:val="auto"/>
          <w:sz w:val="21"/>
          <w:szCs w:val="21"/>
          <w:highlight w:val="none"/>
          <w:lang w:eastAsia="zh-CN"/>
        </w:rPr>
        <w:t>“</w:t>
      </w:r>
      <w:r>
        <w:rPr>
          <w:rFonts w:hint="eastAsia" w:hAnsi="宋体"/>
          <w:b/>
          <w:bCs/>
          <w:color w:val="auto"/>
          <w:highlight w:val="none"/>
        </w:rPr>
        <w:t>配送及安装实施方案</w:t>
      </w:r>
      <w:r>
        <w:rPr>
          <w:rFonts w:hint="eastAsia" w:hAnsi="宋体" w:cs="宋体"/>
          <w:b/>
          <w:bCs/>
          <w:color w:val="auto"/>
          <w:sz w:val="21"/>
          <w:szCs w:val="21"/>
          <w:highlight w:val="none"/>
          <w:lang w:eastAsia="zh-CN"/>
        </w:rPr>
        <w:t>”</w:t>
      </w:r>
      <w:r>
        <w:rPr>
          <w:rFonts w:hint="eastAsia" w:ascii="宋体" w:hAnsi="宋体" w:eastAsia="宋体" w:cs="宋体"/>
          <w:b/>
          <w:bCs/>
          <w:color w:val="auto"/>
          <w:sz w:val="21"/>
          <w:szCs w:val="21"/>
          <w:highlight w:val="none"/>
          <w:lang w:eastAsia="zh-CN"/>
        </w:rPr>
        <w:t>相应内容</w:t>
      </w:r>
      <w:r>
        <w:rPr>
          <w:rFonts w:hint="eastAsia" w:ascii="宋体" w:hAnsi="宋体" w:cs="宋体"/>
          <w:b/>
          <w:bCs/>
          <w:color w:val="auto"/>
          <w:sz w:val="21"/>
          <w:szCs w:val="21"/>
          <w:highlight w:val="none"/>
          <w:lang w:eastAsia="zh-CN"/>
        </w:rPr>
        <w:t>或</w:t>
      </w:r>
      <w:r>
        <w:rPr>
          <w:rFonts w:hint="eastAsia" w:ascii="宋体" w:hAnsi="宋体" w:eastAsia="宋体" w:cs="宋体"/>
          <w:b/>
          <w:bCs/>
          <w:color w:val="auto"/>
          <w:sz w:val="21"/>
          <w:szCs w:val="21"/>
          <w:highlight w:val="none"/>
          <w:lang w:eastAsia="zh-CN"/>
        </w:rPr>
        <w:t>所提供的</w:t>
      </w:r>
      <w:r>
        <w:rPr>
          <w:rFonts w:hint="eastAsia" w:hAnsi="宋体" w:cs="宋体"/>
          <w:b/>
          <w:bCs/>
          <w:color w:val="auto"/>
          <w:sz w:val="21"/>
          <w:szCs w:val="21"/>
          <w:highlight w:val="none"/>
          <w:lang w:eastAsia="zh-CN"/>
        </w:rPr>
        <w:t>“</w:t>
      </w:r>
      <w:r>
        <w:rPr>
          <w:rFonts w:hint="eastAsia" w:hAnsi="宋体"/>
          <w:b/>
          <w:bCs/>
          <w:color w:val="auto"/>
          <w:highlight w:val="none"/>
        </w:rPr>
        <w:t>配送及安装实施方案</w:t>
      </w:r>
      <w:r>
        <w:rPr>
          <w:rFonts w:hint="eastAsia" w:hAnsi="宋体" w:cs="宋体"/>
          <w:b/>
          <w:bCs/>
          <w:color w:val="auto"/>
          <w:sz w:val="21"/>
          <w:szCs w:val="21"/>
          <w:highlight w:val="none"/>
          <w:lang w:eastAsia="zh-CN"/>
        </w:rPr>
        <w:t>”</w:t>
      </w:r>
      <w:r>
        <w:rPr>
          <w:rFonts w:hint="eastAsia" w:ascii="宋体" w:hAnsi="宋体" w:eastAsia="宋体" w:cs="宋体"/>
          <w:b/>
          <w:bCs/>
          <w:color w:val="auto"/>
          <w:sz w:val="21"/>
          <w:szCs w:val="21"/>
          <w:highlight w:val="none"/>
          <w:lang w:eastAsia="zh-CN"/>
        </w:rPr>
        <w:t>相应内容未达</w:t>
      </w:r>
      <w:r>
        <w:rPr>
          <w:rFonts w:hint="eastAsia" w:ascii="宋体" w:hAnsi="宋体" w:cs="宋体"/>
          <w:b/>
          <w:bCs/>
          <w:color w:val="auto"/>
          <w:sz w:val="21"/>
          <w:szCs w:val="21"/>
          <w:highlight w:val="none"/>
          <w:lang w:eastAsia="zh-CN"/>
        </w:rPr>
        <w:t>到</w:t>
      </w:r>
      <w:r>
        <w:rPr>
          <w:rFonts w:hint="eastAsia" w:ascii="宋体" w:hAnsi="宋体" w:eastAsia="宋体" w:cs="宋体"/>
          <w:b/>
          <w:bCs/>
          <w:color w:val="auto"/>
          <w:sz w:val="21"/>
          <w:szCs w:val="21"/>
          <w:highlight w:val="none"/>
          <w:lang w:eastAsia="zh-CN"/>
        </w:rPr>
        <w:t>一档档次的，不予计分；经评审未达</w:t>
      </w:r>
      <w:r>
        <w:rPr>
          <w:rFonts w:hint="eastAsia" w:ascii="宋体" w:hAnsi="宋体" w:cs="宋体"/>
          <w:b/>
          <w:bCs/>
          <w:color w:val="auto"/>
          <w:sz w:val="21"/>
          <w:szCs w:val="21"/>
          <w:highlight w:val="none"/>
          <w:lang w:eastAsia="zh-CN"/>
        </w:rPr>
        <w:t>到</w:t>
      </w:r>
      <w:r>
        <w:rPr>
          <w:rFonts w:hint="eastAsia" w:ascii="宋体" w:hAnsi="宋体" w:eastAsia="宋体" w:cs="宋体"/>
          <w:b/>
          <w:bCs/>
          <w:color w:val="auto"/>
          <w:sz w:val="21"/>
          <w:szCs w:val="21"/>
          <w:highlight w:val="none"/>
          <w:lang w:eastAsia="zh-CN"/>
        </w:rPr>
        <w:t>相应评审档次全部标准的，相应降低一个档次。</w:t>
      </w:r>
    </w:p>
    <w:p w14:paraId="07A28BA0">
      <w:pPr>
        <w:pStyle w:val="26"/>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hAnsi="宋体"/>
          <w:bCs/>
          <w:color w:val="auto"/>
          <w:highlight w:val="none"/>
          <w:lang w:eastAsia="zh-CN"/>
        </w:rPr>
      </w:pPr>
      <w:r>
        <w:rPr>
          <w:rFonts w:hint="eastAsia" w:ascii="宋体" w:hAnsi="宋体" w:cs="宋体"/>
          <w:b/>
          <w:bCs/>
          <w:color w:val="auto"/>
          <w:sz w:val="21"/>
          <w:szCs w:val="21"/>
          <w:highlight w:val="none"/>
          <w:lang w:eastAsia="zh-CN"/>
        </w:rPr>
        <w:t>②“合理、可行且具有针对性”是指</w:t>
      </w:r>
      <w:r>
        <w:rPr>
          <w:rFonts w:hint="eastAsia" w:ascii="宋体" w:hAnsi="宋体" w:eastAsia="宋体" w:cs="宋体"/>
          <w:b/>
          <w:bCs/>
          <w:color w:val="auto"/>
          <w:sz w:val="21"/>
          <w:szCs w:val="21"/>
          <w:highlight w:val="none"/>
        </w:rPr>
        <w:t>：方案</w:t>
      </w:r>
      <w:r>
        <w:rPr>
          <w:rFonts w:hint="eastAsia" w:ascii="宋体" w:hAnsi="宋体" w:cs="宋体"/>
          <w:b/>
          <w:bCs/>
          <w:color w:val="auto"/>
          <w:sz w:val="21"/>
          <w:szCs w:val="21"/>
          <w:highlight w:val="none"/>
          <w:lang w:eastAsia="zh-CN"/>
        </w:rPr>
        <w:t>与本项目实际情况相适应且在项目现有条件下可实施，不</w:t>
      </w:r>
      <w:r>
        <w:rPr>
          <w:rFonts w:hint="eastAsia" w:ascii="宋体" w:hAnsi="宋体" w:eastAsia="宋体" w:cs="宋体"/>
          <w:b/>
          <w:bCs/>
          <w:color w:val="auto"/>
          <w:sz w:val="21"/>
          <w:szCs w:val="21"/>
          <w:highlight w:val="none"/>
        </w:rPr>
        <w:t>存在不适用</w:t>
      </w:r>
      <w:r>
        <w:rPr>
          <w:rFonts w:hint="eastAsia" w:ascii="宋体" w:hAnsi="宋体" w:eastAsia="宋体" w:cs="宋体"/>
          <w:b/>
          <w:bCs/>
          <w:color w:val="auto"/>
          <w:sz w:val="21"/>
          <w:szCs w:val="21"/>
          <w:highlight w:val="none"/>
          <w:lang w:eastAsia="zh-CN"/>
        </w:rPr>
        <w:t>本</w:t>
      </w:r>
      <w:r>
        <w:rPr>
          <w:rFonts w:hint="eastAsia" w:ascii="宋体" w:hAnsi="宋体" w:eastAsia="宋体" w:cs="宋体"/>
          <w:b/>
          <w:bCs/>
          <w:color w:val="auto"/>
          <w:sz w:val="21"/>
          <w:szCs w:val="21"/>
          <w:highlight w:val="none"/>
        </w:rPr>
        <w:t>项目实际情况的情形、凭空编造、逻辑漏洞、科学原理错误以及不可能实现的夸大情形等情况。</w:t>
      </w:r>
    </w:p>
    <w:p w14:paraId="4C208732">
      <w:pPr>
        <w:pStyle w:val="26"/>
        <w:spacing w:line="360" w:lineRule="auto"/>
        <w:ind w:firstLine="361" w:firstLineChars="171"/>
        <w:rPr>
          <w:rFonts w:hAnsi="宋体"/>
          <w:bCs/>
          <w:color w:val="auto"/>
          <w:highlight w:val="none"/>
        </w:rPr>
      </w:pPr>
      <w:r>
        <w:rPr>
          <w:rFonts w:hint="eastAsia" w:hAnsi="宋体"/>
          <w:b/>
          <w:bCs/>
          <w:color w:val="auto"/>
          <w:highlight w:val="none"/>
        </w:rPr>
        <w:t>4.</w:t>
      </w:r>
      <w:r>
        <w:rPr>
          <w:rFonts w:hint="eastAsia" w:hAnsi="宋体"/>
          <w:b/>
          <w:color w:val="auto"/>
          <w:spacing w:val="-4"/>
          <w:highlight w:val="none"/>
        </w:rPr>
        <w:t>售后服务方案分</w:t>
      </w:r>
      <w:r>
        <w:rPr>
          <w:rFonts w:hint="eastAsia" w:hAnsi="宋体"/>
          <w:b/>
          <w:bCs/>
          <w:color w:val="auto"/>
          <w:highlight w:val="none"/>
        </w:rPr>
        <w:t>……………………………………………………………………………………</w:t>
      </w:r>
      <w:r>
        <w:rPr>
          <w:rFonts w:hAnsi="宋体"/>
          <w:b/>
          <w:bCs/>
          <w:color w:val="auto"/>
          <w:highlight w:val="none"/>
        </w:rPr>
        <w:t>…</w:t>
      </w:r>
      <w:r>
        <w:rPr>
          <w:rFonts w:hint="eastAsia" w:hAnsi="宋体"/>
          <w:b/>
          <w:bCs/>
          <w:color w:val="auto"/>
          <w:highlight w:val="none"/>
          <w:lang w:val="en-US" w:eastAsia="zh-CN"/>
        </w:rPr>
        <w:t>10</w:t>
      </w:r>
      <w:r>
        <w:rPr>
          <w:rFonts w:hint="eastAsia" w:hAnsi="宋体"/>
          <w:b/>
          <w:bCs/>
          <w:color w:val="auto"/>
          <w:highlight w:val="none"/>
        </w:rPr>
        <w:t>分</w:t>
      </w:r>
    </w:p>
    <w:p w14:paraId="34E223BB">
      <w:pPr>
        <w:pStyle w:val="26"/>
        <w:spacing w:line="360" w:lineRule="auto"/>
        <w:ind w:firstLine="420"/>
        <w:rPr>
          <w:rFonts w:hAnsi="宋体"/>
          <w:color w:val="auto"/>
          <w:szCs w:val="21"/>
          <w:highlight w:val="none"/>
        </w:rPr>
      </w:pPr>
      <w:r>
        <w:rPr>
          <w:rFonts w:hint="eastAsia" w:hAnsi="宋体"/>
          <w:color w:val="auto"/>
          <w:szCs w:val="21"/>
          <w:highlight w:val="none"/>
        </w:rPr>
        <w:t>评委对投标人提供的售后服务方案（包含但不限于：①售后人员配备情况；②常见故障及解决方案；③</w:t>
      </w:r>
      <w:r>
        <w:rPr>
          <w:rFonts w:hint="eastAsia"/>
          <w:color w:val="auto"/>
          <w:szCs w:val="21"/>
          <w:highlight w:val="none"/>
        </w:rPr>
        <w:t>培训方案</w:t>
      </w:r>
      <w:r>
        <w:rPr>
          <w:rFonts w:hint="eastAsia" w:hAnsi="宋体"/>
          <w:color w:val="auto"/>
          <w:szCs w:val="21"/>
          <w:highlight w:val="none"/>
        </w:rPr>
        <w:t>；④</w:t>
      </w:r>
      <w:r>
        <w:rPr>
          <w:rFonts w:hint="eastAsia" w:hAnsi="宋体"/>
          <w:color w:val="auto"/>
          <w:szCs w:val="21"/>
          <w:highlight w:val="none"/>
          <w:lang w:eastAsia="zh-CN"/>
        </w:rPr>
        <w:t>质保期</w:t>
      </w:r>
      <w:r>
        <w:rPr>
          <w:rFonts w:hint="eastAsia" w:hAnsi="宋体"/>
          <w:color w:val="auto"/>
          <w:szCs w:val="21"/>
          <w:highlight w:val="none"/>
        </w:rPr>
        <w:t>外维修方案；⑤其他实质性优惠措施等）进行独立评审并按以下规则独立打分：</w:t>
      </w:r>
    </w:p>
    <w:p w14:paraId="4C8A83C2">
      <w:pPr>
        <w:pStyle w:val="26"/>
        <w:spacing w:line="360" w:lineRule="auto"/>
        <w:ind w:firstLine="420"/>
        <w:rPr>
          <w:rFonts w:hint="eastAsia" w:hAnsi="宋体"/>
          <w:color w:val="auto"/>
          <w:szCs w:val="21"/>
          <w:highlight w:val="none"/>
        </w:rPr>
      </w:pPr>
      <w:r>
        <w:rPr>
          <w:rFonts w:hint="eastAsia" w:hAnsi="宋体"/>
          <w:color w:val="auto"/>
          <w:szCs w:val="21"/>
          <w:highlight w:val="none"/>
        </w:rPr>
        <w:t>一档：五项评审因素经评审有一项</w:t>
      </w:r>
      <w:r>
        <w:rPr>
          <w:rFonts w:hint="eastAsia" w:hAnsi="宋体"/>
          <w:color w:val="auto"/>
          <w:szCs w:val="21"/>
          <w:highlight w:val="none"/>
          <w:lang w:eastAsia="zh-CN"/>
        </w:rPr>
        <w:t>合理、可行且具有针对性</w:t>
      </w:r>
      <w:r>
        <w:rPr>
          <w:rFonts w:hint="eastAsia" w:hAnsi="宋体"/>
          <w:color w:val="auto"/>
          <w:szCs w:val="21"/>
          <w:highlight w:val="none"/>
        </w:rPr>
        <w:t>的，得</w:t>
      </w:r>
      <w:r>
        <w:rPr>
          <w:rFonts w:hint="eastAsia" w:hAnsi="宋体"/>
          <w:color w:val="auto"/>
          <w:szCs w:val="21"/>
          <w:highlight w:val="none"/>
          <w:lang w:val="en-US" w:eastAsia="zh-CN"/>
        </w:rPr>
        <w:t>2</w:t>
      </w:r>
      <w:r>
        <w:rPr>
          <w:rFonts w:hint="eastAsia" w:hAnsi="宋体"/>
          <w:color w:val="auto"/>
          <w:szCs w:val="21"/>
          <w:highlight w:val="none"/>
        </w:rPr>
        <w:t>分；</w:t>
      </w:r>
    </w:p>
    <w:p w14:paraId="6A4D7E42">
      <w:pPr>
        <w:pStyle w:val="26"/>
        <w:spacing w:line="360" w:lineRule="auto"/>
        <w:ind w:firstLine="420"/>
        <w:rPr>
          <w:rFonts w:hint="eastAsia" w:hAnsi="宋体"/>
          <w:color w:val="auto"/>
          <w:szCs w:val="21"/>
          <w:highlight w:val="none"/>
        </w:rPr>
      </w:pPr>
      <w:r>
        <w:rPr>
          <w:rFonts w:hint="eastAsia" w:hAnsi="宋体"/>
          <w:color w:val="auto"/>
          <w:szCs w:val="21"/>
          <w:highlight w:val="none"/>
        </w:rPr>
        <w:t>二档：五项评审因素经评审有</w:t>
      </w:r>
      <w:r>
        <w:rPr>
          <w:rFonts w:hint="eastAsia" w:hAnsi="宋体"/>
          <w:color w:val="auto"/>
          <w:szCs w:val="21"/>
          <w:highlight w:val="none"/>
          <w:lang w:eastAsia="zh-CN"/>
        </w:rPr>
        <w:t>两项合理、可行且具有针对性</w:t>
      </w:r>
      <w:r>
        <w:rPr>
          <w:rFonts w:hint="eastAsia" w:hAnsi="宋体"/>
          <w:color w:val="auto"/>
          <w:szCs w:val="21"/>
          <w:highlight w:val="none"/>
        </w:rPr>
        <w:t>的，得</w:t>
      </w:r>
      <w:r>
        <w:rPr>
          <w:rFonts w:hint="eastAsia" w:hAnsi="宋体"/>
          <w:color w:val="auto"/>
          <w:szCs w:val="21"/>
          <w:highlight w:val="none"/>
          <w:lang w:val="en-US" w:eastAsia="zh-CN"/>
        </w:rPr>
        <w:t>4</w:t>
      </w:r>
      <w:r>
        <w:rPr>
          <w:rFonts w:hint="eastAsia" w:hAnsi="宋体"/>
          <w:color w:val="auto"/>
          <w:szCs w:val="21"/>
          <w:highlight w:val="none"/>
        </w:rPr>
        <w:t>分；</w:t>
      </w:r>
    </w:p>
    <w:p w14:paraId="2C46FF9B">
      <w:pPr>
        <w:pStyle w:val="26"/>
        <w:spacing w:line="360" w:lineRule="auto"/>
        <w:ind w:firstLine="420"/>
        <w:rPr>
          <w:rFonts w:hint="eastAsia" w:hAnsi="宋体"/>
          <w:color w:val="auto"/>
          <w:szCs w:val="21"/>
          <w:highlight w:val="none"/>
        </w:rPr>
      </w:pPr>
      <w:r>
        <w:rPr>
          <w:rFonts w:hint="eastAsia" w:hAnsi="宋体"/>
          <w:color w:val="auto"/>
          <w:szCs w:val="21"/>
          <w:highlight w:val="none"/>
        </w:rPr>
        <w:t>三档：五项评审因素经评审有三项</w:t>
      </w:r>
      <w:r>
        <w:rPr>
          <w:rFonts w:hint="eastAsia" w:hAnsi="宋体"/>
          <w:color w:val="auto"/>
          <w:szCs w:val="21"/>
          <w:highlight w:val="none"/>
          <w:lang w:eastAsia="zh-CN"/>
        </w:rPr>
        <w:t>合理、可行且具有针对性</w:t>
      </w:r>
      <w:r>
        <w:rPr>
          <w:rFonts w:hint="eastAsia" w:hAnsi="宋体"/>
          <w:color w:val="auto"/>
          <w:szCs w:val="21"/>
          <w:highlight w:val="none"/>
        </w:rPr>
        <w:t>的，得</w:t>
      </w:r>
      <w:r>
        <w:rPr>
          <w:rFonts w:hint="eastAsia" w:hAnsi="宋体"/>
          <w:color w:val="auto"/>
          <w:szCs w:val="21"/>
          <w:highlight w:val="none"/>
          <w:lang w:val="en-US" w:eastAsia="zh-CN"/>
        </w:rPr>
        <w:t>6</w:t>
      </w:r>
      <w:r>
        <w:rPr>
          <w:rFonts w:hint="eastAsia" w:hAnsi="宋体"/>
          <w:color w:val="auto"/>
          <w:szCs w:val="21"/>
          <w:highlight w:val="none"/>
        </w:rPr>
        <w:t>分；</w:t>
      </w:r>
    </w:p>
    <w:p w14:paraId="12D847CC">
      <w:pPr>
        <w:pStyle w:val="26"/>
        <w:spacing w:line="360" w:lineRule="auto"/>
        <w:ind w:firstLine="420"/>
        <w:rPr>
          <w:rFonts w:hint="eastAsia" w:hAnsi="宋体"/>
          <w:color w:val="auto"/>
          <w:szCs w:val="21"/>
          <w:highlight w:val="none"/>
        </w:rPr>
      </w:pPr>
      <w:r>
        <w:rPr>
          <w:rFonts w:hint="eastAsia" w:hAnsi="宋体"/>
          <w:color w:val="auto"/>
          <w:szCs w:val="21"/>
          <w:highlight w:val="none"/>
        </w:rPr>
        <w:t>四档：五项评审因素经评审有四项</w:t>
      </w:r>
      <w:r>
        <w:rPr>
          <w:rFonts w:hint="eastAsia" w:hAnsi="宋体"/>
          <w:color w:val="auto"/>
          <w:szCs w:val="21"/>
          <w:highlight w:val="none"/>
          <w:lang w:eastAsia="zh-CN"/>
        </w:rPr>
        <w:t>合理、可行且具有针对性</w:t>
      </w:r>
      <w:r>
        <w:rPr>
          <w:rFonts w:hint="eastAsia" w:hAnsi="宋体"/>
          <w:color w:val="auto"/>
          <w:szCs w:val="21"/>
          <w:highlight w:val="none"/>
        </w:rPr>
        <w:t>的，得</w:t>
      </w:r>
      <w:r>
        <w:rPr>
          <w:rFonts w:hint="eastAsia" w:hAnsi="宋体"/>
          <w:color w:val="auto"/>
          <w:szCs w:val="21"/>
          <w:highlight w:val="none"/>
          <w:lang w:val="en-US" w:eastAsia="zh-CN"/>
        </w:rPr>
        <w:t>8</w:t>
      </w:r>
      <w:r>
        <w:rPr>
          <w:rFonts w:hint="eastAsia" w:hAnsi="宋体"/>
          <w:color w:val="auto"/>
          <w:szCs w:val="21"/>
          <w:highlight w:val="none"/>
        </w:rPr>
        <w:t>分；</w:t>
      </w:r>
    </w:p>
    <w:p w14:paraId="541A6038">
      <w:pPr>
        <w:pStyle w:val="26"/>
        <w:spacing w:line="360" w:lineRule="auto"/>
        <w:ind w:firstLine="420"/>
        <w:rPr>
          <w:rFonts w:hint="eastAsia" w:hAnsi="宋体"/>
          <w:color w:val="auto"/>
          <w:szCs w:val="21"/>
          <w:highlight w:val="none"/>
        </w:rPr>
      </w:pPr>
      <w:r>
        <w:rPr>
          <w:rFonts w:hint="eastAsia" w:hAnsi="宋体"/>
          <w:color w:val="auto"/>
          <w:szCs w:val="21"/>
          <w:highlight w:val="none"/>
        </w:rPr>
        <w:t>五档：五项评审因素经评审均</w:t>
      </w:r>
      <w:r>
        <w:rPr>
          <w:rFonts w:hint="eastAsia" w:hAnsi="宋体"/>
          <w:color w:val="auto"/>
          <w:szCs w:val="21"/>
          <w:highlight w:val="none"/>
          <w:lang w:eastAsia="zh-CN"/>
        </w:rPr>
        <w:t>合理、可行且具有针对性</w:t>
      </w:r>
      <w:r>
        <w:rPr>
          <w:rFonts w:hint="eastAsia" w:hAnsi="宋体"/>
          <w:color w:val="auto"/>
          <w:szCs w:val="21"/>
          <w:highlight w:val="none"/>
        </w:rPr>
        <w:t>的，得</w:t>
      </w:r>
      <w:r>
        <w:rPr>
          <w:rFonts w:hint="eastAsia" w:hAnsi="宋体"/>
          <w:color w:val="auto"/>
          <w:szCs w:val="21"/>
          <w:highlight w:val="none"/>
          <w:lang w:val="en-US" w:eastAsia="zh-CN"/>
        </w:rPr>
        <w:t>10</w:t>
      </w:r>
      <w:r>
        <w:rPr>
          <w:rFonts w:hint="eastAsia" w:hAnsi="宋体"/>
          <w:color w:val="auto"/>
          <w:szCs w:val="21"/>
          <w:highlight w:val="none"/>
        </w:rPr>
        <w:t>分。</w:t>
      </w:r>
    </w:p>
    <w:p w14:paraId="157D96AA">
      <w:pPr>
        <w:pStyle w:val="26"/>
        <w:keepNext w:val="0"/>
        <w:keepLines w:val="0"/>
        <w:pageBreakBefore w:val="0"/>
        <w:widowControl w:val="0"/>
        <w:kinsoku/>
        <w:wordWrap/>
        <w:overflowPunct/>
        <w:topLinePunct w:val="0"/>
        <w:autoSpaceDE/>
        <w:autoSpaceDN/>
        <w:bidi w:val="0"/>
        <w:adjustRightInd/>
        <w:snapToGrid/>
        <w:spacing w:line="400" w:lineRule="exact"/>
        <w:ind w:firstLine="407" w:firstLineChars="193"/>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注：</w:t>
      </w:r>
    </w:p>
    <w:p w14:paraId="2F6F5187">
      <w:pPr>
        <w:pStyle w:val="26"/>
        <w:keepNext w:val="0"/>
        <w:keepLines w:val="0"/>
        <w:pageBreakBefore w:val="0"/>
        <w:widowControl w:val="0"/>
        <w:kinsoku/>
        <w:wordWrap/>
        <w:overflowPunct/>
        <w:topLinePunct w:val="0"/>
        <w:autoSpaceDE/>
        <w:autoSpaceDN/>
        <w:bidi w:val="0"/>
        <w:adjustRightInd/>
        <w:snapToGrid/>
        <w:spacing w:line="400" w:lineRule="exact"/>
        <w:ind w:firstLine="407" w:firstLineChars="193"/>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①供应商未提供“售后服务方案”相应内容或所提供的“售后服务方案”相应内容未达到一档档次的，不予计分；经评审未达到相应评审档次全部标准的，相应降低一个档次。</w:t>
      </w:r>
    </w:p>
    <w:p w14:paraId="065DAB59">
      <w:pPr>
        <w:pStyle w:val="26"/>
        <w:keepNext w:val="0"/>
        <w:keepLines w:val="0"/>
        <w:pageBreakBefore w:val="0"/>
        <w:widowControl w:val="0"/>
        <w:kinsoku/>
        <w:wordWrap/>
        <w:overflowPunct/>
        <w:topLinePunct w:val="0"/>
        <w:autoSpaceDE/>
        <w:autoSpaceDN/>
        <w:bidi w:val="0"/>
        <w:adjustRightInd/>
        <w:snapToGrid/>
        <w:spacing w:line="400" w:lineRule="exact"/>
        <w:ind w:firstLine="407" w:firstLineChars="193"/>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②“合理、可行且具有针对性”是指：方案与本项目实际情况相适应且在项目现有条件下可实施，不存在不适用本项目实际情况的情形、凭空编造、逻辑漏洞、科学原理错误以及不可能实现的夸大情形等情况。</w:t>
      </w:r>
    </w:p>
    <w:p w14:paraId="556DAEAA">
      <w:pPr>
        <w:pStyle w:val="26"/>
        <w:keepNext w:val="0"/>
        <w:keepLines w:val="0"/>
        <w:pageBreakBefore w:val="0"/>
        <w:tabs>
          <w:tab w:val="left" w:pos="4214"/>
        </w:tabs>
        <w:kinsoku/>
        <w:wordWrap/>
        <w:overflowPunct/>
        <w:topLinePunct w:val="0"/>
        <w:autoSpaceDE/>
        <w:autoSpaceDN/>
        <w:bidi w:val="0"/>
        <w:adjustRightInd/>
        <w:snapToGrid/>
        <w:spacing w:line="400" w:lineRule="exact"/>
        <w:ind w:firstLine="422" w:firstLineChars="200"/>
        <w:textAlignment w:val="auto"/>
        <w:rPr>
          <w:rFonts w:hAnsi="宋体" w:cs="宋体"/>
          <w:b/>
          <w:color w:val="auto"/>
          <w:szCs w:val="21"/>
          <w:highlight w:val="none"/>
          <w:shd w:val="clear" w:color="auto" w:fill="FFFFFF"/>
          <w:lang w:bidi="ar"/>
        </w:rPr>
      </w:pPr>
      <w:r>
        <w:rPr>
          <w:rFonts w:hint="eastAsia" w:hAnsi="宋体"/>
          <w:b/>
          <w:bCs/>
          <w:color w:val="auto"/>
          <w:highlight w:val="none"/>
          <w:lang w:val="en-US" w:eastAsia="zh-CN"/>
        </w:rPr>
        <w:t>5</w:t>
      </w:r>
      <w:r>
        <w:rPr>
          <w:rFonts w:hint="eastAsia" w:hAnsi="宋体"/>
          <w:b/>
          <w:bCs/>
          <w:color w:val="auto"/>
          <w:highlight w:val="none"/>
        </w:rPr>
        <w:t>.履约能力分……………………………………………………………………………………………</w:t>
      </w:r>
      <w:r>
        <w:rPr>
          <w:rFonts w:hint="eastAsia" w:hAnsi="宋体"/>
          <w:b/>
          <w:bCs/>
          <w:color w:val="auto"/>
          <w:highlight w:val="none"/>
          <w:lang w:val="en-US" w:eastAsia="zh-CN"/>
        </w:rPr>
        <w:t>4</w:t>
      </w:r>
      <w:r>
        <w:rPr>
          <w:rFonts w:hint="eastAsia" w:hAnsi="宋体"/>
          <w:b/>
          <w:bCs/>
          <w:color w:val="auto"/>
          <w:highlight w:val="none"/>
        </w:rPr>
        <w:t>分</w:t>
      </w:r>
    </w:p>
    <w:p w14:paraId="3E8081BB">
      <w:pPr>
        <w:pStyle w:val="229"/>
        <w:adjustRightInd w:val="0"/>
        <w:snapToGrid w:val="0"/>
        <w:spacing w:before="78" w:beforeLines="25" w:after="78" w:afterLines="25" w:line="360" w:lineRule="auto"/>
        <w:ind w:firstLineChars="0"/>
        <w:rPr>
          <w:rFonts w:ascii="宋体" w:hAnsi="宋体"/>
          <w:color w:val="auto"/>
          <w:szCs w:val="21"/>
          <w:highlight w:val="none"/>
        </w:rPr>
      </w:pPr>
      <w:r>
        <w:rPr>
          <w:rFonts w:hint="eastAsia" w:hAnsi="宋体"/>
          <w:color w:val="auto"/>
          <w:szCs w:val="21"/>
          <w:highlight w:val="none"/>
        </w:rPr>
        <w:t>投标人或</w:t>
      </w:r>
      <w:r>
        <w:rPr>
          <w:rFonts w:hint="eastAsia"/>
          <w:color w:val="auto"/>
          <w:highlight w:val="none"/>
        </w:rPr>
        <w:t>所投</w:t>
      </w:r>
      <w:r>
        <w:rPr>
          <w:rFonts w:hint="eastAsia"/>
          <w:color w:val="auto"/>
          <w:highlight w:val="none"/>
          <w:lang w:eastAsia="zh-CN"/>
        </w:rPr>
        <w:t>核心</w:t>
      </w:r>
      <w:r>
        <w:rPr>
          <w:rFonts w:hint="eastAsia"/>
          <w:color w:val="auto"/>
          <w:highlight w:val="none"/>
        </w:rPr>
        <w:t>产品</w:t>
      </w:r>
      <w:r>
        <w:rPr>
          <w:rFonts w:hint="eastAsia" w:hAnsi="宋体"/>
          <w:color w:val="auto"/>
          <w:szCs w:val="21"/>
          <w:highlight w:val="none"/>
        </w:rPr>
        <w:t>生产厂家自</w:t>
      </w:r>
      <w:r>
        <w:rPr>
          <w:rFonts w:hint="eastAsia" w:ascii="宋体" w:hAnsi="宋体"/>
          <w:color w:val="auto"/>
          <w:szCs w:val="21"/>
          <w:highlight w:val="none"/>
        </w:rPr>
        <w:t>202</w:t>
      </w:r>
      <w:r>
        <w:rPr>
          <w:rFonts w:ascii="宋体" w:hAnsi="宋体"/>
          <w:color w:val="auto"/>
          <w:szCs w:val="21"/>
          <w:highlight w:val="none"/>
        </w:rPr>
        <w:t>2</w:t>
      </w:r>
      <w:r>
        <w:rPr>
          <w:rFonts w:hint="eastAsia" w:ascii="宋体" w:hAnsi="宋体"/>
          <w:color w:val="auto"/>
          <w:szCs w:val="21"/>
          <w:highlight w:val="none"/>
        </w:rPr>
        <w:t>年以来具有</w:t>
      </w:r>
      <w:r>
        <w:rPr>
          <w:rFonts w:hint="eastAsia"/>
          <w:color w:val="auto"/>
          <w:highlight w:val="none"/>
        </w:rPr>
        <w:t>所投产品</w:t>
      </w:r>
      <w:r>
        <w:rPr>
          <w:rFonts w:hint="eastAsia" w:ascii="宋体" w:hAnsi="宋体"/>
          <w:color w:val="auto"/>
          <w:szCs w:val="21"/>
          <w:highlight w:val="none"/>
        </w:rPr>
        <w:t>销售业绩的【以投标人于投标文件中提供的销售合同或中标/成交通知书复印件为准（能清晰反映合同标的或中标/成交内容），</w:t>
      </w:r>
      <w:r>
        <w:rPr>
          <w:rFonts w:hint="eastAsia" w:ascii="宋体" w:hAnsi="宋体"/>
          <w:color w:val="auto"/>
          <w:highlight w:val="none"/>
        </w:rPr>
        <w:t>加盖</w:t>
      </w:r>
      <w:r>
        <w:rPr>
          <w:rFonts w:hint="eastAsia" w:hAnsi="宋体"/>
          <w:color w:val="auto"/>
          <w:szCs w:val="21"/>
          <w:highlight w:val="none"/>
        </w:rPr>
        <w:t>投标人电子签章</w:t>
      </w:r>
      <w:r>
        <w:rPr>
          <w:rFonts w:hint="eastAsia" w:ascii="宋体" w:hAnsi="宋体"/>
          <w:color w:val="auto"/>
          <w:highlight w:val="none"/>
        </w:rPr>
        <w:t>，否则，不予认可</w:t>
      </w:r>
      <w:r>
        <w:rPr>
          <w:rFonts w:hint="eastAsia" w:ascii="宋体" w:hAnsi="宋体"/>
          <w:color w:val="auto"/>
          <w:szCs w:val="21"/>
          <w:highlight w:val="none"/>
        </w:rPr>
        <w:t>】，每有1项业绩得</w:t>
      </w:r>
      <w:r>
        <w:rPr>
          <w:rFonts w:hint="eastAsia" w:ascii="宋体" w:hAnsi="宋体"/>
          <w:color w:val="auto"/>
          <w:szCs w:val="21"/>
          <w:highlight w:val="none"/>
          <w:lang w:val="en-US" w:eastAsia="zh-CN"/>
        </w:rPr>
        <w:t>2</w:t>
      </w:r>
      <w:r>
        <w:rPr>
          <w:rFonts w:hint="eastAsia" w:ascii="宋体" w:hAnsi="宋体"/>
          <w:color w:val="auto"/>
          <w:szCs w:val="21"/>
          <w:highlight w:val="none"/>
        </w:rPr>
        <w:t>分，最多得</w:t>
      </w:r>
      <w:r>
        <w:rPr>
          <w:rFonts w:hint="eastAsia" w:ascii="宋体" w:hAnsi="宋体" w:cs="宋体"/>
          <w:color w:val="auto"/>
          <w:szCs w:val="21"/>
          <w:highlight w:val="none"/>
          <w:lang w:val="en-US" w:eastAsia="zh-CN"/>
        </w:rPr>
        <w:t>4</w:t>
      </w:r>
      <w:r>
        <w:rPr>
          <w:rFonts w:hint="eastAsia" w:ascii="宋体" w:hAnsi="宋体"/>
          <w:color w:val="auto"/>
          <w:szCs w:val="21"/>
          <w:highlight w:val="none"/>
        </w:rPr>
        <w:t>分</w:t>
      </w:r>
      <w:r>
        <w:rPr>
          <w:rFonts w:hint="eastAsia" w:ascii="宋体" w:hAnsi="宋体"/>
          <w:color w:val="auto"/>
          <w:highlight w:val="none"/>
        </w:rPr>
        <w:t>。</w:t>
      </w:r>
    </w:p>
    <w:p w14:paraId="7A7E0270">
      <w:pPr>
        <w:pStyle w:val="26"/>
        <w:keepNext w:val="0"/>
        <w:keepLines w:val="0"/>
        <w:pageBreakBefore w:val="0"/>
        <w:kinsoku/>
        <w:wordWrap/>
        <w:overflowPunct/>
        <w:topLinePunct w:val="0"/>
        <w:autoSpaceDE/>
        <w:autoSpaceDN/>
        <w:bidi w:val="0"/>
        <w:adjustRightInd/>
        <w:snapToGrid/>
        <w:spacing w:line="400" w:lineRule="exact"/>
        <w:ind w:firstLine="413" w:firstLineChars="196"/>
        <w:textAlignment w:val="auto"/>
        <w:rPr>
          <w:rFonts w:hAnsi="宋体"/>
          <w:b/>
          <w:color w:val="auto"/>
          <w:highlight w:val="none"/>
        </w:rPr>
      </w:pPr>
      <w:r>
        <w:rPr>
          <w:rFonts w:hint="eastAsia" w:hAnsi="宋体"/>
          <w:b/>
          <w:color w:val="auto"/>
          <w:highlight w:val="none"/>
          <w:lang w:val="en-US" w:eastAsia="zh-CN"/>
        </w:rPr>
        <w:t>6</w:t>
      </w:r>
      <w:r>
        <w:rPr>
          <w:rFonts w:hint="eastAsia" w:hAnsi="宋体"/>
          <w:b/>
          <w:color w:val="auto"/>
          <w:highlight w:val="none"/>
        </w:rPr>
        <w:t>.政策功能分（节能、环保）…………</w:t>
      </w:r>
      <w:r>
        <w:rPr>
          <w:rFonts w:hint="eastAsia" w:hAnsi="宋体"/>
          <w:b/>
          <w:bCs/>
          <w:color w:val="auto"/>
          <w:highlight w:val="none"/>
        </w:rPr>
        <w:t>………………</w:t>
      </w:r>
      <w:r>
        <w:rPr>
          <w:rFonts w:hint="eastAsia" w:hAnsi="宋体"/>
          <w:b/>
          <w:color w:val="auto"/>
          <w:highlight w:val="none"/>
        </w:rPr>
        <w:t>………………………………………………2分</w:t>
      </w:r>
    </w:p>
    <w:p w14:paraId="77392FEC">
      <w:pPr>
        <w:pStyle w:val="26"/>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Ansi="宋体"/>
          <w:bCs/>
          <w:color w:val="auto"/>
          <w:highlight w:val="none"/>
        </w:rPr>
      </w:pPr>
      <w:r>
        <w:rPr>
          <w:rFonts w:hint="eastAsia" w:hAnsi="宋体"/>
          <w:bCs/>
          <w:color w:val="auto"/>
          <w:highlight w:val="none"/>
        </w:rPr>
        <w:t>（1）属于财政部《节能产品政府采购品目清单》内优先采购（清单内未标注“★”的品目）的产品</w:t>
      </w:r>
      <w:r>
        <w:rPr>
          <w:rFonts w:hint="eastAsia" w:hAnsi="宋体"/>
          <w:bCs/>
          <w:color w:val="auto"/>
          <w:highlight w:val="none"/>
          <w:lang w:eastAsia="zh-CN"/>
        </w:rPr>
        <w:t>（在</w:t>
      </w:r>
      <w:r>
        <w:rPr>
          <w:rFonts w:hint="eastAsia" w:hAnsi="宋体"/>
          <w:color w:val="auto"/>
          <w:highlight w:val="none"/>
        </w:rPr>
        <w:t>投标文件中提供有效的认证证书复印件，并加盖投标人电子签章，否则不予计分）</w:t>
      </w:r>
      <w:r>
        <w:rPr>
          <w:rFonts w:hint="eastAsia" w:hAnsi="宋体"/>
          <w:bCs/>
          <w:color w:val="auto"/>
          <w:highlight w:val="none"/>
        </w:rPr>
        <w:t>，</w:t>
      </w:r>
      <w:r>
        <w:rPr>
          <w:rFonts w:hint="eastAsia" w:hAnsi="宋体" w:cs="Courier New"/>
          <w:bCs/>
          <w:color w:val="auto"/>
          <w:kern w:val="2"/>
          <w:sz w:val="21"/>
          <w:highlight w:val="none"/>
        </w:rPr>
        <w:t>根据其所占</w:t>
      </w:r>
      <w:r>
        <w:rPr>
          <w:rFonts w:hint="eastAsia" w:hAnsi="宋体" w:cs="Courier New"/>
          <w:bCs/>
          <w:color w:val="auto"/>
          <w:kern w:val="2"/>
          <w:sz w:val="21"/>
          <w:highlight w:val="none"/>
          <w:lang w:eastAsia="zh-CN"/>
        </w:rPr>
        <w:t>分标投标报价总</w:t>
      </w:r>
      <w:r>
        <w:rPr>
          <w:rFonts w:hint="eastAsia" w:hAnsi="宋体" w:cs="Courier New"/>
          <w:bCs/>
          <w:color w:val="auto"/>
          <w:kern w:val="2"/>
          <w:sz w:val="21"/>
          <w:highlight w:val="none"/>
        </w:rPr>
        <w:t>金额比例计算得分</w:t>
      </w:r>
      <w:r>
        <w:rPr>
          <w:rFonts w:hint="eastAsia" w:hAnsi="宋体" w:cs="Courier New"/>
          <w:bCs/>
          <w:color w:val="auto"/>
          <w:kern w:val="2"/>
          <w:sz w:val="21"/>
          <w:highlight w:val="none"/>
          <w:lang w:eastAsia="zh-CN"/>
        </w:rPr>
        <w:t>，最多得</w:t>
      </w:r>
      <w:r>
        <w:rPr>
          <w:rFonts w:hint="eastAsia" w:hAnsi="宋体" w:cs="Courier New"/>
          <w:bCs/>
          <w:color w:val="auto"/>
          <w:kern w:val="2"/>
          <w:sz w:val="21"/>
          <w:highlight w:val="none"/>
          <w:lang w:val="en-US" w:eastAsia="zh-CN"/>
        </w:rPr>
        <w:t>1分</w:t>
      </w:r>
      <w:r>
        <w:rPr>
          <w:rFonts w:hint="eastAsia" w:hAnsi="宋体"/>
          <w:bCs/>
          <w:color w:val="auto"/>
          <w:highlight w:val="none"/>
        </w:rPr>
        <w:t>。</w:t>
      </w:r>
    </w:p>
    <w:p w14:paraId="4631CCDC">
      <w:pPr>
        <w:pStyle w:val="26"/>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Ansi="宋体"/>
          <w:bCs/>
          <w:color w:val="auto"/>
          <w:highlight w:val="none"/>
        </w:rPr>
      </w:pPr>
      <w:r>
        <w:rPr>
          <w:rFonts w:hint="eastAsia" w:hAnsi="宋体"/>
          <w:bCs/>
          <w:color w:val="auto"/>
          <w:highlight w:val="none"/>
        </w:rPr>
        <w:t>（2）属于财政部《环境标志产品政府采购品目清单》内的产品</w:t>
      </w:r>
      <w:r>
        <w:rPr>
          <w:rFonts w:hint="eastAsia" w:hAnsi="宋体"/>
          <w:bCs/>
          <w:color w:val="auto"/>
          <w:highlight w:val="none"/>
          <w:lang w:eastAsia="zh-CN"/>
        </w:rPr>
        <w:t>（在</w:t>
      </w:r>
      <w:r>
        <w:rPr>
          <w:rFonts w:hint="eastAsia" w:hAnsi="宋体"/>
          <w:color w:val="auto"/>
          <w:highlight w:val="none"/>
        </w:rPr>
        <w:t>投标文件中提供有效的认证证书复印件，并加盖投标人电子签章，否则不予计分）</w:t>
      </w:r>
      <w:r>
        <w:rPr>
          <w:rFonts w:hint="eastAsia" w:hAnsi="宋体"/>
          <w:bCs/>
          <w:color w:val="auto"/>
          <w:highlight w:val="none"/>
        </w:rPr>
        <w:t>，</w:t>
      </w:r>
      <w:r>
        <w:rPr>
          <w:rFonts w:hint="eastAsia" w:hAnsi="宋体" w:cs="Courier New"/>
          <w:bCs/>
          <w:color w:val="auto"/>
          <w:kern w:val="2"/>
          <w:sz w:val="21"/>
          <w:highlight w:val="none"/>
        </w:rPr>
        <w:t>根据其所占</w:t>
      </w:r>
      <w:r>
        <w:rPr>
          <w:rFonts w:hint="eastAsia" w:hAnsi="宋体" w:cs="Courier New"/>
          <w:bCs/>
          <w:color w:val="auto"/>
          <w:kern w:val="2"/>
          <w:sz w:val="21"/>
          <w:highlight w:val="none"/>
          <w:lang w:eastAsia="zh-CN"/>
        </w:rPr>
        <w:t>分标投标报价总</w:t>
      </w:r>
      <w:r>
        <w:rPr>
          <w:rFonts w:hint="eastAsia" w:hAnsi="宋体" w:cs="Courier New"/>
          <w:bCs/>
          <w:color w:val="auto"/>
          <w:kern w:val="2"/>
          <w:sz w:val="21"/>
          <w:highlight w:val="none"/>
        </w:rPr>
        <w:t>金额比例计算得分</w:t>
      </w:r>
      <w:r>
        <w:rPr>
          <w:rFonts w:hint="eastAsia" w:hAnsi="宋体" w:cs="Courier New"/>
          <w:bCs/>
          <w:color w:val="auto"/>
          <w:kern w:val="2"/>
          <w:sz w:val="21"/>
          <w:highlight w:val="none"/>
          <w:lang w:eastAsia="zh-CN"/>
        </w:rPr>
        <w:t>，最多得</w:t>
      </w:r>
      <w:r>
        <w:rPr>
          <w:rFonts w:hint="eastAsia" w:hAnsi="宋体" w:cs="Courier New"/>
          <w:bCs/>
          <w:color w:val="auto"/>
          <w:kern w:val="2"/>
          <w:sz w:val="21"/>
          <w:highlight w:val="none"/>
          <w:lang w:val="en-US" w:eastAsia="zh-CN"/>
        </w:rPr>
        <w:t>1分。</w:t>
      </w:r>
    </w:p>
    <w:p w14:paraId="0DDF563F">
      <w:pPr>
        <w:pStyle w:val="26"/>
        <w:keepNext w:val="0"/>
        <w:keepLines w:val="0"/>
        <w:pageBreakBefore w:val="0"/>
        <w:kinsoku/>
        <w:wordWrap/>
        <w:overflowPunct/>
        <w:topLinePunct w:val="0"/>
        <w:autoSpaceDE/>
        <w:autoSpaceDN/>
        <w:bidi w:val="0"/>
        <w:adjustRightInd/>
        <w:snapToGrid/>
        <w:spacing w:line="400" w:lineRule="exact"/>
        <w:ind w:firstLine="538" w:firstLineChars="255"/>
        <w:textAlignment w:val="auto"/>
        <w:rPr>
          <w:rFonts w:hAnsi="宋体"/>
          <w:b/>
          <w:color w:val="auto"/>
          <w:highlight w:val="none"/>
        </w:rPr>
      </w:pPr>
      <w:r>
        <w:rPr>
          <w:rFonts w:hint="eastAsia" w:hAnsi="宋体"/>
          <w:b/>
          <w:color w:val="auto"/>
          <w:szCs w:val="21"/>
          <w:highlight w:val="none"/>
          <w:lang w:val="en-US" w:eastAsia="zh-CN"/>
        </w:rPr>
        <w:t>7</w:t>
      </w:r>
      <w:r>
        <w:rPr>
          <w:rFonts w:hint="eastAsia" w:hAnsi="宋体"/>
          <w:b/>
          <w:color w:val="auto"/>
          <w:szCs w:val="21"/>
          <w:highlight w:val="none"/>
        </w:rPr>
        <w:t>.</w:t>
      </w:r>
      <w:r>
        <w:rPr>
          <w:rFonts w:hAnsi="宋体"/>
          <w:b/>
          <w:color w:val="auto"/>
          <w:szCs w:val="21"/>
          <w:highlight w:val="none"/>
        </w:rPr>
        <w:t>总得分为以上各项评审因素得分合计。</w:t>
      </w:r>
    </w:p>
    <w:p w14:paraId="456291CB">
      <w:pPr>
        <w:pStyle w:val="26"/>
        <w:keepNext w:val="0"/>
        <w:keepLines w:val="0"/>
        <w:pageBreakBefore w:val="0"/>
        <w:tabs>
          <w:tab w:val="left" w:pos="4214"/>
        </w:tabs>
        <w:kinsoku/>
        <w:wordWrap/>
        <w:overflowPunct/>
        <w:topLinePunct w:val="0"/>
        <w:autoSpaceDE/>
        <w:autoSpaceDN/>
        <w:bidi w:val="0"/>
        <w:adjustRightInd/>
        <w:snapToGrid/>
        <w:spacing w:line="400" w:lineRule="exact"/>
        <w:ind w:firstLine="422" w:firstLineChars="200"/>
        <w:textAlignment w:val="auto"/>
        <w:rPr>
          <w:rFonts w:hAnsi="宋体"/>
          <w:b/>
          <w:color w:val="auto"/>
          <w:highlight w:val="none"/>
        </w:rPr>
      </w:pPr>
    </w:p>
    <w:p w14:paraId="3032AE39">
      <w:pPr>
        <w:pStyle w:val="26"/>
        <w:keepNext w:val="0"/>
        <w:keepLines w:val="0"/>
        <w:pageBreakBefore w:val="0"/>
        <w:tabs>
          <w:tab w:val="left" w:pos="4214"/>
        </w:tabs>
        <w:kinsoku/>
        <w:wordWrap/>
        <w:overflowPunct/>
        <w:topLinePunct w:val="0"/>
        <w:autoSpaceDE/>
        <w:autoSpaceDN/>
        <w:bidi w:val="0"/>
        <w:adjustRightInd/>
        <w:snapToGrid/>
        <w:spacing w:line="400" w:lineRule="exact"/>
        <w:ind w:firstLine="422" w:firstLineChars="200"/>
        <w:jc w:val="left"/>
        <w:textAlignment w:val="auto"/>
        <w:rPr>
          <w:rFonts w:hAnsi="宋体"/>
          <w:b/>
          <w:color w:val="auto"/>
          <w:highlight w:val="none"/>
        </w:rPr>
      </w:pPr>
      <w:r>
        <w:rPr>
          <w:rFonts w:hint="eastAsia" w:hAnsi="宋体"/>
          <w:b/>
          <w:color w:val="auto"/>
          <w:highlight w:val="none"/>
        </w:rPr>
        <w:t>三、推荐及确定中标候选人原则</w:t>
      </w:r>
    </w:p>
    <w:p w14:paraId="5F4410D1">
      <w:pPr>
        <w:pStyle w:val="26"/>
        <w:keepNext w:val="0"/>
        <w:keepLines w:val="0"/>
        <w:pageBreakBefore w:val="0"/>
        <w:tabs>
          <w:tab w:val="left" w:pos="4214"/>
        </w:tabs>
        <w:kinsoku/>
        <w:wordWrap/>
        <w:overflowPunct/>
        <w:topLinePunct w:val="0"/>
        <w:autoSpaceDE/>
        <w:autoSpaceDN/>
        <w:bidi w:val="0"/>
        <w:adjustRightInd/>
        <w:snapToGrid/>
        <w:spacing w:line="400" w:lineRule="exact"/>
        <w:ind w:firstLine="420" w:firstLineChars="200"/>
        <w:jc w:val="left"/>
        <w:textAlignment w:val="auto"/>
        <w:rPr>
          <w:color w:val="auto"/>
          <w:highlight w:val="none"/>
        </w:rPr>
      </w:pPr>
      <w:r>
        <w:rPr>
          <w:color w:val="auto"/>
          <w:highlight w:val="none"/>
        </w:rPr>
        <w:t>（1）评标委员会将根据评标结果按评审后得分由高到低顺序排列。得分相同的，按投标报价由低到高顺序排列；得分相同且投标报价相同的并列。</w:t>
      </w:r>
      <w:r>
        <w:rPr>
          <w:rFonts w:hint="eastAsia"/>
          <w:color w:val="auto"/>
          <w:highlight w:val="none"/>
        </w:rPr>
        <w:t>投标文件满足招标文件全部实质性要求，且按照评审因素的量化指标评审得分最高的投标人为排名第一的中标候选人。</w:t>
      </w:r>
    </w:p>
    <w:p w14:paraId="2EAE87BF">
      <w:pPr>
        <w:pStyle w:val="26"/>
        <w:keepNext w:val="0"/>
        <w:keepLines w:val="0"/>
        <w:pageBreakBefore w:val="0"/>
        <w:tabs>
          <w:tab w:val="left" w:pos="4214"/>
        </w:tabs>
        <w:kinsoku/>
        <w:wordWrap/>
        <w:overflowPunct/>
        <w:topLinePunct w:val="0"/>
        <w:autoSpaceDE/>
        <w:autoSpaceDN/>
        <w:bidi w:val="0"/>
        <w:adjustRightInd/>
        <w:snapToGrid/>
        <w:spacing w:line="400" w:lineRule="exact"/>
        <w:ind w:firstLine="420" w:firstLineChars="200"/>
        <w:jc w:val="left"/>
        <w:textAlignment w:val="auto"/>
        <w:rPr>
          <w:color w:val="auto"/>
          <w:highlight w:val="none"/>
        </w:rPr>
      </w:pPr>
      <w:r>
        <w:rPr>
          <w:rFonts w:hint="eastAsia"/>
          <w:color w:val="auto"/>
          <w:highlight w:val="none"/>
        </w:rPr>
        <w:t>（2）采购人应当自收到评标报告之日起</w:t>
      </w:r>
      <w:r>
        <w:rPr>
          <w:color w:val="auto"/>
          <w:highlight w:val="none"/>
        </w:rPr>
        <w:t>5</w:t>
      </w:r>
      <w:r>
        <w:rPr>
          <w:rFonts w:hint="eastAsia"/>
          <w:color w:val="auto"/>
          <w:highlight w:val="none"/>
        </w:rPr>
        <w:t>个工作日内，在评标报告确定的中标候选人名单中按顺序确定中标人。中标候选人并列的</w:t>
      </w:r>
      <w:r>
        <w:rPr>
          <w:color w:val="auto"/>
          <w:highlight w:val="none"/>
        </w:rPr>
        <w:t>，采购人</w:t>
      </w:r>
      <w:r>
        <w:rPr>
          <w:rFonts w:hint="eastAsia"/>
          <w:color w:val="auto"/>
          <w:highlight w:val="none"/>
        </w:rPr>
        <w:t>按</w:t>
      </w:r>
      <w:r>
        <w:rPr>
          <w:rFonts w:hint="eastAsia"/>
          <w:color w:val="auto"/>
          <w:highlight w:val="none"/>
          <w:lang w:eastAsia="zh-CN"/>
        </w:rPr>
        <w:t>以下</w:t>
      </w:r>
      <w:r>
        <w:rPr>
          <w:rFonts w:hint="eastAsia"/>
          <w:color w:val="auto"/>
          <w:highlight w:val="none"/>
        </w:rPr>
        <w:t>方</w:t>
      </w:r>
      <w:r>
        <w:rPr>
          <w:rFonts w:hint="eastAsia" w:ascii="宋体" w:eastAsia="宋体" w:cs="Times New Roman"/>
          <w:color w:val="auto"/>
          <w:highlight w:val="none"/>
        </w:rPr>
        <w:t>式确定中标人：依次按技术分高的优先、配送及安装实施方案分的优先、售后服务方案分高的优先、履约能力分高</w:t>
      </w:r>
      <w:r>
        <w:rPr>
          <w:rFonts w:hint="eastAsia"/>
          <w:color w:val="auto"/>
          <w:highlight w:val="none"/>
        </w:rPr>
        <w:t>的优先、政策功能分（节能、环保）高的优先、</w:t>
      </w:r>
      <w:r>
        <w:rPr>
          <w:rFonts w:hint="eastAsia"/>
          <w:color w:val="auto"/>
          <w:highlight w:val="none"/>
          <w:lang w:eastAsia="zh-CN"/>
        </w:rPr>
        <w:t>质保期</w:t>
      </w:r>
      <w:r>
        <w:rPr>
          <w:rFonts w:hint="eastAsia"/>
          <w:color w:val="auto"/>
          <w:highlight w:val="none"/>
        </w:rPr>
        <w:t>长的优先、交付时间短的优先顺序确定中标人。</w:t>
      </w:r>
    </w:p>
    <w:p w14:paraId="2741DEBB">
      <w:pPr>
        <w:pStyle w:val="26"/>
        <w:keepNext w:val="0"/>
        <w:keepLines w:val="0"/>
        <w:pageBreakBefore w:val="0"/>
        <w:tabs>
          <w:tab w:val="left" w:pos="4214"/>
        </w:tabs>
        <w:kinsoku/>
        <w:wordWrap/>
        <w:overflowPunct/>
        <w:topLinePunct w:val="0"/>
        <w:autoSpaceDE/>
        <w:autoSpaceDN/>
        <w:bidi w:val="0"/>
        <w:adjustRightInd/>
        <w:snapToGrid/>
        <w:spacing w:line="400" w:lineRule="exact"/>
        <w:ind w:firstLine="420" w:firstLineChars="200"/>
        <w:jc w:val="left"/>
        <w:textAlignment w:val="auto"/>
        <w:rPr>
          <w:rFonts w:hAnsi="宋体"/>
          <w:b/>
          <w:color w:val="auto"/>
          <w:sz w:val="32"/>
          <w:szCs w:val="32"/>
          <w:highlight w:val="none"/>
        </w:rPr>
      </w:pPr>
      <w:r>
        <w:rPr>
          <w:rFonts w:hint="eastAsia"/>
          <w:color w:val="auto"/>
          <w:highlight w:val="none"/>
        </w:rPr>
        <w:t>（3）中标人放弃中标、拒绝与采购人签订合同、因不可抗力提出不能履行合同，或信用信息记录不符合相关规定的，或者招标文件规定应当提交履约保证金而在规定</w:t>
      </w:r>
      <w:r>
        <w:rPr>
          <w:color w:val="auto"/>
          <w:highlight w:val="none"/>
        </w:rPr>
        <w:t>的期限内未能提交的，采购人可以</w:t>
      </w:r>
      <w:r>
        <w:rPr>
          <w:rFonts w:hint="eastAsia"/>
          <w:color w:val="auto"/>
          <w:highlight w:val="none"/>
        </w:rPr>
        <w:t>按照评审报告推荐的中标候选人名单排序，确定下一候选人中标，也可以重新开展政府采购活动。</w:t>
      </w:r>
    </w:p>
    <w:p w14:paraId="49F363EB">
      <w:pPr>
        <w:spacing w:line="360" w:lineRule="auto"/>
        <w:rPr>
          <w:color w:val="auto"/>
          <w:highlight w:val="none"/>
        </w:rPr>
      </w:pPr>
      <w:r>
        <w:rPr>
          <w:color w:val="auto"/>
          <w:highlight w:val="none"/>
        </w:rPr>
        <w:br w:type="page"/>
      </w:r>
    </w:p>
    <w:p w14:paraId="1D4AE4BE">
      <w:pPr>
        <w:pStyle w:val="26"/>
        <w:spacing w:line="400" w:lineRule="exact"/>
        <w:jc w:val="center"/>
        <w:rPr>
          <w:rFonts w:hAnsi="宋体"/>
          <w:b/>
          <w:color w:val="auto"/>
          <w:sz w:val="32"/>
          <w:szCs w:val="32"/>
          <w:highlight w:val="none"/>
        </w:rPr>
      </w:pPr>
    </w:p>
    <w:p w14:paraId="7DF0FA9B">
      <w:pPr>
        <w:pStyle w:val="26"/>
        <w:spacing w:line="400" w:lineRule="exact"/>
        <w:jc w:val="center"/>
        <w:rPr>
          <w:rFonts w:hAnsi="宋体"/>
          <w:b/>
          <w:color w:val="auto"/>
          <w:sz w:val="32"/>
          <w:szCs w:val="32"/>
          <w:highlight w:val="none"/>
        </w:rPr>
      </w:pPr>
    </w:p>
    <w:p w14:paraId="243DEE55">
      <w:pPr>
        <w:pStyle w:val="26"/>
        <w:spacing w:line="400" w:lineRule="exact"/>
        <w:jc w:val="center"/>
        <w:rPr>
          <w:rFonts w:hAnsi="宋体"/>
          <w:b/>
          <w:color w:val="auto"/>
          <w:sz w:val="32"/>
          <w:szCs w:val="32"/>
          <w:highlight w:val="none"/>
        </w:rPr>
      </w:pPr>
    </w:p>
    <w:p w14:paraId="5D7641D5">
      <w:pPr>
        <w:pStyle w:val="26"/>
        <w:spacing w:line="400" w:lineRule="exact"/>
        <w:jc w:val="center"/>
        <w:rPr>
          <w:rFonts w:hAnsi="宋体"/>
          <w:b/>
          <w:color w:val="auto"/>
          <w:sz w:val="32"/>
          <w:szCs w:val="32"/>
          <w:highlight w:val="none"/>
        </w:rPr>
      </w:pPr>
    </w:p>
    <w:p w14:paraId="4F1DAAE6">
      <w:pPr>
        <w:pStyle w:val="26"/>
        <w:spacing w:line="400" w:lineRule="exact"/>
        <w:jc w:val="center"/>
        <w:rPr>
          <w:rFonts w:hAnsi="宋体"/>
          <w:b/>
          <w:color w:val="auto"/>
          <w:sz w:val="32"/>
          <w:szCs w:val="32"/>
          <w:highlight w:val="none"/>
        </w:rPr>
      </w:pPr>
    </w:p>
    <w:p w14:paraId="024A8D3F">
      <w:pPr>
        <w:pStyle w:val="26"/>
        <w:spacing w:line="400" w:lineRule="exact"/>
        <w:jc w:val="center"/>
        <w:rPr>
          <w:rFonts w:hAnsi="宋体"/>
          <w:b/>
          <w:color w:val="auto"/>
          <w:sz w:val="32"/>
          <w:szCs w:val="32"/>
          <w:highlight w:val="none"/>
        </w:rPr>
      </w:pPr>
    </w:p>
    <w:p w14:paraId="3E0FCBF7">
      <w:pPr>
        <w:pStyle w:val="26"/>
        <w:spacing w:line="400" w:lineRule="exact"/>
        <w:jc w:val="center"/>
        <w:rPr>
          <w:rFonts w:hAnsi="宋体"/>
          <w:b/>
          <w:color w:val="auto"/>
          <w:sz w:val="32"/>
          <w:szCs w:val="32"/>
          <w:highlight w:val="none"/>
        </w:rPr>
      </w:pPr>
    </w:p>
    <w:p w14:paraId="2A34DA6B">
      <w:pPr>
        <w:pStyle w:val="26"/>
        <w:spacing w:line="400" w:lineRule="exact"/>
        <w:jc w:val="center"/>
        <w:rPr>
          <w:rFonts w:hAnsi="宋体"/>
          <w:b/>
          <w:color w:val="auto"/>
          <w:sz w:val="32"/>
          <w:szCs w:val="32"/>
          <w:highlight w:val="none"/>
        </w:rPr>
      </w:pPr>
    </w:p>
    <w:p w14:paraId="5F16F31C">
      <w:pPr>
        <w:pStyle w:val="26"/>
        <w:spacing w:line="400" w:lineRule="exact"/>
        <w:jc w:val="center"/>
        <w:rPr>
          <w:rFonts w:hAnsi="宋体"/>
          <w:b/>
          <w:color w:val="auto"/>
          <w:sz w:val="32"/>
          <w:szCs w:val="32"/>
          <w:highlight w:val="none"/>
        </w:rPr>
      </w:pPr>
    </w:p>
    <w:p w14:paraId="64953434">
      <w:pPr>
        <w:pStyle w:val="26"/>
        <w:spacing w:line="400" w:lineRule="exact"/>
        <w:jc w:val="center"/>
        <w:rPr>
          <w:rFonts w:hAnsi="宋体"/>
          <w:b/>
          <w:color w:val="auto"/>
          <w:sz w:val="32"/>
          <w:szCs w:val="32"/>
          <w:highlight w:val="none"/>
        </w:rPr>
      </w:pPr>
    </w:p>
    <w:p w14:paraId="1991931B">
      <w:pPr>
        <w:pStyle w:val="26"/>
        <w:spacing w:line="400" w:lineRule="exact"/>
        <w:jc w:val="center"/>
        <w:rPr>
          <w:rFonts w:hAnsi="宋体"/>
          <w:b/>
          <w:color w:val="auto"/>
          <w:sz w:val="32"/>
          <w:szCs w:val="32"/>
          <w:highlight w:val="none"/>
        </w:rPr>
      </w:pPr>
    </w:p>
    <w:p w14:paraId="766C12CF">
      <w:pPr>
        <w:pStyle w:val="26"/>
        <w:spacing w:line="400" w:lineRule="exact"/>
        <w:jc w:val="center"/>
        <w:rPr>
          <w:rFonts w:hAnsi="宋体"/>
          <w:b/>
          <w:color w:val="auto"/>
          <w:sz w:val="32"/>
          <w:szCs w:val="32"/>
          <w:highlight w:val="none"/>
        </w:rPr>
      </w:pPr>
    </w:p>
    <w:p w14:paraId="42774BBD">
      <w:pPr>
        <w:pStyle w:val="26"/>
        <w:spacing w:line="400" w:lineRule="exact"/>
        <w:jc w:val="center"/>
        <w:rPr>
          <w:rFonts w:hAnsi="宋体"/>
          <w:b/>
          <w:color w:val="auto"/>
          <w:sz w:val="32"/>
          <w:szCs w:val="32"/>
          <w:highlight w:val="none"/>
        </w:rPr>
      </w:pPr>
    </w:p>
    <w:p w14:paraId="53384B8B">
      <w:pPr>
        <w:pStyle w:val="26"/>
        <w:spacing w:line="400" w:lineRule="exact"/>
        <w:jc w:val="center"/>
        <w:rPr>
          <w:rFonts w:hAnsi="宋体"/>
          <w:b/>
          <w:color w:val="auto"/>
          <w:sz w:val="32"/>
          <w:szCs w:val="32"/>
          <w:highlight w:val="none"/>
        </w:rPr>
      </w:pPr>
    </w:p>
    <w:p w14:paraId="28C689F9">
      <w:pPr>
        <w:pStyle w:val="26"/>
        <w:spacing w:line="400" w:lineRule="exact"/>
        <w:jc w:val="center"/>
        <w:rPr>
          <w:rFonts w:hAnsi="宋体"/>
          <w:b/>
          <w:color w:val="auto"/>
          <w:sz w:val="32"/>
          <w:szCs w:val="32"/>
          <w:highlight w:val="none"/>
        </w:rPr>
      </w:pPr>
    </w:p>
    <w:p w14:paraId="3111177D">
      <w:pPr>
        <w:pStyle w:val="26"/>
        <w:spacing w:line="400" w:lineRule="exact"/>
        <w:jc w:val="center"/>
        <w:rPr>
          <w:rFonts w:hAnsi="宋体"/>
          <w:b/>
          <w:color w:val="auto"/>
          <w:sz w:val="32"/>
          <w:szCs w:val="32"/>
          <w:highlight w:val="none"/>
        </w:rPr>
      </w:pPr>
    </w:p>
    <w:p w14:paraId="3FFFE925">
      <w:pPr>
        <w:pStyle w:val="26"/>
        <w:spacing w:line="400" w:lineRule="exact"/>
        <w:jc w:val="center"/>
        <w:rPr>
          <w:rFonts w:hAnsi="宋体"/>
          <w:b/>
          <w:color w:val="auto"/>
          <w:sz w:val="32"/>
          <w:szCs w:val="32"/>
          <w:highlight w:val="none"/>
        </w:rPr>
      </w:pPr>
      <w:r>
        <w:rPr>
          <w:rFonts w:hint="eastAsia" w:hAnsi="宋体"/>
          <w:b/>
          <w:color w:val="auto"/>
          <w:sz w:val="32"/>
          <w:szCs w:val="32"/>
          <w:highlight w:val="none"/>
        </w:rPr>
        <w:t>第五章  政府采购合同（合同主要条款及格式）</w:t>
      </w:r>
    </w:p>
    <w:p w14:paraId="6F098D8E">
      <w:pPr>
        <w:spacing w:line="400" w:lineRule="exact"/>
        <w:rPr>
          <w:rFonts w:ascii="宋体" w:hAnsi="宋体"/>
          <w:color w:val="auto"/>
          <w:highlight w:val="none"/>
        </w:rPr>
      </w:pPr>
    </w:p>
    <w:p w14:paraId="61014F95">
      <w:pPr>
        <w:tabs>
          <w:tab w:val="left" w:pos="5040"/>
        </w:tabs>
        <w:spacing w:line="400" w:lineRule="exact"/>
        <w:rPr>
          <w:rFonts w:ascii="宋体" w:hAnsi="宋体"/>
          <w:color w:val="auto"/>
          <w:szCs w:val="21"/>
          <w:highlight w:val="none"/>
        </w:rPr>
      </w:pPr>
      <w:r>
        <w:rPr>
          <w:rFonts w:hint="eastAsia" w:ascii="宋体" w:hAnsi="宋体"/>
          <w:color w:val="auto"/>
          <w:szCs w:val="21"/>
          <w:highlight w:val="none"/>
        </w:rPr>
        <w:t xml:space="preserve">   </w:t>
      </w:r>
    </w:p>
    <w:p w14:paraId="496DA0FF">
      <w:pPr>
        <w:tabs>
          <w:tab w:val="left" w:pos="5040"/>
        </w:tabs>
        <w:spacing w:line="320" w:lineRule="exact"/>
        <w:rPr>
          <w:rFonts w:ascii="宋体" w:hAnsi="宋体"/>
          <w:color w:val="auto"/>
          <w:szCs w:val="21"/>
          <w:highlight w:val="none"/>
        </w:rPr>
      </w:pPr>
    </w:p>
    <w:p w14:paraId="2666E13D">
      <w:pPr>
        <w:tabs>
          <w:tab w:val="left" w:pos="5040"/>
        </w:tabs>
        <w:spacing w:line="360" w:lineRule="auto"/>
        <w:rPr>
          <w:rFonts w:ascii="宋体" w:hAnsi="宋体"/>
          <w:color w:val="auto"/>
          <w:szCs w:val="21"/>
          <w:highlight w:val="none"/>
        </w:rPr>
      </w:pPr>
    </w:p>
    <w:p w14:paraId="5DB153A7">
      <w:pPr>
        <w:tabs>
          <w:tab w:val="left" w:pos="5040"/>
        </w:tabs>
        <w:spacing w:line="360" w:lineRule="auto"/>
        <w:rPr>
          <w:rFonts w:ascii="宋体" w:hAnsi="宋体"/>
          <w:color w:val="auto"/>
          <w:szCs w:val="21"/>
          <w:highlight w:val="none"/>
        </w:rPr>
      </w:pPr>
    </w:p>
    <w:p w14:paraId="68D34DB7">
      <w:pPr>
        <w:tabs>
          <w:tab w:val="left" w:pos="5040"/>
        </w:tabs>
        <w:spacing w:line="360" w:lineRule="auto"/>
        <w:rPr>
          <w:rFonts w:ascii="宋体" w:hAnsi="宋体"/>
          <w:color w:val="auto"/>
          <w:szCs w:val="21"/>
          <w:highlight w:val="none"/>
        </w:rPr>
      </w:pPr>
    </w:p>
    <w:p w14:paraId="5FFA1867">
      <w:pPr>
        <w:tabs>
          <w:tab w:val="left" w:pos="5040"/>
        </w:tabs>
        <w:spacing w:line="360" w:lineRule="auto"/>
        <w:rPr>
          <w:rFonts w:ascii="宋体" w:hAnsi="宋体"/>
          <w:color w:val="auto"/>
          <w:szCs w:val="21"/>
          <w:highlight w:val="none"/>
        </w:rPr>
      </w:pPr>
    </w:p>
    <w:p w14:paraId="45923DEB">
      <w:pPr>
        <w:tabs>
          <w:tab w:val="left" w:pos="5040"/>
        </w:tabs>
        <w:spacing w:line="360" w:lineRule="auto"/>
        <w:rPr>
          <w:rFonts w:ascii="宋体" w:hAnsi="宋体"/>
          <w:color w:val="auto"/>
          <w:szCs w:val="21"/>
          <w:highlight w:val="none"/>
        </w:rPr>
      </w:pPr>
    </w:p>
    <w:p w14:paraId="38E82D44">
      <w:pPr>
        <w:tabs>
          <w:tab w:val="left" w:pos="5040"/>
        </w:tabs>
        <w:spacing w:line="360" w:lineRule="auto"/>
        <w:rPr>
          <w:rFonts w:ascii="宋体" w:hAnsi="宋体"/>
          <w:color w:val="auto"/>
          <w:szCs w:val="21"/>
          <w:highlight w:val="none"/>
        </w:rPr>
      </w:pPr>
    </w:p>
    <w:p w14:paraId="71E54278">
      <w:pPr>
        <w:tabs>
          <w:tab w:val="left" w:pos="5040"/>
        </w:tabs>
        <w:spacing w:line="360" w:lineRule="auto"/>
        <w:rPr>
          <w:rFonts w:ascii="宋体" w:hAnsi="宋体"/>
          <w:color w:val="auto"/>
          <w:szCs w:val="21"/>
          <w:highlight w:val="none"/>
        </w:rPr>
      </w:pPr>
    </w:p>
    <w:p w14:paraId="0BA7B266">
      <w:pPr>
        <w:tabs>
          <w:tab w:val="left" w:pos="5040"/>
        </w:tabs>
        <w:spacing w:line="360" w:lineRule="auto"/>
        <w:rPr>
          <w:rFonts w:ascii="宋体" w:hAnsi="宋体"/>
          <w:color w:val="auto"/>
          <w:szCs w:val="21"/>
          <w:highlight w:val="none"/>
        </w:rPr>
      </w:pPr>
    </w:p>
    <w:p w14:paraId="51EC4401">
      <w:pPr>
        <w:tabs>
          <w:tab w:val="left" w:pos="5040"/>
        </w:tabs>
        <w:spacing w:line="360" w:lineRule="auto"/>
        <w:rPr>
          <w:rFonts w:ascii="宋体" w:hAnsi="宋体"/>
          <w:color w:val="auto"/>
          <w:szCs w:val="21"/>
          <w:highlight w:val="none"/>
        </w:rPr>
      </w:pPr>
    </w:p>
    <w:p w14:paraId="11DC270A">
      <w:pPr>
        <w:tabs>
          <w:tab w:val="left" w:pos="5040"/>
        </w:tabs>
        <w:spacing w:line="360" w:lineRule="auto"/>
        <w:rPr>
          <w:rFonts w:ascii="宋体" w:hAnsi="宋体"/>
          <w:color w:val="auto"/>
          <w:szCs w:val="21"/>
          <w:highlight w:val="none"/>
        </w:rPr>
      </w:pPr>
    </w:p>
    <w:p w14:paraId="7D40D8AC">
      <w:pPr>
        <w:spacing w:line="440" w:lineRule="atLeast"/>
        <w:jc w:val="center"/>
        <w:rPr>
          <w:rFonts w:ascii="宋体" w:hAnsi="宋体"/>
          <w:b/>
          <w:color w:val="auto"/>
          <w:sz w:val="32"/>
          <w:szCs w:val="32"/>
          <w:highlight w:val="none"/>
        </w:rPr>
      </w:pPr>
    </w:p>
    <w:p w14:paraId="0E07BF33">
      <w:pPr>
        <w:spacing w:line="360" w:lineRule="auto"/>
        <w:jc w:val="center"/>
        <w:rPr>
          <w:b/>
          <w:color w:val="auto"/>
          <w:sz w:val="36"/>
          <w:szCs w:val="36"/>
          <w:highlight w:val="none"/>
        </w:rPr>
      </w:pPr>
      <w:r>
        <w:rPr>
          <w:rFonts w:ascii="宋体" w:hAnsi="宋体"/>
          <w:b/>
          <w:color w:val="auto"/>
          <w:sz w:val="32"/>
          <w:szCs w:val="32"/>
          <w:highlight w:val="none"/>
        </w:rPr>
        <w:br w:type="page"/>
      </w:r>
      <w:r>
        <w:rPr>
          <w:rFonts w:hint="eastAsia" w:ascii="宋体" w:hAnsi="宋体"/>
          <w:b/>
          <w:color w:val="auto"/>
          <w:sz w:val="36"/>
          <w:szCs w:val="36"/>
          <w:highlight w:val="none"/>
        </w:rPr>
        <w:t>政府采购合同</w:t>
      </w:r>
      <w:r>
        <w:rPr>
          <w:rFonts w:hint="eastAsia" w:hAnsi="宋体"/>
          <w:b/>
          <w:color w:val="auto"/>
          <w:sz w:val="32"/>
          <w:szCs w:val="32"/>
          <w:highlight w:val="none"/>
        </w:rPr>
        <w:t>（合同主要条款及格式）</w:t>
      </w:r>
    </w:p>
    <w:p w14:paraId="0E4B7C7F">
      <w:pPr>
        <w:spacing w:line="400" w:lineRule="exact"/>
        <w:rPr>
          <w:rFonts w:hint="eastAsia" w:ascii="宋体" w:hAnsi="宋体"/>
          <w:b/>
          <w:bCs/>
          <w:color w:val="auto"/>
          <w:highlight w:val="none"/>
          <w:lang w:eastAsia="zh-CN"/>
        </w:rPr>
      </w:pPr>
    </w:p>
    <w:p w14:paraId="0195EB45">
      <w:pPr>
        <w:spacing w:line="400" w:lineRule="exact"/>
        <w:rPr>
          <w:rFonts w:hint="eastAsia" w:ascii="宋体" w:hAnsi="宋体" w:eastAsia="宋体" w:cs="Times New Roman"/>
          <w:b/>
          <w:bCs/>
          <w:color w:val="auto"/>
          <w:highlight w:val="none"/>
          <w:lang w:eastAsia="zh-CN"/>
        </w:rPr>
      </w:pPr>
      <w:r>
        <w:rPr>
          <w:rFonts w:hint="eastAsia" w:ascii="宋体" w:hAnsi="宋体"/>
          <w:b/>
          <w:bCs/>
          <w:color w:val="auto"/>
          <w:highlight w:val="none"/>
          <w:lang w:eastAsia="zh-CN"/>
        </w:rPr>
        <w:t>项目名</w:t>
      </w:r>
      <w:r>
        <w:rPr>
          <w:rFonts w:hint="eastAsia" w:ascii="宋体" w:hAnsi="宋体" w:eastAsia="宋体" w:cs="Times New Roman"/>
          <w:b/>
          <w:bCs/>
          <w:color w:val="auto"/>
          <w:highlight w:val="none"/>
          <w:lang w:eastAsia="zh-CN"/>
        </w:rPr>
        <w:t>称：桂林市中西医结合医院医疗设备一批采购项目</w:t>
      </w:r>
    </w:p>
    <w:p w14:paraId="1E63AD07">
      <w:pPr>
        <w:spacing w:line="400" w:lineRule="exact"/>
        <w:rPr>
          <w:rFonts w:ascii="宋体" w:hAnsi="宋体"/>
          <w:color w:val="auto"/>
          <w:highlight w:val="none"/>
        </w:rPr>
      </w:pPr>
      <w:r>
        <w:rPr>
          <w:rFonts w:hint="eastAsia" w:ascii="宋体" w:hAnsi="宋体"/>
          <w:b/>
          <w:bCs/>
          <w:color w:val="auto"/>
          <w:highlight w:val="none"/>
          <w:lang w:eastAsia="zh-CN"/>
        </w:rPr>
        <w:t>项目编号：GLZC2026-G1-990422-YZLZ</w:t>
      </w:r>
    </w:p>
    <w:p w14:paraId="084D2D89">
      <w:pPr>
        <w:spacing w:line="400" w:lineRule="exact"/>
        <w:rPr>
          <w:rFonts w:ascii="宋体" w:hAnsi="宋体"/>
          <w:b/>
          <w:bCs/>
          <w:color w:val="auto"/>
          <w:highlight w:val="none"/>
          <w:u w:val="single"/>
        </w:rPr>
      </w:pPr>
      <w:r>
        <w:rPr>
          <w:rFonts w:hint="eastAsia" w:ascii="宋体" w:hAnsi="宋体"/>
          <w:b/>
          <w:bCs/>
          <w:color w:val="auto"/>
          <w:highlight w:val="none"/>
        </w:rPr>
        <w:t>甲方：</w:t>
      </w:r>
      <w:r>
        <w:rPr>
          <w:rFonts w:hint="eastAsia" w:ascii="宋体" w:hAnsi="宋体"/>
          <w:b/>
          <w:bCs/>
          <w:color w:val="auto"/>
          <w:highlight w:val="none"/>
          <w:u w:val="single"/>
        </w:rPr>
        <w:t xml:space="preserve">桂林市中西医结合医院  </w:t>
      </w:r>
      <w:r>
        <w:rPr>
          <w:rFonts w:hint="eastAsia" w:ascii="宋体" w:hAnsi="宋体"/>
          <w:b/>
          <w:bCs/>
          <w:color w:val="auto"/>
          <w:highlight w:val="none"/>
        </w:rPr>
        <w:t>（采购人）</w:t>
      </w:r>
    </w:p>
    <w:p w14:paraId="2B5AA9F4">
      <w:pPr>
        <w:spacing w:line="400" w:lineRule="exact"/>
        <w:rPr>
          <w:rFonts w:hint="eastAsia" w:ascii="宋体" w:hAnsi="宋体"/>
          <w:b/>
          <w:bCs/>
          <w:color w:val="auto"/>
          <w:highlight w:val="none"/>
        </w:rPr>
      </w:pPr>
      <w:r>
        <w:rPr>
          <w:rFonts w:hint="eastAsia" w:ascii="宋体" w:hAnsi="宋体"/>
          <w:b/>
          <w:bCs/>
          <w:color w:val="auto"/>
          <w:highlight w:val="none"/>
        </w:rPr>
        <w:t xml:space="preserve">乙方： </w:t>
      </w:r>
      <w:r>
        <w:rPr>
          <w:rFonts w:hint="eastAsia" w:ascii="宋体" w:hAnsi="宋体"/>
          <w:b/>
          <w:bCs/>
          <w:color w:val="auto"/>
          <w:highlight w:val="none"/>
          <w:u w:val="single"/>
        </w:rPr>
        <w:t xml:space="preserve">                    </w:t>
      </w:r>
      <w:r>
        <w:rPr>
          <w:rFonts w:hint="eastAsia" w:ascii="宋体" w:hAnsi="宋体"/>
          <w:b/>
          <w:bCs/>
          <w:color w:val="auto"/>
          <w:highlight w:val="none"/>
        </w:rPr>
        <w:t>（中标人）</w:t>
      </w:r>
    </w:p>
    <w:p w14:paraId="389BDF0B">
      <w:pPr>
        <w:spacing w:line="400" w:lineRule="exact"/>
        <w:rPr>
          <w:rFonts w:hint="eastAsia" w:ascii="宋体" w:hAnsi="宋体"/>
          <w:b/>
          <w:bCs/>
          <w:color w:val="auto"/>
          <w:highlight w:val="none"/>
          <w:lang w:eastAsia="zh-CN"/>
        </w:rPr>
      </w:pPr>
    </w:p>
    <w:p w14:paraId="03D494B6">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根据</w:t>
      </w:r>
      <w:r>
        <w:rPr>
          <w:rFonts w:hint="eastAsia" w:ascii="宋体" w:hAnsi="宋体"/>
          <w:color w:val="auto"/>
          <w:highlight w:val="none"/>
        </w:rPr>
        <w:t>《中华人民共和国政府采购法</w:t>
      </w:r>
      <w:r>
        <w:rPr>
          <w:rFonts w:hint="eastAsia" w:ascii="宋体" w:hAnsi="宋体"/>
          <w:color w:val="auto"/>
          <w:highlight w:val="none"/>
          <w:lang w:eastAsia="zh-CN"/>
        </w:rPr>
        <w:t>》和《</w:t>
      </w:r>
      <w:r>
        <w:rPr>
          <w:rFonts w:hint="eastAsia" w:ascii="宋体" w:hAnsi="宋体" w:cs="宋体"/>
          <w:color w:val="auto"/>
          <w:szCs w:val="21"/>
          <w:highlight w:val="none"/>
        </w:rPr>
        <w:t>中华人民共和国民法典》等</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规定，按照本项目招标文件、投标文件的规定条款和乙方的承诺、甲乙双方签订本合同。</w:t>
      </w:r>
    </w:p>
    <w:p w14:paraId="0EB988FD">
      <w:pPr>
        <w:spacing w:line="400" w:lineRule="exact"/>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第一条　合同金额</w:t>
      </w:r>
    </w:p>
    <w:p w14:paraId="2EBEC0A9">
      <w:pPr>
        <w:spacing w:line="400" w:lineRule="exact"/>
        <w:ind w:firstLine="413" w:firstLineChars="196"/>
        <w:rPr>
          <w:rFonts w:hint="default" w:ascii="宋体" w:hAnsi="宋体" w:eastAsia="宋体" w:cs="宋体"/>
          <w:b/>
          <w:color w:val="auto"/>
          <w:szCs w:val="21"/>
          <w:highlight w:val="none"/>
          <w:u w:val="single"/>
          <w:lang w:val="en-US" w:eastAsia="zh-CN"/>
        </w:rPr>
      </w:pPr>
      <w:r>
        <w:rPr>
          <w:rFonts w:hint="eastAsia" w:ascii="宋体" w:hAnsi="宋体" w:cs="宋体"/>
          <w:b/>
          <w:color w:val="auto"/>
          <w:szCs w:val="21"/>
          <w:highlight w:val="none"/>
          <w:lang w:eastAsia="zh-CN"/>
        </w:rPr>
        <w:t>分标</w:t>
      </w:r>
      <w:r>
        <w:rPr>
          <w:rFonts w:hint="eastAsia" w:ascii="宋体" w:hAnsi="宋体" w:cs="宋体"/>
          <w:b/>
          <w:color w:val="auto"/>
          <w:szCs w:val="21"/>
          <w:highlight w:val="none"/>
          <w:u w:val="single"/>
          <w:lang w:val="en-US" w:eastAsia="zh-CN"/>
        </w:rPr>
        <w:t xml:space="preserve">    </w:t>
      </w:r>
    </w:p>
    <w:tbl>
      <w:tblPr>
        <w:tblStyle w:val="51"/>
        <w:tblW w:w="10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294"/>
        <w:gridCol w:w="1280"/>
        <w:gridCol w:w="914"/>
        <w:gridCol w:w="980"/>
        <w:gridCol w:w="1057"/>
        <w:gridCol w:w="718"/>
        <w:gridCol w:w="1536"/>
        <w:gridCol w:w="1567"/>
      </w:tblGrid>
      <w:tr w14:paraId="16CA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716" w:type="dxa"/>
            <w:tcBorders>
              <w:top w:val="single" w:color="auto" w:sz="4" w:space="0"/>
              <w:left w:val="single" w:color="auto" w:sz="4" w:space="0"/>
              <w:bottom w:val="single" w:color="auto" w:sz="4" w:space="0"/>
              <w:right w:val="single" w:color="auto" w:sz="4" w:space="0"/>
            </w:tcBorders>
            <w:vAlign w:val="center"/>
          </w:tcPr>
          <w:p w14:paraId="43A3606A">
            <w:pPr>
              <w:snapToGrid w:val="0"/>
              <w:spacing w:line="280" w:lineRule="exact"/>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项号</w:t>
            </w:r>
          </w:p>
        </w:tc>
        <w:tc>
          <w:tcPr>
            <w:tcW w:w="1294" w:type="dxa"/>
            <w:tcBorders>
              <w:top w:val="single" w:color="auto" w:sz="4" w:space="0"/>
              <w:left w:val="single" w:color="auto" w:sz="4" w:space="0"/>
              <w:bottom w:val="single" w:color="auto" w:sz="4" w:space="0"/>
              <w:right w:val="single" w:color="auto" w:sz="4" w:space="0"/>
            </w:tcBorders>
            <w:vAlign w:val="center"/>
          </w:tcPr>
          <w:p w14:paraId="04835E18">
            <w:pPr>
              <w:snapToGrid w:val="0"/>
              <w:spacing w:line="280" w:lineRule="exact"/>
              <w:jc w:val="center"/>
              <w:rPr>
                <w:rFonts w:hint="eastAsia" w:ascii="宋体" w:hAnsi="宋体"/>
                <w:color w:val="auto"/>
                <w:szCs w:val="21"/>
                <w:highlight w:val="none"/>
              </w:rPr>
            </w:pPr>
            <w:r>
              <w:rPr>
                <w:rFonts w:hint="eastAsia" w:ascii="宋体" w:hAnsi="宋体"/>
                <w:color w:val="auto"/>
                <w:szCs w:val="21"/>
                <w:highlight w:val="none"/>
              </w:rPr>
              <w:t>货物名称</w:t>
            </w:r>
          </w:p>
        </w:tc>
        <w:tc>
          <w:tcPr>
            <w:tcW w:w="1280" w:type="dxa"/>
            <w:tcBorders>
              <w:top w:val="single" w:color="auto" w:sz="4" w:space="0"/>
              <w:left w:val="single" w:color="auto" w:sz="4" w:space="0"/>
              <w:bottom w:val="single" w:color="auto" w:sz="4" w:space="0"/>
              <w:right w:val="single" w:color="auto" w:sz="4" w:space="0"/>
            </w:tcBorders>
            <w:vAlign w:val="center"/>
          </w:tcPr>
          <w:p w14:paraId="41691E9B">
            <w:pPr>
              <w:snapToGrid w:val="0"/>
              <w:spacing w:line="280" w:lineRule="exact"/>
              <w:jc w:val="center"/>
              <w:rPr>
                <w:rFonts w:ascii="宋体" w:hAnsi="宋体"/>
                <w:color w:val="auto"/>
                <w:szCs w:val="21"/>
                <w:highlight w:val="none"/>
              </w:rPr>
            </w:pPr>
            <w:r>
              <w:rPr>
                <w:rFonts w:hint="eastAsia" w:ascii="宋体" w:hAnsi="宋体"/>
                <w:color w:val="auto"/>
                <w:szCs w:val="21"/>
                <w:highlight w:val="none"/>
              </w:rPr>
              <w:t>生产厂家</w:t>
            </w:r>
          </w:p>
        </w:tc>
        <w:tc>
          <w:tcPr>
            <w:tcW w:w="914" w:type="dxa"/>
            <w:tcBorders>
              <w:top w:val="single" w:color="auto" w:sz="4" w:space="0"/>
              <w:left w:val="single" w:color="auto" w:sz="4" w:space="0"/>
              <w:bottom w:val="single" w:color="auto" w:sz="4" w:space="0"/>
              <w:right w:val="single" w:color="auto" w:sz="4" w:space="0"/>
            </w:tcBorders>
            <w:vAlign w:val="center"/>
          </w:tcPr>
          <w:p w14:paraId="0908D016">
            <w:pPr>
              <w:snapToGrid w:val="0"/>
              <w:spacing w:line="280" w:lineRule="exact"/>
              <w:jc w:val="center"/>
              <w:rPr>
                <w:rFonts w:ascii="宋体" w:hAnsi="宋体"/>
                <w:bCs/>
                <w:color w:val="auto"/>
                <w:szCs w:val="21"/>
                <w:highlight w:val="none"/>
              </w:rPr>
            </w:pPr>
            <w:r>
              <w:rPr>
                <w:rFonts w:hint="eastAsia" w:ascii="宋体" w:hAnsi="宋体"/>
                <w:color w:val="auto"/>
                <w:szCs w:val="21"/>
                <w:highlight w:val="none"/>
              </w:rPr>
              <w:t>品牌</w:t>
            </w:r>
          </w:p>
        </w:tc>
        <w:tc>
          <w:tcPr>
            <w:tcW w:w="980" w:type="dxa"/>
            <w:tcBorders>
              <w:top w:val="single" w:color="auto" w:sz="4" w:space="0"/>
              <w:left w:val="single" w:color="auto" w:sz="4" w:space="0"/>
              <w:bottom w:val="single" w:color="auto" w:sz="4" w:space="0"/>
              <w:right w:val="single" w:color="auto" w:sz="4" w:space="0"/>
            </w:tcBorders>
            <w:vAlign w:val="center"/>
          </w:tcPr>
          <w:p w14:paraId="68E5C08B">
            <w:pPr>
              <w:snapToGrid w:val="0"/>
              <w:spacing w:line="280" w:lineRule="exact"/>
              <w:jc w:val="center"/>
              <w:rPr>
                <w:rFonts w:ascii="宋体" w:hAnsi="宋体"/>
                <w:color w:val="auto"/>
                <w:szCs w:val="21"/>
                <w:highlight w:val="none"/>
              </w:rPr>
            </w:pPr>
            <w:r>
              <w:rPr>
                <w:rFonts w:hint="eastAsia" w:ascii="宋体" w:hAnsi="宋体"/>
                <w:color w:val="auto"/>
                <w:szCs w:val="21"/>
                <w:highlight w:val="none"/>
              </w:rPr>
              <w:t>规格型号</w:t>
            </w:r>
          </w:p>
        </w:tc>
        <w:tc>
          <w:tcPr>
            <w:tcW w:w="1057" w:type="dxa"/>
            <w:tcBorders>
              <w:top w:val="single" w:color="auto" w:sz="4" w:space="0"/>
              <w:left w:val="single" w:color="auto" w:sz="4" w:space="0"/>
              <w:bottom w:val="single" w:color="auto" w:sz="4" w:space="0"/>
              <w:right w:val="single" w:color="auto" w:sz="4" w:space="0"/>
            </w:tcBorders>
            <w:vAlign w:val="center"/>
          </w:tcPr>
          <w:p w14:paraId="3FBE2C76">
            <w:pPr>
              <w:snapToGrid w:val="0"/>
              <w:spacing w:line="280" w:lineRule="exact"/>
              <w:jc w:val="center"/>
              <w:rPr>
                <w:rFonts w:ascii="宋体" w:hAnsi="宋体"/>
                <w:color w:val="auto"/>
                <w:szCs w:val="21"/>
                <w:highlight w:val="none"/>
              </w:rPr>
            </w:pPr>
            <w:r>
              <w:rPr>
                <w:rFonts w:hint="eastAsia" w:ascii="宋体" w:hAnsi="宋体"/>
                <w:color w:val="auto"/>
                <w:szCs w:val="21"/>
                <w:highlight w:val="none"/>
              </w:rPr>
              <w:t>数量</w:t>
            </w:r>
          </w:p>
          <w:p w14:paraId="3737E803">
            <w:pPr>
              <w:snapToGrid w:val="0"/>
              <w:spacing w:line="280" w:lineRule="exact"/>
              <w:jc w:val="center"/>
              <w:rPr>
                <w:rFonts w:ascii="宋体" w:hAnsi="宋体"/>
                <w:color w:val="auto"/>
                <w:szCs w:val="21"/>
                <w:highlight w:val="none"/>
              </w:rPr>
            </w:pPr>
            <w:r>
              <w:rPr>
                <w:rFonts w:hint="eastAsia" w:ascii="宋体" w:hAnsi="宋体"/>
                <w:color w:val="auto"/>
                <w:szCs w:val="21"/>
                <w:highlight w:val="none"/>
              </w:rPr>
              <w:t>①</w:t>
            </w:r>
          </w:p>
        </w:tc>
        <w:tc>
          <w:tcPr>
            <w:tcW w:w="718" w:type="dxa"/>
            <w:tcBorders>
              <w:top w:val="single" w:color="auto" w:sz="4" w:space="0"/>
              <w:left w:val="single" w:color="auto" w:sz="4" w:space="0"/>
              <w:bottom w:val="single" w:color="auto" w:sz="4" w:space="0"/>
              <w:right w:val="single" w:color="auto" w:sz="4" w:space="0"/>
            </w:tcBorders>
            <w:vAlign w:val="center"/>
          </w:tcPr>
          <w:p w14:paraId="09703D5A">
            <w:pPr>
              <w:snapToGrid w:val="0"/>
              <w:spacing w:line="280" w:lineRule="exact"/>
              <w:jc w:val="center"/>
              <w:rPr>
                <w:rFonts w:ascii="宋体" w:hAnsi="宋体"/>
                <w:color w:val="auto"/>
                <w:szCs w:val="21"/>
                <w:highlight w:val="none"/>
              </w:rPr>
            </w:pPr>
            <w:r>
              <w:rPr>
                <w:rFonts w:hint="eastAsia" w:ascii="宋体" w:hAnsi="宋体"/>
                <w:color w:val="auto"/>
                <w:szCs w:val="21"/>
                <w:highlight w:val="none"/>
              </w:rPr>
              <w:t>单位</w:t>
            </w:r>
          </w:p>
        </w:tc>
        <w:tc>
          <w:tcPr>
            <w:tcW w:w="1536" w:type="dxa"/>
            <w:tcBorders>
              <w:top w:val="single" w:color="auto" w:sz="4" w:space="0"/>
              <w:left w:val="single" w:color="auto" w:sz="4" w:space="0"/>
              <w:bottom w:val="single" w:color="auto" w:sz="4" w:space="0"/>
              <w:right w:val="single" w:color="auto" w:sz="4" w:space="0"/>
            </w:tcBorders>
            <w:vAlign w:val="center"/>
          </w:tcPr>
          <w:p w14:paraId="281372F4">
            <w:pPr>
              <w:snapToGrid w:val="0"/>
              <w:spacing w:line="280" w:lineRule="exact"/>
              <w:jc w:val="center"/>
              <w:rPr>
                <w:rFonts w:ascii="宋体" w:hAnsi="宋体"/>
                <w:color w:val="auto"/>
                <w:szCs w:val="21"/>
                <w:highlight w:val="none"/>
              </w:rPr>
            </w:pPr>
            <w:r>
              <w:rPr>
                <w:rFonts w:hint="eastAsia" w:ascii="宋体" w:hAnsi="宋体"/>
                <w:color w:val="auto"/>
                <w:szCs w:val="21"/>
                <w:highlight w:val="none"/>
              </w:rPr>
              <w:t>单价（元）</w:t>
            </w:r>
          </w:p>
          <w:p w14:paraId="1A2F0F9A">
            <w:pPr>
              <w:snapToGrid w:val="0"/>
              <w:spacing w:line="280" w:lineRule="exact"/>
              <w:jc w:val="center"/>
              <w:rPr>
                <w:rFonts w:ascii="宋体" w:hAnsi="宋体"/>
                <w:color w:val="auto"/>
                <w:szCs w:val="21"/>
                <w:highlight w:val="none"/>
              </w:rPr>
            </w:pPr>
            <w:r>
              <w:rPr>
                <w:rFonts w:hint="eastAsia" w:ascii="宋体" w:hAnsi="宋体"/>
                <w:color w:val="auto"/>
                <w:szCs w:val="21"/>
                <w:highlight w:val="none"/>
              </w:rPr>
              <w:t>②</w:t>
            </w:r>
          </w:p>
        </w:tc>
        <w:tc>
          <w:tcPr>
            <w:tcW w:w="1567" w:type="dxa"/>
            <w:tcBorders>
              <w:top w:val="single" w:color="auto" w:sz="4" w:space="0"/>
              <w:left w:val="single" w:color="auto" w:sz="4" w:space="0"/>
              <w:bottom w:val="single" w:color="auto" w:sz="4" w:space="0"/>
              <w:right w:val="single" w:color="auto" w:sz="4" w:space="0"/>
            </w:tcBorders>
            <w:vAlign w:val="center"/>
          </w:tcPr>
          <w:p w14:paraId="0D74B28F">
            <w:pPr>
              <w:snapToGrid w:val="0"/>
              <w:spacing w:line="280" w:lineRule="exact"/>
              <w:jc w:val="center"/>
              <w:rPr>
                <w:rFonts w:ascii="宋体" w:hAnsi="宋体"/>
                <w:bCs/>
                <w:color w:val="auto"/>
                <w:szCs w:val="21"/>
                <w:highlight w:val="none"/>
              </w:rPr>
            </w:pPr>
            <w:r>
              <w:rPr>
                <w:rFonts w:hint="eastAsia" w:ascii="宋体" w:hAnsi="宋体"/>
                <w:bCs/>
                <w:color w:val="auto"/>
                <w:szCs w:val="21"/>
                <w:highlight w:val="none"/>
              </w:rPr>
              <w:t>单项合计金额（元）</w:t>
            </w:r>
          </w:p>
          <w:p w14:paraId="184C54D9">
            <w:pPr>
              <w:snapToGrid w:val="0"/>
              <w:spacing w:line="280" w:lineRule="exact"/>
              <w:jc w:val="center"/>
              <w:rPr>
                <w:rFonts w:ascii="宋体" w:hAnsi="宋体"/>
                <w:color w:val="auto"/>
                <w:szCs w:val="21"/>
                <w:highlight w:val="none"/>
              </w:rPr>
            </w:pPr>
            <w:r>
              <w:rPr>
                <w:rFonts w:hint="eastAsia" w:ascii="宋体" w:hAnsi="宋体"/>
                <w:bCs/>
                <w:color w:val="auto"/>
                <w:szCs w:val="21"/>
                <w:highlight w:val="none"/>
              </w:rPr>
              <w:t>③=①×</w:t>
            </w:r>
            <w:r>
              <w:rPr>
                <w:rFonts w:hint="eastAsia" w:ascii="宋体" w:hAnsi="宋体"/>
                <w:color w:val="auto"/>
                <w:szCs w:val="21"/>
                <w:highlight w:val="none"/>
              </w:rPr>
              <w:t>②</w:t>
            </w:r>
          </w:p>
        </w:tc>
      </w:tr>
      <w:tr w14:paraId="324E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16" w:type="dxa"/>
            <w:tcBorders>
              <w:top w:val="single" w:color="auto" w:sz="4" w:space="0"/>
              <w:left w:val="single" w:color="auto" w:sz="4" w:space="0"/>
              <w:bottom w:val="single" w:color="auto" w:sz="4" w:space="0"/>
              <w:right w:val="single" w:color="auto" w:sz="4" w:space="0"/>
            </w:tcBorders>
            <w:vAlign w:val="center"/>
          </w:tcPr>
          <w:p w14:paraId="517BBD96">
            <w:pPr>
              <w:snapToGrid w:val="0"/>
              <w:spacing w:line="280" w:lineRule="exact"/>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1</w:t>
            </w:r>
          </w:p>
        </w:tc>
        <w:tc>
          <w:tcPr>
            <w:tcW w:w="1294" w:type="dxa"/>
            <w:tcBorders>
              <w:top w:val="single" w:color="auto" w:sz="4" w:space="0"/>
              <w:left w:val="single" w:color="auto" w:sz="4" w:space="0"/>
              <w:bottom w:val="single" w:color="auto" w:sz="4" w:space="0"/>
              <w:right w:val="single" w:color="auto" w:sz="4" w:space="0"/>
            </w:tcBorders>
            <w:vAlign w:val="center"/>
          </w:tcPr>
          <w:p w14:paraId="7D7C40F0">
            <w:pPr>
              <w:snapToGrid w:val="0"/>
              <w:spacing w:line="280" w:lineRule="exact"/>
              <w:jc w:val="center"/>
              <w:rPr>
                <w:rFonts w:ascii="宋体" w:hAnsi="宋体"/>
                <w:color w:val="auto"/>
                <w:szCs w:val="21"/>
                <w:highlight w:val="none"/>
              </w:rPr>
            </w:pPr>
          </w:p>
        </w:tc>
        <w:tc>
          <w:tcPr>
            <w:tcW w:w="1280" w:type="dxa"/>
            <w:tcBorders>
              <w:top w:val="single" w:color="auto" w:sz="4" w:space="0"/>
              <w:left w:val="single" w:color="auto" w:sz="4" w:space="0"/>
              <w:bottom w:val="single" w:color="auto" w:sz="4" w:space="0"/>
              <w:right w:val="single" w:color="auto" w:sz="4" w:space="0"/>
            </w:tcBorders>
            <w:vAlign w:val="center"/>
          </w:tcPr>
          <w:p w14:paraId="58E983BE">
            <w:pPr>
              <w:snapToGrid w:val="0"/>
              <w:spacing w:line="280" w:lineRule="exact"/>
              <w:jc w:val="center"/>
              <w:rPr>
                <w:rFonts w:ascii="宋体" w:hAnsi="宋体"/>
                <w:color w:val="auto"/>
                <w:szCs w:val="21"/>
                <w:highlight w:val="none"/>
              </w:rPr>
            </w:pPr>
          </w:p>
        </w:tc>
        <w:tc>
          <w:tcPr>
            <w:tcW w:w="914" w:type="dxa"/>
            <w:tcBorders>
              <w:top w:val="single" w:color="auto" w:sz="4" w:space="0"/>
              <w:left w:val="single" w:color="auto" w:sz="4" w:space="0"/>
              <w:bottom w:val="single" w:color="auto" w:sz="4" w:space="0"/>
              <w:right w:val="single" w:color="auto" w:sz="4" w:space="0"/>
            </w:tcBorders>
            <w:vAlign w:val="center"/>
          </w:tcPr>
          <w:p w14:paraId="0D874A9D">
            <w:pPr>
              <w:snapToGrid w:val="0"/>
              <w:spacing w:line="280" w:lineRule="exact"/>
              <w:jc w:val="center"/>
              <w:rPr>
                <w:rFonts w:ascii="宋体" w:hAnsi="宋体"/>
                <w:color w:val="auto"/>
                <w:szCs w:val="21"/>
                <w:highlight w:val="none"/>
              </w:rPr>
            </w:pPr>
          </w:p>
        </w:tc>
        <w:tc>
          <w:tcPr>
            <w:tcW w:w="980" w:type="dxa"/>
            <w:tcBorders>
              <w:top w:val="single" w:color="auto" w:sz="4" w:space="0"/>
              <w:left w:val="single" w:color="auto" w:sz="4" w:space="0"/>
              <w:bottom w:val="single" w:color="auto" w:sz="4" w:space="0"/>
              <w:right w:val="single" w:color="auto" w:sz="4" w:space="0"/>
            </w:tcBorders>
            <w:vAlign w:val="center"/>
          </w:tcPr>
          <w:p w14:paraId="640E409E">
            <w:pPr>
              <w:snapToGrid w:val="0"/>
              <w:spacing w:line="300" w:lineRule="exact"/>
              <w:jc w:val="center"/>
              <w:rPr>
                <w:rFonts w:ascii="宋体" w:hAnsi="宋体" w:cs="宋体"/>
                <w:color w:val="auto"/>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1E5A6583">
            <w:pPr>
              <w:widowControl/>
              <w:jc w:val="center"/>
              <w:outlineLvl w:val="0"/>
              <w:rPr>
                <w:rFonts w:hint="eastAsia" w:ascii="宋体" w:hAnsi="宋体" w:eastAsia="宋体"/>
                <w:color w:val="auto"/>
                <w:szCs w:val="21"/>
                <w:highlight w:val="none"/>
                <w:lang w:val="en-US" w:eastAsia="zh-CN"/>
              </w:rPr>
            </w:pPr>
          </w:p>
        </w:tc>
        <w:tc>
          <w:tcPr>
            <w:tcW w:w="718" w:type="dxa"/>
            <w:tcBorders>
              <w:top w:val="single" w:color="auto" w:sz="4" w:space="0"/>
              <w:left w:val="single" w:color="auto" w:sz="4" w:space="0"/>
              <w:bottom w:val="single" w:color="auto" w:sz="4" w:space="0"/>
              <w:right w:val="single" w:color="auto" w:sz="4" w:space="0"/>
            </w:tcBorders>
            <w:vAlign w:val="center"/>
          </w:tcPr>
          <w:p w14:paraId="25398881">
            <w:pPr>
              <w:widowControl/>
              <w:jc w:val="center"/>
              <w:outlineLvl w:val="0"/>
              <w:rPr>
                <w:rFonts w:hint="default" w:ascii="宋体" w:hAnsi="宋体" w:eastAsia="宋体"/>
                <w:color w:val="auto"/>
                <w:szCs w:val="21"/>
                <w:highlight w:val="none"/>
                <w:lang w:val="en-US" w:eastAsia="zh-CN"/>
              </w:rPr>
            </w:pPr>
          </w:p>
        </w:tc>
        <w:tc>
          <w:tcPr>
            <w:tcW w:w="1536" w:type="dxa"/>
            <w:tcBorders>
              <w:top w:val="single" w:color="auto" w:sz="4" w:space="0"/>
              <w:left w:val="single" w:color="auto" w:sz="4" w:space="0"/>
              <w:bottom w:val="single" w:color="auto" w:sz="4" w:space="0"/>
              <w:right w:val="single" w:color="auto" w:sz="4" w:space="0"/>
            </w:tcBorders>
            <w:vAlign w:val="center"/>
          </w:tcPr>
          <w:p w14:paraId="05EDAB00">
            <w:pPr>
              <w:snapToGrid w:val="0"/>
              <w:spacing w:line="360" w:lineRule="auto"/>
              <w:rPr>
                <w:rFonts w:ascii="宋体" w:hAnsi="宋体"/>
                <w:color w:val="auto"/>
                <w:szCs w:val="21"/>
                <w:highlight w:val="none"/>
              </w:rPr>
            </w:pPr>
          </w:p>
        </w:tc>
        <w:tc>
          <w:tcPr>
            <w:tcW w:w="1567" w:type="dxa"/>
            <w:tcBorders>
              <w:top w:val="single" w:color="auto" w:sz="4" w:space="0"/>
              <w:left w:val="single" w:color="auto" w:sz="4" w:space="0"/>
              <w:bottom w:val="single" w:color="auto" w:sz="4" w:space="0"/>
              <w:right w:val="single" w:color="auto" w:sz="4" w:space="0"/>
            </w:tcBorders>
            <w:vAlign w:val="center"/>
          </w:tcPr>
          <w:p w14:paraId="68E95955">
            <w:pPr>
              <w:snapToGrid w:val="0"/>
              <w:spacing w:line="360" w:lineRule="auto"/>
              <w:rPr>
                <w:rFonts w:ascii="宋体" w:hAnsi="宋体"/>
                <w:color w:val="auto"/>
                <w:szCs w:val="21"/>
                <w:highlight w:val="none"/>
              </w:rPr>
            </w:pPr>
          </w:p>
        </w:tc>
      </w:tr>
      <w:tr w14:paraId="2FB2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16" w:type="dxa"/>
            <w:tcBorders>
              <w:top w:val="single" w:color="auto" w:sz="4" w:space="0"/>
              <w:left w:val="single" w:color="auto" w:sz="4" w:space="0"/>
              <w:bottom w:val="single" w:color="auto" w:sz="4" w:space="0"/>
              <w:right w:val="single" w:color="auto" w:sz="4" w:space="0"/>
            </w:tcBorders>
            <w:vAlign w:val="center"/>
          </w:tcPr>
          <w:p w14:paraId="542757EF">
            <w:pPr>
              <w:snapToGrid w:val="0"/>
              <w:spacing w:line="280" w:lineRule="exact"/>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2</w:t>
            </w:r>
          </w:p>
        </w:tc>
        <w:tc>
          <w:tcPr>
            <w:tcW w:w="1294" w:type="dxa"/>
            <w:tcBorders>
              <w:top w:val="single" w:color="auto" w:sz="4" w:space="0"/>
              <w:left w:val="single" w:color="auto" w:sz="4" w:space="0"/>
              <w:bottom w:val="single" w:color="auto" w:sz="4" w:space="0"/>
              <w:right w:val="single" w:color="auto" w:sz="4" w:space="0"/>
            </w:tcBorders>
            <w:vAlign w:val="center"/>
          </w:tcPr>
          <w:p w14:paraId="79C7E166">
            <w:pPr>
              <w:snapToGrid w:val="0"/>
              <w:spacing w:line="280" w:lineRule="exact"/>
              <w:jc w:val="center"/>
              <w:rPr>
                <w:rFonts w:ascii="宋体" w:hAnsi="宋体"/>
                <w:color w:val="auto"/>
                <w:szCs w:val="21"/>
                <w:highlight w:val="none"/>
              </w:rPr>
            </w:pPr>
          </w:p>
        </w:tc>
        <w:tc>
          <w:tcPr>
            <w:tcW w:w="1280" w:type="dxa"/>
            <w:tcBorders>
              <w:top w:val="single" w:color="auto" w:sz="4" w:space="0"/>
              <w:left w:val="single" w:color="auto" w:sz="4" w:space="0"/>
              <w:bottom w:val="single" w:color="auto" w:sz="4" w:space="0"/>
              <w:right w:val="single" w:color="auto" w:sz="4" w:space="0"/>
            </w:tcBorders>
            <w:vAlign w:val="center"/>
          </w:tcPr>
          <w:p w14:paraId="4D139B87">
            <w:pPr>
              <w:snapToGrid w:val="0"/>
              <w:spacing w:line="280" w:lineRule="exact"/>
              <w:jc w:val="center"/>
              <w:rPr>
                <w:rFonts w:ascii="宋体" w:hAnsi="宋体"/>
                <w:color w:val="auto"/>
                <w:szCs w:val="21"/>
                <w:highlight w:val="none"/>
              </w:rPr>
            </w:pPr>
          </w:p>
        </w:tc>
        <w:tc>
          <w:tcPr>
            <w:tcW w:w="914" w:type="dxa"/>
            <w:tcBorders>
              <w:top w:val="single" w:color="auto" w:sz="4" w:space="0"/>
              <w:left w:val="single" w:color="auto" w:sz="4" w:space="0"/>
              <w:bottom w:val="single" w:color="auto" w:sz="4" w:space="0"/>
              <w:right w:val="single" w:color="auto" w:sz="4" w:space="0"/>
            </w:tcBorders>
            <w:vAlign w:val="center"/>
          </w:tcPr>
          <w:p w14:paraId="6DDBA3C8">
            <w:pPr>
              <w:snapToGrid w:val="0"/>
              <w:spacing w:line="280" w:lineRule="exact"/>
              <w:jc w:val="center"/>
              <w:rPr>
                <w:rFonts w:ascii="宋体" w:hAnsi="宋体"/>
                <w:color w:val="auto"/>
                <w:szCs w:val="21"/>
                <w:highlight w:val="none"/>
              </w:rPr>
            </w:pPr>
          </w:p>
        </w:tc>
        <w:tc>
          <w:tcPr>
            <w:tcW w:w="980" w:type="dxa"/>
            <w:tcBorders>
              <w:top w:val="single" w:color="auto" w:sz="4" w:space="0"/>
              <w:left w:val="single" w:color="auto" w:sz="4" w:space="0"/>
              <w:bottom w:val="single" w:color="auto" w:sz="4" w:space="0"/>
              <w:right w:val="single" w:color="auto" w:sz="4" w:space="0"/>
            </w:tcBorders>
            <w:vAlign w:val="center"/>
          </w:tcPr>
          <w:p w14:paraId="3CD469DC">
            <w:pPr>
              <w:snapToGrid w:val="0"/>
              <w:spacing w:line="300" w:lineRule="exact"/>
              <w:jc w:val="center"/>
              <w:rPr>
                <w:rFonts w:ascii="宋体" w:hAnsi="宋体" w:cs="宋体"/>
                <w:color w:val="auto"/>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4A3139FC">
            <w:pPr>
              <w:widowControl/>
              <w:jc w:val="center"/>
              <w:outlineLvl w:val="0"/>
              <w:rPr>
                <w:rFonts w:hint="eastAsia" w:ascii="宋体" w:hAnsi="宋体" w:eastAsia="宋体"/>
                <w:color w:val="auto"/>
                <w:szCs w:val="21"/>
                <w:highlight w:val="none"/>
                <w:lang w:val="en-US" w:eastAsia="zh-CN"/>
              </w:rPr>
            </w:pPr>
          </w:p>
        </w:tc>
        <w:tc>
          <w:tcPr>
            <w:tcW w:w="718" w:type="dxa"/>
            <w:tcBorders>
              <w:top w:val="single" w:color="auto" w:sz="4" w:space="0"/>
              <w:left w:val="single" w:color="auto" w:sz="4" w:space="0"/>
              <w:bottom w:val="single" w:color="auto" w:sz="4" w:space="0"/>
              <w:right w:val="single" w:color="auto" w:sz="4" w:space="0"/>
            </w:tcBorders>
            <w:vAlign w:val="center"/>
          </w:tcPr>
          <w:p w14:paraId="5FFD19DF">
            <w:pPr>
              <w:widowControl/>
              <w:jc w:val="center"/>
              <w:outlineLvl w:val="0"/>
              <w:rPr>
                <w:rFonts w:hint="default" w:ascii="宋体" w:hAnsi="宋体" w:eastAsia="宋体"/>
                <w:color w:val="auto"/>
                <w:szCs w:val="21"/>
                <w:highlight w:val="none"/>
                <w:lang w:val="en-US" w:eastAsia="zh-CN"/>
              </w:rPr>
            </w:pPr>
          </w:p>
        </w:tc>
        <w:tc>
          <w:tcPr>
            <w:tcW w:w="1536" w:type="dxa"/>
            <w:tcBorders>
              <w:top w:val="single" w:color="auto" w:sz="4" w:space="0"/>
              <w:left w:val="single" w:color="auto" w:sz="4" w:space="0"/>
              <w:bottom w:val="single" w:color="auto" w:sz="4" w:space="0"/>
              <w:right w:val="single" w:color="auto" w:sz="4" w:space="0"/>
            </w:tcBorders>
            <w:vAlign w:val="center"/>
          </w:tcPr>
          <w:p w14:paraId="1AD313AB">
            <w:pPr>
              <w:snapToGrid w:val="0"/>
              <w:spacing w:line="360" w:lineRule="auto"/>
              <w:rPr>
                <w:rFonts w:ascii="宋体" w:hAnsi="宋体"/>
                <w:color w:val="auto"/>
                <w:szCs w:val="21"/>
                <w:highlight w:val="none"/>
              </w:rPr>
            </w:pPr>
          </w:p>
        </w:tc>
        <w:tc>
          <w:tcPr>
            <w:tcW w:w="1567" w:type="dxa"/>
            <w:tcBorders>
              <w:top w:val="single" w:color="auto" w:sz="4" w:space="0"/>
              <w:left w:val="single" w:color="auto" w:sz="4" w:space="0"/>
              <w:bottom w:val="single" w:color="auto" w:sz="4" w:space="0"/>
              <w:right w:val="single" w:color="auto" w:sz="4" w:space="0"/>
            </w:tcBorders>
            <w:vAlign w:val="center"/>
          </w:tcPr>
          <w:p w14:paraId="0B8A58D9">
            <w:pPr>
              <w:snapToGrid w:val="0"/>
              <w:spacing w:line="360" w:lineRule="auto"/>
              <w:rPr>
                <w:rFonts w:ascii="宋体" w:hAnsi="宋体"/>
                <w:color w:val="auto"/>
                <w:szCs w:val="21"/>
                <w:highlight w:val="none"/>
              </w:rPr>
            </w:pPr>
          </w:p>
        </w:tc>
      </w:tr>
      <w:tr w14:paraId="20C6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16" w:type="dxa"/>
            <w:tcBorders>
              <w:top w:val="single" w:color="auto" w:sz="4" w:space="0"/>
              <w:left w:val="single" w:color="auto" w:sz="4" w:space="0"/>
              <w:bottom w:val="single" w:color="auto" w:sz="4" w:space="0"/>
              <w:right w:val="single" w:color="auto" w:sz="4" w:space="0"/>
            </w:tcBorders>
            <w:vAlign w:val="center"/>
          </w:tcPr>
          <w:p w14:paraId="1F481B2D">
            <w:pPr>
              <w:snapToGrid w:val="0"/>
              <w:spacing w:line="280" w:lineRule="exact"/>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1294" w:type="dxa"/>
            <w:tcBorders>
              <w:top w:val="single" w:color="auto" w:sz="4" w:space="0"/>
              <w:left w:val="single" w:color="auto" w:sz="4" w:space="0"/>
              <w:bottom w:val="single" w:color="auto" w:sz="4" w:space="0"/>
              <w:right w:val="single" w:color="auto" w:sz="4" w:space="0"/>
            </w:tcBorders>
            <w:vAlign w:val="center"/>
          </w:tcPr>
          <w:p w14:paraId="12A0F4B9">
            <w:pPr>
              <w:snapToGrid w:val="0"/>
              <w:spacing w:line="280" w:lineRule="exact"/>
              <w:jc w:val="center"/>
              <w:rPr>
                <w:rFonts w:ascii="宋体" w:hAnsi="宋体"/>
                <w:color w:val="auto"/>
                <w:szCs w:val="21"/>
                <w:highlight w:val="none"/>
              </w:rPr>
            </w:pPr>
          </w:p>
        </w:tc>
        <w:tc>
          <w:tcPr>
            <w:tcW w:w="1280" w:type="dxa"/>
            <w:tcBorders>
              <w:top w:val="single" w:color="auto" w:sz="4" w:space="0"/>
              <w:left w:val="single" w:color="auto" w:sz="4" w:space="0"/>
              <w:bottom w:val="single" w:color="auto" w:sz="4" w:space="0"/>
              <w:right w:val="single" w:color="auto" w:sz="4" w:space="0"/>
            </w:tcBorders>
            <w:vAlign w:val="center"/>
          </w:tcPr>
          <w:p w14:paraId="7803A997">
            <w:pPr>
              <w:snapToGrid w:val="0"/>
              <w:spacing w:line="280" w:lineRule="exact"/>
              <w:jc w:val="center"/>
              <w:rPr>
                <w:rFonts w:ascii="宋体" w:hAnsi="宋体"/>
                <w:color w:val="auto"/>
                <w:szCs w:val="21"/>
                <w:highlight w:val="none"/>
              </w:rPr>
            </w:pPr>
          </w:p>
        </w:tc>
        <w:tc>
          <w:tcPr>
            <w:tcW w:w="914" w:type="dxa"/>
            <w:tcBorders>
              <w:top w:val="single" w:color="auto" w:sz="4" w:space="0"/>
              <w:left w:val="single" w:color="auto" w:sz="4" w:space="0"/>
              <w:bottom w:val="single" w:color="auto" w:sz="4" w:space="0"/>
              <w:right w:val="single" w:color="auto" w:sz="4" w:space="0"/>
            </w:tcBorders>
            <w:vAlign w:val="center"/>
          </w:tcPr>
          <w:p w14:paraId="66DC1CFF">
            <w:pPr>
              <w:snapToGrid w:val="0"/>
              <w:spacing w:line="280" w:lineRule="exact"/>
              <w:jc w:val="center"/>
              <w:rPr>
                <w:rFonts w:ascii="宋体" w:hAnsi="宋体"/>
                <w:color w:val="auto"/>
                <w:szCs w:val="21"/>
                <w:highlight w:val="none"/>
              </w:rPr>
            </w:pPr>
          </w:p>
        </w:tc>
        <w:tc>
          <w:tcPr>
            <w:tcW w:w="980" w:type="dxa"/>
            <w:tcBorders>
              <w:top w:val="single" w:color="auto" w:sz="4" w:space="0"/>
              <w:left w:val="single" w:color="auto" w:sz="4" w:space="0"/>
              <w:bottom w:val="single" w:color="auto" w:sz="4" w:space="0"/>
              <w:right w:val="single" w:color="auto" w:sz="4" w:space="0"/>
            </w:tcBorders>
            <w:vAlign w:val="center"/>
          </w:tcPr>
          <w:p w14:paraId="28C219CE">
            <w:pPr>
              <w:snapToGrid w:val="0"/>
              <w:spacing w:line="300" w:lineRule="exact"/>
              <w:jc w:val="center"/>
              <w:rPr>
                <w:rFonts w:ascii="宋体" w:hAnsi="宋体" w:cs="宋体"/>
                <w:color w:val="auto"/>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23886B23">
            <w:pPr>
              <w:widowControl/>
              <w:jc w:val="center"/>
              <w:outlineLvl w:val="0"/>
              <w:rPr>
                <w:rFonts w:hint="eastAsia" w:ascii="宋体" w:hAnsi="宋体" w:eastAsia="宋体"/>
                <w:color w:val="auto"/>
                <w:szCs w:val="21"/>
                <w:highlight w:val="none"/>
                <w:lang w:val="en-US" w:eastAsia="zh-CN"/>
              </w:rPr>
            </w:pPr>
          </w:p>
        </w:tc>
        <w:tc>
          <w:tcPr>
            <w:tcW w:w="718" w:type="dxa"/>
            <w:tcBorders>
              <w:top w:val="single" w:color="auto" w:sz="4" w:space="0"/>
              <w:left w:val="single" w:color="auto" w:sz="4" w:space="0"/>
              <w:bottom w:val="single" w:color="auto" w:sz="4" w:space="0"/>
              <w:right w:val="single" w:color="auto" w:sz="4" w:space="0"/>
            </w:tcBorders>
            <w:vAlign w:val="center"/>
          </w:tcPr>
          <w:p w14:paraId="2B7089BF">
            <w:pPr>
              <w:widowControl/>
              <w:jc w:val="center"/>
              <w:outlineLvl w:val="0"/>
              <w:rPr>
                <w:rFonts w:hint="default" w:ascii="宋体" w:hAnsi="宋体" w:eastAsia="宋体"/>
                <w:color w:val="auto"/>
                <w:szCs w:val="21"/>
                <w:highlight w:val="none"/>
                <w:lang w:val="en-US" w:eastAsia="zh-CN"/>
              </w:rPr>
            </w:pPr>
          </w:p>
        </w:tc>
        <w:tc>
          <w:tcPr>
            <w:tcW w:w="1536" w:type="dxa"/>
            <w:tcBorders>
              <w:top w:val="single" w:color="auto" w:sz="4" w:space="0"/>
              <w:left w:val="single" w:color="auto" w:sz="4" w:space="0"/>
              <w:bottom w:val="single" w:color="auto" w:sz="4" w:space="0"/>
              <w:right w:val="single" w:color="auto" w:sz="4" w:space="0"/>
            </w:tcBorders>
            <w:vAlign w:val="center"/>
          </w:tcPr>
          <w:p w14:paraId="1C163D3F">
            <w:pPr>
              <w:snapToGrid w:val="0"/>
              <w:spacing w:line="360" w:lineRule="auto"/>
              <w:rPr>
                <w:rFonts w:ascii="宋体" w:hAnsi="宋体"/>
                <w:color w:val="auto"/>
                <w:szCs w:val="21"/>
                <w:highlight w:val="none"/>
              </w:rPr>
            </w:pPr>
          </w:p>
        </w:tc>
        <w:tc>
          <w:tcPr>
            <w:tcW w:w="1567" w:type="dxa"/>
            <w:tcBorders>
              <w:top w:val="single" w:color="auto" w:sz="4" w:space="0"/>
              <w:left w:val="single" w:color="auto" w:sz="4" w:space="0"/>
              <w:bottom w:val="single" w:color="auto" w:sz="4" w:space="0"/>
              <w:right w:val="single" w:color="auto" w:sz="4" w:space="0"/>
            </w:tcBorders>
            <w:vAlign w:val="center"/>
          </w:tcPr>
          <w:p w14:paraId="04B0160D">
            <w:pPr>
              <w:snapToGrid w:val="0"/>
              <w:spacing w:line="360" w:lineRule="auto"/>
              <w:rPr>
                <w:rFonts w:ascii="宋体" w:hAnsi="宋体"/>
                <w:color w:val="auto"/>
                <w:szCs w:val="21"/>
                <w:highlight w:val="none"/>
              </w:rPr>
            </w:pPr>
          </w:p>
        </w:tc>
      </w:tr>
      <w:tr w14:paraId="0379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8495" w:type="dxa"/>
            <w:gridSpan w:val="8"/>
            <w:tcBorders>
              <w:top w:val="single" w:color="auto" w:sz="4" w:space="0"/>
              <w:left w:val="single" w:color="auto" w:sz="4" w:space="0"/>
              <w:bottom w:val="single" w:color="auto" w:sz="4" w:space="0"/>
              <w:right w:val="single" w:color="auto" w:sz="4" w:space="0"/>
            </w:tcBorders>
            <w:vAlign w:val="center"/>
          </w:tcPr>
          <w:p w14:paraId="4D446286">
            <w:pPr>
              <w:snapToGrid w:val="0"/>
              <w:spacing w:line="360" w:lineRule="auto"/>
              <w:jc w:val="center"/>
              <w:rPr>
                <w:rFonts w:ascii="宋体" w:hAnsi="宋体"/>
                <w:color w:val="auto"/>
                <w:szCs w:val="21"/>
                <w:highlight w:val="none"/>
              </w:rPr>
            </w:pPr>
            <w:r>
              <w:rPr>
                <w:rFonts w:hint="eastAsia" w:ascii="宋体" w:hAnsi="宋体"/>
                <w:color w:val="auto"/>
                <w:szCs w:val="21"/>
                <w:highlight w:val="none"/>
              </w:rPr>
              <w:t xml:space="preserve">                                                       合计金额</w:t>
            </w:r>
          </w:p>
        </w:tc>
        <w:tc>
          <w:tcPr>
            <w:tcW w:w="1567" w:type="dxa"/>
            <w:tcBorders>
              <w:top w:val="single" w:color="auto" w:sz="4" w:space="0"/>
              <w:left w:val="single" w:color="auto" w:sz="4" w:space="0"/>
              <w:bottom w:val="single" w:color="auto" w:sz="4" w:space="0"/>
              <w:right w:val="single" w:color="auto" w:sz="4" w:space="0"/>
            </w:tcBorders>
            <w:vAlign w:val="center"/>
          </w:tcPr>
          <w:p w14:paraId="7404713A">
            <w:pPr>
              <w:snapToGrid w:val="0"/>
              <w:spacing w:line="360" w:lineRule="auto"/>
              <w:jc w:val="center"/>
              <w:rPr>
                <w:rFonts w:ascii="宋体" w:hAnsi="宋体"/>
                <w:color w:val="auto"/>
                <w:szCs w:val="21"/>
                <w:highlight w:val="none"/>
              </w:rPr>
            </w:pPr>
          </w:p>
        </w:tc>
      </w:tr>
    </w:tbl>
    <w:p w14:paraId="5E39DC24">
      <w:pPr>
        <w:spacing w:line="380" w:lineRule="exact"/>
        <w:ind w:firstLine="411" w:firstLineChars="196"/>
        <w:rPr>
          <w:rFonts w:ascii="宋体" w:hAnsi="宋体" w:cs="宋体"/>
          <w:color w:val="auto"/>
          <w:szCs w:val="21"/>
          <w:highlight w:val="none"/>
        </w:rPr>
      </w:pPr>
      <w:r>
        <w:rPr>
          <w:rFonts w:hint="eastAsia" w:ascii="宋体" w:hAnsi="宋体" w:cs="宋体"/>
          <w:color w:val="auto"/>
          <w:szCs w:val="21"/>
          <w:highlight w:val="none"/>
        </w:rPr>
        <w:t>中标内容合同的总金额为：（大写）人民币</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49807E6">
      <w:pPr>
        <w:spacing w:line="380" w:lineRule="exact"/>
        <w:ind w:firstLine="411" w:firstLineChars="196"/>
        <w:rPr>
          <w:rFonts w:ascii="宋体" w:hAnsi="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olor w:val="auto"/>
          <w:szCs w:val="21"/>
          <w:highlight w:val="none"/>
        </w:rPr>
        <w:t>合同合计金额应包括招标范围内货物货款、货物标准附件、备品备件、专用工具、包装、运输、装卸、保险、税金、货到就位以及安装、调试、培训、保修等一切费用。</w:t>
      </w:r>
    </w:p>
    <w:p w14:paraId="1981779D">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第二条  质量保证</w:t>
      </w:r>
    </w:p>
    <w:p w14:paraId="558707B6">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乙方应按投标文件规定的货物型号、技术规格、技术参数、质量标准向甲方提供未经使用的全新原装产品，且在正常安装使用和保养条件下，其使用寿命期内各项指标均达到质量标准。乙方提供的自主创新产品、节能和环保产品必须是列入政府采购清单的产品。</w:t>
      </w:r>
    </w:p>
    <w:p w14:paraId="56D9D608">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第三条  权利保证</w:t>
      </w:r>
    </w:p>
    <w:p w14:paraId="07705493">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乙方应保证所提供货物在使用时不会侵犯任何第三方的专利权、商标权、工业设计权或其他权利。如果甲方因此遭受任何第三方的索赔、诉讼或任何权利请求，乙方有义务以甲方名义自费处理纠纷，并承担所有法律和经济责任。</w:t>
      </w:r>
    </w:p>
    <w:p w14:paraId="09BE3742">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2.乙方应按招标文件规定的时间向甲方提供使用货物的有关技术资料。</w:t>
      </w:r>
    </w:p>
    <w:p w14:paraId="5F123F7E">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3.乙方保证所交付的货物的所有权完全属于乙方且无任何抵押、质押、查封等产权瑕疵。</w:t>
      </w:r>
    </w:p>
    <w:p w14:paraId="63E81DF6">
      <w:pPr>
        <w:spacing w:line="380" w:lineRule="exact"/>
        <w:ind w:firstLine="420" w:firstLineChars="200"/>
        <w:rPr>
          <w:rFonts w:ascii="宋体" w:hAns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2BA53457">
      <w:pPr>
        <w:spacing w:line="38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第四条  货物包装、运输</w:t>
      </w:r>
    </w:p>
    <w:p w14:paraId="5A61F956">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1.乙方应在货物发运前对其进行满足运输距离、防潮、防震、防锈和防破损装卸等要求包装，以保证货物安全运达甲方指定地点。</w:t>
      </w:r>
    </w:p>
    <w:p w14:paraId="5BF25487">
      <w:pPr>
        <w:tabs>
          <w:tab w:val="left" w:pos="780"/>
        </w:tabs>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2.使用中文说明书、质量检验证明书、随配附件和工具以及清单一并附于货物内。</w:t>
      </w:r>
    </w:p>
    <w:p w14:paraId="29EE7544">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3.乙方在货物发运手续办理完毕后二十四小时内或货到甲方四十八小时前通知甲方，以准备接货。</w:t>
      </w:r>
    </w:p>
    <w:p w14:paraId="026CBCF5">
      <w:pPr>
        <w:tabs>
          <w:tab w:val="left" w:pos="780"/>
        </w:tabs>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4.货物在甲方最终验收完毕出具验收文书前发生的一切风险均由乙方承担。</w:t>
      </w:r>
    </w:p>
    <w:p w14:paraId="04F84BD6">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第五条  交付时间和地点</w:t>
      </w:r>
    </w:p>
    <w:p w14:paraId="520CC880">
      <w:pPr>
        <w:tabs>
          <w:tab w:val="left" w:pos="780"/>
        </w:tabs>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1.交付时间：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18CAC49">
      <w:pPr>
        <w:tabs>
          <w:tab w:val="left" w:pos="780"/>
        </w:tabs>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2.交付地点：广西桂林市内甲方指定地点（桂林市中西医结合医院内）。</w:t>
      </w:r>
    </w:p>
    <w:p w14:paraId="31356442">
      <w:pPr>
        <w:spacing w:line="380" w:lineRule="exact"/>
        <w:ind w:left="413"/>
        <w:rPr>
          <w:rFonts w:ascii="宋体" w:hAnsi="宋体" w:cs="宋体"/>
          <w:b/>
          <w:color w:val="auto"/>
          <w:szCs w:val="21"/>
          <w:highlight w:val="none"/>
        </w:rPr>
      </w:pPr>
      <w:r>
        <w:rPr>
          <w:rFonts w:hint="eastAsia" w:ascii="宋体" w:hAnsi="宋体" w:cs="宋体"/>
          <w:b/>
          <w:color w:val="auto"/>
          <w:szCs w:val="21"/>
          <w:highlight w:val="none"/>
        </w:rPr>
        <w:t>第六条  验收</w:t>
      </w:r>
    </w:p>
    <w:p w14:paraId="652910C2">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提供的产品必须符合国家、行业强制执行的相关质量标准要求以及产品制造厂家合格产品的出厂质量标准。</w:t>
      </w:r>
    </w:p>
    <w:p w14:paraId="2ABD83B9">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2.设备须全新、完好、无破损，产品到货后，</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现场根据招标文件要求、投标文件承诺以及国家相关标准、地方标准进行验收，必要时，</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有权邀请国家质量监督检验部门或国家认可的检测机构参与共同验收。如产品不满足投标文件要求、</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投标文件承诺或国家、行业强制执行的相关质量标准要求以及产品制造厂家合格产品的出厂质量标准，</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有权不予验收并有权终止合同，由此造成</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的经济损失由</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承担全部赔偿责任包括但不限于</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的经济损失及律师费、诉讼费、鉴定费等。</w:t>
      </w:r>
    </w:p>
    <w:p w14:paraId="485A3878">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必须于供货时向</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提供所投医疗器械产品由行政主管部门核准资格文件、产品注册时的检测检验报告书，产品彩页或参数说明书等资料材料，以便核实相关技术参数，否则不予验收，</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应承担逾期交货违约责任。</w:t>
      </w:r>
    </w:p>
    <w:p w14:paraId="16410166">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交货前应对产品做出全面的检查和对验收文件进行整理，并列出清单，作为</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验收和使用的技术条件依据，验收的结果应随货物交</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w:t>
      </w:r>
    </w:p>
    <w:p w14:paraId="3C564E7E">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依据招标文件的技术规格要求和国家有关质量标准对货物进行现场初步验收，外观、说明书符合招标文件技术要求的，给予签收，初步验收不合格的不予签收。货到后，</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 xml:space="preserve">应当在到货（安装、调试完成）后七个工作日内进行验收。验收合格后由双方签署货物验收单并加盖公章，双方各执一份。 </w:t>
      </w:r>
    </w:p>
    <w:p w14:paraId="59FABA8C">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对</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提供的货物在使用前进行调试时，投标人须负责安装并培训</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的使用人员，并协助</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一起调试，直到符合技术要求，</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予以最终验收。</w:t>
      </w:r>
    </w:p>
    <w:p w14:paraId="0137B536">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7.对技术复杂的货物，</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应请国家认可的专业检测机构参与初步验收及最终验收，并由其出具质量检测报告。</w:t>
      </w:r>
    </w:p>
    <w:p w14:paraId="6D93A70F">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8.验收时</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必须在现场，验收完毕后做出验收结果报告，验收费用由</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负责。</w:t>
      </w:r>
    </w:p>
    <w:p w14:paraId="4B5C9689">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对验收有异议的，在验收后7个工作日内以书面形式向</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提出，</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应自收到</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书面异议后7日内及时予以解决。</w:t>
      </w:r>
    </w:p>
    <w:p w14:paraId="4ADD79BE">
      <w:pPr>
        <w:tabs>
          <w:tab w:val="left" w:pos="780"/>
        </w:tabs>
        <w:spacing w:line="3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所投分标</w:t>
      </w:r>
      <w:r>
        <w:rPr>
          <w:rFonts w:hint="eastAsia" w:ascii="宋体" w:hAnsi="宋体" w:cs="宋体"/>
          <w:color w:val="auto"/>
          <w:szCs w:val="21"/>
          <w:highlight w:val="none"/>
          <w:lang w:val="en-US" w:eastAsia="zh-CN"/>
        </w:rPr>
        <w:t>1、分标2</w:t>
      </w:r>
      <w:r>
        <w:rPr>
          <w:rFonts w:hint="eastAsia" w:ascii="宋体" w:hAnsi="宋体" w:cs="宋体"/>
          <w:color w:val="auto"/>
          <w:szCs w:val="21"/>
          <w:highlight w:val="none"/>
          <w:lang w:eastAsia="zh-CN"/>
        </w:rPr>
        <w:t>标的</w:t>
      </w:r>
      <w:r>
        <w:rPr>
          <w:rFonts w:hint="eastAsia" w:ascii="宋体" w:hAnsi="宋体" w:cs="宋体"/>
          <w:color w:val="auto"/>
          <w:szCs w:val="21"/>
          <w:highlight w:val="none"/>
        </w:rPr>
        <w:t>如属消毒产品管理的，供货时</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必须向</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提供相应有效的“</w:t>
      </w:r>
      <w:r>
        <w:rPr>
          <w:rFonts w:hint="eastAsia" w:ascii="宋体" w:hAnsi="宋体" w:cs="宋体"/>
          <w:color w:val="auto"/>
          <w:szCs w:val="21"/>
          <w:highlight w:val="none"/>
          <w:lang w:eastAsia="zh-CN"/>
        </w:rPr>
        <w:t>①</w:t>
      </w:r>
      <w:r>
        <w:rPr>
          <w:rFonts w:hint="eastAsia" w:ascii="宋体" w:hAnsi="宋体" w:cs="宋体"/>
          <w:color w:val="auto"/>
          <w:szCs w:val="21"/>
          <w:highlight w:val="none"/>
        </w:rPr>
        <w:t>生产企业卫生许可证</w:t>
      </w:r>
      <w:r>
        <w:rPr>
          <w:rFonts w:hint="eastAsia" w:ascii="宋体" w:hAnsi="宋体" w:cs="宋体"/>
          <w:color w:val="auto"/>
          <w:szCs w:val="21"/>
          <w:highlight w:val="none"/>
          <w:lang w:eastAsia="zh-CN"/>
        </w:rPr>
        <w:t>；②</w:t>
      </w:r>
      <w:r>
        <w:rPr>
          <w:rFonts w:hint="eastAsia" w:ascii="宋体" w:hAnsi="宋体" w:cs="宋体"/>
          <w:color w:val="auto"/>
          <w:szCs w:val="21"/>
          <w:highlight w:val="none"/>
        </w:rPr>
        <w:t>产品备案凭证或者卫生许可批件”（加盖原件持有者的印章），否则，不予验收。</w:t>
      </w:r>
    </w:p>
    <w:p w14:paraId="43EA0439">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第七条  安装和培训</w:t>
      </w:r>
    </w:p>
    <w:p w14:paraId="6A96C713">
      <w:pPr>
        <w:snapToGrid w:val="0"/>
        <w:spacing w:line="400" w:lineRule="exact"/>
        <w:ind w:firstLine="420" w:firstLineChars="200"/>
        <w:rPr>
          <w:rFonts w:ascii="仿宋" w:hAnsi="仿宋" w:eastAsia="仿宋"/>
          <w:color w:val="auto"/>
          <w:sz w:val="24"/>
          <w:highlight w:val="none"/>
        </w:rPr>
      </w:pPr>
      <w:r>
        <w:rPr>
          <w:rFonts w:hint="eastAsia" w:ascii="宋体" w:hAnsi="宋体" w:cs="宋体"/>
          <w:color w:val="auto"/>
          <w:szCs w:val="21"/>
          <w:highlight w:val="none"/>
        </w:rPr>
        <w:t xml:space="preserve"> 1.甲方应提供必要安装条件（如场地、电源、水源等），乙方负责具体满足设备安装条件的施工，直到设备正常使用。</w:t>
      </w:r>
    </w:p>
    <w:p w14:paraId="69C743C8">
      <w:pPr>
        <w:spacing w:line="380" w:lineRule="exact"/>
        <w:ind w:firstLine="315" w:firstLineChars="150"/>
        <w:rPr>
          <w:rFonts w:ascii="宋体" w:hAnsi="宋体" w:cs="宋体"/>
          <w:color w:val="auto"/>
          <w:szCs w:val="21"/>
          <w:highlight w:val="none"/>
        </w:rPr>
      </w:pPr>
      <w:r>
        <w:rPr>
          <w:rFonts w:hint="eastAsia" w:ascii="宋体" w:hAnsi="宋体" w:cs="宋体"/>
          <w:color w:val="auto"/>
          <w:szCs w:val="21"/>
          <w:highlight w:val="none"/>
        </w:rPr>
        <w:t>2.乙方负责甲方有关人员的培训。培训时间、地点：</w:t>
      </w:r>
      <w:r>
        <w:rPr>
          <w:rFonts w:hint="eastAsia" w:ascii="宋体" w:hAnsi="宋体" w:cs="宋体"/>
          <w:color w:val="auto"/>
          <w:szCs w:val="21"/>
          <w:highlight w:val="none"/>
          <w:u w:val="single"/>
        </w:rPr>
        <w:t>广西桂林市内甲方指定地点（桂林市中西医结合医院内）</w:t>
      </w:r>
      <w:r>
        <w:rPr>
          <w:rFonts w:hint="eastAsia" w:ascii="宋体" w:hAnsi="宋体" w:cs="宋体"/>
          <w:color w:val="auto"/>
          <w:szCs w:val="21"/>
          <w:highlight w:val="none"/>
        </w:rPr>
        <w:t>。</w:t>
      </w:r>
    </w:p>
    <w:p w14:paraId="2EE1BB37">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第八条  售后服务</w:t>
      </w:r>
    </w:p>
    <w:p w14:paraId="25EDF8CF">
      <w:pPr>
        <w:spacing w:line="380" w:lineRule="exact"/>
        <w:ind w:firstLine="413" w:firstLineChars="196"/>
        <w:rPr>
          <w:rFonts w:ascii="宋体" w:hAnsi="宋体" w:cs="宋体"/>
          <w:b/>
          <w:color w:val="auto"/>
          <w:szCs w:val="21"/>
          <w:highlight w:val="none"/>
          <w:u w:val="single"/>
        </w:rPr>
      </w:pPr>
      <w:r>
        <w:rPr>
          <w:rFonts w:hint="eastAsia" w:ascii="宋体" w:hAnsi="宋体" w:cs="宋体"/>
          <w:b/>
          <w:color w:val="auto"/>
          <w:szCs w:val="21"/>
          <w:highlight w:val="none"/>
          <w:u w:val="single"/>
        </w:rPr>
        <w:t xml:space="preserve">                                          </w:t>
      </w:r>
    </w:p>
    <w:p w14:paraId="08B7F530">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第九条  税费</w:t>
      </w:r>
    </w:p>
    <w:p w14:paraId="0087A3D9">
      <w:pPr>
        <w:spacing w:line="380" w:lineRule="exact"/>
        <w:ind w:firstLine="411" w:firstLineChars="196"/>
        <w:rPr>
          <w:rFonts w:ascii="宋体" w:hAnsi="宋体" w:cs="宋体"/>
          <w:color w:val="auto"/>
          <w:szCs w:val="21"/>
          <w:highlight w:val="none"/>
        </w:rPr>
      </w:pPr>
      <w:r>
        <w:rPr>
          <w:rFonts w:hint="eastAsia" w:ascii="宋体" w:hAnsi="宋体" w:cs="宋体"/>
          <w:color w:val="auto"/>
          <w:szCs w:val="21"/>
          <w:highlight w:val="none"/>
        </w:rPr>
        <w:t>本合同执行中相关的一切税费均由乙方负担。</w:t>
      </w:r>
    </w:p>
    <w:p w14:paraId="4612F94B">
      <w:pPr>
        <w:numPr>
          <w:ilvl w:val="0"/>
          <w:numId w:val="7"/>
        </w:numPr>
        <w:spacing w:line="38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付款方式</w:t>
      </w:r>
    </w:p>
    <w:p w14:paraId="4B62EF3D">
      <w:pPr>
        <w:spacing w:line="380" w:lineRule="exact"/>
        <w:ind w:firstLine="420" w:firstLineChars="200"/>
        <w:rPr>
          <w:rFonts w:hint="eastAsia" w:ascii="宋体" w:hAnsi="宋体" w:cs="宋体"/>
          <w:b w:val="0"/>
          <w:bCs/>
          <w:color w:val="auto"/>
          <w:szCs w:val="21"/>
          <w:highlight w:val="none"/>
          <w:lang w:val="en-US" w:eastAsia="zh-CN"/>
        </w:rPr>
      </w:pPr>
      <w:r>
        <w:rPr>
          <w:rFonts w:hint="eastAsia" w:ascii="宋体" w:hAnsi="宋体" w:cs="宋体"/>
          <w:b w:val="0"/>
          <w:bCs/>
          <w:color w:val="auto"/>
          <w:szCs w:val="21"/>
          <w:highlight w:val="none"/>
          <w:lang w:eastAsia="zh-CN"/>
        </w:rPr>
        <w:t>分标</w:t>
      </w:r>
      <w:r>
        <w:rPr>
          <w:rFonts w:hint="eastAsia" w:ascii="宋体" w:hAnsi="宋体" w:cs="宋体"/>
          <w:b w:val="0"/>
          <w:bCs/>
          <w:color w:val="auto"/>
          <w:szCs w:val="21"/>
          <w:highlight w:val="none"/>
          <w:lang w:val="en-US" w:eastAsia="zh-CN"/>
        </w:rPr>
        <w:t>1、2、3：</w:t>
      </w:r>
      <w:r>
        <w:rPr>
          <w:rFonts w:hint="eastAsia" w:ascii="宋体" w:hAnsi="宋体" w:cs="宋体"/>
          <w:b w:val="0"/>
          <w:bCs/>
          <w:color w:val="auto"/>
          <w:szCs w:val="21"/>
          <w:highlight w:val="none"/>
        </w:rPr>
        <w:t>验收合格后</w:t>
      </w:r>
      <w:r>
        <w:rPr>
          <w:rFonts w:hint="eastAsia" w:ascii="宋体" w:hAnsi="宋体" w:cs="宋体"/>
          <w:b w:val="0"/>
          <w:bCs/>
          <w:color w:val="auto"/>
          <w:szCs w:val="21"/>
          <w:highlight w:val="none"/>
          <w:lang w:eastAsia="zh-CN"/>
        </w:rPr>
        <w:t>支付合同</w:t>
      </w:r>
      <w:r>
        <w:rPr>
          <w:rFonts w:hint="eastAsia" w:ascii="宋体" w:hAnsi="宋体" w:cs="宋体"/>
          <w:b w:val="0"/>
          <w:bCs/>
          <w:color w:val="auto"/>
          <w:szCs w:val="21"/>
          <w:highlight w:val="none"/>
        </w:rPr>
        <w:t>金额的50%，验收合格满</w:t>
      </w:r>
      <w:r>
        <w:rPr>
          <w:rFonts w:hint="eastAsia" w:ascii="宋体" w:hAnsi="宋体" w:cs="宋体"/>
          <w:b w:val="0"/>
          <w:bCs/>
          <w:color w:val="auto"/>
          <w:szCs w:val="21"/>
          <w:highlight w:val="none"/>
          <w:lang w:val="en-US" w:eastAsia="zh-CN"/>
        </w:rPr>
        <w:t>1</w:t>
      </w:r>
      <w:r>
        <w:rPr>
          <w:rFonts w:hint="eastAsia" w:ascii="宋体" w:hAnsi="宋体" w:cs="宋体"/>
          <w:b w:val="0"/>
          <w:bCs/>
          <w:color w:val="auto"/>
          <w:szCs w:val="21"/>
          <w:highlight w:val="none"/>
        </w:rPr>
        <w:t>年</w:t>
      </w:r>
      <w:r>
        <w:rPr>
          <w:rFonts w:hint="eastAsia" w:ascii="宋体" w:hAnsi="宋体" w:cs="宋体"/>
          <w:b w:val="0"/>
          <w:bCs/>
          <w:color w:val="auto"/>
          <w:szCs w:val="21"/>
          <w:highlight w:val="none"/>
          <w:lang w:eastAsia="zh-CN"/>
        </w:rPr>
        <w:t>后支付合同</w:t>
      </w:r>
      <w:r>
        <w:rPr>
          <w:rFonts w:hint="eastAsia" w:ascii="宋体" w:hAnsi="宋体" w:cs="宋体"/>
          <w:b w:val="0"/>
          <w:bCs/>
          <w:color w:val="auto"/>
          <w:szCs w:val="21"/>
          <w:highlight w:val="none"/>
        </w:rPr>
        <w:t>金额的45%，</w:t>
      </w:r>
      <w:r>
        <w:rPr>
          <w:rFonts w:hint="eastAsia" w:ascii="宋体" w:hAnsi="宋体" w:cs="宋体"/>
          <w:b w:val="0"/>
          <w:bCs/>
          <w:color w:val="auto"/>
          <w:szCs w:val="21"/>
          <w:highlight w:val="none"/>
          <w:lang w:eastAsia="zh-CN"/>
        </w:rPr>
        <w:t>所有设备质保期</w:t>
      </w:r>
      <w:r>
        <w:rPr>
          <w:rFonts w:hint="eastAsia" w:ascii="宋体" w:hAnsi="宋体" w:cs="宋体"/>
          <w:b w:val="0"/>
          <w:bCs/>
          <w:color w:val="auto"/>
          <w:szCs w:val="21"/>
          <w:highlight w:val="none"/>
        </w:rPr>
        <w:t>满后</w:t>
      </w:r>
      <w:r>
        <w:rPr>
          <w:rFonts w:hint="eastAsia" w:ascii="宋体" w:hAnsi="宋体" w:cs="宋体"/>
          <w:b w:val="0"/>
          <w:bCs/>
          <w:color w:val="auto"/>
          <w:szCs w:val="21"/>
          <w:highlight w:val="none"/>
          <w:lang w:eastAsia="zh-CN"/>
        </w:rPr>
        <w:t>支付合同</w:t>
      </w:r>
      <w:r>
        <w:rPr>
          <w:rFonts w:hint="eastAsia" w:ascii="宋体" w:hAnsi="宋体" w:cs="宋体"/>
          <w:b w:val="0"/>
          <w:bCs/>
          <w:color w:val="auto"/>
          <w:szCs w:val="21"/>
          <w:highlight w:val="none"/>
        </w:rPr>
        <w:t>金额的5%（无息）。</w:t>
      </w:r>
    </w:p>
    <w:p w14:paraId="06A7C959">
      <w:pPr>
        <w:spacing w:line="380" w:lineRule="exact"/>
        <w:ind w:firstLine="422" w:firstLineChars="200"/>
        <w:rPr>
          <w:rFonts w:ascii="宋体" w:hAnsi="宋体" w:cs="宋体"/>
          <w:color w:val="auto"/>
          <w:szCs w:val="21"/>
          <w:highlight w:val="none"/>
        </w:rPr>
      </w:pPr>
      <w:r>
        <w:rPr>
          <w:rFonts w:hint="eastAsia" w:ascii="宋体" w:hAnsi="宋体" w:cs="宋体"/>
          <w:b/>
          <w:color w:val="auto"/>
          <w:szCs w:val="21"/>
          <w:highlight w:val="none"/>
        </w:rPr>
        <w:t>第十一条  违约责任</w:t>
      </w:r>
    </w:p>
    <w:p w14:paraId="58AED109">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1.乙方所提供的货物规格、技术标准、材料等质量不合格的，应及时更换，更换不及时的按逾期交货处罚，因质量问题甲方不同意接收的或特殊情况甲方同意接收的，乙方应向甲方支付违约货款额</w:t>
      </w:r>
      <w:r>
        <w:rPr>
          <w:rFonts w:ascii="宋体" w:hAnsi="宋体" w:cs="宋体"/>
          <w:color w:val="auto"/>
          <w:szCs w:val="21"/>
          <w:highlight w:val="none"/>
        </w:rPr>
        <w:t>5%违约金并赔偿甲方经济损失，包括但不限于维权费用。</w:t>
      </w:r>
    </w:p>
    <w:p w14:paraId="2481867F">
      <w:pPr>
        <w:spacing w:line="380" w:lineRule="exact"/>
        <w:ind w:firstLine="359" w:firstLineChars="171"/>
        <w:rPr>
          <w:rFonts w:ascii="宋体" w:hAnsi="宋体" w:cs="宋体"/>
          <w:color w:val="auto"/>
          <w:szCs w:val="21"/>
          <w:highlight w:val="none"/>
        </w:rPr>
      </w:pPr>
      <w:r>
        <w:rPr>
          <w:rFonts w:hint="eastAsia" w:ascii="宋体" w:hAnsi="宋体" w:cs="宋体"/>
          <w:color w:val="auto"/>
          <w:szCs w:val="21"/>
          <w:highlight w:val="none"/>
        </w:rPr>
        <w:t>2.乙方提供的货物如果侵犯了第三方合法权益而引发的任何纠纷或诉讼，均由乙方负责交涉并承担全部责任；在履行本合同过程中非因甲方的原因引发的诉讼，由乙方承担全部责任【包括</w:t>
      </w:r>
      <w:r>
        <w:rPr>
          <w:rFonts w:hint="eastAsia" w:ascii="宋体" w:hAnsi="宋体" w:cs="宋体"/>
          <w:color w:val="auto"/>
          <w:szCs w:val="21"/>
          <w:highlight w:val="none"/>
          <w:lang w:eastAsia="zh-CN"/>
        </w:rPr>
        <w:t>但</w:t>
      </w:r>
      <w:r>
        <w:rPr>
          <w:rFonts w:hint="eastAsia" w:ascii="宋体" w:hAnsi="宋体" w:cs="宋体"/>
          <w:color w:val="auto"/>
          <w:szCs w:val="21"/>
          <w:highlight w:val="none"/>
        </w:rPr>
        <w:t>不限于赔偿费</w:t>
      </w:r>
      <w:r>
        <w:rPr>
          <w:rFonts w:hint="eastAsia" w:ascii="宋体" w:hAnsi="宋体" w:cs="宋体"/>
          <w:color w:val="auto"/>
          <w:szCs w:val="21"/>
          <w:highlight w:val="none"/>
          <w:lang w:eastAsia="zh-CN"/>
        </w:rPr>
        <w:t>、</w:t>
      </w:r>
      <w:r>
        <w:rPr>
          <w:rFonts w:hint="eastAsia" w:ascii="宋体" w:hAnsi="宋体" w:cs="宋体"/>
          <w:color w:val="auto"/>
          <w:szCs w:val="21"/>
          <w:highlight w:val="none"/>
        </w:rPr>
        <w:t>甲方的经济损失费、律师费（按广西律师服务收费管理办法规定的标准）、仲裁费、诉讼费等费用，乙方承担后，有权向第三方追偿】。</w:t>
      </w:r>
    </w:p>
    <w:p w14:paraId="32406837">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3.因包装、运输引起的货物损坏，按质量不合格处理。</w:t>
      </w:r>
    </w:p>
    <w:p w14:paraId="54ECFF1C">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4.甲方无故延期接收货物的，每天向</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支付合同金额</w:t>
      </w:r>
      <w:r>
        <w:rPr>
          <w:rFonts w:hint="eastAsia" w:ascii="宋体" w:hAnsi="宋体" w:cs="宋体"/>
          <w:color w:val="auto"/>
          <w:szCs w:val="21"/>
          <w:highlight w:val="none"/>
          <w:u w:val="single"/>
        </w:rPr>
        <w:t>0.1</w:t>
      </w:r>
      <w:r>
        <w:rPr>
          <w:rFonts w:hint="eastAsia" w:ascii="宋体" w:hAnsi="宋体" w:cs="宋体"/>
          <w:color w:val="auto"/>
          <w:szCs w:val="21"/>
          <w:highlight w:val="none"/>
        </w:rPr>
        <w:t>‰违约金，但违约金额累计不得超过合同金额</w:t>
      </w:r>
      <w:r>
        <w:rPr>
          <w:rFonts w:hint="eastAsia" w:ascii="宋体" w:hAnsi="宋体" w:cs="宋体"/>
          <w:color w:val="auto"/>
          <w:szCs w:val="21"/>
          <w:highlight w:val="none"/>
          <w:u w:val="single"/>
        </w:rPr>
        <w:t>1</w:t>
      </w:r>
      <w:r>
        <w:rPr>
          <w:rFonts w:hint="eastAsia" w:ascii="宋体" w:hAnsi="宋体" w:cs="宋体"/>
          <w:color w:val="auto"/>
          <w:szCs w:val="21"/>
          <w:highlight w:val="none"/>
        </w:rPr>
        <w:t>%。甲方延期付货款的，每天向乙方偿付逾期金额0.</w:t>
      </w:r>
      <w:r>
        <w:rPr>
          <w:rFonts w:hint="eastAsia" w:ascii="宋体" w:hAnsi="宋体" w:cs="宋体"/>
          <w:color w:val="auto"/>
          <w:szCs w:val="21"/>
          <w:highlight w:val="none"/>
          <w:u w:val="single"/>
        </w:rPr>
        <w:t>1</w:t>
      </w:r>
      <w:r>
        <w:rPr>
          <w:rFonts w:hint="eastAsia" w:ascii="宋体" w:hAnsi="宋体" w:cs="宋体"/>
          <w:color w:val="auto"/>
          <w:szCs w:val="21"/>
          <w:highlight w:val="none"/>
        </w:rPr>
        <w:t>‰违约金，但违约金累计不得超过合同金额</w:t>
      </w:r>
      <w:r>
        <w:rPr>
          <w:rFonts w:hint="eastAsia" w:ascii="宋体" w:hAnsi="宋体" w:cs="宋体"/>
          <w:color w:val="auto"/>
          <w:szCs w:val="21"/>
          <w:highlight w:val="none"/>
          <w:u w:val="single"/>
        </w:rPr>
        <w:t>1</w:t>
      </w:r>
      <w:r>
        <w:rPr>
          <w:rFonts w:hint="eastAsia" w:ascii="宋体" w:hAnsi="宋体" w:cs="宋体"/>
          <w:color w:val="auto"/>
          <w:szCs w:val="21"/>
          <w:highlight w:val="none"/>
        </w:rPr>
        <w:t>%。乙方逾期交货的，每天向对方支付合同金额0.</w:t>
      </w:r>
      <w:r>
        <w:rPr>
          <w:rFonts w:hint="eastAsia" w:ascii="宋体" w:hAnsi="宋体" w:cs="宋体"/>
          <w:color w:val="auto"/>
          <w:szCs w:val="21"/>
          <w:highlight w:val="none"/>
          <w:u w:val="single"/>
        </w:rPr>
        <w:t>3</w:t>
      </w:r>
      <w:r>
        <w:rPr>
          <w:rFonts w:hint="eastAsia" w:ascii="宋体" w:hAnsi="宋体" w:cs="宋体"/>
          <w:color w:val="auto"/>
          <w:szCs w:val="21"/>
          <w:highlight w:val="none"/>
        </w:rPr>
        <w:t>‰违约金，但违约金额不得超过合同金额的</w:t>
      </w:r>
      <w:r>
        <w:rPr>
          <w:rFonts w:hint="eastAsia" w:ascii="宋体" w:hAnsi="宋体" w:cs="宋体"/>
          <w:color w:val="auto"/>
          <w:szCs w:val="21"/>
          <w:highlight w:val="none"/>
          <w:u w:val="single"/>
        </w:rPr>
        <w:t>30</w:t>
      </w:r>
      <w:r>
        <w:rPr>
          <w:rFonts w:hint="eastAsia" w:ascii="宋体" w:hAnsi="宋体" w:cs="宋体"/>
          <w:color w:val="auto"/>
          <w:szCs w:val="21"/>
          <w:highlight w:val="none"/>
        </w:rPr>
        <w:t>%，逾期超过</w:t>
      </w:r>
      <w:r>
        <w:rPr>
          <w:rFonts w:hint="eastAsia" w:ascii="宋体" w:hAnsi="宋体" w:cs="宋体"/>
          <w:color w:val="auto"/>
          <w:szCs w:val="21"/>
          <w:highlight w:val="none"/>
          <w:u w:val="single"/>
        </w:rPr>
        <w:t>20</w:t>
      </w:r>
      <w:r>
        <w:rPr>
          <w:rFonts w:hint="eastAsia" w:ascii="宋体" w:hAnsi="宋体" w:cs="宋体"/>
          <w:color w:val="auto"/>
          <w:szCs w:val="21"/>
          <w:highlight w:val="none"/>
        </w:rPr>
        <w:t>天的，对方有权终止合同，乙方承担因此给对方造成的经济损失（赔偿内容见本合同</w:t>
      </w:r>
      <w:bookmarkStart w:id="11" w:name="OLE_LINK6"/>
      <w:bookmarkStart w:id="12" w:name="OLE_LINK5"/>
      <w:r>
        <w:rPr>
          <w:rFonts w:hint="eastAsia" w:ascii="宋体" w:hAnsi="宋体" w:cs="宋体"/>
          <w:color w:val="auto"/>
          <w:szCs w:val="21"/>
          <w:highlight w:val="none"/>
        </w:rPr>
        <w:t>第十一条第2项</w:t>
      </w:r>
      <w:bookmarkEnd w:id="11"/>
      <w:bookmarkEnd w:id="12"/>
      <w:r>
        <w:rPr>
          <w:rFonts w:hint="eastAsia" w:ascii="宋体" w:hAnsi="宋体" w:cs="宋体"/>
          <w:color w:val="auto"/>
          <w:szCs w:val="21"/>
          <w:highlight w:val="none"/>
        </w:rPr>
        <w:t>列明的范围）。</w:t>
      </w:r>
    </w:p>
    <w:p w14:paraId="0AA6A642">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5.乙方未按本合同和投标文件中规定的服务承诺提供售后服务的，乙方除按其他条款约定支付违约金外，还须每次按本合同合计金额</w:t>
      </w:r>
      <w:r>
        <w:rPr>
          <w:rFonts w:hint="eastAsia" w:ascii="宋体" w:hAnsi="宋体" w:cs="宋体"/>
          <w:color w:val="auto"/>
          <w:szCs w:val="21"/>
          <w:highlight w:val="none"/>
          <w:u w:val="single"/>
        </w:rPr>
        <w:t>2</w:t>
      </w:r>
      <w:r>
        <w:rPr>
          <w:rFonts w:hint="eastAsia" w:ascii="宋体" w:hAnsi="宋体" w:cs="宋体"/>
          <w:color w:val="auto"/>
          <w:szCs w:val="21"/>
          <w:highlight w:val="none"/>
        </w:rPr>
        <w:t>%向甲方支付违约金并赔偿甲方损失。</w:t>
      </w:r>
    </w:p>
    <w:p w14:paraId="0E2ABF5D">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6.乙方提供的货物在</w:t>
      </w:r>
      <w:r>
        <w:rPr>
          <w:rFonts w:hint="eastAsia" w:ascii="宋体" w:hAnsi="宋体" w:cs="宋体"/>
          <w:color w:val="auto"/>
          <w:szCs w:val="21"/>
          <w:highlight w:val="none"/>
          <w:lang w:eastAsia="zh-CN"/>
        </w:rPr>
        <w:t>质保期</w:t>
      </w:r>
      <w:r>
        <w:rPr>
          <w:rFonts w:hint="eastAsia" w:ascii="宋体" w:hAnsi="宋体" w:cs="宋体"/>
          <w:color w:val="auto"/>
          <w:szCs w:val="21"/>
          <w:highlight w:val="none"/>
        </w:rPr>
        <w:t>内，因设计、工艺或材料的缺陷和其他质量原因造成的问题，由乙方负责，费用从合同尾款中扣除，不足部分乙方全部承担。</w:t>
      </w:r>
      <w:r>
        <w:rPr>
          <w:rFonts w:hint="eastAsia"/>
          <w:color w:val="auto"/>
          <w:highlight w:val="none"/>
        </w:rPr>
        <w:t>如存在验收后1年内非因甲方原因进行维保累计达3次的，甲方有权解除合同，乙方应全额退款。</w:t>
      </w:r>
    </w:p>
    <w:p w14:paraId="638240D2">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7.乙方其他违约行为按合同总金额</w:t>
      </w:r>
      <w:r>
        <w:rPr>
          <w:rFonts w:hint="eastAsia" w:ascii="宋体" w:hAnsi="宋体" w:cs="宋体"/>
          <w:color w:val="auto"/>
          <w:szCs w:val="21"/>
          <w:highlight w:val="none"/>
          <w:u w:val="single"/>
        </w:rPr>
        <w:t>5</w:t>
      </w:r>
      <w:r>
        <w:rPr>
          <w:rFonts w:hint="eastAsia" w:ascii="宋体" w:hAnsi="宋体" w:cs="宋体"/>
          <w:color w:val="auto"/>
          <w:szCs w:val="21"/>
          <w:highlight w:val="none"/>
        </w:rPr>
        <w:t>%收取违约金并赔偿经济损失。</w:t>
      </w:r>
    </w:p>
    <w:p w14:paraId="038C592B">
      <w:pPr>
        <w:spacing w:line="380" w:lineRule="exact"/>
        <w:ind w:firstLine="420" w:firstLineChars="200"/>
        <w:rPr>
          <w:color w:val="auto"/>
          <w:highlight w:val="none"/>
        </w:rPr>
      </w:pPr>
      <w:r>
        <w:rPr>
          <w:rFonts w:hint="eastAsia" w:ascii="宋体" w:hAnsi="宋体" w:cs="宋体"/>
          <w:color w:val="auto"/>
          <w:szCs w:val="21"/>
          <w:highlight w:val="none"/>
        </w:rPr>
        <w:t>8.乙方承诺目前不存在任何影响公司经营的诉讼或仲裁，合同签订后，如出现对乙方经营有重大影响的诉讼或仲裁或行政处罚的，或出现严重困难和财务状况恶化等可能出现重大不利影响的情形，或面临资产被财产保全或其他司法强制措施等影响乙方正常经营、有负面影响的其他事件，须在事件发生之日起3日内向甲方书面通知，征得甲方书面同意，并妥善落实本合同项下的全部义务，必要时，甲方有权要求乙方提供担保。因乙方未能消除上述影响或提供担保的，甲方享有单方解除合同的权利，乙方已经收取的费用扣除服务年限后应予退回。</w:t>
      </w:r>
    </w:p>
    <w:p w14:paraId="4F02E9CE">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第十二条  不可抗力事件处理</w:t>
      </w:r>
    </w:p>
    <w:p w14:paraId="67E7EDC5">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1.在合同有效期内，乙方因不可抗力事件导致不能履行合同，则合同履行期可延长，其延长期与不可抗力影响期相同。</w:t>
      </w:r>
    </w:p>
    <w:p w14:paraId="028EBFDA">
      <w:pPr>
        <w:tabs>
          <w:tab w:val="left" w:pos="780"/>
        </w:tabs>
        <w:spacing w:line="380" w:lineRule="exact"/>
        <w:ind w:firstLine="315" w:firstLineChars="150"/>
        <w:rPr>
          <w:rFonts w:ascii="宋体" w:hAnsi="宋体" w:cs="宋体"/>
          <w:color w:val="auto"/>
          <w:szCs w:val="21"/>
          <w:highlight w:val="none"/>
        </w:rPr>
      </w:pPr>
      <w:r>
        <w:rPr>
          <w:rFonts w:hint="eastAsia" w:ascii="宋体" w:hAnsi="宋体" w:cs="宋体"/>
          <w:color w:val="auto"/>
          <w:szCs w:val="21"/>
          <w:highlight w:val="none"/>
        </w:rPr>
        <w:t>2.不可抗力事件发生后，应立即通知对方，并寄送有关权威机构出具的证明。</w:t>
      </w:r>
    </w:p>
    <w:p w14:paraId="3F244616">
      <w:pPr>
        <w:tabs>
          <w:tab w:val="left" w:pos="780"/>
        </w:tabs>
        <w:spacing w:line="380" w:lineRule="exact"/>
        <w:ind w:firstLine="315" w:firstLineChars="150"/>
        <w:rPr>
          <w:rFonts w:ascii="宋体" w:hAnsi="宋体" w:cs="宋体"/>
          <w:color w:val="auto"/>
          <w:szCs w:val="21"/>
          <w:highlight w:val="none"/>
        </w:rPr>
      </w:pPr>
      <w:r>
        <w:rPr>
          <w:rFonts w:hint="eastAsia" w:ascii="宋体" w:hAnsi="宋体" w:cs="宋体"/>
          <w:color w:val="auto"/>
          <w:szCs w:val="21"/>
          <w:highlight w:val="none"/>
        </w:rPr>
        <w:t>3.不可抗力事件延续六十天以上，双方应通过友好协商，确定是否继续履行合同。</w:t>
      </w:r>
    </w:p>
    <w:p w14:paraId="46E05D8B">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第十三条  合同争议解决</w:t>
      </w:r>
    </w:p>
    <w:p w14:paraId="269E0879">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1.因货物质量问题发生争议的，应邀请国家认可的质量检测机构对货物质量进行鉴定。货物符合标准的，鉴定费由甲方承担；货物不符合标准的，鉴定费由乙方承担。</w:t>
      </w:r>
    </w:p>
    <w:p w14:paraId="15A5A9B5">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2.因履行本合同引起的或与本合同有关的争议，甲乙双方应首先通过友好协商解决，如果协商不能解决，双方约定由甲方所在地人民法院管辖。</w:t>
      </w:r>
    </w:p>
    <w:p w14:paraId="72C803E9">
      <w:pPr>
        <w:spacing w:line="380" w:lineRule="exact"/>
        <w:ind w:firstLine="434" w:firstLineChars="207"/>
        <w:rPr>
          <w:rFonts w:ascii="宋体" w:hAnsi="宋体" w:cs="宋体"/>
          <w:color w:val="auto"/>
          <w:szCs w:val="21"/>
          <w:highlight w:val="none"/>
        </w:rPr>
      </w:pPr>
      <w:r>
        <w:rPr>
          <w:rFonts w:hint="eastAsia" w:ascii="宋体" w:hAnsi="宋体" w:cs="宋体"/>
          <w:color w:val="auto"/>
          <w:szCs w:val="21"/>
          <w:highlight w:val="none"/>
        </w:rPr>
        <w:t>3.本合同尾部所约定的通讯地址及联系人作为双方送达文书及诉讼程序一审、二审、再审、执行以及仲裁程序所涉法律文书（包括但不限于应诉通知书、开庭传票、判决书、裁定书、裁决书等）的指定送达地址及送达联系人，如因受送达方无法签收、拒收等原因导致被退回的，各方一致同意法律文书被退回之日即为送达之日。各方变更地址应及时书面通知对方，否则由此引起的责任由信息变更方承担。按本协议所载资料向乙方发送的所有通知及司法部门的文书，视同送达。</w:t>
      </w:r>
    </w:p>
    <w:p w14:paraId="338C2A28">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第十四条  合同生效及其他</w:t>
      </w:r>
    </w:p>
    <w:p w14:paraId="6F08FD1B">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1.合同经甲乙双方法定代表人或授权代表签字并加盖单位公章、骑缝章后生效。</w:t>
      </w:r>
    </w:p>
    <w:p w14:paraId="77A484F8">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2.合同执行中涉及采购资金和采购内容修改或补充的，须经甲方同意，并签订书面补充协议，方可作为主合同不可分割的一部分。</w:t>
      </w:r>
    </w:p>
    <w:p w14:paraId="7A4301BC">
      <w:pPr>
        <w:spacing w:line="380" w:lineRule="exact"/>
        <w:ind w:left="435"/>
        <w:rPr>
          <w:rFonts w:ascii="宋体" w:hAnsi="宋体" w:cs="宋体"/>
          <w:color w:val="auto"/>
          <w:szCs w:val="21"/>
          <w:highlight w:val="none"/>
        </w:rPr>
      </w:pPr>
      <w:r>
        <w:rPr>
          <w:rFonts w:hint="eastAsia" w:ascii="宋体" w:hAnsi="宋体" w:cs="宋体"/>
          <w:color w:val="auto"/>
          <w:szCs w:val="21"/>
          <w:highlight w:val="none"/>
        </w:rPr>
        <w:t>3.本合同未尽事宜，遵照《中华人民共和国民法典》及相关法律有关条文执行。</w:t>
      </w:r>
    </w:p>
    <w:p w14:paraId="436D9DA0">
      <w:pPr>
        <w:spacing w:line="38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第十五条  合同的变更、终止与转让</w:t>
      </w:r>
    </w:p>
    <w:p w14:paraId="2A8B06F8">
      <w:pPr>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1.本合同一经签订，甲乙双方不得擅自变更，中止或终止。</w:t>
      </w:r>
    </w:p>
    <w:p w14:paraId="4439D04F">
      <w:pPr>
        <w:tabs>
          <w:tab w:val="left" w:pos="780"/>
        </w:tabs>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2.乙方不得擅自转让（无进口资格的供应商委托进口货物除外）其应履行的合同义务。</w:t>
      </w:r>
    </w:p>
    <w:p w14:paraId="0F09240F">
      <w:pPr>
        <w:tabs>
          <w:tab w:val="left" w:pos="4320"/>
          <w:tab w:val="left" w:pos="4500"/>
        </w:tabs>
        <w:spacing w:line="480" w:lineRule="exact"/>
        <w:ind w:firstLine="420" w:firstLineChars="200"/>
        <w:rPr>
          <w:rFonts w:ascii="宋体" w:hAnsi="宋体" w:cs="宋体"/>
          <w:color w:val="auto"/>
          <w:szCs w:val="21"/>
          <w:highlight w:val="none"/>
        </w:rPr>
      </w:pPr>
      <w:r>
        <w:rPr>
          <w:rFonts w:hint="eastAsia" w:ascii="宋体" w:hAnsi="宋体"/>
          <w:color w:val="auto"/>
          <w:highlight w:val="none"/>
        </w:rPr>
        <w:t>政府采购合同双方自签订之日起2个工作日内在省级以上人民政府财政部门指定媒体上公告。</w:t>
      </w:r>
    </w:p>
    <w:p w14:paraId="49FE914A">
      <w:pPr>
        <w:tabs>
          <w:tab w:val="left" w:pos="4320"/>
          <w:tab w:val="left" w:pos="4500"/>
        </w:tabs>
        <w:spacing w:line="520" w:lineRule="exact"/>
        <w:rPr>
          <w:rFonts w:ascii="宋体" w:hAnsi="宋体" w:cs="宋体"/>
          <w:color w:val="auto"/>
          <w:szCs w:val="21"/>
          <w:highlight w:val="none"/>
          <w:u w:val="single"/>
        </w:rPr>
      </w:pPr>
      <w:r>
        <w:rPr>
          <w:rFonts w:hint="eastAsia" w:ascii="宋体" w:hAnsi="宋体" w:cs="宋体"/>
          <w:color w:val="auto"/>
          <w:szCs w:val="21"/>
          <w:highlight w:val="none"/>
        </w:rPr>
        <w:t>甲方名称（公章）：                             乙方名称（公章）：</w:t>
      </w:r>
    </w:p>
    <w:p w14:paraId="185F1236">
      <w:pPr>
        <w:spacing w:line="520" w:lineRule="exact"/>
        <w:ind w:left="4620" w:hanging="4620" w:hangingChars="2200"/>
        <w:rPr>
          <w:rFonts w:ascii="宋体" w:hAnsi="宋体" w:cs="宋体"/>
          <w:color w:val="auto"/>
          <w:szCs w:val="21"/>
          <w:highlight w:val="none"/>
          <w:u w:val="single"/>
        </w:rPr>
      </w:pPr>
      <w:r>
        <w:rPr>
          <w:rFonts w:hint="eastAsia" w:ascii="宋体" w:hAnsi="宋体" w:cs="宋体"/>
          <w:color w:val="auto"/>
          <w:szCs w:val="21"/>
          <w:highlight w:val="none"/>
        </w:rPr>
        <w:t>法定代表人：                                    法定代表人：</w:t>
      </w:r>
    </w:p>
    <w:p w14:paraId="1B162024">
      <w:pPr>
        <w:tabs>
          <w:tab w:val="left" w:pos="4680"/>
        </w:tabs>
        <w:spacing w:line="520" w:lineRule="exact"/>
        <w:rPr>
          <w:rFonts w:ascii="宋体" w:hAnsi="宋体" w:cs="宋体"/>
          <w:color w:val="auto"/>
          <w:szCs w:val="21"/>
          <w:highlight w:val="none"/>
        </w:rPr>
      </w:pPr>
      <w:r>
        <w:rPr>
          <w:rFonts w:hint="eastAsia" w:ascii="宋体" w:hAnsi="宋体" w:cs="宋体"/>
          <w:color w:val="auto"/>
          <w:szCs w:val="21"/>
          <w:highlight w:val="none"/>
        </w:rPr>
        <w:t>委托代理人：                                    委托代理人：</w:t>
      </w:r>
    </w:p>
    <w:p w14:paraId="7160DE17">
      <w:pPr>
        <w:tabs>
          <w:tab w:val="left" w:pos="4680"/>
        </w:tabs>
        <w:spacing w:line="520" w:lineRule="exact"/>
        <w:rPr>
          <w:rFonts w:ascii="宋体" w:hAnsi="宋体" w:cs="宋体"/>
          <w:color w:val="auto"/>
          <w:szCs w:val="21"/>
          <w:highlight w:val="none"/>
          <w:u w:val="single"/>
        </w:rPr>
      </w:pPr>
      <w:r>
        <w:rPr>
          <w:rFonts w:hint="eastAsia" w:ascii="宋体" w:hAnsi="宋体" w:cs="宋体"/>
          <w:color w:val="auto"/>
          <w:szCs w:val="21"/>
          <w:highlight w:val="none"/>
        </w:rPr>
        <w:t xml:space="preserve">经办人：                                        经办人：                             </w:t>
      </w:r>
    </w:p>
    <w:p w14:paraId="116C8C07">
      <w:pPr>
        <w:tabs>
          <w:tab w:val="left" w:pos="5040"/>
        </w:tabs>
        <w:spacing w:line="520" w:lineRule="exact"/>
        <w:rPr>
          <w:rFonts w:ascii="宋体" w:hAnsi="宋体" w:cs="宋体"/>
          <w:color w:val="auto"/>
          <w:szCs w:val="21"/>
          <w:highlight w:val="none"/>
          <w:u w:val="single"/>
        </w:rPr>
      </w:pPr>
      <w:r>
        <w:rPr>
          <w:rFonts w:hint="eastAsia" w:ascii="宋体" w:hAnsi="宋体" w:cs="宋体"/>
          <w:color w:val="auto"/>
          <w:szCs w:val="21"/>
          <w:highlight w:val="none"/>
        </w:rPr>
        <w:t>电话：                                          电话：</w:t>
      </w:r>
    </w:p>
    <w:p w14:paraId="3B0CCD21">
      <w:pPr>
        <w:tabs>
          <w:tab w:val="left" w:pos="5040"/>
        </w:tabs>
        <w:spacing w:line="520" w:lineRule="exact"/>
        <w:rPr>
          <w:rFonts w:ascii="宋体" w:hAnsi="宋体" w:cs="宋体"/>
          <w:color w:val="auto"/>
          <w:szCs w:val="21"/>
          <w:highlight w:val="none"/>
        </w:rPr>
      </w:pPr>
      <w:r>
        <w:rPr>
          <w:rFonts w:hint="eastAsia" w:ascii="宋体" w:hAnsi="宋体" w:cs="宋体"/>
          <w:color w:val="auto"/>
          <w:szCs w:val="21"/>
          <w:highlight w:val="none"/>
        </w:rPr>
        <w:t>开户名称：                                        开户名称：</w:t>
      </w:r>
    </w:p>
    <w:p w14:paraId="18908A8C">
      <w:pPr>
        <w:tabs>
          <w:tab w:val="left" w:pos="5040"/>
        </w:tabs>
        <w:spacing w:line="520" w:lineRule="exact"/>
        <w:rPr>
          <w:rFonts w:ascii="宋体" w:hAnsi="宋体" w:cs="宋体"/>
          <w:color w:val="auto"/>
          <w:szCs w:val="21"/>
          <w:highlight w:val="none"/>
        </w:rPr>
      </w:pPr>
      <w:r>
        <w:rPr>
          <w:rFonts w:hint="eastAsia" w:ascii="宋体" w:hAnsi="宋体" w:cs="宋体"/>
          <w:color w:val="auto"/>
          <w:szCs w:val="21"/>
          <w:highlight w:val="none"/>
        </w:rPr>
        <w:t>开户银行：                                        开户银行：</w:t>
      </w:r>
    </w:p>
    <w:p w14:paraId="5CE5B47B">
      <w:pPr>
        <w:tabs>
          <w:tab w:val="left" w:pos="5040"/>
        </w:tabs>
        <w:spacing w:line="520" w:lineRule="exact"/>
        <w:rPr>
          <w:rFonts w:ascii="宋体" w:hAnsi="宋体" w:cs="宋体"/>
          <w:color w:val="auto"/>
          <w:szCs w:val="21"/>
          <w:highlight w:val="none"/>
        </w:rPr>
      </w:pPr>
      <w:r>
        <w:rPr>
          <w:rFonts w:hint="eastAsia" w:ascii="宋体" w:hAnsi="宋体" w:cs="宋体"/>
          <w:color w:val="auto"/>
          <w:szCs w:val="21"/>
          <w:highlight w:val="none"/>
        </w:rPr>
        <w:t>银行账号：                                        银行账号：</w:t>
      </w:r>
    </w:p>
    <w:p w14:paraId="58E2D8AC">
      <w:pPr>
        <w:spacing w:line="520" w:lineRule="exact"/>
        <w:rPr>
          <w:rFonts w:ascii="宋体" w:hAnsi="宋体" w:cs="宋体"/>
          <w:color w:val="auto"/>
          <w:szCs w:val="21"/>
          <w:highlight w:val="none"/>
        </w:rPr>
      </w:pPr>
      <w:r>
        <w:rPr>
          <w:rFonts w:hint="eastAsia" w:ascii="宋体" w:hAnsi="宋体" w:cs="宋体"/>
          <w:color w:val="auto"/>
          <w:szCs w:val="21"/>
          <w:highlight w:val="none"/>
        </w:rPr>
        <w:t xml:space="preserve">日期：   </w:t>
      </w:r>
      <w:r>
        <w:rPr>
          <w:rFonts w:hint="eastAsia" w:ascii="宋体" w:hAnsi="宋体" w:cs="宋体"/>
          <w:color w:val="auto"/>
          <w:szCs w:val="21"/>
          <w:highlight w:val="none"/>
          <w:u w:val="single"/>
        </w:rPr>
        <w:t>年   月   日</w:t>
      </w:r>
      <w:r>
        <w:rPr>
          <w:rFonts w:hint="eastAsia" w:ascii="宋体" w:hAnsi="宋体" w:cs="宋体"/>
          <w:color w:val="auto"/>
          <w:szCs w:val="21"/>
          <w:highlight w:val="none"/>
        </w:rPr>
        <w:t xml:space="preserve">                                 日期：  </w:t>
      </w:r>
      <w:r>
        <w:rPr>
          <w:rFonts w:hint="eastAsia" w:ascii="宋体" w:hAnsi="宋体" w:cs="宋体"/>
          <w:color w:val="auto"/>
          <w:szCs w:val="21"/>
          <w:highlight w:val="none"/>
          <w:u w:val="single"/>
        </w:rPr>
        <w:t>年   月   日</w:t>
      </w:r>
    </w:p>
    <w:p w14:paraId="7551A10F">
      <w:pPr>
        <w:spacing w:line="440" w:lineRule="atLeast"/>
        <w:jc w:val="center"/>
        <w:rPr>
          <w:rFonts w:ascii="宋体" w:hAnsi="宋体"/>
          <w:b/>
          <w:color w:val="auto"/>
          <w:sz w:val="32"/>
          <w:szCs w:val="32"/>
          <w:highlight w:val="none"/>
        </w:rPr>
      </w:pPr>
    </w:p>
    <w:p w14:paraId="32B6B8F0">
      <w:pPr>
        <w:spacing w:line="440" w:lineRule="atLeast"/>
        <w:jc w:val="center"/>
        <w:rPr>
          <w:rFonts w:ascii="宋体" w:hAnsi="宋体"/>
          <w:b/>
          <w:color w:val="auto"/>
          <w:sz w:val="32"/>
          <w:szCs w:val="32"/>
          <w:highlight w:val="none"/>
        </w:rPr>
      </w:pPr>
    </w:p>
    <w:p w14:paraId="7EF3C7DD">
      <w:pPr>
        <w:spacing w:line="440" w:lineRule="atLeast"/>
        <w:jc w:val="center"/>
        <w:rPr>
          <w:rFonts w:ascii="宋体" w:hAnsi="宋体"/>
          <w:b/>
          <w:color w:val="auto"/>
          <w:sz w:val="32"/>
          <w:szCs w:val="32"/>
          <w:highlight w:val="none"/>
        </w:rPr>
      </w:pPr>
    </w:p>
    <w:p w14:paraId="573DEFE6">
      <w:pPr>
        <w:spacing w:line="440" w:lineRule="atLeast"/>
        <w:jc w:val="center"/>
        <w:rPr>
          <w:rFonts w:ascii="宋体" w:hAnsi="宋体"/>
          <w:b/>
          <w:color w:val="auto"/>
          <w:sz w:val="32"/>
          <w:szCs w:val="32"/>
          <w:highlight w:val="none"/>
        </w:rPr>
      </w:pPr>
    </w:p>
    <w:p w14:paraId="50D672A3">
      <w:pPr>
        <w:spacing w:line="440" w:lineRule="atLeast"/>
        <w:jc w:val="center"/>
        <w:rPr>
          <w:rFonts w:ascii="宋体" w:hAnsi="宋体"/>
          <w:b/>
          <w:color w:val="auto"/>
          <w:sz w:val="32"/>
          <w:szCs w:val="32"/>
          <w:highlight w:val="none"/>
        </w:rPr>
      </w:pPr>
    </w:p>
    <w:p w14:paraId="55E3C004">
      <w:pPr>
        <w:spacing w:line="440" w:lineRule="atLeast"/>
        <w:jc w:val="center"/>
        <w:rPr>
          <w:rFonts w:ascii="宋体" w:hAnsi="宋体"/>
          <w:b/>
          <w:color w:val="auto"/>
          <w:sz w:val="32"/>
          <w:szCs w:val="32"/>
          <w:highlight w:val="none"/>
        </w:rPr>
      </w:pPr>
    </w:p>
    <w:p w14:paraId="74ABD850">
      <w:pPr>
        <w:spacing w:line="440" w:lineRule="atLeast"/>
        <w:jc w:val="center"/>
        <w:rPr>
          <w:rFonts w:ascii="宋体" w:hAnsi="宋体"/>
          <w:b/>
          <w:color w:val="auto"/>
          <w:sz w:val="32"/>
          <w:szCs w:val="32"/>
          <w:highlight w:val="none"/>
        </w:rPr>
      </w:pPr>
    </w:p>
    <w:p w14:paraId="7178E128">
      <w:pPr>
        <w:spacing w:line="440" w:lineRule="atLeast"/>
        <w:jc w:val="center"/>
        <w:rPr>
          <w:rFonts w:ascii="宋体" w:hAnsi="宋体"/>
          <w:b/>
          <w:color w:val="auto"/>
          <w:sz w:val="32"/>
          <w:szCs w:val="32"/>
          <w:highlight w:val="none"/>
        </w:rPr>
      </w:pPr>
    </w:p>
    <w:p w14:paraId="0878953F">
      <w:pPr>
        <w:spacing w:line="440" w:lineRule="atLeast"/>
        <w:jc w:val="center"/>
        <w:rPr>
          <w:rFonts w:ascii="宋体" w:hAnsi="宋体"/>
          <w:b/>
          <w:color w:val="auto"/>
          <w:sz w:val="32"/>
          <w:szCs w:val="32"/>
          <w:highlight w:val="none"/>
        </w:rPr>
      </w:pPr>
    </w:p>
    <w:p w14:paraId="7989C37E">
      <w:pPr>
        <w:spacing w:line="440" w:lineRule="atLeast"/>
        <w:jc w:val="center"/>
        <w:rPr>
          <w:rFonts w:ascii="宋体" w:hAnsi="宋体"/>
          <w:b/>
          <w:color w:val="auto"/>
          <w:sz w:val="32"/>
          <w:szCs w:val="32"/>
          <w:highlight w:val="none"/>
        </w:rPr>
      </w:pPr>
    </w:p>
    <w:p w14:paraId="7DEEA4AB">
      <w:pPr>
        <w:spacing w:line="440" w:lineRule="atLeast"/>
        <w:jc w:val="center"/>
        <w:rPr>
          <w:rFonts w:ascii="宋体" w:hAnsi="宋体"/>
          <w:b/>
          <w:color w:val="auto"/>
          <w:sz w:val="32"/>
          <w:szCs w:val="32"/>
          <w:highlight w:val="none"/>
        </w:rPr>
      </w:pPr>
    </w:p>
    <w:p w14:paraId="0B591A26">
      <w:pPr>
        <w:spacing w:line="440" w:lineRule="atLeast"/>
        <w:jc w:val="center"/>
        <w:rPr>
          <w:rFonts w:ascii="宋体" w:hAnsi="宋体"/>
          <w:b/>
          <w:color w:val="auto"/>
          <w:sz w:val="32"/>
          <w:szCs w:val="32"/>
          <w:highlight w:val="none"/>
        </w:rPr>
      </w:pPr>
    </w:p>
    <w:p w14:paraId="608A371E">
      <w:pPr>
        <w:spacing w:line="440" w:lineRule="atLeast"/>
        <w:jc w:val="center"/>
        <w:rPr>
          <w:rFonts w:ascii="宋体" w:hAnsi="宋体"/>
          <w:b/>
          <w:color w:val="auto"/>
          <w:sz w:val="32"/>
          <w:szCs w:val="32"/>
          <w:highlight w:val="none"/>
        </w:rPr>
      </w:pPr>
    </w:p>
    <w:p w14:paraId="460A5E35">
      <w:pPr>
        <w:spacing w:line="440" w:lineRule="atLeast"/>
        <w:jc w:val="center"/>
        <w:rPr>
          <w:rFonts w:ascii="宋体" w:hAnsi="宋体"/>
          <w:b/>
          <w:color w:val="auto"/>
          <w:sz w:val="32"/>
          <w:szCs w:val="32"/>
          <w:highlight w:val="none"/>
        </w:rPr>
      </w:pPr>
      <w:r>
        <w:rPr>
          <w:rFonts w:hint="eastAsia" w:ascii="宋体" w:hAnsi="宋体"/>
          <w:b/>
          <w:color w:val="auto"/>
          <w:sz w:val="32"/>
          <w:szCs w:val="32"/>
          <w:highlight w:val="none"/>
        </w:rPr>
        <w:t>第六章 投标文件（格式）</w:t>
      </w:r>
    </w:p>
    <w:p w14:paraId="660169A3">
      <w:pPr>
        <w:spacing w:line="440" w:lineRule="atLeast"/>
        <w:rPr>
          <w:rFonts w:ascii="宋体" w:hAnsi="宋体"/>
          <w:b/>
          <w:color w:val="auto"/>
          <w:sz w:val="32"/>
          <w:szCs w:val="32"/>
          <w:highlight w:val="none"/>
        </w:rPr>
      </w:pPr>
    </w:p>
    <w:p w14:paraId="3AB5827B">
      <w:pPr>
        <w:spacing w:line="440" w:lineRule="atLeast"/>
        <w:rPr>
          <w:rFonts w:ascii="宋体" w:hAnsi="宋体"/>
          <w:b/>
          <w:color w:val="auto"/>
          <w:sz w:val="32"/>
          <w:szCs w:val="32"/>
          <w:highlight w:val="none"/>
        </w:rPr>
      </w:pPr>
    </w:p>
    <w:p w14:paraId="1B0C4CB9">
      <w:pPr>
        <w:spacing w:line="440" w:lineRule="atLeast"/>
        <w:rPr>
          <w:rFonts w:ascii="宋体" w:hAnsi="宋体"/>
          <w:b/>
          <w:color w:val="auto"/>
          <w:sz w:val="32"/>
          <w:szCs w:val="32"/>
          <w:highlight w:val="none"/>
        </w:rPr>
      </w:pPr>
    </w:p>
    <w:p w14:paraId="1CF66E50">
      <w:pPr>
        <w:spacing w:line="440" w:lineRule="atLeast"/>
        <w:rPr>
          <w:rFonts w:ascii="宋体" w:hAnsi="宋体"/>
          <w:b/>
          <w:color w:val="auto"/>
          <w:sz w:val="32"/>
          <w:szCs w:val="32"/>
          <w:highlight w:val="none"/>
        </w:rPr>
      </w:pPr>
    </w:p>
    <w:p w14:paraId="5DEE5B45">
      <w:pPr>
        <w:spacing w:line="440" w:lineRule="atLeast"/>
        <w:rPr>
          <w:rFonts w:ascii="宋体" w:hAnsi="宋体"/>
          <w:b/>
          <w:color w:val="auto"/>
          <w:sz w:val="32"/>
          <w:szCs w:val="32"/>
          <w:highlight w:val="none"/>
        </w:rPr>
      </w:pPr>
    </w:p>
    <w:p w14:paraId="50E1E7F2">
      <w:pPr>
        <w:spacing w:line="440" w:lineRule="atLeast"/>
        <w:rPr>
          <w:rFonts w:ascii="宋体" w:hAnsi="宋体"/>
          <w:b/>
          <w:color w:val="auto"/>
          <w:sz w:val="32"/>
          <w:szCs w:val="32"/>
          <w:highlight w:val="none"/>
        </w:rPr>
      </w:pPr>
    </w:p>
    <w:p w14:paraId="33A33ECF">
      <w:pPr>
        <w:spacing w:line="440" w:lineRule="atLeast"/>
        <w:rPr>
          <w:rFonts w:ascii="宋体" w:hAnsi="宋体"/>
          <w:b/>
          <w:color w:val="auto"/>
          <w:sz w:val="32"/>
          <w:szCs w:val="32"/>
          <w:highlight w:val="none"/>
        </w:rPr>
      </w:pPr>
    </w:p>
    <w:p w14:paraId="1BC754C4">
      <w:pPr>
        <w:spacing w:line="440" w:lineRule="atLeast"/>
        <w:rPr>
          <w:rFonts w:ascii="宋体" w:hAnsi="宋体"/>
          <w:b/>
          <w:color w:val="auto"/>
          <w:sz w:val="32"/>
          <w:szCs w:val="32"/>
          <w:highlight w:val="none"/>
        </w:rPr>
      </w:pPr>
    </w:p>
    <w:p w14:paraId="52EA8B48">
      <w:pPr>
        <w:spacing w:line="440" w:lineRule="atLeast"/>
        <w:rPr>
          <w:rFonts w:ascii="宋体" w:hAnsi="宋体"/>
          <w:b/>
          <w:color w:val="auto"/>
          <w:sz w:val="32"/>
          <w:szCs w:val="32"/>
          <w:highlight w:val="none"/>
        </w:rPr>
      </w:pPr>
    </w:p>
    <w:p w14:paraId="75592677">
      <w:pPr>
        <w:spacing w:line="440" w:lineRule="atLeast"/>
        <w:rPr>
          <w:rFonts w:ascii="宋体" w:hAnsi="宋体"/>
          <w:b/>
          <w:color w:val="auto"/>
          <w:sz w:val="32"/>
          <w:szCs w:val="32"/>
          <w:highlight w:val="none"/>
        </w:rPr>
      </w:pPr>
    </w:p>
    <w:p w14:paraId="29796464">
      <w:pPr>
        <w:spacing w:line="440" w:lineRule="atLeast"/>
        <w:rPr>
          <w:rFonts w:ascii="宋体" w:hAnsi="宋体"/>
          <w:b/>
          <w:color w:val="auto"/>
          <w:sz w:val="32"/>
          <w:szCs w:val="32"/>
          <w:highlight w:val="none"/>
        </w:rPr>
      </w:pPr>
    </w:p>
    <w:p w14:paraId="222B437C">
      <w:pPr>
        <w:spacing w:line="440" w:lineRule="atLeast"/>
        <w:rPr>
          <w:rFonts w:ascii="宋体" w:hAnsi="宋体"/>
          <w:b/>
          <w:color w:val="auto"/>
          <w:sz w:val="32"/>
          <w:szCs w:val="32"/>
          <w:highlight w:val="none"/>
        </w:rPr>
      </w:pPr>
    </w:p>
    <w:p w14:paraId="008A9024">
      <w:pPr>
        <w:spacing w:line="400" w:lineRule="exact"/>
        <w:jc w:val="center"/>
        <w:rPr>
          <w:b/>
          <w:color w:val="auto"/>
          <w:sz w:val="32"/>
          <w:szCs w:val="32"/>
          <w:highlight w:val="none"/>
        </w:rPr>
      </w:pPr>
      <w:r>
        <w:rPr>
          <w:rFonts w:hint="eastAsia"/>
          <w:b/>
          <w:color w:val="auto"/>
          <w:sz w:val="32"/>
          <w:szCs w:val="32"/>
          <w:highlight w:val="none"/>
        </w:rPr>
        <w:t>投标文件目录</w:t>
      </w:r>
    </w:p>
    <w:p w14:paraId="7DC11EB0">
      <w:pPr>
        <w:tabs>
          <w:tab w:val="left" w:pos="1305"/>
        </w:tabs>
        <w:spacing w:line="360" w:lineRule="exact"/>
        <w:ind w:firstLine="482" w:firstLineChars="200"/>
        <w:rPr>
          <w:rFonts w:ascii="宋体" w:hAnsi="宋体"/>
          <w:b/>
          <w:color w:val="auto"/>
          <w:sz w:val="24"/>
          <w:highlight w:val="none"/>
        </w:rPr>
      </w:pPr>
      <w:r>
        <w:rPr>
          <w:rFonts w:hint="eastAsia" w:ascii="宋体" w:hAnsi="宋体"/>
          <w:b/>
          <w:color w:val="auto"/>
          <w:sz w:val="24"/>
          <w:highlight w:val="none"/>
        </w:rPr>
        <w:t>一、资格性响应证明材料</w:t>
      </w:r>
    </w:p>
    <w:p w14:paraId="2E3AE465">
      <w:pPr>
        <w:tabs>
          <w:tab w:val="left" w:pos="1305"/>
        </w:tabs>
        <w:spacing w:line="360" w:lineRule="exact"/>
        <w:ind w:firstLine="420" w:firstLineChars="200"/>
        <w:rPr>
          <w:rFonts w:ascii="宋体" w:hAnsi="宋体"/>
          <w:color w:val="auto"/>
          <w:highlight w:val="none"/>
        </w:rPr>
      </w:pPr>
      <w:r>
        <w:rPr>
          <w:rFonts w:hint="eastAsia" w:ascii="宋体" w:hAnsi="宋体"/>
          <w:color w:val="auto"/>
          <w:highlight w:val="none"/>
        </w:rPr>
        <w:t>1.投标人相应的法定代表人身份证正反面复印件</w:t>
      </w:r>
      <w:r>
        <w:rPr>
          <w:rFonts w:hint="eastAsia" w:ascii="宋体" w:hAnsi="宋体"/>
          <w:b/>
          <w:color w:val="auto"/>
          <w:highlight w:val="none"/>
        </w:rPr>
        <w:t>（必须提供）</w:t>
      </w:r>
    </w:p>
    <w:p w14:paraId="69C99A93">
      <w:pPr>
        <w:tabs>
          <w:tab w:val="left" w:pos="1305"/>
        </w:tabs>
        <w:spacing w:line="360" w:lineRule="exact"/>
        <w:ind w:firstLine="420" w:firstLineChars="200"/>
        <w:rPr>
          <w:rFonts w:hAnsi="宋体"/>
          <w:b/>
          <w:color w:val="auto"/>
          <w:highlight w:val="none"/>
        </w:rPr>
      </w:pPr>
      <w:r>
        <w:rPr>
          <w:rFonts w:hint="eastAsia" w:ascii="宋体" w:hAnsi="宋体"/>
          <w:color w:val="auto"/>
          <w:highlight w:val="none"/>
        </w:rPr>
        <w:t>2.</w:t>
      </w:r>
      <w:r>
        <w:rPr>
          <w:rFonts w:hint="eastAsia" w:hAnsi="宋体"/>
          <w:color w:val="auto"/>
          <w:highlight w:val="none"/>
        </w:rPr>
        <w:t>投标人的授权委托书原件、委托代理人身份证正反面复印件</w:t>
      </w:r>
      <w:r>
        <w:rPr>
          <w:rFonts w:hint="eastAsia" w:hAnsi="宋体"/>
          <w:b/>
          <w:color w:val="auto"/>
          <w:highlight w:val="none"/>
        </w:rPr>
        <w:t>（委托代理时，必须提供）</w:t>
      </w:r>
    </w:p>
    <w:p w14:paraId="763A369E">
      <w:pPr>
        <w:tabs>
          <w:tab w:val="left" w:pos="1305"/>
        </w:tabs>
        <w:spacing w:line="360" w:lineRule="exact"/>
        <w:ind w:firstLine="420" w:firstLineChars="200"/>
        <w:rPr>
          <w:rFonts w:ascii="宋体" w:hAnsi="宋体"/>
          <w:color w:val="auto"/>
          <w:highlight w:val="none"/>
        </w:rPr>
      </w:pPr>
      <w:r>
        <w:rPr>
          <w:rFonts w:hint="eastAsia" w:ascii="宋体" w:hAnsi="宋体"/>
          <w:color w:val="auto"/>
          <w:highlight w:val="none"/>
        </w:rPr>
        <w:t>3.投标人的法人或者其他组织营业执照等证明文件复印件</w:t>
      </w:r>
      <w:r>
        <w:rPr>
          <w:rFonts w:hint="eastAsia" w:ascii="宋体" w:hAnsi="宋体"/>
          <w:b/>
          <w:bCs/>
          <w:color w:val="auto"/>
          <w:highlight w:val="none"/>
        </w:rPr>
        <w:t>（必须提供，自然人除外）</w:t>
      </w:r>
    </w:p>
    <w:p w14:paraId="34F624D1">
      <w:pPr>
        <w:tabs>
          <w:tab w:val="left" w:pos="1305"/>
        </w:tabs>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4.本项目的特定资格要求证明材料</w:t>
      </w:r>
      <w:r>
        <w:rPr>
          <w:rFonts w:hint="eastAsia" w:ascii="宋体" w:hAnsi="宋体"/>
          <w:b/>
          <w:color w:val="auto"/>
          <w:szCs w:val="21"/>
          <w:highlight w:val="none"/>
        </w:rPr>
        <w:t>（必须提供）</w:t>
      </w:r>
    </w:p>
    <w:p w14:paraId="7BEBFDEF">
      <w:pPr>
        <w:tabs>
          <w:tab w:val="left" w:pos="1305"/>
        </w:tabs>
        <w:spacing w:line="360" w:lineRule="exact"/>
        <w:ind w:firstLine="420" w:firstLineChars="200"/>
        <w:rPr>
          <w:rFonts w:ascii="宋体" w:hAnsi="宋体"/>
          <w:b/>
          <w:color w:val="auto"/>
          <w:highlight w:val="none"/>
        </w:rPr>
      </w:pPr>
      <w:r>
        <w:rPr>
          <w:rFonts w:hint="eastAsia" w:ascii="宋体" w:hAnsi="宋体"/>
          <w:color w:val="auto"/>
          <w:highlight w:val="none"/>
        </w:rPr>
        <w:t>5.</w:t>
      </w:r>
      <w:r>
        <w:rPr>
          <w:rFonts w:hint="eastAsia" w:ascii="宋体" w:hAnsi="宋体"/>
          <w:color w:val="auto"/>
          <w:szCs w:val="21"/>
          <w:highlight w:val="none"/>
        </w:rPr>
        <w:t>投标人财务状况报告</w:t>
      </w:r>
      <w:r>
        <w:rPr>
          <w:rFonts w:hint="eastAsia" w:ascii="宋体" w:hAnsi="宋体"/>
          <w:b/>
          <w:color w:val="auto"/>
          <w:highlight w:val="none"/>
        </w:rPr>
        <w:t>（必须提供）</w:t>
      </w:r>
    </w:p>
    <w:p w14:paraId="7401D9C7">
      <w:pPr>
        <w:tabs>
          <w:tab w:val="left" w:pos="1305"/>
        </w:tabs>
        <w:spacing w:line="360" w:lineRule="exact"/>
        <w:ind w:firstLine="420" w:firstLineChars="200"/>
        <w:rPr>
          <w:rFonts w:ascii="宋体" w:hAnsi="宋体"/>
          <w:b/>
          <w:color w:val="auto"/>
          <w:highlight w:val="none"/>
        </w:rPr>
      </w:pPr>
      <w:r>
        <w:rPr>
          <w:rFonts w:hint="eastAsia" w:ascii="宋体" w:hAnsi="宋体"/>
          <w:color w:val="auto"/>
          <w:szCs w:val="21"/>
          <w:highlight w:val="none"/>
        </w:rPr>
        <w:t>6.投标人依法缴纳税收的相关材料</w:t>
      </w:r>
      <w:r>
        <w:rPr>
          <w:rFonts w:hint="eastAsia" w:ascii="宋体" w:hAnsi="宋体"/>
          <w:b/>
          <w:color w:val="auto"/>
          <w:highlight w:val="none"/>
        </w:rPr>
        <w:t>（必须提供）</w:t>
      </w:r>
    </w:p>
    <w:p w14:paraId="767B85B3">
      <w:pPr>
        <w:tabs>
          <w:tab w:val="left" w:pos="1305"/>
        </w:tabs>
        <w:spacing w:line="360" w:lineRule="exact"/>
        <w:ind w:firstLine="420" w:firstLineChars="200"/>
        <w:rPr>
          <w:rFonts w:ascii="黑体" w:hAnsi="宋体" w:eastAsia="黑体"/>
          <w:b/>
          <w:color w:val="auto"/>
          <w:szCs w:val="21"/>
          <w:highlight w:val="none"/>
        </w:rPr>
      </w:pPr>
      <w:r>
        <w:rPr>
          <w:rFonts w:hint="eastAsia" w:ascii="宋体" w:hAnsi="宋体"/>
          <w:color w:val="auto"/>
          <w:szCs w:val="21"/>
          <w:highlight w:val="none"/>
        </w:rPr>
        <w:t>7.投标人依法缴纳社会保障资金的相关材料</w:t>
      </w:r>
      <w:r>
        <w:rPr>
          <w:rFonts w:hint="eastAsia" w:ascii="宋体" w:hAnsi="宋体"/>
          <w:b/>
          <w:color w:val="auto"/>
          <w:highlight w:val="none"/>
        </w:rPr>
        <w:t>（必须提供）</w:t>
      </w:r>
    </w:p>
    <w:p w14:paraId="677B8654">
      <w:pPr>
        <w:tabs>
          <w:tab w:val="left" w:pos="1305"/>
        </w:tabs>
        <w:spacing w:line="360" w:lineRule="exact"/>
        <w:ind w:firstLine="420" w:firstLineChars="200"/>
        <w:rPr>
          <w:rFonts w:ascii="宋体" w:hAnsi="宋体"/>
          <w:color w:val="auto"/>
          <w:highlight w:val="none"/>
        </w:rPr>
      </w:pPr>
      <w:r>
        <w:rPr>
          <w:rFonts w:hint="eastAsia" w:ascii="宋体" w:hAnsi="宋体"/>
          <w:color w:val="auto"/>
          <w:highlight w:val="none"/>
        </w:rPr>
        <w:t>8.投标人参加政府采购活动前3年内在经营活动中没有重大违法记录及有关信用信息的书面声明或专项信用报告</w:t>
      </w:r>
      <w:r>
        <w:rPr>
          <w:rFonts w:hint="eastAsia" w:ascii="宋体" w:hAnsi="宋体"/>
          <w:b/>
          <w:bCs/>
          <w:color w:val="auto"/>
          <w:highlight w:val="none"/>
        </w:rPr>
        <w:t>（必须提供）</w:t>
      </w:r>
    </w:p>
    <w:p w14:paraId="2EF1FCC3">
      <w:pPr>
        <w:tabs>
          <w:tab w:val="left" w:pos="1305"/>
        </w:tabs>
        <w:spacing w:line="360" w:lineRule="exact"/>
        <w:ind w:firstLine="420" w:firstLineChars="200"/>
        <w:rPr>
          <w:rFonts w:ascii="宋体" w:hAnsi="宋体"/>
          <w:color w:val="auto"/>
          <w:highlight w:val="none"/>
        </w:rPr>
      </w:pPr>
      <w:r>
        <w:rPr>
          <w:rFonts w:hint="eastAsia" w:ascii="宋体" w:hAnsi="宋体"/>
          <w:color w:val="auto"/>
          <w:highlight w:val="none"/>
        </w:rPr>
        <w:t>9.投标人参加本项目无围标串标行为的承诺函</w:t>
      </w:r>
      <w:r>
        <w:rPr>
          <w:rFonts w:hint="eastAsia" w:ascii="宋体" w:hAnsi="宋体"/>
          <w:b/>
          <w:color w:val="auto"/>
          <w:highlight w:val="none"/>
        </w:rPr>
        <w:t>（必须提供）</w:t>
      </w:r>
    </w:p>
    <w:p w14:paraId="1B3264C1">
      <w:pPr>
        <w:tabs>
          <w:tab w:val="left" w:pos="1305"/>
        </w:tabs>
        <w:spacing w:line="360" w:lineRule="exact"/>
        <w:ind w:firstLine="482" w:firstLineChars="200"/>
        <w:rPr>
          <w:rFonts w:ascii="宋体" w:hAnsi="宋体"/>
          <w:b/>
          <w:color w:val="auto"/>
          <w:sz w:val="24"/>
          <w:highlight w:val="none"/>
        </w:rPr>
      </w:pPr>
    </w:p>
    <w:p w14:paraId="5E974AE5">
      <w:pPr>
        <w:tabs>
          <w:tab w:val="left" w:pos="1305"/>
        </w:tabs>
        <w:spacing w:line="360" w:lineRule="exact"/>
        <w:ind w:firstLine="482" w:firstLineChars="200"/>
        <w:rPr>
          <w:rFonts w:ascii="宋体" w:hAnsi="宋体"/>
          <w:b/>
          <w:color w:val="auto"/>
          <w:sz w:val="24"/>
          <w:highlight w:val="none"/>
        </w:rPr>
      </w:pPr>
      <w:r>
        <w:rPr>
          <w:rFonts w:hint="eastAsia" w:ascii="宋体" w:hAnsi="宋体"/>
          <w:b/>
          <w:color w:val="auto"/>
          <w:sz w:val="24"/>
          <w:highlight w:val="none"/>
        </w:rPr>
        <w:t>二、商务、技术性响应及其他证明材料</w:t>
      </w:r>
    </w:p>
    <w:p w14:paraId="4D9FB4D2">
      <w:pPr>
        <w:tabs>
          <w:tab w:val="left" w:pos="1305"/>
        </w:tabs>
        <w:spacing w:line="360" w:lineRule="exact"/>
        <w:ind w:left="420"/>
        <w:rPr>
          <w:rFonts w:ascii="宋体" w:hAnsi="宋体"/>
          <w:color w:val="auto"/>
          <w:szCs w:val="21"/>
          <w:highlight w:val="none"/>
        </w:rPr>
      </w:pPr>
      <w:r>
        <w:rPr>
          <w:rFonts w:hint="eastAsia" w:ascii="宋体" w:hAnsi="宋体"/>
          <w:color w:val="auto"/>
          <w:szCs w:val="21"/>
          <w:highlight w:val="none"/>
        </w:rPr>
        <w:t>1.投标函</w:t>
      </w:r>
      <w:r>
        <w:rPr>
          <w:rFonts w:hint="eastAsia" w:ascii="宋体" w:hAnsi="宋体"/>
          <w:b/>
          <w:color w:val="auto"/>
          <w:szCs w:val="21"/>
          <w:highlight w:val="none"/>
        </w:rPr>
        <w:t>（必须提供）</w:t>
      </w:r>
    </w:p>
    <w:p w14:paraId="37F625BF">
      <w:pPr>
        <w:tabs>
          <w:tab w:val="left" w:pos="1305"/>
        </w:tabs>
        <w:spacing w:line="360" w:lineRule="exact"/>
        <w:ind w:left="420"/>
        <w:rPr>
          <w:rFonts w:ascii="宋体" w:hAnsi="宋体"/>
          <w:b/>
          <w:color w:val="auto"/>
          <w:szCs w:val="21"/>
          <w:highlight w:val="none"/>
        </w:rPr>
      </w:pPr>
      <w:r>
        <w:rPr>
          <w:rFonts w:ascii="宋体" w:hAnsi="宋体"/>
          <w:color w:val="auto"/>
          <w:szCs w:val="21"/>
          <w:highlight w:val="none"/>
        </w:rPr>
        <w:t>2</w:t>
      </w:r>
      <w:r>
        <w:rPr>
          <w:rFonts w:hint="eastAsia" w:ascii="宋体" w:hAnsi="宋体"/>
          <w:color w:val="auto"/>
          <w:szCs w:val="21"/>
          <w:highlight w:val="none"/>
        </w:rPr>
        <w:t>.投标报价表</w:t>
      </w:r>
      <w:r>
        <w:rPr>
          <w:rFonts w:hint="eastAsia" w:ascii="宋体" w:hAnsi="宋体"/>
          <w:b/>
          <w:color w:val="auto"/>
          <w:szCs w:val="21"/>
          <w:highlight w:val="none"/>
        </w:rPr>
        <w:t>（必须提供）</w:t>
      </w:r>
    </w:p>
    <w:p w14:paraId="389D5E72">
      <w:pPr>
        <w:tabs>
          <w:tab w:val="left" w:pos="1305"/>
        </w:tabs>
        <w:spacing w:line="360" w:lineRule="exact"/>
        <w:ind w:firstLine="420" w:firstLineChars="200"/>
        <w:rPr>
          <w:rFonts w:ascii="宋体" w:hAnsi="宋体"/>
          <w:b/>
          <w:color w:val="auto"/>
          <w:szCs w:val="21"/>
          <w:highlight w:val="none"/>
        </w:rPr>
      </w:pPr>
      <w:r>
        <w:rPr>
          <w:rFonts w:ascii="宋体" w:hAnsi="宋体"/>
          <w:color w:val="auto"/>
          <w:szCs w:val="21"/>
          <w:highlight w:val="none"/>
        </w:rPr>
        <w:t>3</w:t>
      </w:r>
      <w:r>
        <w:rPr>
          <w:rFonts w:hint="eastAsia" w:ascii="宋体" w:hAnsi="宋体"/>
          <w:color w:val="auto"/>
          <w:szCs w:val="21"/>
          <w:highlight w:val="none"/>
        </w:rPr>
        <w:t>.技术偏离表</w:t>
      </w:r>
      <w:r>
        <w:rPr>
          <w:rFonts w:hint="eastAsia" w:ascii="宋体" w:hAnsi="宋体"/>
          <w:b/>
          <w:color w:val="auto"/>
          <w:szCs w:val="21"/>
          <w:highlight w:val="none"/>
        </w:rPr>
        <w:t>（必须提供）</w:t>
      </w:r>
    </w:p>
    <w:p w14:paraId="75CB58E0">
      <w:pPr>
        <w:tabs>
          <w:tab w:val="left" w:pos="1305"/>
        </w:tabs>
        <w:spacing w:line="360" w:lineRule="exact"/>
        <w:ind w:firstLine="420" w:firstLineChars="200"/>
        <w:rPr>
          <w:rFonts w:ascii="宋体" w:hAnsi="宋体"/>
          <w:b/>
          <w:color w:val="auto"/>
          <w:szCs w:val="21"/>
          <w:highlight w:val="none"/>
        </w:rPr>
      </w:pPr>
      <w:r>
        <w:rPr>
          <w:rFonts w:ascii="宋体" w:hAnsi="宋体"/>
          <w:color w:val="auto"/>
          <w:szCs w:val="21"/>
          <w:highlight w:val="none"/>
        </w:rPr>
        <w:t>4</w:t>
      </w:r>
      <w:r>
        <w:rPr>
          <w:rFonts w:hint="eastAsia" w:ascii="宋体" w:hAnsi="宋体"/>
          <w:color w:val="auto"/>
          <w:szCs w:val="21"/>
          <w:highlight w:val="none"/>
        </w:rPr>
        <w:t>.商务响应表</w:t>
      </w:r>
      <w:r>
        <w:rPr>
          <w:rFonts w:hint="eastAsia" w:ascii="宋体" w:hAnsi="宋体"/>
          <w:b/>
          <w:color w:val="auto"/>
          <w:szCs w:val="21"/>
          <w:highlight w:val="none"/>
        </w:rPr>
        <w:t>（必须提供）</w:t>
      </w:r>
    </w:p>
    <w:p w14:paraId="645B121F">
      <w:pPr>
        <w:tabs>
          <w:tab w:val="left" w:pos="1305"/>
        </w:tabs>
        <w:spacing w:line="360" w:lineRule="exact"/>
        <w:ind w:firstLine="420" w:firstLineChars="200"/>
        <w:rPr>
          <w:rFonts w:ascii="宋体" w:hAnsi="宋体"/>
          <w:b/>
          <w:color w:val="auto"/>
          <w:szCs w:val="21"/>
          <w:highlight w:val="none"/>
        </w:rPr>
      </w:pPr>
      <w:r>
        <w:rPr>
          <w:rFonts w:ascii="宋体" w:hAnsi="宋体"/>
          <w:color w:val="auto"/>
          <w:szCs w:val="21"/>
          <w:highlight w:val="none"/>
        </w:rPr>
        <w:t>5</w:t>
      </w:r>
      <w:r>
        <w:rPr>
          <w:rFonts w:hint="eastAsia" w:ascii="宋体" w:hAnsi="宋体"/>
          <w:color w:val="auto"/>
          <w:szCs w:val="21"/>
          <w:highlight w:val="none"/>
        </w:rPr>
        <w:t>.“采购需求”中要求必须提供的有效证明文件</w:t>
      </w:r>
      <w:r>
        <w:rPr>
          <w:rFonts w:hint="eastAsia" w:ascii="宋体" w:hAnsi="宋体"/>
          <w:b/>
          <w:color w:val="auto"/>
          <w:szCs w:val="21"/>
          <w:highlight w:val="none"/>
        </w:rPr>
        <w:t>（“采购需求”中要求必须提供的，必须提供）</w:t>
      </w:r>
    </w:p>
    <w:p w14:paraId="354FF34A">
      <w:pPr>
        <w:tabs>
          <w:tab w:val="left" w:pos="1305"/>
        </w:tabs>
        <w:spacing w:line="360" w:lineRule="exact"/>
        <w:ind w:firstLine="404" w:firstLineChars="200"/>
        <w:rPr>
          <w:rFonts w:ascii="宋体" w:hAnsi="宋体"/>
          <w:b/>
          <w:color w:val="auto"/>
          <w:szCs w:val="21"/>
          <w:highlight w:val="none"/>
        </w:rPr>
      </w:pPr>
      <w:r>
        <w:rPr>
          <w:rFonts w:hint="eastAsia" w:ascii="宋体" w:hAnsi="宋体"/>
          <w:color w:val="auto"/>
          <w:spacing w:val="-4"/>
          <w:highlight w:val="none"/>
        </w:rPr>
        <w:t>6.</w:t>
      </w:r>
      <w:r>
        <w:rPr>
          <w:rFonts w:hint="eastAsia" w:ascii="宋体" w:hAnsi="宋体"/>
          <w:color w:val="auto"/>
          <w:szCs w:val="21"/>
          <w:highlight w:val="none"/>
        </w:rPr>
        <w:t>配送及安装实施方案</w:t>
      </w:r>
      <w:r>
        <w:rPr>
          <w:rFonts w:hint="eastAsia" w:hAnsi="宋体"/>
          <w:b/>
          <w:color w:val="auto"/>
          <w:szCs w:val="21"/>
          <w:highlight w:val="none"/>
        </w:rPr>
        <w:t>（如有，请提供）</w:t>
      </w:r>
    </w:p>
    <w:p w14:paraId="4EC2F467">
      <w:pPr>
        <w:tabs>
          <w:tab w:val="left" w:pos="1305"/>
        </w:tabs>
        <w:spacing w:line="360" w:lineRule="exact"/>
        <w:ind w:firstLine="420" w:firstLineChars="200"/>
        <w:rPr>
          <w:rFonts w:hint="eastAsia" w:hAnsi="宋体"/>
          <w:b/>
          <w:color w:val="auto"/>
          <w:szCs w:val="21"/>
          <w:highlight w:val="none"/>
        </w:rPr>
      </w:pPr>
      <w:r>
        <w:rPr>
          <w:rFonts w:hint="eastAsia" w:ascii="宋体" w:hAnsi="宋体"/>
          <w:color w:val="auto"/>
          <w:szCs w:val="21"/>
          <w:highlight w:val="none"/>
        </w:rPr>
        <w:t>7</w:t>
      </w:r>
      <w:r>
        <w:rPr>
          <w:rFonts w:ascii="宋体" w:hAnsi="宋体"/>
          <w:color w:val="auto"/>
          <w:szCs w:val="21"/>
          <w:highlight w:val="none"/>
        </w:rPr>
        <w:t>.</w:t>
      </w:r>
      <w:r>
        <w:rPr>
          <w:rFonts w:hint="eastAsia" w:ascii="宋体" w:hAnsi="宋体" w:cs="宋体"/>
          <w:color w:val="auto"/>
          <w:szCs w:val="21"/>
          <w:highlight w:val="none"/>
        </w:rPr>
        <w:t>售后服务方案</w:t>
      </w:r>
      <w:r>
        <w:rPr>
          <w:rFonts w:hint="eastAsia" w:hAnsi="宋体"/>
          <w:b/>
          <w:color w:val="auto"/>
          <w:szCs w:val="21"/>
          <w:highlight w:val="none"/>
        </w:rPr>
        <w:t>（如有，请提供）</w:t>
      </w:r>
    </w:p>
    <w:p w14:paraId="10021C61">
      <w:pPr>
        <w:snapToGrid w:val="0"/>
        <w:spacing w:line="360" w:lineRule="exact"/>
        <w:ind w:firstLine="420" w:firstLineChars="200"/>
        <w:outlineLvl w:val="4"/>
        <w:rPr>
          <w:rFonts w:ascii="宋体" w:hAnsi="宋体"/>
          <w:b/>
          <w:color w:val="auto"/>
          <w:szCs w:val="21"/>
          <w:highlight w:val="none"/>
        </w:rPr>
      </w:pPr>
      <w:r>
        <w:rPr>
          <w:rFonts w:hint="eastAsia" w:ascii="宋体" w:hAnsi="宋体"/>
          <w:color w:val="auto"/>
          <w:szCs w:val="20"/>
          <w:highlight w:val="none"/>
          <w:lang w:val="en-US" w:eastAsia="zh-CN"/>
        </w:rPr>
        <w:t>8</w:t>
      </w:r>
      <w:r>
        <w:rPr>
          <w:rFonts w:hint="eastAsia" w:ascii="宋体" w:hAnsi="宋体"/>
          <w:color w:val="auto"/>
          <w:szCs w:val="20"/>
          <w:highlight w:val="none"/>
        </w:rPr>
        <w:t>.“采购需求”中有关</w:t>
      </w:r>
      <w:r>
        <w:rPr>
          <w:rFonts w:hint="eastAsia" w:ascii="宋体" w:hAnsi="宋体"/>
          <w:color w:val="auto"/>
          <w:szCs w:val="21"/>
          <w:highlight w:val="none"/>
        </w:rPr>
        <w:t>履约能力的相关证明材料复印件</w:t>
      </w:r>
      <w:r>
        <w:rPr>
          <w:rFonts w:hint="eastAsia" w:ascii="宋体" w:hAnsi="宋体"/>
          <w:b/>
          <w:color w:val="auto"/>
          <w:szCs w:val="21"/>
          <w:highlight w:val="none"/>
        </w:rPr>
        <w:t>（如有，请提供）</w:t>
      </w:r>
    </w:p>
    <w:p w14:paraId="3331E244">
      <w:pPr>
        <w:snapToGrid w:val="0"/>
        <w:spacing w:line="360" w:lineRule="exact"/>
        <w:ind w:firstLine="420" w:firstLineChars="200"/>
        <w:outlineLvl w:val="4"/>
        <w:rPr>
          <w:rFonts w:ascii="宋体" w:hAnsi="宋体"/>
          <w:b/>
          <w:color w:val="auto"/>
          <w:szCs w:val="21"/>
          <w:highlight w:val="none"/>
        </w:rPr>
      </w:pPr>
      <w:r>
        <w:rPr>
          <w:rFonts w:hint="eastAsia" w:ascii="宋体" w:hAnsi="宋体"/>
          <w:color w:val="auto"/>
          <w:szCs w:val="20"/>
          <w:highlight w:val="none"/>
          <w:lang w:val="en-US" w:eastAsia="zh-CN"/>
        </w:rPr>
        <w:t>9</w:t>
      </w:r>
      <w:r>
        <w:rPr>
          <w:rFonts w:hint="eastAsia" w:ascii="宋体" w:hAnsi="宋体"/>
          <w:color w:val="auto"/>
          <w:szCs w:val="20"/>
          <w:highlight w:val="none"/>
        </w:rPr>
        <w:t>.</w:t>
      </w:r>
      <w:r>
        <w:rPr>
          <w:rFonts w:hint="eastAsia" w:ascii="宋体" w:hAnsi="宋体"/>
          <w:color w:val="auto"/>
          <w:szCs w:val="21"/>
          <w:highlight w:val="none"/>
        </w:rPr>
        <w:t>政策性加分证明材料复印件</w:t>
      </w:r>
      <w:r>
        <w:rPr>
          <w:rFonts w:hint="eastAsia" w:ascii="宋体" w:hAnsi="宋体"/>
          <w:b/>
          <w:color w:val="auto"/>
          <w:szCs w:val="21"/>
          <w:highlight w:val="none"/>
        </w:rPr>
        <w:t>（如有，请提供）</w:t>
      </w:r>
    </w:p>
    <w:p w14:paraId="53F8084B">
      <w:pPr>
        <w:spacing w:line="360" w:lineRule="exact"/>
        <w:ind w:firstLine="420" w:firstLineChars="200"/>
        <w:rPr>
          <w:rFonts w:ascii="宋体" w:hAnsi="宋体"/>
          <w:b/>
          <w:color w:val="auto"/>
          <w:highlight w:val="none"/>
        </w:rPr>
      </w:pPr>
      <w:r>
        <w:rPr>
          <w:rFonts w:hint="eastAsia" w:ascii="宋体" w:hAnsi="宋体"/>
          <w:color w:val="auto"/>
          <w:highlight w:val="none"/>
          <w:lang w:val="en-US" w:eastAsia="zh-CN"/>
        </w:rPr>
        <w:t>10</w:t>
      </w:r>
      <w:r>
        <w:rPr>
          <w:rFonts w:hint="eastAsia" w:ascii="宋体" w:hAnsi="宋体"/>
          <w:color w:val="auto"/>
          <w:highlight w:val="none"/>
        </w:rPr>
        <w:t>.</w:t>
      </w:r>
      <w:r>
        <w:rPr>
          <w:rFonts w:hint="eastAsia" w:hAnsi="宋体"/>
          <w:bCs/>
          <w:color w:val="auto"/>
          <w:szCs w:val="21"/>
          <w:highlight w:val="none"/>
        </w:rPr>
        <w:t>投标人提供的货物全部由符合政策要求中小企业制造</w:t>
      </w:r>
      <w:r>
        <w:rPr>
          <w:rFonts w:hint="eastAsia" w:ascii="宋体" w:hAnsi="宋体"/>
          <w:bCs/>
          <w:color w:val="auto"/>
          <w:szCs w:val="21"/>
          <w:highlight w:val="none"/>
        </w:rPr>
        <w:t>，投标文件中提供《中小企业声明函》</w:t>
      </w:r>
      <w:r>
        <w:rPr>
          <w:rFonts w:hint="eastAsia" w:ascii="宋体" w:hAnsi="宋体"/>
          <w:color w:val="auto"/>
          <w:highlight w:val="none"/>
        </w:rPr>
        <w:t>；属于监狱企业的，提供由省级以上监狱管理局、戒毒管理局（含新疆生产建设兵团）出具的属于监狱企业的证明文件</w:t>
      </w:r>
      <w:r>
        <w:rPr>
          <w:rFonts w:hint="eastAsia" w:ascii="宋体" w:hAnsi="宋体"/>
          <w:b/>
          <w:color w:val="auto"/>
          <w:highlight w:val="none"/>
        </w:rPr>
        <w:t>（如有，请提供）</w:t>
      </w:r>
    </w:p>
    <w:p w14:paraId="51C06086">
      <w:pPr>
        <w:tabs>
          <w:tab w:val="left" w:pos="1305"/>
        </w:tabs>
        <w:spacing w:line="360" w:lineRule="exact"/>
        <w:ind w:firstLine="420" w:firstLineChars="200"/>
        <w:rPr>
          <w:rFonts w:hint="eastAsia" w:ascii="宋体" w:hAnsi="宋体"/>
          <w:b/>
          <w:color w:val="auto"/>
          <w:highlight w:val="none"/>
        </w:rPr>
      </w:pPr>
      <w:r>
        <w:rPr>
          <w:rFonts w:hint="eastAsia" w:ascii="宋体" w:hAnsi="宋体"/>
          <w:color w:val="auto"/>
          <w:highlight w:val="none"/>
        </w:rPr>
        <w:t>1</w:t>
      </w:r>
      <w:r>
        <w:rPr>
          <w:rFonts w:hint="eastAsia" w:ascii="宋体" w:hAnsi="宋体"/>
          <w:color w:val="auto"/>
          <w:highlight w:val="none"/>
          <w:lang w:val="en-US" w:eastAsia="zh-CN"/>
        </w:rPr>
        <w:t>1</w:t>
      </w:r>
      <w:r>
        <w:rPr>
          <w:rFonts w:hint="eastAsia" w:ascii="宋体" w:hAnsi="宋体"/>
          <w:color w:val="auto"/>
          <w:highlight w:val="none"/>
        </w:rPr>
        <w:t>.符合条件的残疾人福利性单位在参加政府采购活动时，提供《残疾人福利性单位声明函》，并对声明的真实性负责</w:t>
      </w:r>
      <w:r>
        <w:rPr>
          <w:rFonts w:hint="eastAsia" w:ascii="宋体" w:hAnsi="宋体"/>
          <w:b/>
          <w:color w:val="auto"/>
          <w:highlight w:val="none"/>
        </w:rPr>
        <w:t>（如有，请提供）</w:t>
      </w:r>
    </w:p>
    <w:p w14:paraId="5CEACBF6">
      <w:pPr>
        <w:tabs>
          <w:tab w:val="left" w:pos="1305"/>
        </w:tabs>
        <w:spacing w:line="360" w:lineRule="exact"/>
        <w:ind w:firstLine="420" w:firstLineChars="200"/>
        <w:rPr>
          <w:rFonts w:hint="eastAsia" w:ascii="宋体" w:hAnsi="宋体"/>
          <w:b/>
          <w:color w:val="auto"/>
          <w:highlight w:val="none"/>
        </w:rPr>
      </w:pPr>
      <w:r>
        <w:rPr>
          <w:rFonts w:hint="eastAsia" w:ascii="宋体" w:hAnsi="宋体"/>
          <w:color w:val="auto"/>
          <w:szCs w:val="21"/>
          <w:highlight w:val="none"/>
          <w:lang w:val="en-US" w:eastAsia="zh-CN"/>
        </w:rPr>
        <w:t>12.</w:t>
      </w:r>
      <w:r>
        <w:rPr>
          <w:rFonts w:ascii="宋体" w:hAnsi="宋体"/>
          <w:color w:val="auto"/>
          <w:szCs w:val="21"/>
          <w:highlight w:val="none"/>
        </w:rPr>
        <w:t>《</w:t>
      </w:r>
      <w:r>
        <w:rPr>
          <w:rFonts w:hint="eastAsia" w:ascii="宋体" w:hAnsi="宋体"/>
          <w:color w:val="auto"/>
          <w:szCs w:val="21"/>
          <w:highlight w:val="none"/>
        </w:rPr>
        <w:t>关于符合本国产品标准的声明函</w:t>
      </w:r>
      <w:r>
        <w:rPr>
          <w:rFonts w:ascii="宋体" w:hAnsi="宋体"/>
          <w:color w:val="auto"/>
          <w:szCs w:val="21"/>
          <w:highlight w:val="none"/>
        </w:rPr>
        <w:t>》</w:t>
      </w:r>
      <w:r>
        <w:rPr>
          <w:rFonts w:hint="eastAsia" w:ascii="宋体" w:hAnsi="宋体"/>
          <w:color w:val="auto"/>
          <w:szCs w:val="21"/>
          <w:highlight w:val="none"/>
        </w:rPr>
        <w:t>或者财政部会同有关部门规定的有关证明文件</w:t>
      </w:r>
      <w:r>
        <w:rPr>
          <w:rFonts w:hint="eastAsia" w:ascii="宋体" w:hAnsi="宋体"/>
          <w:b/>
          <w:color w:val="auto"/>
          <w:highlight w:val="none"/>
        </w:rPr>
        <w:t>（如有，请提供）</w:t>
      </w:r>
      <w:r>
        <w:rPr>
          <w:rFonts w:hint="eastAsia" w:ascii="宋体" w:hAnsi="宋体"/>
          <w:color w:val="auto"/>
          <w:szCs w:val="21"/>
          <w:highlight w:val="none"/>
        </w:rPr>
        <w:t>（项目涉及非本国产品参与时，</w:t>
      </w:r>
      <w:r>
        <w:rPr>
          <w:rFonts w:hint="eastAsia" w:ascii="宋体" w:hAnsi="宋体"/>
          <w:color w:val="auto"/>
          <w:szCs w:val="21"/>
          <w:highlight w:val="none"/>
          <w:lang w:eastAsia="zh-CN"/>
        </w:rPr>
        <w:t>投标人应根据自身响应情况</w:t>
      </w:r>
      <w:r>
        <w:rPr>
          <w:rFonts w:hint="eastAsia" w:ascii="宋体" w:hAnsi="宋体"/>
          <w:color w:val="auto"/>
          <w:szCs w:val="21"/>
          <w:highlight w:val="none"/>
        </w:rPr>
        <w:t>出具）</w:t>
      </w:r>
      <w:r>
        <w:rPr>
          <w:rFonts w:hint="eastAsia" w:ascii="宋体" w:hAnsi="宋体"/>
          <w:color w:val="auto"/>
          <w:szCs w:val="21"/>
          <w:highlight w:val="none"/>
          <w:lang w:eastAsia="zh-CN"/>
        </w:rPr>
        <w:t>；</w:t>
      </w:r>
    </w:p>
    <w:p w14:paraId="1E9494BF">
      <w:pPr>
        <w:tabs>
          <w:tab w:val="left" w:pos="1305"/>
        </w:tabs>
        <w:spacing w:line="360" w:lineRule="exact"/>
        <w:ind w:firstLine="420" w:firstLineChars="200"/>
        <w:rPr>
          <w:rFonts w:ascii="宋体" w:hAnsi="宋体"/>
          <w:color w:val="auto"/>
          <w:szCs w:val="21"/>
          <w:highlight w:val="none"/>
        </w:rPr>
      </w:pPr>
      <w:r>
        <w:rPr>
          <w:rFonts w:hint="eastAsia" w:ascii="宋体" w:hAnsi="宋体"/>
          <w:color w:val="auto"/>
          <w:highlight w:val="none"/>
          <w:lang w:val="en-US" w:eastAsia="zh-CN"/>
        </w:rPr>
        <w:t>13</w:t>
      </w:r>
      <w:r>
        <w:rPr>
          <w:rFonts w:hint="eastAsia" w:ascii="宋体" w:hAnsi="宋体"/>
          <w:color w:val="auto"/>
          <w:highlight w:val="none"/>
        </w:rPr>
        <w:t>.</w:t>
      </w:r>
      <w:r>
        <w:rPr>
          <w:rFonts w:hint="eastAsia" w:ascii="宋体" w:hAnsi="宋体"/>
          <w:color w:val="auto"/>
          <w:szCs w:val="21"/>
          <w:highlight w:val="none"/>
        </w:rPr>
        <w:t>投标人可结合本项目的评标办法视自身情况自行提交相关证明材料</w:t>
      </w:r>
      <w:r>
        <w:rPr>
          <w:rFonts w:hint="eastAsia" w:ascii="宋体" w:hAnsi="宋体"/>
          <w:b/>
          <w:color w:val="auto"/>
          <w:highlight w:val="none"/>
        </w:rPr>
        <w:t>（如有，请提供）</w:t>
      </w:r>
    </w:p>
    <w:p w14:paraId="666B5E1B">
      <w:pPr>
        <w:tabs>
          <w:tab w:val="left" w:pos="1305"/>
        </w:tabs>
        <w:spacing w:line="400" w:lineRule="exact"/>
        <w:rPr>
          <w:rFonts w:ascii="宋体" w:hAnsi="宋体"/>
          <w:color w:val="auto"/>
          <w:sz w:val="24"/>
          <w:highlight w:val="none"/>
        </w:rPr>
      </w:pPr>
      <w:r>
        <w:rPr>
          <w:b/>
          <w:color w:val="auto"/>
          <w:sz w:val="32"/>
          <w:szCs w:val="32"/>
          <w:highlight w:val="none"/>
        </w:rPr>
        <w:br w:type="page"/>
      </w:r>
      <w:r>
        <w:rPr>
          <w:rFonts w:hint="eastAsia"/>
          <w:b/>
          <w:color w:val="auto"/>
          <w:sz w:val="32"/>
          <w:szCs w:val="32"/>
          <w:highlight w:val="none"/>
        </w:rPr>
        <w:t>一、资格性响应证明材料</w:t>
      </w:r>
    </w:p>
    <w:p w14:paraId="5DCF5E8A">
      <w:pPr>
        <w:tabs>
          <w:tab w:val="left" w:pos="1305"/>
        </w:tabs>
        <w:spacing w:line="400" w:lineRule="exact"/>
        <w:rPr>
          <w:rFonts w:ascii="宋体" w:hAnsi="宋体"/>
          <w:b/>
          <w:color w:val="auto"/>
          <w:sz w:val="32"/>
          <w:szCs w:val="32"/>
          <w:highlight w:val="none"/>
        </w:rPr>
      </w:pPr>
    </w:p>
    <w:p w14:paraId="604D7FDF">
      <w:pPr>
        <w:tabs>
          <w:tab w:val="left" w:pos="1305"/>
        </w:tabs>
        <w:spacing w:line="400" w:lineRule="exact"/>
        <w:rPr>
          <w:rFonts w:ascii="宋体" w:hAnsi="宋体"/>
          <w:color w:val="auto"/>
          <w:szCs w:val="21"/>
          <w:highlight w:val="none"/>
        </w:rPr>
      </w:pPr>
      <w:r>
        <w:rPr>
          <w:rFonts w:hint="eastAsia" w:ascii="宋体" w:hAnsi="宋体"/>
          <w:b/>
          <w:color w:val="auto"/>
          <w:sz w:val="32"/>
          <w:szCs w:val="32"/>
          <w:highlight w:val="none"/>
        </w:rPr>
        <w:t>1.投标人相应的法定代表人身份证正反面复印件（必须提供）</w:t>
      </w:r>
    </w:p>
    <w:p w14:paraId="24B17D0F">
      <w:pPr>
        <w:tabs>
          <w:tab w:val="left" w:pos="1305"/>
        </w:tabs>
        <w:spacing w:line="400" w:lineRule="exact"/>
        <w:ind w:firstLine="643" w:firstLineChars="200"/>
        <w:rPr>
          <w:rFonts w:ascii="宋体" w:hAnsi="宋体"/>
          <w:b/>
          <w:color w:val="auto"/>
          <w:sz w:val="32"/>
          <w:szCs w:val="32"/>
          <w:highlight w:val="none"/>
        </w:rPr>
      </w:pPr>
    </w:p>
    <w:p w14:paraId="40B628D2">
      <w:pPr>
        <w:tabs>
          <w:tab w:val="left" w:pos="1305"/>
        </w:tabs>
        <w:spacing w:line="400" w:lineRule="exact"/>
        <w:ind w:firstLine="643" w:firstLineChars="200"/>
        <w:rPr>
          <w:rFonts w:ascii="宋体" w:hAnsi="宋体"/>
          <w:b/>
          <w:color w:val="auto"/>
          <w:sz w:val="32"/>
          <w:szCs w:val="32"/>
          <w:highlight w:val="none"/>
        </w:rPr>
      </w:pPr>
    </w:p>
    <w:p w14:paraId="689E7965">
      <w:pPr>
        <w:tabs>
          <w:tab w:val="left" w:pos="1305"/>
        </w:tabs>
        <w:spacing w:line="400" w:lineRule="exact"/>
        <w:ind w:firstLine="643" w:firstLineChars="200"/>
        <w:rPr>
          <w:rFonts w:ascii="宋体" w:hAnsi="宋体"/>
          <w:b/>
          <w:color w:val="auto"/>
          <w:sz w:val="32"/>
          <w:szCs w:val="32"/>
          <w:highlight w:val="none"/>
        </w:rPr>
      </w:pPr>
    </w:p>
    <w:p w14:paraId="2E94C171">
      <w:pPr>
        <w:tabs>
          <w:tab w:val="left" w:pos="1305"/>
        </w:tabs>
        <w:spacing w:line="400" w:lineRule="exact"/>
        <w:rPr>
          <w:rFonts w:ascii="宋体" w:hAnsi="宋体"/>
          <w:b/>
          <w:color w:val="auto"/>
          <w:sz w:val="32"/>
          <w:szCs w:val="32"/>
          <w:highlight w:val="none"/>
        </w:rPr>
      </w:pPr>
      <w:r>
        <w:rPr>
          <w:rFonts w:hint="eastAsia" w:ascii="宋体" w:hAnsi="宋体"/>
          <w:b/>
          <w:color w:val="auto"/>
          <w:sz w:val="32"/>
          <w:szCs w:val="32"/>
          <w:highlight w:val="none"/>
        </w:rPr>
        <w:t>2.投标人的授权委托书原件、委托代理人身份证正反面复印件（委托代理时，必须提供）</w:t>
      </w:r>
    </w:p>
    <w:p w14:paraId="740A670B">
      <w:pPr>
        <w:tabs>
          <w:tab w:val="left" w:pos="1305"/>
        </w:tabs>
        <w:spacing w:line="400" w:lineRule="exact"/>
        <w:rPr>
          <w:b/>
          <w:color w:val="auto"/>
          <w:sz w:val="30"/>
          <w:szCs w:val="30"/>
          <w:highlight w:val="none"/>
        </w:rPr>
      </w:pPr>
    </w:p>
    <w:p w14:paraId="79D42833">
      <w:pPr>
        <w:tabs>
          <w:tab w:val="left" w:pos="1305"/>
        </w:tabs>
        <w:spacing w:line="400" w:lineRule="exact"/>
        <w:rPr>
          <w:b/>
          <w:color w:val="auto"/>
          <w:sz w:val="30"/>
          <w:szCs w:val="30"/>
          <w:highlight w:val="none"/>
        </w:rPr>
      </w:pPr>
      <w:r>
        <w:rPr>
          <w:rFonts w:hint="eastAsia"/>
          <w:b/>
          <w:color w:val="auto"/>
          <w:sz w:val="30"/>
          <w:szCs w:val="30"/>
          <w:highlight w:val="none"/>
        </w:rPr>
        <w:t>附件：</w:t>
      </w:r>
    </w:p>
    <w:p w14:paraId="2A5E0BBA">
      <w:pPr>
        <w:pStyle w:val="26"/>
        <w:jc w:val="center"/>
        <w:rPr>
          <w:rFonts w:hAnsi="宋体"/>
          <w:b/>
          <w:color w:val="auto"/>
          <w:sz w:val="32"/>
          <w:highlight w:val="none"/>
        </w:rPr>
      </w:pPr>
      <w:r>
        <w:rPr>
          <w:rFonts w:hint="eastAsia" w:hAnsi="宋体"/>
          <w:b/>
          <w:color w:val="auto"/>
          <w:sz w:val="32"/>
          <w:highlight w:val="none"/>
        </w:rPr>
        <w:t xml:space="preserve">  授权委托书（格式一）</w:t>
      </w:r>
    </w:p>
    <w:p w14:paraId="6002FCB6">
      <w:pPr>
        <w:snapToGrid w:val="0"/>
        <w:spacing w:line="400" w:lineRule="exact"/>
        <w:outlineLvl w:val="4"/>
        <w:rPr>
          <w:rFonts w:ascii="宋体" w:hAnsi="宋体"/>
          <w:color w:val="auto"/>
          <w:highlight w:val="none"/>
        </w:rPr>
      </w:pPr>
      <w:r>
        <w:rPr>
          <w:rFonts w:hint="eastAsia" w:ascii="宋体" w:hAnsi="宋体"/>
          <w:b/>
          <w:color w:val="auto"/>
          <w:szCs w:val="21"/>
          <w:highlight w:val="none"/>
        </w:rPr>
        <w:t>致</w:t>
      </w:r>
      <w:r>
        <w:rPr>
          <w:rFonts w:hint="eastAsia" w:ascii="宋体" w:hAnsi="宋体"/>
          <w:color w:val="auto"/>
          <w:szCs w:val="21"/>
          <w:highlight w:val="none"/>
        </w:rPr>
        <w:t>：</w:t>
      </w:r>
      <w:r>
        <w:rPr>
          <w:rFonts w:hint="eastAsia" w:ascii="宋体" w:hAnsi="宋体"/>
          <w:color w:val="auto"/>
          <w:highlight w:val="none"/>
          <w:u w:val="single"/>
        </w:rPr>
        <w:t>云之龙咨询集团有限公司</w:t>
      </w:r>
    </w:p>
    <w:p w14:paraId="116669FA">
      <w:pPr>
        <w:snapToGrid w:val="0"/>
        <w:spacing w:line="400" w:lineRule="exact"/>
        <w:outlineLvl w:val="4"/>
        <w:rPr>
          <w:rFonts w:ascii="宋体" w:hAnsi="宋体"/>
          <w:color w:val="auto"/>
          <w:szCs w:val="21"/>
          <w:highlight w:val="none"/>
          <w:u w:val="single"/>
        </w:rPr>
      </w:pPr>
    </w:p>
    <w:p w14:paraId="09F65C28">
      <w:pPr>
        <w:pStyle w:val="26"/>
        <w:spacing w:line="400" w:lineRule="exact"/>
        <w:ind w:firstLine="525" w:firstLineChars="250"/>
        <w:rPr>
          <w:rFonts w:hAnsi="宋体"/>
          <w:color w:val="auto"/>
          <w:highlight w:val="none"/>
        </w:rPr>
      </w:pPr>
      <w:r>
        <w:rPr>
          <w:rFonts w:hint="eastAsia" w:hAnsi="宋体"/>
          <w:color w:val="auto"/>
          <w:kern w:val="0"/>
          <w:highlight w:val="none"/>
        </w:rPr>
        <w:t>我</w:t>
      </w:r>
      <w:r>
        <w:rPr>
          <w:rFonts w:hint="eastAsia" w:hAnsi="宋体"/>
          <w:color w:val="auto"/>
          <w:kern w:val="0"/>
          <w:highlight w:val="none"/>
          <w:u w:val="single"/>
        </w:rPr>
        <w:t xml:space="preserve">              </w:t>
      </w:r>
      <w:r>
        <w:rPr>
          <w:rFonts w:hint="eastAsia" w:hAnsi="宋体"/>
          <w:color w:val="auto"/>
          <w:kern w:val="0"/>
          <w:highlight w:val="none"/>
        </w:rPr>
        <w:t>（姓名）系</w:t>
      </w:r>
      <w:r>
        <w:rPr>
          <w:rFonts w:hint="eastAsia" w:hAnsi="宋体"/>
          <w:color w:val="auto"/>
          <w:kern w:val="0"/>
          <w:highlight w:val="none"/>
          <w:u w:val="single"/>
        </w:rPr>
        <w:t xml:space="preserve">                              </w:t>
      </w:r>
      <w:r>
        <w:rPr>
          <w:rFonts w:hint="eastAsia" w:hAnsi="宋体"/>
          <w:color w:val="auto"/>
          <w:kern w:val="0"/>
          <w:highlight w:val="none"/>
        </w:rPr>
        <w:t>（投标人名称）的法定代表人，现授权委托本单位在职职工</w:t>
      </w:r>
      <w:r>
        <w:rPr>
          <w:rFonts w:hint="eastAsia" w:hAnsi="宋体"/>
          <w:color w:val="auto"/>
          <w:kern w:val="0"/>
          <w:highlight w:val="none"/>
          <w:u w:val="single"/>
        </w:rPr>
        <w:t xml:space="preserve">            </w:t>
      </w:r>
      <w:r>
        <w:rPr>
          <w:rFonts w:hint="eastAsia" w:hAnsi="宋体"/>
          <w:color w:val="auto"/>
          <w:kern w:val="0"/>
          <w:highlight w:val="none"/>
        </w:rPr>
        <w:t>（姓名）以我公司名义参加</w:t>
      </w:r>
      <w:r>
        <w:rPr>
          <w:rFonts w:hint="eastAsia" w:hAnsi="宋体"/>
          <w:color w:val="auto"/>
          <w:kern w:val="0"/>
          <w:highlight w:val="none"/>
          <w:u w:val="single"/>
        </w:rPr>
        <w:t xml:space="preserve">      </w:t>
      </w:r>
      <w:r>
        <w:rPr>
          <w:rFonts w:hint="eastAsia" w:hAnsi="宋体"/>
          <w:color w:val="auto"/>
          <w:highlight w:val="none"/>
          <w:u w:val="single"/>
        </w:rPr>
        <w:t xml:space="preserve">（项目名称及项目编号）        </w:t>
      </w:r>
      <w:r>
        <w:rPr>
          <w:rFonts w:hint="eastAsia" w:hAnsi="宋体"/>
          <w:color w:val="auto"/>
          <w:highlight w:val="none"/>
        </w:rPr>
        <w:t>项目的投标活动，并代表我方全权办理针对上述项目的投标、开标、评标、签约等具体事务和签署相关文件。</w:t>
      </w:r>
    </w:p>
    <w:p w14:paraId="5E44B55F">
      <w:pPr>
        <w:pStyle w:val="26"/>
        <w:spacing w:line="400" w:lineRule="exact"/>
        <w:ind w:firstLine="420" w:firstLineChars="200"/>
        <w:rPr>
          <w:rFonts w:hAnsi="宋体"/>
          <w:color w:val="auto"/>
          <w:highlight w:val="none"/>
        </w:rPr>
      </w:pPr>
      <w:r>
        <w:rPr>
          <w:rFonts w:hint="eastAsia" w:hAnsi="宋体"/>
          <w:color w:val="auto"/>
          <w:highlight w:val="none"/>
        </w:rPr>
        <w:t>我方对被授权人的签字事项负全部责任。</w:t>
      </w:r>
    </w:p>
    <w:p w14:paraId="75061483">
      <w:pPr>
        <w:pStyle w:val="26"/>
        <w:spacing w:line="400" w:lineRule="exact"/>
        <w:ind w:firstLine="420" w:firstLineChars="200"/>
        <w:rPr>
          <w:rFonts w:hAnsi="宋体"/>
          <w:color w:val="auto"/>
          <w:highlight w:val="none"/>
          <w:u w:val="single"/>
        </w:rPr>
      </w:pPr>
      <w:r>
        <w:rPr>
          <w:rFonts w:hint="eastAsia" w:hAnsi="宋体"/>
          <w:color w:val="auto"/>
          <w:highlight w:val="none"/>
        </w:rPr>
        <w:t xml:space="preserve">授权委托代理期限：自即日起至该项目政府采购活动结束止。                                                                                         </w:t>
      </w:r>
    </w:p>
    <w:p w14:paraId="0DF543D9">
      <w:pPr>
        <w:spacing w:line="400" w:lineRule="exact"/>
        <w:ind w:firstLine="420" w:firstLineChars="200"/>
        <w:rPr>
          <w:rFonts w:ascii="宋体" w:hAnsi="宋体"/>
          <w:color w:val="auto"/>
          <w:kern w:val="0"/>
          <w:highlight w:val="none"/>
        </w:rPr>
      </w:pPr>
      <w:r>
        <w:rPr>
          <w:rFonts w:hint="eastAsia" w:ascii="宋体" w:hAnsi="宋体"/>
          <w:color w:val="auto"/>
          <w:kern w:val="0"/>
          <w:highlight w:val="none"/>
        </w:rPr>
        <w:t>代理人无转委托权，特此委托。</w:t>
      </w:r>
      <w:r>
        <w:rPr>
          <w:rFonts w:ascii="宋体" w:hAnsi="宋体"/>
          <w:color w:val="auto"/>
          <w:kern w:val="0"/>
          <w:highlight w:val="none"/>
        </w:rPr>
        <w:t xml:space="preserve"> </w:t>
      </w:r>
    </w:p>
    <w:p w14:paraId="40858C7E">
      <w:pPr>
        <w:snapToGrid w:val="0"/>
        <w:spacing w:line="400" w:lineRule="exact"/>
        <w:ind w:firstLine="420"/>
        <w:outlineLvl w:val="4"/>
        <w:rPr>
          <w:rFonts w:ascii="宋体" w:hAnsi="宋体"/>
          <w:color w:val="auto"/>
          <w:szCs w:val="21"/>
          <w:highlight w:val="none"/>
        </w:rPr>
      </w:pPr>
      <w:r>
        <w:rPr>
          <w:rFonts w:hint="eastAsia" w:ascii="宋体" w:hAnsi="宋体"/>
          <w:color w:val="auto"/>
          <w:szCs w:val="21"/>
          <w:highlight w:val="none"/>
        </w:rPr>
        <w:t>我已在下面签字，以资证明。</w:t>
      </w:r>
    </w:p>
    <w:p w14:paraId="4E052EC3">
      <w:pPr>
        <w:snapToGrid w:val="0"/>
        <w:spacing w:line="400" w:lineRule="exact"/>
        <w:ind w:firstLine="420"/>
        <w:outlineLvl w:val="4"/>
        <w:rPr>
          <w:rFonts w:ascii="宋体" w:hAnsi="宋体"/>
          <w:color w:val="auto"/>
          <w:szCs w:val="21"/>
          <w:highlight w:val="none"/>
          <w:u w:val="single"/>
        </w:rPr>
      </w:pPr>
      <w:r>
        <w:rPr>
          <w:rFonts w:hint="eastAsia" w:ascii="宋体" w:hAnsi="宋体"/>
          <w:color w:val="auto"/>
          <w:szCs w:val="21"/>
          <w:highlight w:val="none"/>
        </w:rPr>
        <w:t>投标人</w:t>
      </w:r>
      <w:r>
        <w:rPr>
          <w:rFonts w:hint="eastAsia" w:ascii="宋体" w:hAnsi="宋体" w:cs="宋体"/>
          <w:color w:val="auto"/>
          <w:szCs w:val="21"/>
          <w:highlight w:val="none"/>
        </w:rPr>
        <w:t>（电子签章）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15B43C75">
      <w:pPr>
        <w:snapToGrid w:val="0"/>
        <w:spacing w:line="400" w:lineRule="exact"/>
        <w:ind w:firstLine="420"/>
        <w:outlineLvl w:val="4"/>
        <w:rPr>
          <w:rFonts w:ascii="宋体" w:hAnsi="宋体"/>
          <w:color w:val="auto"/>
          <w:szCs w:val="21"/>
          <w:highlight w:val="none"/>
        </w:rPr>
      </w:pPr>
    </w:p>
    <w:p w14:paraId="14B3016D">
      <w:pPr>
        <w:snapToGrid w:val="0"/>
        <w:spacing w:line="400" w:lineRule="exact"/>
        <w:ind w:firstLine="420"/>
        <w:outlineLvl w:val="4"/>
        <w:rPr>
          <w:rFonts w:ascii="宋体" w:hAnsi="宋体"/>
          <w:color w:val="auto"/>
          <w:szCs w:val="21"/>
          <w:highlight w:val="none"/>
        </w:rPr>
      </w:pPr>
      <w:r>
        <w:rPr>
          <w:rFonts w:hint="eastAsia" w:ascii="宋体" w:hAnsi="宋体"/>
          <w:color w:val="auto"/>
          <w:szCs w:val="21"/>
          <w:highlight w:val="none"/>
        </w:rPr>
        <w:t>法定代表人签字</w:t>
      </w:r>
      <w:r>
        <w:rPr>
          <w:rFonts w:hint="eastAsia" w:ascii="宋体" w:hAnsi="宋体" w:cs="宋体"/>
          <w:color w:val="auto"/>
          <w:szCs w:val="21"/>
          <w:highlight w:val="none"/>
        </w:rPr>
        <w:t>（</w:t>
      </w:r>
      <w:r>
        <w:rPr>
          <w:rFonts w:hint="eastAsia" w:hAnsi="宋体" w:cs="宋体"/>
          <w:color w:val="auto"/>
          <w:szCs w:val="21"/>
          <w:highlight w:val="none"/>
        </w:rPr>
        <w:t>或者电子签名</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48EFD66C">
      <w:pPr>
        <w:snapToGrid w:val="0"/>
        <w:spacing w:line="400" w:lineRule="exact"/>
        <w:ind w:firstLine="420"/>
        <w:outlineLvl w:val="4"/>
        <w:rPr>
          <w:rFonts w:ascii="宋体" w:hAnsi="宋体"/>
          <w:color w:val="auto"/>
          <w:szCs w:val="21"/>
          <w:highlight w:val="none"/>
        </w:rPr>
      </w:pPr>
    </w:p>
    <w:p w14:paraId="6317B77D">
      <w:pPr>
        <w:snapToGrid w:val="0"/>
        <w:spacing w:line="400" w:lineRule="exact"/>
        <w:ind w:firstLine="420"/>
        <w:outlineLvl w:val="4"/>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9D44A5C">
      <w:pPr>
        <w:snapToGrid w:val="0"/>
        <w:spacing w:line="400" w:lineRule="exact"/>
        <w:ind w:firstLine="420"/>
        <w:outlineLvl w:val="4"/>
        <w:rPr>
          <w:rFonts w:ascii="宋体" w:hAnsi="宋体"/>
          <w:color w:val="auto"/>
          <w:szCs w:val="21"/>
          <w:highlight w:val="none"/>
        </w:rPr>
      </w:pPr>
    </w:p>
    <w:p w14:paraId="2576D71C">
      <w:pPr>
        <w:tabs>
          <w:tab w:val="left" w:pos="1305"/>
        </w:tabs>
        <w:spacing w:line="520" w:lineRule="exact"/>
        <w:rPr>
          <w:rFonts w:hAnsi="宋体"/>
          <w:b/>
          <w:color w:val="auto"/>
          <w:sz w:val="24"/>
          <w:highlight w:val="none"/>
        </w:rPr>
      </w:pPr>
      <w:r>
        <w:rPr>
          <w:rFonts w:hint="eastAsia" w:hAnsi="宋体"/>
          <w:b/>
          <w:color w:val="auto"/>
          <w:sz w:val="24"/>
          <w:highlight w:val="none"/>
        </w:rPr>
        <w:t>附：委托代理人身份证正反面复印件（委托代理时必须提供）。</w:t>
      </w:r>
    </w:p>
    <w:p w14:paraId="0D69CD23">
      <w:pPr>
        <w:pStyle w:val="26"/>
        <w:jc w:val="center"/>
        <w:rPr>
          <w:rFonts w:hAnsi="宋体"/>
          <w:b/>
          <w:color w:val="auto"/>
          <w:sz w:val="32"/>
          <w:highlight w:val="none"/>
        </w:rPr>
      </w:pPr>
    </w:p>
    <w:p w14:paraId="78801008">
      <w:pPr>
        <w:pStyle w:val="26"/>
        <w:jc w:val="center"/>
        <w:rPr>
          <w:rFonts w:hAnsi="宋体"/>
          <w:b/>
          <w:color w:val="auto"/>
          <w:sz w:val="32"/>
          <w:highlight w:val="none"/>
        </w:rPr>
      </w:pPr>
    </w:p>
    <w:p w14:paraId="0287E864">
      <w:pPr>
        <w:pStyle w:val="26"/>
        <w:jc w:val="center"/>
        <w:rPr>
          <w:rFonts w:hAnsi="宋体"/>
          <w:b/>
          <w:color w:val="auto"/>
          <w:sz w:val="32"/>
          <w:highlight w:val="none"/>
        </w:rPr>
      </w:pPr>
    </w:p>
    <w:p w14:paraId="5AA41D7A">
      <w:pPr>
        <w:pStyle w:val="26"/>
        <w:jc w:val="center"/>
        <w:rPr>
          <w:rFonts w:hAnsi="宋体"/>
          <w:b/>
          <w:color w:val="auto"/>
          <w:sz w:val="32"/>
          <w:highlight w:val="none"/>
        </w:rPr>
      </w:pPr>
    </w:p>
    <w:p w14:paraId="4A33259B">
      <w:pPr>
        <w:pStyle w:val="26"/>
        <w:jc w:val="center"/>
        <w:rPr>
          <w:rFonts w:hAnsi="宋体"/>
          <w:b/>
          <w:color w:val="auto"/>
          <w:sz w:val="32"/>
          <w:highlight w:val="none"/>
        </w:rPr>
      </w:pPr>
      <w:r>
        <w:rPr>
          <w:rFonts w:hint="eastAsia" w:hAnsi="宋体"/>
          <w:b/>
          <w:color w:val="auto"/>
          <w:sz w:val="32"/>
          <w:highlight w:val="none"/>
        </w:rPr>
        <w:t>授权委托书（格式二）</w:t>
      </w:r>
    </w:p>
    <w:p w14:paraId="3AF34E70">
      <w:pPr>
        <w:snapToGrid w:val="0"/>
        <w:spacing w:line="400" w:lineRule="exact"/>
        <w:outlineLvl w:val="4"/>
        <w:rPr>
          <w:rFonts w:ascii="宋体" w:hAnsi="宋体"/>
          <w:color w:val="auto"/>
          <w:highlight w:val="none"/>
        </w:rPr>
      </w:pPr>
      <w:r>
        <w:rPr>
          <w:rFonts w:hint="eastAsia" w:ascii="宋体" w:hAnsi="宋体"/>
          <w:b/>
          <w:color w:val="auto"/>
          <w:szCs w:val="21"/>
          <w:highlight w:val="none"/>
        </w:rPr>
        <w:t>致</w:t>
      </w:r>
      <w:r>
        <w:rPr>
          <w:rFonts w:hint="eastAsia" w:ascii="宋体" w:hAnsi="宋体"/>
          <w:color w:val="auto"/>
          <w:szCs w:val="21"/>
          <w:highlight w:val="none"/>
        </w:rPr>
        <w:t>：</w:t>
      </w:r>
      <w:r>
        <w:rPr>
          <w:rFonts w:hint="eastAsia" w:ascii="宋体" w:hAnsi="宋体"/>
          <w:color w:val="auto"/>
          <w:highlight w:val="none"/>
          <w:u w:val="single"/>
        </w:rPr>
        <w:t>云之龙咨询集团有限公司</w:t>
      </w:r>
    </w:p>
    <w:p w14:paraId="3AC2CDE1">
      <w:pPr>
        <w:snapToGrid w:val="0"/>
        <w:spacing w:line="400" w:lineRule="exact"/>
        <w:outlineLvl w:val="4"/>
        <w:rPr>
          <w:rFonts w:ascii="宋体" w:hAnsi="宋体"/>
          <w:color w:val="auto"/>
          <w:szCs w:val="21"/>
          <w:highlight w:val="none"/>
          <w:u w:val="single"/>
        </w:rPr>
      </w:pPr>
    </w:p>
    <w:p w14:paraId="4B159483">
      <w:pPr>
        <w:pStyle w:val="26"/>
        <w:spacing w:line="340" w:lineRule="exact"/>
        <w:ind w:firstLine="420" w:firstLineChars="200"/>
        <w:rPr>
          <w:rFonts w:hAnsi="宋体"/>
          <w:color w:val="auto"/>
          <w:highlight w:val="none"/>
        </w:rPr>
      </w:pPr>
      <w:r>
        <w:rPr>
          <w:rFonts w:hint="eastAsia" w:hAnsi="宋体"/>
          <w:color w:val="auto"/>
          <w:kern w:val="0"/>
          <w:highlight w:val="none"/>
        </w:rPr>
        <w:t>我</w:t>
      </w:r>
      <w:r>
        <w:rPr>
          <w:rFonts w:hint="eastAsia" w:hAnsi="宋体"/>
          <w:color w:val="auto"/>
          <w:kern w:val="0"/>
          <w:highlight w:val="none"/>
          <w:u w:val="single"/>
        </w:rPr>
        <w:t xml:space="preserve">              </w:t>
      </w:r>
      <w:r>
        <w:rPr>
          <w:rFonts w:hint="eastAsia" w:hAnsi="宋体"/>
          <w:color w:val="auto"/>
          <w:kern w:val="0"/>
          <w:highlight w:val="none"/>
        </w:rPr>
        <w:t>（姓名）系自然人，现授权委托</w:t>
      </w:r>
      <w:r>
        <w:rPr>
          <w:rFonts w:hint="eastAsia" w:hAnsi="宋体"/>
          <w:color w:val="auto"/>
          <w:kern w:val="0"/>
          <w:highlight w:val="none"/>
          <w:u w:val="single"/>
        </w:rPr>
        <w:t xml:space="preserve">            </w:t>
      </w:r>
      <w:r>
        <w:rPr>
          <w:rFonts w:hint="eastAsia" w:hAnsi="宋体"/>
          <w:color w:val="auto"/>
          <w:kern w:val="0"/>
          <w:highlight w:val="none"/>
        </w:rPr>
        <w:t>（姓 名）以本人名义参加</w:t>
      </w:r>
      <w:r>
        <w:rPr>
          <w:rFonts w:hint="eastAsia" w:hAnsi="宋体"/>
          <w:color w:val="auto"/>
          <w:kern w:val="0"/>
          <w:highlight w:val="none"/>
          <w:u w:val="single"/>
        </w:rPr>
        <w:t xml:space="preserve">      </w:t>
      </w:r>
      <w:r>
        <w:rPr>
          <w:rFonts w:hint="eastAsia" w:hAnsi="宋体"/>
          <w:color w:val="auto"/>
          <w:highlight w:val="none"/>
          <w:u w:val="single"/>
        </w:rPr>
        <w:t xml:space="preserve">（项目名称及项目编号）        </w:t>
      </w:r>
      <w:r>
        <w:rPr>
          <w:rFonts w:hint="eastAsia" w:hAnsi="宋体"/>
          <w:color w:val="auto"/>
          <w:highlight w:val="none"/>
        </w:rPr>
        <w:t>项目的投标活动，并代表本人全权办理针对上述项目的投标、开标、评标、签约等具体事务和签署相关文件。</w:t>
      </w:r>
    </w:p>
    <w:p w14:paraId="30336541">
      <w:pPr>
        <w:pStyle w:val="26"/>
        <w:spacing w:line="340" w:lineRule="exact"/>
        <w:ind w:firstLine="420" w:firstLineChars="200"/>
        <w:rPr>
          <w:rFonts w:hAnsi="宋体"/>
          <w:color w:val="auto"/>
          <w:highlight w:val="none"/>
        </w:rPr>
      </w:pPr>
      <w:r>
        <w:rPr>
          <w:rFonts w:hint="eastAsia" w:hAnsi="宋体"/>
          <w:color w:val="auto"/>
          <w:highlight w:val="none"/>
        </w:rPr>
        <w:t>本人对被授权人的签字事项负全部责任。</w:t>
      </w:r>
    </w:p>
    <w:p w14:paraId="0C88811D">
      <w:pPr>
        <w:pStyle w:val="26"/>
        <w:spacing w:line="400" w:lineRule="exact"/>
        <w:ind w:firstLine="420" w:firstLineChars="200"/>
        <w:rPr>
          <w:rFonts w:hAnsi="宋体"/>
          <w:color w:val="auto"/>
          <w:highlight w:val="none"/>
          <w:u w:val="single"/>
        </w:rPr>
      </w:pPr>
      <w:r>
        <w:rPr>
          <w:rFonts w:hint="eastAsia" w:hAnsi="宋体"/>
          <w:color w:val="auto"/>
          <w:highlight w:val="none"/>
        </w:rPr>
        <w:t>授权委托代理期限：自即日起至该项目政府采购活动结束止。</w:t>
      </w:r>
    </w:p>
    <w:p w14:paraId="512461AB">
      <w:pPr>
        <w:pStyle w:val="26"/>
        <w:spacing w:line="340" w:lineRule="exact"/>
        <w:ind w:firstLine="420" w:firstLineChars="200"/>
        <w:rPr>
          <w:rFonts w:hAnsi="宋体"/>
          <w:color w:val="auto"/>
          <w:highlight w:val="none"/>
          <w:u w:val="single"/>
        </w:rPr>
      </w:pPr>
    </w:p>
    <w:p w14:paraId="5D3E7481">
      <w:pPr>
        <w:pStyle w:val="26"/>
        <w:spacing w:line="340" w:lineRule="exact"/>
        <w:rPr>
          <w:rFonts w:hAnsi="宋体"/>
          <w:color w:val="auto"/>
          <w:highlight w:val="none"/>
          <w:u w:val="single"/>
        </w:rPr>
      </w:pPr>
      <w:r>
        <w:rPr>
          <w:rFonts w:hint="eastAsia" w:hAnsi="宋体"/>
          <w:color w:val="auto"/>
          <w:highlight w:val="none"/>
        </w:rPr>
        <w:t xml:space="preserve">                                                                                             </w:t>
      </w:r>
    </w:p>
    <w:p w14:paraId="02B24941">
      <w:pPr>
        <w:spacing w:line="340" w:lineRule="exact"/>
        <w:ind w:firstLine="420" w:firstLineChars="200"/>
        <w:rPr>
          <w:rFonts w:ascii="宋体" w:hAnsi="宋体"/>
          <w:color w:val="auto"/>
          <w:kern w:val="0"/>
          <w:highlight w:val="none"/>
        </w:rPr>
      </w:pPr>
      <w:r>
        <w:rPr>
          <w:rFonts w:hint="eastAsia" w:ascii="宋体" w:hAnsi="宋体"/>
          <w:color w:val="auto"/>
          <w:kern w:val="0"/>
          <w:highlight w:val="none"/>
        </w:rPr>
        <w:t>代理人无转委托权，特此委托。</w:t>
      </w:r>
      <w:r>
        <w:rPr>
          <w:rFonts w:ascii="宋体" w:hAnsi="宋体"/>
          <w:color w:val="auto"/>
          <w:kern w:val="0"/>
          <w:highlight w:val="none"/>
        </w:rPr>
        <w:t xml:space="preserve"> </w:t>
      </w:r>
    </w:p>
    <w:p w14:paraId="18DC3472">
      <w:pPr>
        <w:snapToGrid w:val="0"/>
        <w:spacing w:line="340" w:lineRule="exact"/>
        <w:ind w:firstLine="525"/>
        <w:outlineLvl w:val="4"/>
        <w:rPr>
          <w:rFonts w:ascii="宋体" w:hAnsi="宋体"/>
          <w:color w:val="auto"/>
          <w:szCs w:val="21"/>
          <w:highlight w:val="none"/>
        </w:rPr>
      </w:pPr>
    </w:p>
    <w:p w14:paraId="42261408">
      <w:pPr>
        <w:snapToGrid w:val="0"/>
        <w:spacing w:line="340" w:lineRule="exact"/>
        <w:ind w:firstLine="420"/>
        <w:outlineLvl w:val="4"/>
        <w:rPr>
          <w:rFonts w:ascii="宋体" w:hAnsi="宋体"/>
          <w:color w:val="auto"/>
          <w:szCs w:val="21"/>
          <w:highlight w:val="none"/>
        </w:rPr>
      </w:pPr>
      <w:r>
        <w:rPr>
          <w:rFonts w:hint="eastAsia" w:ascii="宋体" w:hAnsi="宋体"/>
          <w:color w:val="auto"/>
          <w:szCs w:val="21"/>
          <w:highlight w:val="none"/>
        </w:rPr>
        <w:t>我已在下面签字，以资证明。</w:t>
      </w:r>
    </w:p>
    <w:p w14:paraId="36A75C14">
      <w:pPr>
        <w:snapToGrid w:val="0"/>
        <w:spacing w:line="340" w:lineRule="exact"/>
        <w:ind w:firstLine="420"/>
        <w:outlineLvl w:val="4"/>
        <w:rPr>
          <w:rFonts w:ascii="宋体" w:hAnsi="宋体"/>
          <w:color w:val="auto"/>
          <w:szCs w:val="21"/>
          <w:highlight w:val="none"/>
        </w:rPr>
      </w:pPr>
    </w:p>
    <w:p w14:paraId="029CC4A4">
      <w:pPr>
        <w:snapToGrid w:val="0"/>
        <w:spacing w:line="340" w:lineRule="exact"/>
        <w:ind w:firstLine="420"/>
        <w:outlineLvl w:val="4"/>
        <w:rPr>
          <w:rFonts w:ascii="宋体" w:hAnsi="宋体"/>
          <w:color w:val="auto"/>
          <w:szCs w:val="21"/>
          <w:highlight w:val="none"/>
        </w:rPr>
      </w:pPr>
      <w:r>
        <w:rPr>
          <w:rFonts w:hint="eastAsia" w:ascii="宋体" w:hAnsi="宋体"/>
          <w:color w:val="auto"/>
          <w:szCs w:val="21"/>
          <w:highlight w:val="none"/>
        </w:rPr>
        <w:t>自然人签字（或者电子签名）：</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094F54E7">
      <w:pPr>
        <w:snapToGrid w:val="0"/>
        <w:spacing w:line="340" w:lineRule="exact"/>
        <w:ind w:firstLine="420"/>
        <w:outlineLvl w:val="4"/>
        <w:rPr>
          <w:rFonts w:ascii="宋体" w:hAnsi="宋体"/>
          <w:color w:val="auto"/>
          <w:szCs w:val="21"/>
          <w:highlight w:val="none"/>
        </w:rPr>
      </w:pPr>
    </w:p>
    <w:p w14:paraId="1AAEB224">
      <w:pPr>
        <w:pStyle w:val="26"/>
        <w:spacing w:line="400" w:lineRule="exact"/>
        <w:ind w:firstLine="602" w:firstLineChars="250"/>
        <w:rPr>
          <w:rFonts w:hAnsi="宋体"/>
          <w:b/>
          <w:color w:val="auto"/>
          <w:sz w:val="24"/>
          <w:szCs w:val="24"/>
          <w:highlight w:val="none"/>
        </w:rPr>
      </w:pPr>
      <w:r>
        <w:rPr>
          <w:rFonts w:hint="eastAsia" w:hAnsi="宋体"/>
          <w:b/>
          <w:color w:val="auto"/>
          <w:sz w:val="24"/>
          <w:szCs w:val="24"/>
          <w:highlight w:val="none"/>
        </w:rPr>
        <w:t>附：委托代理人身份证正反面复印件（委托代理时必须提供）。</w:t>
      </w:r>
    </w:p>
    <w:p w14:paraId="1B106382">
      <w:pPr>
        <w:pStyle w:val="26"/>
        <w:spacing w:line="400" w:lineRule="exact"/>
        <w:ind w:left="420" w:leftChars="200" w:firstLine="157" w:firstLineChars="49"/>
        <w:rPr>
          <w:rFonts w:hAnsi="宋体"/>
          <w:b/>
          <w:color w:val="auto"/>
          <w:sz w:val="32"/>
          <w:szCs w:val="32"/>
          <w:highlight w:val="none"/>
        </w:rPr>
      </w:pPr>
    </w:p>
    <w:p w14:paraId="6AD9F4C6">
      <w:pPr>
        <w:pStyle w:val="26"/>
        <w:spacing w:line="400" w:lineRule="exact"/>
        <w:ind w:left="420" w:leftChars="200" w:firstLine="157" w:firstLineChars="49"/>
        <w:rPr>
          <w:rFonts w:hAnsi="宋体"/>
          <w:b/>
          <w:color w:val="auto"/>
          <w:sz w:val="32"/>
          <w:szCs w:val="32"/>
          <w:highlight w:val="none"/>
        </w:rPr>
      </w:pPr>
    </w:p>
    <w:p w14:paraId="2860A086">
      <w:pPr>
        <w:pStyle w:val="26"/>
        <w:spacing w:line="400" w:lineRule="exact"/>
        <w:ind w:left="420" w:leftChars="200" w:firstLine="157" w:firstLineChars="49"/>
        <w:rPr>
          <w:rFonts w:hAnsi="宋体"/>
          <w:b/>
          <w:color w:val="auto"/>
          <w:sz w:val="32"/>
          <w:szCs w:val="32"/>
          <w:highlight w:val="none"/>
        </w:rPr>
      </w:pPr>
    </w:p>
    <w:p w14:paraId="58EE5D6F">
      <w:pPr>
        <w:pStyle w:val="26"/>
        <w:spacing w:line="400" w:lineRule="exact"/>
        <w:ind w:left="420" w:leftChars="200" w:firstLine="157" w:firstLineChars="49"/>
        <w:rPr>
          <w:rFonts w:hAnsi="宋体"/>
          <w:b/>
          <w:color w:val="auto"/>
          <w:sz w:val="32"/>
          <w:szCs w:val="32"/>
          <w:highlight w:val="none"/>
        </w:rPr>
      </w:pPr>
    </w:p>
    <w:p w14:paraId="58076917">
      <w:pPr>
        <w:pStyle w:val="26"/>
        <w:spacing w:line="400" w:lineRule="exact"/>
        <w:rPr>
          <w:rFonts w:hAnsi="宋体"/>
          <w:b/>
          <w:color w:val="auto"/>
          <w:sz w:val="32"/>
          <w:szCs w:val="32"/>
          <w:highlight w:val="none"/>
        </w:rPr>
      </w:pPr>
      <w:r>
        <w:rPr>
          <w:rFonts w:hint="eastAsia" w:hAnsi="宋体"/>
          <w:b/>
          <w:color w:val="auto"/>
          <w:sz w:val="32"/>
          <w:szCs w:val="32"/>
          <w:highlight w:val="none"/>
        </w:rPr>
        <w:t>3.投标人的法人或者其他组织营业执照等证明文件复印件（必须提供，自然人除外）</w:t>
      </w:r>
    </w:p>
    <w:p w14:paraId="271D22EC">
      <w:pPr>
        <w:tabs>
          <w:tab w:val="left" w:pos="1305"/>
        </w:tabs>
        <w:spacing w:line="400" w:lineRule="exact"/>
        <w:rPr>
          <w:rFonts w:ascii="宋体" w:hAnsi="宋体"/>
          <w:b/>
          <w:color w:val="auto"/>
          <w:szCs w:val="21"/>
          <w:highlight w:val="none"/>
        </w:rPr>
      </w:pPr>
      <w:r>
        <w:rPr>
          <w:rFonts w:hint="eastAsia" w:ascii="宋体" w:hAnsi="宋体"/>
          <w:b/>
          <w:color w:val="auto"/>
          <w:szCs w:val="21"/>
          <w:highlight w:val="none"/>
        </w:rPr>
        <w:t xml:space="preserve">注：①法人包括企业法人、机关法人、事业单位法人和社会团体法人；其他组织主要包括合伙企业、非企业专业服务机构、个体工商户、农村承包经营户。②如投标人为企业（包括合伙企业）或个体工商户的，应提供市场监督管理部门（或行政审批部门）登记注册的有效“营业执照”；投标人为事业单位的，应提供有效的“事业单位法人证书”；投标人为非企业专业服务机构的，应提供执业许可证等证明文件。 </w:t>
      </w:r>
    </w:p>
    <w:p w14:paraId="3589504A">
      <w:pPr>
        <w:pStyle w:val="31"/>
        <w:rPr>
          <w:rFonts w:ascii="宋体" w:hAnsi="宋体"/>
          <w:b/>
          <w:color w:val="auto"/>
          <w:szCs w:val="21"/>
          <w:highlight w:val="none"/>
        </w:rPr>
      </w:pPr>
    </w:p>
    <w:p w14:paraId="442A6FA9">
      <w:pPr>
        <w:pStyle w:val="31"/>
        <w:rPr>
          <w:rFonts w:ascii="宋体" w:hAnsi="宋体"/>
          <w:b/>
          <w:color w:val="auto"/>
          <w:szCs w:val="21"/>
          <w:highlight w:val="none"/>
        </w:rPr>
      </w:pPr>
    </w:p>
    <w:p w14:paraId="2A3EC4BE">
      <w:pPr>
        <w:pStyle w:val="31"/>
        <w:rPr>
          <w:rFonts w:ascii="宋体" w:hAnsi="宋体"/>
          <w:b/>
          <w:color w:val="auto"/>
          <w:szCs w:val="21"/>
          <w:highlight w:val="none"/>
        </w:rPr>
      </w:pPr>
    </w:p>
    <w:p w14:paraId="44897E62">
      <w:pPr>
        <w:pStyle w:val="31"/>
        <w:rPr>
          <w:rFonts w:ascii="宋体" w:hAnsi="宋体"/>
          <w:b/>
          <w:color w:val="auto"/>
          <w:szCs w:val="21"/>
          <w:highlight w:val="none"/>
        </w:rPr>
      </w:pPr>
    </w:p>
    <w:p w14:paraId="5FED3084">
      <w:pPr>
        <w:pStyle w:val="31"/>
        <w:rPr>
          <w:rFonts w:ascii="宋体" w:hAnsi="宋体"/>
          <w:b/>
          <w:color w:val="auto"/>
          <w:szCs w:val="21"/>
          <w:highlight w:val="none"/>
        </w:rPr>
      </w:pPr>
    </w:p>
    <w:p w14:paraId="260171CB">
      <w:pPr>
        <w:pStyle w:val="31"/>
        <w:rPr>
          <w:rFonts w:ascii="宋体" w:hAnsi="宋体"/>
          <w:b/>
          <w:color w:val="auto"/>
          <w:szCs w:val="21"/>
          <w:highlight w:val="none"/>
        </w:rPr>
      </w:pPr>
    </w:p>
    <w:p w14:paraId="42307845">
      <w:pPr>
        <w:pStyle w:val="31"/>
        <w:rPr>
          <w:rFonts w:ascii="宋体" w:hAnsi="宋体"/>
          <w:b/>
          <w:color w:val="auto"/>
          <w:szCs w:val="21"/>
          <w:highlight w:val="none"/>
        </w:rPr>
      </w:pPr>
    </w:p>
    <w:p w14:paraId="79E98E99">
      <w:pPr>
        <w:pStyle w:val="31"/>
        <w:rPr>
          <w:rFonts w:ascii="宋体" w:hAnsi="宋体"/>
          <w:b/>
          <w:color w:val="auto"/>
          <w:szCs w:val="21"/>
          <w:highlight w:val="none"/>
        </w:rPr>
      </w:pPr>
    </w:p>
    <w:p w14:paraId="5C05C508">
      <w:pPr>
        <w:pStyle w:val="31"/>
        <w:rPr>
          <w:rFonts w:ascii="宋体" w:hAnsi="宋体"/>
          <w:b/>
          <w:color w:val="auto"/>
          <w:szCs w:val="21"/>
          <w:highlight w:val="none"/>
        </w:rPr>
      </w:pPr>
    </w:p>
    <w:p w14:paraId="7E68383B">
      <w:pPr>
        <w:pStyle w:val="31"/>
        <w:rPr>
          <w:rFonts w:ascii="宋体" w:hAnsi="宋体"/>
          <w:b/>
          <w:color w:val="auto"/>
          <w:szCs w:val="21"/>
          <w:highlight w:val="none"/>
        </w:rPr>
      </w:pPr>
    </w:p>
    <w:p w14:paraId="6E8FF072">
      <w:pPr>
        <w:pStyle w:val="31"/>
        <w:rPr>
          <w:rFonts w:ascii="宋体" w:hAnsi="宋体"/>
          <w:b/>
          <w:color w:val="auto"/>
          <w:szCs w:val="21"/>
          <w:highlight w:val="none"/>
        </w:rPr>
      </w:pPr>
    </w:p>
    <w:p w14:paraId="06BC1C1C">
      <w:pPr>
        <w:pStyle w:val="31"/>
        <w:rPr>
          <w:rFonts w:ascii="宋体" w:hAnsi="宋体"/>
          <w:b/>
          <w:color w:val="auto"/>
          <w:szCs w:val="21"/>
          <w:highlight w:val="none"/>
        </w:rPr>
      </w:pPr>
    </w:p>
    <w:p w14:paraId="1E385A95">
      <w:pPr>
        <w:rPr>
          <w:rFonts w:ascii="宋体" w:hAnsi="宋体"/>
          <w:b/>
          <w:color w:val="auto"/>
          <w:szCs w:val="21"/>
          <w:highlight w:val="none"/>
        </w:rPr>
      </w:pPr>
    </w:p>
    <w:p w14:paraId="0FDD5FB0">
      <w:pPr>
        <w:rPr>
          <w:rFonts w:ascii="宋体" w:hAnsi="宋体"/>
          <w:b/>
          <w:color w:val="auto"/>
          <w:szCs w:val="21"/>
          <w:highlight w:val="none"/>
        </w:rPr>
      </w:pPr>
    </w:p>
    <w:p w14:paraId="5FFED69A">
      <w:pPr>
        <w:pStyle w:val="31"/>
        <w:rPr>
          <w:rFonts w:ascii="宋体" w:hAnsi="宋体"/>
          <w:b/>
          <w:color w:val="auto"/>
          <w:szCs w:val="21"/>
          <w:highlight w:val="none"/>
        </w:rPr>
      </w:pPr>
    </w:p>
    <w:p w14:paraId="06C6D493">
      <w:pPr>
        <w:pStyle w:val="31"/>
        <w:rPr>
          <w:rFonts w:ascii="宋体" w:hAnsi="宋体"/>
          <w:b/>
          <w:color w:val="auto"/>
          <w:szCs w:val="21"/>
          <w:highlight w:val="none"/>
        </w:rPr>
      </w:pPr>
    </w:p>
    <w:p w14:paraId="14CCB7E1">
      <w:pPr>
        <w:pStyle w:val="26"/>
        <w:spacing w:line="400" w:lineRule="exact"/>
        <w:rPr>
          <w:rFonts w:hAnsi="宋体"/>
          <w:b/>
          <w:color w:val="auto"/>
          <w:sz w:val="32"/>
          <w:szCs w:val="32"/>
          <w:highlight w:val="none"/>
        </w:rPr>
      </w:pPr>
      <w:r>
        <w:rPr>
          <w:rFonts w:hint="eastAsia" w:hAnsi="宋体"/>
          <w:b/>
          <w:color w:val="auto"/>
          <w:sz w:val="32"/>
          <w:szCs w:val="32"/>
          <w:highlight w:val="none"/>
        </w:rPr>
        <w:t>4.本项目的特定资格要求证明材料（必须提供）</w:t>
      </w:r>
    </w:p>
    <w:p w14:paraId="12422A38">
      <w:pPr>
        <w:pStyle w:val="26"/>
        <w:spacing w:line="400" w:lineRule="exact"/>
        <w:rPr>
          <w:rFonts w:hint="eastAsia" w:hAnsi="宋体"/>
          <w:b/>
          <w:bCs/>
          <w:color w:val="auto"/>
          <w:szCs w:val="21"/>
          <w:highlight w:val="none"/>
        </w:rPr>
      </w:pPr>
      <w:r>
        <w:rPr>
          <w:rFonts w:hint="eastAsia" w:hAnsi="宋体"/>
          <w:b/>
          <w:bCs/>
          <w:color w:val="auto"/>
          <w:szCs w:val="21"/>
          <w:highlight w:val="none"/>
        </w:rPr>
        <w:t>注：</w:t>
      </w:r>
    </w:p>
    <w:p w14:paraId="46F4612D">
      <w:pPr>
        <w:pStyle w:val="26"/>
        <w:spacing w:line="400" w:lineRule="exact"/>
        <w:rPr>
          <w:rFonts w:hint="eastAsia" w:hAnsi="宋体"/>
          <w:b/>
          <w:bCs/>
          <w:color w:val="auto"/>
          <w:szCs w:val="21"/>
          <w:highlight w:val="none"/>
        </w:rPr>
      </w:pPr>
      <w:r>
        <w:rPr>
          <w:rFonts w:hint="eastAsia" w:hAnsi="宋体"/>
          <w:b/>
          <w:bCs/>
          <w:color w:val="auto"/>
          <w:szCs w:val="21"/>
          <w:highlight w:val="none"/>
        </w:rPr>
        <w:t>①项目有第二类医疗器械的，应提供承诺函（格式自拟），承诺供货时按《医疗器械监督管理条例》（国务院令第739号）医疗器械分类管理要求提供有效的医疗器械经营备案凭证，且经营范围必须包含采购标的[符合《医疗器械监督管理条例》第四十一条第二款规定的除外]；</w:t>
      </w:r>
    </w:p>
    <w:p w14:paraId="238AF2D9">
      <w:pPr>
        <w:pStyle w:val="26"/>
        <w:spacing w:line="400" w:lineRule="exact"/>
        <w:rPr>
          <w:rFonts w:hint="eastAsia" w:hAnsi="宋体"/>
          <w:b/>
          <w:bCs/>
          <w:color w:val="auto"/>
          <w:szCs w:val="21"/>
          <w:highlight w:val="none"/>
        </w:rPr>
      </w:pPr>
      <w:r>
        <w:rPr>
          <w:rFonts w:hint="eastAsia" w:hAnsi="宋体"/>
          <w:b/>
          <w:bCs/>
          <w:color w:val="auto"/>
          <w:szCs w:val="21"/>
          <w:highlight w:val="none"/>
        </w:rPr>
        <w:t>②项目有第三类医疗器械的，应提供有效的医疗器械经营许可证（经营范围包含采购的第三类医疗器械）；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所投标对应产品的名称和规格型号，格式自拟）。</w:t>
      </w:r>
    </w:p>
    <w:p w14:paraId="773117A4">
      <w:pPr>
        <w:pStyle w:val="26"/>
        <w:spacing w:line="400" w:lineRule="exact"/>
        <w:rPr>
          <w:rFonts w:hAnsi="宋体"/>
          <w:b/>
          <w:bCs/>
          <w:color w:val="auto"/>
          <w:szCs w:val="21"/>
          <w:highlight w:val="none"/>
        </w:rPr>
      </w:pPr>
      <w:r>
        <w:rPr>
          <w:rFonts w:hint="eastAsia" w:hAnsi="宋体"/>
          <w:b/>
          <w:bCs/>
          <w:color w:val="auto"/>
          <w:szCs w:val="21"/>
          <w:highlight w:val="none"/>
        </w:rPr>
        <w:t>③项目有第二类和第三类医疗器械的，应按上述</w:t>
      </w:r>
      <w:r>
        <w:rPr>
          <w:rFonts w:hint="eastAsia" w:hAnsi="宋体"/>
          <w:b/>
          <w:color w:val="auto"/>
          <w:highlight w:val="none"/>
          <w:lang w:eastAsia="zh-CN"/>
        </w:rPr>
        <w:t>①②</w:t>
      </w:r>
      <w:r>
        <w:rPr>
          <w:rFonts w:hint="eastAsia" w:hAnsi="宋体"/>
          <w:b/>
          <w:bCs/>
          <w:color w:val="auto"/>
          <w:szCs w:val="21"/>
          <w:highlight w:val="none"/>
        </w:rPr>
        <w:t>要求提供。</w:t>
      </w:r>
    </w:p>
    <w:p w14:paraId="077D045E">
      <w:pPr>
        <w:pStyle w:val="26"/>
        <w:spacing w:line="400" w:lineRule="exact"/>
        <w:rPr>
          <w:rFonts w:hAnsi="宋体"/>
          <w:b/>
          <w:color w:val="auto"/>
          <w:sz w:val="32"/>
          <w:szCs w:val="32"/>
          <w:highlight w:val="none"/>
        </w:rPr>
      </w:pPr>
    </w:p>
    <w:p w14:paraId="3598592D">
      <w:pPr>
        <w:rPr>
          <w:color w:val="auto"/>
          <w:highlight w:val="none"/>
        </w:rPr>
      </w:pPr>
    </w:p>
    <w:p w14:paraId="6CB4BA3F">
      <w:pPr>
        <w:rPr>
          <w:color w:val="auto"/>
          <w:highlight w:val="none"/>
        </w:rPr>
      </w:pPr>
    </w:p>
    <w:p w14:paraId="75315A90">
      <w:pPr>
        <w:rPr>
          <w:color w:val="auto"/>
          <w:highlight w:val="none"/>
        </w:rPr>
      </w:pPr>
    </w:p>
    <w:p w14:paraId="05A9CBE3">
      <w:pPr>
        <w:pStyle w:val="26"/>
        <w:numPr>
          <w:ilvl w:val="0"/>
          <w:numId w:val="8"/>
        </w:numPr>
        <w:spacing w:line="400" w:lineRule="exact"/>
        <w:rPr>
          <w:rFonts w:hAnsi="宋体"/>
          <w:b/>
          <w:color w:val="auto"/>
          <w:sz w:val="32"/>
          <w:szCs w:val="32"/>
          <w:highlight w:val="none"/>
        </w:rPr>
      </w:pPr>
      <w:r>
        <w:rPr>
          <w:rFonts w:hint="eastAsia" w:hAnsi="宋体"/>
          <w:b/>
          <w:color w:val="auto"/>
          <w:sz w:val="32"/>
          <w:szCs w:val="32"/>
          <w:highlight w:val="none"/>
        </w:rPr>
        <w:t>投标人财务状况报告（必须提供）</w:t>
      </w:r>
    </w:p>
    <w:p w14:paraId="6C450D03">
      <w:pPr>
        <w:pStyle w:val="26"/>
        <w:spacing w:line="400" w:lineRule="exact"/>
        <w:rPr>
          <w:rFonts w:hAnsi="宋体"/>
          <w:b/>
          <w:bCs/>
          <w:color w:val="auto"/>
          <w:szCs w:val="21"/>
          <w:highlight w:val="none"/>
        </w:rPr>
      </w:pPr>
      <w:r>
        <w:rPr>
          <w:rFonts w:hint="eastAsia" w:hAnsi="宋体"/>
          <w:b/>
          <w:bCs/>
          <w:color w:val="auto"/>
          <w:szCs w:val="21"/>
          <w:highlight w:val="none"/>
        </w:rPr>
        <w:t>注：</w:t>
      </w:r>
      <w:r>
        <w:rPr>
          <w:rFonts w:hint="eastAsia" w:hAnsi="宋体"/>
          <w:b/>
          <w:color w:val="auto"/>
          <w:highlight w:val="none"/>
        </w:rPr>
        <w:t>投标人</w:t>
      </w:r>
      <w:r>
        <w:rPr>
          <w:rFonts w:hint="eastAsia" w:hAnsi="宋体"/>
          <w:b/>
          <w:color w:val="auto"/>
          <w:highlight w:val="none"/>
          <w:lang w:val="en-US" w:eastAsia="zh-CN"/>
        </w:rPr>
        <w:t>2025年年度内</w:t>
      </w:r>
      <w:r>
        <w:rPr>
          <w:rFonts w:hint="eastAsia" w:hAnsi="宋体"/>
          <w:b/>
          <w:color w:val="auto"/>
          <w:highlight w:val="none"/>
        </w:rPr>
        <w:t>的财务报表复印件，或者</w:t>
      </w:r>
      <w:r>
        <w:rPr>
          <w:rFonts w:hint="eastAsia" w:hAnsi="宋体"/>
          <w:b/>
          <w:color w:val="auto"/>
          <w:highlight w:val="none"/>
          <w:lang w:val="en-US" w:eastAsia="zh-CN"/>
        </w:rPr>
        <w:t>2026年以来</w:t>
      </w:r>
      <w:r>
        <w:rPr>
          <w:rFonts w:hint="eastAsia" w:hAnsi="宋体"/>
          <w:b/>
          <w:color w:val="auto"/>
          <w:highlight w:val="none"/>
        </w:rPr>
        <w:t>银行出具的资信证明，或者</w:t>
      </w:r>
      <w:r>
        <w:rPr>
          <w:rFonts w:hint="eastAsia" w:hAnsi="宋体"/>
          <w:b/>
          <w:color w:val="auto"/>
          <w:highlight w:val="none"/>
          <w:lang w:val="en-US" w:eastAsia="zh-CN"/>
        </w:rPr>
        <w:t>2026年以来</w:t>
      </w:r>
      <w:r>
        <w:rPr>
          <w:rFonts w:hint="eastAsia" w:hAnsi="宋体"/>
          <w:b/>
          <w:color w:val="auto"/>
          <w:highlight w:val="none"/>
        </w:rPr>
        <w:t>中国人民银行征信中心出具的信用报告（企业参与投标的提供企业信用报告，自然人参与投标的提供个人信用报告，投标人属于成立时间在规定年度之后的法人或其他组织，需提供成立之日起至投标文件递交截止时间前的月报表或银行出具的资信证明或者中国人民银行征信中心出具的企业信用报告；资信证明应在有效期内）。</w:t>
      </w:r>
    </w:p>
    <w:p w14:paraId="487ACDF4">
      <w:pPr>
        <w:pStyle w:val="26"/>
        <w:spacing w:line="400" w:lineRule="exact"/>
        <w:rPr>
          <w:rFonts w:hAnsi="宋体"/>
          <w:b/>
          <w:color w:val="auto"/>
          <w:sz w:val="32"/>
          <w:szCs w:val="32"/>
          <w:highlight w:val="none"/>
        </w:rPr>
      </w:pPr>
    </w:p>
    <w:p w14:paraId="60FBCFE1">
      <w:pPr>
        <w:pStyle w:val="13"/>
        <w:ind w:firstLine="420"/>
        <w:rPr>
          <w:color w:val="auto"/>
          <w:highlight w:val="none"/>
        </w:rPr>
      </w:pPr>
    </w:p>
    <w:p w14:paraId="496DFA21">
      <w:pPr>
        <w:rPr>
          <w:color w:val="auto"/>
          <w:highlight w:val="none"/>
        </w:rPr>
      </w:pPr>
    </w:p>
    <w:p w14:paraId="14453A82">
      <w:pPr>
        <w:pStyle w:val="26"/>
        <w:spacing w:line="400" w:lineRule="exact"/>
        <w:rPr>
          <w:rFonts w:hAnsi="宋体"/>
          <w:b/>
          <w:color w:val="auto"/>
          <w:sz w:val="32"/>
          <w:szCs w:val="32"/>
          <w:highlight w:val="none"/>
        </w:rPr>
      </w:pPr>
    </w:p>
    <w:p w14:paraId="6183284E">
      <w:pPr>
        <w:pStyle w:val="26"/>
        <w:numPr>
          <w:ilvl w:val="0"/>
          <w:numId w:val="8"/>
        </w:numPr>
        <w:spacing w:line="400" w:lineRule="exact"/>
        <w:rPr>
          <w:rFonts w:hAnsi="宋体"/>
          <w:b/>
          <w:color w:val="auto"/>
          <w:sz w:val="32"/>
          <w:szCs w:val="32"/>
          <w:highlight w:val="none"/>
        </w:rPr>
      </w:pPr>
      <w:r>
        <w:rPr>
          <w:rFonts w:hint="eastAsia" w:hAnsi="宋体"/>
          <w:b/>
          <w:color w:val="auto"/>
          <w:sz w:val="32"/>
          <w:szCs w:val="32"/>
          <w:highlight w:val="none"/>
        </w:rPr>
        <w:t>投标人依法缴纳税收的相关材料（必须提供）</w:t>
      </w:r>
    </w:p>
    <w:p w14:paraId="3EC6008E">
      <w:pPr>
        <w:pStyle w:val="26"/>
        <w:spacing w:line="400" w:lineRule="exact"/>
        <w:rPr>
          <w:rFonts w:hAnsi="宋体"/>
          <w:b/>
          <w:bCs/>
          <w:color w:val="auto"/>
          <w:szCs w:val="21"/>
          <w:highlight w:val="none"/>
        </w:rPr>
      </w:pPr>
      <w:r>
        <w:rPr>
          <w:rFonts w:hint="eastAsia" w:hAnsi="宋体"/>
          <w:b/>
          <w:bCs/>
          <w:color w:val="auto"/>
          <w:szCs w:val="21"/>
          <w:highlight w:val="none"/>
        </w:rPr>
        <w:t>注：投标人</w:t>
      </w:r>
      <w:r>
        <w:rPr>
          <w:rFonts w:hint="eastAsia" w:hAnsi="宋体"/>
          <w:b/>
          <w:color w:val="auto"/>
          <w:highlight w:val="none"/>
        </w:rPr>
        <w:t>202</w:t>
      </w:r>
      <w:r>
        <w:rPr>
          <w:rFonts w:hint="eastAsia" w:hAnsi="宋体"/>
          <w:b/>
          <w:color w:val="auto"/>
          <w:highlight w:val="none"/>
          <w:lang w:val="en-US" w:eastAsia="zh-CN"/>
        </w:rPr>
        <w:t>6</w:t>
      </w:r>
      <w:r>
        <w:rPr>
          <w:rFonts w:hint="eastAsia" w:hAnsi="宋体"/>
          <w:b/>
          <w:color w:val="auto"/>
          <w:highlight w:val="none"/>
        </w:rPr>
        <w:t>年</w:t>
      </w:r>
      <w:r>
        <w:rPr>
          <w:rFonts w:hint="eastAsia" w:hAnsi="宋体"/>
          <w:b/>
          <w:color w:val="auto"/>
          <w:highlight w:val="none"/>
          <w:lang w:val="en-US" w:eastAsia="zh-CN"/>
        </w:rPr>
        <w:t>1</w:t>
      </w:r>
      <w:r>
        <w:rPr>
          <w:rFonts w:hint="eastAsia" w:hAnsi="宋体"/>
          <w:b/>
          <w:color w:val="auto"/>
          <w:highlight w:val="none"/>
        </w:rPr>
        <w:t>月</w:t>
      </w:r>
      <w:r>
        <w:rPr>
          <w:rFonts w:hint="eastAsia" w:hAnsi="宋体"/>
          <w:b/>
          <w:bCs/>
          <w:color w:val="auto"/>
          <w:szCs w:val="21"/>
          <w:highlight w:val="none"/>
        </w:rPr>
        <w:t>以来任意1个月的依法缴纳税收的证明材料复印件；依法免税的投标人，必须提供符合免税条件的证明材料。从成立之日起到投标文件提交截止时间止不足要求月数的，则无需提交。</w:t>
      </w:r>
    </w:p>
    <w:p w14:paraId="1B135FE8">
      <w:pPr>
        <w:pStyle w:val="26"/>
        <w:spacing w:line="400" w:lineRule="exact"/>
        <w:rPr>
          <w:rFonts w:hAnsi="宋体"/>
          <w:b/>
          <w:color w:val="auto"/>
          <w:sz w:val="32"/>
          <w:szCs w:val="32"/>
          <w:highlight w:val="none"/>
        </w:rPr>
      </w:pPr>
    </w:p>
    <w:p w14:paraId="2D6ED44E">
      <w:pPr>
        <w:pStyle w:val="13"/>
        <w:ind w:firstLine="420"/>
        <w:rPr>
          <w:color w:val="auto"/>
          <w:highlight w:val="none"/>
        </w:rPr>
      </w:pPr>
    </w:p>
    <w:p w14:paraId="1918B6EB">
      <w:pPr>
        <w:rPr>
          <w:color w:val="auto"/>
          <w:highlight w:val="none"/>
        </w:rPr>
      </w:pPr>
    </w:p>
    <w:p w14:paraId="7713B915">
      <w:pPr>
        <w:rPr>
          <w:color w:val="auto"/>
          <w:highlight w:val="none"/>
        </w:rPr>
      </w:pPr>
    </w:p>
    <w:p w14:paraId="500FD727">
      <w:pPr>
        <w:rPr>
          <w:color w:val="auto"/>
          <w:highlight w:val="none"/>
        </w:rPr>
      </w:pPr>
    </w:p>
    <w:p w14:paraId="6C018ED9">
      <w:pPr>
        <w:rPr>
          <w:color w:val="auto"/>
          <w:highlight w:val="none"/>
        </w:rPr>
      </w:pPr>
    </w:p>
    <w:p w14:paraId="658F41ED">
      <w:pPr>
        <w:rPr>
          <w:color w:val="auto"/>
          <w:highlight w:val="none"/>
        </w:rPr>
      </w:pPr>
    </w:p>
    <w:p w14:paraId="6016CCCF">
      <w:pPr>
        <w:rPr>
          <w:color w:val="auto"/>
          <w:highlight w:val="none"/>
        </w:rPr>
      </w:pPr>
    </w:p>
    <w:p w14:paraId="60A35267">
      <w:pPr>
        <w:rPr>
          <w:color w:val="auto"/>
          <w:highlight w:val="none"/>
        </w:rPr>
      </w:pPr>
    </w:p>
    <w:p w14:paraId="47EE153D">
      <w:pPr>
        <w:rPr>
          <w:color w:val="auto"/>
          <w:highlight w:val="none"/>
        </w:rPr>
      </w:pPr>
    </w:p>
    <w:p w14:paraId="66AFC18E">
      <w:pPr>
        <w:rPr>
          <w:color w:val="auto"/>
          <w:highlight w:val="none"/>
        </w:rPr>
      </w:pPr>
    </w:p>
    <w:p w14:paraId="7AA33188">
      <w:pPr>
        <w:rPr>
          <w:color w:val="auto"/>
          <w:highlight w:val="none"/>
        </w:rPr>
      </w:pPr>
    </w:p>
    <w:p w14:paraId="547EC5E1">
      <w:pPr>
        <w:pStyle w:val="26"/>
        <w:numPr>
          <w:ilvl w:val="0"/>
          <w:numId w:val="8"/>
        </w:numPr>
        <w:spacing w:line="400" w:lineRule="exact"/>
        <w:rPr>
          <w:rFonts w:hAnsi="宋体"/>
          <w:b/>
          <w:color w:val="auto"/>
          <w:sz w:val="32"/>
          <w:szCs w:val="32"/>
          <w:highlight w:val="none"/>
        </w:rPr>
      </w:pPr>
      <w:r>
        <w:rPr>
          <w:rFonts w:hint="eastAsia" w:hAnsi="宋体"/>
          <w:b/>
          <w:color w:val="auto"/>
          <w:sz w:val="32"/>
          <w:szCs w:val="32"/>
          <w:highlight w:val="none"/>
        </w:rPr>
        <w:t>投标人依法缴纳社会保障资金的相关材料（必须提供）</w:t>
      </w:r>
    </w:p>
    <w:p w14:paraId="231A0C45">
      <w:pPr>
        <w:pStyle w:val="26"/>
        <w:spacing w:line="400" w:lineRule="exact"/>
        <w:rPr>
          <w:rFonts w:hAnsi="宋体"/>
          <w:b/>
          <w:bCs/>
          <w:color w:val="auto"/>
          <w:szCs w:val="21"/>
          <w:highlight w:val="none"/>
        </w:rPr>
      </w:pPr>
      <w:r>
        <w:rPr>
          <w:rFonts w:hint="eastAsia" w:hAnsi="宋体"/>
          <w:b/>
          <w:bCs/>
          <w:color w:val="auto"/>
          <w:szCs w:val="21"/>
          <w:highlight w:val="none"/>
        </w:rPr>
        <w:t>注：投标人</w:t>
      </w:r>
      <w:r>
        <w:rPr>
          <w:rFonts w:hint="eastAsia" w:hAnsi="宋体"/>
          <w:b/>
          <w:color w:val="auto"/>
          <w:highlight w:val="none"/>
        </w:rPr>
        <w:t>202</w:t>
      </w:r>
      <w:r>
        <w:rPr>
          <w:rFonts w:hint="eastAsia" w:hAnsi="宋体"/>
          <w:b/>
          <w:color w:val="auto"/>
          <w:highlight w:val="none"/>
          <w:lang w:val="en-US" w:eastAsia="zh-CN"/>
        </w:rPr>
        <w:t>6</w:t>
      </w:r>
      <w:r>
        <w:rPr>
          <w:rFonts w:hint="eastAsia" w:hAnsi="宋体"/>
          <w:b/>
          <w:color w:val="auto"/>
          <w:highlight w:val="none"/>
        </w:rPr>
        <w:t>年</w:t>
      </w:r>
      <w:r>
        <w:rPr>
          <w:rFonts w:hint="eastAsia" w:hAnsi="宋体"/>
          <w:b/>
          <w:color w:val="auto"/>
          <w:highlight w:val="none"/>
          <w:lang w:val="en-US" w:eastAsia="zh-CN"/>
        </w:rPr>
        <w:t>1</w:t>
      </w:r>
      <w:r>
        <w:rPr>
          <w:rFonts w:hint="eastAsia" w:hAnsi="宋体"/>
          <w:b/>
          <w:color w:val="auto"/>
          <w:highlight w:val="none"/>
        </w:rPr>
        <w:t>月</w:t>
      </w:r>
      <w:r>
        <w:rPr>
          <w:rFonts w:hint="eastAsia" w:hAnsi="宋体"/>
          <w:b/>
          <w:bCs/>
          <w:color w:val="auto"/>
          <w:szCs w:val="21"/>
          <w:highlight w:val="none"/>
        </w:rPr>
        <w:t>以来任意1个月的依法缴纳社会保障资金的缴费证明材料（如：专用收据、社会保险缴纳清单或者社保部门的证明）复印件；依法不需要缴纳社会保障资金的投标人，必须提供相应文件证明不需要缴纳社会保障资金。从成立之日起到投标文件提交截止时间止不足要求月数的，则无需提交。</w:t>
      </w:r>
    </w:p>
    <w:p w14:paraId="5462E275">
      <w:pPr>
        <w:pStyle w:val="13"/>
        <w:ind w:firstLine="420"/>
        <w:rPr>
          <w:color w:val="auto"/>
          <w:highlight w:val="none"/>
        </w:rPr>
      </w:pPr>
    </w:p>
    <w:p w14:paraId="38BCCF85">
      <w:pPr>
        <w:pStyle w:val="26"/>
        <w:spacing w:line="400" w:lineRule="exact"/>
        <w:rPr>
          <w:rFonts w:hAnsi="宋体"/>
          <w:b/>
          <w:color w:val="auto"/>
          <w:sz w:val="32"/>
          <w:szCs w:val="32"/>
          <w:highlight w:val="none"/>
        </w:rPr>
      </w:pPr>
    </w:p>
    <w:p w14:paraId="12A2184C">
      <w:pPr>
        <w:pStyle w:val="26"/>
        <w:spacing w:line="400" w:lineRule="exact"/>
        <w:rPr>
          <w:rFonts w:hAnsi="宋体"/>
          <w:b/>
          <w:color w:val="auto"/>
          <w:sz w:val="32"/>
          <w:szCs w:val="32"/>
          <w:highlight w:val="none"/>
        </w:rPr>
      </w:pPr>
    </w:p>
    <w:p w14:paraId="69AB7842">
      <w:pPr>
        <w:pStyle w:val="26"/>
        <w:spacing w:line="400" w:lineRule="exact"/>
        <w:rPr>
          <w:rFonts w:hAnsi="宋体"/>
          <w:b/>
          <w:color w:val="auto"/>
          <w:sz w:val="32"/>
          <w:szCs w:val="32"/>
          <w:highlight w:val="none"/>
        </w:rPr>
      </w:pPr>
    </w:p>
    <w:p w14:paraId="75207CAA">
      <w:pPr>
        <w:pStyle w:val="26"/>
        <w:spacing w:line="400" w:lineRule="exact"/>
        <w:rPr>
          <w:rFonts w:hAnsi="宋体"/>
          <w:b/>
          <w:color w:val="auto"/>
          <w:sz w:val="32"/>
          <w:szCs w:val="32"/>
          <w:highlight w:val="none"/>
        </w:rPr>
      </w:pPr>
    </w:p>
    <w:p w14:paraId="7ECCB07E">
      <w:pPr>
        <w:pStyle w:val="26"/>
        <w:spacing w:line="400" w:lineRule="exact"/>
        <w:rPr>
          <w:rFonts w:hAnsi="宋体"/>
          <w:b/>
          <w:color w:val="auto"/>
          <w:sz w:val="32"/>
          <w:szCs w:val="32"/>
          <w:highlight w:val="none"/>
        </w:rPr>
      </w:pPr>
    </w:p>
    <w:p w14:paraId="5F4F8803">
      <w:pPr>
        <w:pStyle w:val="26"/>
        <w:spacing w:line="400" w:lineRule="exact"/>
        <w:rPr>
          <w:rFonts w:hAnsi="宋体"/>
          <w:b/>
          <w:color w:val="auto"/>
          <w:sz w:val="32"/>
          <w:szCs w:val="32"/>
          <w:highlight w:val="none"/>
        </w:rPr>
      </w:pPr>
    </w:p>
    <w:p w14:paraId="438E5D34">
      <w:pPr>
        <w:pStyle w:val="26"/>
        <w:spacing w:line="400" w:lineRule="exact"/>
        <w:rPr>
          <w:rFonts w:hAnsi="宋体"/>
          <w:b/>
          <w:color w:val="auto"/>
          <w:sz w:val="32"/>
          <w:szCs w:val="32"/>
          <w:highlight w:val="none"/>
        </w:rPr>
      </w:pPr>
      <w:r>
        <w:rPr>
          <w:rFonts w:hint="eastAsia" w:hAnsi="宋体"/>
          <w:b/>
          <w:color w:val="auto"/>
          <w:sz w:val="32"/>
          <w:szCs w:val="32"/>
          <w:highlight w:val="none"/>
        </w:rPr>
        <w:t>8</w:t>
      </w:r>
      <w:r>
        <w:rPr>
          <w:rFonts w:hAnsi="宋体"/>
          <w:b/>
          <w:color w:val="auto"/>
          <w:sz w:val="32"/>
          <w:szCs w:val="32"/>
          <w:highlight w:val="none"/>
        </w:rPr>
        <w:t>.</w:t>
      </w:r>
      <w:r>
        <w:rPr>
          <w:rFonts w:hint="eastAsia" w:hAnsi="宋体"/>
          <w:b/>
          <w:color w:val="auto"/>
          <w:sz w:val="32"/>
          <w:szCs w:val="32"/>
          <w:highlight w:val="none"/>
        </w:rPr>
        <w:t>投标人参加政府采购活动前3年内在经营活动中没有重大违法记录及有关信用信息的书面声明或专项信用报告（必须提供）</w:t>
      </w:r>
    </w:p>
    <w:p w14:paraId="0AD3A1EB">
      <w:pPr>
        <w:spacing w:line="400" w:lineRule="exact"/>
        <w:rPr>
          <w:b/>
          <w:color w:val="auto"/>
          <w:sz w:val="30"/>
          <w:szCs w:val="30"/>
          <w:highlight w:val="none"/>
        </w:rPr>
      </w:pPr>
      <w:r>
        <w:rPr>
          <w:rFonts w:hint="eastAsia"/>
          <w:b/>
          <w:color w:val="auto"/>
          <w:sz w:val="30"/>
          <w:szCs w:val="30"/>
          <w:highlight w:val="none"/>
        </w:rPr>
        <w:t>附件：</w:t>
      </w:r>
    </w:p>
    <w:p w14:paraId="03E9BCBE">
      <w:pPr>
        <w:pStyle w:val="26"/>
        <w:spacing w:line="400" w:lineRule="exact"/>
        <w:jc w:val="center"/>
        <w:rPr>
          <w:rFonts w:hAnsi="宋体"/>
          <w:b/>
          <w:color w:val="auto"/>
          <w:sz w:val="32"/>
          <w:szCs w:val="32"/>
          <w:highlight w:val="none"/>
        </w:rPr>
      </w:pPr>
    </w:p>
    <w:p w14:paraId="753B50A9">
      <w:pPr>
        <w:pStyle w:val="26"/>
        <w:spacing w:line="400" w:lineRule="exact"/>
        <w:jc w:val="center"/>
        <w:rPr>
          <w:rFonts w:hAnsi="宋体"/>
          <w:b/>
          <w:color w:val="auto"/>
          <w:sz w:val="32"/>
          <w:szCs w:val="32"/>
          <w:highlight w:val="none"/>
        </w:rPr>
      </w:pPr>
      <w:r>
        <w:rPr>
          <w:rFonts w:hint="eastAsia" w:hAnsi="宋体"/>
          <w:b/>
          <w:color w:val="auto"/>
          <w:sz w:val="32"/>
          <w:szCs w:val="32"/>
          <w:highlight w:val="none"/>
        </w:rPr>
        <w:t>声   明（格式）</w:t>
      </w:r>
    </w:p>
    <w:p w14:paraId="439EA76D">
      <w:pPr>
        <w:snapToGrid w:val="0"/>
        <w:spacing w:line="400" w:lineRule="exact"/>
        <w:outlineLvl w:val="4"/>
        <w:rPr>
          <w:rFonts w:ascii="宋体" w:hAnsi="宋体"/>
          <w:color w:val="auto"/>
          <w:highlight w:val="none"/>
        </w:rPr>
      </w:pPr>
      <w:r>
        <w:rPr>
          <w:rFonts w:hint="eastAsia" w:ascii="宋体" w:hAnsi="宋体"/>
          <w:b/>
          <w:color w:val="auto"/>
          <w:szCs w:val="21"/>
          <w:highlight w:val="none"/>
        </w:rPr>
        <w:t>致</w:t>
      </w:r>
      <w:r>
        <w:rPr>
          <w:rFonts w:hint="eastAsia" w:ascii="宋体" w:hAnsi="宋体"/>
          <w:color w:val="auto"/>
          <w:szCs w:val="21"/>
          <w:highlight w:val="none"/>
        </w:rPr>
        <w:t>：</w:t>
      </w:r>
      <w:r>
        <w:rPr>
          <w:rFonts w:hint="eastAsia" w:ascii="宋体" w:hAnsi="宋体"/>
          <w:color w:val="auto"/>
          <w:highlight w:val="none"/>
          <w:u w:val="single"/>
        </w:rPr>
        <w:t>云之龙咨询集团有限公司</w:t>
      </w:r>
    </w:p>
    <w:p w14:paraId="402B22D1">
      <w:pPr>
        <w:snapToGrid w:val="0"/>
        <w:spacing w:line="400" w:lineRule="exact"/>
        <w:outlineLvl w:val="4"/>
        <w:rPr>
          <w:rFonts w:ascii="宋体" w:hAnsi="宋体"/>
          <w:color w:val="auto"/>
          <w:szCs w:val="21"/>
          <w:highlight w:val="none"/>
          <w:u w:val="single"/>
        </w:rPr>
      </w:pPr>
    </w:p>
    <w:p w14:paraId="72DCC126">
      <w:pPr>
        <w:pStyle w:val="26"/>
        <w:spacing w:line="380" w:lineRule="exact"/>
        <w:ind w:firstLine="420" w:firstLineChars="200"/>
        <w:rPr>
          <w:rFonts w:hAnsi="宋体"/>
          <w:color w:val="auto"/>
          <w:highlight w:val="none"/>
        </w:rPr>
      </w:pPr>
      <w:r>
        <w:rPr>
          <w:rFonts w:hint="eastAsia" w:hAnsi="宋体"/>
          <w:color w:val="auto"/>
          <w:highlight w:val="none"/>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w:t>
      </w:r>
      <w:r>
        <w:rPr>
          <w:rFonts w:hint="eastAsia" w:hAnsi="宋体" w:cs="宋体"/>
          <w:color w:val="auto"/>
          <w:kern w:val="0"/>
          <w:szCs w:val="21"/>
          <w:highlight w:val="none"/>
        </w:rPr>
        <w:t>重大税收违法失信主体</w:t>
      </w:r>
      <w:r>
        <w:rPr>
          <w:rFonts w:hint="eastAsia" w:hAnsi="宋体"/>
          <w:color w:val="auto"/>
          <w:highlight w:val="none"/>
        </w:rPr>
        <w:t>、政府采购严重违法失信行为记录名单，完全符合《中华人民共和国政府采购法》第二十二条规定的供应商资格条件，我方对此声明负全部法律责任。</w:t>
      </w:r>
    </w:p>
    <w:p w14:paraId="5B551929">
      <w:pPr>
        <w:snapToGrid w:val="0"/>
        <w:spacing w:line="400" w:lineRule="exact"/>
        <w:ind w:firstLine="4515" w:firstLineChars="2150"/>
        <w:outlineLvl w:val="4"/>
        <w:rPr>
          <w:rFonts w:ascii="宋体" w:hAnsi="宋体"/>
          <w:color w:val="auto"/>
          <w:szCs w:val="21"/>
          <w:highlight w:val="none"/>
        </w:rPr>
      </w:pPr>
    </w:p>
    <w:p w14:paraId="28160B8D">
      <w:pPr>
        <w:snapToGrid w:val="0"/>
        <w:spacing w:line="400" w:lineRule="exact"/>
        <w:ind w:firstLine="4515" w:firstLineChars="2150"/>
        <w:outlineLvl w:val="4"/>
        <w:rPr>
          <w:rFonts w:ascii="宋体" w:hAnsi="宋体"/>
          <w:color w:val="auto"/>
          <w:szCs w:val="21"/>
          <w:highlight w:val="none"/>
        </w:rPr>
      </w:pPr>
    </w:p>
    <w:p w14:paraId="63E4CE22">
      <w:pPr>
        <w:snapToGrid w:val="0"/>
        <w:spacing w:line="400" w:lineRule="exact"/>
        <w:ind w:firstLine="4515" w:firstLineChars="2150"/>
        <w:outlineLvl w:val="4"/>
        <w:rPr>
          <w:rFonts w:ascii="宋体" w:hAnsi="宋体"/>
          <w:color w:val="auto"/>
          <w:szCs w:val="21"/>
          <w:highlight w:val="none"/>
        </w:rPr>
      </w:pPr>
    </w:p>
    <w:p w14:paraId="71A5153D">
      <w:pPr>
        <w:snapToGrid w:val="0"/>
        <w:spacing w:line="400" w:lineRule="exact"/>
        <w:ind w:firstLine="1890" w:firstLineChars="900"/>
        <w:outlineLvl w:val="4"/>
        <w:rPr>
          <w:rFonts w:ascii="宋体" w:hAnsi="宋体"/>
          <w:color w:val="auto"/>
          <w:szCs w:val="21"/>
          <w:highlight w:val="none"/>
          <w:u w:val="single"/>
        </w:rPr>
      </w:pPr>
      <w:r>
        <w:rPr>
          <w:rFonts w:hint="eastAsia" w:ascii="宋体" w:hAnsi="宋体"/>
          <w:color w:val="auto"/>
          <w:szCs w:val="21"/>
          <w:highlight w:val="none"/>
        </w:rPr>
        <w:t>投标人</w:t>
      </w:r>
      <w:r>
        <w:rPr>
          <w:rFonts w:hint="eastAsia" w:ascii="宋体" w:hAnsi="宋体" w:cs="宋体"/>
          <w:color w:val="auto"/>
          <w:szCs w:val="21"/>
          <w:highlight w:val="none"/>
        </w:rPr>
        <w:t xml:space="preserve"> （电子签章）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6BB4F1C9">
      <w:pPr>
        <w:pStyle w:val="26"/>
        <w:spacing w:line="440" w:lineRule="exact"/>
        <w:ind w:firstLine="1890" w:firstLineChars="900"/>
        <w:rPr>
          <w:rFonts w:hAnsi="宋体"/>
          <w:color w:val="auto"/>
          <w:szCs w:val="21"/>
          <w:highlight w:val="none"/>
          <w:u w:val="single"/>
        </w:rPr>
      </w:pPr>
      <w:r>
        <w:rPr>
          <w:rFonts w:hint="eastAsia" w:hAnsi="宋体"/>
          <w:color w:val="auto"/>
          <w:szCs w:val="21"/>
          <w:highlight w:val="none"/>
        </w:rPr>
        <w:t>法定代表人</w:t>
      </w:r>
      <w:r>
        <w:rPr>
          <w:rFonts w:hint="eastAsia" w:hAnsi="宋体"/>
          <w:color w:val="auto"/>
          <w:highlight w:val="none"/>
        </w:rPr>
        <w:t>或相应的委托代理人</w:t>
      </w:r>
      <w:r>
        <w:rPr>
          <w:rFonts w:hint="eastAsia" w:hAnsi="宋体"/>
          <w:color w:val="auto"/>
          <w:szCs w:val="21"/>
          <w:highlight w:val="none"/>
        </w:rPr>
        <w:t>签字（或者电子签名）</w:t>
      </w:r>
      <w:r>
        <w:rPr>
          <w:rFonts w:hint="eastAsia" w:hAnsi="宋体"/>
          <w:color w:val="auto"/>
          <w:highlight w:val="none"/>
        </w:rPr>
        <w:t>：</w:t>
      </w:r>
      <w:r>
        <w:rPr>
          <w:rFonts w:hint="eastAsia" w:hAnsi="宋体"/>
          <w:color w:val="auto"/>
          <w:szCs w:val="21"/>
          <w:highlight w:val="none"/>
          <w:u w:val="single"/>
        </w:rPr>
        <w:t xml:space="preserve">                              </w:t>
      </w:r>
    </w:p>
    <w:p w14:paraId="6F3EAEDA">
      <w:pPr>
        <w:spacing w:line="340" w:lineRule="exact"/>
        <w:ind w:firstLine="1890" w:firstLineChars="900"/>
        <w:rPr>
          <w:rFonts w:ascii="宋体" w:hAnsi="宋体"/>
          <w:color w:val="auto"/>
          <w:szCs w:val="21"/>
          <w:highlight w:val="none"/>
          <w:u w:val="single"/>
        </w:rPr>
      </w:pPr>
      <w:r>
        <w:rPr>
          <w:rFonts w:hint="eastAsia" w:hAnsi="宋体"/>
          <w:color w:val="auto"/>
          <w:highlight w:val="none"/>
        </w:rPr>
        <w:t xml:space="preserve"> 日          期：</w:t>
      </w:r>
      <w:r>
        <w:rPr>
          <w:rFonts w:hint="eastAsia" w:hAnsi="宋体"/>
          <w:color w:val="auto"/>
          <w:highlight w:val="none"/>
          <w:u w:val="single"/>
        </w:rPr>
        <w:t xml:space="preserve">                                                   </w:t>
      </w:r>
    </w:p>
    <w:p w14:paraId="36A00B97">
      <w:pPr>
        <w:pStyle w:val="26"/>
        <w:spacing w:line="440" w:lineRule="exact"/>
        <w:ind w:firstLine="420"/>
        <w:jc w:val="center"/>
        <w:rPr>
          <w:rFonts w:hAnsi="宋体"/>
          <w:color w:val="auto"/>
          <w:highlight w:val="none"/>
          <w:u w:val="single"/>
        </w:rPr>
      </w:pPr>
    </w:p>
    <w:p w14:paraId="17D820DD">
      <w:pPr>
        <w:spacing w:line="400" w:lineRule="exact"/>
        <w:rPr>
          <w:rFonts w:ascii="宋体" w:hAnsi="宋体"/>
          <w:color w:val="auto"/>
          <w:sz w:val="24"/>
          <w:highlight w:val="none"/>
        </w:rPr>
      </w:pPr>
    </w:p>
    <w:p w14:paraId="6FB029E6">
      <w:pPr>
        <w:spacing w:line="400" w:lineRule="exact"/>
        <w:rPr>
          <w:rFonts w:ascii="宋体" w:hAnsi="宋体"/>
          <w:b/>
          <w:color w:val="auto"/>
          <w:sz w:val="32"/>
          <w:szCs w:val="32"/>
          <w:highlight w:val="none"/>
        </w:rPr>
      </w:pPr>
    </w:p>
    <w:p w14:paraId="0C81E3FA">
      <w:pPr>
        <w:spacing w:line="400" w:lineRule="exact"/>
        <w:rPr>
          <w:b/>
          <w:color w:val="auto"/>
          <w:sz w:val="32"/>
          <w:szCs w:val="32"/>
          <w:highlight w:val="none"/>
        </w:rPr>
      </w:pPr>
      <w:r>
        <w:rPr>
          <w:rFonts w:hint="eastAsia" w:ascii="宋体" w:hAnsi="宋体" w:cs="宋体"/>
          <w:b/>
          <w:color w:val="auto"/>
          <w:szCs w:val="21"/>
          <w:highlight w:val="none"/>
        </w:rPr>
        <w:t>注：投标人为广西经营主体的，可通过信用中国</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广西</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 xml:space="preserve">网站 </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http://xygx.fgw.gxzf.gov.cn</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下载专项信用报告：1.首先点击网站首页右上方的登录按钮；2.跳转至广西数字政务一体化平台，进行身份认证，请使用法人登录；3.选择信用报告栏目；4.点击“我要申请”按钮；5.选择查询时间区间、查询领域、报告查询用途，点击确认；6.等待文件下载。其他省份的投标人根据注册地信用中国网站的要求获取。</w:t>
      </w:r>
    </w:p>
    <w:p w14:paraId="370F41B6">
      <w:pPr>
        <w:spacing w:line="400" w:lineRule="exact"/>
        <w:rPr>
          <w:rFonts w:hAnsi="宋体"/>
          <w:b/>
          <w:color w:val="auto"/>
          <w:sz w:val="32"/>
          <w:szCs w:val="32"/>
          <w:highlight w:val="none"/>
        </w:rPr>
      </w:pPr>
      <w:r>
        <w:rPr>
          <w:b/>
          <w:color w:val="auto"/>
          <w:sz w:val="32"/>
          <w:szCs w:val="32"/>
          <w:highlight w:val="none"/>
        </w:rPr>
        <w:br w:type="page"/>
      </w:r>
      <w:r>
        <w:rPr>
          <w:rFonts w:hint="eastAsia" w:hAnsi="宋体"/>
          <w:b/>
          <w:color w:val="auto"/>
          <w:sz w:val="32"/>
          <w:szCs w:val="32"/>
          <w:highlight w:val="none"/>
        </w:rPr>
        <w:t>9</w:t>
      </w:r>
      <w:r>
        <w:rPr>
          <w:rFonts w:hAnsi="宋体"/>
          <w:b/>
          <w:color w:val="auto"/>
          <w:sz w:val="32"/>
          <w:szCs w:val="32"/>
          <w:highlight w:val="none"/>
        </w:rPr>
        <w:t>.</w:t>
      </w:r>
      <w:r>
        <w:rPr>
          <w:rFonts w:hint="eastAsia" w:hAnsi="宋体"/>
          <w:b/>
          <w:color w:val="auto"/>
          <w:sz w:val="32"/>
          <w:szCs w:val="32"/>
          <w:highlight w:val="none"/>
        </w:rPr>
        <w:t>投标人参加本项目无围标串标行为的承诺函（必须提供）</w:t>
      </w:r>
    </w:p>
    <w:p w14:paraId="625E03AC">
      <w:pPr>
        <w:spacing w:line="400" w:lineRule="exact"/>
        <w:rPr>
          <w:b/>
          <w:color w:val="auto"/>
          <w:sz w:val="30"/>
          <w:szCs w:val="30"/>
          <w:highlight w:val="none"/>
        </w:rPr>
      </w:pPr>
      <w:r>
        <w:rPr>
          <w:rFonts w:hint="eastAsia"/>
          <w:b/>
          <w:color w:val="auto"/>
          <w:sz w:val="30"/>
          <w:szCs w:val="30"/>
          <w:highlight w:val="none"/>
        </w:rPr>
        <w:t>附件：</w:t>
      </w:r>
    </w:p>
    <w:p w14:paraId="30BA35C6">
      <w:pPr>
        <w:pStyle w:val="26"/>
        <w:spacing w:line="400" w:lineRule="exact"/>
        <w:jc w:val="center"/>
        <w:rPr>
          <w:rFonts w:hAnsi="宋体"/>
          <w:b/>
          <w:color w:val="auto"/>
          <w:sz w:val="32"/>
          <w:szCs w:val="32"/>
          <w:highlight w:val="none"/>
        </w:rPr>
      </w:pPr>
    </w:p>
    <w:p w14:paraId="0F27DAF8">
      <w:pPr>
        <w:pStyle w:val="26"/>
        <w:spacing w:line="400" w:lineRule="exact"/>
        <w:jc w:val="center"/>
        <w:rPr>
          <w:rFonts w:hAnsi="宋体"/>
          <w:b/>
          <w:color w:val="auto"/>
          <w:sz w:val="32"/>
          <w:szCs w:val="32"/>
          <w:highlight w:val="none"/>
        </w:rPr>
      </w:pPr>
      <w:r>
        <w:rPr>
          <w:rFonts w:hint="eastAsia" w:hAnsi="宋体"/>
          <w:b/>
          <w:color w:val="auto"/>
          <w:sz w:val="32"/>
          <w:szCs w:val="32"/>
          <w:highlight w:val="none"/>
        </w:rPr>
        <w:t>投标人参加本项目无围标串标行为的承诺函（格式）</w:t>
      </w:r>
    </w:p>
    <w:p w14:paraId="48B1E6E8">
      <w:pPr>
        <w:spacing w:line="400" w:lineRule="exact"/>
        <w:rPr>
          <w:b/>
          <w:color w:val="auto"/>
          <w:sz w:val="32"/>
          <w:szCs w:val="32"/>
          <w:highlight w:val="none"/>
        </w:rPr>
      </w:pPr>
    </w:p>
    <w:p w14:paraId="5937BA89">
      <w:pPr>
        <w:snapToGrid w:val="0"/>
        <w:spacing w:before="156" w:beforeLines="50" w:after="50" w:line="360" w:lineRule="exact"/>
        <w:jc w:val="left"/>
        <w:rPr>
          <w:rFonts w:ascii="宋体" w:hAnsi="宋体"/>
          <w:b/>
          <w:color w:val="auto"/>
          <w:sz w:val="24"/>
          <w:highlight w:val="none"/>
        </w:rPr>
      </w:pPr>
      <w:r>
        <w:rPr>
          <w:rFonts w:hint="eastAsia" w:ascii="宋体" w:hAnsi="宋体"/>
          <w:b/>
          <w:color w:val="auto"/>
          <w:sz w:val="24"/>
          <w:highlight w:val="none"/>
        </w:rPr>
        <w:t>一、我公司承诺无下列相互串通投标的情形：</w:t>
      </w:r>
    </w:p>
    <w:p w14:paraId="4F075FAC">
      <w:pPr>
        <w:pStyle w:val="26"/>
        <w:spacing w:line="360" w:lineRule="exact"/>
        <w:ind w:firstLine="420"/>
        <w:rPr>
          <w:rFonts w:hAnsi="宋体"/>
          <w:color w:val="auto"/>
          <w:highlight w:val="none"/>
        </w:rPr>
      </w:pPr>
      <w:r>
        <w:rPr>
          <w:rFonts w:hint="eastAsia" w:hAnsi="宋体"/>
          <w:color w:val="auto"/>
          <w:highlight w:val="none"/>
        </w:rPr>
        <w:t>1.不同投标人的投标文件由同一单位或者个人编制；</w:t>
      </w:r>
    </w:p>
    <w:p w14:paraId="1F36DBED">
      <w:pPr>
        <w:pStyle w:val="26"/>
        <w:spacing w:line="360" w:lineRule="exact"/>
        <w:ind w:firstLine="420"/>
        <w:rPr>
          <w:rFonts w:hAnsi="宋体"/>
          <w:color w:val="auto"/>
          <w:highlight w:val="none"/>
        </w:rPr>
      </w:pPr>
      <w:r>
        <w:rPr>
          <w:rFonts w:hint="eastAsia" w:hAnsi="宋体"/>
          <w:color w:val="auto"/>
          <w:highlight w:val="none"/>
        </w:rPr>
        <w:t>2.不同投标人委托同一单位或者个人办理投标事宜；</w:t>
      </w:r>
    </w:p>
    <w:p w14:paraId="7DF02714">
      <w:pPr>
        <w:pStyle w:val="26"/>
        <w:spacing w:line="360" w:lineRule="exact"/>
        <w:ind w:firstLine="420"/>
        <w:rPr>
          <w:rFonts w:hAnsi="宋体"/>
          <w:color w:val="auto"/>
          <w:highlight w:val="none"/>
        </w:rPr>
      </w:pPr>
      <w:r>
        <w:rPr>
          <w:rFonts w:hint="eastAsia" w:hAnsi="宋体"/>
          <w:color w:val="auto"/>
          <w:highlight w:val="none"/>
        </w:rPr>
        <w:t>3.不同的投标人的投标文件载明的项目管理员为同一个人；</w:t>
      </w:r>
    </w:p>
    <w:p w14:paraId="6AF1A9A0">
      <w:pPr>
        <w:pStyle w:val="26"/>
        <w:spacing w:line="360" w:lineRule="exact"/>
        <w:ind w:firstLine="420"/>
        <w:rPr>
          <w:rFonts w:hAnsi="宋体"/>
          <w:color w:val="auto"/>
          <w:highlight w:val="none"/>
        </w:rPr>
      </w:pPr>
      <w:r>
        <w:rPr>
          <w:rFonts w:hint="eastAsia" w:hAnsi="宋体"/>
          <w:color w:val="auto"/>
          <w:highlight w:val="none"/>
        </w:rPr>
        <w:t xml:space="preserve">4.不同投标人的投标文件异常一致或投标报价呈规律性差异； </w:t>
      </w:r>
    </w:p>
    <w:p w14:paraId="63713387">
      <w:pPr>
        <w:pStyle w:val="26"/>
        <w:spacing w:line="360" w:lineRule="exact"/>
        <w:ind w:firstLine="420"/>
        <w:rPr>
          <w:rFonts w:hAnsi="宋体"/>
          <w:color w:val="auto"/>
          <w:highlight w:val="none"/>
        </w:rPr>
      </w:pPr>
      <w:r>
        <w:rPr>
          <w:rFonts w:hint="eastAsia" w:hAnsi="宋体"/>
          <w:color w:val="auto"/>
          <w:highlight w:val="none"/>
        </w:rPr>
        <w:t>5.不同投标人的投标文件相互混装。</w:t>
      </w:r>
    </w:p>
    <w:p w14:paraId="2DE9BF66">
      <w:pPr>
        <w:snapToGrid w:val="0"/>
        <w:spacing w:before="156" w:beforeLines="50" w:after="50" w:line="360" w:lineRule="exact"/>
        <w:jc w:val="left"/>
        <w:rPr>
          <w:rFonts w:ascii="宋体" w:hAnsi="宋体"/>
          <w:color w:val="auto"/>
          <w:sz w:val="24"/>
          <w:highlight w:val="none"/>
        </w:rPr>
      </w:pPr>
      <w:r>
        <w:rPr>
          <w:rFonts w:hint="eastAsia" w:ascii="宋体" w:hAnsi="宋体"/>
          <w:b/>
          <w:color w:val="auto"/>
          <w:sz w:val="24"/>
          <w:highlight w:val="none"/>
        </w:rPr>
        <w:t>二、我公司承诺无下列恶意串通的情形：</w:t>
      </w:r>
    </w:p>
    <w:p w14:paraId="727B3E62">
      <w:pPr>
        <w:pStyle w:val="26"/>
        <w:spacing w:line="360" w:lineRule="exact"/>
        <w:ind w:firstLine="420"/>
        <w:rPr>
          <w:rFonts w:hAnsi="宋体"/>
          <w:color w:val="auto"/>
          <w:highlight w:val="none"/>
        </w:rPr>
      </w:pPr>
      <w:r>
        <w:rPr>
          <w:rFonts w:hint="eastAsia" w:hAnsi="宋体"/>
          <w:color w:val="auto"/>
          <w:highlight w:val="none"/>
        </w:rPr>
        <w:t>1.供应商直接或者间接从采购人或者采购代理机构处获得其他供应商的相关信息并修改其投标文件；</w:t>
      </w:r>
    </w:p>
    <w:p w14:paraId="25940599">
      <w:pPr>
        <w:pStyle w:val="26"/>
        <w:spacing w:line="360" w:lineRule="exact"/>
        <w:ind w:firstLine="420"/>
        <w:rPr>
          <w:rFonts w:hAnsi="宋体"/>
          <w:color w:val="auto"/>
          <w:highlight w:val="none"/>
        </w:rPr>
      </w:pPr>
      <w:r>
        <w:rPr>
          <w:rFonts w:hint="eastAsia" w:hAnsi="宋体"/>
          <w:color w:val="auto"/>
          <w:highlight w:val="none"/>
        </w:rPr>
        <w:t>2.供应商按照采购人或者采购代理机构的授意撤换、修改投标文件；</w:t>
      </w:r>
    </w:p>
    <w:p w14:paraId="2804EEC7">
      <w:pPr>
        <w:pStyle w:val="26"/>
        <w:spacing w:line="360" w:lineRule="exact"/>
        <w:ind w:firstLine="420"/>
        <w:rPr>
          <w:rFonts w:hAnsi="宋体"/>
          <w:color w:val="auto"/>
          <w:highlight w:val="none"/>
        </w:rPr>
      </w:pPr>
      <w:r>
        <w:rPr>
          <w:rFonts w:hint="eastAsia" w:hAnsi="宋体"/>
          <w:color w:val="auto"/>
          <w:highlight w:val="none"/>
        </w:rPr>
        <w:t>3.供应商之间协商报价、技术方案等投标文件或者投标文件的实质性内容；</w:t>
      </w:r>
    </w:p>
    <w:p w14:paraId="4DE4348A">
      <w:pPr>
        <w:pStyle w:val="26"/>
        <w:spacing w:line="360" w:lineRule="exact"/>
        <w:ind w:firstLine="420"/>
        <w:rPr>
          <w:rFonts w:hAnsi="宋体"/>
          <w:color w:val="auto"/>
          <w:highlight w:val="none"/>
        </w:rPr>
      </w:pPr>
      <w:r>
        <w:rPr>
          <w:rFonts w:hint="eastAsia" w:hAnsi="宋体"/>
          <w:color w:val="auto"/>
          <w:highlight w:val="none"/>
        </w:rPr>
        <w:t>4.属于同一集团、协会、商会等组织成员的供应商按照该组织要求协同参加政府采购活动；</w:t>
      </w:r>
    </w:p>
    <w:p w14:paraId="419F65B1">
      <w:pPr>
        <w:pStyle w:val="26"/>
        <w:spacing w:line="360" w:lineRule="exact"/>
        <w:ind w:firstLine="420"/>
        <w:rPr>
          <w:rFonts w:hAnsi="宋体"/>
          <w:color w:val="auto"/>
          <w:highlight w:val="none"/>
        </w:rPr>
      </w:pPr>
      <w:r>
        <w:rPr>
          <w:rFonts w:hint="eastAsia" w:hAnsi="宋体"/>
          <w:color w:val="auto"/>
          <w:highlight w:val="none"/>
        </w:rPr>
        <w:t>5.供应商之间事先约定一致抬高或者压低投标报价，或者在招标项目中事先约定轮流以高价位或者低价位中标，或者事先约定由某一特定供应商中标，然后再参加投标；</w:t>
      </w:r>
    </w:p>
    <w:p w14:paraId="131E972F">
      <w:pPr>
        <w:pStyle w:val="26"/>
        <w:spacing w:line="360" w:lineRule="exact"/>
        <w:ind w:firstLine="420"/>
        <w:rPr>
          <w:rFonts w:hAnsi="宋体"/>
          <w:color w:val="auto"/>
          <w:highlight w:val="none"/>
        </w:rPr>
      </w:pPr>
      <w:r>
        <w:rPr>
          <w:rFonts w:hint="eastAsia" w:hAnsi="宋体"/>
          <w:color w:val="auto"/>
          <w:highlight w:val="none"/>
        </w:rPr>
        <w:t>6.供应商之间商定部分供应商放弃参加政府采购活动或者放弃中标；</w:t>
      </w:r>
    </w:p>
    <w:p w14:paraId="0AE8A17E">
      <w:pPr>
        <w:pStyle w:val="26"/>
        <w:spacing w:line="360" w:lineRule="exact"/>
        <w:ind w:firstLine="420"/>
        <w:rPr>
          <w:rFonts w:hAnsi="宋体"/>
          <w:color w:val="auto"/>
          <w:highlight w:val="none"/>
        </w:rPr>
      </w:pPr>
      <w:r>
        <w:rPr>
          <w:rFonts w:hint="eastAsia" w:hAnsi="宋体"/>
          <w:color w:val="auto"/>
          <w:highlight w:val="none"/>
        </w:rPr>
        <w:t>7.供应商与采购人或者采购代理机构之间、供应商相互之间，为谋求特定供应商中标或者排斥其他供应商的其他串通行为。</w:t>
      </w:r>
    </w:p>
    <w:p w14:paraId="19BAC808">
      <w:pPr>
        <w:snapToGrid w:val="0"/>
        <w:spacing w:before="156" w:beforeLines="50" w:after="50" w:line="320" w:lineRule="exact"/>
        <w:ind w:firstLine="470" w:firstLineChars="196"/>
        <w:jc w:val="left"/>
        <w:rPr>
          <w:rFonts w:ascii="宋体" w:hAnsi="宋体"/>
          <w:color w:val="auto"/>
          <w:sz w:val="24"/>
          <w:highlight w:val="none"/>
        </w:rPr>
      </w:pPr>
    </w:p>
    <w:p w14:paraId="0AADC5F5">
      <w:pPr>
        <w:snapToGrid w:val="0"/>
        <w:spacing w:before="156" w:beforeLines="50" w:after="50"/>
        <w:ind w:firstLine="472" w:firstLineChars="196"/>
        <w:jc w:val="left"/>
        <w:rPr>
          <w:rFonts w:ascii="宋体" w:hAnsi="宋体"/>
          <w:b/>
          <w:color w:val="auto"/>
          <w:sz w:val="24"/>
          <w:highlight w:val="none"/>
        </w:rPr>
      </w:pPr>
      <w:r>
        <w:rPr>
          <w:rFonts w:hint="eastAsia" w:ascii="宋体" w:hAnsi="宋体"/>
          <w:b/>
          <w:color w:val="auto"/>
          <w:sz w:val="24"/>
          <w:highlight w:val="none"/>
        </w:rPr>
        <w:t>以上情形一经核查属实，我方愿意承担一切后果，并不再寻求任何旨在减轻或免除法律责任的辩解。</w:t>
      </w:r>
    </w:p>
    <w:p w14:paraId="0D56BDF3">
      <w:pPr>
        <w:snapToGrid w:val="0"/>
        <w:spacing w:line="400" w:lineRule="exact"/>
        <w:ind w:firstLine="1890" w:firstLineChars="900"/>
        <w:outlineLvl w:val="4"/>
        <w:rPr>
          <w:rFonts w:ascii="宋体" w:hAnsi="宋体"/>
          <w:color w:val="auto"/>
          <w:szCs w:val="21"/>
          <w:highlight w:val="none"/>
        </w:rPr>
      </w:pPr>
    </w:p>
    <w:p w14:paraId="58712A57">
      <w:pPr>
        <w:snapToGrid w:val="0"/>
        <w:spacing w:line="400" w:lineRule="exact"/>
        <w:ind w:firstLine="1890" w:firstLineChars="900"/>
        <w:outlineLvl w:val="4"/>
        <w:rPr>
          <w:rFonts w:ascii="宋体" w:hAnsi="宋体"/>
          <w:color w:val="auto"/>
          <w:szCs w:val="21"/>
          <w:highlight w:val="none"/>
          <w:u w:val="single"/>
        </w:rPr>
      </w:pPr>
      <w:r>
        <w:rPr>
          <w:rFonts w:hint="eastAsia" w:ascii="宋体" w:hAnsi="宋体"/>
          <w:color w:val="auto"/>
          <w:szCs w:val="21"/>
          <w:highlight w:val="none"/>
        </w:rPr>
        <w:t>投标</w:t>
      </w:r>
      <w:r>
        <w:rPr>
          <w:rFonts w:hint="eastAsia" w:ascii="宋体" w:hAnsi="宋体" w:cs="宋体"/>
          <w:color w:val="auto"/>
          <w:szCs w:val="21"/>
          <w:highlight w:val="none"/>
          <w:lang w:eastAsia="zh-CN"/>
        </w:rPr>
        <w:t>人</w:t>
      </w:r>
      <w:r>
        <w:rPr>
          <w:rFonts w:hint="eastAsia" w:ascii="宋体" w:hAnsi="宋体" w:cs="宋体"/>
          <w:color w:val="auto"/>
          <w:szCs w:val="21"/>
          <w:highlight w:val="none"/>
        </w:rPr>
        <w:t>（电子签章）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1449E470">
      <w:pPr>
        <w:pStyle w:val="26"/>
        <w:spacing w:line="440" w:lineRule="exact"/>
        <w:ind w:firstLine="420"/>
        <w:jc w:val="center"/>
        <w:rPr>
          <w:rFonts w:hAnsi="宋体"/>
          <w:color w:val="auto"/>
          <w:szCs w:val="21"/>
          <w:highlight w:val="none"/>
          <w:u w:val="single"/>
        </w:rPr>
      </w:pPr>
      <w:r>
        <w:rPr>
          <w:rFonts w:hint="eastAsia" w:hAnsi="宋体"/>
          <w:color w:val="auto"/>
          <w:szCs w:val="21"/>
          <w:highlight w:val="none"/>
        </w:rPr>
        <w:t>法定代表人</w:t>
      </w:r>
      <w:r>
        <w:rPr>
          <w:rFonts w:hint="eastAsia" w:hAnsi="宋体"/>
          <w:color w:val="auto"/>
          <w:highlight w:val="none"/>
        </w:rPr>
        <w:t>或相应的委托代理人</w:t>
      </w:r>
      <w:r>
        <w:rPr>
          <w:rFonts w:hint="eastAsia" w:hAnsi="宋体"/>
          <w:color w:val="auto"/>
          <w:szCs w:val="21"/>
          <w:highlight w:val="none"/>
        </w:rPr>
        <w:t>签字</w:t>
      </w:r>
      <w:r>
        <w:rPr>
          <w:rFonts w:hint="eastAsia" w:hAnsi="宋体" w:cs="宋体"/>
          <w:color w:val="auto"/>
          <w:szCs w:val="21"/>
          <w:highlight w:val="none"/>
        </w:rPr>
        <w:t>（或者电子签名）</w:t>
      </w:r>
      <w:r>
        <w:rPr>
          <w:rFonts w:hint="eastAsia" w:hAnsi="宋体"/>
          <w:color w:val="auto"/>
          <w:highlight w:val="none"/>
        </w:rPr>
        <w:t>：</w:t>
      </w:r>
      <w:r>
        <w:rPr>
          <w:rFonts w:hint="eastAsia" w:hAnsi="宋体"/>
          <w:color w:val="auto"/>
          <w:szCs w:val="21"/>
          <w:highlight w:val="none"/>
          <w:u w:val="single"/>
        </w:rPr>
        <w:t xml:space="preserve">                              </w:t>
      </w:r>
    </w:p>
    <w:p w14:paraId="67246CCF">
      <w:pPr>
        <w:spacing w:line="340" w:lineRule="exact"/>
        <w:ind w:firstLine="2520" w:firstLineChars="1200"/>
        <w:rPr>
          <w:rFonts w:ascii="宋体" w:hAnsi="宋体"/>
          <w:color w:val="auto"/>
          <w:szCs w:val="21"/>
          <w:highlight w:val="none"/>
          <w:u w:val="single"/>
        </w:rPr>
      </w:pPr>
      <w:r>
        <w:rPr>
          <w:rFonts w:hint="eastAsia" w:hAnsi="宋体"/>
          <w:color w:val="auto"/>
          <w:highlight w:val="none"/>
        </w:rPr>
        <w:t xml:space="preserve"> 日       期：</w:t>
      </w:r>
      <w:r>
        <w:rPr>
          <w:rFonts w:hint="eastAsia" w:hAnsi="宋体"/>
          <w:color w:val="auto"/>
          <w:highlight w:val="none"/>
          <w:u w:val="single"/>
        </w:rPr>
        <w:t xml:space="preserve">                                                   </w:t>
      </w:r>
    </w:p>
    <w:p w14:paraId="52C14AB9">
      <w:pPr>
        <w:spacing w:line="400" w:lineRule="exact"/>
        <w:rPr>
          <w:b/>
          <w:color w:val="auto"/>
          <w:sz w:val="32"/>
          <w:szCs w:val="32"/>
          <w:highlight w:val="none"/>
        </w:rPr>
      </w:pPr>
    </w:p>
    <w:p w14:paraId="6F359B25">
      <w:pPr>
        <w:spacing w:line="400" w:lineRule="exact"/>
        <w:rPr>
          <w:b/>
          <w:color w:val="auto"/>
          <w:sz w:val="32"/>
          <w:szCs w:val="32"/>
          <w:highlight w:val="none"/>
        </w:rPr>
      </w:pPr>
    </w:p>
    <w:p w14:paraId="20A841B1">
      <w:pPr>
        <w:spacing w:line="400" w:lineRule="exact"/>
        <w:rPr>
          <w:b/>
          <w:color w:val="auto"/>
          <w:sz w:val="32"/>
          <w:szCs w:val="32"/>
          <w:highlight w:val="none"/>
        </w:rPr>
      </w:pPr>
    </w:p>
    <w:p w14:paraId="4EB53A50">
      <w:pPr>
        <w:spacing w:line="400" w:lineRule="exact"/>
        <w:rPr>
          <w:b/>
          <w:color w:val="auto"/>
          <w:sz w:val="32"/>
          <w:szCs w:val="32"/>
          <w:highlight w:val="none"/>
        </w:rPr>
      </w:pPr>
    </w:p>
    <w:p w14:paraId="14A1D1BF">
      <w:pPr>
        <w:spacing w:line="400" w:lineRule="exact"/>
        <w:rPr>
          <w:b/>
          <w:color w:val="auto"/>
          <w:sz w:val="32"/>
          <w:szCs w:val="32"/>
          <w:highlight w:val="none"/>
        </w:rPr>
      </w:pPr>
    </w:p>
    <w:p w14:paraId="439E7BF2">
      <w:pPr>
        <w:spacing w:line="400" w:lineRule="exact"/>
        <w:rPr>
          <w:b/>
          <w:color w:val="auto"/>
          <w:sz w:val="32"/>
          <w:szCs w:val="32"/>
          <w:highlight w:val="none"/>
        </w:rPr>
      </w:pPr>
    </w:p>
    <w:p w14:paraId="6E1D20CD">
      <w:pPr>
        <w:spacing w:line="400" w:lineRule="exact"/>
        <w:rPr>
          <w:b/>
          <w:color w:val="auto"/>
          <w:sz w:val="32"/>
          <w:szCs w:val="32"/>
          <w:highlight w:val="none"/>
        </w:rPr>
      </w:pPr>
    </w:p>
    <w:p w14:paraId="2850575D">
      <w:pPr>
        <w:spacing w:line="400" w:lineRule="exact"/>
        <w:rPr>
          <w:rFonts w:hint="eastAsia"/>
          <w:b/>
          <w:color w:val="auto"/>
          <w:sz w:val="32"/>
          <w:szCs w:val="32"/>
          <w:highlight w:val="none"/>
        </w:rPr>
      </w:pPr>
    </w:p>
    <w:p w14:paraId="62507F7A">
      <w:pPr>
        <w:spacing w:line="400" w:lineRule="exact"/>
        <w:rPr>
          <w:b/>
          <w:color w:val="auto"/>
          <w:sz w:val="32"/>
          <w:szCs w:val="32"/>
          <w:highlight w:val="none"/>
        </w:rPr>
      </w:pPr>
      <w:r>
        <w:rPr>
          <w:rFonts w:hint="eastAsia"/>
          <w:b/>
          <w:color w:val="auto"/>
          <w:sz w:val="32"/>
          <w:szCs w:val="32"/>
          <w:highlight w:val="none"/>
        </w:rPr>
        <w:t>二、商务、技术性响应证明材料</w:t>
      </w:r>
    </w:p>
    <w:p w14:paraId="42F92997">
      <w:pPr>
        <w:spacing w:line="400" w:lineRule="exact"/>
        <w:rPr>
          <w:b/>
          <w:color w:val="auto"/>
          <w:sz w:val="32"/>
          <w:szCs w:val="32"/>
          <w:highlight w:val="none"/>
        </w:rPr>
      </w:pPr>
      <w:r>
        <w:rPr>
          <w:rFonts w:hint="eastAsia"/>
          <w:b/>
          <w:color w:val="auto"/>
          <w:sz w:val="32"/>
          <w:szCs w:val="32"/>
          <w:highlight w:val="none"/>
        </w:rPr>
        <w:t>1.投标函（必须提供）</w:t>
      </w:r>
    </w:p>
    <w:p w14:paraId="6C6716F5">
      <w:pPr>
        <w:spacing w:line="400" w:lineRule="exact"/>
        <w:rPr>
          <w:b/>
          <w:color w:val="auto"/>
          <w:sz w:val="32"/>
          <w:szCs w:val="32"/>
          <w:highlight w:val="none"/>
        </w:rPr>
      </w:pPr>
    </w:p>
    <w:p w14:paraId="107E4FD8">
      <w:pPr>
        <w:spacing w:line="440" w:lineRule="atLeast"/>
        <w:jc w:val="center"/>
        <w:rPr>
          <w:rFonts w:ascii="宋体" w:hAnsi="宋体"/>
          <w:b/>
          <w:color w:val="auto"/>
          <w:sz w:val="32"/>
          <w:szCs w:val="32"/>
          <w:highlight w:val="none"/>
        </w:rPr>
      </w:pPr>
      <w:r>
        <w:rPr>
          <w:rFonts w:hint="eastAsia"/>
          <w:b/>
          <w:color w:val="auto"/>
          <w:sz w:val="32"/>
          <w:szCs w:val="32"/>
          <w:highlight w:val="none"/>
        </w:rPr>
        <w:t>投标函（格式）</w:t>
      </w:r>
    </w:p>
    <w:p w14:paraId="47ACC614">
      <w:pPr>
        <w:spacing w:line="320" w:lineRule="exac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云之龙咨询集团有限公司</w:t>
      </w:r>
      <w:r>
        <w:rPr>
          <w:rFonts w:hint="eastAsia" w:ascii="宋体" w:hAnsi="宋体"/>
          <w:color w:val="auto"/>
          <w:szCs w:val="21"/>
          <w:highlight w:val="none"/>
        </w:rPr>
        <w:t>：</w:t>
      </w:r>
    </w:p>
    <w:p w14:paraId="46AD1A28">
      <w:pPr>
        <w:spacing w:line="320" w:lineRule="exact"/>
        <w:ind w:firstLine="480"/>
        <w:rPr>
          <w:rFonts w:ascii="宋体" w:hAnsi="宋体"/>
          <w:color w:val="auto"/>
          <w:szCs w:val="21"/>
          <w:highlight w:val="none"/>
        </w:rPr>
      </w:pPr>
      <w:r>
        <w:rPr>
          <w:rFonts w:hint="eastAsia" w:ascii="宋体" w:hAnsi="宋体"/>
          <w:color w:val="auto"/>
          <w:szCs w:val="21"/>
          <w:highlight w:val="none"/>
        </w:rPr>
        <w:t>根据贵方</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）的招标文件，签字代表______</w:t>
      </w:r>
      <w:r>
        <w:rPr>
          <w:rFonts w:hint="eastAsia" w:ascii="宋体" w:hAnsi="宋体"/>
          <w:color w:val="auto"/>
          <w:szCs w:val="21"/>
          <w:highlight w:val="none"/>
          <w:u w:val="single"/>
        </w:rPr>
        <w:t xml:space="preserve">     </w:t>
      </w:r>
      <w:r>
        <w:rPr>
          <w:rFonts w:hint="eastAsia" w:ascii="宋体" w:hAnsi="宋体"/>
          <w:color w:val="auto"/>
          <w:szCs w:val="21"/>
          <w:highlight w:val="none"/>
        </w:rPr>
        <w:t>（姓名）经正式授权并代表投标人</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（投标人名称）提交投标文件。</w:t>
      </w:r>
    </w:p>
    <w:p w14:paraId="761B5A2E">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据此函，我方宣布同意如下：</w:t>
      </w:r>
    </w:p>
    <w:p w14:paraId="4ADD6FF6">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1.我方已详细审查全部“招标文件”，包括修改文件（如有）以及全部参考资料和有关附件，已经了解我方对于招标文件、采购过程、采购结果有依法进行询问、质疑、投诉的权利及相关渠道和要求。</w:t>
      </w:r>
    </w:p>
    <w:p w14:paraId="63E9A53C">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2.我方在投标之前已经完全理解并接受招标文件的各项规定和要求，对招标文件的合理性、合法性不再有异议。</w:t>
      </w:r>
    </w:p>
    <w:p w14:paraId="03104D9E">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3.本投标有效期自投标截止之日起</w:t>
      </w:r>
      <w:r>
        <w:rPr>
          <w:rFonts w:hint="eastAsia" w:ascii="宋体" w:hAnsi="宋体"/>
          <w:color w:val="auto"/>
          <w:szCs w:val="21"/>
          <w:highlight w:val="none"/>
          <w:u w:val="single"/>
        </w:rPr>
        <w:t xml:space="preserve"> 90</w:t>
      </w:r>
      <w:r>
        <w:rPr>
          <w:rFonts w:hint="eastAsia" w:ascii="宋体" w:hAnsi="宋体"/>
          <w:color w:val="auto"/>
          <w:szCs w:val="21"/>
          <w:highlight w:val="none"/>
        </w:rPr>
        <w:t>日。</w:t>
      </w:r>
    </w:p>
    <w:p w14:paraId="08D74D74">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4.如我方中标，本投标文件至本项目合同履行完毕止均保持有效，我方将按“招标文件”及政府采购</w:t>
      </w:r>
      <w:r>
        <w:rPr>
          <w:rFonts w:hint="eastAsia" w:ascii="宋体" w:hAnsi="宋体"/>
          <w:color w:val="auto"/>
          <w:szCs w:val="21"/>
          <w:highlight w:val="none"/>
          <w:lang w:eastAsia="zh-CN"/>
        </w:rPr>
        <w:t>法律法规</w:t>
      </w:r>
      <w:r>
        <w:rPr>
          <w:rFonts w:hint="eastAsia" w:ascii="宋体" w:hAnsi="宋体"/>
          <w:color w:val="auto"/>
          <w:szCs w:val="21"/>
          <w:highlight w:val="none"/>
        </w:rPr>
        <w:t>的规定履行合同责任和义务。</w:t>
      </w:r>
    </w:p>
    <w:p w14:paraId="5DF03FB8">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5.我方同意按照贵方要求提供与投标有关的一切数据或者资料。</w:t>
      </w:r>
    </w:p>
    <w:p w14:paraId="11508167">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6.我方向贵方提交的所有投标文件、资料都是准确的和真实的。</w:t>
      </w:r>
    </w:p>
    <w:p w14:paraId="68F497DB">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7.以上事项如有虚假或者隐瞒，我方愿意承担一切后果，并不再寻求任何旨在减轻或者免除法律责任的辩解。</w:t>
      </w:r>
    </w:p>
    <w:p w14:paraId="5526EEC0">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3F42DFA2">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□我方本次投标文件</w:t>
      </w:r>
      <w:r>
        <w:rPr>
          <w:rFonts w:hint="eastAsia" w:ascii="宋体" w:hAnsi="宋体" w:cs="宋体"/>
          <w:color w:val="auto"/>
          <w:kern w:val="0"/>
          <w:szCs w:val="21"/>
          <w:highlight w:val="none"/>
        </w:rPr>
        <w:t>内容中</w:t>
      </w:r>
      <w:r>
        <w:rPr>
          <w:rFonts w:hint="eastAsia" w:ascii="宋体" w:hAnsi="宋体"/>
          <w:color w:val="auto"/>
          <w:szCs w:val="21"/>
          <w:highlight w:val="none"/>
        </w:rPr>
        <w:t>未</w:t>
      </w:r>
      <w:r>
        <w:rPr>
          <w:rFonts w:hint="eastAsia" w:ascii="宋体" w:hAnsi="宋体" w:cs="宋体"/>
          <w:color w:val="auto"/>
          <w:kern w:val="0"/>
          <w:szCs w:val="21"/>
          <w:highlight w:val="none"/>
        </w:rPr>
        <w:t>涉及商业秘密；</w:t>
      </w:r>
    </w:p>
    <w:p w14:paraId="147F7A1A">
      <w:pPr>
        <w:spacing w:line="320" w:lineRule="exact"/>
        <w:ind w:firstLine="420" w:firstLineChars="200"/>
        <w:rPr>
          <w:rFonts w:ascii="宋体" w:hAnsi="宋体"/>
          <w:color w:val="auto"/>
          <w:szCs w:val="21"/>
          <w:highlight w:val="none"/>
        </w:rPr>
      </w:pPr>
      <w:r>
        <w:rPr>
          <w:rFonts w:hint="eastAsia" w:ascii="宋体" w:hAnsi="宋体"/>
          <w:color w:val="auto"/>
          <w:szCs w:val="21"/>
          <w:highlight w:val="none"/>
        </w:rPr>
        <w:t>□我方本次投标文件</w:t>
      </w:r>
      <w:r>
        <w:rPr>
          <w:rFonts w:hint="eastAsia" w:ascii="宋体" w:hAnsi="宋体" w:cs="宋体"/>
          <w:color w:val="auto"/>
          <w:kern w:val="0"/>
          <w:szCs w:val="21"/>
          <w:highlight w:val="none"/>
        </w:rPr>
        <w:t>涉及商业秘密的内容有：</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156475BD">
      <w:pPr>
        <w:spacing w:line="320" w:lineRule="exact"/>
        <w:ind w:firstLine="420"/>
        <w:rPr>
          <w:rFonts w:ascii="宋体" w:hAnsi="宋体" w:cs="宋体"/>
          <w:color w:val="auto"/>
          <w:kern w:val="0"/>
          <w:szCs w:val="20"/>
          <w:highlight w:val="none"/>
        </w:rPr>
      </w:pPr>
      <w:r>
        <w:rPr>
          <w:rFonts w:hint="eastAsia" w:ascii="宋体" w:hAnsi="宋体"/>
          <w:color w:val="auto"/>
          <w:szCs w:val="21"/>
          <w:highlight w:val="none"/>
        </w:rPr>
        <w:t>9.</w:t>
      </w:r>
      <w:r>
        <w:rPr>
          <w:rFonts w:hint="eastAsia" w:ascii="宋体" w:hAnsi="宋体" w:cs="宋体"/>
          <w:color w:val="auto"/>
          <w:kern w:val="0"/>
          <w:szCs w:val="20"/>
          <w:highlight w:val="none"/>
        </w:rPr>
        <w:t>如我方中标，我方保证按本项目招标文件的规定及标准向贵单位一次性足额支付代理服务费。代理服务费发票我方选择开具：</w:t>
      </w:r>
      <w:r>
        <w:rPr>
          <w:rFonts w:hint="eastAsia" w:ascii="宋体" w:hAnsi="宋体" w:cs="宋体"/>
          <w:color w:val="auto"/>
          <w:kern w:val="0"/>
          <w:highlight w:val="none"/>
        </w:rPr>
        <w:t>□</w:t>
      </w:r>
      <w:r>
        <w:rPr>
          <w:rFonts w:hint="eastAsia" w:ascii="宋体" w:hAnsi="宋体" w:cs="宋体"/>
          <w:color w:val="auto"/>
          <w:kern w:val="0"/>
          <w:szCs w:val="20"/>
          <w:highlight w:val="none"/>
          <w:u w:val="single"/>
        </w:rPr>
        <w:t>增值税普通发票</w:t>
      </w:r>
      <w:r>
        <w:rPr>
          <w:rFonts w:hint="eastAsia" w:ascii="宋体" w:hAnsi="宋体" w:cs="宋体"/>
          <w:color w:val="auto"/>
          <w:kern w:val="0"/>
          <w:szCs w:val="20"/>
          <w:highlight w:val="none"/>
        </w:rPr>
        <w:t>、</w:t>
      </w:r>
      <w:r>
        <w:rPr>
          <w:rFonts w:hint="eastAsia" w:ascii="宋体" w:hAnsi="宋体" w:cs="宋体"/>
          <w:color w:val="auto"/>
          <w:kern w:val="0"/>
          <w:highlight w:val="none"/>
        </w:rPr>
        <w:t>□</w:t>
      </w:r>
      <w:r>
        <w:rPr>
          <w:rFonts w:hint="eastAsia" w:ascii="宋体" w:hAnsi="宋体" w:cs="宋体"/>
          <w:color w:val="auto"/>
          <w:kern w:val="0"/>
          <w:szCs w:val="20"/>
          <w:highlight w:val="none"/>
          <w:u w:val="single"/>
        </w:rPr>
        <w:t>增值税专用发票</w:t>
      </w:r>
      <w:r>
        <w:rPr>
          <w:rFonts w:hint="eastAsia" w:ascii="宋体" w:hAnsi="宋体" w:cs="宋体"/>
          <w:color w:val="auto"/>
          <w:kern w:val="0"/>
          <w:szCs w:val="20"/>
          <w:highlight w:val="none"/>
        </w:rPr>
        <w:t>，开票信息如下：</w:t>
      </w:r>
    </w:p>
    <w:p w14:paraId="2B67E766">
      <w:pPr>
        <w:spacing w:line="320" w:lineRule="exact"/>
        <w:ind w:firstLine="420"/>
        <w:rPr>
          <w:rFonts w:ascii="宋体" w:hAnsi="宋体" w:cs="宋体"/>
          <w:color w:val="auto"/>
          <w:kern w:val="0"/>
          <w:szCs w:val="20"/>
          <w:highlight w:val="none"/>
        </w:rPr>
      </w:pPr>
      <w:r>
        <w:rPr>
          <w:rFonts w:hint="eastAsia" w:ascii="宋体" w:hAnsi="宋体" w:cs="宋体"/>
          <w:color w:val="auto"/>
          <w:kern w:val="0"/>
          <w:szCs w:val="20"/>
          <w:highlight w:val="none"/>
        </w:rPr>
        <w:t>①公司名称：</w:t>
      </w:r>
      <w:r>
        <w:rPr>
          <w:rFonts w:hint="eastAsia" w:ascii="宋体" w:hAnsi="宋体" w:cs="宋体"/>
          <w:color w:val="auto"/>
          <w:kern w:val="0"/>
          <w:szCs w:val="20"/>
          <w:highlight w:val="none"/>
          <w:u w:val="single"/>
        </w:rPr>
        <w:t xml:space="preserve">               </w:t>
      </w:r>
      <w:r>
        <w:rPr>
          <w:rFonts w:hint="eastAsia" w:ascii="宋体" w:hAnsi="宋体" w:cs="宋体"/>
          <w:color w:val="auto"/>
          <w:kern w:val="0"/>
          <w:szCs w:val="20"/>
          <w:highlight w:val="none"/>
        </w:rPr>
        <w:t xml:space="preserve"> </w:t>
      </w:r>
    </w:p>
    <w:p w14:paraId="0A2E5976">
      <w:pPr>
        <w:snapToGrid w:val="0"/>
        <w:spacing w:line="320" w:lineRule="exact"/>
        <w:ind w:firstLine="420" w:firstLineChars="200"/>
        <w:jc w:val="left"/>
        <w:outlineLvl w:val="4"/>
        <w:rPr>
          <w:rFonts w:ascii="宋体" w:hAnsi="宋体"/>
          <w:color w:val="auto"/>
          <w:szCs w:val="21"/>
          <w:highlight w:val="none"/>
        </w:rPr>
      </w:pPr>
      <w:r>
        <w:rPr>
          <w:rFonts w:hint="eastAsia" w:ascii="宋体" w:hAnsi="宋体" w:cs="宋体"/>
          <w:color w:val="auto"/>
          <w:kern w:val="0"/>
          <w:szCs w:val="20"/>
          <w:highlight w:val="none"/>
        </w:rPr>
        <w:t>②纳税人识别号：</w:t>
      </w:r>
      <w:r>
        <w:rPr>
          <w:rFonts w:hint="eastAsia" w:ascii="宋体" w:hAnsi="宋体" w:cs="宋体"/>
          <w:color w:val="auto"/>
          <w:kern w:val="0"/>
          <w:szCs w:val="20"/>
          <w:highlight w:val="none"/>
          <w:u w:val="single"/>
        </w:rPr>
        <w:t xml:space="preserve">               </w:t>
      </w:r>
    </w:p>
    <w:p w14:paraId="66C43F51">
      <w:pPr>
        <w:snapToGrid w:val="0"/>
        <w:spacing w:line="320" w:lineRule="exact"/>
        <w:ind w:firstLine="315" w:firstLineChars="150"/>
        <w:jc w:val="left"/>
        <w:outlineLvl w:val="4"/>
        <w:rPr>
          <w:rFonts w:ascii="宋体" w:hAnsi="宋体"/>
          <w:color w:val="auto"/>
          <w:szCs w:val="21"/>
          <w:highlight w:val="none"/>
        </w:rPr>
      </w:pPr>
    </w:p>
    <w:p w14:paraId="3ED531E0">
      <w:pPr>
        <w:snapToGrid w:val="0"/>
        <w:spacing w:line="320" w:lineRule="exact"/>
        <w:ind w:firstLine="315" w:firstLineChars="150"/>
        <w:jc w:val="left"/>
        <w:outlineLvl w:val="4"/>
        <w:rPr>
          <w:rFonts w:ascii="宋体" w:hAnsi="宋体"/>
          <w:color w:val="auto"/>
          <w:szCs w:val="21"/>
          <w:highlight w:val="none"/>
          <w:u w:val="single"/>
        </w:rPr>
      </w:pPr>
      <w:r>
        <w:rPr>
          <w:rFonts w:hint="eastAsia" w:ascii="宋体" w:hAnsi="宋体"/>
          <w:color w:val="auto"/>
          <w:szCs w:val="21"/>
          <w:highlight w:val="none"/>
        </w:rPr>
        <w:t>投标人</w:t>
      </w:r>
      <w:r>
        <w:rPr>
          <w:rFonts w:hint="eastAsia" w:ascii="宋体" w:hAnsi="宋体" w:cs="宋体"/>
          <w:color w:val="auto"/>
          <w:szCs w:val="21"/>
          <w:highlight w:val="none"/>
        </w:rPr>
        <w:t>电子签章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5A8322E7">
      <w:pPr>
        <w:pStyle w:val="26"/>
        <w:spacing w:line="320" w:lineRule="exact"/>
        <w:ind w:firstLine="315" w:firstLineChars="150"/>
        <w:jc w:val="left"/>
        <w:rPr>
          <w:rFonts w:hAnsi="宋体"/>
          <w:color w:val="auto"/>
          <w:szCs w:val="21"/>
          <w:highlight w:val="none"/>
          <w:u w:val="single"/>
        </w:rPr>
      </w:pPr>
      <w:r>
        <w:rPr>
          <w:rFonts w:hint="eastAsia" w:hAnsi="宋体" w:cs="宋体"/>
          <w:color w:val="auto"/>
          <w:szCs w:val="24"/>
          <w:highlight w:val="none"/>
        </w:rPr>
        <w:t>法定代表人</w:t>
      </w:r>
      <w:r>
        <w:rPr>
          <w:rFonts w:hint="eastAsia" w:hAnsi="宋体"/>
          <w:color w:val="auto"/>
          <w:highlight w:val="none"/>
        </w:rPr>
        <w:t>或相应的委托代理人</w:t>
      </w:r>
      <w:r>
        <w:rPr>
          <w:rFonts w:hint="eastAsia" w:hAnsi="宋体"/>
          <w:color w:val="auto"/>
          <w:szCs w:val="21"/>
          <w:highlight w:val="none"/>
        </w:rPr>
        <w:t>签字（或者电子签名</w:t>
      </w:r>
      <w:r>
        <w:rPr>
          <w:rFonts w:hint="eastAsia" w:hAnsi="宋体" w:cs="宋体"/>
          <w:color w:val="auto"/>
          <w:szCs w:val="21"/>
          <w:highlight w:val="none"/>
        </w:rPr>
        <w:t>）</w:t>
      </w:r>
      <w:r>
        <w:rPr>
          <w:rFonts w:hint="eastAsia" w:hAnsi="宋体"/>
          <w:color w:val="auto"/>
          <w:highlight w:val="none"/>
        </w:rPr>
        <w:t>：</w:t>
      </w:r>
      <w:r>
        <w:rPr>
          <w:rFonts w:hint="eastAsia" w:hAnsi="宋体"/>
          <w:color w:val="auto"/>
          <w:szCs w:val="21"/>
          <w:highlight w:val="none"/>
          <w:u w:val="single"/>
        </w:rPr>
        <w:t xml:space="preserve">                              </w:t>
      </w:r>
    </w:p>
    <w:p w14:paraId="1D05489D">
      <w:pPr>
        <w:spacing w:line="320" w:lineRule="exact"/>
        <w:jc w:val="left"/>
        <w:rPr>
          <w:rFonts w:ascii="宋体" w:hAnsi="宋体"/>
          <w:color w:val="auto"/>
          <w:szCs w:val="21"/>
          <w:highlight w:val="none"/>
          <w:u w:val="single"/>
        </w:rPr>
      </w:pPr>
      <w:r>
        <w:rPr>
          <w:rFonts w:hAnsi="宋体"/>
          <w:color w:val="auto"/>
          <w:highlight w:val="none"/>
        </w:rPr>
        <w:t xml:space="preserve">   </w:t>
      </w:r>
      <w:r>
        <w:rPr>
          <w:rFonts w:hint="eastAsia" w:hAnsi="宋体"/>
          <w:color w:val="auto"/>
          <w:highlight w:val="none"/>
        </w:rPr>
        <w:t>日</w:t>
      </w:r>
      <w:r>
        <w:rPr>
          <w:rFonts w:hAnsi="宋体"/>
          <w:color w:val="auto"/>
          <w:highlight w:val="none"/>
        </w:rPr>
        <w:t xml:space="preserve">     </w:t>
      </w:r>
      <w:r>
        <w:rPr>
          <w:rFonts w:hint="eastAsia" w:hAnsi="宋体"/>
          <w:color w:val="auto"/>
          <w:highlight w:val="none"/>
        </w:rPr>
        <w:t>期：</w:t>
      </w:r>
      <w:r>
        <w:rPr>
          <w:rFonts w:hAnsi="宋体"/>
          <w:color w:val="auto"/>
          <w:highlight w:val="none"/>
          <w:u w:val="single"/>
        </w:rPr>
        <w:t xml:space="preserve">                                                   </w:t>
      </w:r>
    </w:p>
    <w:p w14:paraId="3F43CBF0">
      <w:pPr>
        <w:spacing w:line="400" w:lineRule="exact"/>
        <w:rPr>
          <w:b/>
          <w:color w:val="auto"/>
          <w:sz w:val="32"/>
          <w:szCs w:val="32"/>
          <w:highlight w:val="none"/>
        </w:rPr>
      </w:pPr>
    </w:p>
    <w:p w14:paraId="5641E857">
      <w:pPr>
        <w:spacing w:line="400" w:lineRule="exact"/>
        <w:rPr>
          <w:b/>
          <w:color w:val="auto"/>
          <w:sz w:val="32"/>
          <w:szCs w:val="32"/>
          <w:highlight w:val="none"/>
        </w:rPr>
      </w:pPr>
      <w:r>
        <w:rPr>
          <w:b/>
          <w:color w:val="auto"/>
          <w:sz w:val="32"/>
          <w:szCs w:val="32"/>
          <w:highlight w:val="none"/>
        </w:rPr>
        <w:br w:type="page"/>
      </w:r>
      <w:r>
        <w:rPr>
          <w:rFonts w:hint="eastAsia"/>
          <w:b/>
          <w:color w:val="auto"/>
          <w:sz w:val="32"/>
          <w:szCs w:val="32"/>
          <w:highlight w:val="none"/>
        </w:rPr>
        <w:t>2.投标报价表（必须提供）</w:t>
      </w:r>
    </w:p>
    <w:p w14:paraId="49985B6D">
      <w:pPr>
        <w:spacing w:line="400" w:lineRule="exact"/>
        <w:rPr>
          <w:b/>
          <w:color w:val="auto"/>
          <w:sz w:val="30"/>
          <w:szCs w:val="30"/>
          <w:highlight w:val="none"/>
        </w:rPr>
      </w:pPr>
      <w:r>
        <w:rPr>
          <w:rFonts w:hint="eastAsia"/>
          <w:b/>
          <w:color w:val="auto"/>
          <w:sz w:val="30"/>
          <w:szCs w:val="30"/>
          <w:highlight w:val="none"/>
        </w:rPr>
        <w:t>附件：</w:t>
      </w:r>
    </w:p>
    <w:p w14:paraId="6986DDE5">
      <w:pPr>
        <w:spacing w:line="440" w:lineRule="atLeast"/>
        <w:jc w:val="center"/>
        <w:rPr>
          <w:rFonts w:ascii="宋体" w:hAnsi="宋体"/>
          <w:b/>
          <w:color w:val="auto"/>
          <w:sz w:val="32"/>
          <w:szCs w:val="32"/>
          <w:highlight w:val="none"/>
        </w:rPr>
      </w:pPr>
      <w:r>
        <w:rPr>
          <w:rFonts w:hint="eastAsia"/>
          <w:b/>
          <w:color w:val="auto"/>
          <w:sz w:val="32"/>
          <w:szCs w:val="32"/>
          <w:highlight w:val="none"/>
        </w:rPr>
        <w:t>投标报价表（格式）</w:t>
      </w:r>
    </w:p>
    <w:p w14:paraId="0F060133">
      <w:pPr>
        <w:spacing w:line="240" w:lineRule="exact"/>
        <w:jc w:val="center"/>
        <w:rPr>
          <w:rFonts w:ascii="宋体" w:hAnsi="宋体"/>
          <w:color w:val="auto"/>
          <w:sz w:val="32"/>
          <w:highlight w:val="none"/>
        </w:rPr>
      </w:pPr>
    </w:p>
    <w:p w14:paraId="1F075C81">
      <w:pPr>
        <w:spacing w:line="400" w:lineRule="exact"/>
        <w:rPr>
          <w:rFonts w:ascii="宋体" w:hAnsi="宋体"/>
          <w:color w:val="auto"/>
          <w:highlight w:val="none"/>
        </w:rPr>
      </w:pPr>
      <w:r>
        <w:rPr>
          <w:rFonts w:hint="eastAsia" w:ascii="宋体" w:hAnsi="宋体"/>
          <w:color w:val="auto"/>
          <w:szCs w:val="21"/>
          <w:highlight w:val="none"/>
        </w:rPr>
        <w:t>致：</w:t>
      </w:r>
      <w:r>
        <w:rPr>
          <w:rFonts w:hint="eastAsia" w:ascii="宋体" w:hAnsi="宋体"/>
          <w:color w:val="auto"/>
          <w:highlight w:val="none"/>
          <w:u w:val="single"/>
        </w:rPr>
        <w:t>云之龙咨询集团有限公司</w:t>
      </w:r>
    </w:p>
    <w:p w14:paraId="7412E6E7">
      <w:pPr>
        <w:spacing w:line="400" w:lineRule="exact"/>
        <w:rPr>
          <w:rFonts w:ascii="宋体" w:hAnsi="宋体"/>
          <w:color w:val="auto"/>
          <w:szCs w:val="21"/>
          <w:highlight w:val="none"/>
        </w:rPr>
      </w:pPr>
    </w:p>
    <w:p w14:paraId="2E2CCD3C">
      <w:pPr>
        <w:pStyle w:val="26"/>
        <w:spacing w:line="360" w:lineRule="exact"/>
        <w:ind w:firstLine="420"/>
        <w:rPr>
          <w:rFonts w:hint="eastAsia" w:hAnsi="宋体"/>
          <w:color w:val="auto"/>
          <w:highlight w:val="none"/>
        </w:rPr>
      </w:pPr>
      <w:r>
        <w:rPr>
          <w:rFonts w:hint="eastAsia" w:hAnsi="宋体"/>
          <w:color w:val="auto"/>
          <w:highlight w:val="none"/>
        </w:rPr>
        <w:t>根据贵方</w:t>
      </w:r>
      <w:r>
        <w:rPr>
          <w:rFonts w:hint="eastAsia" w:hAnsi="宋体"/>
          <w:color w:val="auto"/>
          <w:highlight w:val="none"/>
          <w:u w:val="single"/>
        </w:rPr>
        <w:t xml:space="preserve">           </w:t>
      </w:r>
      <w:r>
        <w:rPr>
          <w:rFonts w:hint="eastAsia" w:hAnsi="宋体"/>
          <w:color w:val="auto"/>
          <w:highlight w:val="none"/>
        </w:rPr>
        <w:t>项目招标文件，项目编号</w:t>
      </w:r>
      <w:r>
        <w:rPr>
          <w:rFonts w:hint="eastAsia" w:hAnsi="宋体"/>
          <w:color w:val="auto"/>
          <w:szCs w:val="21"/>
          <w:highlight w:val="none"/>
          <w:u w:val="single"/>
        </w:rPr>
        <w:t xml:space="preserve">            </w:t>
      </w:r>
      <w:r>
        <w:rPr>
          <w:rFonts w:hint="eastAsia" w:hAnsi="宋体"/>
          <w:color w:val="auto"/>
          <w:szCs w:val="21"/>
          <w:highlight w:val="none"/>
        </w:rPr>
        <w:t>，签字代表</w:t>
      </w:r>
      <w:r>
        <w:rPr>
          <w:rFonts w:hint="eastAsia" w:hAnsi="宋体"/>
          <w:color w:val="auto"/>
          <w:highlight w:val="none"/>
          <w:u w:val="single"/>
        </w:rPr>
        <w:t xml:space="preserve">         </w:t>
      </w:r>
      <w:r>
        <w:rPr>
          <w:rFonts w:hint="eastAsia" w:hAnsi="宋体"/>
          <w:color w:val="auto"/>
          <w:highlight w:val="none"/>
        </w:rPr>
        <w:t xml:space="preserve">（姓名）经正式授权并代表投标人 </w:t>
      </w:r>
      <w:r>
        <w:rPr>
          <w:rFonts w:hint="eastAsia" w:hAnsi="宋体"/>
          <w:color w:val="auto"/>
          <w:highlight w:val="none"/>
          <w:u w:val="single"/>
        </w:rPr>
        <w:t xml:space="preserve">                                   （</w:t>
      </w:r>
      <w:r>
        <w:rPr>
          <w:rFonts w:hint="eastAsia" w:hAnsi="宋体"/>
          <w:color w:val="auto"/>
          <w:highlight w:val="none"/>
        </w:rPr>
        <w:t>投标单位名称），并做出如下报价：</w:t>
      </w:r>
    </w:p>
    <w:p w14:paraId="5DE14FD3">
      <w:pPr>
        <w:pStyle w:val="13"/>
        <w:ind w:left="0" w:leftChars="0" w:firstLine="0" w:firstLineChars="0"/>
        <w:rPr>
          <w:rFonts w:hint="default" w:eastAsia="宋体"/>
          <w:b/>
          <w:bCs/>
          <w:color w:val="auto"/>
          <w:highlight w:val="none"/>
          <w:u w:val="single"/>
          <w:lang w:val="en-US" w:eastAsia="zh-CN"/>
        </w:rPr>
      </w:pPr>
      <w:r>
        <w:rPr>
          <w:rFonts w:hint="eastAsia" w:hAnsi="宋体"/>
          <w:b/>
          <w:bCs/>
          <w:color w:val="auto"/>
          <w:highlight w:val="none"/>
          <w:lang w:eastAsia="zh-CN"/>
        </w:rPr>
        <w:t>分标</w:t>
      </w:r>
      <w:r>
        <w:rPr>
          <w:rFonts w:hint="eastAsia" w:hAnsi="宋体"/>
          <w:b/>
          <w:bCs/>
          <w:color w:val="auto"/>
          <w:highlight w:val="none"/>
          <w:u w:val="single"/>
          <w:lang w:val="en-US" w:eastAsia="zh-CN"/>
        </w:rPr>
        <w:t xml:space="preserve">   </w:t>
      </w:r>
    </w:p>
    <w:tbl>
      <w:tblPr>
        <w:tblStyle w:val="51"/>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90"/>
        <w:gridCol w:w="1064"/>
        <w:gridCol w:w="1315"/>
        <w:gridCol w:w="849"/>
        <w:gridCol w:w="1378"/>
        <w:gridCol w:w="747"/>
        <w:gridCol w:w="495"/>
        <w:gridCol w:w="846"/>
        <w:gridCol w:w="1259"/>
        <w:gridCol w:w="1311"/>
      </w:tblGrid>
      <w:tr w14:paraId="43B45A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300" w:type="pct"/>
            <w:tcBorders>
              <w:top w:val="single" w:color="auto" w:sz="4" w:space="0"/>
              <w:left w:val="single" w:color="auto" w:sz="4" w:space="0"/>
              <w:bottom w:val="single" w:color="auto" w:sz="4" w:space="0"/>
              <w:right w:val="single" w:color="auto" w:sz="4" w:space="0"/>
            </w:tcBorders>
            <w:vAlign w:val="center"/>
          </w:tcPr>
          <w:p w14:paraId="0A50E8FA">
            <w:pPr>
              <w:spacing w:line="260" w:lineRule="exact"/>
              <w:jc w:val="center"/>
              <w:rPr>
                <w:rFonts w:hint="eastAsia" w:ascii="宋体" w:hAnsi="宋体" w:eastAsia="宋体"/>
                <w:color w:val="auto"/>
                <w:highlight w:val="none"/>
                <w:lang w:eastAsia="zh-CN"/>
              </w:rPr>
            </w:pPr>
            <w:r>
              <w:rPr>
                <w:rFonts w:hint="eastAsia" w:ascii="宋体" w:hAnsi="宋体"/>
                <w:color w:val="auto"/>
                <w:highlight w:val="none"/>
                <w:lang w:eastAsia="zh-CN"/>
              </w:rPr>
              <w:t>项号</w:t>
            </w:r>
          </w:p>
        </w:tc>
        <w:tc>
          <w:tcPr>
            <w:tcW w:w="540" w:type="pct"/>
            <w:tcBorders>
              <w:top w:val="single" w:color="auto" w:sz="4" w:space="0"/>
              <w:left w:val="single" w:color="auto" w:sz="4" w:space="0"/>
              <w:bottom w:val="single" w:color="auto" w:sz="4" w:space="0"/>
              <w:right w:val="single" w:color="auto" w:sz="4" w:space="0"/>
            </w:tcBorders>
            <w:vAlign w:val="center"/>
          </w:tcPr>
          <w:p w14:paraId="6D8B34DF">
            <w:pPr>
              <w:spacing w:line="260" w:lineRule="exact"/>
              <w:jc w:val="center"/>
              <w:rPr>
                <w:rFonts w:hint="eastAsia" w:ascii="宋体" w:hAnsi="宋体"/>
                <w:color w:val="auto"/>
                <w:highlight w:val="none"/>
              </w:rPr>
            </w:pPr>
            <w:r>
              <w:rPr>
                <w:rFonts w:hint="eastAsia" w:ascii="宋体" w:hAnsi="宋体"/>
                <w:color w:val="auto"/>
                <w:highlight w:val="none"/>
              </w:rPr>
              <w:t>标的名称</w:t>
            </w:r>
          </w:p>
        </w:tc>
        <w:tc>
          <w:tcPr>
            <w:tcW w:w="667" w:type="pct"/>
            <w:tcBorders>
              <w:top w:val="single" w:color="auto" w:sz="4" w:space="0"/>
              <w:left w:val="single" w:color="auto" w:sz="4" w:space="0"/>
              <w:bottom w:val="single" w:color="auto" w:sz="4" w:space="0"/>
              <w:right w:val="single" w:color="auto" w:sz="4" w:space="0"/>
            </w:tcBorders>
            <w:vAlign w:val="center"/>
          </w:tcPr>
          <w:p w14:paraId="0A13F774">
            <w:pPr>
              <w:spacing w:line="260" w:lineRule="exact"/>
              <w:jc w:val="center"/>
              <w:rPr>
                <w:rFonts w:ascii="宋体" w:hAnsi="宋体"/>
                <w:color w:val="auto"/>
                <w:highlight w:val="none"/>
              </w:rPr>
            </w:pPr>
            <w:r>
              <w:rPr>
                <w:rFonts w:hint="eastAsia" w:ascii="宋体" w:hAnsi="宋体"/>
                <w:color w:val="auto"/>
                <w:highlight w:val="none"/>
              </w:rPr>
              <w:t>生产厂家</w:t>
            </w:r>
          </w:p>
        </w:tc>
        <w:tc>
          <w:tcPr>
            <w:tcW w:w="431" w:type="pct"/>
            <w:tcBorders>
              <w:top w:val="single" w:color="auto" w:sz="4" w:space="0"/>
              <w:left w:val="single" w:color="auto" w:sz="4" w:space="0"/>
              <w:bottom w:val="single" w:color="auto" w:sz="4" w:space="0"/>
              <w:right w:val="single" w:color="auto" w:sz="4" w:space="0"/>
            </w:tcBorders>
            <w:vAlign w:val="center"/>
          </w:tcPr>
          <w:p w14:paraId="2632B029">
            <w:pPr>
              <w:spacing w:line="260" w:lineRule="exact"/>
              <w:jc w:val="center"/>
              <w:rPr>
                <w:rFonts w:ascii="宋体" w:hAnsi="宋体"/>
                <w:color w:val="auto"/>
                <w:highlight w:val="none"/>
              </w:rPr>
            </w:pPr>
            <w:r>
              <w:rPr>
                <w:rFonts w:hint="eastAsia" w:ascii="宋体" w:hAnsi="宋体"/>
                <w:color w:val="auto"/>
                <w:highlight w:val="none"/>
              </w:rPr>
              <w:t>品牌</w:t>
            </w:r>
          </w:p>
        </w:tc>
        <w:tc>
          <w:tcPr>
            <w:tcW w:w="699" w:type="pct"/>
            <w:tcBorders>
              <w:top w:val="single" w:color="auto" w:sz="4" w:space="0"/>
              <w:left w:val="single" w:color="auto" w:sz="4" w:space="0"/>
              <w:bottom w:val="single" w:color="auto" w:sz="4" w:space="0"/>
              <w:right w:val="single" w:color="auto" w:sz="4" w:space="0"/>
            </w:tcBorders>
            <w:vAlign w:val="center"/>
          </w:tcPr>
          <w:p w14:paraId="011FEBE8">
            <w:pPr>
              <w:spacing w:line="260" w:lineRule="exact"/>
              <w:jc w:val="center"/>
              <w:rPr>
                <w:rFonts w:ascii="宋体" w:hAnsi="宋体"/>
                <w:color w:val="auto"/>
                <w:highlight w:val="none"/>
              </w:rPr>
            </w:pPr>
            <w:r>
              <w:rPr>
                <w:rFonts w:hint="eastAsia" w:ascii="宋体" w:hAnsi="宋体"/>
                <w:color w:val="auto"/>
                <w:highlight w:val="none"/>
              </w:rPr>
              <w:t>规格型号</w:t>
            </w:r>
          </w:p>
        </w:tc>
        <w:tc>
          <w:tcPr>
            <w:tcW w:w="379" w:type="pct"/>
            <w:tcBorders>
              <w:top w:val="single" w:color="auto" w:sz="4" w:space="0"/>
              <w:left w:val="single" w:color="auto" w:sz="4" w:space="0"/>
              <w:bottom w:val="single" w:color="auto" w:sz="4" w:space="0"/>
              <w:right w:val="single" w:color="auto" w:sz="4" w:space="0"/>
            </w:tcBorders>
            <w:vAlign w:val="center"/>
          </w:tcPr>
          <w:p w14:paraId="17247A32">
            <w:pPr>
              <w:spacing w:line="260" w:lineRule="exact"/>
              <w:jc w:val="center"/>
              <w:rPr>
                <w:rFonts w:ascii="宋体" w:hAnsi="宋体"/>
                <w:color w:val="auto"/>
                <w:highlight w:val="none"/>
              </w:rPr>
            </w:pPr>
            <w:r>
              <w:rPr>
                <w:rFonts w:hint="eastAsia" w:ascii="宋体" w:hAnsi="宋体"/>
                <w:color w:val="auto"/>
                <w:highlight w:val="none"/>
              </w:rPr>
              <w:t>数量</w:t>
            </w:r>
          </w:p>
          <w:p w14:paraId="14855941">
            <w:pPr>
              <w:spacing w:line="260" w:lineRule="exact"/>
              <w:jc w:val="center"/>
              <w:rPr>
                <w:rFonts w:ascii="宋体" w:hAnsi="宋体"/>
                <w:color w:val="auto"/>
                <w:highlight w:val="none"/>
              </w:rPr>
            </w:pPr>
            <w:r>
              <w:rPr>
                <w:rFonts w:hint="eastAsia" w:ascii="宋体" w:hAnsi="宋体"/>
                <w:color w:val="auto"/>
                <w:szCs w:val="21"/>
                <w:highlight w:val="none"/>
              </w:rPr>
              <w:t>①</w:t>
            </w:r>
          </w:p>
        </w:tc>
        <w:tc>
          <w:tcPr>
            <w:tcW w:w="251" w:type="pct"/>
            <w:tcBorders>
              <w:top w:val="single" w:color="auto" w:sz="4" w:space="0"/>
              <w:left w:val="single" w:color="auto" w:sz="4" w:space="0"/>
              <w:bottom w:val="single" w:color="auto" w:sz="4" w:space="0"/>
              <w:right w:val="single" w:color="auto" w:sz="4" w:space="0"/>
            </w:tcBorders>
            <w:vAlign w:val="center"/>
          </w:tcPr>
          <w:p w14:paraId="5B28F56A">
            <w:pPr>
              <w:spacing w:line="260" w:lineRule="exact"/>
              <w:jc w:val="center"/>
              <w:rPr>
                <w:rFonts w:ascii="宋体" w:hAnsi="宋体"/>
                <w:color w:val="auto"/>
                <w:highlight w:val="none"/>
              </w:rPr>
            </w:pPr>
            <w:r>
              <w:rPr>
                <w:rFonts w:hint="eastAsia" w:ascii="宋体" w:hAnsi="宋体"/>
                <w:color w:val="auto"/>
                <w:highlight w:val="none"/>
              </w:rPr>
              <w:t>单位</w:t>
            </w:r>
          </w:p>
        </w:tc>
        <w:tc>
          <w:tcPr>
            <w:tcW w:w="429" w:type="pct"/>
            <w:tcBorders>
              <w:top w:val="single" w:color="auto" w:sz="4" w:space="0"/>
              <w:left w:val="single" w:color="auto" w:sz="4" w:space="0"/>
              <w:bottom w:val="single" w:color="auto" w:sz="4" w:space="0"/>
              <w:right w:val="single" w:color="auto" w:sz="4" w:space="0"/>
            </w:tcBorders>
            <w:vAlign w:val="center"/>
          </w:tcPr>
          <w:p w14:paraId="5D2B5F36">
            <w:pPr>
              <w:spacing w:line="260" w:lineRule="exact"/>
              <w:jc w:val="center"/>
              <w:rPr>
                <w:rFonts w:ascii="宋体" w:hAnsi="宋体"/>
                <w:color w:val="auto"/>
                <w:highlight w:val="none"/>
              </w:rPr>
            </w:pPr>
            <w:r>
              <w:rPr>
                <w:rFonts w:hint="eastAsia" w:ascii="宋体" w:hAnsi="宋体"/>
                <w:color w:val="auto"/>
                <w:highlight w:val="none"/>
              </w:rPr>
              <w:t>单价（元）</w:t>
            </w:r>
          </w:p>
          <w:p w14:paraId="11EF4016">
            <w:pPr>
              <w:spacing w:line="260" w:lineRule="exact"/>
              <w:jc w:val="center"/>
              <w:rPr>
                <w:rFonts w:ascii="宋体" w:hAnsi="宋体"/>
                <w:color w:val="auto"/>
                <w:highlight w:val="none"/>
              </w:rPr>
            </w:pPr>
            <w:r>
              <w:rPr>
                <w:rFonts w:hint="eastAsia" w:ascii="宋体" w:hAnsi="宋体"/>
                <w:color w:val="auto"/>
                <w:szCs w:val="21"/>
                <w:highlight w:val="none"/>
              </w:rPr>
              <w:t>②</w:t>
            </w:r>
          </w:p>
        </w:tc>
        <w:tc>
          <w:tcPr>
            <w:tcW w:w="639" w:type="pct"/>
            <w:tcBorders>
              <w:top w:val="single" w:color="auto" w:sz="4" w:space="0"/>
              <w:left w:val="single" w:color="auto" w:sz="4" w:space="0"/>
              <w:bottom w:val="single" w:color="auto" w:sz="4" w:space="0"/>
            </w:tcBorders>
            <w:vAlign w:val="center"/>
          </w:tcPr>
          <w:p w14:paraId="2C8742CB">
            <w:pPr>
              <w:spacing w:line="260" w:lineRule="exact"/>
              <w:jc w:val="center"/>
              <w:rPr>
                <w:rFonts w:ascii="宋体" w:hAnsi="宋体"/>
                <w:color w:val="auto"/>
                <w:highlight w:val="none"/>
              </w:rPr>
            </w:pPr>
            <w:r>
              <w:rPr>
                <w:rFonts w:hint="eastAsia" w:ascii="宋体" w:hAnsi="宋体"/>
                <w:color w:val="auto"/>
                <w:highlight w:val="none"/>
              </w:rPr>
              <w:t>单项合计=数量×单价</w:t>
            </w:r>
          </w:p>
          <w:p w14:paraId="4CCFF83D">
            <w:pPr>
              <w:spacing w:line="260" w:lineRule="exact"/>
              <w:jc w:val="center"/>
              <w:rPr>
                <w:rFonts w:ascii="宋体" w:hAnsi="宋体"/>
                <w:color w:val="auto"/>
                <w:highlight w:val="none"/>
              </w:rPr>
            </w:pPr>
            <w:r>
              <w:rPr>
                <w:rFonts w:hint="eastAsia" w:ascii="宋体" w:hAnsi="宋体"/>
                <w:color w:val="auto"/>
                <w:szCs w:val="21"/>
                <w:highlight w:val="none"/>
              </w:rPr>
              <w:t>③=①×②</w:t>
            </w:r>
          </w:p>
        </w:tc>
        <w:tc>
          <w:tcPr>
            <w:tcW w:w="661" w:type="pct"/>
            <w:tcBorders>
              <w:top w:val="single" w:color="auto" w:sz="4" w:space="0"/>
              <w:left w:val="single" w:color="auto" w:sz="4" w:space="0"/>
              <w:bottom w:val="single" w:color="auto" w:sz="4" w:space="0"/>
            </w:tcBorders>
            <w:vAlign w:val="center"/>
          </w:tcPr>
          <w:p w14:paraId="4D8CF1CE">
            <w:pPr>
              <w:spacing w:line="260" w:lineRule="exact"/>
              <w:jc w:val="center"/>
              <w:rPr>
                <w:rFonts w:ascii="宋体" w:hAnsi="宋体"/>
                <w:color w:val="auto"/>
                <w:highlight w:val="none"/>
              </w:rPr>
            </w:pPr>
            <w:r>
              <w:rPr>
                <w:rFonts w:hint="eastAsia" w:ascii="宋体" w:hAnsi="宋体"/>
                <w:color w:val="auto"/>
                <w:highlight w:val="none"/>
              </w:rPr>
              <w:t>备注</w:t>
            </w:r>
          </w:p>
        </w:tc>
      </w:tr>
      <w:tr w14:paraId="12BF74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88" w:hRule="atLeast"/>
        </w:trPr>
        <w:tc>
          <w:tcPr>
            <w:tcW w:w="300" w:type="pct"/>
            <w:tcBorders>
              <w:top w:val="single" w:color="auto" w:sz="4" w:space="0"/>
              <w:left w:val="single" w:color="auto" w:sz="4" w:space="0"/>
              <w:right w:val="single" w:color="auto" w:sz="4" w:space="0"/>
            </w:tcBorders>
            <w:vAlign w:val="center"/>
          </w:tcPr>
          <w:p w14:paraId="01F84BA2">
            <w:pPr>
              <w:widowControl/>
              <w:jc w:val="center"/>
              <w:outlineLvl w:val="0"/>
              <w:rPr>
                <w:rFonts w:hint="eastAsia" w:ascii="宋体" w:hAnsi="宋体" w:eastAsia="宋体"/>
                <w:color w:val="auto"/>
                <w:highlight w:val="none"/>
                <w:lang w:val="en-US" w:eastAsia="zh-CN"/>
              </w:rPr>
            </w:pPr>
            <w:r>
              <w:rPr>
                <w:rFonts w:hint="eastAsia" w:ascii="宋体" w:hAnsi="宋体"/>
                <w:color w:val="auto"/>
                <w:highlight w:val="none"/>
                <w:lang w:val="en-US" w:eastAsia="zh-CN"/>
              </w:rPr>
              <w:t>1</w:t>
            </w:r>
          </w:p>
        </w:tc>
        <w:tc>
          <w:tcPr>
            <w:tcW w:w="540" w:type="pct"/>
            <w:tcBorders>
              <w:top w:val="single" w:color="auto" w:sz="4" w:space="0"/>
              <w:left w:val="single" w:color="auto" w:sz="4" w:space="0"/>
              <w:right w:val="single" w:color="auto" w:sz="4" w:space="0"/>
            </w:tcBorders>
            <w:vAlign w:val="center"/>
          </w:tcPr>
          <w:p w14:paraId="1D2B8C8E">
            <w:pPr>
              <w:widowControl/>
              <w:jc w:val="center"/>
              <w:outlineLvl w:val="0"/>
              <w:rPr>
                <w:rFonts w:ascii="宋体" w:hAnsi="宋体"/>
                <w:color w:val="auto"/>
                <w:highlight w:val="none"/>
              </w:rPr>
            </w:pPr>
          </w:p>
        </w:tc>
        <w:tc>
          <w:tcPr>
            <w:tcW w:w="667" w:type="pct"/>
            <w:tcBorders>
              <w:top w:val="single" w:color="auto" w:sz="4" w:space="0"/>
              <w:left w:val="single" w:color="auto" w:sz="4" w:space="0"/>
              <w:bottom w:val="single" w:color="auto" w:sz="4" w:space="0"/>
              <w:right w:val="single" w:color="auto" w:sz="4" w:space="0"/>
            </w:tcBorders>
            <w:vAlign w:val="center"/>
          </w:tcPr>
          <w:p w14:paraId="33CD860F">
            <w:pPr>
              <w:widowControl/>
              <w:jc w:val="center"/>
              <w:outlineLvl w:val="0"/>
              <w:rPr>
                <w:rFonts w:ascii="宋体" w:hAnsi="宋体"/>
                <w:color w:val="auto"/>
                <w:highlight w:val="none"/>
              </w:rPr>
            </w:pPr>
          </w:p>
        </w:tc>
        <w:tc>
          <w:tcPr>
            <w:tcW w:w="431" w:type="pct"/>
            <w:tcBorders>
              <w:top w:val="single" w:color="auto" w:sz="4" w:space="0"/>
              <w:left w:val="single" w:color="auto" w:sz="4" w:space="0"/>
              <w:bottom w:val="single" w:color="auto" w:sz="4" w:space="0"/>
              <w:right w:val="single" w:color="auto" w:sz="4" w:space="0"/>
            </w:tcBorders>
            <w:vAlign w:val="center"/>
          </w:tcPr>
          <w:p w14:paraId="2727365B">
            <w:pPr>
              <w:spacing w:line="440" w:lineRule="exact"/>
              <w:jc w:val="center"/>
              <w:rPr>
                <w:rFonts w:ascii="宋体" w:hAnsi="宋体"/>
                <w:color w:val="auto"/>
                <w:highlight w:val="none"/>
              </w:rPr>
            </w:pPr>
          </w:p>
        </w:tc>
        <w:tc>
          <w:tcPr>
            <w:tcW w:w="699" w:type="pct"/>
            <w:tcBorders>
              <w:top w:val="single" w:color="auto" w:sz="4" w:space="0"/>
              <w:left w:val="single" w:color="auto" w:sz="4" w:space="0"/>
              <w:bottom w:val="single" w:color="auto" w:sz="4" w:space="0"/>
              <w:right w:val="single" w:color="auto" w:sz="4" w:space="0"/>
            </w:tcBorders>
            <w:vAlign w:val="center"/>
          </w:tcPr>
          <w:p w14:paraId="2DE597DE">
            <w:pPr>
              <w:spacing w:line="440" w:lineRule="exact"/>
              <w:jc w:val="center"/>
              <w:rPr>
                <w:rFonts w:ascii="宋体" w:hAnsi="宋体"/>
                <w:color w:val="auto"/>
                <w:highlight w:val="none"/>
              </w:rPr>
            </w:pPr>
          </w:p>
        </w:tc>
        <w:tc>
          <w:tcPr>
            <w:tcW w:w="379" w:type="pct"/>
            <w:tcBorders>
              <w:top w:val="single" w:color="auto" w:sz="4" w:space="0"/>
              <w:left w:val="single" w:color="auto" w:sz="4" w:space="0"/>
              <w:bottom w:val="single" w:color="auto" w:sz="4" w:space="0"/>
              <w:right w:val="single" w:color="auto" w:sz="4" w:space="0"/>
            </w:tcBorders>
            <w:vAlign w:val="center"/>
          </w:tcPr>
          <w:p w14:paraId="5C8B1AE5">
            <w:pPr>
              <w:widowControl/>
              <w:jc w:val="center"/>
              <w:outlineLvl w:val="0"/>
              <w:rPr>
                <w:rFonts w:ascii="宋体" w:hAnsi="宋体" w:cs="宋体"/>
                <w:color w:val="auto"/>
                <w:szCs w:val="21"/>
                <w:highlight w:val="none"/>
              </w:rPr>
            </w:pPr>
          </w:p>
        </w:tc>
        <w:tc>
          <w:tcPr>
            <w:tcW w:w="251" w:type="pct"/>
            <w:tcBorders>
              <w:top w:val="single" w:color="auto" w:sz="4" w:space="0"/>
              <w:left w:val="single" w:color="auto" w:sz="4" w:space="0"/>
              <w:bottom w:val="single" w:color="auto" w:sz="4" w:space="0"/>
              <w:right w:val="single" w:color="auto" w:sz="4" w:space="0"/>
            </w:tcBorders>
            <w:vAlign w:val="center"/>
          </w:tcPr>
          <w:p w14:paraId="40D82DA5">
            <w:pPr>
              <w:widowControl/>
              <w:jc w:val="center"/>
              <w:outlineLvl w:val="0"/>
              <w:rPr>
                <w:rFonts w:ascii="宋体" w:hAnsi="宋体" w:cs="宋体"/>
                <w:color w:val="auto"/>
                <w:szCs w:val="21"/>
                <w:highlight w:val="none"/>
              </w:rPr>
            </w:pPr>
          </w:p>
        </w:tc>
        <w:tc>
          <w:tcPr>
            <w:tcW w:w="429" w:type="pct"/>
            <w:tcBorders>
              <w:top w:val="single" w:color="auto" w:sz="4" w:space="0"/>
              <w:left w:val="single" w:color="auto" w:sz="4" w:space="0"/>
              <w:bottom w:val="single" w:color="auto" w:sz="4" w:space="0"/>
              <w:right w:val="single" w:color="auto" w:sz="4" w:space="0"/>
            </w:tcBorders>
            <w:vAlign w:val="center"/>
          </w:tcPr>
          <w:p w14:paraId="71E6EC7F">
            <w:pPr>
              <w:spacing w:line="440" w:lineRule="exact"/>
              <w:jc w:val="center"/>
              <w:rPr>
                <w:rFonts w:ascii="宋体" w:hAnsi="宋体"/>
                <w:b/>
                <w:bCs/>
                <w:color w:val="auto"/>
                <w:highlight w:val="none"/>
              </w:rPr>
            </w:pPr>
          </w:p>
        </w:tc>
        <w:tc>
          <w:tcPr>
            <w:tcW w:w="639" w:type="pct"/>
            <w:tcBorders>
              <w:top w:val="single" w:color="auto" w:sz="4" w:space="0"/>
              <w:left w:val="single" w:color="auto" w:sz="4" w:space="0"/>
              <w:bottom w:val="single" w:color="auto" w:sz="4" w:space="0"/>
            </w:tcBorders>
            <w:vAlign w:val="center"/>
          </w:tcPr>
          <w:p w14:paraId="1C97E832">
            <w:pPr>
              <w:spacing w:line="440" w:lineRule="exact"/>
              <w:jc w:val="center"/>
              <w:rPr>
                <w:rFonts w:ascii="宋体" w:hAnsi="宋体"/>
                <w:b/>
                <w:bCs/>
                <w:color w:val="auto"/>
                <w:highlight w:val="none"/>
              </w:rPr>
            </w:pPr>
          </w:p>
        </w:tc>
        <w:tc>
          <w:tcPr>
            <w:tcW w:w="661" w:type="pct"/>
            <w:vMerge w:val="restart"/>
            <w:tcBorders>
              <w:top w:val="single" w:color="auto" w:sz="4" w:space="0"/>
              <w:left w:val="single" w:color="auto" w:sz="4" w:space="0"/>
            </w:tcBorders>
            <w:vAlign w:val="center"/>
          </w:tcPr>
          <w:p w14:paraId="0E000B70">
            <w:pPr>
              <w:spacing w:line="440" w:lineRule="exact"/>
              <w:jc w:val="center"/>
              <w:rPr>
                <w:rFonts w:ascii="宋体" w:hAnsi="宋体"/>
                <w:bCs/>
                <w:color w:val="auto"/>
                <w:highlight w:val="none"/>
              </w:rPr>
            </w:pPr>
            <w:r>
              <w:rPr>
                <w:rFonts w:hint="eastAsia" w:ascii="宋体" w:hAnsi="宋体"/>
                <w:bCs/>
                <w:color w:val="auto"/>
                <w:highlight w:val="none"/>
              </w:rPr>
              <w:t>所投标的技术参数、配置等，详见“技术偏离表”</w:t>
            </w:r>
          </w:p>
        </w:tc>
      </w:tr>
      <w:tr w14:paraId="26753D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88" w:hRule="atLeast"/>
        </w:trPr>
        <w:tc>
          <w:tcPr>
            <w:tcW w:w="300" w:type="pct"/>
            <w:tcBorders>
              <w:top w:val="single" w:color="auto" w:sz="4" w:space="0"/>
              <w:left w:val="single" w:color="auto" w:sz="4" w:space="0"/>
              <w:right w:val="single" w:color="auto" w:sz="4" w:space="0"/>
            </w:tcBorders>
            <w:vAlign w:val="center"/>
          </w:tcPr>
          <w:p w14:paraId="2EA21A13">
            <w:pPr>
              <w:widowControl/>
              <w:jc w:val="center"/>
              <w:outlineLvl w:val="0"/>
              <w:rPr>
                <w:rFonts w:hint="eastAsia" w:ascii="宋体" w:hAnsi="宋体" w:eastAsia="宋体"/>
                <w:color w:val="auto"/>
                <w:highlight w:val="none"/>
                <w:lang w:val="en-US" w:eastAsia="zh-CN"/>
              </w:rPr>
            </w:pPr>
            <w:r>
              <w:rPr>
                <w:rFonts w:hint="eastAsia" w:ascii="宋体" w:hAnsi="宋体"/>
                <w:color w:val="auto"/>
                <w:highlight w:val="none"/>
                <w:lang w:val="en-US" w:eastAsia="zh-CN"/>
              </w:rPr>
              <w:t>2</w:t>
            </w:r>
          </w:p>
        </w:tc>
        <w:tc>
          <w:tcPr>
            <w:tcW w:w="540" w:type="pct"/>
            <w:tcBorders>
              <w:top w:val="single" w:color="auto" w:sz="4" w:space="0"/>
              <w:left w:val="single" w:color="auto" w:sz="4" w:space="0"/>
              <w:right w:val="single" w:color="auto" w:sz="4" w:space="0"/>
            </w:tcBorders>
            <w:vAlign w:val="center"/>
          </w:tcPr>
          <w:p w14:paraId="61EF6CC4">
            <w:pPr>
              <w:widowControl/>
              <w:jc w:val="center"/>
              <w:outlineLvl w:val="0"/>
              <w:rPr>
                <w:rFonts w:ascii="宋体" w:hAnsi="宋体"/>
                <w:color w:val="auto"/>
                <w:highlight w:val="none"/>
              </w:rPr>
            </w:pPr>
          </w:p>
        </w:tc>
        <w:tc>
          <w:tcPr>
            <w:tcW w:w="667" w:type="pct"/>
            <w:tcBorders>
              <w:top w:val="single" w:color="auto" w:sz="4" w:space="0"/>
              <w:left w:val="single" w:color="auto" w:sz="4" w:space="0"/>
              <w:bottom w:val="single" w:color="auto" w:sz="4" w:space="0"/>
              <w:right w:val="single" w:color="auto" w:sz="4" w:space="0"/>
            </w:tcBorders>
            <w:vAlign w:val="center"/>
          </w:tcPr>
          <w:p w14:paraId="12F752A0">
            <w:pPr>
              <w:widowControl/>
              <w:jc w:val="center"/>
              <w:outlineLvl w:val="0"/>
              <w:rPr>
                <w:rFonts w:ascii="宋体" w:hAnsi="宋体"/>
                <w:color w:val="auto"/>
                <w:highlight w:val="none"/>
              </w:rPr>
            </w:pPr>
          </w:p>
        </w:tc>
        <w:tc>
          <w:tcPr>
            <w:tcW w:w="431" w:type="pct"/>
            <w:tcBorders>
              <w:top w:val="single" w:color="auto" w:sz="4" w:space="0"/>
              <w:left w:val="single" w:color="auto" w:sz="4" w:space="0"/>
              <w:bottom w:val="single" w:color="auto" w:sz="4" w:space="0"/>
              <w:right w:val="single" w:color="auto" w:sz="4" w:space="0"/>
            </w:tcBorders>
            <w:vAlign w:val="center"/>
          </w:tcPr>
          <w:p w14:paraId="459E2F2D">
            <w:pPr>
              <w:spacing w:line="440" w:lineRule="exact"/>
              <w:jc w:val="center"/>
              <w:rPr>
                <w:rFonts w:ascii="宋体" w:hAnsi="宋体"/>
                <w:color w:val="auto"/>
                <w:highlight w:val="none"/>
              </w:rPr>
            </w:pPr>
          </w:p>
        </w:tc>
        <w:tc>
          <w:tcPr>
            <w:tcW w:w="699" w:type="pct"/>
            <w:tcBorders>
              <w:top w:val="single" w:color="auto" w:sz="4" w:space="0"/>
              <w:left w:val="single" w:color="auto" w:sz="4" w:space="0"/>
              <w:bottom w:val="single" w:color="auto" w:sz="4" w:space="0"/>
              <w:right w:val="single" w:color="auto" w:sz="4" w:space="0"/>
            </w:tcBorders>
            <w:vAlign w:val="center"/>
          </w:tcPr>
          <w:p w14:paraId="070FC56B">
            <w:pPr>
              <w:spacing w:line="440" w:lineRule="exact"/>
              <w:jc w:val="center"/>
              <w:rPr>
                <w:rFonts w:ascii="宋体" w:hAnsi="宋体"/>
                <w:color w:val="auto"/>
                <w:highlight w:val="none"/>
              </w:rPr>
            </w:pPr>
          </w:p>
        </w:tc>
        <w:tc>
          <w:tcPr>
            <w:tcW w:w="379" w:type="pct"/>
            <w:tcBorders>
              <w:top w:val="single" w:color="auto" w:sz="4" w:space="0"/>
              <w:left w:val="single" w:color="auto" w:sz="4" w:space="0"/>
              <w:bottom w:val="single" w:color="auto" w:sz="4" w:space="0"/>
              <w:right w:val="single" w:color="auto" w:sz="4" w:space="0"/>
            </w:tcBorders>
            <w:vAlign w:val="center"/>
          </w:tcPr>
          <w:p w14:paraId="2501930C">
            <w:pPr>
              <w:widowControl/>
              <w:jc w:val="center"/>
              <w:outlineLvl w:val="0"/>
              <w:rPr>
                <w:rFonts w:ascii="宋体" w:hAnsi="宋体" w:cs="宋体"/>
                <w:color w:val="auto"/>
                <w:szCs w:val="21"/>
                <w:highlight w:val="none"/>
              </w:rPr>
            </w:pPr>
          </w:p>
        </w:tc>
        <w:tc>
          <w:tcPr>
            <w:tcW w:w="251" w:type="pct"/>
            <w:tcBorders>
              <w:top w:val="single" w:color="auto" w:sz="4" w:space="0"/>
              <w:left w:val="single" w:color="auto" w:sz="4" w:space="0"/>
              <w:bottom w:val="single" w:color="auto" w:sz="4" w:space="0"/>
              <w:right w:val="single" w:color="auto" w:sz="4" w:space="0"/>
            </w:tcBorders>
            <w:vAlign w:val="center"/>
          </w:tcPr>
          <w:p w14:paraId="4CF88B64">
            <w:pPr>
              <w:widowControl/>
              <w:jc w:val="center"/>
              <w:outlineLvl w:val="0"/>
              <w:rPr>
                <w:rFonts w:ascii="宋体" w:hAnsi="宋体" w:cs="宋体"/>
                <w:color w:val="auto"/>
                <w:szCs w:val="21"/>
                <w:highlight w:val="none"/>
              </w:rPr>
            </w:pPr>
          </w:p>
        </w:tc>
        <w:tc>
          <w:tcPr>
            <w:tcW w:w="429" w:type="pct"/>
            <w:tcBorders>
              <w:top w:val="single" w:color="auto" w:sz="4" w:space="0"/>
              <w:left w:val="single" w:color="auto" w:sz="4" w:space="0"/>
              <w:bottom w:val="single" w:color="auto" w:sz="4" w:space="0"/>
              <w:right w:val="single" w:color="auto" w:sz="4" w:space="0"/>
            </w:tcBorders>
            <w:vAlign w:val="center"/>
          </w:tcPr>
          <w:p w14:paraId="1871E030">
            <w:pPr>
              <w:spacing w:line="440" w:lineRule="exact"/>
              <w:jc w:val="center"/>
              <w:rPr>
                <w:rFonts w:ascii="宋体" w:hAnsi="宋体"/>
                <w:b/>
                <w:bCs/>
                <w:color w:val="auto"/>
                <w:highlight w:val="none"/>
              </w:rPr>
            </w:pPr>
          </w:p>
        </w:tc>
        <w:tc>
          <w:tcPr>
            <w:tcW w:w="639" w:type="pct"/>
            <w:tcBorders>
              <w:top w:val="single" w:color="auto" w:sz="4" w:space="0"/>
              <w:left w:val="single" w:color="auto" w:sz="4" w:space="0"/>
              <w:bottom w:val="single" w:color="auto" w:sz="4" w:space="0"/>
            </w:tcBorders>
            <w:vAlign w:val="center"/>
          </w:tcPr>
          <w:p w14:paraId="0B15ECF2">
            <w:pPr>
              <w:spacing w:line="440" w:lineRule="exact"/>
              <w:jc w:val="center"/>
              <w:rPr>
                <w:rFonts w:ascii="宋体" w:hAnsi="宋体"/>
                <w:b/>
                <w:bCs/>
                <w:color w:val="auto"/>
                <w:highlight w:val="none"/>
              </w:rPr>
            </w:pPr>
          </w:p>
        </w:tc>
        <w:tc>
          <w:tcPr>
            <w:tcW w:w="661" w:type="pct"/>
            <w:vMerge w:val="continue"/>
            <w:tcBorders>
              <w:left w:val="single" w:color="auto" w:sz="4" w:space="0"/>
            </w:tcBorders>
            <w:vAlign w:val="center"/>
          </w:tcPr>
          <w:p w14:paraId="7ACE5058">
            <w:pPr>
              <w:spacing w:line="440" w:lineRule="exact"/>
              <w:jc w:val="center"/>
              <w:rPr>
                <w:rFonts w:hint="eastAsia" w:ascii="宋体" w:hAnsi="宋体"/>
                <w:bCs/>
                <w:color w:val="auto"/>
                <w:highlight w:val="none"/>
              </w:rPr>
            </w:pPr>
          </w:p>
        </w:tc>
      </w:tr>
      <w:tr w14:paraId="5C52E3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88" w:hRule="atLeast"/>
        </w:trPr>
        <w:tc>
          <w:tcPr>
            <w:tcW w:w="300" w:type="pct"/>
            <w:tcBorders>
              <w:top w:val="single" w:color="auto" w:sz="4" w:space="0"/>
              <w:left w:val="single" w:color="auto" w:sz="4" w:space="0"/>
              <w:right w:val="single" w:color="auto" w:sz="4" w:space="0"/>
            </w:tcBorders>
            <w:vAlign w:val="center"/>
          </w:tcPr>
          <w:p w14:paraId="5F598BE6">
            <w:pPr>
              <w:widowControl/>
              <w:jc w:val="center"/>
              <w:outlineLvl w:val="0"/>
              <w:rPr>
                <w:rFonts w:hint="default" w:ascii="宋体" w:hAnsi="宋体" w:eastAsia="宋体"/>
                <w:color w:val="auto"/>
                <w:highlight w:val="none"/>
                <w:lang w:val="en-US" w:eastAsia="zh-CN"/>
              </w:rPr>
            </w:pPr>
            <w:r>
              <w:rPr>
                <w:rFonts w:hint="eastAsia" w:ascii="宋体" w:hAnsi="宋体"/>
                <w:color w:val="auto"/>
                <w:highlight w:val="none"/>
                <w:lang w:val="en-US" w:eastAsia="zh-CN"/>
              </w:rPr>
              <w:t>...</w:t>
            </w:r>
          </w:p>
        </w:tc>
        <w:tc>
          <w:tcPr>
            <w:tcW w:w="540" w:type="pct"/>
            <w:tcBorders>
              <w:top w:val="single" w:color="auto" w:sz="4" w:space="0"/>
              <w:left w:val="single" w:color="auto" w:sz="4" w:space="0"/>
              <w:right w:val="single" w:color="auto" w:sz="4" w:space="0"/>
            </w:tcBorders>
            <w:vAlign w:val="center"/>
          </w:tcPr>
          <w:p w14:paraId="6E72E3A6">
            <w:pPr>
              <w:widowControl/>
              <w:jc w:val="center"/>
              <w:outlineLvl w:val="0"/>
              <w:rPr>
                <w:rFonts w:ascii="宋体" w:hAnsi="宋体"/>
                <w:color w:val="auto"/>
                <w:highlight w:val="none"/>
              </w:rPr>
            </w:pPr>
          </w:p>
        </w:tc>
        <w:tc>
          <w:tcPr>
            <w:tcW w:w="667" w:type="pct"/>
            <w:tcBorders>
              <w:top w:val="single" w:color="auto" w:sz="4" w:space="0"/>
              <w:left w:val="single" w:color="auto" w:sz="4" w:space="0"/>
              <w:bottom w:val="single" w:color="auto" w:sz="4" w:space="0"/>
              <w:right w:val="single" w:color="auto" w:sz="4" w:space="0"/>
            </w:tcBorders>
            <w:vAlign w:val="center"/>
          </w:tcPr>
          <w:p w14:paraId="332EDA31">
            <w:pPr>
              <w:widowControl/>
              <w:jc w:val="center"/>
              <w:outlineLvl w:val="0"/>
              <w:rPr>
                <w:rFonts w:ascii="宋体" w:hAnsi="宋体"/>
                <w:color w:val="auto"/>
                <w:highlight w:val="none"/>
              </w:rPr>
            </w:pPr>
          </w:p>
        </w:tc>
        <w:tc>
          <w:tcPr>
            <w:tcW w:w="431" w:type="pct"/>
            <w:tcBorders>
              <w:top w:val="single" w:color="auto" w:sz="4" w:space="0"/>
              <w:left w:val="single" w:color="auto" w:sz="4" w:space="0"/>
              <w:bottom w:val="single" w:color="auto" w:sz="4" w:space="0"/>
              <w:right w:val="single" w:color="auto" w:sz="4" w:space="0"/>
            </w:tcBorders>
            <w:vAlign w:val="center"/>
          </w:tcPr>
          <w:p w14:paraId="38804A75">
            <w:pPr>
              <w:spacing w:line="440" w:lineRule="exact"/>
              <w:jc w:val="center"/>
              <w:rPr>
                <w:rFonts w:ascii="宋体" w:hAnsi="宋体"/>
                <w:color w:val="auto"/>
                <w:highlight w:val="none"/>
              </w:rPr>
            </w:pPr>
          </w:p>
        </w:tc>
        <w:tc>
          <w:tcPr>
            <w:tcW w:w="699" w:type="pct"/>
            <w:tcBorders>
              <w:top w:val="single" w:color="auto" w:sz="4" w:space="0"/>
              <w:left w:val="single" w:color="auto" w:sz="4" w:space="0"/>
              <w:bottom w:val="single" w:color="auto" w:sz="4" w:space="0"/>
              <w:right w:val="single" w:color="auto" w:sz="4" w:space="0"/>
            </w:tcBorders>
            <w:vAlign w:val="center"/>
          </w:tcPr>
          <w:p w14:paraId="7D22C36A">
            <w:pPr>
              <w:spacing w:line="440" w:lineRule="exact"/>
              <w:jc w:val="center"/>
              <w:rPr>
                <w:rFonts w:ascii="宋体" w:hAnsi="宋体"/>
                <w:color w:val="auto"/>
                <w:highlight w:val="none"/>
              </w:rPr>
            </w:pPr>
          </w:p>
        </w:tc>
        <w:tc>
          <w:tcPr>
            <w:tcW w:w="379" w:type="pct"/>
            <w:tcBorders>
              <w:top w:val="single" w:color="auto" w:sz="4" w:space="0"/>
              <w:left w:val="single" w:color="auto" w:sz="4" w:space="0"/>
              <w:bottom w:val="single" w:color="auto" w:sz="4" w:space="0"/>
              <w:right w:val="single" w:color="auto" w:sz="4" w:space="0"/>
            </w:tcBorders>
            <w:vAlign w:val="center"/>
          </w:tcPr>
          <w:p w14:paraId="66CAAA87">
            <w:pPr>
              <w:widowControl/>
              <w:jc w:val="center"/>
              <w:outlineLvl w:val="0"/>
              <w:rPr>
                <w:rFonts w:ascii="宋体" w:hAnsi="宋体" w:cs="宋体"/>
                <w:color w:val="auto"/>
                <w:szCs w:val="21"/>
                <w:highlight w:val="none"/>
              </w:rPr>
            </w:pPr>
          </w:p>
        </w:tc>
        <w:tc>
          <w:tcPr>
            <w:tcW w:w="251" w:type="pct"/>
            <w:tcBorders>
              <w:top w:val="single" w:color="auto" w:sz="4" w:space="0"/>
              <w:left w:val="single" w:color="auto" w:sz="4" w:space="0"/>
              <w:bottom w:val="single" w:color="auto" w:sz="4" w:space="0"/>
              <w:right w:val="single" w:color="auto" w:sz="4" w:space="0"/>
            </w:tcBorders>
            <w:vAlign w:val="center"/>
          </w:tcPr>
          <w:p w14:paraId="5A002968">
            <w:pPr>
              <w:widowControl/>
              <w:jc w:val="center"/>
              <w:outlineLvl w:val="0"/>
              <w:rPr>
                <w:rFonts w:ascii="宋体" w:hAnsi="宋体" w:cs="宋体"/>
                <w:color w:val="auto"/>
                <w:szCs w:val="21"/>
                <w:highlight w:val="none"/>
              </w:rPr>
            </w:pPr>
          </w:p>
        </w:tc>
        <w:tc>
          <w:tcPr>
            <w:tcW w:w="429" w:type="pct"/>
            <w:tcBorders>
              <w:top w:val="single" w:color="auto" w:sz="4" w:space="0"/>
              <w:left w:val="single" w:color="auto" w:sz="4" w:space="0"/>
              <w:bottom w:val="single" w:color="auto" w:sz="4" w:space="0"/>
              <w:right w:val="single" w:color="auto" w:sz="4" w:space="0"/>
            </w:tcBorders>
            <w:vAlign w:val="center"/>
          </w:tcPr>
          <w:p w14:paraId="26966D13">
            <w:pPr>
              <w:spacing w:line="440" w:lineRule="exact"/>
              <w:jc w:val="center"/>
              <w:rPr>
                <w:rFonts w:ascii="宋体" w:hAnsi="宋体"/>
                <w:b/>
                <w:bCs/>
                <w:color w:val="auto"/>
                <w:highlight w:val="none"/>
              </w:rPr>
            </w:pPr>
          </w:p>
        </w:tc>
        <w:tc>
          <w:tcPr>
            <w:tcW w:w="639" w:type="pct"/>
            <w:tcBorders>
              <w:top w:val="single" w:color="auto" w:sz="4" w:space="0"/>
              <w:left w:val="single" w:color="auto" w:sz="4" w:space="0"/>
              <w:bottom w:val="single" w:color="auto" w:sz="4" w:space="0"/>
            </w:tcBorders>
            <w:vAlign w:val="center"/>
          </w:tcPr>
          <w:p w14:paraId="2ABDFC99">
            <w:pPr>
              <w:spacing w:line="440" w:lineRule="exact"/>
              <w:jc w:val="center"/>
              <w:rPr>
                <w:rFonts w:ascii="宋体" w:hAnsi="宋体"/>
                <w:b/>
                <w:bCs/>
                <w:color w:val="auto"/>
                <w:highlight w:val="none"/>
              </w:rPr>
            </w:pPr>
          </w:p>
        </w:tc>
        <w:tc>
          <w:tcPr>
            <w:tcW w:w="661" w:type="pct"/>
            <w:vMerge w:val="continue"/>
            <w:tcBorders>
              <w:left w:val="single" w:color="auto" w:sz="4" w:space="0"/>
            </w:tcBorders>
            <w:vAlign w:val="center"/>
          </w:tcPr>
          <w:p w14:paraId="44F6517B">
            <w:pPr>
              <w:spacing w:line="440" w:lineRule="exact"/>
              <w:jc w:val="center"/>
              <w:rPr>
                <w:rFonts w:hint="eastAsia" w:ascii="宋体" w:hAnsi="宋体"/>
                <w:bCs/>
                <w:color w:val="auto"/>
                <w:highlight w:val="none"/>
              </w:rPr>
            </w:pPr>
          </w:p>
        </w:tc>
      </w:tr>
      <w:tr w14:paraId="00F678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5000" w:type="pct"/>
            <w:gridSpan w:val="10"/>
            <w:tcBorders>
              <w:top w:val="single" w:color="auto" w:sz="4" w:space="0"/>
              <w:left w:val="single" w:color="auto" w:sz="4" w:space="0"/>
              <w:bottom w:val="single" w:color="auto" w:sz="4" w:space="0"/>
            </w:tcBorders>
            <w:vAlign w:val="center"/>
          </w:tcPr>
          <w:p w14:paraId="0160021F">
            <w:pPr>
              <w:spacing w:line="440" w:lineRule="exact"/>
              <w:rPr>
                <w:rFonts w:ascii="宋体" w:hAnsi="宋体"/>
                <w:color w:val="auto"/>
                <w:spacing w:val="-6"/>
                <w:highlight w:val="none"/>
              </w:rPr>
            </w:pPr>
            <w:r>
              <w:rPr>
                <w:rFonts w:hint="eastAsia" w:ascii="宋体" w:hAnsi="宋体"/>
                <w:color w:val="auto"/>
                <w:spacing w:val="-6"/>
                <w:highlight w:val="none"/>
              </w:rPr>
              <w:t>投标</w:t>
            </w:r>
            <w:r>
              <w:rPr>
                <w:rFonts w:ascii="宋体" w:hAnsi="宋体"/>
                <w:color w:val="auto"/>
                <w:spacing w:val="-6"/>
                <w:highlight w:val="none"/>
              </w:rPr>
              <w:t xml:space="preserve">报价（大写）： </w:t>
            </w:r>
            <w:r>
              <w:rPr>
                <w:rFonts w:ascii="宋体" w:hAnsi="宋体"/>
                <w:color w:val="auto"/>
                <w:spacing w:val="-6"/>
                <w:highlight w:val="none"/>
                <w:u w:val="single"/>
              </w:rPr>
              <w:t xml:space="preserve">               </w:t>
            </w:r>
            <w:r>
              <w:rPr>
                <w:rFonts w:hint="eastAsia" w:ascii="宋体" w:hAnsi="宋体"/>
                <w:color w:val="auto"/>
                <w:spacing w:val="-6"/>
                <w:highlight w:val="none"/>
                <w:u w:val="single"/>
              </w:rPr>
              <w:t xml:space="preserve">                          </w:t>
            </w:r>
            <w:r>
              <w:rPr>
                <w:rFonts w:ascii="宋体" w:hAnsi="宋体"/>
                <w:color w:val="auto"/>
                <w:spacing w:val="-6"/>
                <w:highlight w:val="none"/>
                <w:u w:val="single"/>
              </w:rPr>
              <w:t xml:space="preserve">  </w:t>
            </w:r>
            <w:r>
              <w:rPr>
                <w:rFonts w:hint="eastAsia" w:ascii="宋体" w:hAnsi="宋体"/>
                <w:color w:val="auto"/>
                <w:spacing w:val="-6"/>
                <w:highlight w:val="none"/>
              </w:rPr>
              <w:t xml:space="preserve"> </w:t>
            </w:r>
            <w:r>
              <w:rPr>
                <w:rFonts w:ascii="宋体" w:hAnsi="宋体"/>
                <w:color w:val="auto"/>
                <w:spacing w:val="-6"/>
                <w:highlight w:val="none"/>
              </w:rPr>
              <w:t>（¥</w:t>
            </w:r>
            <w:r>
              <w:rPr>
                <w:rFonts w:ascii="宋体" w:hAnsi="宋体"/>
                <w:color w:val="auto"/>
                <w:spacing w:val="-6"/>
                <w:highlight w:val="none"/>
                <w:u w:val="single"/>
              </w:rPr>
              <w:t xml:space="preserve">                     </w:t>
            </w:r>
            <w:r>
              <w:rPr>
                <w:rFonts w:ascii="宋体" w:hAnsi="宋体"/>
                <w:color w:val="auto"/>
                <w:spacing w:val="-6"/>
                <w:highlight w:val="none"/>
              </w:rPr>
              <w:t xml:space="preserve"> ）人民币</w:t>
            </w:r>
          </w:p>
        </w:tc>
      </w:tr>
      <w:tr w14:paraId="23DA88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5000" w:type="pct"/>
            <w:gridSpan w:val="10"/>
            <w:tcBorders>
              <w:top w:val="single" w:color="auto" w:sz="4" w:space="0"/>
              <w:left w:val="single" w:color="auto" w:sz="4" w:space="0"/>
              <w:bottom w:val="single" w:color="auto" w:sz="4" w:space="0"/>
            </w:tcBorders>
            <w:vAlign w:val="center"/>
          </w:tcPr>
          <w:p w14:paraId="2D4F6D66">
            <w:pPr>
              <w:spacing w:line="440" w:lineRule="exact"/>
              <w:rPr>
                <w:rFonts w:ascii="宋体" w:hAnsi="宋体"/>
                <w:color w:val="auto"/>
                <w:spacing w:val="-6"/>
                <w:highlight w:val="none"/>
              </w:rPr>
            </w:pPr>
            <w:r>
              <w:rPr>
                <w:rFonts w:hint="eastAsia" w:ascii="宋体" w:hAnsi="宋体"/>
                <w:color w:val="auto"/>
                <w:spacing w:val="-6"/>
                <w:highlight w:val="none"/>
              </w:rPr>
              <w:t>本项目投标有效期为投标截止时间之日起90天。</w:t>
            </w:r>
          </w:p>
        </w:tc>
      </w:tr>
      <w:tr w14:paraId="03478B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5000" w:type="pct"/>
            <w:gridSpan w:val="10"/>
            <w:tcBorders>
              <w:top w:val="single" w:color="auto" w:sz="4" w:space="0"/>
              <w:left w:val="single" w:color="auto" w:sz="4" w:space="0"/>
              <w:bottom w:val="single" w:color="auto" w:sz="4" w:space="0"/>
            </w:tcBorders>
            <w:vAlign w:val="center"/>
          </w:tcPr>
          <w:p w14:paraId="60B2544D">
            <w:pPr>
              <w:spacing w:line="300" w:lineRule="exact"/>
              <w:rPr>
                <w:rFonts w:ascii="宋体" w:hAnsi="宋体"/>
                <w:color w:val="auto"/>
                <w:spacing w:val="-6"/>
                <w:szCs w:val="21"/>
                <w:highlight w:val="none"/>
              </w:rPr>
            </w:pPr>
            <w:r>
              <w:rPr>
                <w:rFonts w:hint="eastAsia" w:ascii="宋体" w:hAnsi="宋体"/>
                <w:color w:val="auto"/>
                <w:spacing w:val="-6"/>
                <w:szCs w:val="21"/>
                <w:highlight w:val="none"/>
              </w:rPr>
              <w:t>其中：</w:t>
            </w:r>
          </w:p>
          <w:p w14:paraId="55E522C6">
            <w:pPr>
              <w:spacing w:line="300" w:lineRule="exact"/>
              <w:rPr>
                <w:rFonts w:ascii="宋体" w:hAnsi="宋体"/>
                <w:color w:val="auto"/>
                <w:spacing w:val="-6"/>
                <w:szCs w:val="21"/>
                <w:highlight w:val="none"/>
              </w:rPr>
            </w:pPr>
            <w:r>
              <w:rPr>
                <w:rFonts w:hint="eastAsia" w:ascii="宋体" w:hAnsi="宋体"/>
                <w:color w:val="auto"/>
                <w:spacing w:val="-6"/>
                <w:szCs w:val="21"/>
                <w:highlight w:val="none"/>
                <w:lang w:val="en-US" w:eastAsia="zh-CN"/>
              </w:rPr>
              <w:t>1.</w:t>
            </w:r>
            <w:r>
              <w:rPr>
                <w:rFonts w:hint="eastAsia" w:ascii="宋体" w:hAnsi="宋体"/>
                <w:color w:val="auto"/>
                <w:spacing w:val="-6"/>
                <w:szCs w:val="21"/>
                <w:highlight w:val="none"/>
              </w:rPr>
              <w:t>属于财政部</w:t>
            </w:r>
            <w:r>
              <w:rPr>
                <w:rFonts w:hint="eastAsia" w:hAnsi="宋体"/>
                <w:bCs/>
                <w:color w:val="auto"/>
                <w:highlight w:val="none"/>
              </w:rPr>
              <w:t>《节能产品政府采购品目清单》</w:t>
            </w:r>
            <w:r>
              <w:rPr>
                <w:rFonts w:hint="eastAsia" w:ascii="宋体" w:hAnsi="宋体"/>
                <w:color w:val="auto"/>
                <w:spacing w:val="-6"/>
                <w:szCs w:val="21"/>
                <w:highlight w:val="none"/>
              </w:rPr>
              <w:t>内产品的总金额为</w:t>
            </w:r>
            <w:r>
              <w:rPr>
                <w:rFonts w:ascii="宋体" w:hAnsi="宋体"/>
                <w:color w:val="auto"/>
                <w:spacing w:val="-6"/>
                <w:szCs w:val="21"/>
                <w:highlight w:val="none"/>
              </w:rPr>
              <w:t>人民币</w:t>
            </w:r>
            <w:r>
              <w:rPr>
                <w:rFonts w:hint="eastAsia" w:ascii="宋体" w:hAnsi="宋体"/>
                <w:color w:val="auto"/>
                <w:spacing w:val="-6"/>
                <w:szCs w:val="21"/>
                <w:highlight w:val="none"/>
              </w:rPr>
              <w:t xml:space="preserve">（大写）： </w:t>
            </w:r>
            <w:r>
              <w:rPr>
                <w:rFonts w:hint="eastAsia" w:ascii="宋体" w:hAnsi="宋体"/>
                <w:color w:val="auto"/>
                <w:spacing w:val="-6"/>
                <w:szCs w:val="21"/>
                <w:highlight w:val="none"/>
                <w:u w:val="single"/>
              </w:rPr>
              <w:t xml:space="preserve">         </w:t>
            </w:r>
            <w:r>
              <w:rPr>
                <w:rFonts w:hint="eastAsia" w:ascii="宋体" w:hAnsi="宋体"/>
                <w:color w:val="auto"/>
                <w:spacing w:val="-6"/>
                <w:szCs w:val="21"/>
                <w:highlight w:val="none"/>
              </w:rPr>
              <w:t>元</w:t>
            </w:r>
            <w:r>
              <w:rPr>
                <w:rFonts w:ascii="宋体" w:hAnsi="宋体"/>
                <w:color w:val="auto"/>
                <w:spacing w:val="-6"/>
                <w:szCs w:val="21"/>
                <w:highlight w:val="none"/>
              </w:rPr>
              <w:t>（¥</w:t>
            </w:r>
            <w:r>
              <w:rPr>
                <w:rFonts w:ascii="宋体" w:hAnsi="宋体"/>
                <w:color w:val="auto"/>
                <w:spacing w:val="-6"/>
                <w:szCs w:val="21"/>
                <w:highlight w:val="none"/>
                <w:u w:val="single"/>
              </w:rPr>
              <w:t xml:space="preserve">         </w:t>
            </w:r>
            <w:r>
              <w:rPr>
                <w:rFonts w:hint="eastAsia" w:ascii="宋体" w:hAnsi="宋体"/>
                <w:color w:val="auto"/>
                <w:spacing w:val="-6"/>
                <w:szCs w:val="21"/>
                <w:highlight w:val="none"/>
                <w:u w:val="single"/>
              </w:rPr>
              <w:t xml:space="preserve">  </w:t>
            </w:r>
            <w:r>
              <w:rPr>
                <w:rFonts w:hint="eastAsia" w:ascii="宋体" w:hAnsi="宋体"/>
                <w:color w:val="auto"/>
                <w:spacing w:val="-6"/>
                <w:szCs w:val="21"/>
                <w:highlight w:val="none"/>
              </w:rPr>
              <w:t xml:space="preserve"> </w:t>
            </w:r>
            <w:r>
              <w:rPr>
                <w:rFonts w:ascii="宋体" w:hAnsi="宋体"/>
                <w:color w:val="auto"/>
                <w:spacing w:val="-6"/>
                <w:szCs w:val="21"/>
                <w:highlight w:val="none"/>
              </w:rPr>
              <w:t>）</w:t>
            </w:r>
            <w:r>
              <w:rPr>
                <w:rFonts w:hint="eastAsia" w:ascii="宋体" w:hAnsi="宋体"/>
                <w:color w:val="auto"/>
                <w:spacing w:val="-6"/>
                <w:szCs w:val="21"/>
                <w:highlight w:val="none"/>
              </w:rPr>
              <w:t>；</w:t>
            </w:r>
          </w:p>
          <w:p w14:paraId="1E9BB93A">
            <w:pPr>
              <w:spacing w:line="300" w:lineRule="exact"/>
              <w:rPr>
                <w:rFonts w:ascii="宋体" w:hAnsi="宋体"/>
                <w:color w:val="auto"/>
                <w:spacing w:val="-6"/>
                <w:szCs w:val="21"/>
                <w:highlight w:val="none"/>
              </w:rPr>
            </w:pPr>
            <w:r>
              <w:rPr>
                <w:rFonts w:hint="eastAsia" w:ascii="宋体" w:hAnsi="宋体"/>
                <w:color w:val="auto"/>
                <w:spacing w:val="-6"/>
                <w:szCs w:val="21"/>
                <w:highlight w:val="none"/>
                <w:lang w:val="en-US" w:eastAsia="zh-CN"/>
              </w:rPr>
              <w:t>2.</w:t>
            </w:r>
            <w:r>
              <w:rPr>
                <w:rFonts w:hint="eastAsia" w:ascii="宋体" w:hAnsi="宋体"/>
                <w:color w:val="auto"/>
                <w:spacing w:val="-6"/>
                <w:szCs w:val="21"/>
                <w:highlight w:val="none"/>
              </w:rPr>
              <w:t>属于财政部</w:t>
            </w:r>
            <w:r>
              <w:rPr>
                <w:rFonts w:hint="eastAsia" w:hAnsi="宋体"/>
                <w:bCs/>
                <w:color w:val="auto"/>
                <w:highlight w:val="none"/>
              </w:rPr>
              <w:t>《环境标志产品政府采购品目清单》</w:t>
            </w:r>
            <w:r>
              <w:rPr>
                <w:rFonts w:hint="eastAsia" w:ascii="宋体" w:hAnsi="宋体"/>
                <w:color w:val="auto"/>
                <w:spacing w:val="-6"/>
                <w:szCs w:val="21"/>
                <w:highlight w:val="none"/>
              </w:rPr>
              <w:t>内产品的总金额为</w:t>
            </w:r>
            <w:r>
              <w:rPr>
                <w:rFonts w:ascii="宋体" w:hAnsi="宋体"/>
                <w:color w:val="auto"/>
                <w:spacing w:val="-6"/>
                <w:szCs w:val="21"/>
                <w:highlight w:val="none"/>
              </w:rPr>
              <w:t>人民币</w:t>
            </w:r>
            <w:r>
              <w:rPr>
                <w:rFonts w:hint="eastAsia" w:ascii="宋体" w:hAnsi="宋体"/>
                <w:color w:val="auto"/>
                <w:spacing w:val="-6"/>
                <w:szCs w:val="21"/>
                <w:highlight w:val="none"/>
              </w:rPr>
              <w:t>（大写）：</w:t>
            </w:r>
            <w:r>
              <w:rPr>
                <w:rFonts w:hint="eastAsia" w:ascii="宋体" w:hAnsi="宋体"/>
                <w:color w:val="auto"/>
                <w:spacing w:val="-6"/>
                <w:szCs w:val="21"/>
                <w:highlight w:val="none"/>
                <w:u w:val="single"/>
              </w:rPr>
              <w:t xml:space="preserve">        </w:t>
            </w:r>
            <w:r>
              <w:rPr>
                <w:rFonts w:hint="eastAsia" w:ascii="宋体" w:hAnsi="宋体"/>
                <w:color w:val="auto"/>
                <w:spacing w:val="-6"/>
                <w:szCs w:val="21"/>
                <w:highlight w:val="none"/>
              </w:rPr>
              <w:t>元</w:t>
            </w:r>
            <w:r>
              <w:rPr>
                <w:rFonts w:ascii="宋体" w:hAnsi="宋体"/>
                <w:color w:val="auto"/>
                <w:spacing w:val="-6"/>
                <w:szCs w:val="21"/>
                <w:highlight w:val="none"/>
              </w:rPr>
              <w:t>（¥</w:t>
            </w:r>
            <w:r>
              <w:rPr>
                <w:rFonts w:ascii="宋体" w:hAnsi="宋体"/>
                <w:color w:val="auto"/>
                <w:spacing w:val="-6"/>
                <w:szCs w:val="21"/>
                <w:highlight w:val="none"/>
                <w:u w:val="single"/>
              </w:rPr>
              <w:t xml:space="preserve">            </w:t>
            </w:r>
            <w:r>
              <w:rPr>
                <w:rFonts w:ascii="宋体" w:hAnsi="宋体"/>
                <w:color w:val="auto"/>
                <w:spacing w:val="-6"/>
                <w:szCs w:val="21"/>
                <w:highlight w:val="none"/>
              </w:rPr>
              <w:t>）</w:t>
            </w:r>
            <w:r>
              <w:rPr>
                <w:rFonts w:hint="eastAsia" w:ascii="宋体" w:hAnsi="宋体"/>
                <w:color w:val="auto"/>
                <w:spacing w:val="-6"/>
                <w:szCs w:val="21"/>
                <w:highlight w:val="none"/>
              </w:rPr>
              <w:t>。</w:t>
            </w:r>
          </w:p>
          <w:p w14:paraId="7844FDA7">
            <w:pPr>
              <w:spacing w:line="300" w:lineRule="exact"/>
              <w:rPr>
                <w:rFonts w:hint="eastAsia" w:ascii="宋体" w:hAnsi="宋体"/>
                <w:b/>
                <w:color w:val="auto"/>
                <w:spacing w:val="-6"/>
                <w:szCs w:val="21"/>
                <w:highlight w:val="none"/>
              </w:rPr>
            </w:pPr>
            <w:r>
              <w:rPr>
                <w:rFonts w:hint="eastAsia" w:ascii="宋体" w:hAnsi="宋体"/>
                <w:b/>
                <w:color w:val="auto"/>
                <w:spacing w:val="-6"/>
                <w:szCs w:val="21"/>
                <w:highlight w:val="none"/>
              </w:rPr>
              <w:t>备注：若不属于财政部《节能产品政府采购品目清单》及《环境标志产品政府采购品目清单》内产品的，则该处填写“无”字样。</w:t>
            </w:r>
          </w:p>
          <w:p w14:paraId="6CA0FDE2">
            <w:pPr>
              <w:spacing w:line="300" w:lineRule="exact"/>
              <w:rPr>
                <w:rFonts w:hint="eastAsia" w:ascii="宋体" w:hAnsi="宋体"/>
                <w:b/>
                <w:color w:val="auto"/>
                <w:spacing w:val="-6"/>
                <w:szCs w:val="21"/>
                <w:highlight w:val="none"/>
              </w:rPr>
            </w:pPr>
            <w:r>
              <w:rPr>
                <w:rFonts w:hint="eastAsia" w:ascii="Times New Roman" w:hAnsi="宋体" w:eastAsia="宋体" w:cs="Times New Roman"/>
                <w:bCs/>
                <w:color w:val="auto"/>
                <w:highlight w:val="none"/>
              </w:rPr>
              <w:t>3. 投标产品中，属于本国产品总值为¥</w:t>
            </w:r>
            <w:r>
              <w:rPr>
                <w:rFonts w:hint="eastAsia" w:ascii="Times New Roman" w:hAnsi="宋体" w:eastAsia="宋体" w:cs="Times New Roman"/>
                <w:bCs/>
                <w:color w:val="auto"/>
                <w:highlight w:val="none"/>
                <w:u w:val="single"/>
              </w:rPr>
              <w:t xml:space="preserve">       </w:t>
            </w:r>
            <w:r>
              <w:rPr>
                <w:rFonts w:hint="eastAsia" w:ascii="Times New Roman" w:hAnsi="宋体" w:eastAsia="宋体" w:cs="Times New Roman"/>
                <w:bCs/>
                <w:color w:val="auto"/>
                <w:highlight w:val="none"/>
              </w:rPr>
              <w:t>（具体明细详见附表，附表格式自拟），占投标产品报价的比例为</w:t>
            </w:r>
            <w:r>
              <w:rPr>
                <w:rFonts w:hint="eastAsia" w:ascii="Times New Roman" w:hAnsi="宋体" w:eastAsia="宋体" w:cs="Times New Roman"/>
                <w:bCs/>
                <w:color w:val="auto"/>
                <w:highlight w:val="none"/>
                <w:u w:val="single"/>
              </w:rPr>
              <w:t xml:space="preserve">    </w:t>
            </w:r>
            <w:r>
              <w:rPr>
                <w:rFonts w:hint="eastAsia" w:ascii="Times New Roman" w:hAnsi="宋体" w:eastAsia="宋体" w:cs="Times New Roman"/>
                <w:bCs/>
                <w:color w:val="auto"/>
                <w:highlight w:val="none"/>
              </w:rPr>
              <w:t>%。</w:t>
            </w:r>
          </w:p>
        </w:tc>
      </w:tr>
      <w:tr w14:paraId="164516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5000" w:type="pct"/>
            <w:gridSpan w:val="10"/>
            <w:tcBorders>
              <w:top w:val="single" w:color="auto" w:sz="4" w:space="0"/>
              <w:left w:val="single" w:color="auto" w:sz="4" w:space="0"/>
              <w:bottom w:val="single" w:color="auto" w:sz="4" w:space="0"/>
            </w:tcBorders>
            <w:vAlign w:val="center"/>
          </w:tcPr>
          <w:p w14:paraId="087A02D6">
            <w:pPr>
              <w:spacing w:line="300" w:lineRule="exact"/>
              <w:rPr>
                <w:b/>
                <w:color w:val="auto"/>
                <w:highlight w:val="none"/>
              </w:rPr>
            </w:pPr>
            <w:r>
              <w:rPr>
                <w:rFonts w:hint="eastAsia"/>
                <w:b/>
                <w:color w:val="auto"/>
                <w:highlight w:val="none"/>
              </w:rPr>
              <w:t>说明：</w:t>
            </w:r>
          </w:p>
          <w:p w14:paraId="1CF75ACC">
            <w:pPr>
              <w:spacing w:line="320" w:lineRule="exact"/>
              <w:rPr>
                <w:b/>
                <w:color w:val="auto"/>
                <w:highlight w:val="none"/>
              </w:rPr>
            </w:pPr>
            <w:r>
              <w:rPr>
                <w:rFonts w:hint="eastAsia" w:ascii="宋体" w:hAnsi="宋体"/>
                <w:color w:val="auto"/>
                <w:szCs w:val="21"/>
                <w:highlight w:val="none"/>
              </w:rPr>
              <w:t>投标报价：</w:t>
            </w:r>
            <w:r>
              <w:rPr>
                <w:rFonts w:hint="eastAsia" w:ascii="宋体" w:hAnsi="宋体" w:eastAsia="宋体" w:cs="Times New Roman"/>
                <w:b/>
                <w:color w:val="auto"/>
                <w:szCs w:val="21"/>
                <w:highlight w:val="none"/>
                <w:lang w:val="en-US" w:eastAsia="zh-CN"/>
              </w:rPr>
              <w:t>投标报价包括招标范围内货物货款、货物标准附件、备品备件、专用工具、包装、运输、装卸、保险、税金、货到就位以及安装、调试、培训、保修等一切费用</w:t>
            </w:r>
            <w:r>
              <w:rPr>
                <w:rFonts w:hint="eastAsia" w:ascii="宋体" w:hAnsi="宋体" w:cs="Times New Roman"/>
                <w:b/>
                <w:color w:val="auto"/>
                <w:szCs w:val="21"/>
                <w:highlight w:val="none"/>
                <w:lang w:val="en-US" w:eastAsia="zh-CN"/>
              </w:rPr>
              <w:t>。</w:t>
            </w:r>
          </w:p>
        </w:tc>
      </w:tr>
    </w:tbl>
    <w:p w14:paraId="79C77312">
      <w:pPr>
        <w:pStyle w:val="26"/>
        <w:spacing w:line="340" w:lineRule="exact"/>
        <w:ind w:firstLine="420"/>
        <w:rPr>
          <w:rFonts w:hAnsi="宋体"/>
          <w:color w:val="auto"/>
          <w:highlight w:val="none"/>
        </w:rPr>
      </w:pPr>
    </w:p>
    <w:p w14:paraId="4129003A">
      <w:pPr>
        <w:pStyle w:val="26"/>
        <w:spacing w:line="340" w:lineRule="exact"/>
        <w:ind w:firstLine="420"/>
        <w:rPr>
          <w:rFonts w:hAnsi="宋体"/>
          <w:color w:val="auto"/>
          <w:highlight w:val="none"/>
        </w:rPr>
      </w:pPr>
      <w:r>
        <w:rPr>
          <w:rFonts w:hint="eastAsia" w:hAnsi="宋体"/>
          <w:color w:val="auto"/>
          <w:highlight w:val="none"/>
        </w:rPr>
        <w:t>与本投标有关的正式通讯地址为：</w:t>
      </w:r>
    </w:p>
    <w:p w14:paraId="6A59D186">
      <w:pPr>
        <w:pStyle w:val="26"/>
        <w:spacing w:line="340" w:lineRule="exact"/>
        <w:ind w:firstLine="420"/>
        <w:rPr>
          <w:color w:val="auto"/>
          <w:highlight w:val="none"/>
        </w:rPr>
      </w:pPr>
      <w:r>
        <w:rPr>
          <w:rFonts w:hint="eastAsia" w:hAnsi="宋体"/>
          <w:color w:val="auto"/>
          <w:highlight w:val="none"/>
        </w:rPr>
        <w:t>地址：</w:t>
      </w:r>
      <w:r>
        <w:rPr>
          <w:rFonts w:hint="eastAsia" w:hAnsi="宋体"/>
          <w:color w:val="auto"/>
          <w:highlight w:val="none"/>
          <w:u w:val="single"/>
        </w:rPr>
        <w:t xml:space="preserve">                                   </w:t>
      </w:r>
      <w:r>
        <w:rPr>
          <w:rFonts w:hint="eastAsia" w:hAnsi="宋体"/>
          <w:color w:val="auto"/>
          <w:highlight w:val="none"/>
        </w:rPr>
        <w:t xml:space="preserve"> 邮编：</w:t>
      </w:r>
      <w:r>
        <w:rPr>
          <w:rFonts w:hint="eastAsia" w:hAnsi="宋体"/>
          <w:color w:val="auto"/>
          <w:highlight w:val="none"/>
          <w:u w:val="single"/>
        </w:rPr>
        <w:t xml:space="preserve">          </w:t>
      </w:r>
      <w:r>
        <w:rPr>
          <w:rFonts w:hint="eastAsia" w:hAnsi="宋体"/>
          <w:color w:val="auto"/>
          <w:highlight w:val="none"/>
        </w:rPr>
        <w:t xml:space="preserve">  </w:t>
      </w:r>
      <w:r>
        <w:rPr>
          <w:rFonts w:hint="eastAsia"/>
          <w:color w:val="auto"/>
          <w:highlight w:val="none"/>
        </w:rPr>
        <w:t>邮箱：</w:t>
      </w:r>
      <w:r>
        <w:rPr>
          <w:rFonts w:hint="eastAsia"/>
          <w:color w:val="auto"/>
          <w:highlight w:val="none"/>
          <w:u w:val="single"/>
        </w:rPr>
        <w:t xml:space="preserve">             </w:t>
      </w:r>
      <w:r>
        <w:rPr>
          <w:rFonts w:hint="eastAsia"/>
          <w:color w:val="auto"/>
          <w:highlight w:val="none"/>
        </w:rPr>
        <w:t xml:space="preserve"> </w:t>
      </w:r>
    </w:p>
    <w:p w14:paraId="5D287F31">
      <w:pPr>
        <w:pStyle w:val="26"/>
        <w:spacing w:line="340" w:lineRule="exact"/>
        <w:ind w:firstLine="420"/>
        <w:rPr>
          <w:color w:val="auto"/>
          <w:highlight w:val="none"/>
          <w:u w:val="single"/>
        </w:rPr>
      </w:pPr>
      <w:r>
        <w:rPr>
          <w:rFonts w:hint="eastAsia"/>
          <w:color w:val="auto"/>
          <w:highlight w:val="none"/>
        </w:rPr>
        <w:t>办公电话：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14:paraId="5C658283">
      <w:pPr>
        <w:pStyle w:val="26"/>
        <w:spacing w:line="340" w:lineRule="exact"/>
        <w:ind w:firstLine="420"/>
        <w:rPr>
          <w:rFonts w:hAnsi="宋体"/>
          <w:color w:val="auto"/>
          <w:highlight w:val="none"/>
          <w:u w:val="single"/>
        </w:rPr>
      </w:pPr>
      <w:r>
        <w:rPr>
          <w:rFonts w:hint="eastAsia"/>
          <w:color w:val="auto"/>
          <w:highlight w:val="none"/>
        </w:rPr>
        <w:t>委托代理人联系电话：</w:t>
      </w:r>
      <w:r>
        <w:rPr>
          <w:rFonts w:hint="eastAsia"/>
          <w:color w:val="auto"/>
          <w:highlight w:val="none"/>
          <w:u w:val="single"/>
        </w:rPr>
        <w:t xml:space="preserve">                </w:t>
      </w:r>
    </w:p>
    <w:p w14:paraId="3C83F595">
      <w:pPr>
        <w:pStyle w:val="26"/>
        <w:spacing w:line="340" w:lineRule="exact"/>
        <w:ind w:firstLine="420"/>
        <w:rPr>
          <w:rFonts w:hAnsi="宋体"/>
          <w:color w:val="auto"/>
          <w:highlight w:val="none"/>
        </w:rPr>
      </w:pPr>
      <w:r>
        <w:rPr>
          <w:rFonts w:hint="eastAsia" w:hAnsi="宋体"/>
          <w:color w:val="auto"/>
          <w:highlight w:val="none"/>
        </w:rPr>
        <w:t>开户名称：</w:t>
      </w:r>
      <w:r>
        <w:rPr>
          <w:rFonts w:hint="eastAsia" w:hAnsi="宋体"/>
          <w:color w:val="auto"/>
          <w:highlight w:val="none"/>
          <w:u w:val="single"/>
        </w:rPr>
        <w:t xml:space="preserve">                                        </w:t>
      </w:r>
    </w:p>
    <w:p w14:paraId="50F31E3B">
      <w:pPr>
        <w:pStyle w:val="26"/>
        <w:spacing w:line="340" w:lineRule="exact"/>
        <w:ind w:firstLine="420"/>
        <w:rPr>
          <w:rFonts w:hAnsi="宋体"/>
          <w:color w:val="auto"/>
          <w:highlight w:val="none"/>
        </w:rPr>
      </w:pPr>
      <w:r>
        <w:rPr>
          <w:rFonts w:hint="eastAsia" w:hAnsi="宋体"/>
          <w:color w:val="auto"/>
          <w:highlight w:val="none"/>
        </w:rPr>
        <w:t>开户银行：</w:t>
      </w:r>
      <w:r>
        <w:rPr>
          <w:rFonts w:hint="eastAsia" w:hAnsi="宋体"/>
          <w:color w:val="auto"/>
          <w:highlight w:val="none"/>
          <w:u w:val="single"/>
        </w:rPr>
        <w:t xml:space="preserve">                               　       </w:t>
      </w:r>
    </w:p>
    <w:p w14:paraId="2034E38C">
      <w:pPr>
        <w:pStyle w:val="26"/>
        <w:spacing w:line="340" w:lineRule="exact"/>
        <w:ind w:firstLine="420"/>
        <w:rPr>
          <w:rFonts w:hAnsi="宋体"/>
          <w:color w:val="auto"/>
          <w:highlight w:val="none"/>
        </w:rPr>
      </w:pPr>
      <w:r>
        <w:rPr>
          <w:rFonts w:hint="eastAsia" w:hAnsi="宋体"/>
          <w:color w:val="auto"/>
          <w:highlight w:val="none"/>
        </w:rPr>
        <w:t>账号：</w:t>
      </w:r>
      <w:r>
        <w:rPr>
          <w:rFonts w:hint="eastAsia" w:hAnsi="宋体"/>
          <w:color w:val="auto"/>
          <w:highlight w:val="none"/>
          <w:u w:val="single"/>
        </w:rPr>
        <w:t xml:space="preserve">                                   　　　   </w:t>
      </w:r>
    </w:p>
    <w:p w14:paraId="2DA03ABA">
      <w:pPr>
        <w:snapToGrid w:val="0"/>
        <w:spacing w:line="400" w:lineRule="exact"/>
        <w:ind w:firstLine="420"/>
        <w:jc w:val="left"/>
        <w:outlineLvl w:val="4"/>
        <w:rPr>
          <w:rFonts w:ascii="宋体" w:hAnsi="宋体"/>
          <w:color w:val="auto"/>
          <w:szCs w:val="21"/>
          <w:highlight w:val="none"/>
          <w:u w:val="single"/>
        </w:rPr>
      </w:pPr>
      <w:r>
        <w:rPr>
          <w:rFonts w:hint="eastAsia" w:ascii="宋体" w:hAnsi="宋体"/>
          <w:color w:val="auto"/>
          <w:szCs w:val="21"/>
          <w:highlight w:val="none"/>
        </w:rPr>
        <w:t>投标人</w:t>
      </w:r>
      <w:r>
        <w:rPr>
          <w:rFonts w:hint="eastAsia" w:ascii="宋体" w:hAnsi="宋体" w:cs="宋体"/>
          <w:color w:val="auto"/>
          <w:szCs w:val="21"/>
          <w:highlight w:val="none"/>
        </w:rPr>
        <w:t xml:space="preserve"> （电子签章）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14:paraId="57F607B0">
      <w:pPr>
        <w:pStyle w:val="26"/>
        <w:spacing w:line="440" w:lineRule="exact"/>
        <w:ind w:firstLine="420"/>
        <w:jc w:val="left"/>
        <w:rPr>
          <w:rFonts w:hAnsi="宋体"/>
          <w:color w:val="auto"/>
          <w:szCs w:val="21"/>
          <w:highlight w:val="none"/>
          <w:u w:val="single"/>
        </w:rPr>
      </w:pPr>
      <w:r>
        <w:rPr>
          <w:rFonts w:hint="eastAsia" w:hAnsi="宋体"/>
          <w:color w:val="auto"/>
          <w:szCs w:val="21"/>
          <w:highlight w:val="none"/>
        </w:rPr>
        <w:t>法定代表人</w:t>
      </w:r>
      <w:r>
        <w:rPr>
          <w:rFonts w:hint="eastAsia" w:hAnsi="宋体"/>
          <w:color w:val="auto"/>
          <w:highlight w:val="none"/>
        </w:rPr>
        <w:t>或相应的委托代理人</w:t>
      </w:r>
      <w:r>
        <w:rPr>
          <w:rFonts w:hint="eastAsia" w:hAnsi="宋体"/>
          <w:color w:val="auto"/>
          <w:szCs w:val="21"/>
          <w:highlight w:val="none"/>
        </w:rPr>
        <w:t>签字</w:t>
      </w:r>
      <w:r>
        <w:rPr>
          <w:rFonts w:hint="eastAsia" w:hAnsi="宋体" w:cs="宋体"/>
          <w:color w:val="auto"/>
          <w:szCs w:val="21"/>
          <w:highlight w:val="none"/>
        </w:rPr>
        <w:t>（或者电子签名）</w:t>
      </w:r>
      <w:r>
        <w:rPr>
          <w:rFonts w:hint="eastAsia" w:hAnsi="宋体"/>
          <w:color w:val="auto"/>
          <w:highlight w:val="none"/>
        </w:rPr>
        <w:t>：</w:t>
      </w:r>
      <w:r>
        <w:rPr>
          <w:rFonts w:hint="eastAsia" w:hAnsi="宋体"/>
          <w:color w:val="auto"/>
          <w:szCs w:val="21"/>
          <w:highlight w:val="none"/>
          <w:u w:val="single"/>
        </w:rPr>
        <w:t xml:space="preserve">                              </w:t>
      </w:r>
    </w:p>
    <w:p w14:paraId="61F71169">
      <w:pPr>
        <w:spacing w:line="340" w:lineRule="exact"/>
        <w:ind w:firstLine="435"/>
        <w:jc w:val="left"/>
        <w:rPr>
          <w:rFonts w:ascii="宋体" w:hAnsi="宋体"/>
          <w:color w:val="auto"/>
          <w:szCs w:val="21"/>
          <w:highlight w:val="none"/>
          <w:u w:val="single"/>
        </w:rPr>
      </w:pPr>
      <w:r>
        <w:rPr>
          <w:rFonts w:hint="eastAsia" w:hAnsi="宋体"/>
          <w:color w:val="auto"/>
          <w:highlight w:val="none"/>
        </w:rPr>
        <w:t>日     期：</w:t>
      </w:r>
      <w:r>
        <w:rPr>
          <w:rFonts w:hint="eastAsia" w:hAnsi="宋体"/>
          <w:color w:val="auto"/>
          <w:highlight w:val="none"/>
          <w:u w:val="single"/>
        </w:rPr>
        <w:t xml:space="preserve">                                                   </w:t>
      </w:r>
    </w:p>
    <w:p w14:paraId="01749616">
      <w:pPr>
        <w:pStyle w:val="26"/>
        <w:spacing w:line="400" w:lineRule="exact"/>
        <w:rPr>
          <w:rFonts w:hAnsi="宋体"/>
          <w:b/>
          <w:bCs/>
          <w:color w:val="auto"/>
          <w:szCs w:val="21"/>
          <w:highlight w:val="none"/>
        </w:rPr>
      </w:pPr>
    </w:p>
    <w:p w14:paraId="44BEB0B4">
      <w:pPr>
        <w:pStyle w:val="26"/>
        <w:spacing w:line="400" w:lineRule="exact"/>
        <w:rPr>
          <w:rFonts w:hAnsi="宋体"/>
          <w:b/>
          <w:bCs/>
          <w:color w:val="auto"/>
          <w:szCs w:val="21"/>
          <w:highlight w:val="none"/>
        </w:rPr>
      </w:pPr>
    </w:p>
    <w:p w14:paraId="3C59B332">
      <w:pPr>
        <w:pStyle w:val="26"/>
        <w:spacing w:line="400" w:lineRule="exact"/>
        <w:rPr>
          <w:rFonts w:hAnsi="宋体"/>
          <w:b/>
          <w:bCs/>
          <w:color w:val="auto"/>
          <w:szCs w:val="21"/>
          <w:highlight w:val="none"/>
        </w:rPr>
      </w:pPr>
      <w:r>
        <w:rPr>
          <w:rFonts w:hint="eastAsia" w:hAnsi="宋体"/>
          <w:b/>
          <w:bCs/>
          <w:color w:val="auto"/>
          <w:szCs w:val="21"/>
          <w:highlight w:val="none"/>
        </w:rPr>
        <w:t>注：</w:t>
      </w:r>
    </w:p>
    <w:p w14:paraId="21454898">
      <w:pPr>
        <w:pStyle w:val="26"/>
        <w:spacing w:line="400" w:lineRule="exact"/>
        <w:ind w:firstLine="316" w:firstLineChars="150"/>
        <w:rPr>
          <w:b/>
          <w:color w:val="auto"/>
          <w:szCs w:val="21"/>
          <w:highlight w:val="none"/>
        </w:rPr>
      </w:pPr>
      <w:r>
        <w:rPr>
          <w:rFonts w:hint="eastAsia" w:hAnsi="宋体"/>
          <w:b/>
          <w:bCs/>
          <w:color w:val="auto"/>
          <w:szCs w:val="21"/>
          <w:highlight w:val="none"/>
        </w:rPr>
        <w:t>1.投标人必须按</w:t>
      </w:r>
      <w:r>
        <w:rPr>
          <w:rFonts w:hint="eastAsia"/>
          <w:b/>
          <w:bCs/>
          <w:color w:val="auto"/>
          <w:szCs w:val="21"/>
          <w:highlight w:val="none"/>
        </w:rPr>
        <w:t>本投标报价表（格式）</w:t>
      </w:r>
      <w:r>
        <w:rPr>
          <w:rFonts w:hint="eastAsia" w:hAnsi="宋体"/>
          <w:b/>
          <w:bCs/>
          <w:color w:val="auto"/>
          <w:szCs w:val="21"/>
          <w:highlight w:val="none"/>
        </w:rPr>
        <w:t>要求注明清楚联系方式（包括地址、邮编、邮箱、电话等），从而确保中标结果等相关信息能及时通知到位。</w:t>
      </w:r>
    </w:p>
    <w:p w14:paraId="1FD1DFBB">
      <w:pPr>
        <w:pStyle w:val="26"/>
        <w:spacing w:line="400" w:lineRule="exact"/>
        <w:ind w:firstLine="315" w:firstLineChars="150"/>
        <w:rPr>
          <w:rFonts w:hAnsi="宋体"/>
          <w:b/>
          <w:color w:val="auto"/>
          <w:sz w:val="32"/>
          <w:szCs w:val="32"/>
          <w:highlight w:val="none"/>
        </w:rPr>
      </w:pPr>
      <w:r>
        <w:rPr>
          <w:rFonts w:hint="eastAsia" w:hAnsi="宋体"/>
          <w:bCs/>
          <w:color w:val="auto"/>
          <w:szCs w:val="21"/>
          <w:highlight w:val="none"/>
        </w:rPr>
        <w:t>2.如全部或部分产品属于</w:t>
      </w:r>
      <w:r>
        <w:rPr>
          <w:rFonts w:hint="eastAsia" w:hAnsi="宋体"/>
          <w:bCs/>
          <w:color w:val="auto"/>
          <w:highlight w:val="none"/>
        </w:rPr>
        <w:t>财政部《节能产品政府采购品目清单》或《环境标志产品政府采购品目清单》内产品的</w:t>
      </w:r>
      <w:r>
        <w:rPr>
          <w:rFonts w:hint="eastAsia" w:hAnsi="宋体"/>
          <w:bCs/>
          <w:color w:val="auto"/>
          <w:highlight w:val="none"/>
          <w:lang w:eastAsia="zh-CN"/>
        </w:rPr>
        <w:t>，在</w:t>
      </w:r>
      <w:r>
        <w:rPr>
          <w:rFonts w:hint="eastAsia" w:hAnsi="宋体"/>
          <w:color w:val="auto"/>
          <w:highlight w:val="none"/>
        </w:rPr>
        <w:t>投标文件中提供有效的认证证书复印件，并加盖投标人电子签章</w:t>
      </w:r>
      <w:r>
        <w:rPr>
          <w:rFonts w:hint="eastAsia" w:hAnsi="宋体"/>
          <w:bCs/>
          <w:color w:val="auto"/>
          <w:szCs w:val="21"/>
          <w:highlight w:val="none"/>
        </w:rPr>
        <w:t>，以便评标委员会作为评审或优先采购的依据。</w:t>
      </w:r>
    </w:p>
    <w:p w14:paraId="44979467">
      <w:pPr>
        <w:pStyle w:val="26"/>
        <w:spacing w:line="400" w:lineRule="exact"/>
        <w:rPr>
          <w:rFonts w:hAnsi="宋体"/>
          <w:b/>
          <w:color w:val="auto"/>
          <w:sz w:val="32"/>
          <w:szCs w:val="32"/>
          <w:highlight w:val="none"/>
        </w:rPr>
      </w:pPr>
    </w:p>
    <w:p w14:paraId="790AEFEB">
      <w:pPr>
        <w:spacing w:line="400" w:lineRule="exact"/>
        <w:rPr>
          <w:b/>
          <w:color w:val="auto"/>
          <w:sz w:val="32"/>
          <w:szCs w:val="32"/>
          <w:highlight w:val="none"/>
        </w:rPr>
      </w:pPr>
    </w:p>
    <w:p w14:paraId="10163E1E">
      <w:pPr>
        <w:spacing w:line="400" w:lineRule="exact"/>
        <w:rPr>
          <w:b/>
          <w:color w:val="auto"/>
          <w:sz w:val="32"/>
          <w:szCs w:val="32"/>
          <w:highlight w:val="none"/>
        </w:rPr>
      </w:pPr>
    </w:p>
    <w:p w14:paraId="7F9FD812">
      <w:pPr>
        <w:spacing w:line="400" w:lineRule="exact"/>
        <w:rPr>
          <w:b/>
          <w:color w:val="auto"/>
          <w:sz w:val="32"/>
          <w:szCs w:val="32"/>
          <w:highlight w:val="none"/>
        </w:rPr>
      </w:pPr>
    </w:p>
    <w:p w14:paraId="48EC716E">
      <w:pPr>
        <w:spacing w:line="400" w:lineRule="exact"/>
        <w:rPr>
          <w:b/>
          <w:color w:val="auto"/>
          <w:sz w:val="32"/>
          <w:szCs w:val="32"/>
          <w:highlight w:val="none"/>
        </w:rPr>
      </w:pPr>
    </w:p>
    <w:p w14:paraId="7E5E3EA5">
      <w:pPr>
        <w:spacing w:line="400" w:lineRule="exact"/>
        <w:rPr>
          <w:b/>
          <w:color w:val="auto"/>
          <w:sz w:val="32"/>
          <w:szCs w:val="32"/>
          <w:highlight w:val="none"/>
        </w:rPr>
      </w:pPr>
    </w:p>
    <w:p w14:paraId="7B5B34C6">
      <w:pPr>
        <w:spacing w:line="400" w:lineRule="exact"/>
        <w:rPr>
          <w:b/>
          <w:color w:val="auto"/>
          <w:sz w:val="32"/>
          <w:szCs w:val="32"/>
          <w:highlight w:val="none"/>
        </w:rPr>
      </w:pPr>
    </w:p>
    <w:p w14:paraId="1E6DDD1F">
      <w:pPr>
        <w:spacing w:line="400" w:lineRule="exact"/>
        <w:rPr>
          <w:b/>
          <w:color w:val="auto"/>
          <w:sz w:val="32"/>
          <w:szCs w:val="32"/>
          <w:highlight w:val="none"/>
        </w:rPr>
      </w:pPr>
    </w:p>
    <w:p w14:paraId="397CFD6B">
      <w:pPr>
        <w:spacing w:line="400" w:lineRule="exact"/>
        <w:rPr>
          <w:b/>
          <w:color w:val="auto"/>
          <w:sz w:val="32"/>
          <w:szCs w:val="32"/>
          <w:highlight w:val="none"/>
        </w:rPr>
      </w:pPr>
    </w:p>
    <w:p w14:paraId="05869EAD">
      <w:pPr>
        <w:spacing w:line="400" w:lineRule="exact"/>
        <w:rPr>
          <w:b/>
          <w:color w:val="auto"/>
          <w:sz w:val="32"/>
          <w:szCs w:val="32"/>
          <w:highlight w:val="none"/>
        </w:rPr>
      </w:pPr>
    </w:p>
    <w:p w14:paraId="5AAD719F">
      <w:pPr>
        <w:tabs>
          <w:tab w:val="left" w:pos="1305"/>
        </w:tabs>
        <w:spacing w:line="340" w:lineRule="exact"/>
        <w:jc w:val="left"/>
        <w:rPr>
          <w:rFonts w:hAnsi="宋体"/>
          <w:b/>
          <w:color w:val="auto"/>
          <w:sz w:val="32"/>
          <w:szCs w:val="32"/>
          <w:highlight w:val="none"/>
        </w:rPr>
      </w:pPr>
    </w:p>
    <w:p w14:paraId="3EE6329E">
      <w:pPr>
        <w:tabs>
          <w:tab w:val="left" w:pos="1305"/>
        </w:tabs>
        <w:spacing w:line="340" w:lineRule="exact"/>
        <w:jc w:val="left"/>
        <w:rPr>
          <w:rFonts w:hAnsi="宋体"/>
          <w:b/>
          <w:color w:val="auto"/>
          <w:sz w:val="32"/>
          <w:szCs w:val="32"/>
          <w:highlight w:val="none"/>
        </w:rPr>
      </w:pPr>
    </w:p>
    <w:p w14:paraId="421F4A56">
      <w:pPr>
        <w:tabs>
          <w:tab w:val="left" w:pos="1305"/>
        </w:tabs>
        <w:spacing w:line="340" w:lineRule="exact"/>
        <w:jc w:val="left"/>
        <w:rPr>
          <w:rFonts w:hAnsi="宋体"/>
          <w:b/>
          <w:color w:val="auto"/>
          <w:sz w:val="32"/>
          <w:szCs w:val="32"/>
          <w:highlight w:val="none"/>
        </w:rPr>
      </w:pPr>
    </w:p>
    <w:p w14:paraId="676DC37C">
      <w:pPr>
        <w:tabs>
          <w:tab w:val="left" w:pos="1305"/>
        </w:tabs>
        <w:spacing w:line="340" w:lineRule="exact"/>
        <w:jc w:val="left"/>
        <w:rPr>
          <w:rFonts w:hAnsi="宋体"/>
          <w:b/>
          <w:color w:val="auto"/>
          <w:sz w:val="32"/>
          <w:szCs w:val="32"/>
          <w:highlight w:val="none"/>
        </w:rPr>
      </w:pPr>
    </w:p>
    <w:p w14:paraId="4BCB78A4">
      <w:pPr>
        <w:tabs>
          <w:tab w:val="left" w:pos="1305"/>
        </w:tabs>
        <w:spacing w:line="340" w:lineRule="exact"/>
        <w:jc w:val="left"/>
        <w:rPr>
          <w:rFonts w:hAnsi="宋体"/>
          <w:b/>
          <w:color w:val="auto"/>
          <w:sz w:val="32"/>
          <w:szCs w:val="32"/>
          <w:highlight w:val="none"/>
        </w:rPr>
      </w:pPr>
    </w:p>
    <w:p w14:paraId="62ECA466">
      <w:pPr>
        <w:tabs>
          <w:tab w:val="left" w:pos="1305"/>
        </w:tabs>
        <w:spacing w:line="340" w:lineRule="exact"/>
        <w:jc w:val="left"/>
        <w:rPr>
          <w:rFonts w:hAnsi="宋体"/>
          <w:b/>
          <w:color w:val="auto"/>
          <w:sz w:val="32"/>
          <w:szCs w:val="32"/>
          <w:highlight w:val="none"/>
        </w:rPr>
      </w:pPr>
    </w:p>
    <w:p w14:paraId="76E94DB8">
      <w:pPr>
        <w:tabs>
          <w:tab w:val="left" w:pos="1305"/>
        </w:tabs>
        <w:spacing w:line="340" w:lineRule="exact"/>
        <w:jc w:val="left"/>
        <w:rPr>
          <w:rFonts w:hAnsi="宋体"/>
          <w:b/>
          <w:color w:val="auto"/>
          <w:sz w:val="32"/>
          <w:szCs w:val="32"/>
          <w:highlight w:val="none"/>
        </w:rPr>
      </w:pPr>
    </w:p>
    <w:p w14:paraId="3DEFDEFE">
      <w:pPr>
        <w:tabs>
          <w:tab w:val="left" w:pos="1305"/>
        </w:tabs>
        <w:spacing w:line="340" w:lineRule="exact"/>
        <w:jc w:val="left"/>
        <w:rPr>
          <w:rFonts w:hAnsi="宋体"/>
          <w:b/>
          <w:color w:val="auto"/>
          <w:sz w:val="32"/>
          <w:szCs w:val="32"/>
          <w:highlight w:val="none"/>
        </w:rPr>
      </w:pPr>
    </w:p>
    <w:p w14:paraId="68067292">
      <w:pPr>
        <w:tabs>
          <w:tab w:val="left" w:pos="1305"/>
        </w:tabs>
        <w:spacing w:line="340" w:lineRule="exact"/>
        <w:jc w:val="left"/>
        <w:rPr>
          <w:rFonts w:hAnsi="宋体"/>
          <w:b/>
          <w:color w:val="auto"/>
          <w:sz w:val="32"/>
          <w:szCs w:val="32"/>
          <w:highlight w:val="none"/>
        </w:rPr>
      </w:pPr>
    </w:p>
    <w:p w14:paraId="3B0FA046">
      <w:pPr>
        <w:tabs>
          <w:tab w:val="left" w:pos="1305"/>
        </w:tabs>
        <w:spacing w:line="340" w:lineRule="exact"/>
        <w:jc w:val="left"/>
        <w:rPr>
          <w:rFonts w:hAnsi="宋体"/>
          <w:b/>
          <w:color w:val="auto"/>
          <w:sz w:val="32"/>
          <w:szCs w:val="32"/>
          <w:highlight w:val="none"/>
        </w:rPr>
      </w:pPr>
    </w:p>
    <w:p w14:paraId="6DE5E557">
      <w:pPr>
        <w:tabs>
          <w:tab w:val="left" w:pos="1305"/>
        </w:tabs>
        <w:spacing w:line="340" w:lineRule="exact"/>
        <w:jc w:val="left"/>
        <w:rPr>
          <w:rFonts w:hAnsi="宋体"/>
          <w:b/>
          <w:color w:val="auto"/>
          <w:sz w:val="32"/>
          <w:szCs w:val="32"/>
          <w:highlight w:val="none"/>
        </w:rPr>
      </w:pPr>
    </w:p>
    <w:p w14:paraId="2FC0B45C">
      <w:pPr>
        <w:tabs>
          <w:tab w:val="left" w:pos="1305"/>
        </w:tabs>
        <w:spacing w:line="340" w:lineRule="exact"/>
        <w:jc w:val="left"/>
        <w:rPr>
          <w:rFonts w:hAnsi="宋体"/>
          <w:b/>
          <w:color w:val="auto"/>
          <w:sz w:val="32"/>
          <w:szCs w:val="32"/>
          <w:highlight w:val="none"/>
        </w:rPr>
      </w:pPr>
    </w:p>
    <w:p w14:paraId="4E3CC9F8">
      <w:pPr>
        <w:tabs>
          <w:tab w:val="left" w:pos="1305"/>
        </w:tabs>
        <w:spacing w:line="340" w:lineRule="exact"/>
        <w:jc w:val="left"/>
        <w:rPr>
          <w:rFonts w:hAnsi="宋体"/>
          <w:b/>
          <w:color w:val="auto"/>
          <w:sz w:val="32"/>
          <w:szCs w:val="32"/>
          <w:highlight w:val="none"/>
        </w:rPr>
      </w:pPr>
    </w:p>
    <w:p w14:paraId="4D0EF5FA">
      <w:pPr>
        <w:tabs>
          <w:tab w:val="left" w:pos="1305"/>
        </w:tabs>
        <w:spacing w:line="340" w:lineRule="exact"/>
        <w:jc w:val="left"/>
        <w:rPr>
          <w:rFonts w:hAnsi="宋体"/>
          <w:b/>
          <w:color w:val="auto"/>
          <w:sz w:val="32"/>
          <w:szCs w:val="32"/>
          <w:highlight w:val="none"/>
        </w:rPr>
      </w:pPr>
    </w:p>
    <w:p w14:paraId="3EDACFFE">
      <w:pPr>
        <w:tabs>
          <w:tab w:val="left" w:pos="1305"/>
        </w:tabs>
        <w:spacing w:line="340" w:lineRule="exact"/>
        <w:jc w:val="left"/>
        <w:rPr>
          <w:rFonts w:hAnsi="宋体"/>
          <w:b/>
          <w:color w:val="auto"/>
          <w:sz w:val="32"/>
          <w:szCs w:val="32"/>
          <w:highlight w:val="none"/>
        </w:rPr>
      </w:pPr>
    </w:p>
    <w:p w14:paraId="0032B690">
      <w:pPr>
        <w:tabs>
          <w:tab w:val="left" w:pos="1305"/>
        </w:tabs>
        <w:spacing w:line="340" w:lineRule="exact"/>
        <w:jc w:val="left"/>
        <w:rPr>
          <w:rFonts w:hAnsi="宋体"/>
          <w:b/>
          <w:color w:val="auto"/>
          <w:sz w:val="32"/>
          <w:szCs w:val="32"/>
          <w:highlight w:val="none"/>
        </w:rPr>
      </w:pPr>
    </w:p>
    <w:p w14:paraId="567FC6F4">
      <w:pPr>
        <w:tabs>
          <w:tab w:val="left" w:pos="1305"/>
        </w:tabs>
        <w:spacing w:line="340" w:lineRule="exact"/>
        <w:jc w:val="left"/>
        <w:rPr>
          <w:rFonts w:hint="eastAsia" w:hAnsi="宋体"/>
          <w:b/>
          <w:color w:val="auto"/>
          <w:sz w:val="32"/>
          <w:szCs w:val="32"/>
          <w:highlight w:val="none"/>
        </w:rPr>
      </w:pPr>
    </w:p>
    <w:p w14:paraId="695510AC">
      <w:pPr>
        <w:tabs>
          <w:tab w:val="left" w:pos="1305"/>
        </w:tabs>
        <w:spacing w:line="340" w:lineRule="exact"/>
        <w:jc w:val="left"/>
        <w:rPr>
          <w:rFonts w:hAnsi="宋体"/>
          <w:b/>
          <w:color w:val="auto"/>
          <w:sz w:val="32"/>
          <w:szCs w:val="32"/>
          <w:highlight w:val="none"/>
        </w:rPr>
      </w:pPr>
      <w:r>
        <w:rPr>
          <w:rFonts w:hint="eastAsia" w:hAnsi="宋体"/>
          <w:b/>
          <w:color w:val="auto"/>
          <w:sz w:val="32"/>
          <w:szCs w:val="32"/>
          <w:highlight w:val="none"/>
        </w:rPr>
        <w:t>3.技术偏离表（必须提供）</w:t>
      </w:r>
    </w:p>
    <w:p w14:paraId="194D66CB">
      <w:pPr>
        <w:spacing w:line="400" w:lineRule="exact"/>
        <w:rPr>
          <w:b/>
          <w:color w:val="auto"/>
          <w:sz w:val="30"/>
          <w:szCs w:val="30"/>
          <w:highlight w:val="none"/>
        </w:rPr>
      </w:pPr>
      <w:r>
        <w:rPr>
          <w:rFonts w:hint="eastAsia"/>
          <w:b/>
          <w:color w:val="auto"/>
          <w:sz w:val="30"/>
          <w:szCs w:val="30"/>
          <w:highlight w:val="none"/>
        </w:rPr>
        <w:t>附件：</w:t>
      </w:r>
    </w:p>
    <w:p w14:paraId="25167F7E">
      <w:pPr>
        <w:pStyle w:val="26"/>
        <w:jc w:val="center"/>
        <w:rPr>
          <w:rFonts w:hAnsi="宋体"/>
          <w:b/>
          <w:bCs/>
          <w:color w:val="auto"/>
          <w:sz w:val="32"/>
          <w:highlight w:val="none"/>
        </w:rPr>
      </w:pPr>
      <w:r>
        <w:rPr>
          <w:rFonts w:hint="eastAsia" w:hAnsi="宋体"/>
          <w:b/>
          <w:color w:val="auto"/>
          <w:sz w:val="32"/>
          <w:szCs w:val="32"/>
          <w:highlight w:val="none"/>
        </w:rPr>
        <w:t>技术偏离表</w:t>
      </w:r>
      <w:r>
        <w:rPr>
          <w:rFonts w:hint="eastAsia" w:hAnsi="宋体"/>
          <w:b/>
          <w:bCs/>
          <w:color w:val="auto"/>
          <w:sz w:val="32"/>
          <w:highlight w:val="none"/>
        </w:rPr>
        <w:t>（格式）</w:t>
      </w:r>
    </w:p>
    <w:p w14:paraId="1F85480D">
      <w:pPr>
        <w:pStyle w:val="13"/>
        <w:ind w:left="2951" w:hanging="2951" w:hangingChars="1400"/>
        <w:rPr>
          <w:rFonts w:hint="default" w:eastAsia="宋体"/>
          <w:b/>
          <w:bCs/>
          <w:color w:val="auto"/>
          <w:highlight w:val="none"/>
          <w:u w:val="single"/>
          <w:lang w:val="en-US" w:eastAsia="zh-CN"/>
        </w:rPr>
      </w:pPr>
      <w:r>
        <w:rPr>
          <w:rFonts w:hint="eastAsia"/>
          <w:b/>
          <w:bCs/>
          <w:color w:val="auto"/>
          <w:highlight w:val="none"/>
          <w:u w:val="none"/>
          <w:lang w:eastAsia="zh-CN"/>
        </w:rPr>
        <w:t>分标</w:t>
      </w:r>
      <w:r>
        <w:rPr>
          <w:rFonts w:hint="eastAsia"/>
          <w:b/>
          <w:bCs/>
          <w:color w:val="auto"/>
          <w:highlight w:val="none"/>
          <w:u w:val="single"/>
          <w:lang w:val="en-US" w:eastAsia="zh-CN"/>
        </w:rPr>
        <w:t xml:space="preserve">     </w:t>
      </w:r>
    </w:p>
    <w:tbl>
      <w:tblPr>
        <w:tblStyle w:val="51"/>
        <w:tblW w:w="9538"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231"/>
        <w:gridCol w:w="3241"/>
        <w:gridCol w:w="3101"/>
        <w:gridCol w:w="1186"/>
      </w:tblGrid>
      <w:tr w14:paraId="254C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779" w:type="dxa"/>
            <w:vAlign w:val="center"/>
          </w:tcPr>
          <w:p w14:paraId="60B8F073">
            <w:pPr>
              <w:pStyle w:val="26"/>
              <w:spacing w:line="400" w:lineRule="exact"/>
              <w:jc w:val="center"/>
              <w:rPr>
                <w:rFonts w:hint="eastAsia" w:hAnsi="宋体" w:eastAsia="宋体"/>
                <w:color w:val="auto"/>
                <w:highlight w:val="none"/>
                <w:lang w:eastAsia="zh-CN"/>
              </w:rPr>
            </w:pPr>
            <w:r>
              <w:rPr>
                <w:rFonts w:hint="eastAsia" w:hAnsi="宋体"/>
                <w:color w:val="auto"/>
                <w:highlight w:val="none"/>
                <w:lang w:eastAsia="zh-CN"/>
              </w:rPr>
              <w:t>项号</w:t>
            </w:r>
          </w:p>
        </w:tc>
        <w:tc>
          <w:tcPr>
            <w:tcW w:w="1231" w:type="dxa"/>
            <w:vAlign w:val="center"/>
          </w:tcPr>
          <w:p w14:paraId="2B4CD02C">
            <w:pPr>
              <w:pStyle w:val="26"/>
              <w:spacing w:line="400" w:lineRule="exact"/>
              <w:jc w:val="center"/>
              <w:rPr>
                <w:rFonts w:hint="eastAsia" w:hAnsi="宋体"/>
                <w:color w:val="auto"/>
                <w:highlight w:val="none"/>
              </w:rPr>
            </w:pPr>
            <w:r>
              <w:rPr>
                <w:rFonts w:hint="eastAsia" w:hAnsi="宋体"/>
                <w:color w:val="auto"/>
                <w:highlight w:val="none"/>
              </w:rPr>
              <w:t>标的名称</w:t>
            </w:r>
          </w:p>
        </w:tc>
        <w:tc>
          <w:tcPr>
            <w:tcW w:w="3241" w:type="dxa"/>
            <w:vAlign w:val="center"/>
          </w:tcPr>
          <w:p w14:paraId="38DC4EFD">
            <w:pPr>
              <w:pStyle w:val="26"/>
              <w:spacing w:line="400" w:lineRule="exact"/>
              <w:jc w:val="center"/>
              <w:rPr>
                <w:rFonts w:hAnsi="宋体"/>
                <w:color w:val="auto"/>
                <w:highlight w:val="none"/>
              </w:rPr>
            </w:pPr>
            <w:r>
              <w:rPr>
                <w:rFonts w:hint="eastAsia" w:hAnsi="宋体"/>
                <w:color w:val="auto"/>
                <w:highlight w:val="none"/>
              </w:rPr>
              <w:t>招标文件的“技术要求”</w:t>
            </w:r>
          </w:p>
        </w:tc>
        <w:tc>
          <w:tcPr>
            <w:tcW w:w="3101" w:type="dxa"/>
            <w:vAlign w:val="center"/>
          </w:tcPr>
          <w:p w14:paraId="089FB866">
            <w:pPr>
              <w:pStyle w:val="26"/>
              <w:spacing w:line="400" w:lineRule="exact"/>
              <w:jc w:val="center"/>
              <w:rPr>
                <w:rFonts w:hAnsi="宋体"/>
                <w:color w:val="auto"/>
                <w:highlight w:val="none"/>
              </w:rPr>
            </w:pPr>
            <w:r>
              <w:rPr>
                <w:rFonts w:hint="eastAsia" w:hAnsi="宋体"/>
                <w:color w:val="auto"/>
                <w:highlight w:val="none"/>
              </w:rPr>
              <w:t>对应招标文件的“技术要求”，投标文件的详细响应情况</w:t>
            </w:r>
          </w:p>
        </w:tc>
        <w:tc>
          <w:tcPr>
            <w:tcW w:w="1186" w:type="dxa"/>
            <w:vAlign w:val="center"/>
          </w:tcPr>
          <w:p w14:paraId="7E306075">
            <w:pPr>
              <w:pStyle w:val="26"/>
              <w:spacing w:line="400" w:lineRule="exact"/>
              <w:jc w:val="center"/>
              <w:rPr>
                <w:rFonts w:hAnsi="宋体"/>
                <w:color w:val="auto"/>
                <w:highlight w:val="none"/>
              </w:rPr>
            </w:pPr>
            <w:bookmarkStart w:id="13" w:name="_Toc254970560"/>
            <w:bookmarkStart w:id="14" w:name="_Toc254970701"/>
            <w:r>
              <w:rPr>
                <w:rFonts w:hint="eastAsia" w:hAnsi="宋体"/>
                <w:color w:val="auto"/>
                <w:highlight w:val="none"/>
              </w:rPr>
              <w:t>偏离情况</w:t>
            </w:r>
            <w:bookmarkEnd w:id="13"/>
            <w:bookmarkEnd w:id="14"/>
            <w:r>
              <w:rPr>
                <w:rFonts w:hint="eastAsia" w:hAnsi="宋体"/>
                <w:color w:val="auto"/>
                <w:highlight w:val="none"/>
              </w:rPr>
              <w:t>说明</w:t>
            </w:r>
          </w:p>
        </w:tc>
      </w:tr>
      <w:tr w14:paraId="1324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779" w:type="dxa"/>
            <w:vAlign w:val="center"/>
          </w:tcPr>
          <w:p w14:paraId="3C9EACB5">
            <w:pPr>
              <w:widowControl/>
              <w:jc w:val="center"/>
              <w:outlineLvl w:val="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231" w:type="dxa"/>
            <w:vAlign w:val="center"/>
          </w:tcPr>
          <w:p w14:paraId="30614BCD">
            <w:pPr>
              <w:widowControl/>
              <w:jc w:val="center"/>
              <w:outlineLvl w:val="0"/>
              <w:rPr>
                <w:rFonts w:ascii="宋体" w:hAnsi="宋体" w:cs="宋体"/>
                <w:color w:val="auto"/>
                <w:szCs w:val="21"/>
                <w:highlight w:val="none"/>
              </w:rPr>
            </w:pPr>
          </w:p>
        </w:tc>
        <w:tc>
          <w:tcPr>
            <w:tcW w:w="3241" w:type="dxa"/>
          </w:tcPr>
          <w:p w14:paraId="45CDC818">
            <w:pPr>
              <w:pStyle w:val="26"/>
              <w:spacing w:line="400" w:lineRule="exact"/>
              <w:rPr>
                <w:rFonts w:hAnsi="宋体"/>
                <w:color w:val="auto"/>
                <w:highlight w:val="none"/>
              </w:rPr>
            </w:pPr>
          </w:p>
        </w:tc>
        <w:tc>
          <w:tcPr>
            <w:tcW w:w="3101" w:type="dxa"/>
          </w:tcPr>
          <w:p w14:paraId="58802988">
            <w:pPr>
              <w:pStyle w:val="26"/>
              <w:spacing w:line="400" w:lineRule="exact"/>
              <w:rPr>
                <w:rFonts w:hAnsi="宋体"/>
                <w:color w:val="auto"/>
                <w:highlight w:val="none"/>
              </w:rPr>
            </w:pPr>
          </w:p>
        </w:tc>
        <w:tc>
          <w:tcPr>
            <w:tcW w:w="1186" w:type="dxa"/>
          </w:tcPr>
          <w:p w14:paraId="27BD3CC3">
            <w:pPr>
              <w:pStyle w:val="26"/>
              <w:spacing w:line="400" w:lineRule="exact"/>
              <w:rPr>
                <w:rFonts w:hAnsi="宋体"/>
                <w:color w:val="auto"/>
                <w:highlight w:val="none"/>
              </w:rPr>
            </w:pPr>
          </w:p>
        </w:tc>
      </w:tr>
      <w:tr w14:paraId="0A6A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779" w:type="dxa"/>
            <w:vAlign w:val="center"/>
          </w:tcPr>
          <w:p w14:paraId="4214193F">
            <w:pPr>
              <w:widowControl/>
              <w:jc w:val="center"/>
              <w:outlineLvl w:val="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231" w:type="dxa"/>
            <w:vAlign w:val="center"/>
          </w:tcPr>
          <w:p w14:paraId="5B61D0FA">
            <w:pPr>
              <w:widowControl/>
              <w:jc w:val="center"/>
              <w:outlineLvl w:val="0"/>
              <w:rPr>
                <w:rFonts w:ascii="宋体" w:hAnsi="宋体" w:cs="宋体"/>
                <w:color w:val="auto"/>
                <w:szCs w:val="21"/>
                <w:highlight w:val="none"/>
              </w:rPr>
            </w:pPr>
          </w:p>
        </w:tc>
        <w:tc>
          <w:tcPr>
            <w:tcW w:w="3241" w:type="dxa"/>
          </w:tcPr>
          <w:p w14:paraId="35C5237A">
            <w:pPr>
              <w:pStyle w:val="26"/>
              <w:spacing w:line="400" w:lineRule="exact"/>
              <w:rPr>
                <w:rFonts w:hAnsi="宋体"/>
                <w:color w:val="auto"/>
                <w:highlight w:val="none"/>
              </w:rPr>
            </w:pPr>
          </w:p>
        </w:tc>
        <w:tc>
          <w:tcPr>
            <w:tcW w:w="3101" w:type="dxa"/>
          </w:tcPr>
          <w:p w14:paraId="2B3CA844">
            <w:pPr>
              <w:pStyle w:val="26"/>
              <w:spacing w:line="400" w:lineRule="exact"/>
              <w:rPr>
                <w:rFonts w:hAnsi="宋体"/>
                <w:color w:val="auto"/>
                <w:highlight w:val="none"/>
              </w:rPr>
            </w:pPr>
          </w:p>
        </w:tc>
        <w:tc>
          <w:tcPr>
            <w:tcW w:w="1186" w:type="dxa"/>
          </w:tcPr>
          <w:p w14:paraId="7735E1BC">
            <w:pPr>
              <w:pStyle w:val="26"/>
              <w:spacing w:line="400" w:lineRule="exact"/>
              <w:rPr>
                <w:rFonts w:hAnsi="宋体"/>
                <w:color w:val="auto"/>
                <w:highlight w:val="none"/>
              </w:rPr>
            </w:pPr>
          </w:p>
        </w:tc>
      </w:tr>
      <w:tr w14:paraId="4D5E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779" w:type="dxa"/>
            <w:vAlign w:val="center"/>
          </w:tcPr>
          <w:p w14:paraId="13719200">
            <w:pPr>
              <w:widowControl/>
              <w:jc w:val="center"/>
              <w:outlineLvl w:val="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1231" w:type="dxa"/>
            <w:vAlign w:val="center"/>
          </w:tcPr>
          <w:p w14:paraId="002C834C">
            <w:pPr>
              <w:widowControl/>
              <w:jc w:val="center"/>
              <w:outlineLvl w:val="0"/>
              <w:rPr>
                <w:rFonts w:ascii="宋体" w:hAnsi="宋体" w:cs="宋体"/>
                <w:color w:val="auto"/>
                <w:szCs w:val="21"/>
                <w:highlight w:val="none"/>
              </w:rPr>
            </w:pPr>
          </w:p>
        </w:tc>
        <w:tc>
          <w:tcPr>
            <w:tcW w:w="3241" w:type="dxa"/>
          </w:tcPr>
          <w:p w14:paraId="7509AF59">
            <w:pPr>
              <w:pStyle w:val="26"/>
              <w:spacing w:line="400" w:lineRule="exact"/>
              <w:rPr>
                <w:rFonts w:hAnsi="宋体"/>
                <w:color w:val="auto"/>
                <w:highlight w:val="none"/>
              </w:rPr>
            </w:pPr>
          </w:p>
        </w:tc>
        <w:tc>
          <w:tcPr>
            <w:tcW w:w="3101" w:type="dxa"/>
          </w:tcPr>
          <w:p w14:paraId="11439E73">
            <w:pPr>
              <w:pStyle w:val="26"/>
              <w:spacing w:line="400" w:lineRule="exact"/>
              <w:rPr>
                <w:rFonts w:hAnsi="宋体"/>
                <w:color w:val="auto"/>
                <w:highlight w:val="none"/>
              </w:rPr>
            </w:pPr>
          </w:p>
        </w:tc>
        <w:tc>
          <w:tcPr>
            <w:tcW w:w="1186" w:type="dxa"/>
          </w:tcPr>
          <w:p w14:paraId="1B5DEF2C">
            <w:pPr>
              <w:pStyle w:val="26"/>
              <w:spacing w:line="400" w:lineRule="exact"/>
              <w:rPr>
                <w:rFonts w:hAnsi="宋体"/>
                <w:color w:val="auto"/>
                <w:highlight w:val="none"/>
              </w:rPr>
            </w:pPr>
          </w:p>
        </w:tc>
      </w:tr>
    </w:tbl>
    <w:p w14:paraId="4D85E3CB">
      <w:pPr>
        <w:pStyle w:val="26"/>
        <w:spacing w:line="600" w:lineRule="exact"/>
        <w:ind w:firstLine="420"/>
        <w:jc w:val="left"/>
        <w:rPr>
          <w:rFonts w:hAnsi="宋体"/>
          <w:color w:val="auto"/>
          <w:szCs w:val="21"/>
          <w:highlight w:val="none"/>
          <w:u w:val="single"/>
        </w:rPr>
      </w:pPr>
      <w:r>
        <w:rPr>
          <w:rFonts w:hint="eastAsia" w:hAnsi="宋体"/>
          <w:color w:val="auto"/>
          <w:szCs w:val="21"/>
          <w:highlight w:val="none"/>
        </w:rPr>
        <w:t xml:space="preserve">        </w:t>
      </w:r>
      <w:r>
        <w:rPr>
          <w:rFonts w:hint="eastAsia" w:hAnsi="宋体"/>
          <w:color w:val="auto"/>
          <w:highlight w:val="none"/>
        </w:rPr>
        <w:t>投标人 （电子签章）：</w:t>
      </w:r>
      <w:r>
        <w:rPr>
          <w:rFonts w:hint="eastAsia" w:hAnsi="宋体"/>
          <w:color w:val="auto"/>
          <w:szCs w:val="21"/>
          <w:highlight w:val="none"/>
          <w:u w:val="single"/>
        </w:rPr>
        <w:t xml:space="preserve">                                     </w:t>
      </w:r>
    </w:p>
    <w:p w14:paraId="09E2AF2D">
      <w:pPr>
        <w:pStyle w:val="26"/>
        <w:spacing w:line="600" w:lineRule="exact"/>
        <w:ind w:firstLine="420"/>
        <w:jc w:val="left"/>
        <w:rPr>
          <w:rFonts w:hAnsi="宋体"/>
          <w:color w:val="auto"/>
          <w:szCs w:val="21"/>
          <w:highlight w:val="none"/>
          <w:u w:val="single"/>
        </w:rPr>
      </w:pPr>
      <w:r>
        <w:rPr>
          <w:rFonts w:hint="eastAsia" w:hAnsi="宋体"/>
          <w:color w:val="auto"/>
          <w:szCs w:val="21"/>
          <w:highlight w:val="none"/>
        </w:rPr>
        <w:t xml:space="preserve">        法定代表人</w:t>
      </w:r>
      <w:r>
        <w:rPr>
          <w:rFonts w:hint="eastAsia" w:hAnsi="宋体"/>
          <w:color w:val="auto"/>
          <w:highlight w:val="none"/>
        </w:rPr>
        <w:t>或相应的委托代理人签字（或者电子签名）：</w:t>
      </w:r>
      <w:r>
        <w:rPr>
          <w:rFonts w:hint="eastAsia" w:hAnsi="宋体"/>
          <w:color w:val="auto"/>
          <w:szCs w:val="21"/>
          <w:highlight w:val="none"/>
          <w:u w:val="single"/>
        </w:rPr>
        <w:t xml:space="preserve">                              </w:t>
      </w:r>
    </w:p>
    <w:p w14:paraId="2B555271">
      <w:pPr>
        <w:spacing w:line="600" w:lineRule="exact"/>
        <w:jc w:val="left"/>
        <w:rPr>
          <w:rFonts w:ascii="宋体" w:hAnsi="宋体"/>
          <w:color w:val="auto"/>
          <w:szCs w:val="21"/>
          <w:highlight w:val="none"/>
          <w:u w:val="single"/>
        </w:rPr>
      </w:pPr>
      <w:r>
        <w:rPr>
          <w:rFonts w:hint="eastAsia" w:hAnsi="宋体"/>
          <w:color w:val="auto"/>
          <w:highlight w:val="none"/>
        </w:rPr>
        <w:t xml:space="preserve">            日     期：</w:t>
      </w:r>
      <w:r>
        <w:rPr>
          <w:rFonts w:hint="eastAsia" w:hAnsi="宋体"/>
          <w:color w:val="auto"/>
          <w:highlight w:val="none"/>
          <w:u w:val="single"/>
        </w:rPr>
        <w:t xml:space="preserve">                                                   </w:t>
      </w:r>
    </w:p>
    <w:p w14:paraId="1495405C">
      <w:pPr>
        <w:pStyle w:val="26"/>
        <w:spacing w:line="400" w:lineRule="exact"/>
        <w:rPr>
          <w:rFonts w:hAnsi="宋体"/>
          <w:b/>
          <w:color w:val="auto"/>
          <w:highlight w:val="none"/>
        </w:rPr>
      </w:pPr>
      <w:r>
        <w:rPr>
          <w:rFonts w:hint="eastAsia" w:hAnsi="宋体"/>
          <w:b/>
          <w:color w:val="auto"/>
          <w:highlight w:val="none"/>
        </w:rPr>
        <w:t xml:space="preserve">   </w:t>
      </w:r>
    </w:p>
    <w:p w14:paraId="656B9653">
      <w:pPr>
        <w:pStyle w:val="26"/>
        <w:spacing w:line="400" w:lineRule="exact"/>
        <w:rPr>
          <w:rFonts w:hAnsi="宋体"/>
          <w:b/>
          <w:color w:val="auto"/>
          <w:highlight w:val="none"/>
        </w:rPr>
      </w:pPr>
      <w:r>
        <w:rPr>
          <w:rFonts w:hint="eastAsia" w:hAnsi="宋体"/>
          <w:b/>
          <w:color w:val="auto"/>
          <w:highlight w:val="none"/>
        </w:rPr>
        <w:t>注：1. 说明：投标人应对照招标文件第三章“采购需求”中的“技术要求”逐条作出明确响应，并作出偏离说明。</w:t>
      </w:r>
    </w:p>
    <w:p w14:paraId="163058CA">
      <w:pPr>
        <w:pStyle w:val="26"/>
        <w:spacing w:line="400" w:lineRule="exact"/>
        <w:rPr>
          <w:rFonts w:hAnsi="宋体"/>
          <w:b/>
          <w:color w:val="auto"/>
          <w:highlight w:val="none"/>
        </w:rPr>
      </w:pPr>
      <w:r>
        <w:rPr>
          <w:rFonts w:hint="eastAsia" w:hAnsi="宋体"/>
          <w:b/>
          <w:color w:val="auto"/>
          <w:highlight w:val="none"/>
        </w:rPr>
        <w:t>2. 投标人应根据投标设备的性能指标，对照招标文件要求，在“偏离说明”中注明“正偏离</w:t>
      </w:r>
      <w:r>
        <w:rPr>
          <w:rFonts w:hint="eastAsia" w:hAnsi="宋体"/>
          <w:b/>
          <w:color w:val="auto"/>
          <w:highlight w:val="none"/>
          <w:lang w:eastAsia="zh-CN"/>
        </w:rPr>
        <w:t>”“</w:t>
      </w:r>
      <w:r>
        <w:rPr>
          <w:rFonts w:hint="eastAsia" w:hAnsi="宋体"/>
          <w:b/>
          <w:color w:val="auto"/>
          <w:highlight w:val="none"/>
        </w:rPr>
        <w:t>负偏离”或者“无偏离”。既不属于“正偏离”也不属于“负偏离”即为“无偏离”。</w:t>
      </w:r>
    </w:p>
    <w:p w14:paraId="70698F30">
      <w:pPr>
        <w:pStyle w:val="26"/>
        <w:spacing w:line="400" w:lineRule="exact"/>
        <w:rPr>
          <w:rFonts w:hAnsi="宋体"/>
          <w:b/>
          <w:color w:val="auto"/>
          <w:highlight w:val="none"/>
        </w:rPr>
      </w:pPr>
    </w:p>
    <w:p w14:paraId="6E3D9058">
      <w:pPr>
        <w:rPr>
          <w:rFonts w:hAnsi="宋体"/>
          <w:b/>
          <w:color w:val="auto"/>
          <w:highlight w:val="none"/>
        </w:rPr>
      </w:pPr>
    </w:p>
    <w:p w14:paraId="3F445FA0">
      <w:pPr>
        <w:pStyle w:val="31"/>
        <w:rPr>
          <w:rFonts w:hAnsi="宋体"/>
          <w:b/>
          <w:color w:val="auto"/>
          <w:highlight w:val="none"/>
        </w:rPr>
      </w:pPr>
    </w:p>
    <w:p w14:paraId="6B893B0F">
      <w:pPr>
        <w:pStyle w:val="31"/>
        <w:rPr>
          <w:rFonts w:hAnsi="宋体"/>
          <w:b/>
          <w:color w:val="auto"/>
          <w:highlight w:val="none"/>
        </w:rPr>
      </w:pPr>
    </w:p>
    <w:p w14:paraId="226CC3CC">
      <w:pPr>
        <w:pStyle w:val="31"/>
        <w:rPr>
          <w:rFonts w:hAnsi="宋体"/>
          <w:b/>
          <w:color w:val="auto"/>
          <w:highlight w:val="none"/>
        </w:rPr>
      </w:pPr>
    </w:p>
    <w:p w14:paraId="2940B61A">
      <w:pPr>
        <w:pStyle w:val="31"/>
        <w:rPr>
          <w:rFonts w:hAnsi="宋体"/>
          <w:b/>
          <w:color w:val="auto"/>
          <w:highlight w:val="none"/>
        </w:rPr>
      </w:pPr>
    </w:p>
    <w:p w14:paraId="559EF287">
      <w:pPr>
        <w:pStyle w:val="31"/>
        <w:rPr>
          <w:rFonts w:hAnsi="宋体"/>
          <w:b/>
          <w:color w:val="auto"/>
          <w:highlight w:val="none"/>
        </w:rPr>
      </w:pPr>
    </w:p>
    <w:p w14:paraId="4C60E530">
      <w:pPr>
        <w:pStyle w:val="31"/>
        <w:rPr>
          <w:rFonts w:hAnsi="宋体"/>
          <w:b/>
          <w:color w:val="auto"/>
          <w:highlight w:val="none"/>
        </w:rPr>
      </w:pPr>
    </w:p>
    <w:p w14:paraId="056D4BBA">
      <w:pPr>
        <w:pStyle w:val="31"/>
        <w:rPr>
          <w:rFonts w:hAnsi="宋体"/>
          <w:b/>
          <w:color w:val="auto"/>
          <w:highlight w:val="none"/>
        </w:rPr>
      </w:pPr>
    </w:p>
    <w:p w14:paraId="1DE340F7">
      <w:pPr>
        <w:pStyle w:val="31"/>
        <w:rPr>
          <w:rFonts w:hAnsi="宋体"/>
          <w:b/>
          <w:color w:val="auto"/>
          <w:highlight w:val="none"/>
        </w:rPr>
      </w:pPr>
      <w:r>
        <w:rPr>
          <w:rFonts w:hAnsi="宋体"/>
          <w:b/>
          <w:color w:val="auto"/>
          <w:highlight w:val="none"/>
        </w:rPr>
        <w:br w:type="page"/>
      </w:r>
    </w:p>
    <w:p w14:paraId="03F0B4F7">
      <w:pPr>
        <w:pStyle w:val="26"/>
        <w:spacing w:line="400" w:lineRule="exact"/>
        <w:rPr>
          <w:rFonts w:hAnsi="宋体"/>
          <w:b/>
          <w:color w:val="auto"/>
          <w:sz w:val="32"/>
          <w:szCs w:val="32"/>
          <w:highlight w:val="none"/>
        </w:rPr>
      </w:pPr>
      <w:r>
        <w:rPr>
          <w:rFonts w:hint="eastAsia" w:hAnsi="宋体"/>
          <w:b/>
          <w:color w:val="auto"/>
          <w:sz w:val="32"/>
          <w:szCs w:val="32"/>
          <w:highlight w:val="none"/>
        </w:rPr>
        <w:t>4.商务响应表（必须提供）</w:t>
      </w:r>
    </w:p>
    <w:p w14:paraId="646EF32A">
      <w:pPr>
        <w:pStyle w:val="26"/>
        <w:spacing w:line="400" w:lineRule="exact"/>
        <w:rPr>
          <w:rFonts w:hAnsi="宋体"/>
          <w:b/>
          <w:color w:val="auto"/>
          <w:sz w:val="32"/>
          <w:szCs w:val="32"/>
          <w:highlight w:val="none"/>
        </w:rPr>
      </w:pPr>
      <w:r>
        <w:rPr>
          <w:rFonts w:hint="eastAsia" w:hAnsi="宋体"/>
          <w:b/>
          <w:color w:val="auto"/>
          <w:sz w:val="32"/>
          <w:szCs w:val="32"/>
          <w:highlight w:val="none"/>
        </w:rPr>
        <w:t>附件：</w:t>
      </w:r>
    </w:p>
    <w:p w14:paraId="080D22DB">
      <w:pPr>
        <w:pStyle w:val="26"/>
        <w:jc w:val="center"/>
        <w:rPr>
          <w:rFonts w:hAnsi="宋体"/>
          <w:b/>
          <w:bCs/>
          <w:color w:val="auto"/>
          <w:sz w:val="32"/>
          <w:highlight w:val="none"/>
        </w:rPr>
      </w:pPr>
      <w:r>
        <w:rPr>
          <w:rFonts w:hint="eastAsia" w:hAnsi="宋体"/>
          <w:b/>
          <w:bCs/>
          <w:color w:val="auto"/>
          <w:sz w:val="32"/>
          <w:highlight w:val="none"/>
        </w:rPr>
        <w:t>商务响应表（格式）</w:t>
      </w:r>
    </w:p>
    <w:p w14:paraId="43ABD741">
      <w:pPr>
        <w:spacing w:line="400" w:lineRule="exact"/>
        <w:rPr>
          <w:rFonts w:hint="default" w:hAnsi="宋体" w:eastAsia="宋体"/>
          <w:color w:val="auto"/>
          <w:highlight w:val="none"/>
          <w:lang w:val="en-US" w:eastAsia="zh-CN"/>
        </w:rPr>
      </w:pPr>
      <w:r>
        <w:rPr>
          <w:rFonts w:hint="eastAsia" w:hAnsi="宋体"/>
          <w:color w:val="auto"/>
          <w:highlight w:val="none"/>
          <w:lang w:eastAsia="zh-CN"/>
        </w:rPr>
        <w:t>分标</w:t>
      </w:r>
      <w:r>
        <w:rPr>
          <w:rFonts w:hint="eastAsia" w:hAnsi="宋体"/>
          <w:color w:val="auto"/>
          <w:highlight w:val="none"/>
          <w:u w:val="single"/>
          <w:lang w:val="en-US" w:eastAsia="zh-CN"/>
        </w:rPr>
        <w:t xml:space="preserve">     </w:t>
      </w:r>
    </w:p>
    <w:tbl>
      <w:tblPr>
        <w:tblStyle w:val="51"/>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3876"/>
        <w:gridCol w:w="3550"/>
      </w:tblGrid>
      <w:tr w14:paraId="1D40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2448" w:type="dxa"/>
            <w:vAlign w:val="center"/>
          </w:tcPr>
          <w:p w14:paraId="38FF559D">
            <w:pPr>
              <w:snapToGrid w:val="0"/>
              <w:spacing w:before="156" w:beforeLines="50" w:line="240" w:lineRule="exact"/>
              <w:jc w:val="center"/>
              <w:rPr>
                <w:rFonts w:ascii="宋体" w:hAnsi="宋体"/>
                <w:color w:val="auto"/>
                <w:szCs w:val="21"/>
                <w:highlight w:val="none"/>
              </w:rPr>
            </w:pPr>
            <w:r>
              <w:rPr>
                <w:rFonts w:hint="eastAsia" w:ascii="宋体" w:hAnsi="宋体"/>
                <w:color w:val="auto"/>
                <w:szCs w:val="21"/>
                <w:highlight w:val="none"/>
              </w:rPr>
              <w:t>条款</w:t>
            </w:r>
          </w:p>
        </w:tc>
        <w:tc>
          <w:tcPr>
            <w:tcW w:w="3876" w:type="dxa"/>
            <w:vAlign w:val="center"/>
          </w:tcPr>
          <w:p w14:paraId="3C3B68DF">
            <w:pPr>
              <w:snapToGrid w:val="0"/>
              <w:spacing w:before="156" w:beforeLines="50" w:line="240" w:lineRule="exact"/>
              <w:jc w:val="center"/>
              <w:rPr>
                <w:rFonts w:ascii="宋体" w:hAnsi="宋体"/>
                <w:color w:val="auto"/>
                <w:szCs w:val="21"/>
                <w:highlight w:val="none"/>
              </w:rPr>
            </w:pPr>
            <w:r>
              <w:rPr>
                <w:rFonts w:hint="eastAsia" w:ascii="宋体" w:hAnsi="宋体"/>
                <w:color w:val="auto"/>
                <w:szCs w:val="21"/>
                <w:highlight w:val="none"/>
              </w:rPr>
              <w:t>招标文件的“商务要求”</w:t>
            </w:r>
          </w:p>
        </w:tc>
        <w:tc>
          <w:tcPr>
            <w:tcW w:w="3550" w:type="dxa"/>
            <w:vAlign w:val="center"/>
          </w:tcPr>
          <w:p w14:paraId="02E09373">
            <w:pPr>
              <w:snapToGrid w:val="0"/>
              <w:spacing w:before="156" w:beforeLines="50" w:line="240" w:lineRule="exact"/>
              <w:jc w:val="center"/>
              <w:rPr>
                <w:rFonts w:ascii="宋体" w:hAnsi="宋体"/>
                <w:color w:val="auto"/>
                <w:szCs w:val="21"/>
                <w:highlight w:val="none"/>
              </w:rPr>
            </w:pPr>
            <w:r>
              <w:rPr>
                <w:rFonts w:hint="eastAsia" w:hAnsi="宋体"/>
                <w:color w:val="auto"/>
                <w:szCs w:val="20"/>
                <w:highlight w:val="none"/>
              </w:rPr>
              <w:t>对应招标文件的“商务要求”，投标文件的详细响应情况</w:t>
            </w:r>
          </w:p>
        </w:tc>
      </w:tr>
      <w:tr w14:paraId="26FD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48" w:type="dxa"/>
            <w:vAlign w:val="center"/>
          </w:tcPr>
          <w:p w14:paraId="5AE5BB45">
            <w:pPr>
              <w:snapToGrid w:val="0"/>
              <w:spacing w:before="156" w:beforeLines="50" w:line="2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（一）售后服务</w:t>
            </w:r>
            <w:r>
              <w:rPr>
                <w:rFonts w:hint="eastAsia" w:ascii="宋体" w:hAnsi="宋体" w:eastAsia="宋体" w:cs="Times New Roman"/>
                <w:color w:val="auto"/>
                <w:szCs w:val="21"/>
                <w:highlight w:val="none"/>
                <w:lang w:val="en-US" w:eastAsia="zh-CN"/>
              </w:rPr>
              <w:t>基本要求</w:t>
            </w:r>
          </w:p>
        </w:tc>
        <w:tc>
          <w:tcPr>
            <w:tcW w:w="3876" w:type="dxa"/>
            <w:vAlign w:val="center"/>
          </w:tcPr>
          <w:p w14:paraId="6CAC5F0F">
            <w:pPr>
              <w:spacing w:line="240" w:lineRule="exact"/>
              <w:jc w:val="left"/>
              <w:rPr>
                <w:rFonts w:ascii="宋体" w:hAnsi="宋体"/>
                <w:color w:val="auto"/>
                <w:szCs w:val="21"/>
                <w:highlight w:val="none"/>
              </w:rPr>
            </w:pPr>
          </w:p>
        </w:tc>
        <w:tc>
          <w:tcPr>
            <w:tcW w:w="3550" w:type="dxa"/>
            <w:vAlign w:val="center"/>
          </w:tcPr>
          <w:p w14:paraId="51F2F585">
            <w:pPr>
              <w:pStyle w:val="26"/>
              <w:spacing w:line="240" w:lineRule="exact"/>
              <w:jc w:val="center"/>
              <w:rPr>
                <w:rFonts w:hAnsi="宋体"/>
                <w:color w:val="auto"/>
                <w:highlight w:val="none"/>
              </w:rPr>
            </w:pPr>
          </w:p>
        </w:tc>
      </w:tr>
      <w:tr w14:paraId="0E24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48" w:type="dxa"/>
            <w:vAlign w:val="center"/>
          </w:tcPr>
          <w:p w14:paraId="27B010BE">
            <w:pPr>
              <w:snapToGrid w:val="0"/>
              <w:spacing w:before="156" w:beforeLines="50" w:line="2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（二）交付时间和地点</w:t>
            </w:r>
          </w:p>
        </w:tc>
        <w:tc>
          <w:tcPr>
            <w:tcW w:w="3876" w:type="dxa"/>
            <w:vAlign w:val="center"/>
          </w:tcPr>
          <w:p w14:paraId="579FCC44">
            <w:pPr>
              <w:spacing w:line="240" w:lineRule="exact"/>
              <w:jc w:val="left"/>
              <w:rPr>
                <w:rFonts w:ascii="宋体" w:hAnsi="宋体"/>
                <w:color w:val="auto"/>
                <w:szCs w:val="21"/>
                <w:highlight w:val="none"/>
              </w:rPr>
            </w:pPr>
          </w:p>
        </w:tc>
        <w:tc>
          <w:tcPr>
            <w:tcW w:w="3550" w:type="dxa"/>
          </w:tcPr>
          <w:p w14:paraId="07032C23">
            <w:pPr>
              <w:pStyle w:val="26"/>
              <w:spacing w:line="240" w:lineRule="exact"/>
              <w:rPr>
                <w:rFonts w:hAnsi="宋体"/>
                <w:color w:val="auto"/>
                <w:highlight w:val="none"/>
              </w:rPr>
            </w:pPr>
          </w:p>
        </w:tc>
      </w:tr>
      <w:tr w14:paraId="0FDD0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48" w:type="dxa"/>
            <w:vAlign w:val="center"/>
          </w:tcPr>
          <w:p w14:paraId="6AB275C1">
            <w:pPr>
              <w:snapToGrid w:val="0"/>
              <w:spacing w:before="156" w:beforeLines="50" w:line="2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（三）付款方式</w:t>
            </w:r>
          </w:p>
        </w:tc>
        <w:tc>
          <w:tcPr>
            <w:tcW w:w="3876" w:type="dxa"/>
            <w:vAlign w:val="center"/>
          </w:tcPr>
          <w:p w14:paraId="112D59ED">
            <w:pPr>
              <w:spacing w:line="240" w:lineRule="exact"/>
              <w:jc w:val="left"/>
              <w:rPr>
                <w:rFonts w:ascii="宋体" w:hAnsi="宋体"/>
                <w:color w:val="auto"/>
                <w:szCs w:val="21"/>
                <w:highlight w:val="none"/>
              </w:rPr>
            </w:pPr>
          </w:p>
        </w:tc>
        <w:tc>
          <w:tcPr>
            <w:tcW w:w="3550" w:type="dxa"/>
          </w:tcPr>
          <w:p w14:paraId="75FC1A56">
            <w:pPr>
              <w:pStyle w:val="26"/>
              <w:spacing w:line="240" w:lineRule="exact"/>
              <w:rPr>
                <w:rFonts w:hAnsi="宋体"/>
                <w:color w:val="auto"/>
                <w:highlight w:val="none"/>
              </w:rPr>
            </w:pPr>
          </w:p>
        </w:tc>
      </w:tr>
      <w:tr w14:paraId="7814F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48" w:type="dxa"/>
            <w:vAlign w:val="center"/>
          </w:tcPr>
          <w:p w14:paraId="215AE8AC">
            <w:pPr>
              <w:snapToGrid w:val="0"/>
              <w:spacing w:before="156" w:beforeLines="50" w:line="2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（四）包装和运输</w:t>
            </w:r>
          </w:p>
        </w:tc>
        <w:tc>
          <w:tcPr>
            <w:tcW w:w="3876" w:type="dxa"/>
            <w:vAlign w:val="center"/>
          </w:tcPr>
          <w:p w14:paraId="46FC8570">
            <w:pPr>
              <w:spacing w:line="240" w:lineRule="exact"/>
              <w:jc w:val="left"/>
              <w:rPr>
                <w:rFonts w:ascii="宋体" w:hAnsi="宋体"/>
                <w:color w:val="auto"/>
                <w:szCs w:val="21"/>
                <w:highlight w:val="none"/>
              </w:rPr>
            </w:pPr>
          </w:p>
        </w:tc>
        <w:tc>
          <w:tcPr>
            <w:tcW w:w="3550" w:type="dxa"/>
          </w:tcPr>
          <w:p w14:paraId="265CF1BE">
            <w:pPr>
              <w:pStyle w:val="26"/>
              <w:spacing w:line="240" w:lineRule="exact"/>
              <w:rPr>
                <w:rFonts w:hAnsi="宋体"/>
                <w:color w:val="auto"/>
                <w:highlight w:val="none"/>
              </w:rPr>
            </w:pPr>
          </w:p>
        </w:tc>
      </w:tr>
      <w:tr w14:paraId="6ADE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48" w:type="dxa"/>
            <w:vAlign w:val="center"/>
          </w:tcPr>
          <w:p w14:paraId="24BE8589">
            <w:pPr>
              <w:snapToGrid w:val="0"/>
              <w:spacing w:before="156" w:beforeLines="50" w:line="2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（五）保险</w:t>
            </w:r>
          </w:p>
        </w:tc>
        <w:tc>
          <w:tcPr>
            <w:tcW w:w="3876" w:type="dxa"/>
            <w:vAlign w:val="center"/>
          </w:tcPr>
          <w:p w14:paraId="43F96B52">
            <w:pPr>
              <w:spacing w:line="240" w:lineRule="exact"/>
              <w:jc w:val="left"/>
              <w:rPr>
                <w:rFonts w:ascii="宋体" w:hAnsi="宋体"/>
                <w:color w:val="auto"/>
                <w:szCs w:val="21"/>
                <w:highlight w:val="none"/>
              </w:rPr>
            </w:pPr>
          </w:p>
        </w:tc>
        <w:tc>
          <w:tcPr>
            <w:tcW w:w="3550" w:type="dxa"/>
          </w:tcPr>
          <w:p w14:paraId="11283027">
            <w:pPr>
              <w:pStyle w:val="26"/>
              <w:spacing w:line="240" w:lineRule="exact"/>
              <w:rPr>
                <w:rFonts w:hAnsi="宋体"/>
                <w:color w:val="auto"/>
                <w:highlight w:val="none"/>
              </w:rPr>
            </w:pPr>
          </w:p>
        </w:tc>
      </w:tr>
      <w:tr w14:paraId="0C67E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48" w:type="dxa"/>
            <w:vAlign w:val="center"/>
          </w:tcPr>
          <w:p w14:paraId="5252ED35">
            <w:pPr>
              <w:snapToGrid w:val="0"/>
              <w:spacing w:before="156" w:beforeLines="50" w:line="2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（六）验收标准</w:t>
            </w:r>
          </w:p>
        </w:tc>
        <w:tc>
          <w:tcPr>
            <w:tcW w:w="3876" w:type="dxa"/>
            <w:vAlign w:val="center"/>
          </w:tcPr>
          <w:p w14:paraId="51C16F1F">
            <w:pPr>
              <w:spacing w:line="240" w:lineRule="exact"/>
              <w:jc w:val="left"/>
              <w:rPr>
                <w:rFonts w:ascii="宋体" w:hAnsi="宋体"/>
                <w:color w:val="auto"/>
                <w:szCs w:val="21"/>
                <w:highlight w:val="none"/>
              </w:rPr>
            </w:pPr>
          </w:p>
        </w:tc>
        <w:tc>
          <w:tcPr>
            <w:tcW w:w="3550" w:type="dxa"/>
          </w:tcPr>
          <w:p w14:paraId="636B78B5">
            <w:pPr>
              <w:pStyle w:val="26"/>
              <w:spacing w:line="240" w:lineRule="exact"/>
              <w:rPr>
                <w:rFonts w:hAnsi="宋体"/>
                <w:color w:val="auto"/>
                <w:highlight w:val="none"/>
              </w:rPr>
            </w:pPr>
          </w:p>
        </w:tc>
      </w:tr>
      <w:tr w14:paraId="39D6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48" w:type="dxa"/>
            <w:vAlign w:val="center"/>
          </w:tcPr>
          <w:p w14:paraId="2FFAFA22">
            <w:pPr>
              <w:snapToGrid w:val="0"/>
              <w:spacing w:before="156" w:beforeLines="50" w:line="2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（七）医疗器械注册证</w:t>
            </w:r>
          </w:p>
        </w:tc>
        <w:tc>
          <w:tcPr>
            <w:tcW w:w="3876" w:type="dxa"/>
            <w:vAlign w:val="center"/>
          </w:tcPr>
          <w:p w14:paraId="24048E1E">
            <w:pPr>
              <w:spacing w:line="240" w:lineRule="exact"/>
              <w:jc w:val="left"/>
              <w:rPr>
                <w:rFonts w:ascii="宋体" w:hAnsi="宋体"/>
                <w:color w:val="auto"/>
                <w:szCs w:val="21"/>
                <w:highlight w:val="none"/>
              </w:rPr>
            </w:pPr>
          </w:p>
        </w:tc>
        <w:tc>
          <w:tcPr>
            <w:tcW w:w="3550" w:type="dxa"/>
          </w:tcPr>
          <w:p w14:paraId="1A6C2238">
            <w:pPr>
              <w:pStyle w:val="26"/>
              <w:spacing w:line="240" w:lineRule="exact"/>
              <w:rPr>
                <w:rFonts w:hAnsi="宋体"/>
                <w:color w:val="auto"/>
                <w:highlight w:val="none"/>
              </w:rPr>
            </w:pPr>
          </w:p>
        </w:tc>
      </w:tr>
      <w:tr w14:paraId="556D9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48" w:type="dxa"/>
            <w:vAlign w:val="center"/>
          </w:tcPr>
          <w:p w14:paraId="44736C99">
            <w:pPr>
              <w:snapToGrid w:val="0"/>
              <w:spacing w:before="156" w:beforeLines="50" w:line="2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（八）进口产品说明</w:t>
            </w:r>
          </w:p>
        </w:tc>
        <w:tc>
          <w:tcPr>
            <w:tcW w:w="3876" w:type="dxa"/>
            <w:vAlign w:val="center"/>
          </w:tcPr>
          <w:p w14:paraId="02110790">
            <w:pPr>
              <w:spacing w:line="240" w:lineRule="exact"/>
              <w:jc w:val="left"/>
              <w:rPr>
                <w:rFonts w:ascii="宋体" w:hAnsi="宋体"/>
                <w:color w:val="auto"/>
                <w:szCs w:val="21"/>
                <w:highlight w:val="none"/>
              </w:rPr>
            </w:pPr>
          </w:p>
        </w:tc>
        <w:tc>
          <w:tcPr>
            <w:tcW w:w="3550" w:type="dxa"/>
          </w:tcPr>
          <w:p w14:paraId="0192748C">
            <w:pPr>
              <w:pStyle w:val="26"/>
              <w:spacing w:line="240" w:lineRule="exact"/>
              <w:rPr>
                <w:rFonts w:hAnsi="宋体"/>
                <w:color w:val="auto"/>
                <w:highlight w:val="none"/>
              </w:rPr>
            </w:pPr>
          </w:p>
        </w:tc>
      </w:tr>
      <w:tr w14:paraId="0724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48" w:type="dxa"/>
            <w:vAlign w:val="center"/>
          </w:tcPr>
          <w:p w14:paraId="388E7743">
            <w:pPr>
              <w:snapToGrid w:val="0"/>
              <w:spacing w:before="156" w:beforeLines="50" w:line="240" w:lineRule="exact"/>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九</w:t>
            </w:r>
            <w:r>
              <w:rPr>
                <w:rFonts w:hint="eastAsia" w:ascii="宋体" w:hAnsi="宋体" w:eastAsia="宋体" w:cs="Times New Roman"/>
                <w:color w:val="auto"/>
                <w:szCs w:val="21"/>
                <w:highlight w:val="none"/>
              </w:rPr>
              <w:t>）采购预算</w:t>
            </w:r>
            <w:r>
              <w:rPr>
                <w:rFonts w:hint="eastAsia" w:ascii="宋体" w:hAnsi="宋体" w:eastAsia="宋体" w:cs="Times New Roman"/>
                <w:color w:val="auto"/>
                <w:szCs w:val="21"/>
                <w:highlight w:val="none"/>
                <w:lang w:eastAsia="zh-CN"/>
              </w:rPr>
              <w:t>、最高限价</w:t>
            </w:r>
          </w:p>
        </w:tc>
        <w:tc>
          <w:tcPr>
            <w:tcW w:w="3876" w:type="dxa"/>
            <w:vAlign w:val="center"/>
          </w:tcPr>
          <w:p w14:paraId="564321A1">
            <w:pPr>
              <w:spacing w:line="240" w:lineRule="exact"/>
              <w:jc w:val="left"/>
              <w:rPr>
                <w:rFonts w:ascii="宋体" w:hAnsi="宋体"/>
                <w:color w:val="auto"/>
                <w:szCs w:val="21"/>
                <w:highlight w:val="none"/>
              </w:rPr>
            </w:pPr>
          </w:p>
        </w:tc>
        <w:tc>
          <w:tcPr>
            <w:tcW w:w="3550" w:type="dxa"/>
          </w:tcPr>
          <w:p w14:paraId="7962CDD4">
            <w:pPr>
              <w:pStyle w:val="26"/>
              <w:spacing w:line="240" w:lineRule="exact"/>
              <w:rPr>
                <w:rFonts w:hAnsi="宋体"/>
                <w:color w:val="auto"/>
                <w:highlight w:val="none"/>
              </w:rPr>
            </w:pPr>
          </w:p>
        </w:tc>
      </w:tr>
    </w:tbl>
    <w:p w14:paraId="4999E2FB">
      <w:pPr>
        <w:snapToGrid w:val="0"/>
        <w:spacing w:line="600" w:lineRule="exact"/>
        <w:jc w:val="left"/>
        <w:outlineLvl w:val="4"/>
        <w:rPr>
          <w:rFonts w:ascii="宋体" w:hAnsi="宋体"/>
          <w:color w:val="auto"/>
          <w:szCs w:val="21"/>
          <w:highlight w:val="none"/>
        </w:rPr>
      </w:pPr>
      <w:r>
        <w:rPr>
          <w:rFonts w:hint="eastAsia" w:ascii="宋体" w:hAnsi="宋体"/>
          <w:color w:val="auto"/>
          <w:szCs w:val="21"/>
          <w:highlight w:val="none"/>
        </w:rPr>
        <w:t xml:space="preserve">            </w:t>
      </w:r>
    </w:p>
    <w:p w14:paraId="708CA5FB">
      <w:pPr>
        <w:pStyle w:val="26"/>
        <w:spacing w:line="600" w:lineRule="exact"/>
        <w:ind w:firstLine="420"/>
        <w:jc w:val="left"/>
        <w:rPr>
          <w:rFonts w:hAnsi="宋体"/>
          <w:color w:val="auto"/>
          <w:szCs w:val="21"/>
          <w:highlight w:val="none"/>
          <w:u w:val="single"/>
        </w:rPr>
      </w:pPr>
      <w:r>
        <w:rPr>
          <w:rFonts w:hint="eastAsia" w:hAnsi="宋体"/>
          <w:color w:val="auto"/>
          <w:szCs w:val="21"/>
          <w:highlight w:val="none"/>
        </w:rPr>
        <w:t xml:space="preserve">         </w:t>
      </w:r>
      <w:r>
        <w:rPr>
          <w:rFonts w:hint="eastAsia" w:hAnsi="宋体"/>
          <w:color w:val="auto"/>
          <w:highlight w:val="none"/>
        </w:rPr>
        <w:t>投标人 （电子签章）：</w:t>
      </w:r>
      <w:r>
        <w:rPr>
          <w:rFonts w:hint="eastAsia" w:hAnsi="宋体"/>
          <w:color w:val="auto"/>
          <w:szCs w:val="21"/>
          <w:highlight w:val="none"/>
          <w:u w:val="single"/>
        </w:rPr>
        <w:t xml:space="preserve">                                     </w:t>
      </w:r>
    </w:p>
    <w:p w14:paraId="5D96B5DA">
      <w:pPr>
        <w:pStyle w:val="26"/>
        <w:spacing w:line="600" w:lineRule="exact"/>
        <w:ind w:firstLine="420"/>
        <w:jc w:val="left"/>
        <w:rPr>
          <w:rFonts w:hAnsi="宋体"/>
          <w:color w:val="auto"/>
          <w:szCs w:val="21"/>
          <w:highlight w:val="none"/>
          <w:u w:val="single"/>
        </w:rPr>
      </w:pPr>
      <w:r>
        <w:rPr>
          <w:rFonts w:hint="eastAsia" w:hAnsi="宋体"/>
          <w:color w:val="auto"/>
          <w:szCs w:val="21"/>
          <w:highlight w:val="none"/>
        </w:rPr>
        <w:t xml:space="preserve">        法定代表人</w:t>
      </w:r>
      <w:r>
        <w:rPr>
          <w:rFonts w:hint="eastAsia" w:hAnsi="宋体"/>
          <w:color w:val="auto"/>
          <w:highlight w:val="none"/>
        </w:rPr>
        <w:t>或相应的委托代理人签字（或者电子签名）：</w:t>
      </w:r>
      <w:r>
        <w:rPr>
          <w:rFonts w:hint="eastAsia" w:hAnsi="宋体"/>
          <w:color w:val="auto"/>
          <w:szCs w:val="21"/>
          <w:highlight w:val="none"/>
          <w:u w:val="single"/>
        </w:rPr>
        <w:t xml:space="preserve">                              </w:t>
      </w:r>
    </w:p>
    <w:p w14:paraId="4FC70F26">
      <w:pPr>
        <w:spacing w:line="600" w:lineRule="exact"/>
        <w:jc w:val="left"/>
        <w:rPr>
          <w:rFonts w:ascii="宋体" w:hAnsi="宋体"/>
          <w:color w:val="auto"/>
          <w:szCs w:val="21"/>
          <w:highlight w:val="none"/>
          <w:u w:val="single"/>
        </w:rPr>
      </w:pPr>
      <w:r>
        <w:rPr>
          <w:rFonts w:hint="eastAsia" w:hAnsi="宋体"/>
          <w:color w:val="auto"/>
          <w:highlight w:val="none"/>
        </w:rPr>
        <w:t xml:space="preserve">            日     期：</w:t>
      </w:r>
      <w:r>
        <w:rPr>
          <w:rFonts w:hint="eastAsia" w:hAnsi="宋体"/>
          <w:color w:val="auto"/>
          <w:highlight w:val="none"/>
          <w:u w:val="single"/>
        </w:rPr>
        <w:t xml:space="preserve">                                                   </w:t>
      </w:r>
    </w:p>
    <w:p w14:paraId="1C838833">
      <w:pPr>
        <w:snapToGrid w:val="0"/>
        <w:spacing w:line="600" w:lineRule="exact"/>
        <w:jc w:val="left"/>
        <w:outlineLvl w:val="4"/>
        <w:rPr>
          <w:rFonts w:hAnsi="宋体"/>
          <w:b/>
          <w:color w:val="auto"/>
          <w:highlight w:val="none"/>
        </w:rPr>
      </w:pPr>
    </w:p>
    <w:p w14:paraId="7A1746B9">
      <w:pPr>
        <w:pStyle w:val="26"/>
        <w:rPr>
          <w:rFonts w:hAnsi="宋体"/>
          <w:color w:val="auto"/>
          <w:highlight w:val="none"/>
        </w:rPr>
      </w:pPr>
    </w:p>
    <w:p w14:paraId="1F3E8FCC">
      <w:pPr>
        <w:pStyle w:val="26"/>
        <w:rPr>
          <w:rFonts w:hAnsi="宋体"/>
          <w:color w:val="auto"/>
          <w:highlight w:val="none"/>
        </w:rPr>
      </w:pPr>
    </w:p>
    <w:p w14:paraId="65A245C0">
      <w:pPr>
        <w:pStyle w:val="13"/>
        <w:ind w:firstLine="420"/>
        <w:rPr>
          <w:color w:val="auto"/>
          <w:highlight w:val="none"/>
        </w:rPr>
      </w:pPr>
    </w:p>
    <w:p w14:paraId="259E7142">
      <w:pPr>
        <w:rPr>
          <w:color w:val="auto"/>
          <w:highlight w:val="none"/>
        </w:rPr>
      </w:pPr>
    </w:p>
    <w:p w14:paraId="787D09E9">
      <w:pPr>
        <w:rPr>
          <w:color w:val="auto"/>
          <w:highlight w:val="none"/>
        </w:rPr>
      </w:pPr>
    </w:p>
    <w:p w14:paraId="16A58F06">
      <w:pPr>
        <w:rPr>
          <w:color w:val="auto"/>
          <w:highlight w:val="none"/>
        </w:rPr>
      </w:pPr>
    </w:p>
    <w:p w14:paraId="60CD4362">
      <w:pPr>
        <w:rPr>
          <w:color w:val="auto"/>
          <w:highlight w:val="none"/>
        </w:rPr>
      </w:pPr>
    </w:p>
    <w:p w14:paraId="7B079416">
      <w:pPr>
        <w:rPr>
          <w:color w:val="auto"/>
          <w:highlight w:val="none"/>
        </w:rPr>
      </w:pPr>
    </w:p>
    <w:p w14:paraId="7F7FEFF1">
      <w:pPr>
        <w:pStyle w:val="26"/>
        <w:spacing w:line="400" w:lineRule="exact"/>
        <w:rPr>
          <w:rFonts w:hint="eastAsia" w:hAnsi="宋体"/>
          <w:b/>
          <w:color w:val="auto"/>
          <w:sz w:val="32"/>
          <w:szCs w:val="32"/>
          <w:highlight w:val="none"/>
        </w:rPr>
      </w:pPr>
    </w:p>
    <w:p w14:paraId="4657E5F5">
      <w:pPr>
        <w:pStyle w:val="26"/>
        <w:spacing w:line="400" w:lineRule="exact"/>
        <w:rPr>
          <w:rFonts w:hAnsi="宋体"/>
          <w:b/>
          <w:color w:val="auto"/>
          <w:sz w:val="32"/>
          <w:szCs w:val="32"/>
          <w:highlight w:val="none"/>
        </w:rPr>
      </w:pPr>
      <w:r>
        <w:rPr>
          <w:rFonts w:hint="eastAsia" w:hAnsi="宋体"/>
          <w:b/>
          <w:color w:val="auto"/>
          <w:sz w:val="32"/>
          <w:szCs w:val="32"/>
          <w:highlight w:val="none"/>
        </w:rPr>
        <w:t>5.“采购需求”中要求必须提供的有效证明文件（“采购需求”中要求必须提供的，必须提供）</w:t>
      </w:r>
    </w:p>
    <w:p w14:paraId="472F4EE7">
      <w:pPr>
        <w:keepNext w:val="0"/>
        <w:keepLines w:val="0"/>
        <w:pageBreakBefore w:val="0"/>
        <w:tabs>
          <w:tab w:val="left" w:pos="1305"/>
        </w:tabs>
        <w:kinsoku/>
        <w:wordWrap/>
        <w:overflowPunct/>
        <w:topLinePunct w:val="0"/>
        <w:bidi w:val="0"/>
        <w:adjustRightInd/>
        <w:spacing w:line="360" w:lineRule="exact"/>
        <w:ind w:left="420" w:leftChars="200"/>
        <w:textAlignment w:val="auto"/>
        <w:rPr>
          <w:rFonts w:hint="eastAsia" w:ascii="宋体" w:hAnsi="宋体"/>
          <w:b/>
          <w:bCs/>
          <w:color w:val="auto"/>
          <w:szCs w:val="21"/>
          <w:highlight w:val="none"/>
        </w:rPr>
      </w:pPr>
      <w:r>
        <w:rPr>
          <w:rFonts w:hint="eastAsia" w:ascii="宋体" w:hAnsi="宋体"/>
          <w:b/>
          <w:bCs/>
          <w:color w:val="auto"/>
          <w:szCs w:val="21"/>
          <w:highlight w:val="none"/>
        </w:rPr>
        <w:t>注：“采购需求”中要求必须提供的有效证明文件包括但不限于：</w:t>
      </w:r>
    </w:p>
    <w:p w14:paraId="191A1553">
      <w:pPr>
        <w:keepNext w:val="0"/>
        <w:keepLines w:val="0"/>
        <w:pageBreakBefore w:val="0"/>
        <w:tabs>
          <w:tab w:val="left" w:pos="1305"/>
        </w:tabs>
        <w:kinsoku/>
        <w:wordWrap/>
        <w:overflowPunct/>
        <w:topLinePunct w:val="0"/>
        <w:bidi w:val="0"/>
        <w:adjustRightInd/>
        <w:spacing w:line="360" w:lineRule="exact"/>
        <w:ind w:left="0" w:leftChars="0"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lang w:val="en-US" w:eastAsia="zh-CN"/>
        </w:rPr>
        <w:t>分标1：</w:t>
      </w:r>
      <w:r>
        <w:rPr>
          <w:rFonts w:hint="eastAsia" w:ascii="宋体" w:hAnsi="宋体"/>
          <w:b/>
          <w:color w:val="auto"/>
          <w:szCs w:val="21"/>
          <w:highlight w:val="none"/>
        </w:rPr>
        <w:t>投标人所投</w:t>
      </w:r>
      <w:r>
        <w:rPr>
          <w:rFonts w:hint="eastAsia" w:ascii="宋体" w:hAnsi="宋体"/>
          <w:b/>
          <w:color w:val="auto"/>
          <w:szCs w:val="21"/>
          <w:highlight w:val="none"/>
          <w:lang w:val="en-US" w:eastAsia="zh-CN"/>
        </w:rPr>
        <w:t>第2项号标的“肌电生物反馈刺激仪”、第3项号标的“内镜用二氧化碳送气装置”、第4项号标的“输液泵”、第5项号标的“体外振动排痰机”</w:t>
      </w:r>
      <w:r>
        <w:rPr>
          <w:rFonts w:hint="eastAsia" w:ascii="宋体" w:hAnsi="宋体"/>
          <w:b/>
          <w:color w:val="auto"/>
          <w:szCs w:val="21"/>
          <w:highlight w:val="none"/>
        </w:rPr>
        <w:t>相应有效的《中华人民共和国医疗器械注册证》复印件（必须包括产品相应的许可事项和登记事项，否则，应附注册登记表或认可表资料，要求清晰反映相关内容）。</w:t>
      </w:r>
    </w:p>
    <w:p w14:paraId="7724B28E">
      <w:pPr>
        <w:keepNext w:val="0"/>
        <w:keepLines w:val="0"/>
        <w:pageBreakBefore w:val="0"/>
        <w:tabs>
          <w:tab w:val="left" w:pos="1305"/>
        </w:tabs>
        <w:kinsoku/>
        <w:wordWrap/>
        <w:overflowPunct/>
        <w:topLinePunct w:val="0"/>
        <w:bidi w:val="0"/>
        <w:adjustRightInd/>
        <w:spacing w:line="360" w:lineRule="exact"/>
        <w:ind w:left="0" w:leftChars="0"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lang w:val="en-US" w:eastAsia="zh-CN"/>
        </w:rPr>
        <w:t>分标2：</w:t>
      </w:r>
      <w:r>
        <w:rPr>
          <w:rFonts w:hint="eastAsia" w:ascii="宋体" w:hAnsi="宋体"/>
          <w:b/>
          <w:color w:val="auto"/>
          <w:szCs w:val="21"/>
          <w:highlight w:val="none"/>
        </w:rPr>
        <w:t>投标人所投</w:t>
      </w:r>
      <w:r>
        <w:rPr>
          <w:rFonts w:hint="eastAsia" w:ascii="宋体" w:hAnsi="宋体"/>
          <w:b/>
          <w:color w:val="auto"/>
          <w:szCs w:val="21"/>
          <w:highlight w:val="none"/>
          <w:lang w:val="en-US" w:eastAsia="zh-CN"/>
        </w:rPr>
        <w:t>第2项号</w:t>
      </w:r>
      <w:r>
        <w:rPr>
          <w:rFonts w:hint="eastAsia" w:ascii="宋体" w:hAnsi="宋体"/>
          <w:b/>
          <w:color w:val="auto"/>
          <w:szCs w:val="21"/>
          <w:highlight w:val="none"/>
          <w:lang w:eastAsia="zh-CN"/>
        </w:rPr>
        <w:t>标的“</w:t>
      </w:r>
      <w:r>
        <w:rPr>
          <w:rFonts w:hint="eastAsia" w:ascii="宋体" w:hAnsi="宋体"/>
          <w:b/>
          <w:color w:val="auto"/>
          <w:szCs w:val="21"/>
          <w:highlight w:val="none"/>
          <w:lang w:val="en-US" w:eastAsia="zh-CN"/>
        </w:rPr>
        <w:t>脉动真空灭菌器</w:t>
      </w:r>
      <w:r>
        <w:rPr>
          <w:rFonts w:hint="eastAsia" w:ascii="宋体" w:hAnsi="宋体"/>
          <w:b/>
          <w:color w:val="auto"/>
          <w:szCs w:val="21"/>
          <w:highlight w:val="none"/>
          <w:lang w:eastAsia="zh-CN"/>
        </w:rPr>
        <w:t>”、第</w:t>
      </w:r>
      <w:r>
        <w:rPr>
          <w:rFonts w:hint="eastAsia" w:ascii="宋体" w:hAnsi="宋体"/>
          <w:b/>
          <w:color w:val="auto"/>
          <w:szCs w:val="21"/>
          <w:highlight w:val="none"/>
          <w:lang w:val="en-US" w:eastAsia="zh-CN"/>
        </w:rPr>
        <w:t>3项号标的</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数字多道心电图机</w:t>
      </w:r>
      <w:r>
        <w:rPr>
          <w:rFonts w:hint="eastAsia" w:ascii="宋体" w:hAnsi="宋体"/>
          <w:b/>
          <w:color w:val="auto"/>
          <w:szCs w:val="21"/>
          <w:highlight w:val="none"/>
          <w:lang w:eastAsia="zh-CN"/>
        </w:rPr>
        <w:t>”</w:t>
      </w:r>
      <w:r>
        <w:rPr>
          <w:rFonts w:hint="eastAsia" w:ascii="宋体" w:hAnsi="宋体"/>
          <w:b/>
          <w:color w:val="auto"/>
          <w:szCs w:val="21"/>
          <w:highlight w:val="none"/>
        </w:rPr>
        <w:t>相应有效的《中华人民共和国医疗器械注册证》复印件（必须包括产品相应的许可事项和登记事项，否则，应附注册登记表或认可表资料，要求清晰反映相关内容）。</w:t>
      </w:r>
    </w:p>
    <w:p w14:paraId="06D1E6AE">
      <w:pPr>
        <w:keepNext w:val="0"/>
        <w:keepLines w:val="0"/>
        <w:pageBreakBefore w:val="0"/>
        <w:tabs>
          <w:tab w:val="left" w:pos="1305"/>
        </w:tabs>
        <w:kinsoku/>
        <w:wordWrap/>
        <w:overflowPunct/>
        <w:topLinePunct w:val="0"/>
        <w:bidi w:val="0"/>
        <w:adjustRightInd/>
        <w:spacing w:line="360" w:lineRule="exact"/>
        <w:ind w:left="0" w:leftChars="0" w:firstLine="422" w:firstLineChars="200"/>
        <w:textAlignment w:val="auto"/>
        <w:rPr>
          <w:rFonts w:hint="eastAsia" w:ascii="宋体" w:hAnsi="宋体"/>
          <w:b/>
          <w:color w:val="auto"/>
          <w:szCs w:val="21"/>
          <w:highlight w:val="none"/>
        </w:rPr>
      </w:pPr>
      <w:r>
        <w:rPr>
          <w:rFonts w:hint="eastAsia" w:ascii="宋体" w:hAnsi="宋体"/>
          <w:b/>
          <w:color w:val="auto"/>
          <w:szCs w:val="21"/>
          <w:highlight w:val="none"/>
          <w:lang w:val="en-US" w:eastAsia="zh-CN"/>
        </w:rPr>
        <w:t>分标3：</w:t>
      </w:r>
      <w:r>
        <w:rPr>
          <w:rFonts w:hint="eastAsia" w:ascii="宋体" w:hAnsi="宋体"/>
          <w:b/>
          <w:color w:val="auto"/>
          <w:szCs w:val="21"/>
          <w:highlight w:val="none"/>
        </w:rPr>
        <w:t>投标人所投</w:t>
      </w:r>
      <w:r>
        <w:rPr>
          <w:rFonts w:hint="eastAsia" w:ascii="宋体" w:hAnsi="宋体"/>
          <w:b/>
          <w:color w:val="auto"/>
          <w:szCs w:val="21"/>
          <w:highlight w:val="none"/>
          <w:lang w:val="en-US" w:eastAsia="zh-CN"/>
        </w:rPr>
        <w:t>第1项号标的“内镜清洗工作站”及第2项号标的“智能肌少症与跌倒风险测评系统”中的“人体成分分析仪”</w:t>
      </w:r>
      <w:r>
        <w:rPr>
          <w:rFonts w:hint="eastAsia" w:ascii="宋体" w:hAnsi="宋体"/>
          <w:b/>
          <w:color w:val="auto"/>
          <w:szCs w:val="21"/>
          <w:highlight w:val="none"/>
        </w:rPr>
        <w:t>相应有效的《中华人民共和国医疗器械注册证》复印件（必须包括产品相应的许可事项和登记事项，否则，应附注册登记表或认可表资料，要求清晰反映相关内容）。</w:t>
      </w:r>
    </w:p>
    <w:p w14:paraId="1DDD66AC">
      <w:pPr>
        <w:keepNext w:val="0"/>
        <w:keepLines w:val="0"/>
        <w:pageBreakBefore w:val="0"/>
        <w:tabs>
          <w:tab w:val="left" w:pos="1305"/>
        </w:tabs>
        <w:kinsoku/>
        <w:wordWrap/>
        <w:overflowPunct/>
        <w:topLinePunct w:val="0"/>
        <w:bidi w:val="0"/>
        <w:adjustRightInd/>
        <w:spacing w:line="360" w:lineRule="exact"/>
        <w:ind w:left="420" w:leftChars="200"/>
        <w:textAlignment w:val="auto"/>
        <w:rPr>
          <w:rFonts w:ascii="宋体" w:hAnsi="宋体"/>
          <w:b/>
          <w:color w:val="auto"/>
          <w:highlight w:val="none"/>
        </w:rPr>
      </w:pPr>
    </w:p>
    <w:p w14:paraId="46C33580">
      <w:pPr>
        <w:spacing w:line="380" w:lineRule="exact"/>
        <w:rPr>
          <w:rFonts w:ascii="宋体" w:hAnsi="宋体"/>
          <w:b/>
          <w:bCs/>
          <w:color w:val="auto"/>
          <w:sz w:val="32"/>
          <w:szCs w:val="32"/>
          <w:highlight w:val="none"/>
        </w:rPr>
      </w:pPr>
    </w:p>
    <w:p w14:paraId="3C36A2A3">
      <w:pPr>
        <w:spacing w:line="380" w:lineRule="exact"/>
        <w:rPr>
          <w:rFonts w:ascii="宋体" w:hAnsi="宋体"/>
          <w:b/>
          <w:color w:val="auto"/>
          <w:sz w:val="32"/>
          <w:szCs w:val="32"/>
          <w:highlight w:val="none"/>
        </w:rPr>
      </w:pPr>
    </w:p>
    <w:p w14:paraId="27E99BEA">
      <w:pPr>
        <w:spacing w:line="380" w:lineRule="exact"/>
        <w:rPr>
          <w:rFonts w:ascii="宋体" w:hAnsi="宋体"/>
          <w:b/>
          <w:color w:val="auto"/>
          <w:sz w:val="32"/>
          <w:szCs w:val="32"/>
          <w:highlight w:val="none"/>
        </w:rPr>
      </w:pPr>
    </w:p>
    <w:p w14:paraId="0AC81821">
      <w:pPr>
        <w:spacing w:line="380" w:lineRule="exact"/>
        <w:rPr>
          <w:rFonts w:ascii="宋体" w:hAnsi="宋体"/>
          <w:b/>
          <w:color w:val="auto"/>
          <w:sz w:val="32"/>
          <w:szCs w:val="32"/>
          <w:highlight w:val="none"/>
        </w:rPr>
      </w:pPr>
    </w:p>
    <w:p w14:paraId="038ADDE3">
      <w:pPr>
        <w:spacing w:line="380" w:lineRule="exact"/>
        <w:rPr>
          <w:rFonts w:hint="eastAsia" w:ascii="宋体" w:hAnsi="宋体"/>
          <w:b/>
          <w:color w:val="auto"/>
          <w:sz w:val="32"/>
          <w:szCs w:val="32"/>
          <w:highlight w:val="none"/>
        </w:rPr>
      </w:pPr>
    </w:p>
    <w:p w14:paraId="788D6C35">
      <w:pPr>
        <w:spacing w:line="380" w:lineRule="exact"/>
        <w:rPr>
          <w:rFonts w:hint="eastAsia" w:ascii="宋体" w:hAnsi="宋体"/>
          <w:b/>
          <w:color w:val="auto"/>
          <w:sz w:val="32"/>
          <w:szCs w:val="32"/>
          <w:highlight w:val="none"/>
        </w:rPr>
      </w:pPr>
    </w:p>
    <w:p w14:paraId="6A5EBFC0">
      <w:pPr>
        <w:spacing w:line="380" w:lineRule="exact"/>
        <w:rPr>
          <w:rFonts w:hint="eastAsia" w:ascii="宋体" w:hAnsi="宋体"/>
          <w:b/>
          <w:color w:val="auto"/>
          <w:sz w:val="32"/>
          <w:szCs w:val="32"/>
          <w:highlight w:val="none"/>
        </w:rPr>
      </w:pPr>
    </w:p>
    <w:p w14:paraId="2351C29B">
      <w:pPr>
        <w:spacing w:line="380" w:lineRule="exact"/>
        <w:rPr>
          <w:rFonts w:hint="eastAsia" w:ascii="宋体" w:hAnsi="宋体"/>
          <w:b/>
          <w:color w:val="auto"/>
          <w:sz w:val="32"/>
          <w:szCs w:val="32"/>
          <w:highlight w:val="none"/>
        </w:rPr>
      </w:pPr>
    </w:p>
    <w:p w14:paraId="2F6F622F">
      <w:pPr>
        <w:spacing w:line="380" w:lineRule="exact"/>
        <w:rPr>
          <w:rFonts w:hint="eastAsia" w:ascii="宋体" w:hAnsi="宋体"/>
          <w:b/>
          <w:color w:val="auto"/>
          <w:sz w:val="32"/>
          <w:szCs w:val="32"/>
          <w:highlight w:val="none"/>
        </w:rPr>
      </w:pPr>
    </w:p>
    <w:p w14:paraId="0900940E">
      <w:pPr>
        <w:spacing w:line="380" w:lineRule="exact"/>
        <w:rPr>
          <w:rFonts w:hint="eastAsia" w:ascii="宋体" w:hAnsi="宋体"/>
          <w:b/>
          <w:color w:val="auto"/>
          <w:sz w:val="32"/>
          <w:szCs w:val="32"/>
          <w:highlight w:val="none"/>
        </w:rPr>
      </w:pPr>
    </w:p>
    <w:p w14:paraId="6C2FD1C7">
      <w:pPr>
        <w:spacing w:line="380" w:lineRule="exact"/>
        <w:rPr>
          <w:rFonts w:hint="eastAsia" w:ascii="宋体" w:hAnsi="宋体"/>
          <w:b/>
          <w:color w:val="auto"/>
          <w:sz w:val="32"/>
          <w:szCs w:val="32"/>
          <w:highlight w:val="none"/>
        </w:rPr>
      </w:pPr>
    </w:p>
    <w:p w14:paraId="23DB2ED0">
      <w:pPr>
        <w:spacing w:line="380" w:lineRule="exact"/>
        <w:rPr>
          <w:rFonts w:hint="eastAsia" w:ascii="宋体" w:hAnsi="宋体"/>
          <w:b/>
          <w:color w:val="auto"/>
          <w:sz w:val="32"/>
          <w:szCs w:val="32"/>
          <w:highlight w:val="none"/>
        </w:rPr>
      </w:pPr>
    </w:p>
    <w:p w14:paraId="4F77A7C3">
      <w:pPr>
        <w:spacing w:line="380" w:lineRule="exact"/>
        <w:rPr>
          <w:rFonts w:hint="eastAsia" w:ascii="宋体" w:hAnsi="宋体"/>
          <w:b/>
          <w:color w:val="auto"/>
          <w:sz w:val="32"/>
          <w:szCs w:val="32"/>
          <w:highlight w:val="none"/>
        </w:rPr>
      </w:pPr>
    </w:p>
    <w:p w14:paraId="0C924CB1">
      <w:pPr>
        <w:spacing w:line="380" w:lineRule="exact"/>
        <w:rPr>
          <w:rFonts w:hint="eastAsia" w:ascii="宋体" w:hAnsi="宋体"/>
          <w:b/>
          <w:color w:val="auto"/>
          <w:sz w:val="32"/>
          <w:szCs w:val="32"/>
          <w:highlight w:val="none"/>
        </w:rPr>
      </w:pPr>
    </w:p>
    <w:p w14:paraId="565E066E">
      <w:pPr>
        <w:spacing w:line="380" w:lineRule="exact"/>
        <w:rPr>
          <w:rFonts w:hint="eastAsia" w:ascii="宋体" w:hAnsi="宋体"/>
          <w:b/>
          <w:color w:val="auto"/>
          <w:sz w:val="32"/>
          <w:szCs w:val="32"/>
          <w:highlight w:val="none"/>
        </w:rPr>
      </w:pPr>
    </w:p>
    <w:p w14:paraId="578303B1">
      <w:pPr>
        <w:spacing w:line="380" w:lineRule="exact"/>
        <w:rPr>
          <w:rFonts w:hint="eastAsia" w:ascii="宋体" w:hAnsi="宋体"/>
          <w:b/>
          <w:color w:val="auto"/>
          <w:sz w:val="32"/>
          <w:szCs w:val="32"/>
          <w:highlight w:val="none"/>
        </w:rPr>
      </w:pPr>
    </w:p>
    <w:p w14:paraId="3BE4D262">
      <w:pPr>
        <w:spacing w:line="380" w:lineRule="exact"/>
        <w:rPr>
          <w:rFonts w:hint="eastAsia" w:ascii="宋体" w:hAnsi="宋体"/>
          <w:b/>
          <w:color w:val="auto"/>
          <w:sz w:val="32"/>
          <w:szCs w:val="32"/>
          <w:highlight w:val="none"/>
        </w:rPr>
      </w:pPr>
    </w:p>
    <w:p w14:paraId="2F275F02">
      <w:pPr>
        <w:spacing w:line="380" w:lineRule="exact"/>
        <w:rPr>
          <w:rFonts w:hint="eastAsia" w:ascii="宋体" w:hAnsi="宋体"/>
          <w:b/>
          <w:color w:val="auto"/>
          <w:sz w:val="32"/>
          <w:szCs w:val="32"/>
          <w:highlight w:val="none"/>
        </w:rPr>
      </w:pPr>
    </w:p>
    <w:p w14:paraId="42767922">
      <w:pPr>
        <w:spacing w:line="380" w:lineRule="exact"/>
        <w:rPr>
          <w:rFonts w:hint="eastAsia" w:ascii="宋体" w:hAnsi="宋体"/>
          <w:b/>
          <w:color w:val="auto"/>
          <w:sz w:val="32"/>
          <w:szCs w:val="32"/>
          <w:highlight w:val="none"/>
        </w:rPr>
      </w:pPr>
    </w:p>
    <w:p w14:paraId="4B0FED7D">
      <w:pPr>
        <w:spacing w:line="380" w:lineRule="exact"/>
        <w:rPr>
          <w:rFonts w:hint="eastAsia" w:ascii="宋体" w:hAnsi="宋体"/>
          <w:b/>
          <w:color w:val="auto"/>
          <w:sz w:val="32"/>
          <w:szCs w:val="32"/>
          <w:highlight w:val="none"/>
        </w:rPr>
      </w:pPr>
    </w:p>
    <w:p w14:paraId="2537A8D9">
      <w:pPr>
        <w:spacing w:line="380" w:lineRule="exact"/>
        <w:rPr>
          <w:rFonts w:hint="eastAsia" w:ascii="宋体" w:hAnsi="宋体"/>
          <w:b/>
          <w:color w:val="auto"/>
          <w:sz w:val="32"/>
          <w:szCs w:val="32"/>
          <w:highlight w:val="none"/>
        </w:rPr>
      </w:pPr>
    </w:p>
    <w:p w14:paraId="79CE9A54">
      <w:pPr>
        <w:spacing w:line="380" w:lineRule="exact"/>
        <w:rPr>
          <w:rFonts w:hint="eastAsia" w:ascii="宋体" w:hAnsi="宋体"/>
          <w:b/>
          <w:color w:val="auto"/>
          <w:sz w:val="32"/>
          <w:szCs w:val="32"/>
          <w:highlight w:val="none"/>
        </w:rPr>
      </w:pPr>
    </w:p>
    <w:p w14:paraId="51985F07">
      <w:pPr>
        <w:spacing w:line="380" w:lineRule="exact"/>
        <w:rPr>
          <w:rFonts w:hint="eastAsia" w:ascii="宋体" w:hAnsi="宋体"/>
          <w:b/>
          <w:color w:val="auto"/>
          <w:sz w:val="32"/>
          <w:szCs w:val="32"/>
          <w:highlight w:val="none"/>
        </w:rPr>
      </w:pPr>
    </w:p>
    <w:p w14:paraId="004E6554">
      <w:pPr>
        <w:spacing w:line="380" w:lineRule="exact"/>
        <w:rPr>
          <w:rFonts w:hint="eastAsia" w:ascii="宋体" w:hAnsi="宋体"/>
          <w:b/>
          <w:color w:val="auto"/>
          <w:sz w:val="32"/>
          <w:szCs w:val="32"/>
          <w:highlight w:val="none"/>
        </w:rPr>
      </w:pPr>
    </w:p>
    <w:p w14:paraId="472F4C4C">
      <w:pPr>
        <w:spacing w:line="380" w:lineRule="exact"/>
        <w:rPr>
          <w:rFonts w:ascii="宋体" w:hAnsi="宋体"/>
          <w:b/>
          <w:color w:val="auto"/>
          <w:sz w:val="32"/>
          <w:szCs w:val="32"/>
          <w:highlight w:val="none"/>
        </w:rPr>
      </w:pPr>
      <w:r>
        <w:rPr>
          <w:rFonts w:hint="eastAsia" w:ascii="宋体" w:hAnsi="宋体"/>
          <w:b/>
          <w:color w:val="auto"/>
          <w:sz w:val="32"/>
          <w:szCs w:val="32"/>
          <w:highlight w:val="none"/>
        </w:rPr>
        <w:t>6.配送及安装实施方案（如有，请提供）</w:t>
      </w:r>
    </w:p>
    <w:p w14:paraId="59A0B1BE">
      <w:pPr>
        <w:spacing w:line="400" w:lineRule="exact"/>
        <w:rPr>
          <w:b/>
          <w:color w:val="auto"/>
          <w:sz w:val="30"/>
          <w:szCs w:val="30"/>
          <w:highlight w:val="none"/>
        </w:rPr>
      </w:pPr>
      <w:r>
        <w:rPr>
          <w:rFonts w:hint="eastAsia"/>
          <w:b/>
          <w:color w:val="auto"/>
          <w:sz w:val="30"/>
          <w:szCs w:val="30"/>
          <w:highlight w:val="none"/>
        </w:rPr>
        <w:t>附件：</w:t>
      </w:r>
    </w:p>
    <w:p w14:paraId="0991212B">
      <w:pPr>
        <w:spacing w:line="400" w:lineRule="exact"/>
        <w:ind w:firstLine="413" w:firstLineChars="196"/>
        <w:rPr>
          <w:rFonts w:ascii="宋体" w:hAnsi="宋体" w:cs="宋体"/>
          <w:b/>
          <w:color w:val="auto"/>
          <w:szCs w:val="21"/>
          <w:highlight w:val="none"/>
        </w:rPr>
      </w:pPr>
    </w:p>
    <w:p w14:paraId="4E087B26">
      <w:pPr>
        <w:spacing w:line="400" w:lineRule="exact"/>
        <w:ind w:firstLine="413" w:firstLineChars="196"/>
        <w:rPr>
          <w:rFonts w:ascii="宋体" w:hAnsi="宋体" w:cs="宋体"/>
          <w:b/>
          <w:color w:val="auto"/>
          <w:szCs w:val="21"/>
          <w:highlight w:val="none"/>
          <w:u w:val="single"/>
        </w:rPr>
      </w:pPr>
    </w:p>
    <w:p w14:paraId="6464BA36">
      <w:pPr>
        <w:pStyle w:val="26"/>
        <w:ind w:firstLine="472" w:firstLineChars="147"/>
        <w:jc w:val="center"/>
        <w:rPr>
          <w:rFonts w:hAnsi="宋体"/>
          <w:b/>
          <w:bCs/>
          <w:color w:val="auto"/>
          <w:sz w:val="32"/>
          <w:highlight w:val="none"/>
        </w:rPr>
      </w:pPr>
      <w:r>
        <w:rPr>
          <w:rFonts w:hint="eastAsia" w:hAnsi="宋体"/>
          <w:b/>
          <w:bCs/>
          <w:color w:val="auto"/>
          <w:sz w:val="32"/>
          <w:highlight w:val="none"/>
          <w:lang w:eastAsia="zh-CN"/>
        </w:rPr>
        <w:t>分标</w:t>
      </w:r>
      <w:r>
        <w:rPr>
          <w:rFonts w:hint="eastAsia" w:hAnsi="宋体"/>
          <w:b/>
          <w:bCs/>
          <w:color w:val="auto"/>
          <w:sz w:val="32"/>
          <w:highlight w:val="none"/>
          <w:u w:val="single"/>
          <w:lang w:val="en-US" w:eastAsia="zh-CN"/>
        </w:rPr>
        <w:t xml:space="preserve">    </w:t>
      </w:r>
      <w:r>
        <w:rPr>
          <w:rFonts w:hint="eastAsia" w:hAnsi="宋体"/>
          <w:b/>
          <w:bCs/>
          <w:color w:val="auto"/>
          <w:sz w:val="32"/>
          <w:highlight w:val="none"/>
          <w:u w:val="none"/>
          <w:lang w:val="en-US" w:eastAsia="zh-CN"/>
        </w:rPr>
        <w:t>配送及安装实施方案</w:t>
      </w:r>
      <w:r>
        <w:rPr>
          <w:rFonts w:hint="eastAsia" w:hAnsi="宋体"/>
          <w:b/>
          <w:bCs/>
          <w:color w:val="auto"/>
          <w:sz w:val="32"/>
          <w:highlight w:val="none"/>
        </w:rPr>
        <w:t>（格式）</w:t>
      </w:r>
    </w:p>
    <w:p w14:paraId="2F33D71D">
      <w:pPr>
        <w:pStyle w:val="26"/>
        <w:spacing w:line="600" w:lineRule="exact"/>
        <w:ind w:firstLine="420"/>
        <w:jc w:val="left"/>
        <w:rPr>
          <w:rFonts w:hint="eastAsia" w:hAnsi="宋体"/>
          <w:color w:val="auto"/>
          <w:szCs w:val="21"/>
          <w:highlight w:val="none"/>
        </w:rPr>
      </w:pPr>
      <w:r>
        <w:rPr>
          <w:rFonts w:hint="eastAsia" w:hAnsi="宋体"/>
          <w:bCs/>
          <w:color w:val="auto"/>
          <w:highlight w:val="none"/>
          <w:lang w:val="en-US" w:eastAsia="zh-CN"/>
        </w:rPr>
        <w:t>一、</w:t>
      </w:r>
      <w:r>
        <w:rPr>
          <w:rFonts w:hint="eastAsia" w:hAnsi="宋体" w:cs="宋体"/>
          <w:color w:val="auto"/>
          <w:szCs w:val="21"/>
          <w:highlight w:val="none"/>
        </w:rPr>
        <w:t>项</w:t>
      </w:r>
      <w:r>
        <w:rPr>
          <w:rFonts w:hint="eastAsia" w:hAnsi="宋体"/>
          <w:color w:val="auto"/>
          <w:szCs w:val="21"/>
          <w:highlight w:val="none"/>
        </w:rPr>
        <w:t>目管理方案；</w:t>
      </w:r>
    </w:p>
    <w:p w14:paraId="4A95CB3B">
      <w:pPr>
        <w:pStyle w:val="26"/>
        <w:spacing w:line="600" w:lineRule="exact"/>
        <w:ind w:firstLine="420"/>
        <w:jc w:val="left"/>
        <w:rPr>
          <w:rFonts w:hint="eastAsia" w:hAnsi="宋体"/>
          <w:color w:val="auto"/>
          <w:szCs w:val="21"/>
          <w:highlight w:val="none"/>
          <w:lang w:eastAsia="zh-CN"/>
        </w:rPr>
      </w:pPr>
      <w:r>
        <w:rPr>
          <w:rFonts w:hAnsi="宋体"/>
          <w:color w:val="auto"/>
          <w:szCs w:val="21"/>
          <w:highlight w:val="none"/>
        </w:rPr>
        <w:t>……</w:t>
      </w:r>
    </w:p>
    <w:p w14:paraId="79BCAE4B">
      <w:pPr>
        <w:pStyle w:val="26"/>
        <w:spacing w:line="600" w:lineRule="exact"/>
        <w:ind w:firstLine="420"/>
        <w:jc w:val="left"/>
        <w:rPr>
          <w:rFonts w:hint="eastAsia" w:hAnsi="宋体"/>
          <w:color w:val="auto"/>
          <w:szCs w:val="21"/>
          <w:highlight w:val="none"/>
        </w:rPr>
      </w:pPr>
      <w:r>
        <w:rPr>
          <w:rFonts w:hint="eastAsia" w:hAnsi="宋体"/>
          <w:color w:val="auto"/>
          <w:szCs w:val="21"/>
          <w:highlight w:val="none"/>
          <w:lang w:eastAsia="zh-CN"/>
        </w:rPr>
        <w:t>二、</w:t>
      </w:r>
      <w:r>
        <w:rPr>
          <w:rFonts w:hint="eastAsia" w:hAnsi="宋体"/>
          <w:color w:val="auto"/>
          <w:szCs w:val="21"/>
          <w:highlight w:val="none"/>
        </w:rPr>
        <w:t>配送组织安排；</w:t>
      </w:r>
    </w:p>
    <w:p w14:paraId="2C20B97D">
      <w:pPr>
        <w:pStyle w:val="26"/>
        <w:spacing w:line="600" w:lineRule="exact"/>
        <w:ind w:firstLine="420"/>
        <w:jc w:val="left"/>
        <w:rPr>
          <w:rFonts w:hint="eastAsia" w:hAnsi="宋体"/>
          <w:color w:val="auto"/>
          <w:szCs w:val="21"/>
          <w:highlight w:val="none"/>
          <w:lang w:eastAsia="zh-CN"/>
        </w:rPr>
      </w:pPr>
      <w:r>
        <w:rPr>
          <w:rFonts w:hAnsi="宋体"/>
          <w:color w:val="auto"/>
          <w:szCs w:val="21"/>
          <w:highlight w:val="none"/>
        </w:rPr>
        <w:t>……</w:t>
      </w:r>
    </w:p>
    <w:p w14:paraId="1D1B0CCD">
      <w:pPr>
        <w:pStyle w:val="26"/>
        <w:spacing w:line="600" w:lineRule="exact"/>
        <w:ind w:firstLine="420"/>
        <w:jc w:val="left"/>
        <w:rPr>
          <w:rFonts w:hint="eastAsia" w:hAnsi="宋体"/>
          <w:color w:val="auto"/>
          <w:szCs w:val="21"/>
          <w:highlight w:val="none"/>
        </w:rPr>
      </w:pPr>
      <w:r>
        <w:rPr>
          <w:rFonts w:hint="eastAsia" w:hAnsi="宋体"/>
          <w:color w:val="auto"/>
          <w:szCs w:val="21"/>
          <w:highlight w:val="none"/>
          <w:lang w:eastAsia="zh-CN"/>
        </w:rPr>
        <w:t>三、</w:t>
      </w:r>
      <w:r>
        <w:rPr>
          <w:rFonts w:hint="eastAsia" w:hAnsi="宋体"/>
          <w:color w:val="auto"/>
          <w:szCs w:val="21"/>
          <w:highlight w:val="none"/>
        </w:rPr>
        <w:t>设备安装方案、设备调试及试运行方案；</w:t>
      </w:r>
    </w:p>
    <w:p w14:paraId="296AEE4B">
      <w:pPr>
        <w:pStyle w:val="26"/>
        <w:spacing w:line="600" w:lineRule="exact"/>
        <w:ind w:firstLine="420"/>
        <w:jc w:val="left"/>
        <w:rPr>
          <w:rFonts w:hint="eastAsia" w:hAnsi="宋体"/>
          <w:color w:val="auto"/>
          <w:szCs w:val="21"/>
          <w:highlight w:val="none"/>
          <w:lang w:eastAsia="zh-CN"/>
        </w:rPr>
      </w:pPr>
      <w:r>
        <w:rPr>
          <w:rFonts w:hAnsi="宋体"/>
          <w:color w:val="auto"/>
          <w:szCs w:val="21"/>
          <w:highlight w:val="none"/>
        </w:rPr>
        <w:t>……</w:t>
      </w:r>
    </w:p>
    <w:p w14:paraId="4D4625CB">
      <w:pPr>
        <w:pStyle w:val="26"/>
        <w:spacing w:line="600" w:lineRule="exact"/>
        <w:ind w:firstLine="420"/>
        <w:jc w:val="left"/>
        <w:rPr>
          <w:rFonts w:hint="eastAsia" w:hAnsi="宋体"/>
          <w:color w:val="auto"/>
          <w:szCs w:val="21"/>
          <w:highlight w:val="none"/>
        </w:rPr>
      </w:pPr>
      <w:r>
        <w:rPr>
          <w:rFonts w:hint="eastAsia" w:hAnsi="宋体"/>
          <w:color w:val="auto"/>
          <w:szCs w:val="21"/>
          <w:highlight w:val="none"/>
          <w:lang w:eastAsia="zh-CN"/>
        </w:rPr>
        <w:t>四、</w:t>
      </w:r>
      <w:r>
        <w:rPr>
          <w:rFonts w:hint="eastAsia" w:hAnsi="宋体"/>
          <w:color w:val="auto"/>
          <w:szCs w:val="21"/>
          <w:highlight w:val="none"/>
        </w:rPr>
        <w:t>设备安装技术人员配备；</w:t>
      </w:r>
    </w:p>
    <w:p w14:paraId="4FB785AB">
      <w:pPr>
        <w:pStyle w:val="26"/>
        <w:spacing w:line="600" w:lineRule="exact"/>
        <w:ind w:firstLine="420"/>
        <w:jc w:val="left"/>
        <w:rPr>
          <w:rFonts w:hAnsi="宋体"/>
          <w:color w:val="auto"/>
          <w:szCs w:val="21"/>
          <w:highlight w:val="none"/>
        </w:rPr>
      </w:pPr>
      <w:r>
        <w:rPr>
          <w:rFonts w:hAnsi="宋体"/>
          <w:color w:val="auto"/>
          <w:szCs w:val="21"/>
          <w:highlight w:val="none"/>
        </w:rPr>
        <w:t>……</w:t>
      </w:r>
    </w:p>
    <w:p w14:paraId="45F1984E">
      <w:pPr>
        <w:pStyle w:val="26"/>
        <w:spacing w:line="600" w:lineRule="exact"/>
        <w:ind w:firstLine="420"/>
        <w:jc w:val="left"/>
        <w:rPr>
          <w:rFonts w:hint="default" w:ascii="Arial" w:hAnsi="Arial" w:cs="Arial"/>
          <w:bCs/>
          <w:color w:val="auto"/>
          <w:szCs w:val="21"/>
          <w:highlight w:val="none"/>
        </w:rPr>
      </w:pPr>
      <w:r>
        <w:rPr>
          <w:rFonts w:hint="eastAsia" w:hAnsi="宋体"/>
          <w:color w:val="auto"/>
          <w:szCs w:val="21"/>
          <w:highlight w:val="none"/>
          <w:lang w:eastAsia="zh-CN"/>
        </w:rPr>
        <w:t>五、</w:t>
      </w:r>
      <w:r>
        <w:rPr>
          <w:rFonts w:hint="eastAsia" w:hAnsi="宋体"/>
          <w:color w:val="auto"/>
          <w:szCs w:val="21"/>
          <w:highlight w:val="none"/>
        </w:rPr>
        <w:t>技术支持方案</w:t>
      </w:r>
    </w:p>
    <w:p w14:paraId="298AD40B">
      <w:pPr>
        <w:pStyle w:val="28"/>
        <w:ind w:left="0" w:leftChars="0" w:firstLine="420" w:firstLineChars="200"/>
        <w:rPr>
          <w:rFonts w:hint="default"/>
          <w:color w:val="auto"/>
          <w:highlight w:val="none"/>
        </w:rPr>
      </w:pPr>
      <w:r>
        <w:rPr>
          <w:rFonts w:hAnsi="宋体"/>
          <w:color w:val="auto"/>
          <w:szCs w:val="21"/>
          <w:highlight w:val="none"/>
        </w:rPr>
        <w:t>……</w:t>
      </w:r>
    </w:p>
    <w:p w14:paraId="356FC36D">
      <w:pPr>
        <w:pStyle w:val="26"/>
        <w:spacing w:line="600" w:lineRule="exact"/>
        <w:ind w:firstLine="420"/>
        <w:jc w:val="left"/>
        <w:rPr>
          <w:rFonts w:hint="eastAsia" w:hAnsi="宋体"/>
          <w:color w:val="auto"/>
          <w:szCs w:val="21"/>
          <w:highlight w:val="none"/>
        </w:rPr>
      </w:pPr>
    </w:p>
    <w:p w14:paraId="28A031CC">
      <w:pPr>
        <w:pStyle w:val="26"/>
        <w:spacing w:line="600" w:lineRule="exact"/>
        <w:ind w:firstLine="1050" w:firstLineChars="500"/>
        <w:jc w:val="left"/>
        <w:rPr>
          <w:rFonts w:hAnsi="宋体"/>
          <w:color w:val="auto"/>
          <w:szCs w:val="21"/>
          <w:highlight w:val="none"/>
          <w:u w:val="single"/>
        </w:rPr>
      </w:pPr>
      <w:r>
        <w:rPr>
          <w:rFonts w:hint="eastAsia" w:hAnsi="宋体"/>
          <w:color w:val="auto"/>
          <w:highlight w:val="none"/>
        </w:rPr>
        <w:t>投标人 （电子签章）：</w:t>
      </w:r>
      <w:r>
        <w:rPr>
          <w:rFonts w:hint="eastAsia" w:hAnsi="宋体"/>
          <w:color w:val="auto"/>
          <w:szCs w:val="21"/>
          <w:highlight w:val="none"/>
          <w:u w:val="single"/>
        </w:rPr>
        <w:t xml:space="preserve">                                     </w:t>
      </w:r>
    </w:p>
    <w:p w14:paraId="1E762C19">
      <w:pPr>
        <w:pStyle w:val="26"/>
        <w:spacing w:line="600" w:lineRule="exact"/>
        <w:ind w:firstLine="420"/>
        <w:jc w:val="left"/>
        <w:rPr>
          <w:rFonts w:hAnsi="宋体"/>
          <w:color w:val="auto"/>
          <w:szCs w:val="21"/>
          <w:highlight w:val="none"/>
          <w:u w:val="single"/>
        </w:rPr>
      </w:pPr>
      <w:r>
        <w:rPr>
          <w:rFonts w:hint="eastAsia" w:hAnsi="宋体"/>
          <w:color w:val="auto"/>
          <w:szCs w:val="21"/>
          <w:highlight w:val="none"/>
        </w:rPr>
        <w:t xml:space="preserve">        法定代表人</w:t>
      </w:r>
      <w:r>
        <w:rPr>
          <w:rFonts w:hint="eastAsia" w:hAnsi="宋体"/>
          <w:color w:val="auto"/>
          <w:highlight w:val="none"/>
        </w:rPr>
        <w:t>或相应的委托代理人签字（或者电子签名）：</w:t>
      </w:r>
      <w:r>
        <w:rPr>
          <w:rFonts w:hint="eastAsia" w:hAnsi="宋体"/>
          <w:color w:val="auto"/>
          <w:szCs w:val="21"/>
          <w:highlight w:val="none"/>
          <w:u w:val="single"/>
        </w:rPr>
        <w:t xml:space="preserve">                              </w:t>
      </w:r>
    </w:p>
    <w:p w14:paraId="5F239144">
      <w:pPr>
        <w:spacing w:line="600" w:lineRule="exact"/>
        <w:jc w:val="left"/>
        <w:rPr>
          <w:rFonts w:ascii="宋体" w:hAnsi="宋体"/>
          <w:color w:val="auto"/>
          <w:szCs w:val="21"/>
          <w:highlight w:val="none"/>
          <w:u w:val="single"/>
        </w:rPr>
      </w:pPr>
      <w:r>
        <w:rPr>
          <w:rFonts w:hint="eastAsia" w:hAnsi="宋体"/>
          <w:color w:val="auto"/>
          <w:highlight w:val="none"/>
        </w:rPr>
        <w:t xml:space="preserve">            日     期：</w:t>
      </w:r>
      <w:r>
        <w:rPr>
          <w:rFonts w:hint="eastAsia" w:hAnsi="宋体"/>
          <w:color w:val="auto"/>
          <w:highlight w:val="none"/>
          <w:u w:val="single"/>
        </w:rPr>
        <w:t xml:space="preserve">                                                   </w:t>
      </w:r>
    </w:p>
    <w:p w14:paraId="4547C7DB">
      <w:pPr>
        <w:spacing w:line="380" w:lineRule="exact"/>
        <w:rPr>
          <w:rFonts w:ascii="宋体" w:hAnsi="宋体"/>
          <w:color w:val="auto"/>
          <w:spacing w:val="-4"/>
          <w:highlight w:val="none"/>
        </w:rPr>
      </w:pPr>
    </w:p>
    <w:p w14:paraId="0732C3E8">
      <w:pPr>
        <w:spacing w:line="380" w:lineRule="exact"/>
        <w:rPr>
          <w:rFonts w:ascii="宋体" w:hAnsi="宋体"/>
          <w:color w:val="auto"/>
          <w:spacing w:val="-4"/>
          <w:highlight w:val="none"/>
        </w:rPr>
      </w:pPr>
    </w:p>
    <w:p w14:paraId="272B872D">
      <w:pPr>
        <w:spacing w:line="380" w:lineRule="exact"/>
        <w:rPr>
          <w:rFonts w:hint="eastAsia" w:ascii="宋体" w:hAnsi="宋体"/>
          <w:b/>
          <w:color w:val="auto"/>
          <w:sz w:val="32"/>
          <w:szCs w:val="32"/>
          <w:highlight w:val="none"/>
        </w:rPr>
      </w:pPr>
    </w:p>
    <w:p w14:paraId="657C230B">
      <w:pPr>
        <w:spacing w:line="380" w:lineRule="exact"/>
        <w:rPr>
          <w:rFonts w:hint="eastAsia" w:ascii="宋体" w:hAnsi="宋体"/>
          <w:b/>
          <w:color w:val="auto"/>
          <w:sz w:val="32"/>
          <w:szCs w:val="32"/>
          <w:highlight w:val="none"/>
        </w:rPr>
      </w:pPr>
    </w:p>
    <w:p w14:paraId="1B48D6A0">
      <w:pPr>
        <w:spacing w:line="380" w:lineRule="exact"/>
        <w:rPr>
          <w:rFonts w:hint="eastAsia" w:ascii="宋体" w:hAnsi="宋体"/>
          <w:b/>
          <w:color w:val="auto"/>
          <w:sz w:val="32"/>
          <w:szCs w:val="32"/>
          <w:highlight w:val="none"/>
        </w:rPr>
      </w:pPr>
    </w:p>
    <w:p w14:paraId="0ACD2EDC">
      <w:pPr>
        <w:spacing w:line="380" w:lineRule="exact"/>
        <w:rPr>
          <w:rFonts w:hint="eastAsia" w:ascii="宋体" w:hAnsi="宋体"/>
          <w:b/>
          <w:color w:val="auto"/>
          <w:sz w:val="32"/>
          <w:szCs w:val="32"/>
          <w:highlight w:val="none"/>
        </w:rPr>
      </w:pPr>
    </w:p>
    <w:p w14:paraId="5DE8D749">
      <w:pPr>
        <w:spacing w:line="380" w:lineRule="exact"/>
        <w:rPr>
          <w:rFonts w:hint="eastAsia" w:ascii="宋体" w:hAnsi="宋体"/>
          <w:b/>
          <w:color w:val="auto"/>
          <w:sz w:val="32"/>
          <w:szCs w:val="32"/>
          <w:highlight w:val="none"/>
        </w:rPr>
      </w:pPr>
    </w:p>
    <w:p w14:paraId="04383E9F">
      <w:pPr>
        <w:spacing w:line="380" w:lineRule="exact"/>
        <w:rPr>
          <w:rFonts w:hint="eastAsia" w:ascii="宋体" w:hAnsi="宋体"/>
          <w:b/>
          <w:color w:val="auto"/>
          <w:sz w:val="32"/>
          <w:szCs w:val="32"/>
          <w:highlight w:val="none"/>
        </w:rPr>
      </w:pPr>
    </w:p>
    <w:p w14:paraId="759FC790">
      <w:pPr>
        <w:spacing w:line="380" w:lineRule="exact"/>
        <w:rPr>
          <w:rFonts w:hint="eastAsia" w:ascii="宋体" w:hAnsi="宋体"/>
          <w:b/>
          <w:color w:val="auto"/>
          <w:sz w:val="32"/>
          <w:szCs w:val="32"/>
          <w:highlight w:val="none"/>
        </w:rPr>
      </w:pPr>
    </w:p>
    <w:p w14:paraId="55201C83">
      <w:pPr>
        <w:spacing w:line="380" w:lineRule="exact"/>
        <w:rPr>
          <w:rFonts w:hint="eastAsia" w:ascii="宋体" w:hAnsi="宋体"/>
          <w:b/>
          <w:color w:val="auto"/>
          <w:sz w:val="32"/>
          <w:szCs w:val="32"/>
          <w:highlight w:val="none"/>
        </w:rPr>
      </w:pPr>
    </w:p>
    <w:p w14:paraId="74F1C4CF">
      <w:pPr>
        <w:spacing w:line="380" w:lineRule="exact"/>
        <w:rPr>
          <w:rFonts w:ascii="宋体" w:hAnsi="宋体"/>
          <w:b/>
          <w:color w:val="auto"/>
          <w:sz w:val="32"/>
          <w:szCs w:val="32"/>
          <w:highlight w:val="none"/>
        </w:rPr>
      </w:pPr>
      <w:r>
        <w:rPr>
          <w:rFonts w:hint="eastAsia" w:ascii="宋体" w:hAnsi="宋体"/>
          <w:b/>
          <w:color w:val="auto"/>
          <w:sz w:val="32"/>
          <w:szCs w:val="32"/>
          <w:highlight w:val="none"/>
        </w:rPr>
        <w:t>7.售后服务方案（如有，请提供）</w:t>
      </w:r>
    </w:p>
    <w:p w14:paraId="278F0F1E">
      <w:pPr>
        <w:spacing w:line="400" w:lineRule="exact"/>
        <w:rPr>
          <w:b/>
          <w:color w:val="auto"/>
          <w:sz w:val="30"/>
          <w:szCs w:val="30"/>
          <w:highlight w:val="none"/>
        </w:rPr>
      </w:pPr>
      <w:r>
        <w:rPr>
          <w:rFonts w:hint="eastAsia"/>
          <w:b/>
          <w:color w:val="auto"/>
          <w:sz w:val="30"/>
          <w:szCs w:val="30"/>
          <w:highlight w:val="none"/>
        </w:rPr>
        <w:t>附件：</w:t>
      </w:r>
    </w:p>
    <w:p w14:paraId="0587F492">
      <w:pPr>
        <w:spacing w:line="400" w:lineRule="exact"/>
        <w:ind w:firstLine="413" w:firstLineChars="196"/>
        <w:rPr>
          <w:rFonts w:ascii="宋体" w:hAnsi="宋体" w:cs="宋体"/>
          <w:b/>
          <w:color w:val="auto"/>
          <w:szCs w:val="21"/>
          <w:highlight w:val="none"/>
          <w:u w:val="single"/>
        </w:rPr>
      </w:pPr>
    </w:p>
    <w:p w14:paraId="653276A9">
      <w:pPr>
        <w:pStyle w:val="26"/>
        <w:ind w:firstLine="472" w:firstLineChars="147"/>
        <w:jc w:val="center"/>
        <w:rPr>
          <w:rFonts w:hAnsi="宋体"/>
          <w:b/>
          <w:bCs/>
          <w:color w:val="auto"/>
          <w:sz w:val="32"/>
          <w:highlight w:val="none"/>
        </w:rPr>
      </w:pPr>
      <w:r>
        <w:rPr>
          <w:rFonts w:hint="eastAsia" w:hAnsi="宋体"/>
          <w:b/>
          <w:bCs/>
          <w:color w:val="auto"/>
          <w:sz w:val="32"/>
          <w:highlight w:val="none"/>
          <w:lang w:eastAsia="zh-CN"/>
        </w:rPr>
        <w:t>分标</w:t>
      </w:r>
      <w:r>
        <w:rPr>
          <w:rFonts w:hint="eastAsia" w:hAnsi="宋体"/>
          <w:b/>
          <w:bCs/>
          <w:color w:val="auto"/>
          <w:sz w:val="32"/>
          <w:highlight w:val="none"/>
          <w:u w:val="single"/>
          <w:lang w:val="en-US" w:eastAsia="zh-CN"/>
        </w:rPr>
        <w:t xml:space="preserve">    </w:t>
      </w:r>
      <w:r>
        <w:rPr>
          <w:rFonts w:hint="eastAsia" w:hAnsi="宋体"/>
          <w:b/>
          <w:bCs/>
          <w:color w:val="auto"/>
          <w:sz w:val="32"/>
          <w:highlight w:val="none"/>
        </w:rPr>
        <w:t>售后服务方案（格式）</w:t>
      </w:r>
    </w:p>
    <w:p w14:paraId="3B0A7F4F">
      <w:pPr>
        <w:rPr>
          <w:color w:val="auto"/>
          <w:highlight w:val="none"/>
        </w:rPr>
      </w:pPr>
    </w:p>
    <w:p w14:paraId="7CDF04D3">
      <w:pPr>
        <w:ind w:firstLine="420" w:firstLineChars="200"/>
        <w:rPr>
          <w:rFonts w:hint="eastAsia" w:hAnsi="宋体"/>
          <w:color w:val="auto"/>
          <w:szCs w:val="21"/>
          <w:highlight w:val="none"/>
        </w:rPr>
      </w:pPr>
      <w:r>
        <w:rPr>
          <w:rFonts w:hint="eastAsia" w:hAnsi="宋体"/>
          <w:color w:val="auto"/>
          <w:szCs w:val="21"/>
          <w:highlight w:val="none"/>
          <w:lang w:eastAsia="zh-CN"/>
        </w:rPr>
        <w:t>一、</w:t>
      </w:r>
      <w:r>
        <w:rPr>
          <w:rFonts w:hint="eastAsia" w:hAnsi="宋体"/>
          <w:color w:val="auto"/>
          <w:szCs w:val="21"/>
          <w:highlight w:val="none"/>
        </w:rPr>
        <w:t>售后人员配备情况</w:t>
      </w:r>
    </w:p>
    <w:p w14:paraId="255DFB35">
      <w:pPr>
        <w:ind w:firstLine="420" w:firstLineChars="200"/>
        <w:rPr>
          <w:rFonts w:hint="eastAsia" w:hAnsi="宋体"/>
          <w:color w:val="auto"/>
          <w:szCs w:val="21"/>
          <w:highlight w:val="none"/>
          <w:lang w:eastAsia="zh-CN"/>
        </w:rPr>
      </w:pPr>
      <w:r>
        <w:rPr>
          <w:rFonts w:hAnsi="宋体"/>
          <w:color w:val="auto"/>
          <w:szCs w:val="21"/>
          <w:highlight w:val="none"/>
        </w:rPr>
        <w:t>……</w:t>
      </w:r>
    </w:p>
    <w:p w14:paraId="48BE1DBA">
      <w:pPr>
        <w:ind w:firstLine="420" w:firstLineChars="200"/>
        <w:rPr>
          <w:rFonts w:hint="eastAsia" w:hAnsi="宋体"/>
          <w:color w:val="auto"/>
          <w:szCs w:val="21"/>
          <w:highlight w:val="none"/>
        </w:rPr>
      </w:pPr>
      <w:r>
        <w:rPr>
          <w:rFonts w:hint="eastAsia" w:hAnsi="宋体"/>
          <w:color w:val="auto"/>
          <w:szCs w:val="21"/>
          <w:highlight w:val="none"/>
          <w:lang w:eastAsia="zh-CN"/>
        </w:rPr>
        <w:t>二、</w:t>
      </w:r>
      <w:r>
        <w:rPr>
          <w:rFonts w:hint="eastAsia" w:hAnsi="宋体"/>
          <w:color w:val="auto"/>
          <w:szCs w:val="21"/>
          <w:highlight w:val="none"/>
        </w:rPr>
        <w:t>常见故障及解决方案</w:t>
      </w:r>
    </w:p>
    <w:p w14:paraId="0E5A64EA">
      <w:pPr>
        <w:ind w:firstLine="420" w:firstLineChars="200"/>
        <w:rPr>
          <w:rFonts w:hint="eastAsia"/>
          <w:color w:val="auto"/>
          <w:szCs w:val="21"/>
          <w:highlight w:val="none"/>
          <w:lang w:eastAsia="zh-CN"/>
        </w:rPr>
      </w:pPr>
      <w:r>
        <w:rPr>
          <w:rFonts w:hAnsi="宋体"/>
          <w:color w:val="auto"/>
          <w:szCs w:val="21"/>
          <w:highlight w:val="none"/>
        </w:rPr>
        <w:t>……</w:t>
      </w:r>
    </w:p>
    <w:p w14:paraId="2549711C">
      <w:pPr>
        <w:ind w:firstLine="420" w:firstLineChars="200"/>
        <w:rPr>
          <w:rFonts w:hint="eastAsia"/>
          <w:color w:val="auto"/>
          <w:szCs w:val="21"/>
          <w:highlight w:val="none"/>
        </w:rPr>
      </w:pPr>
      <w:r>
        <w:rPr>
          <w:rFonts w:hint="eastAsia"/>
          <w:color w:val="auto"/>
          <w:szCs w:val="21"/>
          <w:highlight w:val="none"/>
          <w:lang w:eastAsia="zh-CN"/>
        </w:rPr>
        <w:t>三、</w:t>
      </w:r>
      <w:r>
        <w:rPr>
          <w:rFonts w:hint="eastAsia"/>
          <w:color w:val="auto"/>
          <w:szCs w:val="21"/>
          <w:highlight w:val="none"/>
        </w:rPr>
        <w:t>培训方案</w:t>
      </w:r>
    </w:p>
    <w:p w14:paraId="7B36CDD5">
      <w:pPr>
        <w:ind w:firstLine="420" w:firstLineChars="200"/>
        <w:rPr>
          <w:rFonts w:hint="eastAsia" w:hAnsi="宋体"/>
          <w:color w:val="auto"/>
          <w:szCs w:val="21"/>
          <w:highlight w:val="none"/>
          <w:lang w:eastAsia="zh-CN"/>
        </w:rPr>
      </w:pPr>
      <w:r>
        <w:rPr>
          <w:rFonts w:hAnsi="宋体"/>
          <w:color w:val="auto"/>
          <w:szCs w:val="21"/>
          <w:highlight w:val="none"/>
        </w:rPr>
        <w:t>……</w:t>
      </w:r>
    </w:p>
    <w:p w14:paraId="60E2A504">
      <w:pPr>
        <w:ind w:firstLine="420" w:firstLineChars="200"/>
        <w:rPr>
          <w:rFonts w:hint="eastAsia" w:hAnsi="宋体"/>
          <w:color w:val="auto"/>
          <w:szCs w:val="21"/>
          <w:highlight w:val="none"/>
        </w:rPr>
      </w:pPr>
      <w:r>
        <w:rPr>
          <w:rFonts w:hint="eastAsia" w:hAnsi="宋体"/>
          <w:color w:val="auto"/>
          <w:szCs w:val="21"/>
          <w:highlight w:val="none"/>
          <w:lang w:eastAsia="zh-CN"/>
        </w:rPr>
        <w:t>四、质保期</w:t>
      </w:r>
      <w:r>
        <w:rPr>
          <w:rFonts w:hint="eastAsia" w:hAnsi="宋体"/>
          <w:color w:val="auto"/>
          <w:szCs w:val="21"/>
          <w:highlight w:val="none"/>
        </w:rPr>
        <w:t>外维修方案</w:t>
      </w:r>
    </w:p>
    <w:p w14:paraId="1759CF55">
      <w:pPr>
        <w:ind w:firstLine="420" w:firstLineChars="200"/>
        <w:rPr>
          <w:rFonts w:hint="eastAsia" w:hAnsi="宋体"/>
          <w:color w:val="auto"/>
          <w:szCs w:val="21"/>
          <w:highlight w:val="none"/>
          <w:lang w:eastAsia="zh-CN"/>
        </w:rPr>
      </w:pPr>
      <w:r>
        <w:rPr>
          <w:rFonts w:hAnsi="宋体"/>
          <w:color w:val="auto"/>
          <w:szCs w:val="21"/>
          <w:highlight w:val="none"/>
        </w:rPr>
        <w:t>……</w:t>
      </w:r>
    </w:p>
    <w:p w14:paraId="1CCD9737">
      <w:pPr>
        <w:ind w:firstLine="420" w:firstLineChars="200"/>
        <w:rPr>
          <w:rFonts w:hint="eastAsia" w:hAnsi="宋体"/>
          <w:color w:val="auto"/>
          <w:szCs w:val="21"/>
          <w:highlight w:val="none"/>
        </w:rPr>
      </w:pPr>
      <w:r>
        <w:rPr>
          <w:rFonts w:hint="eastAsia" w:hAnsi="宋体"/>
          <w:color w:val="auto"/>
          <w:szCs w:val="21"/>
          <w:highlight w:val="none"/>
          <w:lang w:eastAsia="zh-CN"/>
        </w:rPr>
        <w:t>五、</w:t>
      </w:r>
      <w:r>
        <w:rPr>
          <w:rFonts w:hint="eastAsia" w:hAnsi="宋体"/>
          <w:color w:val="auto"/>
          <w:szCs w:val="21"/>
          <w:highlight w:val="none"/>
        </w:rPr>
        <w:t>其他实质性优惠措施</w:t>
      </w:r>
    </w:p>
    <w:p w14:paraId="3288F203">
      <w:pPr>
        <w:ind w:firstLine="420" w:firstLineChars="200"/>
        <w:rPr>
          <w:rFonts w:hint="eastAsia" w:hAnsi="宋体"/>
          <w:color w:val="auto"/>
          <w:szCs w:val="21"/>
          <w:highlight w:val="none"/>
          <w:lang w:val="en-US" w:eastAsia="zh-CN"/>
        </w:rPr>
      </w:pPr>
      <w:r>
        <w:rPr>
          <w:rFonts w:hAnsi="宋体"/>
          <w:color w:val="auto"/>
          <w:szCs w:val="21"/>
          <w:highlight w:val="none"/>
        </w:rPr>
        <w:t>……</w:t>
      </w:r>
    </w:p>
    <w:p w14:paraId="7DABBFB6">
      <w:pPr>
        <w:pStyle w:val="26"/>
        <w:spacing w:line="600" w:lineRule="exact"/>
        <w:ind w:firstLine="420"/>
        <w:jc w:val="left"/>
        <w:rPr>
          <w:rFonts w:hAnsi="宋体"/>
          <w:color w:val="auto"/>
          <w:szCs w:val="21"/>
          <w:highlight w:val="none"/>
          <w:u w:val="single"/>
        </w:rPr>
      </w:pPr>
      <w:r>
        <w:rPr>
          <w:rFonts w:hint="eastAsia" w:hAnsi="宋体"/>
          <w:color w:val="auto"/>
          <w:szCs w:val="21"/>
          <w:highlight w:val="none"/>
        </w:rPr>
        <w:t xml:space="preserve">        </w:t>
      </w:r>
      <w:r>
        <w:rPr>
          <w:rFonts w:hint="eastAsia" w:hAnsi="宋体"/>
          <w:color w:val="auto"/>
          <w:highlight w:val="none"/>
        </w:rPr>
        <w:t>投标人 （电子签章）：</w:t>
      </w:r>
      <w:r>
        <w:rPr>
          <w:rFonts w:hint="eastAsia" w:hAnsi="宋体"/>
          <w:color w:val="auto"/>
          <w:szCs w:val="21"/>
          <w:highlight w:val="none"/>
          <w:u w:val="single"/>
        </w:rPr>
        <w:t xml:space="preserve">                                     </w:t>
      </w:r>
    </w:p>
    <w:p w14:paraId="7C216951">
      <w:pPr>
        <w:pStyle w:val="26"/>
        <w:spacing w:line="600" w:lineRule="exact"/>
        <w:ind w:firstLine="420"/>
        <w:jc w:val="left"/>
        <w:rPr>
          <w:rFonts w:hAnsi="宋体"/>
          <w:color w:val="auto"/>
          <w:szCs w:val="21"/>
          <w:highlight w:val="none"/>
          <w:u w:val="single"/>
        </w:rPr>
      </w:pPr>
      <w:r>
        <w:rPr>
          <w:rFonts w:hint="eastAsia" w:hAnsi="宋体"/>
          <w:color w:val="auto"/>
          <w:szCs w:val="21"/>
          <w:highlight w:val="none"/>
        </w:rPr>
        <w:t xml:space="preserve">        法定代表人</w:t>
      </w:r>
      <w:r>
        <w:rPr>
          <w:rFonts w:hint="eastAsia" w:hAnsi="宋体"/>
          <w:color w:val="auto"/>
          <w:highlight w:val="none"/>
        </w:rPr>
        <w:t>或相应的委托代理人签字（或者电子签名）：</w:t>
      </w:r>
      <w:r>
        <w:rPr>
          <w:rFonts w:hint="eastAsia" w:hAnsi="宋体"/>
          <w:color w:val="auto"/>
          <w:szCs w:val="21"/>
          <w:highlight w:val="none"/>
          <w:u w:val="single"/>
        </w:rPr>
        <w:t xml:space="preserve">                              </w:t>
      </w:r>
    </w:p>
    <w:p w14:paraId="567EFA9A">
      <w:pPr>
        <w:spacing w:line="600" w:lineRule="exact"/>
        <w:jc w:val="left"/>
        <w:rPr>
          <w:rFonts w:ascii="宋体" w:hAnsi="宋体"/>
          <w:color w:val="auto"/>
          <w:szCs w:val="21"/>
          <w:highlight w:val="none"/>
          <w:u w:val="single"/>
        </w:rPr>
      </w:pPr>
      <w:r>
        <w:rPr>
          <w:rFonts w:hint="eastAsia" w:hAnsi="宋体"/>
          <w:color w:val="auto"/>
          <w:highlight w:val="none"/>
        </w:rPr>
        <w:t xml:space="preserve">            日     期：</w:t>
      </w:r>
      <w:r>
        <w:rPr>
          <w:rFonts w:hint="eastAsia" w:hAnsi="宋体"/>
          <w:color w:val="auto"/>
          <w:highlight w:val="none"/>
          <w:u w:val="single"/>
        </w:rPr>
        <w:t xml:space="preserve">                                                   </w:t>
      </w:r>
    </w:p>
    <w:p w14:paraId="159A857F">
      <w:pPr>
        <w:spacing w:line="380" w:lineRule="exact"/>
        <w:rPr>
          <w:rFonts w:ascii="宋体" w:hAnsi="宋体"/>
          <w:b/>
          <w:color w:val="auto"/>
          <w:sz w:val="32"/>
          <w:szCs w:val="32"/>
          <w:highlight w:val="none"/>
        </w:rPr>
      </w:pPr>
    </w:p>
    <w:p w14:paraId="44FCC172">
      <w:pPr>
        <w:pStyle w:val="26"/>
        <w:spacing w:line="400" w:lineRule="exact"/>
        <w:rPr>
          <w:rFonts w:hAnsi="宋体"/>
          <w:b/>
          <w:color w:val="auto"/>
          <w:sz w:val="32"/>
          <w:szCs w:val="32"/>
          <w:highlight w:val="none"/>
        </w:rPr>
      </w:pPr>
    </w:p>
    <w:p w14:paraId="50B3E192">
      <w:pPr>
        <w:pStyle w:val="13"/>
        <w:ind w:firstLine="420"/>
        <w:rPr>
          <w:color w:val="auto"/>
          <w:highlight w:val="none"/>
        </w:rPr>
      </w:pPr>
    </w:p>
    <w:p w14:paraId="24283191">
      <w:pPr>
        <w:pStyle w:val="26"/>
        <w:spacing w:line="400" w:lineRule="exact"/>
        <w:rPr>
          <w:rFonts w:hAnsi="宋体"/>
          <w:b/>
          <w:color w:val="auto"/>
          <w:sz w:val="32"/>
          <w:szCs w:val="32"/>
          <w:highlight w:val="none"/>
        </w:rPr>
      </w:pPr>
    </w:p>
    <w:p w14:paraId="5E8FB75D">
      <w:pPr>
        <w:pStyle w:val="26"/>
        <w:spacing w:line="400" w:lineRule="exact"/>
        <w:rPr>
          <w:rFonts w:hAnsi="宋体"/>
          <w:b/>
          <w:color w:val="auto"/>
          <w:sz w:val="32"/>
          <w:szCs w:val="32"/>
          <w:highlight w:val="none"/>
        </w:rPr>
      </w:pPr>
      <w:r>
        <w:rPr>
          <w:rFonts w:hint="eastAsia" w:hAnsi="宋体"/>
          <w:b/>
          <w:color w:val="auto"/>
          <w:sz w:val="32"/>
          <w:szCs w:val="32"/>
          <w:highlight w:val="none"/>
          <w:lang w:val="en-US" w:eastAsia="zh-CN"/>
        </w:rPr>
        <w:t>8</w:t>
      </w:r>
      <w:r>
        <w:rPr>
          <w:rFonts w:hint="eastAsia" w:hAnsi="宋体"/>
          <w:b/>
          <w:color w:val="auto"/>
          <w:sz w:val="32"/>
          <w:szCs w:val="32"/>
          <w:highlight w:val="none"/>
        </w:rPr>
        <w:t>.“采购需求”中有关履约能力的相关证明材料复印件（如有，请提供）</w:t>
      </w:r>
    </w:p>
    <w:p w14:paraId="119080F0">
      <w:pPr>
        <w:pStyle w:val="26"/>
        <w:spacing w:line="400" w:lineRule="exact"/>
        <w:rPr>
          <w:rFonts w:hAnsi="宋体"/>
          <w:color w:val="auto"/>
          <w:sz w:val="28"/>
          <w:szCs w:val="28"/>
          <w:highlight w:val="none"/>
        </w:rPr>
      </w:pPr>
    </w:p>
    <w:p w14:paraId="2A198882">
      <w:pPr>
        <w:pStyle w:val="13"/>
        <w:ind w:firstLine="420"/>
        <w:rPr>
          <w:color w:val="auto"/>
          <w:highlight w:val="none"/>
        </w:rPr>
      </w:pPr>
    </w:p>
    <w:p w14:paraId="55720F0E">
      <w:pPr>
        <w:rPr>
          <w:color w:val="auto"/>
          <w:highlight w:val="none"/>
        </w:rPr>
      </w:pPr>
    </w:p>
    <w:p w14:paraId="03DE2ECF">
      <w:pPr>
        <w:rPr>
          <w:color w:val="auto"/>
          <w:highlight w:val="none"/>
        </w:rPr>
      </w:pPr>
    </w:p>
    <w:p w14:paraId="3540AA28">
      <w:pPr>
        <w:pStyle w:val="26"/>
        <w:spacing w:line="400" w:lineRule="exact"/>
        <w:rPr>
          <w:rFonts w:hint="eastAsia" w:hAnsi="宋体"/>
          <w:b/>
          <w:color w:val="auto"/>
          <w:sz w:val="32"/>
          <w:szCs w:val="32"/>
          <w:highlight w:val="none"/>
          <w:lang w:val="en-US" w:eastAsia="zh-CN"/>
        </w:rPr>
      </w:pPr>
    </w:p>
    <w:p w14:paraId="611364CC">
      <w:pPr>
        <w:pStyle w:val="26"/>
        <w:spacing w:line="400" w:lineRule="exact"/>
        <w:rPr>
          <w:rFonts w:hint="eastAsia" w:hAnsi="宋体"/>
          <w:b/>
          <w:color w:val="auto"/>
          <w:sz w:val="32"/>
          <w:szCs w:val="32"/>
          <w:highlight w:val="none"/>
          <w:lang w:val="en-US" w:eastAsia="zh-CN"/>
        </w:rPr>
      </w:pPr>
    </w:p>
    <w:p w14:paraId="67370052">
      <w:pPr>
        <w:pStyle w:val="26"/>
        <w:spacing w:line="400" w:lineRule="exact"/>
        <w:rPr>
          <w:rFonts w:hint="eastAsia" w:hAnsi="宋体"/>
          <w:b/>
          <w:color w:val="auto"/>
          <w:sz w:val="32"/>
          <w:szCs w:val="32"/>
          <w:highlight w:val="none"/>
          <w:lang w:val="en-US" w:eastAsia="zh-CN"/>
        </w:rPr>
      </w:pPr>
    </w:p>
    <w:p w14:paraId="4BE086F8">
      <w:pPr>
        <w:pStyle w:val="26"/>
        <w:spacing w:line="400" w:lineRule="exact"/>
        <w:rPr>
          <w:rFonts w:hint="eastAsia" w:hAnsi="宋体"/>
          <w:b/>
          <w:color w:val="auto"/>
          <w:sz w:val="32"/>
          <w:szCs w:val="32"/>
          <w:highlight w:val="none"/>
          <w:lang w:val="en-US" w:eastAsia="zh-CN"/>
        </w:rPr>
      </w:pPr>
    </w:p>
    <w:p w14:paraId="7ECD0580">
      <w:pPr>
        <w:pStyle w:val="26"/>
        <w:spacing w:line="400" w:lineRule="exact"/>
        <w:rPr>
          <w:rFonts w:hint="eastAsia" w:hAnsi="宋体"/>
          <w:b/>
          <w:color w:val="auto"/>
          <w:sz w:val="32"/>
          <w:szCs w:val="32"/>
          <w:highlight w:val="none"/>
          <w:lang w:val="en-US" w:eastAsia="zh-CN"/>
        </w:rPr>
      </w:pPr>
    </w:p>
    <w:p w14:paraId="32D79324">
      <w:pPr>
        <w:pStyle w:val="26"/>
        <w:spacing w:line="400" w:lineRule="exact"/>
        <w:rPr>
          <w:rFonts w:hint="eastAsia" w:hAnsi="宋体"/>
          <w:b/>
          <w:color w:val="auto"/>
          <w:sz w:val="32"/>
          <w:szCs w:val="32"/>
          <w:highlight w:val="none"/>
          <w:lang w:val="en-US" w:eastAsia="zh-CN"/>
        </w:rPr>
      </w:pPr>
    </w:p>
    <w:p w14:paraId="32439462">
      <w:pPr>
        <w:pStyle w:val="26"/>
        <w:spacing w:line="400" w:lineRule="exact"/>
        <w:rPr>
          <w:rFonts w:hint="eastAsia" w:hAnsi="宋体"/>
          <w:b/>
          <w:color w:val="auto"/>
          <w:sz w:val="32"/>
          <w:szCs w:val="32"/>
          <w:highlight w:val="none"/>
          <w:lang w:val="en-US" w:eastAsia="zh-CN"/>
        </w:rPr>
      </w:pPr>
    </w:p>
    <w:p w14:paraId="5EA7A512">
      <w:pPr>
        <w:pStyle w:val="13"/>
        <w:rPr>
          <w:rFonts w:hint="eastAsia"/>
          <w:color w:val="auto"/>
          <w:highlight w:val="none"/>
          <w:lang w:val="en-US" w:eastAsia="zh-CN"/>
        </w:rPr>
      </w:pPr>
    </w:p>
    <w:p w14:paraId="495F55AB">
      <w:pPr>
        <w:pStyle w:val="26"/>
        <w:spacing w:line="400" w:lineRule="exact"/>
        <w:rPr>
          <w:rFonts w:hAnsi="宋体"/>
          <w:b/>
          <w:color w:val="auto"/>
          <w:sz w:val="32"/>
          <w:szCs w:val="32"/>
          <w:highlight w:val="none"/>
        </w:rPr>
      </w:pPr>
      <w:r>
        <w:rPr>
          <w:rFonts w:hint="eastAsia" w:hAnsi="宋体"/>
          <w:b/>
          <w:color w:val="auto"/>
          <w:sz w:val="32"/>
          <w:szCs w:val="32"/>
          <w:highlight w:val="none"/>
          <w:lang w:val="en-US" w:eastAsia="zh-CN"/>
        </w:rPr>
        <w:t>9</w:t>
      </w:r>
      <w:r>
        <w:rPr>
          <w:rFonts w:hint="eastAsia" w:hAnsi="宋体"/>
          <w:b/>
          <w:color w:val="auto"/>
          <w:sz w:val="32"/>
          <w:szCs w:val="32"/>
          <w:highlight w:val="none"/>
        </w:rPr>
        <w:t>.政策性加分证明材料复印件（如有，请提供）</w:t>
      </w:r>
    </w:p>
    <w:p w14:paraId="379F3837">
      <w:pPr>
        <w:snapToGrid w:val="0"/>
        <w:spacing w:line="360" w:lineRule="exact"/>
        <w:outlineLvl w:val="4"/>
        <w:rPr>
          <w:rFonts w:hAnsi="宋体"/>
          <w:color w:val="auto"/>
          <w:sz w:val="28"/>
          <w:szCs w:val="28"/>
          <w:highlight w:val="none"/>
        </w:rPr>
      </w:pPr>
      <w:r>
        <w:rPr>
          <w:rFonts w:hint="eastAsia" w:ascii="宋体" w:hAnsi="宋体"/>
          <w:color w:val="auto"/>
          <w:szCs w:val="20"/>
          <w:highlight w:val="none"/>
        </w:rPr>
        <w:t>注：①节能产品加分：属于财政部《节能产品政府采购品目清单》内优先采购（清单内未标注“★”的品目）的产品</w:t>
      </w:r>
      <w:r>
        <w:rPr>
          <w:rFonts w:hint="eastAsia" w:ascii="宋体" w:hAnsi="宋体"/>
          <w:color w:val="auto"/>
          <w:szCs w:val="20"/>
          <w:highlight w:val="none"/>
          <w:lang w:eastAsia="zh-CN"/>
        </w:rPr>
        <w:t>（在</w:t>
      </w:r>
      <w:r>
        <w:rPr>
          <w:rFonts w:hint="eastAsia" w:ascii="宋体" w:hAnsi="宋体"/>
          <w:color w:val="auto"/>
          <w:highlight w:val="none"/>
        </w:rPr>
        <w:t>投标文件中提供有效的认证证书复印件，并加盖投标人</w:t>
      </w:r>
      <w:r>
        <w:rPr>
          <w:rFonts w:hint="eastAsia" w:hAnsi="宋体"/>
          <w:color w:val="auto"/>
          <w:highlight w:val="none"/>
        </w:rPr>
        <w:t>电子签章）</w:t>
      </w:r>
      <w:r>
        <w:rPr>
          <w:rFonts w:hint="eastAsia" w:ascii="宋体" w:hAnsi="宋体"/>
          <w:color w:val="auto"/>
          <w:szCs w:val="20"/>
          <w:highlight w:val="none"/>
        </w:rPr>
        <w:t>。</w:t>
      </w:r>
      <w:r>
        <w:rPr>
          <w:rFonts w:hint="eastAsia" w:hAnsi="宋体"/>
          <w:color w:val="auto"/>
          <w:highlight w:val="none"/>
        </w:rPr>
        <w:t>②环境标志产品加分：属于财政部《环境标志产品政府采购品目清单》内的产品</w:t>
      </w:r>
      <w:r>
        <w:rPr>
          <w:rFonts w:hint="eastAsia" w:ascii="宋体" w:hAnsi="宋体"/>
          <w:color w:val="auto"/>
          <w:highlight w:val="none"/>
        </w:rPr>
        <w:t>（投标文件中提供有效的认证证书复印件，并加盖投标人</w:t>
      </w:r>
      <w:r>
        <w:rPr>
          <w:rFonts w:hint="eastAsia" w:hAnsi="宋体"/>
          <w:color w:val="auto"/>
          <w:highlight w:val="none"/>
        </w:rPr>
        <w:t>电子签章），相应予以加分。</w:t>
      </w:r>
    </w:p>
    <w:p w14:paraId="076322D5">
      <w:pPr>
        <w:pStyle w:val="26"/>
        <w:spacing w:line="400" w:lineRule="exact"/>
        <w:rPr>
          <w:rFonts w:hAnsi="宋体"/>
          <w:color w:val="auto"/>
          <w:sz w:val="28"/>
          <w:szCs w:val="28"/>
          <w:highlight w:val="none"/>
        </w:rPr>
      </w:pPr>
    </w:p>
    <w:p w14:paraId="76A28BD6">
      <w:pPr>
        <w:pStyle w:val="26"/>
        <w:spacing w:line="400" w:lineRule="exact"/>
        <w:rPr>
          <w:rFonts w:hint="eastAsia" w:hAnsi="宋体"/>
          <w:b/>
          <w:color w:val="auto"/>
          <w:sz w:val="32"/>
          <w:szCs w:val="32"/>
          <w:highlight w:val="none"/>
          <w:lang w:val="en-US" w:eastAsia="zh-CN"/>
        </w:rPr>
      </w:pPr>
    </w:p>
    <w:p w14:paraId="5C04B173">
      <w:pPr>
        <w:pStyle w:val="26"/>
        <w:spacing w:line="400" w:lineRule="exact"/>
        <w:rPr>
          <w:rFonts w:hint="eastAsia" w:hAnsi="宋体"/>
          <w:b/>
          <w:color w:val="auto"/>
          <w:sz w:val="32"/>
          <w:szCs w:val="32"/>
          <w:highlight w:val="none"/>
          <w:lang w:val="en-US" w:eastAsia="zh-CN"/>
        </w:rPr>
      </w:pPr>
    </w:p>
    <w:p w14:paraId="44504EAC">
      <w:pPr>
        <w:pStyle w:val="26"/>
        <w:spacing w:line="400" w:lineRule="exact"/>
        <w:rPr>
          <w:rFonts w:hAnsi="宋体"/>
          <w:color w:val="auto"/>
          <w:sz w:val="28"/>
          <w:szCs w:val="28"/>
          <w:highlight w:val="none"/>
        </w:rPr>
      </w:pPr>
      <w:r>
        <w:rPr>
          <w:rFonts w:hint="eastAsia" w:hAnsi="宋体"/>
          <w:b/>
          <w:color w:val="auto"/>
          <w:sz w:val="32"/>
          <w:szCs w:val="32"/>
          <w:highlight w:val="none"/>
          <w:lang w:val="en-US" w:eastAsia="zh-CN"/>
        </w:rPr>
        <w:t>10</w:t>
      </w:r>
      <w:r>
        <w:rPr>
          <w:rFonts w:hint="eastAsia" w:hAnsi="宋体"/>
          <w:b/>
          <w:color w:val="auto"/>
          <w:sz w:val="32"/>
          <w:szCs w:val="32"/>
          <w:highlight w:val="none"/>
        </w:rPr>
        <w:t>.投标人提供的货物全部由符合政策要求中小企业制造，投标文件中提供《中小企业声明函》；属于监狱企业的，提供由省级以上监狱管理局、戒毒管理局（含新疆生产建设兵团）出具的属于监狱企业的证明文件（如有，请提供）</w:t>
      </w:r>
    </w:p>
    <w:p w14:paraId="4C17D325">
      <w:pPr>
        <w:pStyle w:val="26"/>
        <w:rPr>
          <w:rFonts w:hAnsi="宋体"/>
          <w:b/>
          <w:color w:val="auto"/>
          <w:sz w:val="32"/>
          <w:szCs w:val="32"/>
          <w:highlight w:val="none"/>
        </w:rPr>
      </w:pPr>
    </w:p>
    <w:p w14:paraId="26FF021D">
      <w:pPr>
        <w:pStyle w:val="26"/>
        <w:rPr>
          <w:rFonts w:hAnsi="宋体"/>
          <w:b/>
          <w:color w:val="auto"/>
          <w:sz w:val="32"/>
          <w:szCs w:val="32"/>
          <w:highlight w:val="none"/>
        </w:rPr>
      </w:pPr>
      <w:r>
        <w:rPr>
          <w:rFonts w:hint="eastAsia" w:hAnsi="宋体"/>
          <w:b/>
          <w:color w:val="auto"/>
          <w:sz w:val="32"/>
          <w:szCs w:val="32"/>
          <w:highlight w:val="none"/>
        </w:rPr>
        <w:t>附件：</w:t>
      </w:r>
    </w:p>
    <w:p w14:paraId="3CE73874">
      <w:pPr>
        <w:snapToGrid w:val="0"/>
        <w:spacing w:before="156" w:beforeLines="50" w:after="50" w:line="320" w:lineRule="exact"/>
        <w:jc w:val="center"/>
        <w:rPr>
          <w:rFonts w:ascii="宋体" w:hAnsi="宋体"/>
          <w:b/>
          <w:color w:val="auto"/>
          <w:sz w:val="32"/>
          <w:szCs w:val="32"/>
          <w:highlight w:val="none"/>
        </w:rPr>
      </w:pPr>
      <w:r>
        <w:rPr>
          <w:rFonts w:hint="eastAsia" w:ascii="宋体" w:hAnsi="宋体"/>
          <w:b/>
          <w:color w:val="auto"/>
          <w:sz w:val="32"/>
          <w:szCs w:val="32"/>
          <w:highlight w:val="none"/>
        </w:rPr>
        <w:t>中小企业声明函（货物）（格式）</w:t>
      </w:r>
    </w:p>
    <w:p w14:paraId="4E842788">
      <w:pPr>
        <w:snapToGrid w:val="0"/>
        <w:spacing w:before="156" w:beforeLines="50" w:after="50" w:line="320" w:lineRule="exact"/>
        <w:jc w:val="center"/>
        <w:rPr>
          <w:rFonts w:ascii="宋体" w:hAnsi="宋体"/>
          <w:b/>
          <w:color w:val="auto"/>
          <w:sz w:val="32"/>
          <w:szCs w:val="32"/>
          <w:highlight w:val="none"/>
        </w:rPr>
      </w:pPr>
    </w:p>
    <w:p w14:paraId="3F101914">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本公司（联合体）郑重声明，根据《政府采购促进中小企业发展管理办法》（财库﹝2020﹞46号）的规定，本公司（联合体）参加</w:t>
      </w:r>
      <w:r>
        <w:rPr>
          <w:rFonts w:hint="eastAsia" w:ascii="宋体" w:hAnsi="宋体"/>
          <w:color w:val="auto"/>
          <w:sz w:val="24"/>
          <w:highlight w:val="none"/>
          <w:u w:val="single"/>
        </w:rPr>
        <w:t>（单位名称）</w:t>
      </w:r>
      <w:r>
        <w:rPr>
          <w:rFonts w:hint="eastAsia" w:ascii="宋体" w:hAnsi="宋体"/>
          <w:color w:val="auto"/>
          <w:sz w:val="24"/>
          <w:highlight w:val="none"/>
        </w:rPr>
        <w:t>的</w:t>
      </w:r>
      <w:r>
        <w:rPr>
          <w:rFonts w:hint="eastAsia" w:ascii="宋体" w:hAnsi="宋体"/>
          <w:color w:val="auto"/>
          <w:sz w:val="24"/>
          <w:highlight w:val="none"/>
          <w:u w:val="single"/>
        </w:rPr>
        <w:t>（项目名称）</w:t>
      </w:r>
      <w:r>
        <w:rPr>
          <w:rFonts w:hint="eastAsia" w:ascii="宋体" w:hAnsi="宋体"/>
          <w:color w:val="auto"/>
          <w:sz w:val="24"/>
          <w:highlight w:val="none"/>
        </w:rPr>
        <w:t>采购活动，提供的货物全部由符合政策要求的中小企业制造。相关企业（含联合体中的中小企业、签订分包意向协议的中小企业）的具体情况如下：</w:t>
      </w:r>
    </w:p>
    <w:p w14:paraId="4A561F63">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 xml:space="preserve">1. </w:t>
      </w:r>
      <w:r>
        <w:rPr>
          <w:rFonts w:hint="eastAsia" w:ascii="宋体" w:hAnsi="宋体"/>
          <w:color w:val="auto"/>
          <w:sz w:val="24"/>
          <w:highlight w:val="none"/>
          <w:u w:val="single"/>
        </w:rPr>
        <w:t xml:space="preserve">（标的名称） </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行业；制造商为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hint="eastAsia" w:ascii="宋体" w:hAnsi="宋体"/>
          <w:color w:val="auto"/>
          <w:sz w:val="24"/>
          <w:highlight w:val="none"/>
        </w:rPr>
        <w:t>万元，属于（中型企业、小型企业、微型企业）；</w:t>
      </w:r>
    </w:p>
    <w:p w14:paraId="692F4DC5">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 xml:space="preserve">2. </w:t>
      </w:r>
      <w:r>
        <w:rPr>
          <w:rFonts w:hint="eastAsia" w:ascii="宋体" w:hAnsi="宋体"/>
          <w:color w:val="auto"/>
          <w:sz w:val="24"/>
          <w:highlight w:val="none"/>
          <w:u w:val="single"/>
        </w:rPr>
        <w:t xml:space="preserve">（标的名称） </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行业；制造商为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hint="eastAsia" w:ascii="宋体" w:hAnsi="宋体"/>
          <w:color w:val="auto"/>
          <w:sz w:val="24"/>
          <w:highlight w:val="none"/>
        </w:rPr>
        <w:t>万元，属于（中型企业、小型企业、微型企业）；</w:t>
      </w:r>
    </w:p>
    <w:p w14:paraId="63E3B6E8">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w:t>
      </w:r>
    </w:p>
    <w:p w14:paraId="4454E03D">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以上企业，不属于大企业的分支机构，不存在控股股东为大企业的情形，也不存在与大企业的负责人为同一人的情形。</w:t>
      </w:r>
    </w:p>
    <w:p w14:paraId="36E4892D">
      <w:pPr>
        <w:spacing w:line="400" w:lineRule="exact"/>
        <w:ind w:firstLine="480" w:firstLineChars="200"/>
        <w:rPr>
          <w:rFonts w:ascii="宋体" w:hAnsi="宋体"/>
          <w:color w:val="auto"/>
          <w:sz w:val="24"/>
          <w:highlight w:val="none"/>
        </w:rPr>
      </w:pPr>
      <w:r>
        <w:rPr>
          <w:rFonts w:hint="eastAsia" w:ascii="宋体" w:hAnsi="宋体"/>
          <w:color w:val="auto"/>
          <w:sz w:val="24"/>
          <w:highlight w:val="none"/>
        </w:rPr>
        <w:t>本企业对上述声明内容的真实性负责。如有虚假，将依法承担相应责任。</w:t>
      </w:r>
    </w:p>
    <w:p w14:paraId="5A8E4D77">
      <w:pPr>
        <w:spacing w:line="400" w:lineRule="exact"/>
        <w:ind w:firstLine="480" w:firstLineChars="200"/>
        <w:jc w:val="right"/>
        <w:rPr>
          <w:rFonts w:ascii="宋体" w:hAnsi="宋体"/>
          <w:color w:val="auto"/>
          <w:sz w:val="24"/>
          <w:highlight w:val="none"/>
        </w:rPr>
      </w:pPr>
    </w:p>
    <w:p w14:paraId="624B91A4">
      <w:pPr>
        <w:spacing w:line="400" w:lineRule="exact"/>
        <w:ind w:firstLine="480" w:firstLineChars="200"/>
        <w:jc w:val="right"/>
        <w:rPr>
          <w:rFonts w:ascii="宋体" w:hAnsi="宋体"/>
          <w:color w:val="auto"/>
          <w:sz w:val="24"/>
          <w:highlight w:val="none"/>
        </w:rPr>
      </w:pPr>
      <w:r>
        <w:rPr>
          <w:rFonts w:hint="eastAsia" w:ascii="宋体" w:hAnsi="宋体"/>
          <w:color w:val="auto"/>
          <w:sz w:val="24"/>
          <w:highlight w:val="none"/>
        </w:rPr>
        <w:t xml:space="preserve">单位名称（电子签章）：          </w:t>
      </w:r>
    </w:p>
    <w:p w14:paraId="773B3E4B">
      <w:pPr>
        <w:spacing w:line="400" w:lineRule="exact"/>
        <w:ind w:firstLine="480" w:firstLineChars="200"/>
        <w:jc w:val="right"/>
        <w:rPr>
          <w:rFonts w:ascii="仿宋_GB2312" w:eastAsia="仿宋_GB2312"/>
          <w:color w:val="auto"/>
          <w:sz w:val="24"/>
          <w:highlight w:val="none"/>
        </w:rPr>
      </w:pPr>
      <w:r>
        <w:rPr>
          <w:rFonts w:hint="eastAsia" w:ascii="宋体" w:hAnsi="宋体"/>
          <w:color w:val="auto"/>
          <w:sz w:val="24"/>
          <w:highlight w:val="none"/>
        </w:rPr>
        <w:t xml:space="preserve">日期：  </w:t>
      </w:r>
      <w:r>
        <w:rPr>
          <w:rFonts w:hint="eastAsia" w:ascii="仿宋_GB2312" w:eastAsia="仿宋_GB2312"/>
          <w:color w:val="auto"/>
          <w:sz w:val="24"/>
          <w:highlight w:val="none"/>
        </w:rPr>
        <w:t xml:space="preserve">        </w:t>
      </w:r>
    </w:p>
    <w:p w14:paraId="5E9581AA">
      <w:pPr>
        <w:spacing w:line="400" w:lineRule="exact"/>
        <w:ind w:firstLine="482" w:firstLineChars="200"/>
        <w:rPr>
          <w:rFonts w:ascii="宋体" w:hAnsi="宋体"/>
          <w:b/>
          <w:color w:val="auto"/>
          <w:sz w:val="24"/>
          <w:highlight w:val="none"/>
        </w:rPr>
      </w:pPr>
      <w:r>
        <w:rPr>
          <w:rFonts w:hint="eastAsia" w:ascii="宋体" w:hAnsi="宋体"/>
          <w:b/>
          <w:color w:val="auto"/>
          <w:sz w:val="24"/>
          <w:highlight w:val="none"/>
        </w:rPr>
        <w:t>注：</w:t>
      </w:r>
    </w:p>
    <w:p w14:paraId="7013AC81">
      <w:pPr>
        <w:spacing w:line="400" w:lineRule="exact"/>
        <w:ind w:firstLine="482" w:firstLineChars="200"/>
        <w:rPr>
          <w:rFonts w:ascii="宋体" w:hAnsi="宋体"/>
          <w:b/>
          <w:color w:val="auto"/>
          <w:sz w:val="24"/>
          <w:highlight w:val="none"/>
        </w:rPr>
      </w:pPr>
      <w:r>
        <w:rPr>
          <w:rFonts w:hint="eastAsia" w:ascii="宋体" w:hAnsi="宋体"/>
          <w:b/>
          <w:color w:val="auto"/>
          <w:sz w:val="24"/>
          <w:highlight w:val="none"/>
        </w:rPr>
        <w:t>1.从业人员、营业收入、资产总额填报上一年度数据，无上一年度数据的新成立企业可不填报。</w:t>
      </w:r>
    </w:p>
    <w:p w14:paraId="64E89ED2">
      <w:pPr>
        <w:spacing w:line="400" w:lineRule="exact"/>
        <w:ind w:firstLine="482" w:firstLineChars="200"/>
        <w:rPr>
          <w:rFonts w:ascii="宋体" w:hAnsi="宋体"/>
          <w:b/>
          <w:color w:val="auto"/>
          <w:sz w:val="24"/>
          <w:highlight w:val="none"/>
        </w:rPr>
      </w:pPr>
      <w:r>
        <w:rPr>
          <w:rFonts w:hint="eastAsia" w:ascii="宋体" w:hAnsi="宋体"/>
          <w:b/>
          <w:color w:val="auto"/>
          <w:sz w:val="24"/>
          <w:highlight w:val="none"/>
        </w:rPr>
        <w:t>2.中小企业在政府采购活动过程中，请根据自己的真实情况出具本声明函。依法享受中小企业优惠政策的，采购人或采购代理机构在公告中标结果时，同时公告其《中小企业声明函》，接受社会监督。</w:t>
      </w:r>
    </w:p>
    <w:p w14:paraId="746CCC45">
      <w:pPr>
        <w:tabs>
          <w:tab w:val="left" w:pos="1305"/>
        </w:tabs>
        <w:spacing w:line="380" w:lineRule="exact"/>
        <w:rPr>
          <w:rFonts w:ascii="宋体" w:hAnsi="宋体"/>
          <w:b/>
          <w:bCs/>
          <w:color w:val="auto"/>
          <w:sz w:val="32"/>
          <w:szCs w:val="32"/>
          <w:highlight w:val="none"/>
        </w:rPr>
      </w:pPr>
      <w:r>
        <w:rPr>
          <w:rFonts w:ascii="宋体" w:hAnsi="宋体"/>
          <w:b/>
          <w:bCs/>
          <w:color w:val="auto"/>
          <w:sz w:val="32"/>
          <w:szCs w:val="32"/>
          <w:highlight w:val="none"/>
        </w:rPr>
        <w:br w:type="page"/>
      </w:r>
      <w:r>
        <w:rPr>
          <w:rFonts w:hint="eastAsia" w:ascii="宋体" w:hAnsi="宋体"/>
          <w:b/>
          <w:bCs/>
          <w:color w:val="auto"/>
          <w:sz w:val="32"/>
          <w:szCs w:val="32"/>
          <w:highlight w:val="none"/>
        </w:rPr>
        <w:t>1</w:t>
      </w:r>
      <w:r>
        <w:rPr>
          <w:rFonts w:hint="eastAsia" w:ascii="宋体" w:hAnsi="宋体"/>
          <w:b/>
          <w:bCs/>
          <w:color w:val="auto"/>
          <w:sz w:val="32"/>
          <w:szCs w:val="32"/>
          <w:highlight w:val="none"/>
          <w:lang w:val="en-US" w:eastAsia="zh-CN"/>
        </w:rPr>
        <w:t>1</w:t>
      </w:r>
      <w:r>
        <w:rPr>
          <w:rFonts w:hint="eastAsia" w:ascii="宋体" w:hAnsi="宋体"/>
          <w:b/>
          <w:bCs/>
          <w:color w:val="auto"/>
          <w:sz w:val="32"/>
          <w:szCs w:val="32"/>
          <w:highlight w:val="none"/>
        </w:rPr>
        <w:t>.符合条件的残疾人福利性单位在参加政府采购活动时，提供《残疾人福利性单位声明函》，并对声明的真实性负责（如有，请提供）</w:t>
      </w:r>
    </w:p>
    <w:p w14:paraId="77FD6C74">
      <w:pPr>
        <w:pStyle w:val="26"/>
        <w:rPr>
          <w:rFonts w:hAnsi="宋体"/>
          <w:b/>
          <w:color w:val="auto"/>
          <w:sz w:val="32"/>
          <w:szCs w:val="32"/>
          <w:highlight w:val="none"/>
        </w:rPr>
      </w:pPr>
      <w:r>
        <w:rPr>
          <w:rFonts w:hint="eastAsia" w:hAnsi="宋体"/>
          <w:b/>
          <w:color w:val="auto"/>
          <w:sz w:val="32"/>
          <w:szCs w:val="32"/>
          <w:highlight w:val="none"/>
        </w:rPr>
        <w:t>附件：</w:t>
      </w:r>
    </w:p>
    <w:p w14:paraId="449C2C09">
      <w:pPr>
        <w:tabs>
          <w:tab w:val="left" w:pos="1305"/>
        </w:tabs>
        <w:spacing w:line="380" w:lineRule="exact"/>
        <w:rPr>
          <w:rFonts w:ascii="宋体" w:hAnsi="宋体"/>
          <w:b/>
          <w:bCs/>
          <w:color w:val="auto"/>
          <w:sz w:val="32"/>
          <w:szCs w:val="32"/>
          <w:highlight w:val="none"/>
        </w:rPr>
      </w:pPr>
    </w:p>
    <w:p w14:paraId="6143105D">
      <w:pPr>
        <w:pStyle w:val="26"/>
        <w:jc w:val="center"/>
        <w:rPr>
          <w:rFonts w:hAnsi="宋体"/>
          <w:b/>
          <w:bCs/>
          <w:color w:val="auto"/>
          <w:sz w:val="32"/>
          <w:szCs w:val="32"/>
          <w:highlight w:val="none"/>
        </w:rPr>
      </w:pPr>
      <w:bookmarkStart w:id="15" w:name="OLE_LINK13"/>
      <w:bookmarkStart w:id="16" w:name="OLE_LINK14"/>
      <w:r>
        <w:rPr>
          <w:rFonts w:hint="eastAsia" w:hAnsi="宋体"/>
          <w:b/>
          <w:bCs/>
          <w:color w:val="auto"/>
          <w:sz w:val="32"/>
          <w:szCs w:val="32"/>
          <w:highlight w:val="none"/>
        </w:rPr>
        <w:t>残疾人福利性单位声明函（格式）</w:t>
      </w:r>
    </w:p>
    <w:bookmarkEnd w:id="15"/>
    <w:bookmarkEnd w:id="16"/>
    <w:p w14:paraId="4E71F173">
      <w:pPr>
        <w:spacing w:line="588" w:lineRule="exact"/>
        <w:rPr>
          <w:rFonts w:ascii="仿宋_GB2312" w:eastAsia="仿宋_GB2312"/>
          <w:b/>
          <w:color w:val="auto"/>
          <w:spacing w:val="6"/>
          <w:sz w:val="30"/>
          <w:szCs w:val="30"/>
          <w:highlight w:val="none"/>
        </w:rPr>
      </w:pPr>
    </w:p>
    <w:p w14:paraId="623E2BFF">
      <w:pPr>
        <w:spacing w:line="588" w:lineRule="exact"/>
        <w:ind w:firstLine="624" w:firstLineChars="200"/>
        <w:rPr>
          <w:rFonts w:ascii="仿宋_GB2312" w:eastAsia="仿宋_GB2312"/>
          <w:color w:val="auto"/>
          <w:spacing w:val="6"/>
          <w:sz w:val="30"/>
          <w:szCs w:val="30"/>
          <w:highlight w:val="none"/>
        </w:rPr>
      </w:pPr>
      <w:r>
        <w:rPr>
          <w:rFonts w:hint="eastAsia" w:ascii="仿宋_GB2312" w:eastAsia="仿宋_GB2312"/>
          <w:color w:val="auto"/>
          <w:spacing w:val="6"/>
          <w:sz w:val="30"/>
          <w:szCs w:val="30"/>
          <w:highlight w:val="none"/>
        </w:rPr>
        <w:t>本单位郑重声明，根据《财政部 民政部 中国残疾人联合会关于促进残疾人就业政府采购政策的通知》（财库</w:t>
      </w:r>
      <w:r>
        <w:rPr>
          <w:rFonts w:hint="eastAsia" w:ascii="仿宋_GB2312" w:eastAsia="仿宋_GB2312"/>
          <w:color w:val="auto"/>
          <w:spacing w:val="6"/>
          <w:sz w:val="30"/>
          <w:szCs w:val="30"/>
          <w:highlight w:val="none"/>
          <w:lang w:eastAsia="zh-CN"/>
        </w:rPr>
        <w:t>〔2017〕141号</w:t>
      </w:r>
      <w:r>
        <w:rPr>
          <w:rFonts w:hint="eastAsia" w:ascii="仿宋_GB2312" w:eastAsia="仿宋_GB2312"/>
          <w:color w:val="auto"/>
          <w:spacing w:val="6"/>
          <w:sz w:val="30"/>
          <w:szCs w:val="30"/>
          <w:highlight w:val="none"/>
        </w:rPr>
        <w:t>）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79B5C22">
      <w:pPr>
        <w:spacing w:line="588" w:lineRule="exact"/>
        <w:ind w:firstLine="624" w:firstLineChars="200"/>
        <w:rPr>
          <w:rFonts w:ascii="仿宋_GB2312" w:eastAsia="仿宋_GB2312"/>
          <w:color w:val="auto"/>
          <w:spacing w:val="6"/>
          <w:sz w:val="30"/>
          <w:szCs w:val="30"/>
          <w:highlight w:val="none"/>
        </w:rPr>
      </w:pPr>
      <w:r>
        <w:rPr>
          <w:rFonts w:hint="eastAsia" w:ascii="仿宋_GB2312" w:eastAsia="仿宋_GB2312"/>
          <w:color w:val="auto"/>
          <w:spacing w:val="6"/>
          <w:sz w:val="30"/>
          <w:szCs w:val="30"/>
          <w:highlight w:val="none"/>
        </w:rPr>
        <w:t>本单位对上述声明的真实性负责。如有虚假，将依法承担相应责任。</w:t>
      </w:r>
    </w:p>
    <w:p w14:paraId="11D8464D">
      <w:pPr>
        <w:spacing w:line="588" w:lineRule="exact"/>
        <w:ind w:firstLine="624" w:firstLineChars="200"/>
        <w:rPr>
          <w:rFonts w:ascii="仿宋_GB2312" w:eastAsia="仿宋_GB2312"/>
          <w:color w:val="auto"/>
          <w:spacing w:val="6"/>
          <w:sz w:val="30"/>
          <w:szCs w:val="30"/>
          <w:highlight w:val="none"/>
        </w:rPr>
      </w:pPr>
    </w:p>
    <w:p w14:paraId="1F125BB5">
      <w:pPr>
        <w:tabs>
          <w:tab w:val="left" w:pos="4860"/>
        </w:tabs>
        <w:spacing w:line="588" w:lineRule="exact"/>
        <w:ind w:right="1560" w:firstLine="624" w:firstLineChars="200"/>
        <w:jc w:val="center"/>
        <w:rPr>
          <w:rFonts w:ascii="仿宋_GB2312" w:eastAsia="仿宋_GB2312"/>
          <w:color w:val="auto"/>
          <w:spacing w:val="6"/>
          <w:sz w:val="30"/>
          <w:szCs w:val="30"/>
          <w:highlight w:val="none"/>
        </w:rPr>
      </w:pPr>
      <w:r>
        <w:rPr>
          <w:rFonts w:hint="eastAsia" w:ascii="仿宋_GB2312" w:eastAsia="仿宋_GB2312"/>
          <w:color w:val="auto"/>
          <w:spacing w:val="6"/>
          <w:sz w:val="30"/>
          <w:szCs w:val="30"/>
          <w:highlight w:val="none"/>
        </w:rPr>
        <w:t xml:space="preserve">      单位名称（电子签章）：</w:t>
      </w:r>
    </w:p>
    <w:p w14:paraId="271C24CB">
      <w:pPr>
        <w:tabs>
          <w:tab w:val="left" w:pos="4860"/>
        </w:tabs>
        <w:spacing w:line="588" w:lineRule="exact"/>
        <w:ind w:right="1560" w:firstLine="624" w:firstLineChars="200"/>
        <w:jc w:val="center"/>
        <w:rPr>
          <w:rFonts w:ascii="仿宋_GB2312" w:eastAsia="仿宋_GB2312"/>
          <w:color w:val="auto"/>
          <w:spacing w:val="6"/>
          <w:sz w:val="30"/>
          <w:szCs w:val="30"/>
          <w:highlight w:val="none"/>
        </w:rPr>
      </w:pPr>
      <w:r>
        <w:rPr>
          <w:rFonts w:hint="eastAsia" w:ascii="仿宋_GB2312" w:eastAsia="仿宋_GB2312"/>
          <w:color w:val="auto"/>
          <w:spacing w:val="6"/>
          <w:sz w:val="30"/>
          <w:szCs w:val="30"/>
          <w:highlight w:val="none"/>
        </w:rPr>
        <w:t xml:space="preserve">   日  期：</w:t>
      </w:r>
    </w:p>
    <w:p w14:paraId="62A122D4">
      <w:pPr>
        <w:spacing w:line="500" w:lineRule="exact"/>
        <w:rPr>
          <w:rFonts w:ascii="宋体" w:hAnsi="宋体"/>
          <w:b/>
          <w:bCs/>
          <w:color w:val="auto"/>
          <w:sz w:val="32"/>
          <w:szCs w:val="32"/>
          <w:highlight w:val="none"/>
        </w:rPr>
      </w:pPr>
    </w:p>
    <w:p w14:paraId="41FCA76E">
      <w:pPr>
        <w:spacing w:line="500" w:lineRule="exact"/>
        <w:rPr>
          <w:rFonts w:ascii="宋体" w:hAnsi="宋体"/>
          <w:b/>
          <w:bCs/>
          <w:color w:val="auto"/>
          <w:sz w:val="32"/>
          <w:szCs w:val="32"/>
          <w:highlight w:val="none"/>
        </w:rPr>
      </w:pPr>
    </w:p>
    <w:p w14:paraId="2C28D79B">
      <w:pPr>
        <w:spacing w:line="500" w:lineRule="exact"/>
        <w:rPr>
          <w:rFonts w:ascii="宋体" w:hAnsi="宋体"/>
          <w:b/>
          <w:bCs/>
          <w:color w:val="auto"/>
          <w:sz w:val="32"/>
          <w:szCs w:val="32"/>
          <w:highlight w:val="none"/>
        </w:rPr>
      </w:pPr>
    </w:p>
    <w:p w14:paraId="2AC8868A">
      <w:pPr>
        <w:spacing w:line="500" w:lineRule="exact"/>
        <w:rPr>
          <w:rFonts w:hint="eastAsia" w:ascii="宋体" w:hAnsi="宋体"/>
          <w:b/>
          <w:bCs/>
          <w:color w:val="auto"/>
          <w:sz w:val="32"/>
          <w:szCs w:val="32"/>
          <w:highlight w:val="none"/>
          <w:lang w:val="en-US" w:eastAsia="zh-CN"/>
        </w:rPr>
      </w:pPr>
    </w:p>
    <w:p w14:paraId="302D3947">
      <w:pPr>
        <w:spacing w:line="500" w:lineRule="exact"/>
        <w:rPr>
          <w:rFonts w:hint="eastAsia" w:ascii="宋体" w:hAnsi="宋体"/>
          <w:b/>
          <w:bCs/>
          <w:color w:val="auto"/>
          <w:sz w:val="32"/>
          <w:szCs w:val="32"/>
          <w:highlight w:val="none"/>
          <w:lang w:val="en-US" w:eastAsia="zh-CN"/>
        </w:rPr>
      </w:pPr>
    </w:p>
    <w:p w14:paraId="69EA1716">
      <w:pPr>
        <w:spacing w:line="500" w:lineRule="exact"/>
        <w:rPr>
          <w:rFonts w:hint="eastAsia" w:ascii="宋体" w:hAnsi="宋体"/>
          <w:b/>
          <w:bCs/>
          <w:color w:val="auto"/>
          <w:sz w:val="32"/>
          <w:szCs w:val="32"/>
          <w:highlight w:val="none"/>
          <w:lang w:val="en-US" w:eastAsia="zh-CN"/>
        </w:rPr>
      </w:pPr>
    </w:p>
    <w:p w14:paraId="606B511F">
      <w:pPr>
        <w:spacing w:line="500" w:lineRule="exact"/>
        <w:rPr>
          <w:rFonts w:hint="eastAsia" w:ascii="宋体" w:hAnsi="宋体"/>
          <w:b/>
          <w:bCs/>
          <w:color w:val="auto"/>
          <w:sz w:val="32"/>
          <w:szCs w:val="32"/>
          <w:highlight w:val="none"/>
          <w:lang w:val="en-US" w:eastAsia="zh-CN"/>
        </w:rPr>
      </w:pPr>
    </w:p>
    <w:p w14:paraId="0F026910">
      <w:pPr>
        <w:spacing w:line="500" w:lineRule="exact"/>
        <w:rPr>
          <w:rFonts w:hint="eastAsia" w:ascii="宋体" w:hAnsi="宋体"/>
          <w:b/>
          <w:bCs/>
          <w:color w:val="auto"/>
          <w:sz w:val="32"/>
          <w:szCs w:val="32"/>
          <w:highlight w:val="none"/>
          <w:lang w:val="en-US" w:eastAsia="zh-CN"/>
        </w:rPr>
      </w:pPr>
    </w:p>
    <w:p w14:paraId="20739DAC">
      <w:pPr>
        <w:spacing w:line="500" w:lineRule="exact"/>
        <w:rPr>
          <w:rFonts w:hint="eastAsia" w:ascii="宋体" w:hAnsi="宋体"/>
          <w:b/>
          <w:bCs/>
          <w:color w:val="auto"/>
          <w:sz w:val="32"/>
          <w:szCs w:val="32"/>
          <w:highlight w:val="none"/>
          <w:lang w:val="en-US" w:eastAsia="zh-CN"/>
        </w:rPr>
      </w:pPr>
    </w:p>
    <w:p w14:paraId="417DD6B2">
      <w:pPr>
        <w:spacing w:line="500" w:lineRule="exact"/>
        <w:rPr>
          <w:rFonts w:hint="eastAsia" w:ascii="宋体" w:hAnsi="宋体"/>
          <w:b/>
          <w:bCs/>
          <w:color w:val="auto"/>
          <w:sz w:val="32"/>
          <w:szCs w:val="32"/>
          <w:highlight w:val="none"/>
          <w:lang w:val="en-US" w:eastAsia="zh-CN"/>
        </w:rPr>
      </w:pPr>
    </w:p>
    <w:p w14:paraId="74D4490C">
      <w:pPr>
        <w:spacing w:line="500" w:lineRule="exact"/>
        <w:rPr>
          <w:rFonts w:hint="eastAsia" w:ascii="宋体" w:hAnsi="宋体"/>
          <w:b/>
          <w:bCs/>
          <w:color w:val="auto"/>
          <w:sz w:val="32"/>
          <w:szCs w:val="32"/>
          <w:highlight w:val="none"/>
          <w:lang w:val="en-US" w:eastAsia="zh-CN"/>
        </w:rPr>
      </w:pPr>
    </w:p>
    <w:p w14:paraId="35955415">
      <w:pPr>
        <w:spacing w:line="500" w:lineRule="exact"/>
        <w:rPr>
          <w:rFonts w:hint="eastAsia" w:ascii="宋体" w:hAnsi="宋体"/>
          <w:b/>
          <w:bCs/>
          <w:color w:val="auto"/>
          <w:sz w:val="32"/>
          <w:szCs w:val="32"/>
          <w:highlight w:val="none"/>
        </w:rPr>
      </w:pPr>
      <w:r>
        <w:rPr>
          <w:rFonts w:hint="eastAsia" w:ascii="宋体" w:hAnsi="宋体"/>
          <w:b/>
          <w:bCs/>
          <w:color w:val="auto"/>
          <w:sz w:val="32"/>
          <w:szCs w:val="32"/>
          <w:highlight w:val="none"/>
          <w:lang w:val="en-US" w:eastAsia="zh-CN"/>
        </w:rPr>
        <w:t>12.</w:t>
      </w:r>
      <w:r>
        <w:rPr>
          <w:rFonts w:hint="eastAsia" w:ascii="宋体" w:hAnsi="宋体"/>
          <w:b/>
          <w:bCs/>
          <w:color w:val="auto"/>
          <w:sz w:val="32"/>
          <w:szCs w:val="32"/>
          <w:highlight w:val="none"/>
        </w:rPr>
        <w:t>《关于符合本国产品标准的声明函》或者财政部会同有关部门规定的有关证明文件（如有，请提供）（项目涉及非本国产品参与时，</w:t>
      </w:r>
      <w:r>
        <w:rPr>
          <w:rFonts w:hint="eastAsia" w:ascii="宋体" w:hAnsi="宋体"/>
          <w:b/>
          <w:bCs/>
          <w:color w:val="auto"/>
          <w:sz w:val="32"/>
          <w:szCs w:val="32"/>
          <w:highlight w:val="none"/>
          <w:lang w:eastAsia="zh-CN"/>
        </w:rPr>
        <w:t>投标人应根据自身响应情况</w:t>
      </w:r>
      <w:r>
        <w:rPr>
          <w:rFonts w:hint="eastAsia" w:ascii="宋体" w:hAnsi="宋体"/>
          <w:b/>
          <w:bCs/>
          <w:color w:val="auto"/>
          <w:sz w:val="32"/>
          <w:szCs w:val="32"/>
          <w:highlight w:val="none"/>
        </w:rPr>
        <w:t>出具）</w:t>
      </w:r>
    </w:p>
    <w:p w14:paraId="7BCB5D52">
      <w:pPr>
        <w:pStyle w:val="26"/>
        <w:rPr>
          <w:rFonts w:hAnsi="宋体"/>
          <w:b/>
          <w:color w:val="auto"/>
          <w:sz w:val="32"/>
          <w:szCs w:val="32"/>
          <w:highlight w:val="none"/>
        </w:rPr>
      </w:pPr>
      <w:r>
        <w:rPr>
          <w:rFonts w:hint="eastAsia" w:hAnsi="宋体"/>
          <w:b/>
          <w:color w:val="auto"/>
          <w:sz w:val="32"/>
          <w:szCs w:val="32"/>
          <w:highlight w:val="none"/>
        </w:rPr>
        <w:t>附件：</w:t>
      </w:r>
    </w:p>
    <w:p w14:paraId="743CD6CA">
      <w:pPr>
        <w:widowControl/>
        <w:shd w:val="clear" w:color="auto" w:fill="FFFFFF"/>
        <w:jc w:val="center"/>
        <w:rPr>
          <w:rFonts w:hint="eastAsia" w:ascii="宋体" w:hAnsi="宋体" w:cs="宋体"/>
          <w:color w:val="auto"/>
          <w:kern w:val="0"/>
          <w:sz w:val="36"/>
          <w:szCs w:val="36"/>
          <w:highlight w:val="none"/>
        </w:rPr>
      </w:pPr>
      <w:r>
        <w:rPr>
          <w:rFonts w:hint="eastAsia" w:ascii="宋体" w:hAnsi="宋体" w:cs="宋体"/>
          <w:b/>
          <w:bCs/>
          <w:color w:val="auto"/>
          <w:kern w:val="0"/>
          <w:sz w:val="36"/>
          <w:szCs w:val="36"/>
          <w:highlight w:val="none"/>
        </w:rPr>
        <w:t>关于符合本国产品标准的声明函</w:t>
      </w:r>
    </w:p>
    <w:p w14:paraId="6A0F905F">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p w14:paraId="7EEED5B5">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1BC716B4">
      <w:pPr>
        <w:widowControl/>
        <w:shd w:val="clear" w:color="auto" w:fill="FFFFFF"/>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i/>
          <w:iCs/>
          <w:color w:val="auto"/>
          <w:kern w:val="0"/>
          <w:sz w:val="24"/>
          <w:highlight w:val="none"/>
        </w:rPr>
        <w:t>（</w:t>
      </w:r>
      <w:r>
        <w:rPr>
          <w:rFonts w:hint="eastAsia" w:ascii="宋体" w:hAnsi="宋体" w:cs="宋体"/>
          <w:i/>
          <w:iCs/>
          <w:color w:val="auto"/>
          <w:kern w:val="0"/>
          <w:sz w:val="24"/>
          <w:highlight w:val="none"/>
          <w:u w:val="single"/>
        </w:rPr>
        <w:t>产品名称1）</w:t>
      </w:r>
      <w:r>
        <w:rPr>
          <w:rFonts w:hint="eastAsia" w:ascii="宋体" w:hAnsi="宋体" w:cs="宋体"/>
          <w:i/>
          <w:iCs/>
          <w:color w:val="auto"/>
          <w:kern w:val="0"/>
          <w:sz w:val="18"/>
          <w:szCs w:val="18"/>
          <w:highlight w:val="none"/>
          <w:u w:val="single"/>
          <w:vertAlign w:val="superscript"/>
        </w:rPr>
        <w:t>1</w:t>
      </w:r>
      <w:r>
        <w:rPr>
          <w:rFonts w:hint="eastAsia" w:ascii="宋体" w:hAnsi="宋体" w:cs="宋体"/>
          <w:color w:val="auto"/>
          <w:kern w:val="0"/>
          <w:sz w:val="24"/>
          <w:highlight w:val="none"/>
        </w:rPr>
        <w:t>，生产厂为</w:t>
      </w:r>
      <w:r>
        <w:rPr>
          <w:rFonts w:hint="eastAsia" w:ascii="宋体" w:hAnsi="宋体" w:cs="宋体"/>
          <w:i/>
          <w:iCs/>
          <w:color w:val="auto"/>
          <w:kern w:val="0"/>
          <w:sz w:val="24"/>
          <w:highlight w:val="none"/>
          <w:u w:val="single"/>
        </w:rPr>
        <w:t>（厂名）</w:t>
      </w:r>
      <w:r>
        <w:rPr>
          <w:rFonts w:hint="eastAsia" w:ascii="宋体" w:hAnsi="宋体" w:cs="宋体"/>
          <w:i/>
          <w:iCs/>
          <w:color w:val="auto"/>
          <w:kern w:val="0"/>
          <w:sz w:val="18"/>
          <w:szCs w:val="18"/>
          <w:highlight w:val="none"/>
          <w:vertAlign w:val="superscript"/>
        </w:rPr>
        <w:t>2</w:t>
      </w:r>
      <w:r>
        <w:rPr>
          <w:rFonts w:hint="eastAsia" w:ascii="宋体" w:hAnsi="宋体" w:cs="宋体"/>
          <w:color w:val="auto"/>
          <w:kern w:val="0"/>
          <w:sz w:val="24"/>
          <w:highlight w:val="none"/>
        </w:rPr>
        <w:t>，厂址为</w:t>
      </w:r>
      <w:r>
        <w:rPr>
          <w:rFonts w:hint="eastAsia" w:ascii="宋体" w:hAnsi="宋体" w:cs="宋体"/>
          <w:i/>
          <w:iCs/>
          <w:color w:val="auto"/>
          <w:kern w:val="0"/>
          <w:sz w:val="24"/>
          <w:highlight w:val="none"/>
          <w:u w:val="single"/>
        </w:rPr>
        <w:t>（生产厂址）</w:t>
      </w:r>
      <w:r>
        <w:rPr>
          <w:rFonts w:hint="eastAsia" w:ascii="宋体" w:hAnsi="宋体" w:cs="宋体"/>
          <w:color w:val="auto"/>
          <w:kern w:val="0"/>
          <w:sz w:val="24"/>
          <w:highlight w:val="none"/>
        </w:rPr>
        <w:t>。</w:t>
      </w:r>
      <w:r>
        <w:rPr>
          <w:rFonts w:hint="eastAsia" w:ascii="宋体" w:hAnsi="宋体" w:cs="宋体"/>
          <w:i/>
          <w:iCs/>
          <w:color w:val="auto"/>
          <w:kern w:val="0"/>
          <w:sz w:val="24"/>
          <w:highlight w:val="none"/>
          <w:u w:val="single"/>
        </w:rPr>
        <w:t>（产品名称1）</w:t>
      </w:r>
      <w:r>
        <w:rPr>
          <w:rFonts w:hint="eastAsia" w:ascii="宋体" w:hAnsi="宋体" w:cs="宋体"/>
          <w:color w:val="auto"/>
          <w:kern w:val="0"/>
          <w:sz w:val="24"/>
          <w:highlight w:val="none"/>
        </w:rPr>
        <w:t>的中国境内生产的组件成本占比≥</w:t>
      </w:r>
      <w:r>
        <w:rPr>
          <w:rFonts w:hint="eastAsia" w:ascii="宋体" w:hAnsi="宋体" w:cs="宋体"/>
          <w:i/>
          <w:iCs/>
          <w:color w:val="auto"/>
          <w:kern w:val="0"/>
          <w:sz w:val="24"/>
          <w:highlight w:val="none"/>
          <w:u w:val="single"/>
        </w:rPr>
        <w:t>（规定比例）</w:t>
      </w:r>
      <w:r>
        <w:rPr>
          <w:rFonts w:hint="eastAsia" w:ascii="宋体" w:hAnsi="宋体" w:cs="宋体"/>
          <w:i/>
          <w:iCs/>
          <w:color w:val="auto"/>
          <w:kern w:val="0"/>
          <w:sz w:val="18"/>
          <w:szCs w:val="18"/>
          <w:highlight w:val="none"/>
          <w:vertAlign w:val="superscript"/>
        </w:rPr>
        <w:t>3</w:t>
      </w:r>
      <w:r>
        <w:rPr>
          <w:rFonts w:hint="eastAsia" w:ascii="宋体" w:hAnsi="宋体" w:cs="宋体"/>
          <w:color w:val="auto"/>
          <w:kern w:val="0"/>
          <w:sz w:val="24"/>
          <w:highlight w:val="none"/>
        </w:rPr>
        <w:t>。</w:t>
      </w:r>
      <w:r>
        <w:rPr>
          <w:rFonts w:hint="eastAsia" w:ascii="宋体" w:hAnsi="宋体" w:cs="宋体"/>
          <w:i/>
          <w:iCs/>
          <w:color w:val="auto"/>
          <w:kern w:val="0"/>
          <w:sz w:val="24"/>
          <w:highlight w:val="none"/>
          <w:u w:val="single"/>
        </w:rPr>
        <w:t>（产品名称1）</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u w:val="single"/>
        </w:rPr>
        <w:t>（关键组件）</w:t>
      </w:r>
      <w:r>
        <w:rPr>
          <w:rFonts w:hint="eastAsia" w:ascii="宋体" w:hAnsi="宋体" w:cs="宋体"/>
          <w:i/>
          <w:iCs/>
          <w:color w:val="auto"/>
          <w:kern w:val="0"/>
          <w:sz w:val="18"/>
          <w:szCs w:val="18"/>
          <w:highlight w:val="none"/>
          <w:vertAlign w:val="superscript"/>
        </w:rPr>
        <w:t>4</w:t>
      </w:r>
      <w:r>
        <w:rPr>
          <w:rFonts w:hint="eastAsia" w:ascii="宋体" w:hAnsi="宋体" w:cs="宋体"/>
          <w:color w:val="auto"/>
          <w:kern w:val="0"/>
          <w:sz w:val="24"/>
          <w:highlight w:val="none"/>
        </w:rPr>
        <w:t>在中国境内生产。</w:t>
      </w:r>
      <w:r>
        <w:rPr>
          <w:rFonts w:hint="eastAsia" w:ascii="宋体" w:hAnsi="宋体" w:cs="宋体"/>
          <w:i/>
          <w:iCs/>
          <w:color w:val="auto"/>
          <w:kern w:val="0"/>
          <w:sz w:val="24"/>
          <w:highlight w:val="none"/>
          <w:u w:val="single"/>
        </w:rPr>
        <w:t>（产品名称1）</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u w:val="single"/>
        </w:rPr>
        <w:t>（关键工序）</w:t>
      </w:r>
      <w:r>
        <w:rPr>
          <w:rFonts w:hint="eastAsia" w:ascii="宋体" w:hAnsi="宋体" w:cs="宋体"/>
          <w:i/>
          <w:iCs/>
          <w:color w:val="auto"/>
          <w:kern w:val="0"/>
          <w:sz w:val="18"/>
          <w:szCs w:val="18"/>
          <w:highlight w:val="none"/>
          <w:vertAlign w:val="superscript"/>
        </w:rPr>
        <w:t>5</w:t>
      </w:r>
      <w:r>
        <w:rPr>
          <w:rFonts w:hint="eastAsia" w:ascii="宋体" w:hAnsi="宋体" w:cs="宋体"/>
          <w:color w:val="auto"/>
          <w:kern w:val="0"/>
          <w:sz w:val="24"/>
          <w:highlight w:val="none"/>
        </w:rPr>
        <w:t>在中国境内完成。</w:t>
      </w:r>
    </w:p>
    <w:p w14:paraId="3168468F">
      <w:pPr>
        <w:widowControl/>
        <w:shd w:val="clear" w:color="auto" w:fill="FFFFFF"/>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i/>
          <w:iCs/>
          <w:color w:val="auto"/>
          <w:kern w:val="0"/>
          <w:sz w:val="24"/>
          <w:highlight w:val="none"/>
          <w:u w:val="single"/>
        </w:rPr>
        <w:t>（产品名称2）</w:t>
      </w:r>
      <w:r>
        <w:rPr>
          <w:rFonts w:hint="eastAsia" w:ascii="宋体" w:hAnsi="宋体" w:cs="宋体"/>
          <w:color w:val="auto"/>
          <w:kern w:val="0"/>
          <w:sz w:val="24"/>
          <w:highlight w:val="none"/>
        </w:rPr>
        <w:t>，生产厂为</w:t>
      </w:r>
      <w:r>
        <w:rPr>
          <w:rFonts w:hint="eastAsia" w:ascii="宋体" w:hAnsi="宋体" w:cs="宋体"/>
          <w:i/>
          <w:iCs/>
          <w:color w:val="auto"/>
          <w:kern w:val="0"/>
          <w:sz w:val="24"/>
          <w:highlight w:val="none"/>
          <w:u w:val="single"/>
        </w:rPr>
        <w:t>（厂名）</w:t>
      </w:r>
      <w:r>
        <w:rPr>
          <w:rFonts w:hint="eastAsia" w:ascii="宋体" w:hAnsi="宋体" w:cs="宋体"/>
          <w:color w:val="auto"/>
          <w:kern w:val="0"/>
          <w:sz w:val="24"/>
          <w:highlight w:val="none"/>
        </w:rPr>
        <w:t>，厂址为</w:t>
      </w:r>
      <w:r>
        <w:rPr>
          <w:rFonts w:hint="eastAsia" w:ascii="宋体" w:hAnsi="宋体" w:cs="宋体"/>
          <w:i/>
          <w:iCs/>
          <w:color w:val="auto"/>
          <w:kern w:val="0"/>
          <w:sz w:val="24"/>
          <w:highlight w:val="none"/>
          <w:u w:val="single"/>
        </w:rPr>
        <w:t>（生产厂址）</w:t>
      </w:r>
      <w:r>
        <w:rPr>
          <w:rFonts w:hint="eastAsia" w:ascii="宋体" w:hAnsi="宋体" w:cs="宋体"/>
          <w:color w:val="auto"/>
          <w:kern w:val="0"/>
          <w:sz w:val="24"/>
          <w:highlight w:val="none"/>
        </w:rPr>
        <w:t>。</w:t>
      </w:r>
      <w:r>
        <w:rPr>
          <w:rFonts w:hint="eastAsia" w:ascii="宋体" w:hAnsi="宋体" w:cs="宋体"/>
          <w:i/>
          <w:iCs/>
          <w:color w:val="auto"/>
          <w:kern w:val="0"/>
          <w:sz w:val="24"/>
          <w:highlight w:val="none"/>
          <w:u w:val="single"/>
        </w:rPr>
        <w:t>（产品名称2）</w:t>
      </w:r>
      <w:r>
        <w:rPr>
          <w:rFonts w:hint="eastAsia" w:ascii="宋体" w:hAnsi="宋体" w:cs="宋体"/>
          <w:color w:val="auto"/>
          <w:kern w:val="0"/>
          <w:sz w:val="24"/>
          <w:highlight w:val="none"/>
        </w:rPr>
        <w:t>的中国境内生产的组件成本占比≥</w:t>
      </w:r>
      <w:r>
        <w:rPr>
          <w:rFonts w:hint="eastAsia" w:ascii="宋体" w:hAnsi="宋体" w:cs="宋体"/>
          <w:i/>
          <w:iCs/>
          <w:color w:val="auto"/>
          <w:kern w:val="0"/>
          <w:sz w:val="24"/>
          <w:highlight w:val="none"/>
          <w:u w:val="single"/>
        </w:rPr>
        <w:t>（规定比例）</w:t>
      </w:r>
      <w:r>
        <w:rPr>
          <w:rFonts w:hint="eastAsia" w:ascii="宋体" w:hAnsi="宋体" w:cs="宋体"/>
          <w:color w:val="auto"/>
          <w:kern w:val="0"/>
          <w:sz w:val="24"/>
          <w:highlight w:val="none"/>
        </w:rPr>
        <w:t>。</w:t>
      </w:r>
      <w:r>
        <w:rPr>
          <w:rFonts w:hint="eastAsia" w:ascii="宋体" w:hAnsi="宋体" w:cs="宋体"/>
          <w:i/>
          <w:iCs/>
          <w:color w:val="auto"/>
          <w:kern w:val="0"/>
          <w:sz w:val="24"/>
          <w:highlight w:val="none"/>
          <w:u w:val="single"/>
        </w:rPr>
        <w:t>（产品名称2）</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u w:val="single"/>
        </w:rPr>
        <w:t>（关键组件）</w:t>
      </w:r>
      <w:r>
        <w:rPr>
          <w:rFonts w:hint="eastAsia" w:ascii="宋体" w:hAnsi="宋体" w:cs="宋体"/>
          <w:color w:val="auto"/>
          <w:kern w:val="0"/>
          <w:sz w:val="24"/>
          <w:highlight w:val="none"/>
        </w:rPr>
        <w:t>在中国境内生产。</w:t>
      </w:r>
      <w:r>
        <w:rPr>
          <w:rFonts w:hint="eastAsia" w:ascii="宋体" w:hAnsi="宋体" w:cs="宋体"/>
          <w:i/>
          <w:iCs/>
          <w:color w:val="auto"/>
          <w:kern w:val="0"/>
          <w:sz w:val="24"/>
          <w:highlight w:val="none"/>
          <w:u w:val="single"/>
        </w:rPr>
        <w:t>（产品名称2）</w:t>
      </w:r>
      <w:r>
        <w:rPr>
          <w:rFonts w:hint="eastAsia" w:ascii="宋体" w:hAnsi="宋体" w:cs="宋体"/>
          <w:color w:val="auto"/>
          <w:kern w:val="0"/>
          <w:sz w:val="24"/>
          <w:highlight w:val="none"/>
        </w:rPr>
        <w:t>的</w:t>
      </w:r>
      <w:r>
        <w:rPr>
          <w:rFonts w:hint="eastAsia" w:ascii="宋体" w:hAnsi="宋体" w:cs="宋体"/>
          <w:i/>
          <w:iCs/>
          <w:color w:val="auto"/>
          <w:kern w:val="0"/>
          <w:sz w:val="24"/>
          <w:highlight w:val="none"/>
          <w:u w:val="single"/>
        </w:rPr>
        <w:t>（关键工序）</w:t>
      </w:r>
      <w:r>
        <w:rPr>
          <w:rFonts w:hint="eastAsia" w:ascii="宋体" w:hAnsi="宋体" w:cs="宋体"/>
          <w:color w:val="auto"/>
          <w:kern w:val="0"/>
          <w:sz w:val="24"/>
          <w:highlight w:val="none"/>
        </w:rPr>
        <w:t>在中国境内完成。</w:t>
      </w:r>
    </w:p>
    <w:p w14:paraId="4A7F0D4F">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w:t>
      </w:r>
    </w:p>
    <w:p w14:paraId="5E91A5FC">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本公司（单位）对上述声明内容的真实性负责。如有虚假，愿承担相应法律责任。</w:t>
      </w:r>
    </w:p>
    <w:p w14:paraId="50064AD1">
      <w:pPr>
        <w:widowControl/>
        <w:shd w:val="clear" w:color="auto" w:fill="FFFFFF"/>
        <w:spacing w:before="30" w:after="3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p w14:paraId="60A41AF3">
      <w:pPr>
        <w:widowControl/>
        <w:shd w:val="clear" w:color="auto" w:fill="FFFFFF"/>
        <w:spacing w:before="30" w:after="30"/>
        <w:jc w:val="right"/>
        <w:rPr>
          <w:rFonts w:hint="eastAsia" w:ascii="宋体" w:hAnsi="宋体" w:cs="宋体"/>
          <w:color w:val="auto"/>
          <w:kern w:val="0"/>
          <w:sz w:val="24"/>
          <w:highlight w:val="none"/>
        </w:rPr>
      </w:pPr>
      <w:r>
        <w:rPr>
          <w:rFonts w:hint="eastAsia" w:ascii="宋体" w:hAnsi="宋体" w:cs="宋体"/>
          <w:color w:val="auto"/>
          <w:kern w:val="0"/>
          <w:sz w:val="24"/>
          <w:highlight w:val="none"/>
        </w:rPr>
        <w:t>公司（单位）名称（盖章）：　        </w:t>
      </w:r>
    </w:p>
    <w:p w14:paraId="70901DBC">
      <w:pPr>
        <w:widowControl/>
        <w:shd w:val="clear" w:color="auto" w:fill="FFFFFF"/>
        <w:jc w:val="right"/>
        <w:rPr>
          <w:rFonts w:hint="eastAsia" w:ascii="宋体" w:hAnsi="宋体" w:cs="宋体"/>
          <w:color w:val="auto"/>
          <w:kern w:val="0"/>
          <w:sz w:val="24"/>
          <w:highlight w:val="none"/>
        </w:rPr>
      </w:pPr>
      <w:r>
        <w:rPr>
          <w:rFonts w:hint="eastAsia" w:ascii="宋体" w:hAnsi="宋体" w:cs="宋体"/>
          <w:color w:val="auto"/>
          <w:kern w:val="0"/>
          <w:sz w:val="24"/>
          <w:highlight w:val="none"/>
        </w:rPr>
        <w:t>日期：　     年　  月　  日         </w:t>
      </w:r>
    </w:p>
    <w:p w14:paraId="69658115">
      <w:pPr>
        <w:widowControl/>
        <w:shd w:val="clear" w:color="auto" w:fill="FFFFFF"/>
        <w:spacing w:before="30" w:after="30"/>
        <w:jc w:val="left"/>
        <w:rPr>
          <w:rFonts w:hint="eastAsia" w:ascii="宋体" w:hAnsi="宋体" w:cs="宋体"/>
          <w:color w:val="auto"/>
          <w:kern w:val="0"/>
          <w:sz w:val="24"/>
          <w:highlight w:val="none"/>
        </w:rPr>
      </w:pPr>
      <w:r>
        <w:rPr>
          <w:rFonts w:hint="eastAsia" w:ascii="宋体" w:hAnsi="宋体" w:cs="宋体"/>
          <w:color w:val="auto"/>
          <w:kern w:val="0"/>
          <w:sz w:val="24"/>
          <w:highlight w:val="none"/>
        </w:rPr>
        <w:t>__________________</w:t>
      </w:r>
    </w:p>
    <w:p w14:paraId="088FCDF9">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1.产品如有型号，请在“产品名称”栏一并填写。</w:t>
      </w:r>
    </w:p>
    <w:p w14:paraId="42E9C9D7">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2.生产厂名与厂址应与生产厂营业执照载明的相关信息保持一致。</w:t>
      </w:r>
    </w:p>
    <w:p w14:paraId="1DBA68D7">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3.该产品的中国境内生产的组件成本占比相关要求实施前，“规定比例”栏可不填，下同。</w:t>
      </w:r>
    </w:p>
    <w:p w14:paraId="34C87F2A">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4.该产品的关键组件要求实施前，“关键组件”栏可不填，下同。</w:t>
      </w:r>
    </w:p>
    <w:p w14:paraId="5DF13B72">
      <w:pPr>
        <w:widowControl/>
        <w:shd w:val="clear" w:color="auto" w:fill="FFFFFF"/>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5.该产品的关键工序要求实施前，“关键工序”栏可不填，下同。</w:t>
      </w:r>
    </w:p>
    <w:p w14:paraId="7E877920">
      <w:pPr>
        <w:pStyle w:val="19"/>
        <w:rPr>
          <w:color w:val="auto"/>
          <w:highlight w:val="none"/>
        </w:rPr>
      </w:pPr>
    </w:p>
    <w:p w14:paraId="5EAA37ED">
      <w:pPr>
        <w:widowControl/>
        <w:shd w:val="clear" w:color="auto" w:fill="FFFFFF"/>
        <w:spacing w:before="30" w:after="30"/>
        <w:ind w:firstLine="480"/>
        <w:jc w:val="left"/>
        <w:rPr>
          <w:rFonts w:hint="eastAsia" w:ascii="宋体" w:hAnsi="宋体" w:cs="宋体"/>
          <w:color w:val="auto"/>
          <w:kern w:val="0"/>
          <w:sz w:val="24"/>
          <w:highlight w:val="none"/>
        </w:rPr>
      </w:pPr>
    </w:p>
    <w:p w14:paraId="05A6521F">
      <w:pPr>
        <w:widowControl/>
        <w:shd w:val="clear" w:color="auto" w:fill="FFFFFF"/>
        <w:spacing w:before="30" w:after="30"/>
        <w:ind w:firstLine="480"/>
        <w:jc w:val="left"/>
        <w:rPr>
          <w:rFonts w:hint="eastAsia" w:ascii="宋体" w:hAnsi="宋体" w:cs="宋体"/>
          <w:color w:val="auto"/>
          <w:kern w:val="0"/>
          <w:sz w:val="24"/>
          <w:highlight w:val="none"/>
        </w:rPr>
      </w:pPr>
    </w:p>
    <w:p w14:paraId="670BFBFF">
      <w:pPr>
        <w:spacing w:line="500" w:lineRule="exact"/>
        <w:rPr>
          <w:rFonts w:hint="eastAsia" w:ascii="宋体" w:hAnsi="宋体"/>
          <w:b/>
          <w:bCs/>
          <w:color w:val="auto"/>
          <w:sz w:val="32"/>
          <w:szCs w:val="32"/>
          <w:highlight w:val="none"/>
        </w:rPr>
      </w:pPr>
    </w:p>
    <w:p w14:paraId="1A78148B">
      <w:pPr>
        <w:spacing w:line="500" w:lineRule="exact"/>
        <w:rPr>
          <w:rFonts w:ascii="宋体" w:hAnsi="宋体"/>
          <w:b/>
          <w:bCs/>
          <w:color w:val="auto"/>
          <w:sz w:val="32"/>
          <w:szCs w:val="32"/>
          <w:highlight w:val="none"/>
        </w:rPr>
      </w:pPr>
      <w:r>
        <w:rPr>
          <w:rFonts w:hint="eastAsia" w:ascii="宋体" w:hAnsi="宋体"/>
          <w:b/>
          <w:bCs/>
          <w:color w:val="auto"/>
          <w:sz w:val="32"/>
          <w:szCs w:val="32"/>
          <w:highlight w:val="none"/>
        </w:rPr>
        <w:t>1</w:t>
      </w:r>
      <w:r>
        <w:rPr>
          <w:rFonts w:hint="eastAsia" w:ascii="宋体" w:hAnsi="宋体"/>
          <w:b/>
          <w:bCs/>
          <w:color w:val="auto"/>
          <w:sz w:val="32"/>
          <w:szCs w:val="32"/>
          <w:highlight w:val="none"/>
          <w:lang w:val="en-US" w:eastAsia="zh-CN"/>
        </w:rPr>
        <w:t>3</w:t>
      </w:r>
      <w:r>
        <w:rPr>
          <w:rFonts w:hint="eastAsia" w:ascii="宋体" w:hAnsi="宋体"/>
          <w:b/>
          <w:bCs/>
          <w:color w:val="auto"/>
          <w:sz w:val="32"/>
          <w:szCs w:val="32"/>
          <w:highlight w:val="none"/>
        </w:rPr>
        <w:t>.投标人可结合本项目的评标办法视自身情况自行提交相关证明材料（如有，请提供）</w:t>
      </w:r>
    </w:p>
    <w:p w14:paraId="5B7373CA">
      <w:pPr>
        <w:spacing w:line="500" w:lineRule="exact"/>
        <w:rPr>
          <w:rFonts w:ascii="宋体" w:hAnsi="宋体"/>
          <w:b/>
          <w:bCs/>
          <w:color w:val="auto"/>
          <w:sz w:val="32"/>
          <w:szCs w:val="32"/>
          <w:highlight w:val="none"/>
        </w:rPr>
      </w:pPr>
    </w:p>
    <w:p w14:paraId="7013D25E">
      <w:pPr>
        <w:spacing w:line="500" w:lineRule="exact"/>
        <w:rPr>
          <w:rFonts w:ascii="宋体" w:hAnsi="宋体"/>
          <w:b/>
          <w:bCs/>
          <w:color w:val="auto"/>
          <w:sz w:val="32"/>
          <w:szCs w:val="32"/>
          <w:highlight w:val="none"/>
        </w:rPr>
      </w:pPr>
    </w:p>
    <w:sectPr>
      <w:headerReference r:id="rId5" w:type="first"/>
      <w:headerReference r:id="rId3" w:type="default"/>
      <w:footerReference r:id="rId6" w:type="default"/>
      <w:headerReference r:id="rId4" w:type="even"/>
      <w:pgSz w:w="11906" w:h="16838"/>
      <w:pgMar w:top="1276" w:right="1134" w:bottom="1021" w:left="1134"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7F7BF1F-D2AF-403F-9EE5-1D5BE6DD9753}"/>
  </w:font>
  <w:font w:name="黑体">
    <w:panose1 w:val="02010609060101010101"/>
    <w:charset w:val="86"/>
    <w:family w:val="auto"/>
    <w:pitch w:val="default"/>
    <w:sig w:usb0="800002BF" w:usb1="38CF7CFA" w:usb2="00000016" w:usb3="00000000" w:csb0="00040001" w:csb1="00000000"/>
    <w:embedRegular r:id="rId2" w:fontKey="{BE6ADC1A-EDA5-4648-ABBF-9369E6A4BED8}"/>
  </w:font>
  <w:font w:name="Courier New">
    <w:panose1 w:val="02070309020205020404"/>
    <w:charset w:val="01"/>
    <w:family w:val="modern"/>
    <w:pitch w:val="default"/>
    <w:sig w:usb0="E0002AFF" w:usb1="C0007843" w:usb2="00000009" w:usb3="00000000" w:csb0="400001FF" w:csb1="FFFF0000"/>
    <w:embedRegular r:id="rId3" w:fontKey="{A120661B-88F5-45F6-B040-5B160FDF9BD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DD84A387-4096-4A15-A01E-22B2B2CEA1DF}"/>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5" w:fontKey="{A1E7224C-4F13-4069-8C3A-C30D17F1F758}"/>
  </w:font>
  <w:font w:name="Verdana">
    <w:panose1 w:val="020B0604030504040204"/>
    <w:charset w:val="00"/>
    <w:family w:val="swiss"/>
    <w:pitch w:val="default"/>
    <w:sig w:usb0="A10006FF" w:usb1="4000205B" w:usb2="00000010" w:usb3="00000000" w:csb0="2000019F" w:csb1="00000000"/>
  </w:font>
  <w:font w:name="AvantGarde Bk BT">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6" w:fontKey="{9EE676A3-5751-4129-8198-33D41463863B}"/>
  </w:font>
  <w:font w:name="Arial Unicode MS">
    <w:panose1 w:val="020B0604020202020204"/>
    <w:charset w:val="86"/>
    <w:family w:val="swiss"/>
    <w:pitch w:val="default"/>
    <w:sig w:usb0="FFFFFFFF" w:usb1="E9FFFFFF" w:usb2="0000003F" w:usb3="00000000" w:csb0="603F01FF" w:csb1="FFFF0000"/>
    <w:embedRegular r:id="rId7" w:fontKey="{96AC1602-9575-446C-A385-9691E0336733}"/>
  </w:font>
  <w:font w:name="Tahoma">
    <w:panose1 w:val="020B0604030504040204"/>
    <w:charset w:val="00"/>
    <w:family w:val="swiss"/>
    <w:pitch w:val="default"/>
    <w:sig w:usb0="E1002EFF" w:usb1="C000605B" w:usb2="00000029" w:usb3="00000000" w:csb0="200101FF" w:csb1="20280000"/>
  </w:font>
  <w:font w:name="Helvetica Neue">
    <w:altName w:val="Times New Roman"/>
    <w:panose1 w:val="02000503000000020004"/>
    <w:charset w:val="00"/>
    <w:family w:val="auto"/>
    <w:pitch w:val="default"/>
    <w:sig w:usb0="00000000" w:usb1="00000000" w:usb2="00000010" w:usb3="00000000" w:csb0="00000000" w:csb1="00000000"/>
  </w:font>
  <w:font w:name="华文新魏">
    <w:panose1 w:val="02010800040101010101"/>
    <w:charset w:val="86"/>
    <w:family w:val="auto"/>
    <w:pitch w:val="default"/>
    <w:sig w:usb0="00000001" w:usb1="080F0000" w:usb2="00000000" w:usb3="00000000" w:csb0="00040000" w:csb1="00000000"/>
    <w:embedRegular r:id="rId8" w:fontKey="{E7CB196B-2063-489A-8F32-806A775A459D}"/>
  </w:font>
  <w:font w:name="隶书">
    <w:panose1 w:val="02010509060101010101"/>
    <w:charset w:val="86"/>
    <w:family w:val="modern"/>
    <w:pitch w:val="default"/>
    <w:sig w:usb0="00000001" w:usb1="080E0000" w:usb2="00000000" w:usb3="00000000" w:csb0="00040000" w:csb1="00000000"/>
    <w:embedRegular r:id="rId9" w:fontKey="{C88B1101-E0C3-40B6-8C99-2844B39FAF27}"/>
  </w:font>
  <w:font w:name="仿宋">
    <w:panose1 w:val="02010609060101010101"/>
    <w:charset w:val="86"/>
    <w:family w:val="modern"/>
    <w:pitch w:val="default"/>
    <w:sig w:usb0="800002BF" w:usb1="38CF7CFA" w:usb2="00000016" w:usb3="00000000" w:csb0="00040001" w:csb1="00000000"/>
    <w:embedRegular r:id="rId10" w:fontKey="{5D7A34DC-9307-47FB-89D6-46D2099C4821}"/>
  </w:font>
  <w:font w:name="新宋体">
    <w:panose1 w:val="02010609030101010101"/>
    <w:charset w:val="86"/>
    <w:family w:val="modern"/>
    <w:pitch w:val="default"/>
    <w:sig w:usb0="00000003" w:usb1="288F0000" w:usb2="00000006" w:usb3="00000000" w:csb0="00040001" w:csb1="00000000"/>
    <w:embedRegular r:id="rId11" w:fontKey="{B0B6273D-493E-4D21-B59D-1AF7FB89AFBA}"/>
  </w:font>
  <w:font w:name="WPSEMBED2">
    <w:panose1 w:val="02010509060101010101"/>
    <w:charset w:val="86"/>
    <w:family w:val="auto"/>
    <w:pitch w:val="default"/>
    <w:sig w:usb0="00000001" w:usb1="080E0000" w:usb2="00000000" w:usb3="00000000" w:csb0="00040000" w:csb1="00000000"/>
  </w:font>
  <w:font w:name="WPSEMBED1">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9037F">
    <w:pPr>
      <w:pStyle w:val="31"/>
      <w:jc w:val="center"/>
    </w:pPr>
    <w:r>
      <w:fldChar w:fldCharType="begin"/>
    </w:r>
    <w:r>
      <w:rPr>
        <w:rStyle w:val="55"/>
      </w:rPr>
      <w:instrText xml:space="preserve"> PAGE </w:instrText>
    </w:r>
    <w:r>
      <w:fldChar w:fldCharType="separate"/>
    </w:r>
    <w:r>
      <w:rPr>
        <w:rStyle w:val="55"/>
      </w:rPr>
      <w:t>- 41 -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DE2ED">
    <w:pPr>
      <w:pStyle w:val="33"/>
      <w:pBdr>
        <w:bottom w:val="none" w:color="auto" w:sz="0" w:space="0"/>
      </w:pBdr>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116955" cy="5420995"/>
          <wp:effectExtent l="0" t="0" r="0" b="0"/>
          <wp:wrapNone/>
          <wp:docPr id="7" name="WordPictureWatermark656842018" descr="云之龙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656842018" descr="云之龙图标"/>
                  <pic:cNvPicPr>
                    <a:picLocks noChangeAspect="1"/>
                  </pic:cNvPicPr>
                </pic:nvPicPr>
                <pic:blipFill>
                  <a:blip r:embed="rId1">
                    <a:lum bright="70001" contrast="-70000"/>
                  </a:blip>
                  <a:stretch>
                    <a:fillRect/>
                  </a:stretch>
                </pic:blipFill>
                <pic:spPr>
                  <a:xfrm>
                    <a:off x="0" y="0"/>
                    <a:ext cx="6116955" cy="54209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9E691">
    <w:pPr>
      <w:pStyle w:val="33"/>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116955" cy="5420995"/>
          <wp:effectExtent l="0" t="0" r="0" b="0"/>
          <wp:wrapNone/>
          <wp:docPr id="6" name="WordPictureWatermark656842017" descr="云之龙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656842017" descr="云之龙图标"/>
                  <pic:cNvPicPr>
                    <a:picLocks noChangeAspect="1"/>
                  </pic:cNvPicPr>
                </pic:nvPicPr>
                <pic:blipFill>
                  <a:blip r:embed="rId1">
                    <a:lum bright="70001" contrast="-70000"/>
                  </a:blip>
                  <a:stretch>
                    <a:fillRect/>
                  </a:stretch>
                </pic:blipFill>
                <pic:spPr>
                  <a:xfrm>
                    <a:off x="0" y="0"/>
                    <a:ext cx="6116955" cy="54209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78AB2">
    <w:pPr>
      <w:pStyle w:val="33"/>
      <w:pBdr>
        <w:bottom w:val="none" w:color="auto" w:sz="0" w:space="0"/>
      </w:pBd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6116955" cy="5420995"/>
          <wp:effectExtent l="0" t="0" r="0" b="0"/>
          <wp:wrapNone/>
          <wp:docPr id="5" name="WordPictureWatermark656842016" descr="云之龙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656842016" descr="云之龙图标"/>
                  <pic:cNvPicPr>
                    <a:picLocks noChangeAspect="1"/>
                  </pic:cNvPicPr>
                </pic:nvPicPr>
                <pic:blipFill>
                  <a:blip r:embed="rId1">
                    <a:lum bright="70001" contrast="-70000"/>
                  </a:blip>
                  <a:stretch>
                    <a:fillRect/>
                  </a:stretch>
                </pic:blipFill>
                <pic:spPr>
                  <a:xfrm>
                    <a:off x="0" y="0"/>
                    <a:ext cx="6116955" cy="54209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6F764F"/>
    <w:multiLevelType w:val="singleLevel"/>
    <w:tmpl w:val="BE6F764F"/>
    <w:lvl w:ilvl="0" w:tentative="0">
      <w:start w:val="10"/>
      <w:numFmt w:val="chineseCounting"/>
      <w:suff w:val="nothing"/>
      <w:lvlText w:val="第%1条　"/>
      <w:lvlJc w:val="left"/>
      <w:rPr>
        <w:rFonts w:hint="eastAsia"/>
      </w:rPr>
    </w:lvl>
  </w:abstractNum>
  <w:abstractNum w:abstractNumId="1">
    <w:nsid w:val="00000002"/>
    <w:multiLevelType w:val="singleLevel"/>
    <w:tmpl w:val="00000002"/>
    <w:lvl w:ilvl="0" w:tentative="0">
      <w:start w:val="1"/>
      <w:numFmt w:val="decimal"/>
      <w:pStyle w:val="21"/>
      <w:lvlText w:val="%1."/>
      <w:lvlJc w:val="left"/>
      <w:pPr>
        <w:tabs>
          <w:tab w:val="left" w:pos="1200"/>
        </w:tabs>
        <w:ind w:left="1200" w:hanging="360"/>
      </w:pPr>
    </w:lvl>
  </w:abstractNum>
  <w:abstractNum w:abstractNumId="2">
    <w:nsid w:val="00000003"/>
    <w:multiLevelType w:val="multilevel"/>
    <w:tmpl w:val="00000003"/>
    <w:lvl w:ilvl="0" w:tentative="0">
      <w:start w:val="1"/>
      <w:numFmt w:val="japaneseCounting"/>
      <w:lvlText w:val="%1、"/>
      <w:lvlJc w:val="left"/>
      <w:pPr>
        <w:tabs>
          <w:tab w:val="left" w:pos="1020"/>
        </w:tabs>
        <w:ind w:left="1020" w:hanging="480"/>
      </w:pPr>
      <w:rPr>
        <w:rFonts w:ascii="仿宋_GB2312" w:hAnsi="宋体" w:eastAsia="仿宋_GB2312" w:cs="Times New Roman"/>
        <w:b/>
        <w:bCs/>
        <w:i w:val="0"/>
        <w:sz w:val="24"/>
        <w:szCs w:val="24"/>
      </w:rPr>
    </w:lvl>
    <w:lvl w:ilvl="1" w:tentative="0">
      <w:start w:val="1"/>
      <w:numFmt w:val="lowerLetter"/>
      <w:lvlText w:val="%2)"/>
      <w:lvlJc w:val="left"/>
      <w:pPr>
        <w:tabs>
          <w:tab w:val="left" w:pos="960"/>
        </w:tabs>
        <w:ind w:left="960" w:hanging="420"/>
      </w:pPr>
    </w:lvl>
    <w:lvl w:ilvl="2" w:tentative="0">
      <w:start w:val="1"/>
      <w:numFmt w:val="decimal"/>
      <w:pStyle w:val="213"/>
      <w:lvlText w:val="%3、"/>
      <w:lvlJc w:val="left"/>
      <w:pPr>
        <w:tabs>
          <w:tab w:val="left" w:pos="1380"/>
        </w:tabs>
        <w:ind w:left="1380" w:hanging="420"/>
      </w:pPr>
      <w:rPr>
        <w:rFonts w:ascii="仿宋_GB2312" w:hAnsi="宋体" w:eastAsia="仿宋_GB2312" w:cs="Times New Roman"/>
        <w:b w:val="0"/>
        <w:i w:val="0"/>
        <w:color w:val="auto"/>
        <w:sz w:val="21"/>
        <w:szCs w:val="21"/>
      </w:rPr>
    </w:lvl>
    <w:lvl w:ilvl="3" w:tentative="0">
      <w:start w:val="1"/>
      <w:numFmt w:val="decimal"/>
      <w:lvlText w:val="%4."/>
      <w:lvlJc w:val="left"/>
      <w:pPr>
        <w:tabs>
          <w:tab w:val="left" w:pos="1800"/>
        </w:tabs>
        <w:ind w:left="1800" w:hanging="420"/>
      </w:pPr>
      <w:rPr>
        <w:rFonts w:hint="eastAsia"/>
        <w:b/>
        <w:i w:val="0"/>
        <w:sz w:val="24"/>
        <w:szCs w:val="24"/>
      </w:rPr>
    </w:lvl>
    <w:lvl w:ilvl="4" w:tentative="0">
      <w:start w:val="6"/>
      <w:numFmt w:val="decimal"/>
      <w:lvlText w:val="%5．"/>
      <w:lvlJc w:val="left"/>
      <w:pPr>
        <w:tabs>
          <w:tab w:val="left" w:pos="2160"/>
        </w:tabs>
        <w:ind w:left="2160" w:hanging="360"/>
      </w:pPr>
      <w:rPr>
        <w:rFonts w:hint="default"/>
      </w:rPr>
    </w:lvl>
    <w:lvl w:ilvl="5" w:tentative="0">
      <w:start w:val="1"/>
      <w:numFmt w:val="lowerRoman"/>
      <w:lvlText w:val="%6."/>
      <w:lvlJc w:val="right"/>
      <w:pPr>
        <w:tabs>
          <w:tab w:val="left" w:pos="2640"/>
        </w:tabs>
        <w:ind w:left="2640" w:hanging="420"/>
      </w:pPr>
    </w:lvl>
    <w:lvl w:ilvl="6" w:tentative="0">
      <w:start w:val="1"/>
      <w:numFmt w:val="decimal"/>
      <w:lvlText w:val="%7."/>
      <w:lvlJc w:val="left"/>
      <w:pPr>
        <w:tabs>
          <w:tab w:val="left" w:pos="3060"/>
        </w:tabs>
        <w:ind w:left="3060" w:hanging="420"/>
      </w:pPr>
    </w:lvl>
    <w:lvl w:ilvl="7" w:tentative="0">
      <w:start w:val="1"/>
      <w:numFmt w:val="lowerLetter"/>
      <w:lvlText w:val="%8)"/>
      <w:lvlJc w:val="left"/>
      <w:pPr>
        <w:tabs>
          <w:tab w:val="left" w:pos="3480"/>
        </w:tabs>
        <w:ind w:left="3480" w:hanging="420"/>
      </w:pPr>
    </w:lvl>
    <w:lvl w:ilvl="8" w:tentative="0">
      <w:start w:val="1"/>
      <w:numFmt w:val="lowerRoman"/>
      <w:lvlText w:val="%9."/>
      <w:lvlJc w:val="right"/>
      <w:pPr>
        <w:tabs>
          <w:tab w:val="left" w:pos="3900"/>
        </w:tabs>
        <w:ind w:left="3900" w:hanging="420"/>
      </w:pPr>
    </w:lvl>
  </w:abstractNum>
  <w:abstractNum w:abstractNumId="3">
    <w:nsid w:val="2B59A81F"/>
    <w:multiLevelType w:val="singleLevel"/>
    <w:tmpl w:val="2B59A81F"/>
    <w:lvl w:ilvl="0" w:tentative="0">
      <w:start w:val="5"/>
      <w:numFmt w:val="decimal"/>
      <w:lvlText w:val="%1."/>
      <w:lvlJc w:val="left"/>
      <w:pPr>
        <w:tabs>
          <w:tab w:val="left" w:pos="312"/>
        </w:tabs>
      </w:pPr>
    </w:lvl>
  </w:abstractNum>
  <w:abstractNum w:abstractNumId="4">
    <w:nsid w:val="36E1116A"/>
    <w:multiLevelType w:val="multilevel"/>
    <w:tmpl w:val="36E1116A"/>
    <w:lvl w:ilvl="0" w:tentative="0">
      <w:start w:val="1"/>
      <w:numFmt w:val="decimal"/>
      <w:lvlText w:val="%1"/>
      <w:lvlJc w:val="left"/>
      <w:pPr>
        <w:ind w:left="432" w:hanging="432"/>
      </w:pPr>
    </w:lvl>
    <w:lvl w:ilvl="1" w:tentative="0">
      <w:start w:val="1"/>
      <w:numFmt w:val="decimal"/>
      <w:pStyle w:val="105"/>
      <w:lvlText w:val="%1.%2"/>
      <w:lvlJc w:val="left"/>
      <w:pPr>
        <w:ind w:left="576" w:hanging="576"/>
      </w:pPr>
      <w:rPr>
        <w:b/>
        <w:i w:val="0"/>
      </w:r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5">
    <w:nsid w:val="4339F3A4"/>
    <w:multiLevelType w:val="singleLevel"/>
    <w:tmpl w:val="4339F3A4"/>
    <w:lvl w:ilvl="0" w:tentative="0">
      <w:start w:val="4"/>
      <w:numFmt w:val="decimal"/>
      <w:suff w:val="nothing"/>
      <w:lvlText w:val="（%1）"/>
      <w:lvlJc w:val="left"/>
    </w:lvl>
  </w:abstractNum>
  <w:abstractNum w:abstractNumId="6">
    <w:nsid w:val="55542797"/>
    <w:multiLevelType w:val="singleLevel"/>
    <w:tmpl w:val="55542797"/>
    <w:lvl w:ilvl="0" w:tentative="0">
      <w:start w:val="5"/>
      <w:numFmt w:val="decimal"/>
      <w:suff w:val="nothing"/>
      <w:lvlText w:val="（%1）"/>
      <w:lvlJc w:val="left"/>
    </w:lvl>
  </w:abstractNum>
  <w:abstractNum w:abstractNumId="7">
    <w:nsid w:val="6494483B"/>
    <w:multiLevelType w:val="multilevel"/>
    <w:tmpl w:val="6494483B"/>
    <w:lvl w:ilvl="0" w:tentative="0">
      <w:start w:val="1"/>
      <w:numFmt w:val="japaneseCounting"/>
      <w:lvlText w:val="%1、"/>
      <w:lvlJc w:val="left"/>
      <w:pPr>
        <w:ind w:left="872" w:hanging="450"/>
      </w:pPr>
      <w:rPr>
        <w:rFonts w:hint="default"/>
        <w:b/>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5"/>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iNjExZTQ5MTQ5ZjhlYjE2YmJiYmMxNmQxMjBkYzUifQ=="/>
  </w:docVars>
  <w:rsids>
    <w:rsidRoot w:val="00F92138"/>
    <w:rsid w:val="0000012A"/>
    <w:rsid w:val="000004C3"/>
    <w:rsid w:val="000005FB"/>
    <w:rsid w:val="000007B3"/>
    <w:rsid w:val="00000854"/>
    <w:rsid w:val="00000871"/>
    <w:rsid w:val="00001175"/>
    <w:rsid w:val="000013C5"/>
    <w:rsid w:val="00001728"/>
    <w:rsid w:val="0000245C"/>
    <w:rsid w:val="00002511"/>
    <w:rsid w:val="00002604"/>
    <w:rsid w:val="00002682"/>
    <w:rsid w:val="00002747"/>
    <w:rsid w:val="00002789"/>
    <w:rsid w:val="000028A5"/>
    <w:rsid w:val="000028B5"/>
    <w:rsid w:val="00002A3E"/>
    <w:rsid w:val="00002B61"/>
    <w:rsid w:val="000032B4"/>
    <w:rsid w:val="00003601"/>
    <w:rsid w:val="000036AC"/>
    <w:rsid w:val="0000371F"/>
    <w:rsid w:val="00003814"/>
    <w:rsid w:val="00003E1B"/>
    <w:rsid w:val="00003E73"/>
    <w:rsid w:val="00004210"/>
    <w:rsid w:val="00004228"/>
    <w:rsid w:val="0000447E"/>
    <w:rsid w:val="000045A9"/>
    <w:rsid w:val="0000466A"/>
    <w:rsid w:val="00004808"/>
    <w:rsid w:val="00004D11"/>
    <w:rsid w:val="00004D43"/>
    <w:rsid w:val="00004D70"/>
    <w:rsid w:val="00004F53"/>
    <w:rsid w:val="00006004"/>
    <w:rsid w:val="00006148"/>
    <w:rsid w:val="000064D3"/>
    <w:rsid w:val="000066AE"/>
    <w:rsid w:val="00007562"/>
    <w:rsid w:val="000077A8"/>
    <w:rsid w:val="00007A12"/>
    <w:rsid w:val="00007CE8"/>
    <w:rsid w:val="00007EB0"/>
    <w:rsid w:val="00007F96"/>
    <w:rsid w:val="0001043E"/>
    <w:rsid w:val="00010630"/>
    <w:rsid w:val="0001073E"/>
    <w:rsid w:val="000109EB"/>
    <w:rsid w:val="00010A38"/>
    <w:rsid w:val="00010EAD"/>
    <w:rsid w:val="00010FE0"/>
    <w:rsid w:val="00011006"/>
    <w:rsid w:val="00011795"/>
    <w:rsid w:val="00011968"/>
    <w:rsid w:val="00011CC3"/>
    <w:rsid w:val="000120ED"/>
    <w:rsid w:val="00012CDC"/>
    <w:rsid w:val="00012DDD"/>
    <w:rsid w:val="000134D5"/>
    <w:rsid w:val="0001389F"/>
    <w:rsid w:val="000139C8"/>
    <w:rsid w:val="000139E0"/>
    <w:rsid w:val="00013AFD"/>
    <w:rsid w:val="00013C53"/>
    <w:rsid w:val="00013E03"/>
    <w:rsid w:val="00014897"/>
    <w:rsid w:val="000149EF"/>
    <w:rsid w:val="000154C2"/>
    <w:rsid w:val="00015616"/>
    <w:rsid w:val="0001571D"/>
    <w:rsid w:val="00015D04"/>
    <w:rsid w:val="000161E6"/>
    <w:rsid w:val="00016565"/>
    <w:rsid w:val="0001674F"/>
    <w:rsid w:val="000168D8"/>
    <w:rsid w:val="00016CCE"/>
    <w:rsid w:val="00016E25"/>
    <w:rsid w:val="00016F9A"/>
    <w:rsid w:val="00017987"/>
    <w:rsid w:val="00017C5C"/>
    <w:rsid w:val="00017FFA"/>
    <w:rsid w:val="000201A9"/>
    <w:rsid w:val="00020282"/>
    <w:rsid w:val="000204F7"/>
    <w:rsid w:val="00020654"/>
    <w:rsid w:val="000206E4"/>
    <w:rsid w:val="0002096D"/>
    <w:rsid w:val="00020A3D"/>
    <w:rsid w:val="00020C2E"/>
    <w:rsid w:val="00020DEA"/>
    <w:rsid w:val="0002119F"/>
    <w:rsid w:val="00021470"/>
    <w:rsid w:val="0002171C"/>
    <w:rsid w:val="0002186B"/>
    <w:rsid w:val="00021AB2"/>
    <w:rsid w:val="00021C76"/>
    <w:rsid w:val="00021DAE"/>
    <w:rsid w:val="00022366"/>
    <w:rsid w:val="000226EF"/>
    <w:rsid w:val="00022A04"/>
    <w:rsid w:val="00022F6B"/>
    <w:rsid w:val="0002300B"/>
    <w:rsid w:val="00023496"/>
    <w:rsid w:val="00023CCC"/>
    <w:rsid w:val="00024D1C"/>
    <w:rsid w:val="000250DF"/>
    <w:rsid w:val="00025118"/>
    <w:rsid w:val="000253B5"/>
    <w:rsid w:val="000255CC"/>
    <w:rsid w:val="00025B91"/>
    <w:rsid w:val="00025DA0"/>
    <w:rsid w:val="00026487"/>
    <w:rsid w:val="00026761"/>
    <w:rsid w:val="000267F4"/>
    <w:rsid w:val="00026A9C"/>
    <w:rsid w:val="00026BD0"/>
    <w:rsid w:val="00026E89"/>
    <w:rsid w:val="0002734F"/>
    <w:rsid w:val="00027726"/>
    <w:rsid w:val="00027D36"/>
    <w:rsid w:val="00027F50"/>
    <w:rsid w:val="00030259"/>
    <w:rsid w:val="000304F3"/>
    <w:rsid w:val="00030948"/>
    <w:rsid w:val="00031747"/>
    <w:rsid w:val="00031D23"/>
    <w:rsid w:val="00031DA8"/>
    <w:rsid w:val="00031F80"/>
    <w:rsid w:val="000320DB"/>
    <w:rsid w:val="000321FD"/>
    <w:rsid w:val="00032419"/>
    <w:rsid w:val="0003258D"/>
    <w:rsid w:val="0003298D"/>
    <w:rsid w:val="00032C39"/>
    <w:rsid w:val="00033233"/>
    <w:rsid w:val="0003385A"/>
    <w:rsid w:val="00033A28"/>
    <w:rsid w:val="00033BE8"/>
    <w:rsid w:val="00033C62"/>
    <w:rsid w:val="00034267"/>
    <w:rsid w:val="0003436C"/>
    <w:rsid w:val="00034581"/>
    <w:rsid w:val="00034AEA"/>
    <w:rsid w:val="00034D30"/>
    <w:rsid w:val="00034E5F"/>
    <w:rsid w:val="000353B8"/>
    <w:rsid w:val="000357BE"/>
    <w:rsid w:val="00035820"/>
    <w:rsid w:val="000359B7"/>
    <w:rsid w:val="00035B81"/>
    <w:rsid w:val="00035C6F"/>
    <w:rsid w:val="00035F72"/>
    <w:rsid w:val="00036348"/>
    <w:rsid w:val="00036425"/>
    <w:rsid w:val="00036594"/>
    <w:rsid w:val="000365F4"/>
    <w:rsid w:val="00036858"/>
    <w:rsid w:val="00036AD9"/>
    <w:rsid w:val="00037242"/>
    <w:rsid w:val="0003732F"/>
    <w:rsid w:val="000373A3"/>
    <w:rsid w:val="000378B3"/>
    <w:rsid w:val="00037991"/>
    <w:rsid w:val="00037E9B"/>
    <w:rsid w:val="000403EE"/>
    <w:rsid w:val="00040678"/>
    <w:rsid w:val="0004082A"/>
    <w:rsid w:val="00041892"/>
    <w:rsid w:val="000421B1"/>
    <w:rsid w:val="000425C4"/>
    <w:rsid w:val="00042A25"/>
    <w:rsid w:val="00042DAC"/>
    <w:rsid w:val="00042F69"/>
    <w:rsid w:val="00043206"/>
    <w:rsid w:val="000433E9"/>
    <w:rsid w:val="0004367A"/>
    <w:rsid w:val="00043717"/>
    <w:rsid w:val="00043BC9"/>
    <w:rsid w:val="00043CB4"/>
    <w:rsid w:val="00044162"/>
    <w:rsid w:val="000441DC"/>
    <w:rsid w:val="00044210"/>
    <w:rsid w:val="0004422A"/>
    <w:rsid w:val="000443DB"/>
    <w:rsid w:val="00044409"/>
    <w:rsid w:val="000447E7"/>
    <w:rsid w:val="00044C3F"/>
    <w:rsid w:val="00044E5F"/>
    <w:rsid w:val="00044E6F"/>
    <w:rsid w:val="00044FD6"/>
    <w:rsid w:val="000457ED"/>
    <w:rsid w:val="00045A4C"/>
    <w:rsid w:val="00045E9F"/>
    <w:rsid w:val="00045FA3"/>
    <w:rsid w:val="000464D6"/>
    <w:rsid w:val="00047190"/>
    <w:rsid w:val="000473C1"/>
    <w:rsid w:val="00047877"/>
    <w:rsid w:val="000479BB"/>
    <w:rsid w:val="000479E2"/>
    <w:rsid w:val="000500EE"/>
    <w:rsid w:val="0005043F"/>
    <w:rsid w:val="000510D5"/>
    <w:rsid w:val="0005122B"/>
    <w:rsid w:val="0005175C"/>
    <w:rsid w:val="000517CE"/>
    <w:rsid w:val="00051A68"/>
    <w:rsid w:val="00051E67"/>
    <w:rsid w:val="0005214D"/>
    <w:rsid w:val="000521BC"/>
    <w:rsid w:val="00052295"/>
    <w:rsid w:val="00052409"/>
    <w:rsid w:val="00052555"/>
    <w:rsid w:val="00052690"/>
    <w:rsid w:val="0005329D"/>
    <w:rsid w:val="000535F9"/>
    <w:rsid w:val="000539F2"/>
    <w:rsid w:val="00053A6F"/>
    <w:rsid w:val="00053CF2"/>
    <w:rsid w:val="00053E02"/>
    <w:rsid w:val="0005424F"/>
    <w:rsid w:val="00054CFF"/>
    <w:rsid w:val="00055795"/>
    <w:rsid w:val="000559B8"/>
    <w:rsid w:val="00055CE2"/>
    <w:rsid w:val="000561BD"/>
    <w:rsid w:val="00056276"/>
    <w:rsid w:val="0005641F"/>
    <w:rsid w:val="00056690"/>
    <w:rsid w:val="000568B2"/>
    <w:rsid w:val="00056BD6"/>
    <w:rsid w:val="00056E2B"/>
    <w:rsid w:val="000579D5"/>
    <w:rsid w:val="00057D96"/>
    <w:rsid w:val="000606D6"/>
    <w:rsid w:val="00061342"/>
    <w:rsid w:val="000615CB"/>
    <w:rsid w:val="00061697"/>
    <w:rsid w:val="000617D3"/>
    <w:rsid w:val="00061919"/>
    <w:rsid w:val="00061B9C"/>
    <w:rsid w:val="000620A2"/>
    <w:rsid w:val="000620E7"/>
    <w:rsid w:val="0006269C"/>
    <w:rsid w:val="00062967"/>
    <w:rsid w:val="000629C0"/>
    <w:rsid w:val="00062B0E"/>
    <w:rsid w:val="00062BBA"/>
    <w:rsid w:val="00062EB9"/>
    <w:rsid w:val="00063580"/>
    <w:rsid w:val="00063621"/>
    <w:rsid w:val="0006377B"/>
    <w:rsid w:val="00063C67"/>
    <w:rsid w:val="00063EC5"/>
    <w:rsid w:val="00064404"/>
    <w:rsid w:val="00064518"/>
    <w:rsid w:val="000645BF"/>
    <w:rsid w:val="00064792"/>
    <w:rsid w:val="00064997"/>
    <w:rsid w:val="00064E88"/>
    <w:rsid w:val="00064E8B"/>
    <w:rsid w:val="00065607"/>
    <w:rsid w:val="0006594E"/>
    <w:rsid w:val="00065C27"/>
    <w:rsid w:val="00065FE9"/>
    <w:rsid w:val="0006602F"/>
    <w:rsid w:val="0006604E"/>
    <w:rsid w:val="00066254"/>
    <w:rsid w:val="0006630F"/>
    <w:rsid w:val="000663F2"/>
    <w:rsid w:val="00066927"/>
    <w:rsid w:val="00066A0A"/>
    <w:rsid w:val="000675B5"/>
    <w:rsid w:val="00067A60"/>
    <w:rsid w:val="000703CC"/>
    <w:rsid w:val="00070648"/>
    <w:rsid w:val="0007072F"/>
    <w:rsid w:val="000707BA"/>
    <w:rsid w:val="00070B84"/>
    <w:rsid w:val="000711B1"/>
    <w:rsid w:val="000712BA"/>
    <w:rsid w:val="000715E8"/>
    <w:rsid w:val="00071F45"/>
    <w:rsid w:val="0007201C"/>
    <w:rsid w:val="000721AD"/>
    <w:rsid w:val="0007258B"/>
    <w:rsid w:val="00072AF3"/>
    <w:rsid w:val="00072D22"/>
    <w:rsid w:val="000731E0"/>
    <w:rsid w:val="0007321D"/>
    <w:rsid w:val="00073C31"/>
    <w:rsid w:val="00073EB9"/>
    <w:rsid w:val="00074060"/>
    <w:rsid w:val="000740EE"/>
    <w:rsid w:val="00074214"/>
    <w:rsid w:val="0007443C"/>
    <w:rsid w:val="00074441"/>
    <w:rsid w:val="000746D3"/>
    <w:rsid w:val="000748B4"/>
    <w:rsid w:val="00074975"/>
    <w:rsid w:val="00074AAC"/>
    <w:rsid w:val="00075405"/>
    <w:rsid w:val="000759B4"/>
    <w:rsid w:val="00075AC6"/>
    <w:rsid w:val="00075B2C"/>
    <w:rsid w:val="00075FE4"/>
    <w:rsid w:val="000763A1"/>
    <w:rsid w:val="000763B8"/>
    <w:rsid w:val="00076769"/>
    <w:rsid w:val="00077189"/>
    <w:rsid w:val="0007738C"/>
    <w:rsid w:val="000778F2"/>
    <w:rsid w:val="00080266"/>
    <w:rsid w:val="00080A97"/>
    <w:rsid w:val="00080ED7"/>
    <w:rsid w:val="00080FD4"/>
    <w:rsid w:val="00081197"/>
    <w:rsid w:val="00081320"/>
    <w:rsid w:val="000815D9"/>
    <w:rsid w:val="000817BF"/>
    <w:rsid w:val="0008283C"/>
    <w:rsid w:val="00082930"/>
    <w:rsid w:val="000829F1"/>
    <w:rsid w:val="00082B33"/>
    <w:rsid w:val="00082BF1"/>
    <w:rsid w:val="00082F26"/>
    <w:rsid w:val="00083204"/>
    <w:rsid w:val="000834F3"/>
    <w:rsid w:val="00083818"/>
    <w:rsid w:val="00083908"/>
    <w:rsid w:val="00083AFC"/>
    <w:rsid w:val="000844B3"/>
    <w:rsid w:val="00084EFE"/>
    <w:rsid w:val="00085194"/>
    <w:rsid w:val="00085201"/>
    <w:rsid w:val="00085993"/>
    <w:rsid w:val="00085A42"/>
    <w:rsid w:val="00085BAF"/>
    <w:rsid w:val="00085EE0"/>
    <w:rsid w:val="0008648B"/>
    <w:rsid w:val="00086806"/>
    <w:rsid w:val="00086894"/>
    <w:rsid w:val="000870A4"/>
    <w:rsid w:val="00087492"/>
    <w:rsid w:val="00087C2E"/>
    <w:rsid w:val="00087C30"/>
    <w:rsid w:val="00087D46"/>
    <w:rsid w:val="000900BE"/>
    <w:rsid w:val="00090E19"/>
    <w:rsid w:val="00090E42"/>
    <w:rsid w:val="0009120F"/>
    <w:rsid w:val="0009192D"/>
    <w:rsid w:val="000919DB"/>
    <w:rsid w:val="00091A83"/>
    <w:rsid w:val="00091AD3"/>
    <w:rsid w:val="00091ADC"/>
    <w:rsid w:val="00091F05"/>
    <w:rsid w:val="000921D6"/>
    <w:rsid w:val="00093311"/>
    <w:rsid w:val="00093502"/>
    <w:rsid w:val="0009378E"/>
    <w:rsid w:val="0009386A"/>
    <w:rsid w:val="0009396D"/>
    <w:rsid w:val="0009404D"/>
    <w:rsid w:val="0009423E"/>
    <w:rsid w:val="0009450E"/>
    <w:rsid w:val="00094C09"/>
    <w:rsid w:val="00094ED1"/>
    <w:rsid w:val="000950EB"/>
    <w:rsid w:val="00095250"/>
    <w:rsid w:val="000952D2"/>
    <w:rsid w:val="00095349"/>
    <w:rsid w:val="00095562"/>
    <w:rsid w:val="0009583E"/>
    <w:rsid w:val="00095AC0"/>
    <w:rsid w:val="00095C2B"/>
    <w:rsid w:val="00095D3B"/>
    <w:rsid w:val="0009609B"/>
    <w:rsid w:val="000960BE"/>
    <w:rsid w:val="00096254"/>
    <w:rsid w:val="0009629E"/>
    <w:rsid w:val="0009642E"/>
    <w:rsid w:val="0009647B"/>
    <w:rsid w:val="0009657E"/>
    <w:rsid w:val="00096B3D"/>
    <w:rsid w:val="00096EEB"/>
    <w:rsid w:val="0009733E"/>
    <w:rsid w:val="000979B8"/>
    <w:rsid w:val="00097B00"/>
    <w:rsid w:val="00097F2B"/>
    <w:rsid w:val="000A01B6"/>
    <w:rsid w:val="000A05EB"/>
    <w:rsid w:val="000A15B9"/>
    <w:rsid w:val="000A1660"/>
    <w:rsid w:val="000A1985"/>
    <w:rsid w:val="000A1C5C"/>
    <w:rsid w:val="000A22E4"/>
    <w:rsid w:val="000A2348"/>
    <w:rsid w:val="000A322E"/>
    <w:rsid w:val="000A3752"/>
    <w:rsid w:val="000A482E"/>
    <w:rsid w:val="000A4E13"/>
    <w:rsid w:val="000A5690"/>
    <w:rsid w:val="000A5AFE"/>
    <w:rsid w:val="000A5C8F"/>
    <w:rsid w:val="000A5E73"/>
    <w:rsid w:val="000A5E7E"/>
    <w:rsid w:val="000A61F5"/>
    <w:rsid w:val="000A6BCA"/>
    <w:rsid w:val="000A6E55"/>
    <w:rsid w:val="000A6FEB"/>
    <w:rsid w:val="000A7020"/>
    <w:rsid w:val="000A715A"/>
    <w:rsid w:val="000A765E"/>
    <w:rsid w:val="000A7726"/>
    <w:rsid w:val="000A7CEA"/>
    <w:rsid w:val="000B005F"/>
    <w:rsid w:val="000B0082"/>
    <w:rsid w:val="000B0776"/>
    <w:rsid w:val="000B0948"/>
    <w:rsid w:val="000B0D60"/>
    <w:rsid w:val="000B0D67"/>
    <w:rsid w:val="000B1324"/>
    <w:rsid w:val="000B13D3"/>
    <w:rsid w:val="000B147E"/>
    <w:rsid w:val="000B14E2"/>
    <w:rsid w:val="000B1865"/>
    <w:rsid w:val="000B1BF0"/>
    <w:rsid w:val="000B27B0"/>
    <w:rsid w:val="000B2E07"/>
    <w:rsid w:val="000B3052"/>
    <w:rsid w:val="000B32D6"/>
    <w:rsid w:val="000B3350"/>
    <w:rsid w:val="000B3403"/>
    <w:rsid w:val="000B382F"/>
    <w:rsid w:val="000B38D3"/>
    <w:rsid w:val="000B414E"/>
    <w:rsid w:val="000B420E"/>
    <w:rsid w:val="000B4823"/>
    <w:rsid w:val="000B4D02"/>
    <w:rsid w:val="000B517B"/>
    <w:rsid w:val="000B599B"/>
    <w:rsid w:val="000B5A2A"/>
    <w:rsid w:val="000B5AF3"/>
    <w:rsid w:val="000B5DD0"/>
    <w:rsid w:val="000B6149"/>
    <w:rsid w:val="000B6464"/>
    <w:rsid w:val="000B6616"/>
    <w:rsid w:val="000B67FF"/>
    <w:rsid w:val="000B6D4B"/>
    <w:rsid w:val="000B7280"/>
    <w:rsid w:val="000B74A4"/>
    <w:rsid w:val="000B75A6"/>
    <w:rsid w:val="000B7B41"/>
    <w:rsid w:val="000B7B6B"/>
    <w:rsid w:val="000C042D"/>
    <w:rsid w:val="000C04AB"/>
    <w:rsid w:val="000C0AFC"/>
    <w:rsid w:val="000C0F87"/>
    <w:rsid w:val="000C10CE"/>
    <w:rsid w:val="000C16C7"/>
    <w:rsid w:val="000C17B3"/>
    <w:rsid w:val="000C18B9"/>
    <w:rsid w:val="000C1B29"/>
    <w:rsid w:val="000C1C14"/>
    <w:rsid w:val="000C1C47"/>
    <w:rsid w:val="000C1E87"/>
    <w:rsid w:val="000C1EF0"/>
    <w:rsid w:val="000C1FFE"/>
    <w:rsid w:val="000C2664"/>
    <w:rsid w:val="000C29CC"/>
    <w:rsid w:val="000C3182"/>
    <w:rsid w:val="000C356B"/>
    <w:rsid w:val="000C3627"/>
    <w:rsid w:val="000C3A50"/>
    <w:rsid w:val="000C3D7C"/>
    <w:rsid w:val="000C3EBF"/>
    <w:rsid w:val="000C3EF9"/>
    <w:rsid w:val="000C3F51"/>
    <w:rsid w:val="000C4183"/>
    <w:rsid w:val="000C4226"/>
    <w:rsid w:val="000C438D"/>
    <w:rsid w:val="000C46A7"/>
    <w:rsid w:val="000C4B4A"/>
    <w:rsid w:val="000C541F"/>
    <w:rsid w:val="000C5698"/>
    <w:rsid w:val="000C577C"/>
    <w:rsid w:val="000C59AE"/>
    <w:rsid w:val="000C5A8E"/>
    <w:rsid w:val="000C5EBC"/>
    <w:rsid w:val="000C6007"/>
    <w:rsid w:val="000C6091"/>
    <w:rsid w:val="000C63C1"/>
    <w:rsid w:val="000C6487"/>
    <w:rsid w:val="000C66D5"/>
    <w:rsid w:val="000C68E8"/>
    <w:rsid w:val="000C6905"/>
    <w:rsid w:val="000C6B9C"/>
    <w:rsid w:val="000C6C69"/>
    <w:rsid w:val="000C726B"/>
    <w:rsid w:val="000C758F"/>
    <w:rsid w:val="000C774A"/>
    <w:rsid w:val="000C7A4D"/>
    <w:rsid w:val="000C7DC0"/>
    <w:rsid w:val="000C7E03"/>
    <w:rsid w:val="000D04B5"/>
    <w:rsid w:val="000D07D7"/>
    <w:rsid w:val="000D0A2A"/>
    <w:rsid w:val="000D14CB"/>
    <w:rsid w:val="000D197F"/>
    <w:rsid w:val="000D1F8E"/>
    <w:rsid w:val="000D2C99"/>
    <w:rsid w:val="000D2E87"/>
    <w:rsid w:val="000D3131"/>
    <w:rsid w:val="000D317E"/>
    <w:rsid w:val="000D3499"/>
    <w:rsid w:val="000D3ADD"/>
    <w:rsid w:val="000D3AF0"/>
    <w:rsid w:val="000D416D"/>
    <w:rsid w:val="000D4271"/>
    <w:rsid w:val="000D4CD5"/>
    <w:rsid w:val="000D4F02"/>
    <w:rsid w:val="000D565B"/>
    <w:rsid w:val="000D5A69"/>
    <w:rsid w:val="000D5B9D"/>
    <w:rsid w:val="000D6183"/>
    <w:rsid w:val="000D6249"/>
    <w:rsid w:val="000D628D"/>
    <w:rsid w:val="000D6F13"/>
    <w:rsid w:val="000D713C"/>
    <w:rsid w:val="000D7241"/>
    <w:rsid w:val="000D7473"/>
    <w:rsid w:val="000D7491"/>
    <w:rsid w:val="000D761D"/>
    <w:rsid w:val="000D7811"/>
    <w:rsid w:val="000D7A57"/>
    <w:rsid w:val="000E01DD"/>
    <w:rsid w:val="000E07EE"/>
    <w:rsid w:val="000E0A22"/>
    <w:rsid w:val="000E0E00"/>
    <w:rsid w:val="000E0E6B"/>
    <w:rsid w:val="000E1051"/>
    <w:rsid w:val="000E125D"/>
    <w:rsid w:val="000E174C"/>
    <w:rsid w:val="000E17A5"/>
    <w:rsid w:val="000E1B2F"/>
    <w:rsid w:val="000E1C92"/>
    <w:rsid w:val="000E1EA9"/>
    <w:rsid w:val="000E20CC"/>
    <w:rsid w:val="000E221C"/>
    <w:rsid w:val="000E2C59"/>
    <w:rsid w:val="000E2D2A"/>
    <w:rsid w:val="000E2D3C"/>
    <w:rsid w:val="000E3086"/>
    <w:rsid w:val="000E3A00"/>
    <w:rsid w:val="000E3C9D"/>
    <w:rsid w:val="000E4714"/>
    <w:rsid w:val="000E477C"/>
    <w:rsid w:val="000E4A2E"/>
    <w:rsid w:val="000E4A61"/>
    <w:rsid w:val="000E4AA0"/>
    <w:rsid w:val="000E4C0B"/>
    <w:rsid w:val="000E5032"/>
    <w:rsid w:val="000E534D"/>
    <w:rsid w:val="000E54B3"/>
    <w:rsid w:val="000E551D"/>
    <w:rsid w:val="000E5A5B"/>
    <w:rsid w:val="000E5C22"/>
    <w:rsid w:val="000E6395"/>
    <w:rsid w:val="000E6743"/>
    <w:rsid w:val="000E6BBF"/>
    <w:rsid w:val="000E705C"/>
    <w:rsid w:val="000E7078"/>
    <w:rsid w:val="000E75B1"/>
    <w:rsid w:val="000E7C83"/>
    <w:rsid w:val="000E7D9E"/>
    <w:rsid w:val="000F00C1"/>
    <w:rsid w:val="000F07E0"/>
    <w:rsid w:val="000F0927"/>
    <w:rsid w:val="000F09EA"/>
    <w:rsid w:val="000F0AEC"/>
    <w:rsid w:val="000F0DF2"/>
    <w:rsid w:val="000F1079"/>
    <w:rsid w:val="000F1819"/>
    <w:rsid w:val="000F1BF2"/>
    <w:rsid w:val="000F1C7B"/>
    <w:rsid w:val="000F2448"/>
    <w:rsid w:val="000F25B0"/>
    <w:rsid w:val="000F29AC"/>
    <w:rsid w:val="000F2B3A"/>
    <w:rsid w:val="000F3291"/>
    <w:rsid w:val="000F33D3"/>
    <w:rsid w:val="000F341F"/>
    <w:rsid w:val="000F3A99"/>
    <w:rsid w:val="000F3E81"/>
    <w:rsid w:val="000F4630"/>
    <w:rsid w:val="000F4D92"/>
    <w:rsid w:val="000F4FD7"/>
    <w:rsid w:val="000F587D"/>
    <w:rsid w:val="000F5A14"/>
    <w:rsid w:val="000F6137"/>
    <w:rsid w:val="000F6371"/>
    <w:rsid w:val="000F6477"/>
    <w:rsid w:val="000F655C"/>
    <w:rsid w:val="000F65A6"/>
    <w:rsid w:val="000F660D"/>
    <w:rsid w:val="000F725F"/>
    <w:rsid w:val="000F72C5"/>
    <w:rsid w:val="000F7404"/>
    <w:rsid w:val="000F762F"/>
    <w:rsid w:val="000F7D5B"/>
    <w:rsid w:val="001002A5"/>
    <w:rsid w:val="0010044F"/>
    <w:rsid w:val="00100AE0"/>
    <w:rsid w:val="0010113E"/>
    <w:rsid w:val="001011C1"/>
    <w:rsid w:val="001019F1"/>
    <w:rsid w:val="00101C2F"/>
    <w:rsid w:val="00101D12"/>
    <w:rsid w:val="001023DA"/>
    <w:rsid w:val="001025EC"/>
    <w:rsid w:val="00102805"/>
    <w:rsid w:val="001031B9"/>
    <w:rsid w:val="001033B5"/>
    <w:rsid w:val="00103853"/>
    <w:rsid w:val="00103B1E"/>
    <w:rsid w:val="00103D34"/>
    <w:rsid w:val="001043E8"/>
    <w:rsid w:val="001046DF"/>
    <w:rsid w:val="001051FB"/>
    <w:rsid w:val="001056A6"/>
    <w:rsid w:val="00105B78"/>
    <w:rsid w:val="00105E32"/>
    <w:rsid w:val="00105E7C"/>
    <w:rsid w:val="00106404"/>
    <w:rsid w:val="00106635"/>
    <w:rsid w:val="00106B69"/>
    <w:rsid w:val="00106BC0"/>
    <w:rsid w:val="0010701F"/>
    <w:rsid w:val="001070B4"/>
    <w:rsid w:val="00107A1A"/>
    <w:rsid w:val="00107AAB"/>
    <w:rsid w:val="00107DBE"/>
    <w:rsid w:val="001100AC"/>
    <w:rsid w:val="0011087F"/>
    <w:rsid w:val="00110AC0"/>
    <w:rsid w:val="00110BD9"/>
    <w:rsid w:val="00110F89"/>
    <w:rsid w:val="00111361"/>
    <w:rsid w:val="001115B3"/>
    <w:rsid w:val="0011171E"/>
    <w:rsid w:val="00111A1E"/>
    <w:rsid w:val="00111A2D"/>
    <w:rsid w:val="00111CA9"/>
    <w:rsid w:val="00112140"/>
    <w:rsid w:val="00112548"/>
    <w:rsid w:val="00112720"/>
    <w:rsid w:val="00112F5B"/>
    <w:rsid w:val="00113157"/>
    <w:rsid w:val="00113296"/>
    <w:rsid w:val="0011343D"/>
    <w:rsid w:val="00113A0E"/>
    <w:rsid w:val="00113A99"/>
    <w:rsid w:val="00113AF4"/>
    <w:rsid w:val="001142F4"/>
    <w:rsid w:val="00114A2A"/>
    <w:rsid w:val="00114B86"/>
    <w:rsid w:val="00115442"/>
    <w:rsid w:val="001154A1"/>
    <w:rsid w:val="00115B7D"/>
    <w:rsid w:val="00115EC5"/>
    <w:rsid w:val="00115FBC"/>
    <w:rsid w:val="00116425"/>
    <w:rsid w:val="00116B59"/>
    <w:rsid w:val="00116CBB"/>
    <w:rsid w:val="0011747F"/>
    <w:rsid w:val="001174AE"/>
    <w:rsid w:val="00117824"/>
    <w:rsid w:val="00117D20"/>
    <w:rsid w:val="00117E74"/>
    <w:rsid w:val="00120012"/>
    <w:rsid w:val="00120547"/>
    <w:rsid w:val="00120802"/>
    <w:rsid w:val="001211C2"/>
    <w:rsid w:val="0012191A"/>
    <w:rsid w:val="0012250F"/>
    <w:rsid w:val="001228E6"/>
    <w:rsid w:val="00122B87"/>
    <w:rsid w:val="001234BD"/>
    <w:rsid w:val="001235F0"/>
    <w:rsid w:val="001236EF"/>
    <w:rsid w:val="00123743"/>
    <w:rsid w:val="001239B2"/>
    <w:rsid w:val="00123B65"/>
    <w:rsid w:val="00123CFD"/>
    <w:rsid w:val="0012409E"/>
    <w:rsid w:val="001240C4"/>
    <w:rsid w:val="00124323"/>
    <w:rsid w:val="00124ACB"/>
    <w:rsid w:val="00124C84"/>
    <w:rsid w:val="00124D00"/>
    <w:rsid w:val="001254AD"/>
    <w:rsid w:val="001255C6"/>
    <w:rsid w:val="001262E5"/>
    <w:rsid w:val="0012638B"/>
    <w:rsid w:val="0012725B"/>
    <w:rsid w:val="0012777D"/>
    <w:rsid w:val="00130193"/>
    <w:rsid w:val="001301CD"/>
    <w:rsid w:val="0013024C"/>
    <w:rsid w:val="001303EA"/>
    <w:rsid w:val="0013041D"/>
    <w:rsid w:val="00130436"/>
    <w:rsid w:val="001306F6"/>
    <w:rsid w:val="00130EFA"/>
    <w:rsid w:val="00131BB7"/>
    <w:rsid w:val="00131C08"/>
    <w:rsid w:val="00131D21"/>
    <w:rsid w:val="00132223"/>
    <w:rsid w:val="0013248D"/>
    <w:rsid w:val="00132F97"/>
    <w:rsid w:val="00133180"/>
    <w:rsid w:val="001333DB"/>
    <w:rsid w:val="001333E2"/>
    <w:rsid w:val="00133450"/>
    <w:rsid w:val="001335B1"/>
    <w:rsid w:val="00133665"/>
    <w:rsid w:val="00133AA8"/>
    <w:rsid w:val="00133F22"/>
    <w:rsid w:val="00133FCA"/>
    <w:rsid w:val="0013421C"/>
    <w:rsid w:val="001342A2"/>
    <w:rsid w:val="001344C7"/>
    <w:rsid w:val="001346D2"/>
    <w:rsid w:val="001347FB"/>
    <w:rsid w:val="00134A33"/>
    <w:rsid w:val="00134BD1"/>
    <w:rsid w:val="00135943"/>
    <w:rsid w:val="00136194"/>
    <w:rsid w:val="00136269"/>
    <w:rsid w:val="00136517"/>
    <w:rsid w:val="00136F3A"/>
    <w:rsid w:val="00137E73"/>
    <w:rsid w:val="0014023B"/>
    <w:rsid w:val="0014115B"/>
    <w:rsid w:val="00141AE7"/>
    <w:rsid w:val="00141C73"/>
    <w:rsid w:val="00141E3C"/>
    <w:rsid w:val="00141F80"/>
    <w:rsid w:val="00142616"/>
    <w:rsid w:val="00142A03"/>
    <w:rsid w:val="00142D49"/>
    <w:rsid w:val="00143102"/>
    <w:rsid w:val="0014329A"/>
    <w:rsid w:val="00143861"/>
    <w:rsid w:val="001438E6"/>
    <w:rsid w:val="001440A4"/>
    <w:rsid w:val="00144141"/>
    <w:rsid w:val="001443CF"/>
    <w:rsid w:val="0014479B"/>
    <w:rsid w:val="00144815"/>
    <w:rsid w:val="00144F89"/>
    <w:rsid w:val="00145004"/>
    <w:rsid w:val="00145537"/>
    <w:rsid w:val="001456C7"/>
    <w:rsid w:val="00145D1C"/>
    <w:rsid w:val="00145FB5"/>
    <w:rsid w:val="0014636E"/>
    <w:rsid w:val="00146444"/>
    <w:rsid w:val="0014691E"/>
    <w:rsid w:val="00147314"/>
    <w:rsid w:val="00147B3C"/>
    <w:rsid w:val="00150049"/>
    <w:rsid w:val="00150055"/>
    <w:rsid w:val="001502A2"/>
    <w:rsid w:val="00150AE6"/>
    <w:rsid w:val="00150C40"/>
    <w:rsid w:val="00150D03"/>
    <w:rsid w:val="00150D88"/>
    <w:rsid w:val="00151430"/>
    <w:rsid w:val="00151ACC"/>
    <w:rsid w:val="00151F67"/>
    <w:rsid w:val="00152214"/>
    <w:rsid w:val="0015285A"/>
    <w:rsid w:val="0015299C"/>
    <w:rsid w:val="00153028"/>
    <w:rsid w:val="0015313E"/>
    <w:rsid w:val="001531B4"/>
    <w:rsid w:val="001533BA"/>
    <w:rsid w:val="0015346D"/>
    <w:rsid w:val="00153780"/>
    <w:rsid w:val="00153781"/>
    <w:rsid w:val="00153787"/>
    <w:rsid w:val="00153BBF"/>
    <w:rsid w:val="00153C30"/>
    <w:rsid w:val="00154307"/>
    <w:rsid w:val="001543CC"/>
    <w:rsid w:val="001543DB"/>
    <w:rsid w:val="0015440E"/>
    <w:rsid w:val="00154B99"/>
    <w:rsid w:val="00154DA5"/>
    <w:rsid w:val="0015521B"/>
    <w:rsid w:val="001552FB"/>
    <w:rsid w:val="001553AA"/>
    <w:rsid w:val="00155B83"/>
    <w:rsid w:val="00155E4D"/>
    <w:rsid w:val="00156262"/>
    <w:rsid w:val="001563CA"/>
    <w:rsid w:val="0015661E"/>
    <w:rsid w:val="00156979"/>
    <w:rsid w:val="00157320"/>
    <w:rsid w:val="00157760"/>
    <w:rsid w:val="00157C06"/>
    <w:rsid w:val="00157CF4"/>
    <w:rsid w:val="00157D68"/>
    <w:rsid w:val="00157F9D"/>
    <w:rsid w:val="001600D7"/>
    <w:rsid w:val="001606C5"/>
    <w:rsid w:val="001607F7"/>
    <w:rsid w:val="001608AE"/>
    <w:rsid w:val="00160D3E"/>
    <w:rsid w:val="00160D4D"/>
    <w:rsid w:val="00161375"/>
    <w:rsid w:val="001613B7"/>
    <w:rsid w:val="00161676"/>
    <w:rsid w:val="00161AE3"/>
    <w:rsid w:val="00161C4D"/>
    <w:rsid w:val="00161CB8"/>
    <w:rsid w:val="00161E67"/>
    <w:rsid w:val="001621DA"/>
    <w:rsid w:val="00162327"/>
    <w:rsid w:val="0016259C"/>
    <w:rsid w:val="0016272C"/>
    <w:rsid w:val="001628A8"/>
    <w:rsid w:val="00162D4C"/>
    <w:rsid w:val="00163584"/>
    <w:rsid w:val="001635A4"/>
    <w:rsid w:val="001636A5"/>
    <w:rsid w:val="001638BE"/>
    <w:rsid w:val="00163AF5"/>
    <w:rsid w:val="00163FCD"/>
    <w:rsid w:val="00164249"/>
    <w:rsid w:val="00164902"/>
    <w:rsid w:val="00164B7B"/>
    <w:rsid w:val="0016519F"/>
    <w:rsid w:val="00165240"/>
    <w:rsid w:val="001652BF"/>
    <w:rsid w:val="00165735"/>
    <w:rsid w:val="001658B6"/>
    <w:rsid w:val="001659DC"/>
    <w:rsid w:val="00166390"/>
    <w:rsid w:val="001666A4"/>
    <w:rsid w:val="0016683D"/>
    <w:rsid w:val="00166B91"/>
    <w:rsid w:val="00166CED"/>
    <w:rsid w:val="00167859"/>
    <w:rsid w:val="00167F1C"/>
    <w:rsid w:val="00170706"/>
    <w:rsid w:val="00170B25"/>
    <w:rsid w:val="00170BD1"/>
    <w:rsid w:val="00171063"/>
    <w:rsid w:val="0017129D"/>
    <w:rsid w:val="001718C5"/>
    <w:rsid w:val="00171A3B"/>
    <w:rsid w:val="00171A80"/>
    <w:rsid w:val="00171BA0"/>
    <w:rsid w:val="00171CE9"/>
    <w:rsid w:val="00171F84"/>
    <w:rsid w:val="0017246C"/>
    <w:rsid w:val="00173113"/>
    <w:rsid w:val="00173282"/>
    <w:rsid w:val="00173359"/>
    <w:rsid w:val="001734B9"/>
    <w:rsid w:val="00173F93"/>
    <w:rsid w:val="00173F97"/>
    <w:rsid w:val="00173FCF"/>
    <w:rsid w:val="00174405"/>
    <w:rsid w:val="00174754"/>
    <w:rsid w:val="00174F58"/>
    <w:rsid w:val="0017539B"/>
    <w:rsid w:val="00175451"/>
    <w:rsid w:val="001755BC"/>
    <w:rsid w:val="0017570C"/>
    <w:rsid w:val="00175737"/>
    <w:rsid w:val="00175739"/>
    <w:rsid w:val="00175FAB"/>
    <w:rsid w:val="001760DA"/>
    <w:rsid w:val="001769B1"/>
    <w:rsid w:val="00176B05"/>
    <w:rsid w:val="00177096"/>
    <w:rsid w:val="001771F7"/>
    <w:rsid w:val="00180926"/>
    <w:rsid w:val="00180D74"/>
    <w:rsid w:val="0018106F"/>
    <w:rsid w:val="0018107F"/>
    <w:rsid w:val="00181914"/>
    <w:rsid w:val="001819CD"/>
    <w:rsid w:val="00181CCB"/>
    <w:rsid w:val="00181D44"/>
    <w:rsid w:val="00181DE6"/>
    <w:rsid w:val="00181E99"/>
    <w:rsid w:val="001820F0"/>
    <w:rsid w:val="001821F4"/>
    <w:rsid w:val="00182749"/>
    <w:rsid w:val="0018321B"/>
    <w:rsid w:val="00183225"/>
    <w:rsid w:val="00183DF4"/>
    <w:rsid w:val="00183EF8"/>
    <w:rsid w:val="00183F2B"/>
    <w:rsid w:val="001841FA"/>
    <w:rsid w:val="00184BC3"/>
    <w:rsid w:val="0018521A"/>
    <w:rsid w:val="001852BF"/>
    <w:rsid w:val="00185480"/>
    <w:rsid w:val="001857E0"/>
    <w:rsid w:val="001858C6"/>
    <w:rsid w:val="001861C3"/>
    <w:rsid w:val="001862C6"/>
    <w:rsid w:val="0018632C"/>
    <w:rsid w:val="001863AB"/>
    <w:rsid w:val="0018656D"/>
    <w:rsid w:val="001866AB"/>
    <w:rsid w:val="00186A0B"/>
    <w:rsid w:val="00186B2C"/>
    <w:rsid w:val="00186DB1"/>
    <w:rsid w:val="0018710D"/>
    <w:rsid w:val="001872B9"/>
    <w:rsid w:val="0018738A"/>
    <w:rsid w:val="00187772"/>
    <w:rsid w:val="00187BD2"/>
    <w:rsid w:val="00187CB1"/>
    <w:rsid w:val="00187CDD"/>
    <w:rsid w:val="00190215"/>
    <w:rsid w:val="001902E5"/>
    <w:rsid w:val="001904B0"/>
    <w:rsid w:val="00190BC6"/>
    <w:rsid w:val="00190ED8"/>
    <w:rsid w:val="00190F29"/>
    <w:rsid w:val="00190FEE"/>
    <w:rsid w:val="001914DA"/>
    <w:rsid w:val="00191864"/>
    <w:rsid w:val="001919E8"/>
    <w:rsid w:val="00191B94"/>
    <w:rsid w:val="00191DC4"/>
    <w:rsid w:val="001920A7"/>
    <w:rsid w:val="001925A4"/>
    <w:rsid w:val="001926BD"/>
    <w:rsid w:val="0019303F"/>
    <w:rsid w:val="0019308B"/>
    <w:rsid w:val="001933B8"/>
    <w:rsid w:val="001934E3"/>
    <w:rsid w:val="00194200"/>
    <w:rsid w:val="001942EB"/>
    <w:rsid w:val="00194589"/>
    <w:rsid w:val="00194764"/>
    <w:rsid w:val="001948C3"/>
    <w:rsid w:val="00194924"/>
    <w:rsid w:val="0019500A"/>
    <w:rsid w:val="001956F6"/>
    <w:rsid w:val="001958CA"/>
    <w:rsid w:val="00195AB3"/>
    <w:rsid w:val="00195C44"/>
    <w:rsid w:val="00195D31"/>
    <w:rsid w:val="00195E63"/>
    <w:rsid w:val="00196835"/>
    <w:rsid w:val="001968DD"/>
    <w:rsid w:val="00197957"/>
    <w:rsid w:val="00197DF4"/>
    <w:rsid w:val="001A0283"/>
    <w:rsid w:val="001A0E8A"/>
    <w:rsid w:val="001A16A9"/>
    <w:rsid w:val="001A1A33"/>
    <w:rsid w:val="001A1AEE"/>
    <w:rsid w:val="001A1C41"/>
    <w:rsid w:val="001A2081"/>
    <w:rsid w:val="001A21CA"/>
    <w:rsid w:val="001A24FE"/>
    <w:rsid w:val="001A283A"/>
    <w:rsid w:val="001A29B2"/>
    <w:rsid w:val="001A2E4E"/>
    <w:rsid w:val="001A366F"/>
    <w:rsid w:val="001A3C1D"/>
    <w:rsid w:val="001A3D9F"/>
    <w:rsid w:val="001A3E53"/>
    <w:rsid w:val="001A3F8D"/>
    <w:rsid w:val="001A415B"/>
    <w:rsid w:val="001A423F"/>
    <w:rsid w:val="001A43DB"/>
    <w:rsid w:val="001A459E"/>
    <w:rsid w:val="001A485D"/>
    <w:rsid w:val="001A4ABE"/>
    <w:rsid w:val="001A4B74"/>
    <w:rsid w:val="001A4BAE"/>
    <w:rsid w:val="001A4BCD"/>
    <w:rsid w:val="001A50C9"/>
    <w:rsid w:val="001A538F"/>
    <w:rsid w:val="001A5641"/>
    <w:rsid w:val="001A58E7"/>
    <w:rsid w:val="001A5C0F"/>
    <w:rsid w:val="001A5C92"/>
    <w:rsid w:val="001A5EEF"/>
    <w:rsid w:val="001A6280"/>
    <w:rsid w:val="001A62A0"/>
    <w:rsid w:val="001A68C1"/>
    <w:rsid w:val="001A6B02"/>
    <w:rsid w:val="001A6D4A"/>
    <w:rsid w:val="001A6EA9"/>
    <w:rsid w:val="001A6F5F"/>
    <w:rsid w:val="001A714B"/>
    <w:rsid w:val="001A71C3"/>
    <w:rsid w:val="001A74B6"/>
    <w:rsid w:val="001A7559"/>
    <w:rsid w:val="001A759E"/>
    <w:rsid w:val="001A784A"/>
    <w:rsid w:val="001A7CC9"/>
    <w:rsid w:val="001B02BF"/>
    <w:rsid w:val="001B0531"/>
    <w:rsid w:val="001B0DD6"/>
    <w:rsid w:val="001B0E49"/>
    <w:rsid w:val="001B16EB"/>
    <w:rsid w:val="001B1A2F"/>
    <w:rsid w:val="001B1ACB"/>
    <w:rsid w:val="001B213D"/>
    <w:rsid w:val="001B2294"/>
    <w:rsid w:val="001B269C"/>
    <w:rsid w:val="001B2701"/>
    <w:rsid w:val="001B2B2C"/>
    <w:rsid w:val="001B2F30"/>
    <w:rsid w:val="001B3238"/>
    <w:rsid w:val="001B3325"/>
    <w:rsid w:val="001B38AB"/>
    <w:rsid w:val="001B3C8D"/>
    <w:rsid w:val="001B3D26"/>
    <w:rsid w:val="001B3D61"/>
    <w:rsid w:val="001B3FEC"/>
    <w:rsid w:val="001B43BA"/>
    <w:rsid w:val="001B4A8B"/>
    <w:rsid w:val="001B4C31"/>
    <w:rsid w:val="001B5765"/>
    <w:rsid w:val="001B5854"/>
    <w:rsid w:val="001B58CD"/>
    <w:rsid w:val="001B5976"/>
    <w:rsid w:val="001B5ACC"/>
    <w:rsid w:val="001B5B0F"/>
    <w:rsid w:val="001B5C67"/>
    <w:rsid w:val="001B5EC2"/>
    <w:rsid w:val="001B6330"/>
    <w:rsid w:val="001B6B3E"/>
    <w:rsid w:val="001B72B3"/>
    <w:rsid w:val="001B7730"/>
    <w:rsid w:val="001B7D44"/>
    <w:rsid w:val="001B7FD3"/>
    <w:rsid w:val="001C040F"/>
    <w:rsid w:val="001C069D"/>
    <w:rsid w:val="001C08C2"/>
    <w:rsid w:val="001C0AF7"/>
    <w:rsid w:val="001C0E3E"/>
    <w:rsid w:val="001C0E71"/>
    <w:rsid w:val="001C11DB"/>
    <w:rsid w:val="001C12E3"/>
    <w:rsid w:val="001C14F8"/>
    <w:rsid w:val="001C1ED0"/>
    <w:rsid w:val="001C2290"/>
    <w:rsid w:val="001C27CF"/>
    <w:rsid w:val="001C27DF"/>
    <w:rsid w:val="001C290E"/>
    <w:rsid w:val="001C2CBB"/>
    <w:rsid w:val="001C3271"/>
    <w:rsid w:val="001C34BA"/>
    <w:rsid w:val="001C34E5"/>
    <w:rsid w:val="001C38FC"/>
    <w:rsid w:val="001C3AF1"/>
    <w:rsid w:val="001C42BD"/>
    <w:rsid w:val="001C4E4F"/>
    <w:rsid w:val="001C4FDF"/>
    <w:rsid w:val="001C4FF3"/>
    <w:rsid w:val="001C51B8"/>
    <w:rsid w:val="001C5583"/>
    <w:rsid w:val="001C58F2"/>
    <w:rsid w:val="001C5960"/>
    <w:rsid w:val="001C5980"/>
    <w:rsid w:val="001C5CA1"/>
    <w:rsid w:val="001C5E7B"/>
    <w:rsid w:val="001C5F77"/>
    <w:rsid w:val="001C6458"/>
    <w:rsid w:val="001C6B56"/>
    <w:rsid w:val="001C701F"/>
    <w:rsid w:val="001C71B5"/>
    <w:rsid w:val="001C7273"/>
    <w:rsid w:val="001D0231"/>
    <w:rsid w:val="001D0C35"/>
    <w:rsid w:val="001D0D38"/>
    <w:rsid w:val="001D0F2A"/>
    <w:rsid w:val="001D120F"/>
    <w:rsid w:val="001D16B4"/>
    <w:rsid w:val="001D1E46"/>
    <w:rsid w:val="001D20A4"/>
    <w:rsid w:val="001D23BC"/>
    <w:rsid w:val="001D23F2"/>
    <w:rsid w:val="001D255F"/>
    <w:rsid w:val="001D290A"/>
    <w:rsid w:val="001D29EB"/>
    <w:rsid w:val="001D2A3A"/>
    <w:rsid w:val="001D2E28"/>
    <w:rsid w:val="001D3441"/>
    <w:rsid w:val="001D355E"/>
    <w:rsid w:val="001D3AB6"/>
    <w:rsid w:val="001D3AC0"/>
    <w:rsid w:val="001D3D01"/>
    <w:rsid w:val="001D4377"/>
    <w:rsid w:val="001D465D"/>
    <w:rsid w:val="001D4C8D"/>
    <w:rsid w:val="001D55BB"/>
    <w:rsid w:val="001D5A80"/>
    <w:rsid w:val="001D5D94"/>
    <w:rsid w:val="001D5E08"/>
    <w:rsid w:val="001D5E18"/>
    <w:rsid w:val="001D5F68"/>
    <w:rsid w:val="001D5FED"/>
    <w:rsid w:val="001D6030"/>
    <w:rsid w:val="001D60FE"/>
    <w:rsid w:val="001D684F"/>
    <w:rsid w:val="001D70DC"/>
    <w:rsid w:val="001D7A9A"/>
    <w:rsid w:val="001D7E31"/>
    <w:rsid w:val="001E02D1"/>
    <w:rsid w:val="001E0C63"/>
    <w:rsid w:val="001E10B5"/>
    <w:rsid w:val="001E148F"/>
    <w:rsid w:val="001E1CC1"/>
    <w:rsid w:val="001E2128"/>
    <w:rsid w:val="001E267B"/>
    <w:rsid w:val="001E26D0"/>
    <w:rsid w:val="001E27AC"/>
    <w:rsid w:val="001E27F1"/>
    <w:rsid w:val="001E2BF6"/>
    <w:rsid w:val="001E3014"/>
    <w:rsid w:val="001E319A"/>
    <w:rsid w:val="001E3645"/>
    <w:rsid w:val="001E3924"/>
    <w:rsid w:val="001E3A3E"/>
    <w:rsid w:val="001E3AEC"/>
    <w:rsid w:val="001E40F0"/>
    <w:rsid w:val="001E4584"/>
    <w:rsid w:val="001E45DA"/>
    <w:rsid w:val="001E45FB"/>
    <w:rsid w:val="001E4893"/>
    <w:rsid w:val="001E528F"/>
    <w:rsid w:val="001E52CC"/>
    <w:rsid w:val="001E539D"/>
    <w:rsid w:val="001E5A19"/>
    <w:rsid w:val="001E62BE"/>
    <w:rsid w:val="001E6915"/>
    <w:rsid w:val="001E696A"/>
    <w:rsid w:val="001E6A68"/>
    <w:rsid w:val="001E6C70"/>
    <w:rsid w:val="001E75C5"/>
    <w:rsid w:val="001E784D"/>
    <w:rsid w:val="001E79FA"/>
    <w:rsid w:val="001E7BE0"/>
    <w:rsid w:val="001E7C8A"/>
    <w:rsid w:val="001F02D9"/>
    <w:rsid w:val="001F0617"/>
    <w:rsid w:val="001F0718"/>
    <w:rsid w:val="001F0875"/>
    <w:rsid w:val="001F0BDF"/>
    <w:rsid w:val="001F0D48"/>
    <w:rsid w:val="001F0D4F"/>
    <w:rsid w:val="001F10E4"/>
    <w:rsid w:val="001F14D8"/>
    <w:rsid w:val="001F157C"/>
    <w:rsid w:val="001F1810"/>
    <w:rsid w:val="001F1853"/>
    <w:rsid w:val="001F1982"/>
    <w:rsid w:val="001F233B"/>
    <w:rsid w:val="001F2B87"/>
    <w:rsid w:val="001F2CE1"/>
    <w:rsid w:val="001F2ECE"/>
    <w:rsid w:val="001F2F77"/>
    <w:rsid w:val="001F3039"/>
    <w:rsid w:val="001F32A9"/>
    <w:rsid w:val="001F352D"/>
    <w:rsid w:val="001F3734"/>
    <w:rsid w:val="001F388F"/>
    <w:rsid w:val="001F3B5E"/>
    <w:rsid w:val="001F462E"/>
    <w:rsid w:val="001F4AB7"/>
    <w:rsid w:val="001F4E36"/>
    <w:rsid w:val="001F4F6C"/>
    <w:rsid w:val="001F50A7"/>
    <w:rsid w:val="001F50E9"/>
    <w:rsid w:val="001F542B"/>
    <w:rsid w:val="001F562A"/>
    <w:rsid w:val="001F565A"/>
    <w:rsid w:val="001F56EE"/>
    <w:rsid w:val="001F5959"/>
    <w:rsid w:val="001F5CA6"/>
    <w:rsid w:val="001F606B"/>
    <w:rsid w:val="001F662E"/>
    <w:rsid w:val="001F68C9"/>
    <w:rsid w:val="001F6E28"/>
    <w:rsid w:val="001F7321"/>
    <w:rsid w:val="001F732C"/>
    <w:rsid w:val="001F75C1"/>
    <w:rsid w:val="001F76D1"/>
    <w:rsid w:val="001F7A84"/>
    <w:rsid w:val="001F7D8C"/>
    <w:rsid w:val="001F7EC3"/>
    <w:rsid w:val="002002E0"/>
    <w:rsid w:val="0020050E"/>
    <w:rsid w:val="00200618"/>
    <w:rsid w:val="0020115A"/>
    <w:rsid w:val="00201972"/>
    <w:rsid w:val="00201F52"/>
    <w:rsid w:val="0020219E"/>
    <w:rsid w:val="0020234A"/>
    <w:rsid w:val="00202888"/>
    <w:rsid w:val="00202DFC"/>
    <w:rsid w:val="0020310F"/>
    <w:rsid w:val="00203712"/>
    <w:rsid w:val="00204142"/>
    <w:rsid w:val="002047BE"/>
    <w:rsid w:val="002049C4"/>
    <w:rsid w:val="00204A10"/>
    <w:rsid w:val="00204C29"/>
    <w:rsid w:val="0020512F"/>
    <w:rsid w:val="00205E3E"/>
    <w:rsid w:val="00205F58"/>
    <w:rsid w:val="00205FBE"/>
    <w:rsid w:val="00206225"/>
    <w:rsid w:val="00206463"/>
    <w:rsid w:val="0020670F"/>
    <w:rsid w:val="00206878"/>
    <w:rsid w:val="00206D6A"/>
    <w:rsid w:val="00206DF4"/>
    <w:rsid w:val="00207C68"/>
    <w:rsid w:val="00207E83"/>
    <w:rsid w:val="0021007D"/>
    <w:rsid w:val="00210245"/>
    <w:rsid w:val="002103F2"/>
    <w:rsid w:val="002106DB"/>
    <w:rsid w:val="00210847"/>
    <w:rsid w:val="002109BF"/>
    <w:rsid w:val="00210A7E"/>
    <w:rsid w:val="00210B4E"/>
    <w:rsid w:val="00210C22"/>
    <w:rsid w:val="00210FA9"/>
    <w:rsid w:val="00210FD0"/>
    <w:rsid w:val="0021128A"/>
    <w:rsid w:val="00211891"/>
    <w:rsid w:val="00211948"/>
    <w:rsid w:val="00212153"/>
    <w:rsid w:val="002123E2"/>
    <w:rsid w:val="00212499"/>
    <w:rsid w:val="002125D6"/>
    <w:rsid w:val="00212626"/>
    <w:rsid w:val="002128BC"/>
    <w:rsid w:val="00212D0D"/>
    <w:rsid w:val="0021325E"/>
    <w:rsid w:val="002133B5"/>
    <w:rsid w:val="002135A1"/>
    <w:rsid w:val="002136E5"/>
    <w:rsid w:val="00213D39"/>
    <w:rsid w:val="0021405D"/>
    <w:rsid w:val="0021489D"/>
    <w:rsid w:val="002148F4"/>
    <w:rsid w:val="00214CC2"/>
    <w:rsid w:val="00214D8F"/>
    <w:rsid w:val="00214F6D"/>
    <w:rsid w:val="00215721"/>
    <w:rsid w:val="00216024"/>
    <w:rsid w:val="00216381"/>
    <w:rsid w:val="00216D6C"/>
    <w:rsid w:val="002174FC"/>
    <w:rsid w:val="00217EDD"/>
    <w:rsid w:val="00220461"/>
    <w:rsid w:val="0022053D"/>
    <w:rsid w:val="00220601"/>
    <w:rsid w:val="00220879"/>
    <w:rsid w:val="0022092C"/>
    <w:rsid w:val="00220BB9"/>
    <w:rsid w:val="002210A3"/>
    <w:rsid w:val="00221704"/>
    <w:rsid w:val="0022185E"/>
    <w:rsid w:val="00221A61"/>
    <w:rsid w:val="00221AC5"/>
    <w:rsid w:val="00222AA6"/>
    <w:rsid w:val="00222DD4"/>
    <w:rsid w:val="00223200"/>
    <w:rsid w:val="00223401"/>
    <w:rsid w:val="0022348B"/>
    <w:rsid w:val="002239A4"/>
    <w:rsid w:val="00223DBA"/>
    <w:rsid w:val="002248DF"/>
    <w:rsid w:val="00224E71"/>
    <w:rsid w:val="00224F9F"/>
    <w:rsid w:val="002253D1"/>
    <w:rsid w:val="002256FF"/>
    <w:rsid w:val="00225858"/>
    <w:rsid w:val="00225AE7"/>
    <w:rsid w:val="0022630E"/>
    <w:rsid w:val="0022633F"/>
    <w:rsid w:val="0022635C"/>
    <w:rsid w:val="002263B5"/>
    <w:rsid w:val="00226449"/>
    <w:rsid w:val="0022645A"/>
    <w:rsid w:val="0022650D"/>
    <w:rsid w:val="0022668C"/>
    <w:rsid w:val="00226B69"/>
    <w:rsid w:val="00226F25"/>
    <w:rsid w:val="002272A1"/>
    <w:rsid w:val="002277F1"/>
    <w:rsid w:val="00227B79"/>
    <w:rsid w:val="00227C54"/>
    <w:rsid w:val="0023032D"/>
    <w:rsid w:val="00230D05"/>
    <w:rsid w:val="00230DF5"/>
    <w:rsid w:val="00230E72"/>
    <w:rsid w:val="00230EDB"/>
    <w:rsid w:val="002312B3"/>
    <w:rsid w:val="002318FC"/>
    <w:rsid w:val="00231C91"/>
    <w:rsid w:val="00231F81"/>
    <w:rsid w:val="002320CF"/>
    <w:rsid w:val="002323B1"/>
    <w:rsid w:val="00232B26"/>
    <w:rsid w:val="00232BFA"/>
    <w:rsid w:val="0023313C"/>
    <w:rsid w:val="002332D5"/>
    <w:rsid w:val="00233414"/>
    <w:rsid w:val="002339C1"/>
    <w:rsid w:val="00233A31"/>
    <w:rsid w:val="00233BD9"/>
    <w:rsid w:val="00233F40"/>
    <w:rsid w:val="0023410C"/>
    <w:rsid w:val="002342DD"/>
    <w:rsid w:val="002346BF"/>
    <w:rsid w:val="002348ED"/>
    <w:rsid w:val="00234B7A"/>
    <w:rsid w:val="00234C5F"/>
    <w:rsid w:val="00234C7A"/>
    <w:rsid w:val="00234DC8"/>
    <w:rsid w:val="00234ECD"/>
    <w:rsid w:val="002350BF"/>
    <w:rsid w:val="002353CB"/>
    <w:rsid w:val="002353F1"/>
    <w:rsid w:val="0023591C"/>
    <w:rsid w:val="00235AD7"/>
    <w:rsid w:val="00235B8B"/>
    <w:rsid w:val="00235C84"/>
    <w:rsid w:val="0023642A"/>
    <w:rsid w:val="00236463"/>
    <w:rsid w:val="00236898"/>
    <w:rsid w:val="00236B0F"/>
    <w:rsid w:val="00236F35"/>
    <w:rsid w:val="002371AB"/>
    <w:rsid w:val="00237617"/>
    <w:rsid w:val="002378D1"/>
    <w:rsid w:val="00237AFF"/>
    <w:rsid w:val="00237D7B"/>
    <w:rsid w:val="00237DD4"/>
    <w:rsid w:val="00237DEB"/>
    <w:rsid w:val="002403AB"/>
    <w:rsid w:val="00240415"/>
    <w:rsid w:val="00240BDD"/>
    <w:rsid w:val="00240CCC"/>
    <w:rsid w:val="0024117C"/>
    <w:rsid w:val="00241A5C"/>
    <w:rsid w:val="00241C6A"/>
    <w:rsid w:val="00241F12"/>
    <w:rsid w:val="00242092"/>
    <w:rsid w:val="002420E8"/>
    <w:rsid w:val="002426CB"/>
    <w:rsid w:val="00242709"/>
    <w:rsid w:val="00242AF9"/>
    <w:rsid w:val="0024302E"/>
    <w:rsid w:val="002433E8"/>
    <w:rsid w:val="002434E4"/>
    <w:rsid w:val="0024369D"/>
    <w:rsid w:val="00243F0E"/>
    <w:rsid w:val="002441BE"/>
    <w:rsid w:val="00244489"/>
    <w:rsid w:val="002445C1"/>
    <w:rsid w:val="002447C1"/>
    <w:rsid w:val="002453BE"/>
    <w:rsid w:val="00245C1B"/>
    <w:rsid w:val="00245C1E"/>
    <w:rsid w:val="00246185"/>
    <w:rsid w:val="0024622C"/>
    <w:rsid w:val="00246234"/>
    <w:rsid w:val="00246550"/>
    <w:rsid w:val="0024656D"/>
    <w:rsid w:val="002467A2"/>
    <w:rsid w:val="002468E5"/>
    <w:rsid w:val="00246B28"/>
    <w:rsid w:val="00246BC2"/>
    <w:rsid w:val="00246CF3"/>
    <w:rsid w:val="00246D71"/>
    <w:rsid w:val="00246F6F"/>
    <w:rsid w:val="002501A4"/>
    <w:rsid w:val="002502A8"/>
    <w:rsid w:val="0025120C"/>
    <w:rsid w:val="0025125F"/>
    <w:rsid w:val="00251283"/>
    <w:rsid w:val="002513DE"/>
    <w:rsid w:val="00251453"/>
    <w:rsid w:val="00251587"/>
    <w:rsid w:val="002517D9"/>
    <w:rsid w:val="00251C4A"/>
    <w:rsid w:val="00251E7B"/>
    <w:rsid w:val="002522E4"/>
    <w:rsid w:val="002528CC"/>
    <w:rsid w:val="00252D16"/>
    <w:rsid w:val="00252F49"/>
    <w:rsid w:val="00253376"/>
    <w:rsid w:val="00253443"/>
    <w:rsid w:val="00253667"/>
    <w:rsid w:val="00253715"/>
    <w:rsid w:val="0025374C"/>
    <w:rsid w:val="00253ADA"/>
    <w:rsid w:val="00253C15"/>
    <w:rsid w:val="00253C52"/>
    <w:rsid w:val="00253E4E"/>
    <w:rsid w:val="002544AB"/>
    <w:rsid w:val="002544BE"/>
    <w:rsid w:val="00254BEC"/>
    <w:rsid w:val="00254E13"/>
    <w:rsid w:val="00254FBF"/>
    <w:rsid w:val="0025549D"/>
    <w:rsid w:val="0025555E"/>
    <w:rsid w:val="0025597E"/>
    <w:rsid w:val="00255BF6"/>
    <w:rsid w:val="00255DC5"/>
    <w:rsid w:val="00255E37"/>
    <w:rsid w:val="002562D1"/>
    <w:rsid w:val="002563E4"/>
    <w:rsid w:val="00256549"/>
    <w:rsid w:val="00256591"/>
    <w:rsid w:val="0025684B"/>
    <w:rsid w:val="00256A19"/>
    <w:rsid w:val="00256D6E"/>
    <w:rsid w:val="00257272"/>
    <w:rsid w:val="00257557"/>
    <w:rsid w:val="00257747"/>
    <w:rsid w:val="0025790D"/>
    <w:rsid w:val="002600ED"/>
    <w:rsid w:val="0026041B"/>
    <w:rsid w:val="00260476"/>
    <w:rsid w:val="00260586"/>
    <w:rsid w:val="00260593"/>
    <w:rsid w:val="002609CA"/>
    <w:rsid w:val="00260D71"/>
    <w:rsid w:val="00261310"/>
    <w:rsid w:val="002615B9"/>
    <w:rsid w:val="00261726"/>
    <w:rsid w:val="00261812"/>
    <w:rsid w:val="00261A24"/>
    <w:rsid w:val="00262050"/>
    <w:rsid w:val="00262145"/>
    <w:rsid w:val="00262313"/>
    <w:rsid w:val="00262804"/>
    <w:rsid w:val="00262AEF"/>
    <w:rsid w:val="00262E71"/>
    <w:rsid w:val="00262F55"/>
    <w:rsid w:val="002630F3"/>
    <w:rsid w:val="0026318C"/>
    <w:rsid w:val="002633BB"/>
    <w:rsid w:val="002634B7"/>
    <w:rsid w:val="00263CDC"/>
    <w:rsid w:val="00263F86"/>
    <w:rsid w:val="0026423B"/>
    <w:rsid w:val="00264519"/>
    <w:rsid w:val="0026457F"/>
    <w:rsid w:val="002645AA"/>
    <w:rsid w:val="002647D1"/>
    <w:rsid w:val="002647E1"/>
    <w:rsid w:val="00264E2B"/>
    <w:rsid w:val="00264FFE"/>
    <w:rsid w:val="0026598F"/>
    <w:rsid w:val="00265E46"/>
    <w:rsid w:val="0026658D"/>
    <w:rsid w:val="002674B7"/>
    <w:rsid w:val="0026774F"/>
    <w:rsid w:val="0026776F"/>
    <w:rsid w:val="00267B04"/>
    <w:rsid w:val="00267E6A"/>
    <w:rsid w:val="002704A0"/>
    <w:rsid w:val="0027076D"/>
    <w:rsid w:val="002709A1"/>
    <w:rsid w:val="00270A1B"/>
    <w:rsid w:val="00270C32"/>
    <w:rsid w:val="00271283"/>
    <w:rsid w:val="00271456"/>
    <w:rsid w:val="002714E1"/>
    <w:rsid w:val="00271797"/>
    <w:rsid w:val="0027183A"/>
    <w:rsid w:val="00271E8B"/>
    <w:rsid w:val="00272254"/>
    <w:rsid w:val="00272503"/>
    <w:rsid w:val="00272ADA"/>
    <w:rsid w:val="00272CD9"/>
    <w:rsid w:val="00273516"/>
    <w:rsid w:val="002738A4"/>
    <w:rsid w:val="0027391C"/>
    <w:rsid w:val="00273A91"/>
    <w:rsid w:val="00273FCE"/>
    <w:rsid w:val="00274B4D"/>
    <w:rsid w:val="00275002"/>
    <w:rsid w:val="00275110"/>
    <w:rsid w:val="0027516D"/>
    <w:rsid w:val="00275553"/>
    <w:rsid w:val="002755BC"/>
    <w:rsid w:val="00275963"/>
    <w:rsid w:val="00275B61"/>
    <w:rsid w:val="0027652D"/>
    <w:rsid w:val="00276EBC"/>
    <w:rsid w:val="00277141"/>
    <w:rsid w:val="00277246"/>
    <w:rsid w:val="0027768C"/>
    <w:rsid w:val="002778E6"/>
    <w:rsid w:val="00277CA8"/>
    <w:rsid w:val="00277EC2"/>
    <w:rsid w:val="0028059E"/>
    <w:rsid w:val="002808F3"/>
    <w:rsid w:val="00280E4B"/>
    <w:rsid w:val="00280E76"/>
    <w:rsid w:val="00280E9D"/>
    <w:rsid w:val="00280EB0"/>
    <w:rsid w:val="00280FDF"/>
    <w:rsid w:val="00281541"/>
    <w:rsid w:val="00281F87"/>
    <w:rsid w:val="00282221"/>
    <w:rsid w:val="002824A0"/>
    <w:rsid w:val="002824CA"/>
    <w:rsid w:val="00282762"/>
    <w:rsid w:val="00282910"/>
    <w:rsid w:val="00282A7E"/>
    <w:rsid w:val="00282B1A"/>
    <w:rsid w:val="00282DF0"/>
    <w:rsid w:val="0028343A"/>
    <w:rsid w:val="00283845"/>
    <w:rsid w:val="002839D5"/>
    <w:rsid w:val="00283A86"/>
    <w:rsid w:val="00283AE2"/>
    <w:rsid w:val="002844D6"/>
    <w:rsid w:val="002846FC"/>
    <w:rsid w:val="00284EAB"/>
    <w:rsid w:val="00284F4D"/>
    <w:rsid w:val="00284FD0"/>
    <w:rsid w:val="0028552C"/>
    <w:rsid w:val="00285894"/>
    <w:rsid w:val="00285D3A"/>
    <w:rsid w:val="00286039"/>
    <w:rsid w:val="00286ACA"/>
    <w:rsid w:val="00286E4C"/>
    <w:rsid w:val="00286FFC"/>
    <w:rsid w:val="0028715A"/>
    <w:rsid w:val="00287182"/>
    <w:rsid w:val="00287422"/>
    <w:rsid w:val="002874EA"/>
    <w:rsid w:val="00287CD3"/>
    <w:rsid w:val="00287E74"/>
    <w:rsid w:val="00290204"/>
    <w:rsid w:val="002903D6"/>
    <w:rsid w:val="00290D12"/>
    <w:rsid w:val="00290FAC"/>
    <w:rsid w:val="00291DB8"/>
    <w:rsid w:val="002922EE"/>
    <w:rsid w:val="002923E8"/>
    <w:rsid w:val="002926ED"/>
    <w:rsid w:val="00292897"/>
    <w:rsid w:val="002928D7"/>
    <w:rsid w:val="00292F1B"/>
    <w:rsid w:val="00293850"/>
    <w:rsid w:val="00293F65"/>
    <w:rsid w:val="00293FD7"/>
    <w:rsid w:val="0029409F"/>
    <w:rsid w:val="002940BC"/>
    <w:rsid w:val="0029494B"/>
    <w:rsid w:val="002951D7"/>
    <w:rsid w:val="00295200"/>
    <w:rsid w:val="0029523B"/>
    <w:rsid w:val="002956DE"/>
    <w:rsid w:val="00295B4E"/>
    <w:rsid w:val="00296A4D"/>
    <w:rsid w:val="00296B29"/>
    <w:rsid w:val="00296F7D"/>
    <w:rsid w:val="00297153"/>
    <w:rsid w:val="002973ED"/>
    <w:rsid w:val="002974C6"/>
    <w:rsid w:val="0029778E"/>
    <w:rsid w:val="00297DD4"/>
    <w:rsid w:val="00297DDF"/>
    <w:rsid w:val="002A04EC"/>
    <w:rsid w:val="002A0871"/>
    <w:rsid w:val="002A0EE6"/>
    <w:rsid w:val="002A117E"/>
    <w:rsid w:val="002A13FB"/>
    <w:rsid w:val="002A156C"/>
    <w:rsid w:val="002A1EF2"/>
    <w:rsid w:val="002A20E6"/>
    <w:rsid w:val="002A22AA"/>
    <w:rsid w:val="002A25D9"/>
    <w:rsid w:val="002A3057"/>
    <w:rsid w:val="002A3833"/>
    <w:rsid w:val="002A38F5"/>
    <w:rsid w:val="002A39A3"/>
    <w:rsid w:val="002A3BA3"/>
    <w:rsid w:val="002A3CB1"/>
    <w:rsid w:val="002A425F"/>
    <w:rsid w:val="002A43CC"/>
    <w:rsid w:val="002A44C2"/>
    <w:rsid w:val="002A46B7"/>
    <w:rsid w:val="002A483E"/>
    <w:rsid w:val="002A4A83"/>
    <w:rsid w:val="002A4ADF"/>
    <w:rsid w:val="002A503D"/>
    <w:rsid w:val="002A5D4D"/>
    <w:rsid w:val="002A6021"/>
    <w:rsid w:val="002A60B2"/>
    <w:rsid w:val="002A6120"/>
    <w:rsid w:val="002A6A6B"/>
    <w:rsid w:val="002A6B12"/>
    <w:rsid w:val="002A6B81"/>
    <w:rsid w:val="002A6D12"/>
    <w:rsid w:val="002A6E47"/>
    <w:rsid w:val="002A6EBA"/>
    <w:rsid w:val="002A72EE"/>
    <w:rsid w:val="002A79A9"/>
    <w:rsid w:val="002A7A32"/>
    <w:rsid w:val="002B0292"/>
    <w:rsid w:val="002B02BA"/>
    <w:rsid w:val="002B055D"/>
    <w:rsid w:val="002B0603"/>
    <w:rsid w:val="002B0779"/>
    <w:rsid w:val="002B0B52"/>
    <w:rsid w:val="002B0D68"/>
    <w:rsid w:val="002B0D7C"/>
    <w:rsid w:val="002B0E73"/>
    <w:rsid w:val="002B1057"/>
    <w:rsid w:val="002B116C"/>
    <w:rsid w:val="002B1A47"/>
    <w:rsid w:val="002B1B0A"/>
    <w:rsid w:val="002B1B61"/>
    <w:rsid w:val="002B1C8D"/>
    <w:rsid w:val="002B1D42"/>
    <w:rsid w:val="002B1F6E"/>
    <w:rsid w:val="002B2466"/>
    <w:rsid w:val="002B246B"/>
    <w:rsid w:val="002B270F"/>
    <w:rsid w:val="002B27BC"/>
    <w:rsid w:val="002B2CB8"/>
    <w:rsid w:val="002B2E89"/>
    <w:rsid w:val="002B2EA0"/>
    <w:rsid w:val="002B2FC1"/>
    <w:rsid w:val="002B308E"/>
    <w:rsid w:val="002B31BB"/>
    <w:rsid w:val="002B330D"/>
    <w:rsid w:val="002B3484"/>
    <w:rsid w:val="002B3C92"/>
    <w:rsid w:val="002B3F99"/>
    <w:rsid w:val="002B4073"/>
    <w:rsid w:val="002B426B"/>
    <w:rsid w:val="002B42FF"/>
    <w:rsid w:val="002B45E2"/>
    <w:rsid w:val="002B486C"/>
    <w:rsid w:val="002B4A37"/>
    <w:rsid w:val="002B4AD8"/>
    <w:rsid w:val="002B5135"/>
    <w:rsid w:val="002B519B"/>
    <w:rsid w:val="002B51D6"/>
    <w:rsid w:val="002B52E9"/>
    <w:rsid w:val="002B53D6"/>
    <w:rsid w:val="002B593C"/>
    <w:rsid w:val="002B59CC"/>
    <w:rsid w:val="002B5F9F"/>
    <w:rsid w:val="002B647A"/>
    <w:rsid w:val="002B673E"/>
    <w:rsid w:val="002B6870"/>
    <w:rsid w:val="002B6B4B"/>
    <w:rsid w:val="002B754E"/>
    <w:rsid w:val="002B779F"/>
    <w:rsid w:val="002B7E97"/>
    <w:rsid w:val="002C00D5"/>
    <w:rsid w:val="002C0149"/>
    <w:rsid w:val="002C028E"/>
    <w:rsid w:val="002C0295"/>
    <w:rsid w:val="002C07FF"/>
    <w:rsid w:val="002C0DBB"/>
    <w:rsid w:val="002C1004"/>
    <w:rsid w:val="002C1375"/>
    <w:rsid w:val="002C1E19"/>
    <w:rsid w:val="002C1F0D"/>
    <w:rsid w:val="002C209E"/>
    <w:rsid w:val="002C2153"/>
    <w:rsid w:val="002C2224"/>
    <w:rsid w:val="002C2536"/>
    <w:rsid w:val="002C2914"/>
    <w:rsid w:val="002C2B29"/>
    <w:rsid w:val="002C2B67"/>
    <w:rsid w:val="002C2B70"/>
    <w:rsid w:val="002C3EE9"/>
    <w:rsid w:val="002C4099"/>
    <w:rsid w:val="002C424A"/>
    <w:rsid w:val="002C4335"/>
    <w:rsid w:val="002C4580"/>
    <w:rsid w:val="002C4676"/>
    <w:rsid w:val="002C495E"/>
    <w:rsid w:val="002C4BC5"/>
    <w:rsid w:val="002C4D0A"/>
    <w:rsid w:val="002C5383"/>
    <w:rsid w:val="002C6171"/>
    <w:rsid w:val="002C66B5"/>
    <w:rsid w:val="002C6B47"/>
    <w:rsid w:val="002C6D53"/>
    <w:rsid w:val="002C6E0E"/>
    <w:rsid w:val="002C6E3A"/>
    <w:rsid w:val="002C6E52"/>
    <w:rsid w:val="002C6F79"/>
    <w:rsid w:val="002C73F6"/>
    <w:rsid w:val="002C7C68"/>
    <w:rsid w:val="002C7D41"/>
    <w:rsid w:val="002D02F4"/>
    <w:rsid w:val="002D0323"/>
    <w:rsid w:val="002D063F"/>
    <w:rsid w:val="002D0B40"/>
    <w:rsid w:val="002D0CC4"/>
    <w:rsid w:val="002D0E1D"/>
    <w:rsid w:val="002D0E61"/>
    <w:rsid w:val="002D0ECB"/>
    <w:rsid w:val="002D12C2"/>
    <w:rsid w:val="002D15A4"/>
    <w:rsid w:val="002D1988"/>
    <w:rsid w:val="002D19C1"/>
    <w:rsid w:val="002D232A"/>
    <w:rsid w:val="002D2506"/>
    <w:rsid w:val="002D265E"/>
    <w:rsid w:val="002D27C9"/>
    <w:rsid w:val="002D2CAE"/>
    <w:rsid w:val="002D2E7E"/>
    <w:rsid w:val="002D35BD"/>
    <w:rsid w:val="002D36C7"/>
    <w:rsid w:val="002D370A"/>
    <w:rsid w:val="002D3821"/>
    <w:rsid w:val="002D38C4"/>
    <w:rsid w:val="002D3A2C"/>
    <w:rsid w:val="002D3B54"/>
    <w:rsid w:val="002D3C4B"/>
    <w:rsid w:val="002D3DCC"/>
    <w:rsid w:val="002D3F19"/>
    <w:rsid w:val="002D3FED"/>
    <w:rsid w:val="002D42A0"/>
    <w:rsid w:val="002D510C"/>
    <w:rsid w:val="002D52F6"/>
    <w:rsid w:val="002D5555"/>
    <w:rsid w:val="002D55DE"/>
    <w:rsid w:val="002D5BA5"/>
    <w:rsid w:val="002D5BEC"/>
    <w:rsid w:val="002D5F03"/>
    <w:rsid w:val="002D695F"/>
    <w:rsid w:val="002D6981"/>
    <w:rsid w:val="002D6B1F"/>
    <w:rsid w:val="002D6CAE"/>
    <w:rsid w:val="002D7055"/>
    <w:rsid w:val="002D713F"/>
    <w:rsid w:val="002D76C8"/>
    <w:rsid w:val="002D7777"/>
    <w:rsid w:val="002D78F5"/>
    <w:rsid w:val="002E0209"/>
    <w:rsid w:val="002E0281"/>
    <w:rsid w:val="002E045E"/>
    <w:rsid w:val="002E04F8"/>
    <w:rsid w:val="002E0AA5"/>
    <w:rsid w:val="002E1021"/>
    <w:rsid w:val="002E120D"/>
    <w:rsid w:val="002E1416"/>
    <w:rsid w:val="002E1698"/>
    <w:rsid w:val="002E1C7D"/>
    <w:rsid w:val="002E2146"/>
    <w:rsid w:val="002E27A5"/>
    <w:rsid w:val="002E286E"/>
    <w:rsid w:val="002E2C4C"/>
    <w:rsid w:val="002E30D3"/>
    <w:rsid w:val="002E32B8"/>
    <w:rsid w:val="002E3507"/>
    <w:rsid w:val="002E363E"/>
    <w:rsid w:val="002E3969"/>
    <w:rsid w:val="002E39C5"/>
    <w:rsid w:val="002E3FE4"/>
    <w:rsid w:val="002E430C"/>
    <w:rsid w:val="002E4618"/>
    <w:rsid w:val="002E46BB"/>
    <w:rsid w:val="002E4723"/>
    <w:rsid w:val="002E4CAF"/>
    <w:rsid w:val="002E4DFF"/>
    <w:rsid w:val="002E50C1"/>
    <w:rsid w:val="002E5B4C"/>
    <w:rsid w:val="002E5DE0"/>
    <w:rsid w:val="002E5E2D"/>
    <w:rsid w:val="002E6E33"/>
    <w:rsid w:val="002E77B5"/>
    <w:rsid w:val="002E7DA0"/>
    <w:rsid w:val="002E7F0A"/>
    <w:rsid w:val="002F031D"/>
    <w:rsid w:val="002F066C"/>
    <w:rsid w:val="002F0B8A"/>
    <w:rsid w:val="002F0E87"/>
    <w:rsid w:val="002F13E6"/>
    <w:rsid w:val="002F148C"/>
    <w:rsid w:val="002F1590"/>
    <w:rsid w:val="002F1593"/>
    <w:rsid w:val="002F1BFC"/>
    <w:rsid w:val="002F1E2E"/>
    <w:rsid w:val="002F1FB4"/>
    <w:rsid w:val="002F2042"/>
    <w:rsid w:val="002F22A7"/>
    <w:rsid w:val="002F2C27"/>
    <w:rsid w:val="002F317A"/>
    <w:rsid w:val="002F3260"/>
    <w:rsid w:val="002F375C"/>
    <w:rsid w:val="002F37B3"/>
    <w:rsid w:val="002F39EA"/>
    <w:rsid w:val="002F3D1B"/>
    <w:rsid w:val="002F3E7D"/>
    <w:rsid w:val="002F43A6"/>
    <w:rsid w:val="002F4F60"/>
    <w:rsid w:val="002F51D4"/>
    <w:rsid w:val="002F5420"/>
    <w:rsid w:val="002F55BF"/>
    <w:rsid w:val="002F5A67"/>
    <w:rsid w:val="002F5FBD"/>
    <w:rsid w:val="002F6488"/>
    <w:rsid w:val="002F6D0E"/>
    <w:rsid w:val="002F6D92"/>
    <w:rsid w:val="002F6F4D"/>
    <w:rsid w:val="002F717F"/>
    <w:rsid w:val="002F7364"/>
    <w:rsid w:val="002F73A0"/>
    <w:rsid w:val="002F73CC"/>
    <w:rsid w:val="003000B4"/>
    <w:rsid w:val="00300449"/>
    <w:rsid w:val="0030097B"/>
    <w:rsid w:val="00300A8B"/>
    <w:rsid w:val="00300A97"/>
    <w:rsid w:val="00300F4A"/>
    <w:rsid w:val="00301C9A"/>
    <w:rsid w:val="00301CB6"/>
    <w:rsid w:val="00301F57"/>
    <w:rsid w:val="0030230E"/>
    <w:rsid w:val="003026B8"/>
    <w:rsid w:val="003026EB"/>
    <w:rsid w:val="00302969"/>
    <w:rsid w:val="00303926"/>
    <w:rsid w:val="003039DF"/>
    <w:rsid w:val="00303AB5"/>
    <w:rsid w:val="00303EBF"/>
    <w:rsid w:val="0030413D"/>
    <w:rsid w:val="00304934"/>
    <w:rsid w:val="00304DAD"/>
    <w:rsid w:val="00304DF1"/>
    <w:rsid w:val="003052AC"/>
    <w:rsid w:val="0030566A"/>
    <w:rsid w:val="003056F9"/>
    <w:rsid w:val="00305979"/>
    <w:rsid w:val="00305B81"/>
    <w:rsid w:val="00305CAB"/>
    <w:rsid w:val="00305DE0"/>
    <w:rsid w:val="00306223"/>
    <w:rsid w:val="00306285"/>
    <w:rsid w:val="0030646F"/>
    <w:rsid w:val="00306C5E"/>
    <w:rsid w:val="00306CE9"/>
    <w:rsid w:val="00306FE1"/>
    <w:rsid w:val="0030704C"/>
    <w:rsid w:val="003071FE"/>
    <w:rsid w:val="00307420"/>
    <w:rsid w:val="003074F7"/>
    <w:rsid w:val="00307662"/>
    <w:rsid w:val="00307CCD"/>
    <w:rsid w:val="00307D4A"/>
    <w:rsid w:val="003100B3"/>
    <w:rsid w:val="00310427"/>
    <w:rsid w:val="0031074F"/>
    <w:rsid w:val="0031075A"/>
    <w:rsid w:val="00310792"/>
    <w:rsid w:val="003109E2"/>
    <w:rsid w:val="00310A8E"/>
    <w:rsid w:val="00310AB1"/>
    <w:rsid w:val="00310C19"/>
    <w:rsid w:val="00310D3E"/>
    <w:rsid w:val="00310F5E"/>
    <w:rsid w:val="00310F6F"/>
    <w:rsid w:val="00310FED"/>
    <w:rsid w:val="00311611"/>
    <w:rsid w:val="00311690"/>
    <w:rsid w:val="00312D01"/>
    <w:rsid w:val="00313FF8"/>
    <w:rsid w:val="00314665"/>
    <w:rsid w:val="003146F7"/>
    <w:rsid w:val="0031489A"/>
    <w:rsid w:val="00314B45"/>
    <w:rsid w:val="00314C88"/>
    <w:rsid w:val="00314CE5"/>
    <w:rsid w:val="00315142"/>
    <w:rsid w:val="0031521D"/>
    <w:rsid w:val="00315484"/>
    <w:rsid w:val="00315B89"/>
    <w:rsid w:val="00315D61"/>
    <w:rsid w:val="00315FBD"/>
    <w:rsid w:val="0031603C"/>
    <w:rsid w:val="0031610A"/>
    <w:rsid w:val="003162A7"/>
    <w:rsid w:val="0031651E"/>
    <w:rsid w:val="003168B2"/>
    <w:rsid w:val="00316F1B"/>
    <w:rsid w:val="00317092"/>
    <w:rsid w:val="0031779C"/>
    <w:rsid w:val="003177C2"/>
    <w:rsid w:val="00317C22"/>
    <w:rsid w:val="003203CD"/>
    <w:rsid w:val="003208ED"/>
    <w:rsid w:val="00320A25"/>
    <w:rsid w:val="00320D3F"/>
    <w:rsid w:val="00321001"/>
    <w:rsid w:val="003210F0"/>
    <w:rsid w:val="00321248"/>
    <w:rsid w:val="00321946"/>
    <w:rsid w:val="003219A9"/>
    <w:rsid w:val="00321A1F"/>
    <w:rsid w:val="00321D92"/>
    <w:rsid w:val="00321EF8"/>
    <w:rsid w:val="003224C5"/>
    <w:rsid w:val="00322660"/>
    <w:rsid w:val="00322666"/>
    <w:rsid w:val="0032269C"/>
    <w:rsid w:val="003226FF"/>
    <w:rsid w:val="0032327A"/>
    <w:rsid w:val="003233C4"/>
    <w:rsid w:val="00323436"/>
    <w:rsid w:val="00323A96"/>
    <w:rsid w:val="003241F6"/>
    <w:rsid w:val="003244D5"/>
    <w:rsid w:val="00324571"/>
    <w:rsid w:val="003245EE"/>
    <w:rsid w:val="00324704"/>
    <w:rsid w:val="003248ED"/>
    <w:rsid w:val="00324B7F"/>
    <w:rsid w:val="00324D55"/>
    <w:rsid w:val="00325256"/>
    <w:rsid w:val="0032532D"/>
    <w:rsid w:val="003256E1"/>
    <w:rsid w:val="00325C7F"/>
    <w:rsid w:val="00325F85"/>
    <w:rsid w:val="0032622F"/>
    <w:rsid w:val="0032654A"/>
    <w:rsid w:val="00326855"/>
    <w:rsid w:val="00326936"/>
    <w:rsid w:val="00326C6E"/>
    <w:rsid w:val="00326FA8"/>
    <w:rsid w:val="003274E6"/>
    <w:rsid w:val="003301C6"/>
    <w:rsid w:val="0033044F"/>
    <w:rsid w:val="00330618"/>
    <w:rsid w:val="00330821"/>
    <w:rsid w:val="00330E4E"/>
    <w:rsid w:val="0033105D"/>
    <w:rsid w:val="00331A3D"/>
    <w:rsid w:val="00331F67"/>
    <w:rsid w:val="0033233A"/>
    <w:rsid w:val="0033238F"/>
    <w:rsid w:val="003330B1"/>
    <w:rsid w:val="00333957"/>
    <w:rsid w:val="00333A27"/>
    <w:rsid w:val="00333A93"/>
    <w:rsid w:val="00334507"/>
    <w:rsid w:val="00334B81"/>
    <w:rsid w:val="00334CE5"/>
    <w:rsid w:val="00334EC5"/>
    <w:rsid w:val="00335249"/>
    <w:rsid w:val="0033538C"/>
    <w:rsid w:val="00335404"/>
    <w:rsid w:val="00335C87"/>
    <w:rsid w:val="003360CD"/>
    <w:rsid w:val="0033653B"/>
    <w:rsid w:val="003365B7"/>
    <w:rsid w:val="0033692A"/>
    <w:rsid w:val="00336D41"/>
    <w:rsid w:val="0033701B"/>
    <w:rsid w:val="00337D5A"/>
    <w:rsid w:val="00337F00"/>
    <w:rsid w:val="003402D8"/>
    <w:rsid w:val="003405CA"/>
    <w:rsid w:val="003405CC"/>
    <w:rsid w:val="003408D2"/>
    <w:rsid w:val="00340A08"/>
    <w:rsid w:val="00340B21"/>
    <w:rsid w:val="00340DAB"/>
    <w:rsid w:val="00340E81"/>
    <w:rsid w:val="00341207"/>
    <w:rsid w:val="00341BF9"/>
    <w:rsid w:val="00341D48"/>
    <w:rsid w:val="00342063"/>
    <w:rsid w:val="003420D3"/>
    <w:rsid w:val="003421BD"/>
    <w:rsid w:val="00342823"/>
    <w:rsid w:val="00342BB6"/>
    <w:rsid w:val="00343144"/>
    <w:rsid w:val="00343744"/>
    <w:rsid w:val="00343C25"/>
    <w:rsid w:val="00343C61"/>
    <w:rsid w:val="00344977"/>
    <w:rsid w:val="00344D1A"/>
    <w:rsid w:val="00344DD0"/>
    <w:rsid w:val="00344F5E"/>
    <w:rsid w:val="00344FAF"/>
    <w:rsid w:val="003452DA"/>
    <w:rsid w:val="00345656"/>
    <w:rsid w:val="003458C3"/>
    <w:rsid w:val="00345C7D"/>
    <w:rsid w:val="00345F66"/>
    <w:rsid w:val="00346211"/>
    <w:rsid w:val="003463CA"/>
    <w:rsid w:val="003467A1"/>
    <w:rsid w:val="00346C07"/>
    <w:rsid w:val="00346E63"/>
    <w:rsid w:val="00347096"/>
    <w:rsid w:val="0034752B"/>
    <w:rsid w:val="003476A1"/>
    <w:rsid w:val="00347F33"/>
    <w:rsid w:val="003501E5"/>
    <w:rsid w:val="0035045F"/>
    <w:rsid w:val="00350C3D"/>
    <w:rsid w:val="00350EBD"/>
    <w:rsid w:val="003513E3"/>
    <w:rsid w:val="003514CF"/>
    <w:rsid w:val="00351506"/>
    <w:rsid w:val="0035165F"/>
    <w:rsid w:val="003516E4"/>
    <w:rsid w:val="00351731"/>
    <w:rsid w:val="00351A7E"/>
    <w:rsid w:val="00351BD6"/>
    <w:rsid w:val="003521E4"/>
    <w:rsid w:val="003524B0"/>
    <w:rsid w:val="0035250E"/>
    <w:rsid w:val="003527E7"/>
    <w:rsid w:val="00352D65"/>
    <w:rsid w:val="00352D90"/>
    <w:rsid w:val="00353588"/>
    <w:rsid w:val="0035368D"/>
    <w:rsid w:val="003536EC"/>
    <w:rsid w:val="003537F1"/>
    <w:rsid w:val="00353F78"/>
    <w:rsid w:val="00354D50"/>
    <w:rsid w:val="00355504"/>
    <w:rsid w:val="0035575F"/>
    <w:rsid w:val="003557B7"/>
    <w:rsid w:val="00355E4F"/>
    <w:rsid w:val="0035744C"/>
    <w:rsid w:val="003602E4"/>
    <w:rsid w:val="003610B2"/>
    <w:rsid w:val="00361164"/>
    <w:rsid w:val="00361299"/>
    <w:rsid w:val="003619AC"/>
    <w:rsid w:val="00361CD1"/>
    <w:rsid w:val="00361E26"/>
    <w:rsid w:val="0036201E"/>
    <w:rsid w:val="00362045"/>
    <w:rsid w:val="00362163"/>
    <w:rsid w:val="003621AD"/>
    <w:rsid w:val="0036256A"/>
    <w:rsid w:val="0036262E"/>
    <w:rsid w:val="00362BD6"/>
    <w:rsid w:val="00362EF5"/>
    <w:rsid w:val="0036300A"/>
    <w:rsid w:val="00363183"/>
    <w:rsid w:val="00363551"/>
    <w:rsid w:val="00363A57"/>
    <w:rsid w:val="00363BA2"/>
    <w:rsid w:val="00363F68"/>
    <w:rsid w:val="00364961"/>
    <w:rsid w:val="003649E9"/>
    <w:rsid w:val="00364E53"/>
    <w:rsid w:val="00365079"/>
    <w:rsid w:val="00365530"/>
    <w:rsid w:val="00365608"/>
    <w:rsid w:val="00365EA6"/>
    <w:rsid w:val="003664E8"/>
    <w:rsid w:val="003664F5"/>
    <w:rsid w:val="00366A02"/>
    <w:rsid w:val="00366E1D"/>
    <w:rsid w:val="00366FCE"/>
    <w:rsid w:val="00367154"/>
    <w:rsid w:val="0036744A"/>
    <w:rsid w:val="0036768B"/>
    <w:rsid w:val="00367A1D"/>
    <w:rsid w:val="00367B1F"/>
    <w:rsid w:val="00370076"/>
    <w:rsid w:val="00370415"/>
    <w:rsid w:val="003705F2"/>
    <w:rsid w:val="0037078C"/>
    <w:rsid w:val="00370AF1"/>
    <w:rsid w:val="00370E22"/>
    <w:rsid w:val="0037132A"/>
    <w:rsid w:val="00371991"/>
    <w:rsid w:val="00371BB4"/>
    <w:rsid w:val="00371D60"/>
    <w:rsid w:val="00371F32"/>
    <w:rsid w:val="00371F93"/>
    <w:rsid w:val="0037232A"/>
    <w:rsid w:val="00372920"/>
    <w:rsid w:val="00372AE6"/>
    <w:rsid w:val="00373063"/>
    <w:rsid w:val="00373080"/>
    <w:rsid w:val="003733A1"/>
    <w:rsid w:val="003733AE"/>
    <w:rsid w:val="003736CA"/>
    <w:rsid w:val="003737F6"/>
    <w:rsid w:val="00373911"/>
    <w:rsid w:val="003739CF"/>
    <w:rsid w:val="00373A66"/>
    <w:rsid w:val="00373ABC"/>
    <w:rsid w:val="00373AF2"/>
    <w:rsid w:val="00373AFD"/>
    <w:rsid w:val="00373B27"/>
    <w:rsid w:val="00373E25"/>
    <w:rsid w:val="00373FCA"/>
    <w:rsid w:val="00373FCC"/>
    <w:rsid w:val="003741D8"/>
    <w:rsid w:val="0037438C"/>
    <w:rsid w:val="00374407"/>
    <w:rsid w:val="003744F2"/>
    <w:rsid w:val="003746AC"/>
    <w:rsid w:val="003747C9"/>
    <w:rsid w:val="00375873"/>
    <w:rsid w:val="00375F1F"/>
    <w:rsid w:val="0037610F"/>
    <w:rsid w:val="003766E6"/>
    <w:rsid w:val="003768E2"/>
    <w:rsid w:val="00376A71"/>
    <w:rsid w:val="00376A7C"/>
    <w:rsid w:val="00376B79"/>
    <w:rsid w:val="00377036"/>
    <w:rsid w:val="003770CE"/>
    <w:rsid w:val="003772B2"/>
    <w:rsid w:val="0037744E"/>
    <w:rsid w:val="00377D7B"/>
    <w:rsid w:val="00380503"/>
    <w:rsid w:val="00380D09"/>
    <w:rsid w:val="00380F51"/>
    <w:rsid w:val="00380F81"/>
    <w:rsid w:val="0038170D"/>
    <w:rsid w:val="00381D7C"/>
    <w:rsid w:val="0038203B"/>
    <w:rsid w:val="003821FA"/>
    <w:rsid w:val="00382376"/>
    <w:rsid w:val="0038255D"/>
    <w:rsid w:val="003828BA"/>
    <w:rsid w:val="003830ED"/>
    <w:rsid w:val="00383187"/>
    <w:rsid w:val="00383241"/>
    <w:rsid w:val="003834F3"/>
    <w:rsid w:val="00383F89"/>
    <w:rsid w:val="00384025"/>
    <w:rsid w:val="00384027"/>
    <w:rsid w:val="0038404E"/>
    <w:rsid w:val="00384321"/>
    <w:rsid w:val="00384555"/>
    <w:rsid w:val="00384A20"/>
    <w:rsid w:val="00384BF3"/>
    <w:rsid w:val="00384D6A"/>
    <w:rsid w:val="0038519E"/>
    <w:rsid w:val="003852D5"/>
    <w:rsid w:val="003853FB"/>
    <w:rsid w:val="0038615B"/>
    <w:rsid w:val="003868B9"/>
    <w:rsid w:val="00386CBF"/>
    <w:rsid w:val="003870D7"/>
    <w:rsid w:val="00387186"/>
    <w:rsid w:val="00387253"/>
    <w:rsid w:val="003873DE"/>
    <w:rsid w:val="003874A6"/>
    <w:rsid w:val="00387526"/>
    <w:rsid w:val="003875BC"/>
    <w:rsid w:val="00390661"/>
    <w:rsid w:val="003906D3"/>
    <w:rsid w:val="00390D15"/>
    <w:rsid w:val="0039147A"/>
    <w:rsid w:val="00391B8E"/>
    <w:rsid w:val="00391BBA"/>
    <w:rsid w:val="00391CEA"/>
    <w:rsid w:val="0039262B"/>
    <w:rsid w:val="0039272A"/>
    <w:rsid w:val="00392C1E"/>
    <w:rsid w:val="00392D7B"/>
    <w:rsid w:val="00392E1A"/>
    <w:rsid w:val="00392F64"/>
    <w:rsid w:val="00392FAA"/>
    <w:rsid w:val="003934E6"/>
    <w:rsid w:val="003936FE"/>
    <w:rsid w:val="0039391E"/>
    <w:rsid w:val="00393A8D"/>
    <w:rsid w:val="00393B30"/>
    <w:rsid w:val="00393D55"/>
    <w:rsid w:val="00393EA4"/>
    <w:rsid w:val="00393F3F"/>
    <w:rsid w:val="00394061"/>
    <w:rsid w:val="00394116"/>
    <w:rsid w:val="003942F5"/>
    <w:rsid w:val="003949E5"/>
    <w:rsid w:val="00394CA6"/>
    <w:rsid w:val="00394F18"/>
    <w:rsid w:val="003951C1"/>
    <w:rsid w:val="003956A2"/>
    <w:rsid w:val="00395754"/>
    <w:rsid w:val="00396117"/>
    <w:rsid w:val="00396487"/>
    <w:rsid w:val="003966DC"/>
    <w:rsid w:val="00396718"/>
    <w:rsid w:val="0039679A"/>
    <w:rsid w:val="00396890"/>
    <w:rsid w:val="00396C8D"/>
    <w:rsid w:val="0039708C"/>
    <w:rsid w:val="00397264"/>
    <w:rsid w:val="0039736F"/>
    <w:rsid w:val="00397B2F"/>
    <w:rsid w:val="00397B91"/>
    <w:rsid w:val="00397F46"/>
    <w:rsid w:val="003A0987"/>
    <w:rsid w:val="003A0AA5"/>
    <w:rsid w:val="003A1464"/>
    <w:rsid w:val="003A15F0"/>
    <w:rsid w:val="003A1E87"/>
    <w:rsid w:val="003A20AA"/>
    <w:rsid w:val="003A23F9"/>
    <w:rsid w:val="003A2418"/>
    <w:rsid w:val="003A2EF8"/>
    <w:rsid w:val="003A3143"/>
    <w:rsid w:val="003A3423"/>
    <w:rsid w:val="003A3447"/>
    <w:rsid w:val="003A3513"/>
    <w:rsid w:val="003A3C7F"/>
    <w:rsid w:val="003A3D3F"/>
    <w:rsid w:val="003A3D9F"/>
    <w:rsid w:val="003A3DC3"/>
    <w:rsid w:val="003A440C"/>
    <w:rsid w:val="003A44F5"/>
    <w:rsid w:val="003A486D"/>
    <w:rsid w:val="003A4CBB"/>
    <w:rsid w:val="003A51C6"/>
    <w:rsid w:val="003A644A"/>
    <w:rsid w:val="003A6A55"/>
    <w:rsid w:val="003A6DE4"/>
    <w:rsid w:val="003A75A9"/>
    <w:rsid w:val="003A75F5"/>
    <w:rsid w:val="003A78E6"/>
    <w:rsid w:val="003B00EA"/>
    <w:rsid w:val="003B0263"/>
    <w:rsid w:val="003B02DD"/>
    <w:rsid w:val="003B038F"/>
    <w:rsid w:val="003B09C7"/>
    <w:rsid w:val="003B0B27"/>
    <w:rsid w:val="003B0BA6"/>
    <w:rsid w:val="003B123B"/>
    <w:rsid w:val="003B126D"/>
    <w:rsid w:val="003B153B"/>
    <w:rsid w:val="003B1CDD"/>
    <w:rsid w:val="003B1E6B"/>
    <w:rsid w:val="003B1ED6"/>
    <w:rsid w:val="003B1FA4"/>
    <w:rsid w:val="003B22E9"/>
    <w:rsid w:val="003B243A"/>
    <w:rsid w:val="003B248C"/>
    <w:rsid w:val="003B2A1B"/>
    <w:rsid w:val="003B2B81"/>
    <w:rsid w:val="003B3309"/>
    <w:rsid w:val="003B39F0"/>
    <w:rsid w:val="003B3A2A"/>
    <w:rsid w:val="003B3E70"/>
    <w:rsid w:val="003B447D"/>
    <w:rsid w:val="003B4980"/>
    <w:rsid w:val="003B4D2A"/>
    <w:rsid w:val="003B4F12"/>
    <w:rsid w:val="003B4F2D"/>
    <w:rsid w:val="003B558E"/>
    <w:rsid w:val="003B55DF"/>
    <w:rsid w:val="003B5799"/>
    <w:rsid w:val="003B6591"/>
    <w:rsid w:val="003B66C6"/>
    <w:rsid w:val="003B7721"/>
    <w:rsid w:val="003B773D"/>
    <w:rsid w:val="003B77DA"/>
    <w:rsid w:val="003B7A09"/>
    <w:rsid w:val="003B7FD7"/>
    <w:rsid w:val="003C0294"/>
    <w:rsid w:val="003C02FA"/>
    <w:rsid w:val="003C06CC"/>
    <w:rsid w:val="003C09A2"/>
    <w:rsid w:val="003C1032"/>
    <w:rsid w:val="003C1C19"/>
    <w:rsid w:val="003C1CFC"/>
    <w:rsid w:val="003C23CA"/>
    <w:rsid w:val="003C27A2"/>
    <w:rsid w:val="003C2C05"/>
    <w:rsid w:val="003C2FEB"/>
    <w:rsid w:val="003C35B8"/>
    <w:rsid w:val="003C380A"/>
    <w:rsid w:val="003C3850"/>
    <w:rsid w:val="003C3963"/>
    <w:rsid w:val="003C3B73"/>
    <w:rsid w:val="003C3D65"/>
    <w:rsid w:val="003C3D7B"/>
    <w:rsid w:val="003C3E20"/>
    <w:rsid w:val="003C42CE"/>
    <w:rsid w:val="003C4323"/>
    <w:rsid w:val="003C4DC9"/>
    <w:rsid w:val="003C50B9"/>
    <w:rsid w:val="003C5513"/>
    <w:rsid w:val="003C554A"/>
    <w:rsid w:val="003C562C"/>
    <w:rsid w:val="003C5635"/>
    <w:rsid w:val="003C5718"/>
    <w:rsid w:val="003C5C5B"/>
    <w:rsid w:val="003C5F6D"/>
    <w:rsid w:val="003C6664"/>
    <w:rsid w:val="003C66C2"/>
    <w:rsid w:val="003C681E"/>
    <w:rsid w:val="003C6868"/>
    <w:rsid w:val="003C7323"/>
    <w:rsid w:val="003C7534"/>
    <w:rsid w:val="003C76A1"/>
    <w:rsid w:val="003C7BBC"/>
    <w:rsid w:val="003C7E0E"/>
    <w:rsid w:val="003C7F7D"/>
    <w:rsid w:val="003D01F3"/>
    <w:rsid w:val="003D063B"/>
    <w:rsid w:val="003D06F5"/>
    <w:rsid w:val="003D0876"/>
    <w:rsid w:val="003D0E6F"/>
    <w:rsid w:val="003D0EDD"/>
    <w:rsid w:val="003D0F70"/>
    <w:rsid w:val="003D1638"/>
    <w:rsid w:val="003D173E"/>
    <w:rsid w:val="003D1E17"/>
    <w:rsid w:val="003D1E3E"/>
    <w:rsid w:val="003D2180"/>
    <w:rsid w:val="003D22B6"/>
    <w:rsid w:val="003D22D5"/>
    <w:rsid w:val="003D24D7"/>
    <w:rsid w:val="003D2615"/>
    <w:rsid w:val="003D2B4B"/>
    <w:rsid w:val="003D2BAD"/>
    <w:rsid w:val="003D2DA4"/>
    <w:rsid w:val="003D2E71"/>
    <w:rsid w:val="003D30A9"/>
    <w:rsid w:val="003D3766"/>
    <w:rsid w:val="003D3791"/>
    <w:rsid w:val="003D37B0"/>
    <w:rsid w:val="003D39BC"/>
    <w:rsid w:val="003D3D3A"/>
    <w:rsid w:val="003D3D84"/>
    <w:rsid w:val="003D3DF6"/>
    <w:rsid w:val="003D3F4C"/>
    <w:rsid w:val="003D3FE8"/>
    <w:rsid w:val="003D41FA"/>
    <w:rsid w:val="003D4203"/>
    <w:rsid w:val="003D4218"/>
    <w:rsid w:val="003D42CA"/>
    <w:rsid w:val="003D42D4"/>
    <w:rsid w:val="003D43DA"/>
    <w:rsid w:val="003D4574"/>
    <w:rsid w:val="003D4935"/>
    <w:rsid w:val="003D4F24"/>
    <w:rsid w:val="003D5083"/>
    <w:rsid w:val="003D5264"/>
    <w:rsid w:val="003D543F"/>
    <w:rsid w:val="003D5A89"/>
    <w:rsid w:val="003D5B5B"/>
    <w:rsid w:val="003D5F33"/>
    <w:rsid w:val="003D6201"/>
    <w:rsid w:val="003D6B57"/>
    <w:rsid w:val="003D6DFF"/>
    <w:rsid w:val="003D7857"/>
    <w:rsid w:val="003D7979"/>
    <w:rsid w:val="003D7E78"/>
    <w:rsid w:val="003D7F00"/>
    <w:rsid w:val="003E03FF"/>
    <w:rsid w:val="003E0595"/>
    <w:rsid w:val="003E088C"/>
    <w:rsid w:val="003E0B58"/>
    <w:rsid w:val="003E1238"/>
    <w:rsid w:val="003E15FC"/>
    <w:rsid w:val="003E199F"/>
    <w:rsid w:val="003E19E8"/>
    <w:rsid w:val="003E1B37"/>
    <w:rsid w:val="003E1E28"/>
    <w:rsid w:val="003E2189"/>
    <w:rsid w:val="003E2231"/>
    <w:rsid w:val="003E2D16"/>
    <w:rsid w:val="003E2F1C"/>
    <w:rsid w:val="003E3495"/>
    <w:rsid w:val="003E37ED"/>
    <w:rsid w:val="003E37F4"/>
    <w:rsid w:val="003E386F"/>
    <w:rsid w:val="003E3B19"/>
    <w:rsid w:val="003E3B72"/>
    <w:rsid w:val="003E3BB6"/>
    <w:rsid w:val="003E3CE2"/>
    <w:rsid w:val="003E4454"/>
    <w:rsid w:val="003E45BE"/>
    <w:rsid w:val="003E465D"/>
    <w:rsid w:val="003E468D"/>
    <w:rsid w:val="003E4D0E"/>
    <w:rsid w:val="003E522B"/>
    <w:rsid w:val="003E5358"/>
    <w:rsid w:val="003E5530"/>
    <w:rsid w:val="003E55A9"/>
    <w:rsid w:val="003E561A"/>
    <w:rsid w:val="003E574B"/>
    <w:rsid w:val="003E5938"/>
    <w:rsid w:val="003E5E80"/>
    <w:rsid w:val="003E61DA"/>
    <w:rsid w:val="003E6558"/>
    <w:rsid w:val="003E6756"/>
    <w:rsid w:val="003E6B76"/>
    <w:rsid w:val="003E6F05"/>
    <w:rsid w:val="003E6F32"/>
    <w:rsid w:val="003E707F"/>
    <w:rsid w:val="003E7176"/>
    <w:rsid w:val="003E7344"/>
    <w:rsid w:val="003E7809"/>
    <w:rsid w:val="003E7A46"/>
    <w:rsid w:val="003E7AEB"/>
    <w:rsid w:val="003E7C5C"/>
    <w:rsid w:val="003E7D55"/>
    <w:rsid w:val="003F0310"/>
    <w:rsid w:val="003F0C9D"/>
    <w:rsid w:val="003F0D84"/>
    <w:rsid w:val="003F101A"/>
    <w:rsid w:val="003F113C"/>
    <w:rsid w:val="003F18B8"/>
    <w:rsid w:val="003F1A29"/>
    <w:rsid w:val="003F1A83"/>
    <w:rsid w:val="003F2061"/>
    <w:rsid w:val="003F2356"/>
    <w:rsid w:val="003F2424"/>
    <w:rsid w:val="003F256A"/>
    <w:rsid w:val="003F2A5C"/>
    <w:rsid w:val="003F33C6"/>
    <w:rsid w:val="003F3855"/>
    <w:rsid w:val="003F3900"/>
    <w:rsid w:val="003F3BD0"/>
    <w:rsid w:val="003F3C25"/>
    <w:rsid w:val="003F3DE2"/>
    <w:rsid w:val="003F4366"/>
    <w:rsid w:val="003F4884"/>
    <w:rsid w:val="003F49DD"/>
    <w:rsid w:val="003F4AC5"/>
    <w:rsid w:val="003F4DC1"/>
    <w:rsid w:val="003F52AD"/>
    <w:rsid w:val="003F586F"/>
    <w:rsid w:val="003F58FE"/>
    <w:rsid w:val="003F5E3A"/>
    <w:rsid w:val="003F5EF7"/>
    <w:rsid w:val="003F62B2"/>
    <w:rsid w:val="003F6859"/>
    <w:rsid w:val="003F6983"/>
    <w:rsid w:val="003F6AEF"/>
    <w:rsid w:val="003F6DFE"/>
    <w:rsid w:val="003F7315"/>
    <w:rsid w:val="003F7ABB"/>
    <w:rsid w:val="003F7AE7"/>
    <w:rsid w:val="003F7D3A"/>
    <w:rsid w:val="0040015F"/>
    <w:rsid w:val="00400185"/>
    <w:rsid w:val="0040018E"/>
    <w:rsid w:val="0040077A"/>
    <w:rsid w:val="00401210"/>
    <w:rsid w:val="00401ABB"/>
    <w:rsid w:val="00401EFC"/>
    <w:rsid w:val="00401F08"/>
    <w:rsid w:val="004024B0"/>
    <w:rsid w:val="0040258E"/>
    <w:rsid w:val="00402DE3"/>
    <w:rsid w:val="00402F24"/>
    <w:rsid w:val="004032BB"/>
    <w:rsid w:val="00403474"/>
    <w:rsid w:val="004037D1"/>
    <w:rsid w:val="0040385D"/>
    <w:rsid w:val="0040391B"/>
    <w:rsid w:val="00403ADC"/>
    <w:rsid w:val="00403B32"/>
    <w:rsid w:val="00403F22"/>
    <w:rsid w:val="00404197"/>
    <w:rsid w:val="0040437D"/>
    <w:rsid w:val="0040446F"/>
    <w:rsid w:val="004044AE"/>
    <w:rsid w:val="00404868"/>
    <w:rsid w:val="004050A6"/>
    <w:rsid w:val="00405529"/>
    <w:rsid w:val="00405958"/>
    <w:rsid w:val="00405C10"/>
    <w:rsid w:val="00405E9A"/>
    <w:rsid w:val="004061AE"/>
    <w:rsid w:val="00406588"/>
    <w:rsid w:val="00406785"/>
    <w:rsid w:val="004067A3"/>
    <w:rsid w:val="004068A7"/>
    <w:rsid w:val="0040696A"/>
    <w:rsid w:val="00406EB0"/>
    <w:rsid w:val="0040790E"/>
    <w:rsid w:val="004079FB"/>
    <w:rsid w:val="004106C5"/>
    <w:rsid w:val="0041078A"/>
    <w:rsid w:val="00410CD5"/>
    <w:rsid w:val="00410F1F"/>
    <w:rsid w:val="00410F7D"/>
    <w:rsid w:val="00411200"/>
    <w:rsid w:val="004112AA"/>
    <w:rsid w:val="0041155F"/>
    <w:rsid w:val="0041191B"/>
    <w:rsid w:val="00411B8A"/>
    <w:rsid w:val="00411B9D"/>
    <w:rsid w:val="00411C4A"/>
    <w:rsid w:val="00411C7A"/>
    <w:rsid w:val="00411CD7"/>
    <w:rsid w:val="0041206F"/>
    <w:rsid w:val="0041220C"/>
    <w:rsid w:val="004124FE"/>
    <w:rsid w:val="0041263A"/>
    <w:rsid w:val="00412D71"/>
    <w:rsid w:val="00412EB5"/>
    <w:rsid w:val="0041354D"/>
    <w:rsid w:val="00413D4D"/>
    <w:rsid w:val="00414152"/>
    <w:rsid w:val="00414161"/>
    <w:rsid w:val="004142F1"/>
    <w:rsid w:val="004143A8"/>
    <w:rsid w:val="00414990"/>
    <w:rsid w:val="00414E56"/>
    <w:rsid w:val="00415211"/>
    <w:rsid w:val="004155C6"/>
    <w:rsid w:val="00415A64"/>
    <w:rsid w:val="00416526"/>
    <w:rsid w:val="00416820"/>
    <w:rsid w:val="00416A34"/>
    <w:rsid w:val="00416B07"/>
    <w:rsid w:val="00416C5B"/>
    <w:rsid w:val="00416DC3"/>
    <w:rsid w:val="00416E6C"/>
    <w:rsid w:val="00416F0A"/>
    <w:rsid w:val="004175EE"/>
    <w:rsid w:val="00417CF3"/>
    <w:rsid w:val="00417DA3"/>
    <w:rsid w:val="00417FF2"/>
    <w:rsid w:val="00420294"/>
    <w:rsid w:val="004203DC"/>
    <w:rsid w:val="004205B3"/>
    <w:rsid w:val="00420AB8"/>
    <w:rsid w:val="00420B15"/>
    <w:rsid w:val="004212E8"/>
    <w:rsid w:val="004218ED"/>
    <w:rsid w:val="00421A4C"/>
    <w:rsid w:val="00421BE8"/>
    <w:rsid w:val="00421C9C"/>
    <w:rsid w:val="00421CEE"/>
    <w:rsid w:val="00422A2D"/>
    <w:rsid w:val="00422C31"/>
    <w:rsid w:val="0042328A"/>
    <w:rsid w:val="004233B7"/>
    <w:rsid w:val="00423497"/>
    <w:rsid w:val="00423650"/>
    <w:rsid w:val="00423A79"/>
    <w:rsid w:val="004241DF"/>
    <w:rsid w:val="0042472C"/>
    <w:rsid w:val="00424A37"/>
    <w:rsid w:val="00424ABC"/>
    <w:rsid w:val="00424F84"/>
    <w:rsid w:val="00425056"/>
    <w:rsid w:val="0042506C"/>
    <w:rsid w:val="00425279"/>
    <w:rsid w:val="0042570F"/>
    <w:rsid w:val="00425B44"/>
    <w:rsid w:val="00425B55"/>
    <w:rsid w:val="00425BC4"/>
    <w:rsid w:val="00425D25"/>
    <w:rsid w:val="00425E53"/>
    <w:rsid w:val="00425E95"/>
    <w:rsid w:val="00425F38"/>
    <w:rsid w:val="00425FCD"/>
    <w:rsid w:val="00426080"/>
    <w:rsid w:val="00426D48"/>
    <w:rsid w:val="00426F09"/>
    <w:rsid w:val="004272E1"/>
    <w:rsid w:val="00427B53"/>
    <w:rsid w:val="0043080A"/>
    <w:rsid w:val="00430BED"/>
    <w:rsid w:val="004312B8"/>
    <w:rsid w:val="004318D3"/>
    <w:rsid w:val="004319D4"/>
    <w:rsid w:val="00431B0D"/>
    <w:rsid w:val="00431BBA"/>
    <w:rsid w:val="00431CEB"/>
    <w:rsid w:val="00432C69"/>
    <w:rsid w:val="00432DD6"/>
    <w:rsid w:val="00433210"/>
    <w:rsid w:val="0043340C"/>
    <w:rsid w:val="004336F0"/>
    <w:rsid w:val="00433727"/>
    <w:rsid w:val="0043374C"/>
    <w:rsid w:val="00433BEB"/>
    <w:rsid w:val="00433ECD"/>
    <w:rsid w:val="0043411B"/>
    <w:rsid w:val="004342A8"/>
    <w:rsid w:val="0043471F"/>
    <w:rsid w:val="00434C56"/>
    <w:rsid w:val="00434D61"/>
    <w:rsid w:val="00435054"/>
    <w:rsid w:val="00435454"/>
    <w:rsid w:val="004354D5"/>
    <w:rsid w:val="0043550A"/>
    <w:rsid w:val="00435E77"/>
    <w:rsid w:val="00436E4B"/>
    <w:rsid w:val="004374CD"/>
    <w:rsid w:val="004376E7"/>
    <w:rsid w:val="00437E34"/>
    <w:rsid w:val="0044073F"/>
    <w:rsid w:val="0044092C"/>
    <w:rsid w:val="004417ED"/>
    <w:rsid w:val="00442FC0"/>
    <w:rsid w:val="004431DA"/>
    <w:rsid w:val="004438A9"/>
    <w:rsid w:val="004438D2"/>
    <w:rsid w:val="0044391B"/>
    <w:rsid w:val="00443A3D"/>
    <w:rsid w:val="00443D4C"/>
    <w:rsid w:val="00443F66"/>
    <w:rsid w:val="0044435C"/>
    <w:rsid w:val="004443F4"/>
    <w:rsid w:val="004444D2"/>
    <w:rsid w:val="004448C6"/>
    <w:rsid w:val="00444917"/>
    <w:rsid w:val="0044491E"/>
    <w:rsid w:val="00444BB9"/>
    <w:rsid w:val="00444D0E"/>
    <w:rsid w:val="00445BF1"/>
    <w:rsid w:val="00445D7C"/>
    <w:rsid w:val="00445DFA"/>
    <w:rsid w:val="00445F5B"/>
    <w:rsid w:val="0044622F"/>
    <w:rsid w:val="004466E0"/>
    <w:rsid w:val="00446745"/>
    <w:rsid w:val="0044674E"/>
    <w:rsid w:val="004468A6"/>
    <w:rsid w:val="00447331"/>
    <w:rsid w:val="00447361"/>
    <w:rsid w:val="00447465"/>
    <w:rsid w:val="00447DC5"/>
    <w:rsid w:val="00447F91"/>
    <w:rsid w:val="0045013F"/>
    <w:rsid w:val="00450651"/>
    <w:rsid w:val="004506A4"/>
    <w:rsid w:val="00450AF0"/>
    <w:rsid w:val="00450C44"/>
    <w:rsid w:val="004510F4"/>
    <w:rsid w:val="0045156A"/>
    <w:rsid w:val="0045158A"/>
    <w:rsid w:val="004516B8"/>
    <w:rsid w:val="00451FE4"/>
    <w:rsid w:val="00452259"/>
    <w:rsid w:val="004524FD"/>
    <w:rsid w:val="00452AD2"/>
    <w:rsid w:val="00452DCC"/>
    <w:rsid w:val="00452EC0"/>
    <w:rsid w:val="00453477"/>
    <w:rsid w:val="00453B89"/>
    <w:rsid w:val="004544A1"/>
    <w:rsid w:val="00454507"/>
    <w:rsid w:val="00454559"/>
    <w:rsid w:val="0045457A"/>
    <w:rsid w:val="00454640"/>
    <w:rsid w:val="004548E6"/>
    <w:rsid w:val="00454AFD"/>
    <w:rsid w:val="00454F85"/>
    <w:rsid w:val="0045516D"/>
    <w:rsid w:val="00455302"/>
    <w:rsid w:val="0045554E"/>
    <w:rsid w:val="00455B1B"/>
    <w:rsid w:val="00456638"/>
    <w:rsid w:val="004566AB"/>
    <w:rsid w:val="004569E9"/>
    <w:rsid w:val="00456B21"/>
    <w:rsid w:val="00457334"/>
    <w:rsid w:val="004573BC"/>
    <w:rsid w:val="004575E6"/>
    <w:rsid w:val="00457DEA"/>
    <w:rsid w:val="00457E27"/>
    <w:rsid w:val="004601EB"/>
    <w:rsid w:val="004603B3"/>
    <w:rsid w:val="00461079"/>
    <w:rsid w:val="00461493"/>
    <w:rsid w:val="0046197E"/>
    <w:rsid w:val="00462981"/>
    <w:rsid w:val="0046298E"/>
    <w:rsid w:val="004629AB"/>
    <w:rsid w:val="00462E09"/>
    <w:rsid w:val="0046326D"/>
    <w:rsid w:val="004634A3"/>
    <w:rsid w:val="00463612"/>
    <w:rsid w:val="004639A3"/>
    <w:rsid w:val="00463DD3"/>
    <w:rsid w:val="0046410B"/>
    <w:rsid w:val="0046421C"/>
    <w:rsid w:val="0046433A"/>
    <w:rsid w:val="0046449A"/>
    <w:rsid w:val="00464D5E"/>
    <w:rsid w:val="00464F2F"/>
    <w:rsid w:val="004652F1"/>
    <w:rsid w:val="004657C4"/>
    <w:rsid w:val="00465E67"/>
    <w:rsid w:val="0046650C"/>
    <w:rsid w:val="004670B3"/>
    <w:rsid w:val="00467115"/>
    <w:rsid w:val="00467468"/>
    <w:rsid w:val="00467584"/>
    <w:rsid w:val="0046760E"/>
    <w:rsid w:val="00467859"/>
    <w:rsid w:val="00467C97"/>
    <w:rsid w:val="00467E36"/>
    <w:rsid w:val="0047007D"/>
    <w:rsid w:val="0047031F"/>
    <w:rsid w:val="004706DF"/>
    <w:rsid w:val="00470AB7"/>
    <w:rsid w:val="004710B8"/>
    <w:rsid w:val="0047123D"/>
    <w:rsid w:val="00471359"/>
    <w:rsid w:val="004719E8"/>
    <w:rsid w:val="00471A6A"/>
    <w:rsid w:val="00471D7F"/>
    <w:rsid w:val="00471DF3"/>
    <w:rsid w:val="004722BE"/>
    <w:rsid w:val="00472B8D"/>
    <w:rsid w:val="00473868"/>
    <w:rsid w:val="00474020"/>
    <w:rsid w:val="004740B1"/>
    <w:rsid w:val="0047410C"/>
    <w:rsid w:val="004747D7"/>
    <w:rsid w:val="00474A04"/>
    <w:rsid w:val="00474F96"/>
    <w:rsid w:val="00474FFA"/>
    <w:rsid w:val="00475897"/>
    <w:rsid w:val="004760DD"/>
    <w:rsid w:val="0047610D"/>
    <w:rsid w:val="004763C4"/>
    <w:rsid w:val="004767AE"/>
    <w:rsid w:val="00476940"/>
    <w:rsid w:val="00476A0C"/>
    <w:rsid w:val="00476B9B"/>
    <w:rsid w:val="00476CDE"/>
    <w:rsid w:val="00476EA1"/>
    <w:rsid w:val="00476EB8"/>
    <w:rsid w:val="00477485"/>
    <w:rsid w:val="00477661"/>
    <w:rsid w:val="00477A6A"/>
    <w:rsid w:val="00477D98"/>
    <w:rsid w:val="004802A1"/>
    <w:rsid w:val="0048054C"/>
    <w:rsid w:val="0048057C"/>
    <w:rsid w:val="00480F64"/>
    <w:rsid w:val="00480FDF"/>
    <w:rsid w:val="00481171"/>
    <w:rsid w:val="004811E0"/>
    <w:rsid w:val="00481354"/>
    <w:rsid w:val="004819DB"/>
    <w:rsid w:val="00481A39"/>
    <w:rsid w:val="00481D3F"/>
    <w:rsid w:val="00481E5B"/>
    <w:rsid w:val="0048221B"/>
    <w:rsid w:val="00482561"/>
    <w:rsid w:val="00482891"/>
    <w:rsid w:val="00482E6D"/>
    <w:rsid w:val="00483199"/>
    <w:rsid w:val="00483F5C"/>
    <w:rsid w:val="004847DC"/>
    <w:rsid w:val="004847F8"/>
    <w:rsid w:val="00484933"/>
    <w:rsid w:val="00484B2C"/>
    <w:rsid w:val="00484FB0"/>
    <w:rsid w:val="004854FE"/>
    <w:rsid w:val="004855BF"/>
    <w:rsid w:val="00485AFE"/>
    <w:rsid w:val="00486272"/>
    <w:rsid w:val="00486433"/>
    <w:rsid w:val="0048667E"/>
    <w:rsid w:val="00486A5A"/>
    <w:rsid w:val="00486D51"/>
    <w:rsid w:val="00486DC2"/>
    <w:rsid w:val="0048733A"/>
    <w:rsid w:val="004873D3"/>
    <w:rsid w:val="004876F8"/>
    <w:rsid w:val="0048793E"/>
    <w:rsid w:val="00487B07"/>
    <w:rsid w:val="004906DA"/>
    <w:rsid w:val="00490F2D"/>
    <w:rsid w:val="00490F44"/>
    <w:rsid w:val="0049127C"/>
    <w:rsid w:val="004917DE"/>
    <w:rsid w:val="00491835"/>
    <w:rsid w:val="00491AD2"/>
    <w:rsid w:val="00491CEE"/>
    <w:rsid w:val="00491D78"/>
    <w:rsid w:val="00491E78"/>
    <w:rsid w:val="00491E9E"/>
    <w:rsid w:val="004921C2"/>
    <w:rsid w:val="004924B8"/>
    <w:rsid w:val="004928B0"/>
    <w:rsid w:val="00492C0E"/>
    <w:rsid w:val="004930CC"/>
    <w:rsid w:val="004934DF"/>
    <w:rsid w:val="00493C82"/>
    <w:rsid w:val="00493EEF"/>
    <w:rsid w:val="00493F3B"/>
    <w:rsid w:val="00494185"/>
    <w:rsid w:val="004944E2"/>
    <w:rsid w:val="00494A20"/>
    <w:rsid w:val="00494A95"/>
    <w:rsid w:val="00495472"/>
    <w:rsid w:val="004954BB"/>
    <w:rsid w:val="004957DB"/>
    <w:rsid w:val="00495870"/>
    <w:rsid w:val="004958A0"/>
    <w:rsid w:val="00495A89"/>
    <w:rsid w:val="00495D17"/>
    <w:rsid w:val="0049634C"/>
    <w:rsid w:val="004963E1"/>
    <w:rsid w:val="004964D7"/>
    <w:rsid w:val="00496795"/>
    <w:rsid w:val="00496ACA"/>
    <w:rsid w:val="00496FD4"/>
    <w:rsid w:val="004970AD"/>
    <w:rsid w:val="0049717C"/>
    <w:rsid w:val="004974CF"/>
    <w:rsid w:val="004974FF"/>
    <w:rsid w:val="004975BF"/>
    <w:rsid w:val="00497806"/>
    <w:rsid w:val="004978C1"/>
    <w:rsid w:val="004A01CF"/>
    <w:rsid w:val="004A03AD"/>
    <w:rsid w:val="004A06D9"/>
    <w:rsid w:val="004A0BFD"/>
    <w:rsid w:val="004A0FE3"/>
    <w:rsid w:val="004A14E9"/>
    <w:rsid w:val="004A14F9"/>
    <w:rsid w:val="004A19B6"/>
    <w:rsid w:val="004A22F9"/>
    <w:rsid w:val="004A312D"/>
    <w:rsid w:val="004A3329"/>
    <w:rsid w:val="004A3764"/>
    <w:rsid w:val="004A3941"/>
    <w:rsid w:val="004A3B4B"/>
    <w:rsid w:val="004A3E75"/>
    <w:rsid w:val="004A4020"/>
    <w:rsid w:val="004A4188"/>
    <w:rsid w:val="004A4D99"/>
    <w:rsid w:val="004A4E60"/>
    <w:rsid w:val="004A4EC7"/>
    <w:rsid w:val="004A51D4"/>
    <w:rsid w:val="004A5483"/>
    <w:rsid w:val="004A5C74"/>
    <w:rsid w:val="004A5CA2"/>
    <w:rsid w:val="004A6327"/>
    <w:rsid w:val="004A6472"/>
    <w:rsid w:val="004A68F9"/>
    <w:rsid w:val="004A6B74"/>
    <w:rsid w:val="004A7053"/>
    <w:rsid w:val="004A7602"/>
    <w:rsid w:val="004A76DC"/>
    <w:rsid w:val="004A7BD1"/>
    <w:rsid w:val="004B01FA"/>
    <w:rsid w:val="004B058F"/>
    <w:rsid w:val="004B08B2"/>
    <w:rsid w:val="004B08C3"/>
    <w:rsid w:val="004B0E40"/>
    <w:rsid w:val="004B1166"/>
    <w:rsid w:val="004B1216"/>
    <w:rsid w:val="004B1267"/>
    <w:rsid w:val="004B17E4"/>
    <w:rsid w:val="004B194C"/>
    <w:rsid w:val="004B19B1"/>
    <w:rsid w:val="004B1CAF"/>
    <w:rsid w:val="004B1E9E"/>
    <w:rsid w:val="004B20D1"/>
    <w:rsid w:val="004B216B"/>
    <w:rsid w:val="004B22A2"/>
    <w:rsid w:val="004B2642"/>
    <w:rsid w:val="004B29D3"/>
    <w:rsid w:val="004B2CFD"/>
    <w:rsid w:val="004B3181"/>
    <w:rsid w:val="004B339C"/>
    <w:rsid w:val="004B35B3"/>
    <w:rsid w:val="004B382E"/>
    <w:rsid w:val="004B3E90"/>
    <w:rsid w:val="004B3F01"/>
    <w:rsid w:val="004B446B"/>
    <w:rsid w:val="004B459B"/>
    <w:rsid w:val="004B48C2"/>
    <w:rsid w:val="004B4A5B"/>
    <w:rsid w:val="004B4DBB"/>
    <w:rsid w:val="004B4DF5"/>
    <w:rsid w:val="004B4ED5"/>
    <w:rsid w:val="004B5527"/>
    <w:rsid w:val="004B56F9"/>
    <w:rsid w:val="004B5B01"/>
    <w:rsid w:val="004B5D69"/>
    <w:rsid w:val="004B5E42"/>
    <w:rsid w:val="004B5ED6"/>
    <w:rsid w:val="004B5F11"/>
    <w:rsid w:val="004B62C2"/>
    <w:rsid w:val="004B6742"/>
    <w:rsid w:val="004B67D0"/>
    <w:rsid w:val="004B67EA"/>
    <w:rsid w:val="004B6B96"/>
    <w:rsid w:val="004B7849"/>
    <w:rsid w:val="004B7AD8"/>
    <w:rsid w:val="004B7BDF"/>
    <w:rsid w:val="004B7DCC"/>
    <w:rsid w:val="004B7DD0"/>
    <w:rsid w:val="004B7DDC"/>
    <w:rsid w:val="004C0843"/>
    <w:rsid w:val="004C0A10"/>
    <w:rsid w:val="004C0BFB"/>
    <w:rsid w:val="004C1287"/>
    <w:rsid w:val="004C1309"/>
    <w:rsid w:val="004C17FD"/>
    <w:rsid w:val="004C1BD9"/>
    <w:rsid w:val="004C22B4"/>
    <w:rsid w:val="004C287D"/>
    <w:rsid w:val="004C30F0"/>
    <w:rsid w:val="004C33F3"/>
    <w:rsid w:val="004C3791"/>
    <w:rsid w:val="004C39E7"/>
    <w:rsid w:val="004C3B73"/>
    <w:rsid w:val="004C3E0A"/>
    <w:rsid w:val="004C3F22"/>
    <w:rsid w:val="004C3FDD"/>
    <w:rsid w:val="004C42C7"/>
    <w:rsid w:val="004C4807"/>
    <w:rsid w:val="004C4B37"/>
    <w:rsid w:val="004C4D5B"/>
    <w:rsid w:val="004C50AB"/>
    <w:rsid w:val="004C5200"/>
    <w:rsid w:val="004C525C"/>
    <w:rsid w:val="004C5AC8"/>
    <w:rsid w:val="004C5C70"/>
    <w:rsid w:val="004C615B"/>
    <w:rsid w:val="004C6341"/>
    <w:rsid w:val="004C6857"/>
    <w:rsid w:val="004C6BA0"/>
    <w:rsid w:val="004C7106"/>
    <w:rsid w:val="004C7516"/>
    <w:rsid w:val="004C7810"/>
    <w:rsid w:val="004C788B"/>
    <w:rsid w:val="004C7AD9"/>
    <w:rsid w:val="004D0354"/>
    <w:rsid w:val="004D0558"/>
    <w:rsid w:val="004D08AF"/>
    <w:rsid w:val="004D0E53"/>
    <w:rsid w:val="004D12E8"/>
    <w:rsid w:val="004D12F0"/>
    <w:rsid w:val="004D1770"/>
    <w:rsid w:val="004D1965"/>
    <w:rsid w:val="004D1978"/>
    <w:rsid w:val="004D1A88"/>
    <w:rsid w:val="004D2643"/>
    <w:rsid w:val="004D26B2"/>
    <w:rsid w:val="004D26D8"/>
    <w:rsid w:val="004D290F"/>
    <w:rsid w:val="004D2DED"/>
    <w:rsid w:val="004D2E45"/>
    <w:rsid w:val="004D3502"/>
    <w:rsid w:val="004D37A1"/>
    <w:rsid w:val="004D3A05"/>
    <w:rsid w:val="004D439C"/>
    <w:rsid w:val="004D497D"/>
    <w:rsid w:val="004D4C48"/>
    <w:rsid w:val="004D53AC"/>
    <w:rsid w:val="004D5C94"/>
    <w:rsid w:val="004D640C"/>
    <w:rsid w:val="004D6581"/>
    <w:rsid w:val="004D67F9"/>
    <w:rsid w:val="004D69B4"/>
    <w:rsid w:val="004D715C"/>
    <w:rsid w:val="004D7989"/>
    <w:rsid w:val="004D7B8D"/>
    <w:rsid w:val="004D7C30"/>
    <w:rsid w:val="004D7CD2"/>
    <w:rsid w:val="004D7D8A"/>
    <w:rsid w:val="004E00A3"/>
    <w:rsid w:val="004E0623"/>
    <w:rsid w:val="004E08B4"/>
    <w:rsid w:val="004E0A68"/>
    <w:rsid w:val="004E0B66"/>
    <w:rsid w:val="004E0E42"/>
    <w:rsid w:val="004E1024"/>
    <w:rsid w:val="004E1230"/>
    <w:rsid w:val="004E14A4"/>
    <w:rsid w:val="004E173E"/>
    <w:rsid w:val="004E1E76"/>
    <w:rsid w:val="004E23FC"/>
    <w:rsid w:val="004E2DD1"/>
    <w:rsid w:val="004E2F97"/>
    <w:rsid w:val="004E36D1"/>
    <w:rsid w:val="004E385F"/>
    <w:rsid w:val="004E38D7"/>
    <w:rsid w:val="004E3A1A"/>
    <w:rsid w:val="004E3F02"/>
    <w:rsid w:val="004E4111"/>
    <w:rsid w:val="004E4285"/>
    <w:rsid w:val="004E4AFF"/>
    <w:rsid w:val="004E5069"/>
    <w:rsid w:val="004E5634"/>
    <w:rsid w:val="004E5735"/>
    <w:rsid w:val="004E57B0"/>
    <w:rsid w:val="004E636D"/>
    <w:rsid w:val="004E6542"/>
    <w:rsid w:val="004E678D"/>
    <w:rsid w:val="004E6F84"/>
    <w:rsid w:val="004E7092"/>
    <w:rsid w:val="004E7D75"/>
    <w:rsid w:val="004E7F54"/>
    <w:rsid w:val="004E7F67"/>
    <w:rsid w:val="004F01B1"/>
    <w:rsid w:val="004F0684"/>
    <w:rsid w:val="004F075B"/>
    <w:rsid w:val="004F0966"/>
    <w:rsid w:val="004F0A00"/>
    <w:rsid w:val="004F0C0D"/>
    <w:rsid w:val="004F11EA"/>
    <w:rsid w:val="004F1A04"/>
    <w:rsid w:val="004F1BD4"/>
    <w:rsid w:val="004F1FA2"/>
    <w:rsid w:val="004F2436"/>
    <w:rsid w:val="004F26CA"/>
    <w:rsid w:val="004F2886"/>
    <w:rsid w:val="004F298E"/>
    <w:rsid w:val="004F29A9"/>
    <w:rsid w:val="004F2B9D"/>
    <w:rsid w:val="004F2DD2"/>
    <w:rsid w:val="004F31EC"/>
    <w:rsid w:val="004F3989"/>
    <w:rsid w:val="004F3AFA"/>
    <w:rsid w:val="004F3E6E"/>
    <w:rsid w:val="004F3EA0"/>
    <w:rsid w:val="004F402B"/>
    <w:rsid w:val="004F419B"/>
    <w:rsid w:val="004F444B"/>
    <w:rsid w:val="004F4518"/>
    <w:rsid w:val="004F47DE"/>
    <w:rsid w:val="004F4D91"/>
    <w:rsid w:val="004F4EA1"/>
    <w:rsid w:val="004F4EF2"/>
    <w:rsid w:val="004F5297"/>
    <w:rsid w:val="004F53AC"/>
    <w:rsid w:val="004F5CA2"/>
    <w:rsid w:val="004F6098"/>
    <w:rsid w:val="004F6397"/>
    <w:rsid w:val="004F6528"/>
    <w:rsid w:val="004F6745"/>
    <w:rsid w:val="004F69B7"/>
    <w:rsid w:val="004F6B45"/>
    <w:rsid w:val="004F6E93"/>
    <w:rsid w:val="004F72A5"/>
    <w:rsid w:val="004F760C"/>
    <w:rsid w:val="004F7834"/>
    <w:rsid w:val="004F79BB"/>
    <w:rsid w:val="004F7C41"/>
    <w:rsid w:val="004F7F1F"/>
    <w:rsid w:val="00500202"/>
    <w:rsid w:val="0050037F"/>
    <w:rsid w:val="00500568"/>
    <w:rsid w:val="005005C8"/>
    <w:rsid w:val="00500725"/>
    <w:rsid w:val="00500C9E"/>
    <w:rsid w:val="00500E98"/>
    <w:rsid w:val="00501300"/>
    <w:rsid w:val="00501313"/>
    <w:rsid w:val="0050135C"/>
    <w:rsid w:val="00501383"/>
    <w:rsid w:val="00501742"/>
    <w:rsid w:val="00501897"/>
    <w:rsid w:val="00501DA8"/>
    <w:rsid w:val="00501DCF"/>
    <w:rsid w:val="00501E7B"/>
    <w:rsid w:val="00502228"/>
    <w:rsid w:val="005023DC"/>
    <w:rsid w:val="00502560"/>
    <w:rsid w:val="0050276C"/>
    <w:rsid w:val="00502BA1"/>
    <w:rsid w:val="00502D82"/>
    <w:rsid w:val="00503127"/>
    <w:rsid w:val="00503295"/>
    <w:rsid w:val="005040F2"/>
    <w:rsid w:val="0050467C"/>
    <w:rsid w:val="005046F6"/>
    <w:rsid w:val="005048F9"/>
    <w:rsid w:val="00504DAE"/>
    <w:rsid w:val="00504E44"/>
    <w:rsid w:val="005050A8"/>
    <w:rsid w:val="005056D9"/>
    <w:rsid w:val="0050585D"/>
    <w:rsid w:val="00505880"/>
    <w:rsid w:val="00505AED"/>
    <w:rsid w:val="00505B60"/>
    <w:rsid w:val="00506C76"/>
    <w:rsid w:val="00506FAD"/>
    <w:rsid w:val="005070CD"/>
    <w:rsid w:val="0050727D"/>
    <w:rsid w:val="005072FB"/>
    <w:rsid w:val="00507462"/>
    <w:rsid w:val="00507530"/>
    <w:rsid w:val="00507CF5"/>
    <w:rsid w:val="00507D4E"/>
    <w:rsid w:val="00507E7E"/>
    <w:rsid w:val="005107EB"/>
    <w:rsid w:val="00510ACD"/>
    <w:rsid w:val="00510C03"/>
    <w:rsid w:val="00510FF0"/>
    <w:rsid w:val="005115C5"/>
    <w:rsid w:val="00511AC4"/>
    <w:rsid w:val="00511C78"/>
    <w:rsid w:val="00512083"/>
    <w:rsid w:val="00512227"/>
    <w:rsid w:val="00512380"/>
    <w:rsid w:val="005126E4"/>
    <w:rsid w:val="005126F9"/>
    <w:rsid w:val="00512C8A"/>
    <w:rsid w:val="00512C9B"/>
    <w:rsid w:val="00512FDF"/>
    <w:rsid w:val="005130AB"/>
    <w:rsid w:val="005137F0"/>
    <w:rsid w:val="00513B89"/>
    <w:rsid w:val="0051417A"/>
    <w:rsid w:val="00514815"/>
    <w:rsid w:val="00514848"/>
    <w:rsid w:val="00514A9D"/>
    <w:rsid w:val="00514C92"/>
    <w:rsid w:val="0051574E"/>
    <w:rsid w:val="0051588A"/>
    <w:rsid w:val="00515AC8"/>
    <w:rsid w:val="00515C61"/>
    <w:rsid w:val="00516056"/>
    <w:rsid w:val="00516680"/>
    <w:rsid w:val="0051694B"/>
    <w:rsid w:val="00516C94"/>
    <w:rsid w:val="00516E34"/>
    <w:rsid w:val="00516F35"/>
    <w:rsid w:val="00516F6D"/>
    <w:rsid w:val="00517089"/>
    <w:rsid w:val="005178D5"/>
    <w:rsid w:val="00517A1E"/>
    <w:rsid w:val="00517AAB"/>
    <w:rsid w:val="00517CCA"/>
    <w:rsid w:val="005204F3"/>
    <w:rsid w:val="00520692"/>
    <w:rsid w:val="0052082B"/>
    <w:rsid w:val="00520926"/>
    <w:rsid w:val="00520E32"/>
    <w:rsid w:val="00521117"/>
    <w:rsid w:val="00521419"/>
    <w:rsid w:val="00521449"/>
    <w:rsid w:val="00521745"/>
    <w:rsid w:val="005217C0"/>
    <w:rsid w:val="00521861"/>
    <w:rsid w:val="005220D6"/>
    <w:rsid w:val="0052273E"/>
    <w:rsid w:val="00522F9A"/>
    <w:rsid w:val="005230C3"/>
    <w:rsid w:val="0052340C"/>
    <w:rsid w:val="0052357C"/>
    <w:rsid w:val="00523956"/>
    <w:rsid w:val="00523CAB"/>
    <w:rsid w:val="00523FAC"/>
    <w:rsid w:val="0052423E"/>
    <w:rsid w:val="005245A2"/>
    <w:rsid w:val="005246D4"/>
    <w:rsid w:val="0052472C"/>
    <w:rsid w:val="00524A89"/>
    <w:rsid w:val="005252CC"/>
    <w:rsid w:val="005254CC"/>
    <w:rsid w:val="0052555D"/>
    <w:rsid w:val="005255F2"/>
    <w:rsid w:val="00525636"/>
    <w:rsid w:val="005256DD"/>
    <w:rsid w:val="00525FD5"/>
    <w:rsid w:val="00526021"/>
    <w:rsid w:val="0052607E"/>
    <w:rsid w:val="005264B5"/>
    <w:rsid w:val="0052676E"/>
    <w:rsid w:val="00527115"/>
    <w:rsid w:val="005275F2"/>
    <w:rsid w:val="00527A07"/>
    <w:rsid w:val="00527E60"/>
    <w:rsid w:val="0053000B"/>
    <w:rsid w:val="00530191"/>
    <w:rsid w:val="00530AC7"/>
    <w:rsid w:val="00530CE0"/>
    <w:rsid w:val="00530DE8"/>
    <w:rsid w:val="00530F9F"/>
    <w:rsid w:val="00531101"/>
    <w:rsid w:val="00531149"/>
    <w:rsid w:val="00531430"/>
    <w:rsid w:val="00531919"/>
    <w:rsid w:val="00531BC6"/>
    <w:rsid w:val="00532187"/>
    <w:rsid w:val="005325D9"/>
    <w:rsid w:val="00532644"/>
    <w:rsid w:val="00532974"/>
    <w:rsid w:val="00532F9A"/>
    <w:rsid w:val="005331A5"/>
    <w:rsid w:val="0053334C"/>
    <w:rsid w:val="00533371"/>
    <w:rsid w:val="00533414"/>
    <w:rsid w:val="005339B1"/>
    <w:rsid w:val="005341AA"/>
    <w:rsid w:val="0053435F"/>
    <w:rsid w:val="0053477E"/>
    <w:rsid w:val="005349CD"/>
    <w:rsid w:val="00535170"/>
    <w:rsid w:val="0053520D"/>
    <w:rsid w:val="00535513"/>
    <w:rsid w:val="005358B2"/>
    <w:rsid w:val="00535A8C"/>
    <w:rsid w:val="00535AE1"/>
    <w:rsid w:val="00535C35"/>
    <w:rsid w:val="00536255"/>
    <w:rsid w:val="00536365"/>
    <w:rsid w:val="0053640E"/>
    <w:rsid w:val="0053649C"/>
    <w:rsid w:val="005366B9"/>
    <w:rsid w:val="005369C1"/>
    <w:rsid w:val="00536BD7"/>
    <w:rsid w:val="00536DE0"/>
    <w:rsid w:val="00537015"/>
    <w:rsid w:val="00537138"/>
    <w:rsid w:val="00537177"/>
    <w:rsid w:val="005372C9"/>
    <w:rsid w:val="005374A3"/>
    <w:rsid w:val="005374C3"/>
    <w:rsid w:val="00537577"/>
    <w:rsid w:val="0053796A"/>
    <w:rsid w:val="00537BE6"/>
    <w:rsid w:val="00540509"/>
    <w:rsid w:val="0054053A"/>
    <w:rsid w:val="00540B54"/>
    <w:rsid w:val="00540E5D"/>
    <w:rsid w:val="00541000"/>
    <w:rsid w:val="00541674"/>
    <w:rsid w:val="00541894"/>
    <w:rsid w:val="005418EE"/>
    <w:rsid w:val="00541A07"/>
    <w:rsid w:val="00541E39"/>
    <w:rsid w:val="0054236F"/>
    <w:rsid w:val="00542A75"/>
    <w:rsid w:val="00542C2C"/>
    <w:rsid w:val="00542D45"/>
    <w:rsid w:val="00542E32"/>
    <w:rsid w:val="00542ECA"/>
    <w:rsid w:val="00542F5F"/>
    <w:rsid w:val="00543104"/>
    <w:rsid w:val="0054322B"/>
    <w:rsid w:val="00543A3F"/>
    <w:rsid w:val="00543BDB"/>
    <w:rsid w:val="00544103"/>
    <w:rsid w:val="0054450E"/>
    <w:rsid w:val="00544685"/>
    <w:rsid w:val="005447B3"/>
    <w:rsid w:val="0054495C"/>
    <w:rsid w:val="00544AC1"/>
    <w:rsid w:val="00544D90"/>
    <w:rsid w:val="00544F17"/>
    <w:rsid w:val="00544F86"/>
    <w:rsid w:val="00545599"/>
    <w:rsid w:val="0054593A"/>
    <w:rsid w:val="00545A48"/>
    <w:rsid w:val="00546369"/>
    <w:rsid w:val="0054659E"/>
    <w:rsid w:val="0054665E"/>
    <w:rsid w:val="00546753"/>
    <w:rsid w:val="005467ED"/>
    <w:rsid w:val="00546813"/>
    <w:rsid w:val="005468BC"/>
    <w:rsid w:val="005469DD"/>
    <w:rsid w:val="00546DA2"/>
    <w:rsid w:val="00547671"/>
    <w:rsid w:val="005478F2"/>
    <w:rsid w:val="00547AB6"/>
    <w:rsid w:val="00547F2A"/>
    <w:rsid w:val="005505C9"/>
    <w:rsid w:val="0055082E"/>
    <w:rsid w:val="00550941"/>
    <w:rsid w:val="00550E1C"/>
    <w:rsid w:val="00550EDA"/>
    <w:rsid w:val="00550F60"/>
    <w:rsid w:val="005511AF"/>
    <w:rsid w:val="005519BB"/>
    <w:rsid w:val="00551C5A"/>
    <w:rsid w:val="00551CC8"/>
    <w:rsid w:val="00551E8F"/>
    <w:rsid w:val="00552075"/>
    <w:rsid w:val="00552570"/>
    <w:rsid w:val="005528E4"/>
    <w:rsid w:val="00553280"/>
    <w:rsid w:val="00553377"/>
    <w:rsid w:val="00553413"/>
    <w:rsid w:val="00553943"/>
    <w:rsid w:val="00553D31"/>
    <w:rsid w:val="0055406E"/>
    <w:rsid w:val="00554341"/>
    <w:rsid w:val="00554617"/>
    <w:rsid w:val="0055467B"/>
    <w:rsid w:val="005549A9"/>
    <w:rsid w:val="00554C0C"/>
    <w:rsid w:val="00554C29"/>
    <w:rsid w:val="0055516F"/>
    <w:rsid w:val="00555840"/>
    <w:rsid w:val="00555A02"/>
    <w:rsid w:val="00555C37"/>
    <w:rsid w:val="00556140"/>
    <w:rsid w:val="0055627E"/>
    <w:rsid w:val="00556555"/>
    <w:rsid w:val="0055672C"/>
    <w:rsid w:val="00556B24"/>
    <w:rsid w:val="00556DA1"/>
    <w:rsid w:val="00556FE8"/>
    <w:rsid w:val="005571C1"/>
    <w:rsid w:val="005571DC"/>
    <w:rsid w:val="005572B5"/>
    <w:rsid w:val="005574DC"/>
    <w:rsid w:val="005574F9"/>
    <w:rsid w:val="00557553"/>
    <w:rsid w:val="005575C1"/>
    <w:rsid w:val="00557718"/>
    <w:rsid w:val="005578A4"/>
    <w:rsid w:val="00557EB5"/>
    <w:rsid w:val="00557FD7"/>
    <w:rsid w:val="0056012E"/>
    <w:rsid w:val="00560187"/>
    <w:rsid w:val="00560812"/>
    <w:rsid w:val="00560B6E"/>
    <w:rsid w:val="005621C3"/>
    <w:rsid w:val="005625D1"/>
    <w:rsid w:val="00562DAB"/>
    <w:rsid w:val="00562E2C"/>
    <w:rsid w:val="005634BF"/>
    <w:rsid w:val="00563B3E"/>
    <w:rsid w:val="00563CA3"/>
    <w:rsid w:val="0056425D"/>
    <w:rsid w:val="0056454F"/>
    <w:rsid w:val="0056467A"/>
    <w:rsid w:val="0056478C"/>
    <w:rsid w:val="00564E7A"/>
    <w:rsid w:val="00565023"/>
    <w:rsid w:val="005651F8"/>
    <w:rsid w:val="00565215"/>
    <w:rsid w:val="00565970"/>
    <w:rsid w:val="00565992"/>
    <w:rsid w:val="00565C24"/>
    <w:rsid w:val="00566020"/>
    <w:rsid w:val="0056602B"/>
    <w:rsid w:val="00566059"/>
    <w:rsid w:val="0056633E"/>
    <w:rsid w:val="005665CF"/>
    <w:rsid w:val="00566713"/>
    <w:rsid w:val="00566852"/>
    <w:rsid w:val="0056686E"/>
    <w:rsid w:val="00566D08"/>
    <w:rsid w:val="00566DE1"/>
    <w:rsid w:val="00566E3F"/>
    <w:rsid w:val="0056766B"/>
    <w:rsid w:val="0056780B"/>
    <w:rsid w:val="00567C8C"/>
    <w:rsid w:val="00567C90"/>
    <w:rsid w:val="00567EA2"/>
    <w:rsid w:val="00567F31"/>
    <w:rsid w:val="00570104"/>
    <w:rsid w:val="00570327"/>
    <w:rsid w:val="00570EF5"/>
    <w:rsid w:val="0057112A"/>
    <w:rsid w:val="005712CD"/>
    <w:rsid w:val="005718A1"/>
    <w:rsid w:val="00572382"/>
    <w:rsid w:val="005725D7"/>
    <w:rsid w:val="00572BB5"/>
    <w:rsid w:val="005731E2"/>
    <w:rsid w:val="00573354"/>
    <w:rsid w:val="005733B0"/>
    <w:rsid w:val="005735F4"/>
    <w:rsid w:val="00573699"/>
    <w:rsid w:val="0057372A"/>
    <w:rsid w:val="00573EE5"/>
    <w:rsid w:val="00574139"/>
    <w:rsid w:val="0057439A"/>
    <w:rsid w:val="00574524"/>
    <w:rsid w:val="00574930"/>
    <w:rsid w:val="00574D4F"/>
    <w:rsid w:val="005750FE"/>
    <w:rsid w:val="005751E2"/>
    <w:rsid w:val="005755A2"/>
    <w:rsid w:val="00575638"/>
    <w:rsid w:val="0057566E"/>
    <w:rsid w:val="005758EA"/>
    <w:rsid w:val="00575D09"/>
    <w:rsid w:val="00575EBB"/>
    <w:rsid w:val="005760F0"/>
    <w:rsid w:val="005765F3"/>
    <w:rsid w:val="00576B47"/>
    <w:rsid w:val="00576E67"/>
    <w:rsid w:val="00577202"/>
    <w:rsid w:val="0057730B"/>
    <w:rsid w:val="005773A7"/>
    <w:rsid w:val="00577497"/>
    <w:rsid w:val="00577D54"/>
    <w:rsid w:val="00577D8C"/>
    <w:rsid w:val="00580971"/>
    <w:rsid w:val="0058099B"/>
    <w:rsid w:val="005809BA"/>
    <w:rsid w:val="00580EC8"/>
    <w:rsid w:val="0058108C"/>
    <w:rsid w:val="005813A0"/>
    <w:rsid w:val="00581409"/>
    <w:rsid w:val="00581798"/>
    <w:rsid w:val="005817F0"/>
    <w:rsid w:val="00581A18"/>
    <w:rsid w:val="00581AA6"/>
    <w:rsid w:val="00581E3D"/>
    <w:rsid w:val="005827F3"/>
    <w:rsid w:val="00582B01"/>
    <w:rsid w:val="00582B18"/>
    <w:rsid w:val="00582B56"/>
    <w:rsid w:val="00582B7D"/>
    <w:rsid w:val="00582E32"/>
    <w:rsid w:val="00582F99"/>
    <w:rsid w:val="005831BC"/>
    <w:rsid w:val="00583241"/>
    <w:rsid w:val="00583245"/>
    <w:rsid w:val="005837D7"/>
    <w:rsid w:val="0058386C"/>
    <w:rsid w:val="0058394A"/>
    <w:rsid w:val="0058404F"/>
    <w:rsid w:val="00584743"/>
    <w:rsid w:val="00584D94"/>
    <w:rsid w:val="00584F6E"/>
    <w:rsid w:val="005854DB"/>
    <w:rsid w:val="005857A1"/>
    <w:rsid w:val="00585EFC"/>
    <w:rsid w:val="005861F5"/>
    <w:rsid w:val="00586448"/>
    <w:rsid w:val="005866BF"/>
    <w:rsid w:val="00586936"/>
    <w:rsid w:val="0058710E"/>
    <w:rsid w:val="0058742A"/>
    <w:rsid w:val="00587590"/>
    <w:rsid w:val="00587591"/>
    <w:rsid w:val="0058760A"/>
    <w:rsid w:val="0058790C"/>
    <w:rsid w:val="00587971"/>
    <w:rsid w:val="00587B00"/>
    <w:rsid w:val="00587DB7"/>
    <w:rsid w:val="00590769"/>
    <w:rsid w:val="00590AF1"/>
    <w:rsid w:val="00590C13"/>
    <w:rsid w:val="00590C5C"/>
    <w:rsid w:val="00590D80"/>
    <w:rsid w:val="00591198"/>
    <w:rsid w:val="00591284"/>
    <w:rsid w:val="00591771"/>
    <w:rsid w:val="005918CE"/>
    <w:rsid w:val="0059190C"/>
    <w:rsid w:val="00591C40"/>
    <w:rsid w:val="00592399"/>
    <w:rsid w:val="0059296C"/>
    <w:rsid w:val="00592B56"/>
    <w:rsid w:val="00593671"/>
    <w:rsid w:val="00593A00"/>
    <w:rsid w:val="00593FDC"/>
    <w:rsid w:val="005940EB"/>
    <w:rsid w:val="005941C7"/>
    <w:rsid w:val="0059456C"/>
    <w:rsid w:val="00595308"/>
    <w:rsid w:val="005954A7"/>
    <w:rsid w:val="00595800"/>
    <w:rsid w:val="005959AF"/>
    <w:rsid w:val="00595B9C"/>
    <w:rsid w:val="00595BCB"/>
    <w:rsid w:val="00595D57"/>
    <w:rsid w:val="00595DF2"/>
    <w:rsid w:val="005963C4"/>
    <w:rsid w:val="0059648D"/>
    <w:rsid w:val="005967F8"/>
    <w:rsid w:val="00596858"/>
    <w:rsid w:val="00596927"/>
    <w:rsid w:val="00596D1C"/>
    <w:rsid w:val="00596D54"/>
    <w:rsid w:val="00596FA2"/>
    <w:rsid w:val="00597549"/>
    <w:rsid w:val="00597674"/>
    <w:rsid w:val="00597884"/>
    <w:rsid w:val="00597EC7"/>
    <w:rsid w:val="005A002A"/>
    <w:rsid w:val="005A0212"/>
    <w:rsid w:val="005A023D"/>
    <w:rsid w:val="005A0479"/>
    <w:rsid w:val="005A079E"/>
    <w:rsid w:val="005A098A"/>
    <w:rsid w:val="005A0A75"/>
    <w:rsid w:val="005A0F7E"/>
    <w:rsid w:val="005A128F"/>
    <w:rsid w:val="005A12ED"/>
    <w:rsid w:val="005A1BCC"/>
    <w:rsid w:val="005A201E"/>
    <w:rsid w:val="005A2046"/>
    <w:rsid w:val="005A229B"/>
    <w:rsid w:val="005A24D7"/>
    <w:rsid w:val="005A2573"/>
    <w:rsid w:val="005A25DE"/>
    <w:rsid w:val="005A269B"/>
    <w:rsid w:val="005A2B52"/>
    <w:rsid w:val="005A2B76"/>
    <w:rsid w:val="005A2C84"/>
    <w:rsid w:val="005A32DD"/>
    <w:rsid w:val="005A33CD"/>
    <w:rsid w:val="005A33FA"/>
    <w:rsid w:val="005A3421"/>
    <w:rsid w:val="005A392A"/>
    <w:rsid w:val="005A3A50"/>
    <w:rsid w:val="005A3C44"/>
    <w:rsid w:val="005A3C83"/>
    <w:rsid w:val="005A3CFC"/>
    <w:rsid w:val="005A3E4B"/>
    <w:rsid w:val="005A3EBF"/>
    <w:rsid w:val="005A3FF5"/>
    <w:rsid w:val="005A4005"/>
    <w:rsid w:val="005A45AB"/>
    <w:rsid w:val="005A48B1"/>
    <w:rsid w:val="005A4BEE"/>
    <w:rsid w:val="005A4DC0"/>
    <w:rsid w:val="005A522B"/>
    <w:rsid w:val="005A55D7"/>
    <w:rsid w:val="005A5B48"/>
    <w:rsid w:val="005A5D58"/>
    <w:rsid w:val="005A5D6E"/>
    <w:rsid w:val="005A6226"/>
    <w:rsid w:val="005A6407"/>
    <w:rsid w:val="005A641F"/>
    <w:rsid w:val="005A6DA4"/>
    <w:rsid w:val="005A7284"/>
    <w:rsid w:val="005A73F8"/>
    <w:rsid w:val="005A747A"/>
    <w:rsid w:val="005A75FD"/>
    <w:rsid w:val="005A794E"/>
    <w:rsid w:val="005B0349"/>
    <w:rsid w:val="005B04AD"/>
    <w:rsid w:val="005B0C05"/>
    <w:rsid w:val="005B0FCF"/>
    <w:rsid w:val="005B0FEE"/>
    <w:rsid w:val="005B1267"/>
    <w:rsid w:val="005B12D5"/>
    <w:rsid w:val="005B1379"/>
    <w:rsid w:val="005B160A"/>
    <w:rsid w:val="005B17EB"/>
    <w:rsid w:val="005B1935"/>
    <w:rsid w:val="005B1A3B"/>
    <w:rsid w:val="005B1BB2"/>
    <w:rsid w:val="005B1C83"/>
    <w:rsid w:val="005B218D"/>
    <w:rsid w:val="005B2238"/>
    <w:rsid w:val="005B2242"/>
    <w:rsid w:val="005B2368"/>
    <w:rsid w:val="005B2569"/>
    <w:rsid w:val="005B2665"/>
    <w:rsid w:val="005B2E8F"/>
    <w:rsid w:val="005B312A"/>
    <w:rsid w:val="005B386A"/>
    <w:rsid w:val="005B38B4"/>
    <w:rsid w:val="005B398E"/>
    <w:rsid w:val="005B39A9"/>
    <w:rsid w:val="005B3E44"/>
    <w:rsid w:val="005B3F2A"/>
    <w:rsid w:val="005B3F3B"/>
    <w:rsid w:val="005B4052"/>
    <w:rsid w:val="005B4128"/>
    <w:rsid w:val="005B4208"/>
    <w:rsid w:val="005B434C"/>
    <w:rsid w:val="005B4EF6"/>
    <w:rsid w:val="005B5018"/>
    <w:rsid w:val="005B5499"/>
    <w:rsid w:val="005B56CA"/>
    <w:rsid w:val="005B5808"/>
    <w:rsid w:val="005B5B6C"/>
    <w:rsid w:val="005B5BDD"/>
    <w:rsid w:val="005B5E35"/>
    <w:rsid w:val="005B5FE1"/>
    <w:rsid w:val="005B668C"/>
    <w:rsid w:val="005B68BA"/>
    <w:rsid w:val="005B6E9D"/>
    <w:rsid w:val="005B70C6"/>
    <w:rsid w:val="005B7314"/>
    <w:rsid w:val="005B745B"/>
    <w:rsid w:val="005B77F3"/>
    <w:rsid w:val="005B7BDD"/>
    <w:rsid w:val="005C0553"/>
    <w:rsid w:val="005C0DAA"/>
    <w:rsid w:val="005C0E91"/>
    <w:rsid w:val="005C123A"/>
    <w:rsid w:val="005C13E3"/>
    <w:rsid w:val="005C140A"/>
    <w:rsid w:val="005C1437"/>
    <w:rsid w:val="005C28DB"/>
    <w:rsid w:val="005C2B05"/>
    <w:rsid w:val="005C2CC2"/>
    <w:rsid w:val="005C2D8B"/>
    <w:rsid w:val="005C2DB8"/>
    <w:rsid w:val="005C32BD"/>
    <w:rsid w:val="005C33E6"/>
    <w:rsid w:val="005C3A8D"/>
    <w:rsid w:val="005C3C67"/>
    <w:rsid w:val="005C4558"/>
    <w:rsid w:val="005C46DF"/>
    <w:rsid w:val="005C48E4"/>
    <w:rsid w:val="005C4C15"/>
    <w:rsid w:val="005C4C84"/>
    <w:rsid w:val="005C51B8"/>
    <w:rsid w:val="005C5D23"/>
    <w:rsid w:val="005C64D5"/>
    <w:rsid w:val="005C6579"/>
    <w:rsid w:val="005C751A"/>
    <w:rsid w:val="005C76DF"/>
    <w:rsid w:val="005C7786"/>
    <w:rsid w:val="005C7843"/>
    <w:rsid w:val="005C7A73"/>
    <w:rsid w:val="005C7DF1"/>
    <w:rsid w:val="005C7F8F"/>
    <w:rsid w:val="005C7FB9"/>
    <w:rsid w:val="005D0DB7"/>
    <w:rsid w:val="005D0F72"/>
    <w:rsid w:val="005D14EA"/>
    <w:rsid w:val="005D15CD"/>
    <w:rsid w:val="005D1830"/>
    <w:rsid w:val="005D1876"/>
    <w:rsid w:val="005D1B33"/>
    <w:rsid w:val="005D1B43"/>
    <w:rsid w:val="005D1DC6"/>
    <w:rsid w:val="005D207C"/>
    <w:rsid w:val="005D2653"/>
    <w:rsid w:val="005D2C7C"/>
    <w:rsid w:val="005D2E4B"/>
    <w:rsid w:val="005D2FFB"/>
    <w:rsid w:val="005D3019"/>
    <w:rsid w:val="005D3056"/>
    <w:rsid w:val="005D32F9"/>
    <w:rsid w:val="005D3AC8"/>
    <w:rsid w:val="005D3B0F"/>
    <w:rsid w:val="005D3D4B"/>
    <w:rsid w:val="005D41D6"/>
    <w:rsid w:val="005D4415"/>
    <w:rsid w:val="005D4A18"/>
    <w:rsid w:val="005D4A70"/>
    <w:rsid w:val="005D4C7C"/>
    <w:rsid w:val="005D4FBC"/>
    <w:rsid w:val="005D508A"/>
    <w:rsid w:val="005D551F"/>
    <w:rsid w:val="005D583D"/>
    <w:rsid w:val="005D589F"/>
    <w:rsid w:val="005D5E97"/>
    <w:rsid w:val="005D6D72"/>
    <w:rsid w:val="005D6EC0"/>
    <w:rsid w:val="005D764A"/>
    <w:rsid w:val="005E00BF"/>
    <w:rsid w:val="005E0170"/>
    <w:rsid w:val="005E0354"/>
    <w:rsid w:val="005E04E8"/>
    <w:rsid w:val="005E0538"/>
    <w:rsid w:val="005E079D"/>
    <w:rsid w:val="005E0C9D"/>
    <w:rsid w:val="005E13A7"/>
    <w:rsid w:val="005E16EE"/>
    <w:rsid w:val="005E17D9"/>
    <w:rsid w:val="005E1BD3"/>
    <w:rsid w:val="005E1F33"/>
    <w:rsid w:val="005E250F"/>
    <w:rsid w:val="005E28C3"/>
    <w:rsid w:val="005E2D6D"/>
    <w:rsid w:val="005E360E"/>
    <w:rsid w:val="005E3AF0"/>
    <w:rsid w:val="005E400B"/>
    <w:rsid w:val="005E43F2"/>
    <w:rsid w:val="005E4449"/>
    <w:rsid w:val="005E449C"/>
    <w:rsid w:val="005E4FBB"/>
    <w:rsid w:val="005E5412"/>
    <w:rsid w:val="005E56A9"/>
    <w:rsid w:val="005E595D"/>
    <w:rsid w:val="005E5A3A"/>
    <w:rsid w:val="005E5C21"/>
    <w:rsid w:val="005E5CC2"/>
    <w:rsid w:val="005E6106"/>
    <w:rsid w:val="005E62B7"/>
    <w:rsid w:val="005E638B"/>
    <w:rsid w:val="005E63ED"/>
    <w:rsid w:val="005E6B1F"/>
    <w:rsid w:val="005E6C46"/>
    <w:rsid w:val="005E7588"/>
    <w:rsid w:val="005E7BA5"/>
    <w:rsid w:val="005E7F3F"/>
    <w:rsid w:val="005F0447"/>
    <w:rsid w:val="005F0E9B"/>
    <w:rsid w:val="005F1055"/>
    <w:rsid w:val="005F15D1"/>
    <w:rsid w:val="005F1740"/>
    <w:rsid w:val="005F1BBE"/>
    <w:rsid w:val="005F1F0C"/>
    <w:rsid w:val="005F2018"/>
    <w:rsid w:val="005F2164"/>
    <w:rsid w:val="005F22FA"/>
    <w:rsid w:val="005F2432"/>
    <w:rsid w:val="005F26D6"/>
    <w:rsid w:val="005F2D7E"/>
    <w:rsid w:val="005F2E51"/>
    <w:rsid w:val="005F3150"/>
    <w:rsid w:val="005F37D4"/>
    <w:rsid w:val="005F3B75"/>
    <w:rsid w:val="005F3BC9"/>
    <w:rsid w:val="005F3ED1"/>
    <w:rsid w:val="005F4069"/>
    <w:rsid w:val="005F41C7"/>
    <w:rsid w:val="005F44A2"/>
    <w:rsid w:val="005F46FC"/>
    <w:rsid w:val="005F49EC"/>
    <w:rsid w:val="005F4AD7"/>
    <w:rsid w:val="005F4C58"/>
    <w:rsid w:val="005F4C7B"/>
    <w:rsid w:val="005F5AFE"/>
    <w:rsid w:val="005F5F8C"/>
    <w:rsid w:val="005F62EB"/>
    <w:rsid w:val="005F697D"/>
    <w:rsid w:val="005F6982"/>
    <w:rsid w:val="005F6ED6"/>
    <w:rsid w:val="005F7102"/>
    <w:rsid w:val="005F757C"/>
    <w:rsid w:val="005F7754"/>
    <w:rsid w:val="005F7952"/>
    <w:rsid w:val="005F7B74"/>
    <w:rsid w:val="005F7DE4"/>
    <w:rsid w:val="00600714"/>
    <w:rsid w:val="00600D04"/>
    <w:rsid w:val="00601A4B"/>
    <w:rsid w:val="00602116"/>
    <w:rsid w:val="00602171"/>
    <w:rsid w:val="006023B9"/>
    <w:rsid w:val="006023E9"/>
    <w:rsid w:val="00602441"/>
    <w:rsid w:val="00602533"/>
    <w:rsid w:val="0060319D"/>
    <w:rsid w:val="0060335F"/>
    <w:rsid w:val="00603BE1"/>
    <w:rsid w:val="00603CD7"/>
    <w:rsid w:val="00603CEE"/>
    <w:rsid w:val="006040CB"/>
    <w:rsid w:val="006044D5"/>
    <w:rsid w:val="00604532"/>
    <w:rsid w:val="00604AA1"/>
    <w:rsid w:val="00605284"/>
    <w:rsid w:val="0060551E"/>
    <w:rsid w:val="00605D73"/>
    <w:rsid w:val="00606724"/>
    <w:rsid w:val="00606890"/>
    <w:rsid w:val="00606FCB"/>
    <w:rsid w:val="00607018"/>
    <w:rsid w:val="006074A5"/>
    <w:rsid w:val="0060754D"/>
    <w:rsid w:val="00607E6C"/>
    <w:rsid w:val="0061027F"/>
    <w:rsid w:val="00610B4E"/>
    <w:rsid w:val="00610D73"/>
    <w:rsid w:val="0061134F"/>
    <w:rsid w:val="00611540"/>
    <w:rsid w:val="0061187E"/>
    <w:rsid w:val="00611E3B"/>
    <w:rsid w:val="006121FC"/>
    <w:rsid w:val="006122A8"/>
    <w:rsid w:val="0061230C"/>
    <w:rsid w:val="00612A63"/>
    <w:rsid w:val="00612F7F"/>
    <w:rsid w:val="00612F91"/>
    <w:rsid w:val="00613119"/>
    <w:rsid w:val="00613305"/>
    <w:rsid w:val="0061349A"/>
    <w:rsid w:val="0061398E"/>
    <w:rsid w:val="00613C6A"/>
    <w:rsid w:val="00613FFE"/>
    <w:rsid w:val="006144AF"/>
    <w:rsid w:val="006145E8"/>
    <w:rsid w:val="00614D10"/>
    <w:rsid w:val="00614DCB"/>
    <w:rsid w:val="00615486"/>
    <w:rsid w:val="00615839"/>
    <w:rsid w:val="006159D1"/>
    <w:rsid w:val="00615E2D"/>
    <w:rsid w:val="006160C3"/>
    <w:rsid w:val="006160CB"/>
    <w:rsid w:val="00616C51"/>
    <w:rsid w:val="0061740D"/>
    <w:rsid w:val="00617522"/>
    <w:rsid w:val="006179DA"/>
    <w:rsid w:val="00617C09"/>
    <w:rsid w:val="00617DB9"/>
    <w:rsid w:val="00620113"/>
    <w:rsid w:val="00620181"/>
    <w:rsid w:val="006203C0"/>
    <w:rsid w:val="0062080D"/>
    <w:rsid w:val="00620DDB"/>
    <w:rsid w:val="00620E0D"/>
    <w:rsid w:val="0062148A"/>
    <w:rsid w:val="00621628"/>
    <w:rsid w:val="00621AB5"/>
    <w:rsid w:val="00621DF4"/>
    <w:rsid w:val="00622769"/>
    <w:rsid w:val="00622AFF"/>
    <w:rsid w:val="00622E50"/>
    <w:rsid w:val="00623080"/>
    <w:rsid w:val="006235AB"/>
    <w:rsid w:val="00623683"/>
    <w:rsid w:val="006237B8"/>
    <w:rsid w:val="00623ADB"/>
    <w:rsid w:val="00623B78"/>
    <w:rsid w:val="00623D92"/>
    <w:rsid w:val="00623F3A"/>
    <w:rsid w:val="00624472"/>
    <w:rsid w:val="006247FC"/>
    <w:rsid w:val="00624CB6"/>
    <w:rsid w:val="00624E95"/>
    <w:rsid w:val="006252A1"/>
    <w:rsid w:val="006252BD"/>
    <w:rsid w:val="006255FD"/>
    <w:rsid w:val="006258B9"/>
    <w:rsid w:val="00625AD7"/>
    <w:rsid w:val="00625F5B"/>
    <w:rsid w:val="00625FBC"/>
    <w:rsid w:val="006260A7"/>
    <w:rsid w:val="006262FF"/>
    <w:rsid w:val="006263A1"/>
    <w:rsid w:val="0062658D"/>
    <w:rsid w:val="00626B4D"/>
    <w:rsid w:val="00626EF5"/>
    <w:rsid w:val="00627082"/>
    <w:rsid w:val="00627084"/>
    <w:rsid w:val="00627838"/>
    <w:rsid w:val="00627A52"/>
    <w:rsid w:val="00627AB6"/>
    <w:rsid w:val="00627F99"/>
    <w:rsid w:val="006308E3"/>
    <w:rsid w:val="00630EE1"/>
    <w:rsid w:val="00630F5D"/>
    <w:rsid w:val="0063184F"/>
    <w:rsid w:val="00631864"/>
    <w:rsid w:val="00631BC3"/>
    <w:rsid w:val="00631EC4"/>
    <w:rsid w:val="006325EC"/>
    <w:rsid w:val="00632639"/>
    <w:rsid w:val="00632BF5"/>
    <w:rsid w:val="00632D60"/>
    <w:rsid w:val="00633057"/>
    <w:rsid w:val="0063355B"/>
    <w:rsid w:val="0063364B"/>
    <w:rsid w:val="00633711"/>
    <w:rsid w:val="0063374D"/>
    <w:rsid w:val="00633E51"/>
    <w:rsid w:val="00634176"/>
    <w:rsid w:val="006347AA"/>
    <w:rsid w:val="00634EE4"/>
    <w:rsid w:val="00634F50"/>
    <w:rsid w:val="00635063"/>
    <w:rsid w:val="006356A1"/>
    <w:rsid w:val="006359FD"/>
    <w:rsid w:val="00635A8A"/>
    <w:rsid w:val="00635D74"/>
    <w:rsid w:val="00636055"/>
    <w:rsid w:val="00636579"/>
    <w:rsid w:val="00636C0C"/>
    <w:rsid w:val="006370CE"/>
    <w:rsid w:val="00637F05"/>
    <w:rsid w:val="00640460"/>
    <w:rsid w:val="0064060A"/>
    <w:rsid w:val="006409AE"/>
    <w:rsid w:val="00640BC2"/>
    <w:rsid w:val="00640C1A"/>
    <w:rsid w:val="00640EFA"/>
    <w:rsid w:val="00641694"/>
    <w:rsid w:val="006417DD"/>
    <w:rsid w:val="00641C8B"/>
    <w:rsid w:val="006425C6"/>
    <w:rsid w:val="006426C8"/>
    <w:rsid w:val="00642AD9"/>
    <w:rsid w:val="00642F2D"/>
    <w:rsid w:val="0064311E"/>
    <w:rsid w:val="006431D4"/>
    <w:rsid w:val="00643D31"/>
    <w:rsid w:val="00643DFF"/>
    <w:rsid w:val="00643E73"/>
    <w:rsid w:val="00643F2E"/>
    <w:rsid w:val="00644191"/>
    <w:rsid w:val="006442B1"/>
    <w:rsid w:val="00644738"/>
    <w:rsid w:val="00644870"/>
    <w:rsid w:val="006449C6"/>
    <w:rsid w:val="00644B86"/>
    <w:rsid w:val="00644F25"/>
    <w:rsid w:val="00645087"/>
    <w:rsid w:val="006450B2"/>
    <w:rsid w:val="0064511D"/>
    <w:rsid w:val="0064534A"/>
    <w:rsid w:val="00645504"/>
    <w:rsid w:val="00645869"/>
    <w:rsid w:val="00646166"/>
    <w:rsid w:val="00646251"/>
    <w:rsid w:val="0064640F"/>
    <w:rsid w:val="006464CB"/>
    <w:rsid w:val="0064683D"/>
    <w:rsid w:val="00646967"/>
    <w:rsid w:val="00646AD0"/>
    <w:rsid w:val="00646F1F"/>
    <w:rsid w:val="0064714A"/>
    <w:rsid w:val="00647317"/>
    <w:rsid w:val="00647539"/>
    <w:rsid w:val="00647A91"/>
    <w:rsid w:val="00647B41"/>
    <w:rsid w:val="00647DEC"/>
    <w:rsid w:val="00647ED1"/>
    <w:rsid w:val="00650154"/>
    <w:rsid w:val="006502F5"/>
    <w:rsid w:val="006508C5"/>
    <w:rsid w:val="006509A0"/>
    <w:rsid w:val="00650AFF"/>
    <w:rsid w:val="00650B6A"/>
    <w:rsid w:val="00650E8A"/>
    <w:rsid w:val="00651095"/>
    <w:rsid w:val="006511B5"/>
    <w:rsid w:val="006512F0"/>
    <w:rsid w:val="006513CB"/>
    <w:rsid w:val="006513F2"/>
    <w:rsid w:val="00652129"/>
    <w:rsid w:val="006523D5"/>
    <w:rsid w:val="00652470"/>
    <w:rsid w:val="00652BDC"/>
    <w:rsid w:val="00652E0D"/>
    <w:rsid w:val="006530DA"/>
    <w:rsid w:val="0065342E"/>
    <w:rsid w:val="00653A81"/>
    <w:rsid w:val="00653D48"/>
    <w:rsid w:val="0065477D"/>
    <w:rsid w:val="00654B7B"/>
    <w:rsid w:val="0065539D"/>
    <w:rsid w:val="00655630"/>
    <w:rsid w:val="00655818"/>
    <w:rsid w:val="006558B6"/>
    <w:rsid w:val="00655DE1"/>
    <w:rsid w:val="00655E5D"/>
    <w:rsid w:val="006562E6"/>
    <w:rsid w:val="00656468"/>
    <w:rsid w:val="0065674D"/>
    <w:rsid w:val="006568B3"/>
    <w:rsid w:val="0065696A"/>
    <w:rsid w:val="00656BFC"/>
    <w:rsid w:val="00656DFD"/>
    <w:rsid w:val="00656EED"/>
    <w:rsid w:val="00656F4D"/>
    <w:rsid w:val="00656FD7"/>
    <w:rsid w:val="00656FD9"/>
    <w:rsid w:val="006575F6"/>
    <w:rsid w:val="006576CE"/>
    <w:rsid w:val="0065786E"/>
    <w:rsid w:val="006578A8"/>
    <w:rsid w:val="00657C21"/>
    <w:rsid w:val="00657FBA"/>
    <w:rsid w:val="00660363"/>
    <w:rsid w:val="00660974"/>
    <w:rsid w:val="00661818"/>
    <w:rsid w:val="00662477"/>
    <w:rsid w:val="00662840"/>
    <w:rsid w:val="00662940"/>
    <w:rsid w:val="00662970"/>
    <w:rsid w:val="00663203"/>
    <w:rsid w:val="00663220"/>
    <w:rsid w:val="0066327F"/>
    <w:rsid w:val="006635F1"/>
    <w:rsid w:val="006637EB"/>
    <w:rsid w:val="006638C9"/>
    <w:rsid w:val="006639E4"/>
    <w:rsid w:val="0066402C"/>
    <w:rsid w:val="0066410F"/>
    <w:rsid w:val="006641AF"/>
    <w:rsid w:val="006644DD"/>
    <w:rsid w:val="00664998"/>
    <w:rsid w:val="00664C26"/>
    <w:rsid w:val="00664C37"/>
    <w:rsid w:val="0066501C"/>
    <w:rsid w:val="0066507F"/>
    <w:rsid w:val="006651A2"/>
    <w:rsid w:val="00665802"/>
    <w:rsid w:val="00665D02"/>
    <w:rsid w:val="00665DEB"/>
    <w:rsid w:val="00665E30"/>
    <w:rsid w:val="00665EA8"/>
    <w:rsid w:val="00666C35"/>
    <w:rsid w:val="00666C39"/>
    <w:rsid w:val="00666F6F"/>
    <w:rsid w:val="006675BD"/>
    <w:rsid w:val="00667A4B"/>
    <w:rsid w:val="00667B8F"/>
    <w:rsid w:val="00667F1D"/>
    <w:rsid w:val="00670102"/>
    <w:rsid w:val="00670191"/>
    <w:rsid w:val="006705BF"/>
    <w:rsid w:val="00670779"/>
    <w:rsid w:val="00670987"/>
    <w:rsid w:val="00670ACB"/>
    <w:rsid w:val="00671008"/>
    <w:rsid w:val="00671190"/>
    <w:rsid w:val="006716A2"/>
    <w:rsid w:val="0067176B"/>
    <w:rsid w:val="0067176F"/>
    <w:rsid w:val="00671A3F"/>
    <w:rsid w:val="00671A6D"/>
    <w:rsid w:val="00671D00"/>
    <w:rsid w:val="006720F0"/>
    <w:rsid w:val="006722E8"/>
    <w:rsid w:val="006726D2"/>
    <w:rsid w:val="00672918"/>
    <w:rsid w:val="00672A6F"/>
    <w:rsid w:val="00672C41"/>
    <w:rsid w:val="006731CB"/>
    <w:rsid w:val="0067394F"/>
    <w:rsid w:val="00673B70"/>
    <w:rsid w:val="00673D22"/>
    <w:rsid w:val="00673F46"/>
    <w:rsid w:val="00674A91"/>
    <w:rsid w:val="00674B3F"/>
    <w:rsid w:val="00674F17"/>
    <w:rsid w:val="0067518C"/>
    <w:rsid w:val="006753C7"/>
    <w:rsid w:val="006754E3"/>
    <w:rsid w:val="0067560C"/>
    <w:rsid w:val="00675A62"/>
    <w:rsid w:val="00675B8F"/>
    <w:rsid w:val="00675FAE"/>
    <w:rsid w:val="0067671A"/>
    <w:rsid w:val="00676ABE"/>
    <w:rsid w:val="00676E4D"/>
    <w:rsid w:val="00676FAC"/>
    <w:rsid w:val="006770AF"/>
    <w:rsid w:val="006773C5"/>
    <w:rsid w:val="006778DF"/>
    <w:rsid w:val="00677BC4"/>
    <w:rsid w:val="00677BD3"/>
    <w:rsid w:val="006802F3"/>
    <w:rsid w:val="006807EF"/>
    <w:rsid w:val="006808B5"/>
    <w:rsid w:val="00680B69"/>
    <w:rsid w:val="00680C9D"/>
    <w:rsid w:val="00680ED9"/>
    <w:rsid w:val="006810DF"/>
    <w:rsid w:val="0068123C"/>
    <w:rsid w:val="00681407"/>
    <w:rsid w:val="006818FD"/>
    <w:rsid w:val="00681DF3"/>
    <w:rsid w:val="006824F3"/>
    <w:rsid w:val="006825E1"/>
    <w:rsid w:val="00682697"/>
    <w:rsid w:val="006828D7"/>
    <w:rsid w:val="00682C98"/>
    <w:rsid w:val="00683577"/>
    <w:rsid w:val="00683C1B"/>
    <w:rsid w:val="00684689"/>
    <w:rsid w:val="00684829"/>
    <w:rsid w:val="00684850"/>
    <w:rsid w:val="00684B4C"/>
    <w:rsid w:val="00684DDA"/>
    <w:rsid w:val="00685218"/>
    <w:rsid w:val="00685752"/>
    <w:rsid w:val="00685930"/>
    <w:rsid w:val="00686142"/>
    <w:rsid w:val="006862D6"/>
    <w:rsid w:val="00686573"/>
    <w:rsid w:val="006872CE"/>
    <w:rsid w:val="006874B2"/>
    <w:rsid w:val="006875A6"/>
    <w:rsid w:val="00687C63"/>
    <w:rsid w:val="00687D0F"/>
    <w:rsid w:val="00687DA2"/>
    <w:rsid w:val="00687FDD"/>
    <w:rsid w:val="0069015E"/>
    <w:rsid w:val="00690391"/>
    <w:rsid w:val="0069096E"/>
    <w:rsid w:val="00690BDE"/>
    <w:rsid w:val="00691014"/>
    <w:rsid w:val="00691651"/>
    <w:rsid w:val="006916D8"/>
    <w:rsid w:val="00691709"/>
    <w:rsid w:val="00692568"/>
    <w:rsid w:val="00692AD5"/>
    <w:rsid w:val="00692BDA"/>
    <w:rsid w:val="00692D80"/>
    <w:rsid w:val="00693119"/>
    <w:rsid w:val="006931DF"/>
    <w:rsid w:val="006933AA"/>
    <w:rsid w:val="006936F8"/>
    <w:rsid w:val="0069393C"/>
    <w:rsid w:val="00693F24"/>
    <w:rsid w:val="00693F71"/>
    <w:rsid w:val="006947EC"/>
    <w:rsid w:val="00694A83"/>
    <w:rsid w:val="00694BF3"/>
    <w:rsid w:val="00694F10"/>
    <w:rsid w:val="00694FFD"/>
    <w:rsid w:val="00695177"/>
    <w:rsid w:val="00695563"/>
    <w:rsid w:val="006956E6"/>
    <w:rsid w:val="00695916"/>
    <w:rsid w:val="0069594F"/>
    <w:rsid w:val="00695976"/>
    <w:rsid w:val="00695FF9"/>
    <w:rsid w:val="00696580"/>
    <w:rsid w:val="006967BC"/>
    <w:rsid w:val="00696C44"/>
    <w:rsid w:val="00696C76"/>
    <w:rsid w:val="00696F55"/>
    <w:rsid w:val="00696FA7"/>
    <w:rsid w:val="0069741E"/>
    <w:rsid w:val="0069769E"/>
    <w:rsid w:val="00697721"/>
    <w:rsid w:val="00697754"/>
    <w:rsid w:val="00697832"/>
    <w:rsid w:val="00697CAF"/>
    <w:rsid w:val="00697D62"/>
    <w:rsid w:val="006A0655"/>
    <w:rsid w:val="006A09DF"/>
    <w:rsid w:val="006A0B64"/>
    <w:rsid w:val="006A11CB"/>
    <w:rsid w:val="006A1BB1"/>
    <w:rsid w:val="006A1C6C"/>
    <w:rsid w:val="006A1D41"/>
    <w:rsid w:val="006A1DF3"/>
    <w:rsid w:val="006A20A8"/>
    <w:rsid w:val="006A2286"/>
    <w:rsid w:val="006A22A5"/>
    <w:rsid w:val="006A242B"/>
    <w:rsid w:val="006A2515"/>
    <w:rsid w:val="006A260F"/>
    <w:rsid w:val="006A30F5"/>
    <w:rsid w:val="006A3C70"/>
    <w:rsid w:val="006A3FF8"/>
    <w:rsid w:val="006A4F1F"/>
    <w:rsid w:val="006A50D7"/>
    <w:rsid w:val="006A50E1"/>
    <w:rsid w:val="006A536D"/>
    <w:rsid w:val="006A538A"/>
    <w:rsid w:val="006A5A8A"/>
    <w:rsid w:val="006A5B14"/>
    <w:rsid w:val="006A5FCE"/>
    <w:rsid w:val="006A610C"/>
    <w:rsid w:val="006A638F"/>
    <w:rsid w:val="006A6575"/>
    <w:rsid w:val="006A6628"/>
    <w:rsid w:val="006A6C81"/>
    <w:rsid w:val="006A736C"/>
    <w:rsid w:val="006A7993"/>
    <w:rsid w:val="006A7A7F"/>
    <w:rsid w:val="006A7BB0"/>
    <w:rsid w:val="006A7D60"/>
    <w:rsid w:val="006A7E11"/>
    <w:rsid w:val="006B06D1"/>
    <w:rsid w:val="006B0954"/>
    <w:rsid w:val="006B0987"/>
    <w:rsid w:val="006B0CA0"/>
    <w:rsid w:val="006B1255"/>
    <w:rsid w:val="006B146D"/>
    <w:rsid w:val="006B1BE8"/>
    <w:rsid w:val="006B1EAF"/>
    <w:rsid w:val="006B1F6A"/>
    <w:rsid w:val="006B2517"/>
    <w:rsid w:val="006B2BF2"/>
    <w:rsid w:val="006B2C64"/>
    <w:rsid w:val="006B3007"/>
    <w:rsid w:val="006B32A2"/>
    <w:rsid w:val="006B346D"/>
    <w:rsid w:val="006B380D"/>
    <w:rsid w:val="006B3B7F"/>
    <w:rsid w:val="006B3FEA"/>
    <w:rsid w:val="006B4328"/>
    <w:rsid w:val="006B4612"/>
    <w:rsid w:val="006B483E"/>
    <w:rsid w:val="006B4898"/>
    <w:rsid w:val="006B49A3"/>
    <w:rsid w:val="006B4E0D"/>
    <w:rsid w:val="006B4E91"/>
    <w:rsid w:val="006B5041"/>
    <w:rsid w:val="006B508F"/>
    <w:rsid w:val="006B5720"/>
    <w:rsid w:val="006B5AC3"/>
    <w:rsid w:val="006B5C3C"/>
    <w:rsid w:val="006B6027"/>
    <w:rsid w:val="006B6119"/>
    <w:rsid w:val="006B656A"/>
    <w:rsid w:val="006B6761"/>
    <w:rsid w:val="006B7203"/>
    <w:rsid w:val="006B773E"/>
    <w:rsid w:val="006B7F1F"/>
    <w:rsid w:val="006C069D"/>
    <w:rsid w:val="006C06BB"/>
    <w:rsid w:val="006C098D"/>
    <w:rsid w:val="006C09D3"/>
    <w:rsid w:val="006C0BB6"/>
    <w:rsid w:val="006C0D1B"/>
    <w:rsid w:val="006C0DA4"/>
    <w:rsid w:val="006C1110"/>
    <w:rsid w:val="006C1A3C"/>
    <w:rsid w:val="006C1A99"/>
    <w:rsid w:val="006C24B2"/>
    <w:rsid w:val="006C2B2E"/>
    <w:rsid w:val="006C2CA0"/>
    <w:rsid w:val="006C2D12"/>
    <w:rsid w:val="006C2D85"/>
    <w:rsid w:val="006C33AA"/>
    <w:rsid w:val="006C33F4"/>
    <w:rsid w:val="006C3563"/>
    <w:rsid w:val="006C3599"/>
    <w:rsid w:val="006C372A"/>
    <w:rsid w:val="006C3813"/>
    <w:rsid w:val="006C3862"/>
    <w:rsid w:val="006C3B01"/>
    <w:rsid w:val="006C3D0F"/>
    <w:rsid w:val="006C3DB3"/>
    <w:rsid w:val="006C3EB1"/>
    <w:rsid w:val="006C3EC3"/>
    <w:rsid w:val="006C3F83"/>
    <w:rsid w:val="006C4103"/>
    <w:rsid w:val="006C462F"/>
    <w:rsid w:val="006C46C7"/>
    <w:rsid w:val="006C4893"/>
    <w:rsid w:val="006C4CAD"/>
    <w:rsid w:val="006C4D46"/>
    <w:rsid w:val="006C4FE1"/>
    <w:rsid w:val="006C5028"/>
    <w:rsid w:val="006C5312"/>
    <w:rsid w:val="006C54C4"/>
    <w:rsid w:val="006C6C87"/>
    <w:rsid w:val="006C6D52"/>
    <w:rsid w:val="006C7184"/>
    <w:rsid w:val="006C7821"/>
    <w:rsid w:val="006C7D8E"/>
    <w:rsid w:val="006D0015"/>
    <w:rsid w:val="006D0381"/>
    <w:rsid w:val="006D03AE"/>
    <w:rsid w:val="006D0822"/>
    <w:rsid w:val="006D08C3"/>
    <w:rsid w:val="006D0B56"/>
    <w:rsid w:val="006D0EE7"/>
    <w:rsid w:val="006D10F8"/>
    <w:rsid w:val="006D128B"/>
    <w:rsid w:val="006D14E7"/>
    <w:rsid w:val="006D150B"/>
    <w:rsid w:val="006D1641"/>
    <w:rsid w:val="006D18B7"/>
    <w:rsid w:val="006D1A15"/>
    <w:rsid w:val="006D1A62"/>
    <w:rsid w:val="006D1EE2"/>
    <w:rsid w:val="006D2147"/>
    <w:rsid w:val="006D2321"/>
    <w:rsid w:val="006D2598"/>
    <w:rsid w:val="006D282D"/>
    <w:rsid w:val="006D292A"/>
    <w:rsid w:val="006D29F5"/>
    <w:rsid w:val="006D2ACD"/>
    <w:rsid w:val="006D2C1A"/>
    <w:rsid w:val="006D2CA9"/>
    <w:rsid w:val="006D2F80"/>
    <w:rsid w:val="006D30EC"/>
    <w:rsid w:val="006D3270"/>
    <w:rsid w:val="006D37BB"/>
    <w:rsid w:val="006D3F35"/>
    <w:rsid w:val="006D40AA"/>
    <w:rsid w:val="006D43AB"/>
    <w:rsid w:val="006D443F"/>
    <w:rsid w:val="006D4569"/>
    <w:rsid w:val="006D4A72"/>
    <w:rsid w:val="006D52CB"/>
    <w:rsid w:val="006D5905"/>
    <w:rsid w:val="006D6774"/>
    <w:rsid w:val="006D67EE"/>
    <w:rsid w:val="006D6C13"/>
    <w:rsid w:val="006D714F"/>
    <w:rsid w:val="006D71A1"/>
    <w:rsid w:val="006D752C"/>
    <w:rsid w:val="006D7CB5"/>
    <w:rsid w:val="006D7D74"/>
    <w:rsid w:val="006D7F2D"/>
    <w:rsid w:val="006D7F93"/>
    <w:rsid w:val="006E0032"/>
    <w:rsid w:val="006E006D"/>
    <w:rsid w:val="006E0298"/>
    <w:rsid w:val="006E038A"/>
    <w:rsid w:val="006E0437"/>
    <w:rsid w:val="006E06B1"/>
    <w:rsid w:val="006E0CD3"/>
    <w:rsid w:val="006E15CD"/>
    <w:rsid w:val="006E16BA"/>
    <w:rsid w:val="006E1754"/>
    <w:rsid w:val="006E1767"/>
    <w:rsid w:val="006E193D"/>
    <w:rsid w:val="006E1BE1"/>
    <w:rsid w:val="006E1E53"/>
    <w:rsid w:val="006E2390"/>
    <w:rsid w:val="006E23F6"/>
    <w:rsid w:val="006E25B1"/>
    <w:rsid w:val="006E27CC"/>
    <w:rsid w:val="006E284A"/>
    <w:rsid w:val="006E2BA8"/>
    <w:rsid w:val="006E30B7"/>
    <w:rsid w:val="006E331A"/>
    <w:rsid w:val="006E36A7"/>
    <w:rsid w:val="006E36FB"/>
    <w:rsid w:val="006E3923"/>
    <w:rsid w:val="006E3A08"/>
    <w:rsid w:val="006E3D6E"/>
    <w:rsid w:val="006E439C"/>
    <w:rsid w:val="006E45E5"/>
    <w:rsid w:val="006E4977"/>
    <w:rsid w:val="006E4C6A"/>
    <w:rsid w:val="006E4EDC"/>
    <w:rsid w:val="006E503D"/>
    <w:rsid w:val="006E50AB"/>
    <w:rsid w:val="006E5AC1"/>
    <w:rsid w:val="006E5EAB"/>
    <w:rsid w:val="006E66EE"/>
    <w:rsid w:val="006E715B"/>
    <w:rsid w:val="006E738A"/>
    <w:rsid w:val="006E7456"/>
    <w:rsid w:val="006E757B"/>
    <w:rsid w:val="006E78CF"/>
    <w:rsid w:val="006F02FE"/>
    <w:rsid w:val="006F039F"/>
    <w:rsid w:val="006F08F4"/>
    <w:rsid w:val="006F14CC"/>
    <w:rsid w:val="006F1804"/>
    <w:rsid w:val="006F19C3"/>
    <w:rsid w:val="006F1AD8"/>
    <w:rsid w:val="006F1F90"/>
    <w:rsid w:val="006F21D1"/>
    <w:rsid w:val="006F2453"/>
    <w:rsid w:val="006F2891"/>
    <w:rsid w:val="006F2DCB"/>
    <w:rsid w:val="006F2E8D"/>
    <w:rsid w:val="006F31EC"/>
    <w:rsid w:val="006F3446"/>
    <w:rsid w:val="006F36D4"/>
    <w:rsid w:val="006F39C0"/>
    <w:rsid w:val="006F3B36"/>
    <w:rsid w:val="006F3B5C"/>
    <w:rsid w:val="006F3D82"/>
    <w:rsid w:val="006F3DD6"/>
    <w:rsid w:val="006F3E78"/>
    <w:rsid w:val="006F3E79"/>
    <w:rsid w:val="006F42C7"/>
    <w:rsid w:val="006F43CB"/>
    <w:rsid w:val="006F454C"/>
    <w:rsid w:val="006F49D8"/>
    <w:rsid w:val="006F4E5E"/>
    <w:rsid w:val="006F4ED1"/>
    <w:rsid w:val="006F4F9E"/>
    <w:rsid w:val="006F5049"/>
    <w:rsid w:val="006F57A3"/>
    <w:rsid w:val="006F5958"/>
    <w:rsid w:val="006F5A64"/>
    <w:rsid w:val="006F5E90"/>
    <w:rsid w:val="006F646B"/>
    <w:rsid w:val="006F6472"/>
    <w:rsid w:val="006F69EC"/>
    <w:rsid w:val="006F6BA6"/>
    <w:rsid w:val="006F6E39"/>
    <w:rsid w:val="006F6EB7"/>
    <w:rsid w:val="006F705E"/>
    <w:rsid w:val="006F7597"/>
    <w:rsid w:val="006F7F39"/>
    <w:rsid w:val="00700997"/>
    <w:rsid w:val="00700D85"/>
    <w:rsid w:val="007010EB"/>
    <w:rsid w:val="007011DE"/>
    <w:rsid w:val="0070139F"/>
    <w:rsid w:val="00701AFE"/>
    <w:rsid w:val="00701C5B"/>
    <w:rsid w:val="00701E1D"/>
    <w:rsid w:val="0070223D"/>
    <w:rsid w:val="0070260F"/>
    <w:rsid w:val="0070263F"/>
    <w:rsid w:val="00702B67"/>
    <w:rsid w:val="00702C36"/>
    <w:rsid w:val="00702E9A"/>
    <w:rsid w:val="007036D4"/>
    <w:rsid w:val="007037A0"/>
    <w:rsid w:val="0070421A"/>
    <w:rsid w:val="00704603"/>
    <w:rsid w:val="00704DCA"/>
    <w:rsid w:val="00705B67"/>
    <w:rsid w:val="00705DE6"/>
    <w:rsid w:val="00706064"/>
    <w:rsid w:val="00706119"/>
    <w:rsid w:val="00706406"/>
    <w:rsid w:val="00706568"/>
    <w:rsid w:val="00706623"/>
    <w:rsid w:val="00706C7B"/>
    <w:rsid w:val="007072DE"/>
    <w:rsid w:val="00707300"/>
    <w:rsid w:val="00707383"/>
    <w:rsid w:val="00707A6E"/>
    <w:rsid w:val="00707ADB"/>
    <w:rsid w:val="00707EB4"/>
    <w:rsid w:val="007100F6"/>
    <w:rsid w:val="007101FE"/>
    <w:rsid w:val="00710566"/>
    <w:rsid w:val="00710933"/>
    <w:rsid w:val="00710BAC"/>
    <w:rsid w:val="00710E5A"/>
    <w:rsid w:val="00710F4D"/>
    <w:rsid w:val="00711040"/>
    <w:rsid w:val="00711521"/>
    <w:rsid w:val="00711A3A"/>
    <w:rsid w:val="00711C7A"/>
    <w:rsid w:val="00711DB8"/>
    <w:rsid w:val="00711F7E"/>
    <w:rsid w:val="0071272D"/>
    <w:rsid w:val="00712F6B"/>
    <w:rsid w:val="007131E1"/>
    <w:rsid w:val="0071325D"/>
    <w:rsid w:val="00713470"/>
    <w:rsid w:val="007135FD"/>
    <w:rsid w:val="00713E89"/>
    <w:rsid w:val="0071413C"/>
    <w:rsid w:val="00714590"/>
    <w:rsid w:val="0071478D"/>
    <w:rsid w:val="007147C3"/>
    <w:rsid w:val="007148A4"/>
    <w:rsid w:val="00714C86"/>
    <w:rsid w:val="007150A2"/>
    <w:rsid w:val="0071540A"/>
    <w:rsid w:val="00715EDF"/>
    <w:rsid w:val="007169EC"/>
    <w:rsid w:val="00716A76"/>
    <w:rsid w:val="00716AA3"/>
    <w:rsid w:val="00716D9A"/>
    <w:rsid w:val="00716EFE"/>
    <w:rsid w:val="00716FE1"/>
    <w:rsid w:val="00717036"/>
    <w:rsid w:val="00717191"/>
    <w:rsid w:val="00717676"/>
    <w:rsid w:val="007176C6"/>
    <w:rsid w:val="007177CC"/>
    <w:rsid w:val="00717F73"/>
    <w:rsid w:val="00720143"/>
    <w:rsid w:val="00720235"/>
    <w:rsid w:val="00720295"/>
    <w:rsid w:val="00720751"/>
    <w:rsid w:val="007207C2"/>
    <w:rsid w:val="00720BDD"/>
    <w:rsid w:val="00720CB5"/>
    <w:rsid w:val="00720E00"/>
    <w:rsid w:val="00720E47"/>
    <w:rsid w:val="007212D6"/>
    <w:rsid w:val="007212E4"/>
    <w:rsid w:val="00721399"/>
    <w:rsid w:val="007214AD"/>
    <w:rsid w:val="007219A3"/>
    <w:rsid w:val="007219A6"/>
    <w:rsid w:val="00721BDF"/>
    <w:rsid w:val="00721C21"/>
    <w:rsid w:val="00721DE0"/>
    <w:rsid w:val="00721E46"/>
    <w:rsid w:val="00722130"/>
    <w:rsid w:val="0072278A"/>
    <w:rsid w:val="00722CA2"/>
    <w:rsid w:val="00722CE1"/>
    <w:rsid w:val="00723A2C"/>
    <w:rsid w:val="007240A9"/>
    <w:rsid w:val="007241BB"/>
    <w:rsid w:val="00724254"/>
    <w:rsid w:val="00724774"/>
    <w:rsid w:val="007247E1"/>
    <w:rsid w:val="00724A2F"/>
    <w:rsid w:val="00724B61"/>
    <w:rsid w:val="00725001"/>
    <w:rsid w:val="00725737"/>
    <w:rsid w:val="00725B83"/>
    <w:rsid w:val="00725E63"/>
    <w:rsid w:val="00726037"/>
    <w:rsid w:val="007267B8"/>
    <w:rsid w:val="00726B61"/>
    <w:rsid w:val="00726DCB"/>
    <w:rsid w:val="007270C9"/>
    <w:rsid w:val="007276E6"/>
    <w:rsid w:val="00727C21"/>
    <w:rsid w:val="00727F8B"/>
    <w:rsid w:val="0073018B"/>
    <w:rsid w:val="0073041E"/>
    <w:rsid w:val="0073055A"/>
    <w:rsid w:val="00730E54"/>
    <w:rsid w:val="00730FC2"/>
    <w:rsid w:val="0073104F"/>
    <w:rsid w:val="007312E3"/>
    <w:rsid w:val="007313C7"/>
    <w:rsid w:val="007314DA"/>
    <w:rsid w:val="0073176A"/>
    <w:rsid w:val="00731D2F"/>
    <w:rsid w:val="0073220A"/>
    <w:rsid w:val="007325CC"/>
    <w:rsid w:val="00732935"/>
    <w:rsid w:val="00732F5E"/>
    <w:rsid w:val="007332CA"/>
    <w:rsid w:val="007334B9"/>
    <w:rsid w:val="007335D4"/>
    <w:rsid w:val="007336B7"/>
    <w:rsid w:val="007337F9"/>
    <w:rsid w:val="00733CC2"/>
    <w:rsid w:val="00733F5A"/>
    <w:rsid w:val="00734404"/>
    <w:rsid w:val="007347A6"/>
    <w:rsid w:val="00734824"/>
    <w:rsid w:val="00734ACE"/>
    <w:rsid w:val="00734D59"/>
    <w:rsid w:val="00734E9A"/>
    <w:rsid w:val="00734EB9"/>
    <w:rsid w:val="007352D8"/>
    <w:rsid w:val="00735CBF"/>
    <w:rsid w:val="00736281"/>
    <w:rsid w:val="007364FA"/>
    <w:rsid w:val="0073679E"/>
    <w:rsid w:val="007367B2"/>
    <w:rsid w:val="007368C6"/>
    <w:rsid w:val="007368FB"/>
    <w:rsid w:val="00736BD8"/>
    <w:rsid w:val="00736CC4"/>
    <w:rsid w:val="00736F20"/>
    <w:rsid w:val="00737486"/>
    <w:rsid w:val="00737615"/>
    <w:rsid w:val="007377EE"/>
    <w:rsid w:val="007378E9"/>
    <w:rsid w:val="007379C2"/>
    <w:rsid w:val="007379C4"/>
    <w:rsid w:val="00737B33"/>
    <w:rsid w:val="00737CAF"/>
    <w:rsid w:val="0074004B"/>
    <w:rsid w:val="007405B7"/>
    <w:rsid w:val="00741112"/>
    <w:rsid w:val="0074142A"/>
    <w:rsid w:val="00741778"/>
    <w:rsid w:val="00741887"/>
    <w:rsid w:val="00741F10"/>
    <w:rsid w:val="007427F6"/>
    <w:rsid w:val="0074296C"/>
    <w:rsid w:val="00742974"/>
    <w:rsid w:val="00742B16"/>
    <w:rsid w:val="00742CA6"/>
    <w:rsid w:val="00742D91"/>
    <w:rsid w:val="007431DC"/>
    <w:rsid w:val="007434B9"/>
    <w:rsid w:val="007436C0"/>
    <w:rsid w:val="00743846"/>
    <w:rsid w:val="00743966"/>
    <w:rsid w:val="00743A2D"/>
    <w:rsid w:val="00743B89"/>
    <w:rsid w:val="00744423"/>
    <w:rsid w:val="0074457E"/>
    <w:rsid w:val="00744774"/>
    <w:rsid w:val="007448F0"/>
    <w:rsid w:val="00744E8D"/>
    <w:rsid w:val="00745422"/>
    <w:rsid w:val="00745430"/>
    <w:rsid w:val="00745E97"/>
    <w:rsid w:val="0074632C"/>
    <w:rsid w:val="00746595"/>
    <w:rsid w:val="0074678C"/>
    <w:rsid w:val="00746D08"/>
    <w:rsid w:val="00746E8E"/>
    <w:rsid w:val="0074711F"/>
    <w:rsid w:val="007472FF"/>
    <w:rsid w:val="00747531"/>
    <w:rsid w:val="00747705"/>
    <w:rsid w:val="0074799E"/>
    <w:rsid w:val="00747DBC"/>
    <w:rsid w:val="007502C2"/>
    <w:rsid w:val="007503FB"/>
    <w:rsid w:val="007504E6"/>
    <w:rsid w:val="00750C86"/>
    <w:rsid w:val="00750F87"/>
    <w:rsid w:val="00751111"/>
    <w:rsid w:val="007511CE"/>
    <w:rsid w:val="00751E3B"/>
    <w:rsid w:val="00751E64"/>
    <w:rsid w:val="007520B3"/>
    <w:rsid w:val="007521A1"/>
    <w:rsid w:val="00752361"/>
    <w:rsid w:val="007525CC"/>
    <w:rsid w:val="00752702"/>
    <w:rsid w:val="0075291C"/>
    <w:rsid w:val="0075301F"/>
    <w:rsid w:val="007532D7"/>
    <w:rsid w:val="007533C0"/>
    <w:rsid w:val="00753450"/>
    <w:rsid w:val="00753518"/>
    <w:rsid w:val="0075362B"/>
    <w:rsid w:val="00753D75"/>
    <w:rsid w:val="007544E1"/>
    <w:rsid w:val="0075500F"/>
    <w:rsid w:val="007551C6"/>
    <w:rsid w:val="007551F1"/>
    <w:rsid w:val="0075542F"/>
    <w:rsid w:val="00755CA9"/>
    <w:rsid w:val="00755E2E"/>
    <w:rsid w:val="00755F1A"/>
    <w:rsid w:val="00756225"/>
    <w:rsid w:val="00756549"/>
    <w:rsid w:val="00756B64"/>
    <w:rsid w:val="00756BE4"/>
    <w:rsid w:val="00756CC6"/>
    <w:rsid w:val="00756F61"/>
    <w:rsid w:val="00756FDD"/>
    <w:rsid w:val="007571FA"/>
    <w:rsid w:val="00757753"/>
    <w:rsid w:val="0075794B"/>
    <w:rsid w:val="00757D41"/>
    <w:rsid w:val="00757FF8"/>
    <w:rsid w:val="0076005E"/>
    <w:rsid w:val="0076060F"/>
    <w:rsid w:val="00760761"/>
    <w:rsid w:val="00760B54"/>
    <w:rsid w:val="00760F0D"/>
    <w:rsid w:val="0076169C"/>
    <w:rsid w:val="007616F4"/>
    <w:rsid w:val="00761CF1"/>
    <w:rsid w:val="00762398"/>
    <w:rsid w:val="00762842"/>
    <w:rsid w:val="007629DA"/>
    <w:rsid w:val="00762A03"/>
    <w:rsid w:val="00762A25"/>
    <w:rsid w:val="00762C7F"/>
    <w:rsid w:val="00762F9F"/>
    <w:rsid w:val="007631CF"/>
    <w:rsid w:val="0076325C"/>
    <w:rsid w:val="0076336E"/>
    <w:rsid w:val="00763D08"/>
    <w:rsid w:val="00763DCB"/>
    <w:rsid w:val="00763E77"/>
    <w:rsid w:val="0076469B"/>
    <w:rsid w:val="00764ADF"/>
    <w:rsid w:val="00764AE6"/>
    <w:rsid w:val="00764BDC"/>
    <w:rsid w:val="00765041"/>
    <w:rsid w:val="00765074"/>
    <w:rsid w:val="00765A63"/>
    <w:rsid w:val="00765CCC"/>
    <w:rsid w:val="00765E44"/>
    <w:rsid w:val="00765F20"/>
    <w:rsid w:val="007660BA"/>
    <w:rsid w:val="00766737"/>
    <w:rsid w:val="00766859"/>
    <w:rsid w:val="00766C4B"/>
    <w:rsid w:val="00766DA3"/>
    <w:rsid w:val="00766EB0"/>
    <w:rsid w:val="0076742C"/>
    <w:rsid w:val="00767507"/>
    <w:rsid w:val="00767BDE"/>
    <w:rsid w:val="00767BF9"/>
    <w:rsid w:val="00767CDB"/>
    <w:rsid w:val="00770207"/>
    <w:rsid w:val="00770312"/>
    <w:rsid w:val="007705AF"/>
    <w:rsid w:val="007705B5"/>
    <w:rsid w:val="00770A5D"/>
    <w:rsid w:val="00770ACC"/>
    <w:rsid w:val="00770B34"/>
    <w:rsid w:val="00770C3B"/>
    <w:rsid w:val="00770D56"/>
    <w:rsid w:val="00770DFE"/>
    <w:rsid w:val="00770F75"/>
    <w:rsid w:val="0077123A"/>
    <w:rsid w:val="0077130F"/>
    <w:rsid w:val="007717B2"/>
    <w:rsid w:val="00771B30"/>
    <w:rsid w:val="00771F9B"/>
    <w:rsid w:val="00772091"/>
    <w:rsid w:val="00772248"/>
    <w:rsid w:val="007722DF"/>
    <w:rsid w:val="007723B2"/>
    <w:rsid w:val="0077253A"/>
    <w:rsid w:val="0077260A"/>
    <w:rsid w:val="00772A0E"/>
    <w:rsid w:val="00772AFA"/>
    <w:rsid w:val="00772D3F"/>
    <w:rsid w:val="00772D64"/>
    <w:rsid w:val="007742FA"/>
    <w:rsid w:val="00774316"/>
    <w:rsid w:val="00774451"/>
    <w:rsid w:val="0077490F"/>
    <w:rsid w:val="00774C40"/>
    <w:rsid w:val="0077502F"/>
    <w:rsid w:val="007750DD"/>
    <w:rsid w:val="007755E6"/>
    <w:rsid w:val="00775F70"/>
    <w:rsid w:val="007764C8"/>
    <w:rsid w:val="00776698"/>
    <w:rsid w:val="0077770F"/>
    <w:rsid w:val="00777835"/>
    <w:rsid w:val="00777B93"/>
    <w:rsid w:val="00777BC2"/>
    <w:rsid w:val="00777C40"/>
    <w:rsid w:val="00777F89"/>
    <w:rsid w:val="007800DA"/>
    <w:rsid w:val="007801DD"/>
    <w:rsid w:val="00780780"/>
    <w:rsid w:val="007808B1"/>
    <w:rsid w:val="00780DBF"/>
    <w:rsid w:val="00780E33"/>
    <w:rsid w:val="00780E9F"/>
    <w:rsid w:val="00781095"/>
    <w:rsid w:val="0078133E"/>
    <w:rsid w:val="0078157E"/>
    <w:rsid w:val="00781C84"/>
    <w:rsid w:val="00781CCB"/>
    <w:rsid w:val="00781FA8"/>
    <w:rsid w:val="00782082"/>
    <w:rsid w:val="00782215"/>
    <w:rsid w:val="007822BA"/>
    <w:rsid w:val="00782307"/>
    <w:rsid w:val="0078273F"/>
    <w:rsid w:val="00782D05"/>
    <w:rsid w:val="00782EC7"/>
    <w:rsid w:val="0078334B"/>
    <w:rsid w:val="00783A40"/>
    <w:rsid w:val="00783C73"/>
    <w:rsid w:val="00784413"/>
    <w:rsid w:val="00784633"/>
    <w:rsid w:val="00784699"/>
    <w:rsid w:val="007846AF"/>
    <w:rsid w:val="00784C39"/>
    <w:rsid w:val="0078504A"/>
    <w:rsid w:val="00785340"/>
    <w:rsid w:val="00785873"/>
    <w:rsid w:val="00785A21"/>
    <w:rsid w:val="00785A70"/>
    <w:rsid w:val="00785D58"/>
    <w:rsid w:val="00785FBD"/>
    <w:rsid w:val="00786175"/>
    <w:rsid w:val="00786346"/>
    <w:rsid w:val="00786515"/>
    <w:rsid w:val="0078660B"/>
    <w:rsid w:val="00786A5A"/>
    <w:rsid w:val="00786F5E"/>
    <w:rsid w:val="00787052"/>
    <w:rsid w:val="00787060"/>
    <w:rsid w:val="00787388"/>
    <w:rsid w:val="0078740B"/>
    <w:rsid w:val="007874B0"/>
    <w:rsid w:val="007876AF"/>
    <w:rsid w:val="00787AC1"/>
    <w:rsid w:val="00787B6D"/>
    <w:rsid w:val="00787DE8"/>
    <w:rsid w:val="00787F9E"/>
    <w:rsid w:val="007901F5"/>
    <w:rsid w:val="00790334"/>
    <w:rsid w:val="007908A8"/>
    <w:rsid w:val="00790E3B"/>
    <w:rsid w:val="0079106E"/>
    <w:rsid w:val="007910A5"/>
    <w:rsid w:val="007912D1"/>
    <w:rsid w:val="00791AF7"/>
    <w:rsid w:val="00791CBB"/>
    <w:rsid w:val="00792046"/>
    <w:rsid w:val="00792302"/>
    <w:rsid w:val="00792355"/>
    <w:rsid w:val="00792777"/>
    <w:rsid w:val="007927D6"/>
    <w:rsid w:val="00792AEC"/>
    <w:rsid w:val="00792B27"/>
    <w:rsid w:val="00793012"/>
    <w:rsid w:val="007932E9"/>
    <w:rsid w:val="007933F3"/>
    <w:rsid w:val="0079343F"/>
    <w:rsid w:val="00793CAD"/>
    <w:rsid w:val="00793E86"/>
    <w:rsid w:val="00793F39"/>
    <w:rsid w:val="00793F86"/>
    <w:rsid w:val="007941C5"/>
    <w:rsid w:val="007941C7"/>
    <w:rsid w:val="0079515A"/>
    <w:rsid w:val="007951E9"/>
    <w:rsid w:val="007953DE"/>
    <w:rsid w:val="007957A3"/>
    <w:rsid w:val="0079588F"/>
    <w:rsid w:val="007958FD"/>
    <w:rsid w:val="007959DD"/>
    <w:rsid w:val="00795AD0"/>
    <w:rsid w:val="00795D31"/>
    <w:rsid w:val="00795DC9"/>
    <w:rsid w:val="00795EA6"/>
    <w:rsid w:val="007963AE"/>
    <w:rsid w:val="00796D19"/>
    <w:rsid w:val="00797013"/>
    <w:rsid w:val="0079718C"/>
    <w:rsid w:val="007972DC"/>
    <w:rsid w:val="00797A00"/>
    <w:rsid w:val="00797CE2"/>
    <w:rsid w:val="00797D82"/>
    <w:rsid w:val="007A0462"/>
    <w:rsid w:val="007A0A06"/>
    <w:rsid w:val="007A0EAE"/>
    <w:rsid w:val="007A11C2"/>
    <w:rsid w:val="007A15B7"/>
    <w:rsid w:val="007A17C0"/>
    <w:rsid w:val="007A1885"/>
    <w:rsid w:val="007A19C5"/>
    <w:rsid w:val="007A1AA8"/>
    <w:rsid w:val="007A1C83"/>
    <w:rsid w:val="007A28EA"/>
    <w:rsid w:val="007A2D0F"/>
    <w:rsid w:val="007A31A4"/>
    <w:rsid w:val="007A3529"/>
    <w:rsid w:val="007A3E11"/>
    <w:rsid w:val="007A4779"/>
    <w:rsid w:val="007A4FE0"/>
    <w:rsid w:val="007A5016"/>
    <w:rsid w:val="007A51A6"/>
    <w:rsid w:val="007A6181"/>
    <w:rsid w:val="007A64E6"/>
    <w:rsid w:val="007A66AA"/>
    <w:rsid w:val="007A6B2B"/>
    <w:rsid w:val="007A6B6A"/>
    <w:rsid w:val="007A6B6C"/>
    <w:rsid w:val="007A7262"/>
    <w:rsid w:val="007A7320"/>
    <w:rsid w:val="007A778C"/>
    <w:rsid w:val="007A7ACE"/>
    <w:rsid w:val="007A7FA7"/>
    <w:rsid w:val="007B0503"/>
    <w:rsid w:val="007B0B46"/>
    <w:rsid w:val="007B0BF1"/>
    <w:rsid w:val="007B10B6"/>
    <w:rsid w:val="007B14F1"/>
    <w:rsid w:val="007B1553"/>
    <w:rsid w:val="007B1D88"/>
    <w:rsid w:val="007B1F92"/>
    <w:rsid w:val="007B1FAC"/>
    <w:rsid w:val="007B1FAD"/>
    <w:rsid w:val="007B20FF"/>
    <w:rsid w:val="007B2321"/>
    <w:rsid w:val="007B2714"/>
    <w:rsid w:val="007B2CC5"/>
    <w:rsid w:val="007B31BE"/>
    <w:rsid w:val="007B38BE"/>
    <w:rsid w:val="007B3BA0"/>
    <w:rsid w:val="007B401C"/>
    <w:rsid w:val="007B4780"/>
    <w:rsid w:val="007B47D1"/>
    <w:rsid w:val="007B4969"/>
    <w:rsid w:val="007B4B51"/>
    <w:rsid w:val="007B4C0D"/>
    <w:rsid w:val="007B516F"/>
    <w:rsid w:val="007B5B51"/>
    <w:rsid w:val="007B60C1"/>
    <w:rsid w:val="007B62BF"/>
    <w:rsid w:val="007B62FE"/>
    <w:rsid w:val="007B6351"/>
    <w:rsid w:val="007B688F"/>
    <w:rsid w:val="007B6C94"/>
    <w:rsid w:val="007B745D"/>
    <w:rsid w:val="007B760F"/>
    <w:rsid w:val="007B7664"/>
    <w:rsid w:val="007B79EF"/>
    <w:rsid w:val="007B7A3F"/>
    <w:rsid w:val="007B7B02"/>
    <w:rsid w:val="007B7CCC"/>
    <w:rsid w:val="007B7CE2"/>
    <w:rsid w:val="007B7F9C"/>
    <w:rsid w:val="007C00F9"/>
    <w:rsid w:val="007C0962"/>
    <w:rsid w:val="007C0AA1"/>
    <w:rsid w:val="007C0ACF"/>
    <w:rsid w:val="007C118F"/>
    <w:rsid w:val="007C20C2"/>
    <w:rsid w:val="007C2288"/>
    <w:rsid w:val="007C2432"/>
    <w:rsid w:val="007C26CA"/>
    <w:rsid w:val="007C2A61"/>
    <w:rsid w:val="007C32FC"/>
    <w:rsid w:val="007C3656"/>
    <w:rsid w:val="007C371C"/>
    <w:rsid w:val="007C3C43"/>
    <w:rsid w:val="007C3CC2"/>
    <w:rsid w:val="007C3F58"/>
    <w:rsid w:val="007C40FC"/>
    <w:rsid w:val="007C440F"/>
    <w:rsid w:val="007C4577"/>
    <w:rsid w:val="007C45A6"/>
    <w:rsid w:val="007C45C8"/>
    <w:rsid w:val="007C48A1"/>
    <w:rsid w:val="007C4BE6"/>
    <w:rsid w:val="007C4D7F"/>
    <w:rsid w:val="007C53A3"/>
    <w:rsid w:val="007C541C"/>
    <w:rsid w:val="007C55E0"/>
    <w:rsid w:val="007C5697"/>
    <w:rsid w:val="007C5BC5"/>
    <w:rsid w:val="007C608B"/>
    <w:rsid w:val="007C62B2"/>
    <w:rsid w:val="007C6335"/>
    <w:rsid w:val="007C64B7"/>
    <w:rsid w:val="007C64EB"/>
    <w:rsid w:val="007C671A"/>
    <w:rsid w:val="007C6D8E"/>
    <w:rsid w:val="007C6E8A"/>
    <w:rsid w:val="007C6F8E"/>
    <w:rsid w:val="007C72CB"/>
    <w:rsid w:val="007C75C0"/>
    <w:rsid w:val="007C7787"/>
    <w:rsid w:val="007C785C"/>
    <w:rsid w:val="007C79A6"/>
    <w:rsid w:val="007C7BA5"/>
    <w:rsid w:val="007C7F63"/>
    <w:rsid w:val="007C7FF9"/>
    <w:rsid w:val="007D0295"/>
    <w:rsid w:val="007D0324"/>
    <w:rsid w:val="007D053C"/>
    <w:rsid w:val="007D090A"/>
    <w:rsid w:val="007D0EBF"/>
    <w:rsid w:val="007D0EC9"/>
    <w:rsid w:val="007D0F0E"/>
    <w:rsid w:val="007D129C"/>
    <w:rsid w:val="007D1728"/>
    <w:rsid w:val="007D228F"/>
    <w:rsid w:val="007D2364"/>
    <w:rsid w:val="007D2C92"/>
    <w:rsid w:val="007D2DFB"/>
    <w:rsid w:val="007D3121"/>
    <w:rsid w:val="007D34EB"/>
    <w:rsid w:val="007D36B1"/>
    <w:rsid w:val="007D380E"/>
    <w:rsid w:val="007D381E"/>
    <w:rsid w:val="007D3AC7"/>
    <w:rsid w:val="007D3BAA"/>
    <w:rsid w:val="007D430C"/>
    <w:rsid w:val="007D4EE5"/>
    <w:rsid w:val="007D4FF3"/>
    <w:rsid w:val="007D50AD"/>
    <w:rsid w:val="007D5254"/>
    <w:rsid w:val="007D5740"/>
    <w:rsid w:val="007D5772"/>
    <w:rsid w:val="007D6091"/>
    <w:rsid w:val="007D6579"/>
    <w:rsid w:val="007D682F"/>
    <w:rsid w:val="007D6B0B"/>
    <w:rsid w:val="007D6BC9"/>
    <w:rsid w:val="007D6DEF"/>
    <w:rsid w:val="007D6E20"/>
    <w:rsid w:val="007D7557"/>
    <w:rsid w:val="007D77FD"/>
    <w:rsid w:val="007D79CF"/>
    <w:rsid w:val="007D79ED"/>
    <w:rsid w:val="007E00F3"/>
    <w:rsid w:val="007E0BE8"/>
    <w:rsid w:val="007E17F4"/>
    <w:rsid w:val="007E18A7"/>
    <w:rsid w:val="007E1F10"/>
    <w:rsid w:val="007E233D"/>
    <w:rsid w:val="007E24C5"/>
    <w:rsid w:val="007E2AFC"/>
    <w:rsid w:val="007E2CBD"/>
    <w:rsid w:val="007E2EC9"/>
    <w:rsid w:val="007E3BD0"/>
    <w:rsid w:val="007E3C66"/>
    <w:rsid w:val="007E3D60"/>
    <w:rsid w:val="007E3E65"/>
    <w:rsid w:val="007E46E8"/>
    <w:rsid w:val="007E4A5B"/>
    <w:rsid w:val="007E4B91"/>
    <w:rsid w:val="007E4BDB"/>
    <w:rsid w:val="007E4CB8"/>
    <w:rsid w:val="007E4F32"/>
    <w:rsid w:val="007E5456"/>
    <w:rsid w:val="007E5796"/>
    <w:rsid w:val="007E5F1F"/>
    <w:rsid w:val="007E6150"/>
    <w:rsid w:val="007E61F2"/>
    <w:rsid w:val="007E621F"/>
    <w:rsid w:val="007E6318"/>
    <w:rsid w:val="007E6444"/>
    <w:rsid w:val="007E676C"/>
    <w:rsid w:val="007E67BB"/>
    <w:rsid w:val="007E6873"/>
    <w:rsid w:val="007E6958"/>
    <w:rsid w:val="007E6D8D"/>
    <w:rsid w:val="007E6E95"/>
    <w:rsid w:val="007E6FA4"/>
    <w:rsid w:val="007E7B27"/>
    <w:rsid w:val="007E7C24"/>
    <w:rsid w:val="007F0004"/>
    <w:rsid w:val="007F097E"/>
    <w:rsid w:val="007F0991"/>
    <w:rsid w:val="007F107C"/>
    <w:rsid w:val="007F1630"/>
    <w:rsid w:val="007F26AC"/>
    <w:rsid w:val="007F26AE"/>
    <w:rsid w:val="007F26F4"/>
    <w:rsid w:val="007F275D"/>
    <w:rsid w:val="007F330E"/>
    <w:rsid w:val="007F34D4"/>
    <w:rsid w:val="007F355F"/>
    <w:rsid w:val="007F35EC"/>
    <w:rsid w:val="007F39FD"/>
    <w:rsid w:val="007F4698"/>
    <w:rsid w:val="007F496A"/>
    <w:rsid w:val="007F5CE9"/>
    <w:rsid w:val="007F5FFC"/>
    <w:rsid w:val="007F6066"/>
    <w:rsid w:val="007F61FB"/>
    <w:rsid w:val="007F6535"/>
    <w:rsid w:val="007F67E1"/>
    <w:rsid w:val="007F6A45"/>
    <w:rsid w:val="007F6A50"/>
    <w:rsid w:val="007F6B6A"/>
    <w:rsid w:val="007F6F21"/>
    <w:rsid w:val="007F722C"/>
    <w:rsid w:val="007F75BE"/>
    <w:rsid w:val="007F7655"/>
    <w:rsid w:val="007F773A"/>
    <w:rsid w:val="007F7ED5"/>
    <w:rsid w:val="0080033E"/>
    <w:rsid w:val="00800388"/>
    <w:rsid w:val="008006EB"/>
    <w:rsid w:val="0080072A"/>
    <w:rsid w:val="008009BD"/>
    <w:rsid w:val="008009D0"/>
    <w:rsid w:val="00800AA6"/>
    <w:rsid w:val="00800B6A"/>
    <w:rsid w:val="0080103F"/>
    <w:rsid w:val="008012A6"/>
    <w:rsid w:val="00801F4D"/>
    <w:rsid w:val="0080201D"/>
    <w:rsid w:val="00802225"/>
    <w:rsid w:val="00802352"/>
    <w:rsid w:val="008023E1"/>
    <w:rsid w:val="00802513"/>
    <w:rsid w:val="008029E0"/>
    <w:rsid w:val="0080335D"/>
    <w:rsid w:val="008037B1"/>
    <w:rsid w:val="0080381C"/>
    <w:rsid w:val="00803C64"/>
    <w:rsid w:val="00804171"/>
    <w:rsid w:val="00804351"/>
    <w:rsid w:val="008044BE"/>
    <w:rsid w:val="008048D4"/>
    <w:rsid w:val="008049CB"/>
    <w:rsid w:val="008049D5"/>
    <w:rsid w:val="00804A8C"/>
    <w:rsid w:val="00804B01"/>
    <w:rsid w:val="00804D5E"/>
    <w:rsid w:val="0080507A"/>
    <w:rsid w:val="00805080"/>
    <w:rsid w:val="008052EA"/>
    <w:rsid w:val="008053EE"/>
    <w:rsid w:val="00805E7E"/>
    <w:rsid w:val="0080624F"/>
    <w:rsid w:val="00806805"/>
    <w:rsid w:val="008068C4"/>
    <w:rsid w:val="00806953"/>
    <w:rsid w:val="00806B2A"/>
    <w:rsid w:val="00806B77"/>
    <w:rsid w:val="0080742F"/>
    <w:rsid w:val="0080769F"/>
    <w:rsid w:val="00807C1B"/>
    <w:rsid w:val="00810012"/>
    <w:rsid w:val="00810515"/>
    <w:rsid w:val="00810AFF"/>
    <w:rsid w:val="00810E25"/>
    <w:rsid w:val="008115A1"/>
    <w:rsid w:val="00811B37"/>
    <w:rsid w:val="00811D5A"/>
    <w:rsid w:val="008123FA"/>
    <w:rsid w:val="008124A7"/>
    <w:rsid w:val="008137A7"/>
    <w:rsid w:val="00813EC3"/>
    <w:rsid w:val="008140E9"/>
    <w:rsid w:val="0081411A"/>
    <w:rsid w:val="00814305"/>
    <w:rsid w:val="00814834"/>
    <w:rsid w:val="008148A0"/>
    <w:rsid w:val="00814B1E"/>
    <w:rsid w:val="00814D15"/>
    <w:rsid w:val="00815062"/>
    <w:rsid w:val="0081510C"/>
    <w:rsid w:val="00815463"/>
    <w:rsid w:val="0081592A"/>
    <w:rsid w:val="008159D3"/>
    <w:rsid w:val="00815F5E"/>
    <w:rsid w:val="00815F70"/>
    <w:rsid w:val="00816013"/>
    <w:rsid w:val="008167E6"/>
    <w:rsid w:val="00816A4E"/>
    <w:rsid w:val="00817344"/>
    <w:rsid w:val="008173A8"/>
    <w:rsid w:val="0081747E"/>
    <w:rsid w:val="0081751B"/>
    <w:rsid w:val="0081769E"/>
    <w:rsid w:val="00817816"/>
    <w:rsid w:val="00817A97"/>
    <w:rsid w:val="00817B8B"/>
    <w:rsid w:val="00817FA3"/>
    <w:rsid w:val="00820138"/>
    <w:rsid w:val="00820200"/>
    <w:rsid w:val="008202CE"/>
    <w:rsid w:val="00820725"/>
    <w:rsid w:val="008208E5"/>
    <w:rsid w:val="008208F6"/>
    <w:rsid w:val="0082095E"/>
    <w:rsid w:val="008209E6"/>
    <w:rsid w:val="00820D88"/>
    <w:rsid w:val="00821402"/>
    <w:rsid w:val="00821E1B"/>
    <w:rsid w:val="00822C8A"/>
    <w:rsid w:val="00822FD0"/>
    <w:rsid w:val="008233CE"/>
    <w:rsid w:val="00823635"/>
    <w:rsid w:val="008237A2"/>
    <w:rsid w:val="00824BC8"/>
    <w:rsid w:val="00825A65"/>
    <w:rsid w:val="00825CAA"/>
    <w:rsid w:val="0082644D"/>
    <w:rsid w:val="008267E6"/>
    <w:rsid w:val="00827127"/>
    <w:rsid w:val="00827148"/>
    <w:rsid w:val="0082728A"/>
    <w:rsid w:val="0082745B"/>
    <w:rsid w:val="008274F6"/>
    <w:rsid w:val="00827A5F"/>
    <w:rsid w:val="00830495"/>
    <w:rsid w:val="00830E95"/>
    <w:rsid w:val="00830EEB"/>
    <w:rsid w:val="00830FAB"/>
    <w:rsid w:val="00830FAC"/>
    <w:rsid w:val="008311DC"/>
    <w:rsid w:val="00831301"/>
    <w:rsid w:val="008314FE"/>
    <w:rsid w:val="00831695"/>
    <w:rsid w:val="00831DD2"/>
    <w:rsid w:val="0083201D"/>
    <w:rsid w:val="00832403"/>
    <w:rsid w:val="00832546"/>
    <w:rsid w:val="00832F24"/>
    <w:rsid w:val="00833083"/>
    <w:rsid w:val="00833578"/>
    <w:rsid w:val="00833AC1"/>
    <w:rsid w:val="00833CFD"/>
    <w:rsid w:val="00833DB2"/>
    <w:rsid w:val="00834077"/>
    <w:rsid w:val="008349B1"/>
    <w:rsid w:val="00834B04"/>
    <w:rsid w:val="00834F9F"/>
    <w:rsid w:val="00835CA1"/>
    <w:rsid w:val="00835FFA"/>
    <w:rsid w:val="00836130"/>
    <w:rsid w:val="00836316"/>
    <w:rsid w:val="008365EF"/>
    <w:rsid w:val="008366E7"/>
    <w:rsid w:val="008372A3"/>
    <w:rsid w:val="00837442"/>
    <w:rsid w:val="0083748B"/>
    <w:rsid w:val="008374EB"/>
    <w:rsid w:val="00837964"/>
    <w:rsid w:val="00837D7F"/>
    <w:rsid w:val="00837E15"/>
    <w:rsid w:val="00837E70"/>
    <w:rsid w:val="00840042"/>
    <w:rsid w:val="008400F6"/>
    <w:rsid w:val="008401BF"/>
    <w:rsid w:val="0084047D"/>
    <w:rsid w:val="00840661"/>
    <w:rsid w:val="0084088A"/>
    <w:rsid w:val="00840B45"/>
    <w:rsid w:val="008410C5"/>
    <w:rsid w:val="008414FA"/>
    <w:rsid w:val="0084174A"/>
    <w:rsid w:val="00841B34"/>
    <w:rsid w:val="00841C68"/>
    <w:rsid w:val="0084294A"/>
    <w:rsid w:val="00842FBE"/>
    <w:rsid w:val="00843103"/>
    <w:rsid w:val="008431EE"/>
    <w:rsid w:val="0084362D"/>
    <w:rsid w:val="00843649"/>
    <w:rsid w:val="0084376D"/>
    <w:rsid w:val="00844269"/>
    <w:rsid w:val="00844B7E"/>
    <w:rsid w:val="00844C9B"/>
    <w:rsid w:val="00845035"/>
    <w:rsid w:val="00845221"/>
    <w:rsid w:val="00845503"/>
    <w:rsid w:val="008455D8"/>
    <w:rsid w:val="0084597C"/>
    <w:rsid w:val="00845E3E"/>
    <w:rsid w:val="0084624C"/>
    <w:rsid w:val="008462BD"/>
    <w:rsid w:val="00846578"/>
    <w:rsid w:val="0084663B"/>
    <w:rsid w:val="00846B66"/>
    <w:rsid w:val="00846C07"/>
    <w:rsid w:val="00846C7F"/>
    <w:rsid w:val="008470ED"/>
    <w:rsid w:val="00847D1D"/>
    <w:rsid w:val="008500A3"/>
    <w:rsid w:val="008500CB"/>
    <w:rsid w:val="00850155"/>
    <w:rsid w:val="00850589"/>
    <w:rsid w:val="0085063A"/>
    <w:rsid w:val="0085067E"/>
    <w:rsid w:val="00850777"/>
    <w:rsid w:val="00851A9A"/>
    <w:rsid w:val="00851DAF"/>
    <w:rsid w:val="00852604"/>
    <w:rsid w:val="00852DC6"/>
    <w:rsid w:val="008530F9"/>
    <w:rsid w:val="008531C8"/>
    <w:rsid w:val="00853397"/>
    <w:rsid w:val="0085392E"/>
    <w:rsid w:val="00854098"/>
    <w:rsid w:val="00854212"/>
    <w:rsid w:val="00854246"/>
    <w:rsid w:val="00854CFA"/>
    <w:rsid w:val="00854DE5"/>
    <w:rsid w:val="00854EBF"/>
    <w:rsid w:val="00854F31"/>
    <w:rsid w:val="008552AD"/>
    <w:rsid w:val="00855433"/>
    <w:rsid w:val="008558A5"/>
    <w:rsid w:val="00855D8E"/>
    <w:rsid w:val="00855E54"/>
    <w:rsid w:val="0085635F"/>
    <w:rsid w:val="0085678C"/>
    <w:rsid w:val="008572B6"/>
    <w:rsid w:val="00857318"/>
    <w:rsid w:val="00860011"/>
    <w:rsid w:val="00860414"/>
    <w:rsid w:val="00860490"/>
    <w:rsid w:val="008606E5"/>
    <w:rsid w:val="00860F77"/>
    <w:rsid w:val="0086141C"/>
    <w:rsid w:val="008614BC"/>
    <w:rsid w:val="00861575"/>
    <w:rsid w:val="0086222A"/>
    <w:rsid w:val="008623ED"/>
    <w:rsid w:val="00862525"/>
    <w:rsid w:val="0086275C"/>
    <w:rsid w:val="00862DD5"/>
    <w:rsid w:val="00862F26"/>
    <w:rsid w:val="008632DB"/>
    <w:rsid w:val="008634FC"/>
    <w:rsid w:val="008635AF"/>
    <w:rsid w:val="00863672"/>
    <w:rsid w:val="0086374A"/>
    <w:rsid w:val="0086388B"/>
    <w:rsid w:val="008638F1"/>
    <w:rsid w:val="00863EDC"/>
    <w:rsid w:val="0086438C"/>
    <w:rsid w:val="008643DE"/>
    <w:rsid w:val="0086457C"/>
    <w:rsid w:val="00864FF9"/>
    <w:rsid w:val="00865653"/>
    <w:rsid w:val="00865735"/>
    <w:rsid w:val="00865D3C"/>
    <w:rsid w:val="00865F1B"/>
    <w:rsid w:val="00865FEB"/>
    <w:rsid w:val="00866A88"/>
    <w:rsid w:val="00866C02"/>
    <w:rsid w:val="00866DFE"/>
    <w:rsid w:val="00866F11"/>
    <w:rsid w:val="0086702A"/>
    <w:rsid w:val="008673E0"/>
    <w:rsid w:val="00867CEC"/>
    <w:rsid w:val="00867D97"/>
    <w:rsid w:val="00870051"/>
    <w:rsid w:val="00870163"/>
    <w:rsid w:val="00870311"/>
    <w:rsid w:val="008703FE"/>
    <w:rsid w:val="008706EE"/>
    <w:rsid w:val="008708A7"/>
    <w:rsid w:val="00871000"/>
    <w:rsid w:val="0087150C"/>
    <w:rsid w:val="0087193F"/>
    <w:rsid w:val="00871BD8"/>
    <w:rsid w:val="008720AE"/>
    <w:rsid w:val="0087221D"/>
    <w:rsid w:val="008722DB"/>
    <w:rsid w:val="00872AD4"/>
    <w:rsid w:val="00872E7E"/>
    <w:rsid w:val="00872EC0"/>
    <w:rsid w:val="00873503"/>
    <w:rsid w:val="0087365B"/>
    <w:rsid w:val="00873839"/>
    <w:rsid w:val="008742DD"/>
    <w:rsid w:val="00874E61"/>
    <w:rsid w:val="008750C2"/>
    <w:rsid w:val="0087596F"/>
    <w:rsid w:val="00875C40"/>
    <w:rsid w:val="00875F1F"/>
    <w:rsid w:val="00876168"/>
    <w:rsid w:val="008762CB"/>
    <w:rsid w:val="00876446"/>
    <w:rsid w:val="00876B2A"/>
    <w:rsid w:val="00876CAE"/>
    <w:rsid w:val="00877020"/>
    <w:rsid w:val="0087761B"/>
    <w:rsid w:val="00877AF4"/>
    <w:rsid w:val="00877D2D"/>
    <w:rsid w:val="008816BA"/>
    <w:rsid w:val="00881F20"/>
    <w:rsid w:val="00882301"/>
    <w:rsid w:val="008829C7"/>
    <w:rsid w:val="00882F09"/>
    <w:rsid w:val="008832F2"/>
    <w:rsid w:val="00883BCF"/>
    <w:rsid w:val="00884A55"/>
    <w:rsid w:val="00884E7C"/>
    <w:rsid w:val="00885051"/>
    <w:rsid w:val="0088562B"/>
    <w:rsid w:val="008856DB"/>
    <w:rsid w:val="008857EF"/>
    <w:rsid w:val="0088581A"/>
    <w:rsid w:val="00885BA3"/>
    <w:rsid w:val="00885D8F"/>
    <w:rsid w:val="008861E0"/>
    <w:rsid w:val="00886762"/>
    <w:rsid w:val="00886CCF"/>
    <w:rsid w:val="00886E72"/>
    <w:rsid w:val="0088758A"/>
    <w:rsid w:val="0088783E"/>
    <w:rsid w:val="00887915"/>
    <w:rsid w:val="00887A42"/>
    <w:rsid w:val="00887D59"/>
    <w:rsid w:val="00890663"/>
    <w:rsid w:val="008906EC"/>
    <w:rsid w:val="00890792"/>
    <w:rsid w:val="0089088B"/>
    <w:rsid w:val="00890E24"/>
    <w:rsid w:val="00890F9F"/>
    <w:rsid w:val="008910B1"/>
    <w:rsid w:val="00891302"/>
    <w:rsid w:val="0089171F"/>
    <w:rsid w:val="00891FBC"/>
    <w:rsid w:val="00892128"/>
    <w:rsid w:val="008922EE"/>
    <w:rsid w:val="00892561"/>
    <w:rsid w:val="0089285D"/>
    <w:rsid w:val="008928A7"/>
    <w:rsid w:val="00892A88"/>
    <w:rsid w:val="00892C79"/>
    <w:rsid w:val="008937F2"/>
    <w:rsid w:val="00893A5F"/>
    <w:rsid w:val="008941B1"/>
    <w:rsid w:val="008941FD"/>
    <w:rsid w:val="00894307"/>
    <w:rsid w:val="008944A2"/>
    <w:rsid w:val="0089472A"/>
    <w:rsid w:val="008947EA"/>
    <w:rsid w:val="00894BAE"/>
    <w:rsid w:val="008953CB"/>
    <w:rsid w:val="008958B4"/>
    <w:rsid w:val="00895C54"/>
    <w:rsid w:val="00895DAA"/>
    <w:rsid w:val="0089606C"/>
    <w:rsid w:val="00896323"/>
    <w:rsid w:val="008963EB"/>
    <w:rsid w:val="00896590"/>
    <w:rsid w:val="0089665B"/>
    <w:rsid w:val="00896B55"/>
    <w:rsid w:val="00896B83"/>
    <w:rsid w:val="00896C23"/>
    <w:rsid w:val="008974FC"/>
    <w:rsid w:val="008975DD"/>
    <w:rsid w:val="008976DB"/>
    <w:rsid w:val="00897FEF"/>
    <w:rsid w:val="008A0236"/>
    <w:rsid w:val="008A0267"/>
    <w:rsid w:val="008A05F3"/>
    <w:rsid w:val="008A0690"/>
    <w:rsid w:val="008A092C"/>
    <w:rsid w:val="008A0C86"/>
    <w:rsid w:val="008A0EB7"/>
    <w:rsid w:val="008A0F86"/>
    <w:rsid w:val="008A125F"/>
    <w:rsid w:val="008A12C9"/>
    <w:rsid w:val="008A1F15"/>
    <w:rsid w:val="008A1F6D"/>
    <w:rsid w:val="008A209D"/>
    <w:rsid w:val="008A22E1"/>
    <w:rsid w:val="008A29D2"/>
    <w:rsid w:val="008A2DFD"/>
    <w:rsid w:val="008A307C"/>
    <w:rsid w:val="008A33A0"/>
    <w:rsid w:val="008A3C73"/>
    <w:rsid w:val="008A3ECF"/>
    <w:rsid w:val="008A406A"/>
    <w:rsid w:val="008A41FB"/>
    <w:rsid w:val="008A4314"/>
    <w:rsid w:val="008A4368"/>
    <w:rsid w:val="008A4668"/>
    <w:rsid w:val="008A54A5"/>
    <w:rsid w:val="008A5565"/>
    <w:rsid w:val="008A5602"/>
    <w:rsid w:val="008A5BE5"/>
    <w:rsid w:val="008A6085"/>
    <w:rsid w:val="008A60BE"/>
    <w:rsid w:val="008A6153"/>
    <w:rsid w:val="008A6542"/>
    <w:rsid w:val="008A66C1"/>
    <w:rsid w:val="008A756A"/>
    <w:rsid w:val="008A7A78"/>
    <w:rsid w:val="008B055C"/>
    <w:rsid w:val="008B0799"/>
    <w:rsid w:val="008B07EB"/>
    <w:rsid w:val="008B0839"/>
    <w:rsid w:val="008B09B1"/>
    <w:rsid w:val="008B0A3F"/>
    <w:rsid w:val="008B0DF1"/>
    <w:rsid w:val="008B0EC5"/>
    <w:rsid w:val="008B1176"/>
    <w:rsid w:val="008B12E9"/>
    <w:rsid w:val="008B17C8"/>
    <w:rsid w:val="008B17F0"/>
    <w:rsid w:val="008B2400"/>
    <w:rsid w:val="008B303E"/>
    <w:rsid w:val="008B3317"/>
    <w:rsid w:val="008B3678"/>
    <w:rsid w:val="008B3750"/>
    <w:rsid w:val="008B3A3C"/>
    <w:rsid w:val="008B3A54"/>
    <w:rsid w:val="008B3AB1"/>
    <w:rsid w:val="008B4371"/>
    <w:rsid w:val="008B4F2F"/>
    <w:rsid w:val="008B51D8"/>
    <w:rsid w:val="008B5674"/>
    <w:rsid w:val="008B5923"/>
    <w:rsid w:val="008B6568"/>
    <w:rsid w:val="008B697E"/>
    <w:rsid w:val="008B6D1A"/>
    <w:rsid w:val="008B7023"/>
    <w:rsid w:val="008B70F5"/>
    <w:rsid w:val="008B713C"/>
    <w:rsid w:val="008B72CC"/>
    <w:rsid w:val="008B75DA"/>
    <w:rsid w:val="008B7890"/>
    <w:rsid w:val="008B7C67"/>
    <w:rsid w:val="008B7D56"/>
    <w:rsid w:val="008B7EE5"/>
    <w:rsid w:val="008C0472"/>
    <w:rsid w:val="008C0784"/>
    <w:rsid w:val="008C08B4"/>
    <w:rsid w:val="008C0ADF"/>
    <w:rsid w:val="008C0BF8"/>
    <w:rsid w:val="008C0DAE"/>
    <w:rsid w:val="008C1B85"/>
    <w:rsid w:val="008C1FE2"/>
    <w:rsid w:val="008C22D6"/>
    <w:rsid w:val="008C2676"/>
    <w:rsid w:val="008C26CE"/>
    <w:rsid w:val="008C2827"/>
    <w:rsid w:val="008C2DFF"/>
    <w:rsid w:val="008C31B1"/>
    <w:rsid w:val="008C3527"/>
    <w:rsid w:val="008C3774"/>
    <w:rsid w:val="008C37BB"/>
    <w:rsid w:val="008C387F"/>
    <w:rsid w:val="008C3AC2"/>
    <w:rsid w:val="008C3EB9"/>
    <w:rsid w:val="008C4BA7"/>
    <w:rsid w:val="008C4C3E"/>
    <w:rsid w:val="008C50AB"/>
    <w:rsid w:val="008C52E6"/>
    <w:rsid w:val="008C52EA"/>
    <w:rsid w:val="008C57D7"/>
    <w:rsid w:val="008C597D"/>
    <w:rsid w:val="008C626E"/>
    <w:rsid w:val="008C6476"/>
    <w:rsid w:val="008C6576"/>
    <w:rsid w:val="008C671C"/>
    <w:rsid w:val="008C67DD"/>
    <w:rsid w:val="008C6A01"/>
    <w:rsid w:val="008C6BD1"/>
    <w:rsid w:val="008C6D95"/>
    <w:rsid w:val="008C729D"/>
    <w:rsid w:val="008C78E2"/>
    <w:rsid w:val="008C7AA2"/>
    <w:rsid w:val="008C7DEF"/>
    <w:rsid w:val="008C7E0E"/>
    <w:rsid w:val="008D0B9F"/>
    <w:rsid w:val="008D10D8"/>
    <w:rsid w:val="008D1461"/>
    <w:rsid w:val="008D1D42"/>
    <w:rsid w:val="008D1D87"/>
    <w:rsid w:val="008D2120"/>
    <w:rsid w:val="008D21E9"/>
    <w:rsid w:val="008D266F"/>
    <w:rsid w:val="008D275B"/>
    <w:rsid w:val="008D2B32"/>
    <w:rsid w:val="008D2BDE"/>
    <w:rsid w:val="008D2BE3"/>
    <w:rsid w:val="008D2E4D"/>
    <w:rsid w:val="008D38BF"/>
    <w:rsid w:val="008D43CC"/>
    <w:rsid w:val="008D487E"/>
    <w:rsid w:val="008D497C"/>
    <w:rsid w:val="008D4CBE"/>
    <w:rsid w:val="008D4CDE"/>
    <w:rsid w:val="008D4DB5"/>
    <w:rsid w:val="008D555A"/>
    <w:rsid w:val="008D5892"/>
    <w:rsid w:val="008D5D70"/>
    <w:rsid w:val="008D6267"/>
    <w:rsid w:val="008D6298"/>
    <w:rsid w:val="008D6689"/>
    <w:rsid w:val="008D66F6"/>
    <w:rsid w:val="008D66FE"/>
    <w:rsid w:val="008D68FF"/>
    <w:rsid w:val="008D6DFA"/>
    <w:rsid w:val="008D71A2"/>
    <w:rsid w:val="008D7350"/>
    <w:rsid w:val="008D741E"/>
    <w:rsid w:val="008D77C2"/>
    <w:rsid w:val="008D7C95"/>
    <w:rsid w:val="008E088A"/>
    <w:rsid w:val="008E10AA"/>
    <w:rsid w:val="008E1388"/>
    <w:rsid w:val="008E16ED"/>
    <w:rsid w:val="008E1704"/>
    <w:rsid w:val="008E1B57"/>
    <w:rsid w:val="008E1CB7"/>
    <w:rsid w:val="008E1D39"/>
    <w:rsid w:val="008E1DAC"/>
    <w:rsid w:val="008E2003"/>
    <w:rsid w:val="008E20BD"/>
    <w:rsid w:val="008E21B4"/>
    <w:rsid w:val="008E233E"/>
    <w:rsid w:val="008E233F"/>
    <w:rsid w:val="008E236F"/>
    <w:rsid w:val="008E23BD"/>
    <w:rsid w:val="008E287E"/>
    <w:rsid w:val="008E28E3"/>
    <w:rsid w:val="008E2C20"/>
    <w:rsid w:val="008E3055"/>
    <w:rsid w:val="008E3210"/>
    <w:rsid w:val="008E32E2"/>
    <w:rsid w:val="008E3459"/>
    <w:rsid w:val="008E392A"/>
    <w:rsid w:val="008E39DD"/>
    <w:rsid w:val="008E4176"/>
    <w:rsid w:val="008E4489"/>
    <w:rsid w:val="008E454D"/>
    <w:rsid w:val="008E4A0D"/>
    <w:rsid w:val="008E4F7C"/>
    <w:rsid w:val="008E4FE5"/>
    <w:rsid w:val="008E5604"/>
    <w:rsid w:val="008E5728"/>
    <w:rsid w:val="008E6291"/>
    <w:rsid w:val="008E65C9"/>
    <w:rsid w:val="008E683A"/>
    <w:rsid w:val="008E697F"/>
    <w:rsid w:val="008E7034"/>
    <w:rsid w:val="008E75E0"/>
    <w:rsid w:val="008E7715"/>
    <w:rsid w:val="008F00C8"/>
    <w:rsid w:val="008F019F"/>
    <w:rsid w:val="008F0245"/>
    <w:rsid w:val="008F0358"/>
    <w:rsid w:val="008F06CD"/>
    <w:rsid w:val="008F07BF"/>
    <w:rsid w:val="008F0C29"/>
    <w:rsid w:val="008F0EC9"/>
    <w:rsid w:val="008F12C2"/>
    <w:rsid w:val="008F13CE"/>
    <w:rsid w:val="008F14F2"/>
    <w:rsid w:val="008F1870"/>
    <w:rsid w:val="008F19AE"/>
    <w:rsid w:val="008F1B38"/>
    <w:rsid w:val="008F1DF4"/>
    <w:rsid w:val="008F2426"/>
    <w:rsid w:val="008F26F3"/>
    <w:rsid w:val="008F2754"/>
    <w:rsid w:val="008F2B3E"/>
    <w:rsid w:val="008F2DB4"/>
    <w:rsid w:val="008F2E46"/>
    <w:rsid w:val="008F30A8"/>
    <w:rsid w:val="008F3752"/>
    <w:rsid w:val="008F38BC"/>
    <w:rsid w:val="008F38F9"/>
    <w:rsid w:val="008F3F8D"/>
    <w:rsid w:val="008F4222"/>
    <w:rsid w:val="008F4406"/>
    <w:rsid w:val="008F48F1"/>
    <w:rsid w:val="008F4BC0"/>
    <w:rsid w:val="008F4C0A"/>
    <w:rsid w:val="008F4EB9"/>
    <w:rsid w:val="008F4FEC"/>
    <w:rsid w:val="008F5117"/>
    <w:rsid w:val="008F5318"/>
    <w:rsid w:val="008F5A86"/>
    <w:rsid w:val="008F5B0E"/>
    <w:rsid w:val="008F69CC"/>
    <w:rsid w:val="008F6BA0"/>
    <w:rsid w:val="008F6BCF"/>
    <w:rsid w:val="008F6CED"/>
    <w:rsid w:val="008F7027"/>
    <w:rsid w:val="008F762E"/>
    <w:rsid w:val="008F770B"/>
    <w:rsid w:val="008F794E"/>
    <w:rsid w:val="008F7C1D"/>
    <w:rsid w:val="008F7CF9"/>
    <w:rsid w:val="00900703"/>
    <w:rsid w:val="009007F0"/>
    <w:rsid w:val="0090095B"/>
    <w:rsid w:val="0090102C"/>
    <w:rsid w:val="00901433"/>
    <w:rsid w:val="00901520"/>
    <w:rsid w:val="0090224A"/>
    <w:rsid w:val="009023F8"/>
    <w:rsid w:val="00902655"/>
    <w:rsid w:val="00902A00"/>
    <w:rsid w:val="009030CD"/>
    <w:rsid w:val="00903798"/>
    <w:rsid w:val="00903887"/>
    <w:rsid w:val="009039D6"/>
    <w:rsid w:val="00903CF7"/>
    <w:rsid w:val="00903DFE"/>
    <w:rsid w:val="009040F1"/>
    <w:rsid w:val="00904274"/>
    <w:rsid w:val="00904A9E"/>
    <w:rsid w:val="00904C10"/>
    <w:rsid w:val="00904EE1"/>
    <w:rsid w:val="009052E3"/>
    <w:rsid w:val="009068F7"/>
    <w:rsid w:val="00906CB1"/>
    <w:rsid w:val="00906CBF"/>
    <w:rsid w:val="00907557"/>
    <w:rsid w:val="009075C4"/>
    <w:rsid w:val="009079DE"/>
    <w:rsid w:val="00907BA0"/>
    <w:rsid w:val="009104A4"/>
    <w:rsid w:val="0091089B"/>
    <w:rsid w:val="00910D84"/>
    <w:rsid w:val="00911DDA"/>
    <w:rsid w:val="00912AC1"/>
    <w:rsid w:val="00912C54"/>
    <w:rsid w:val="00912E2D"/>
    <w:rsid w:val="00912EA0"/>
    <w:rsid w:val="009130C6"/>
    <w:rsid w:val="0091355F"/>
    <w:rsid w:val="0091360A"/>
    <w:rsid w:val="009142DA"/>
    <w:rsid w:val="009147CD"/>
    <w:rsid w:val="00914897"/>
    <w:rsid w:val="00914F85"/>
    <w:rsid w:val="009150AC"/>
    <w:rsid w:val="009156FF"/>
    <w:rsid w:val="009158CE"/>
    <w:rsid w:val="00915B45"/>
    <w:rsid w:val="00916130"/>
    <w:rsid w:val="00916FA1"/>
    <w:rsid w:val="009170D0"/>
    <w:rsid w:val="009174F5"/>
    <w:rsid w:val="009177BF"/>
    <w:rsid w:val="009201A3"/>
    <w:rsid w:val="00920941"/>
    <w:rsid w:val="00920D29"/>
    <w:rsid w:val="00920D3B"/>
    <w:rsid w:val="00921137"/>
    <w:rsid w:val="0092128E"/>
    <w:rsid w:val="0092172A"/>
    <w:rsid w:val="009217ED"/>
    <w:rsid w:val="00921A86"/>
    <w:rsid w:val="00921AD5"/>
    <w:rsid w:val="00921DEE"/>
    <w:rsid w:val="00921F51"/>
    <w:rsid w:val="009224D5"/>
    <w:rsid w:val="00922505"/>
    <w:rsid w:val="009226B3"/>
    <w:rsid w:val="0092318C"/>
    <w:rsid w:val="00923B82"/>
    <w:rsid w:val="00923CFC"/>
    <w:rsid w:val="00924073"/>
    <w:rsid w:val="0092425A"/>
    <w:rsid w:val="009249EA"/>
    <w:rsid w:val="009255F3"/>
    <w:rsid w:val="00925711"/>
    <w:rsid w:val="00925918"/>
    <w:rsid w:val="00925C18"/>
    <w:rsid w:val="00925FC2"/>
    <w:rsid w:val="0092603B"/>
    <w:rsid w:val="009260F8"/>
    <w:rsid w:val="009261C2"/>
    <w:rsid w:val="00926AA4"/>
    <w:rsid w:val="00927999"/>
    <w:rsid w:val="00927BAC"/>
    <w:rsid w:val="00927D8B"/>
    <w:rsid w:val="00927EC2"/>
    <w:rsid w:val="0093032D"/>
    <w:rsid w:val="0093051A"/>
    <w:rsid w:val="009309F1"/>
    <w:rsid w:val="00930CB7"/>
    <w:rsid w:val="009310A9"/>
    <w:rsid w:val="00931153"/>
    <w:rsid w:val="0093117D"/>
    <w:rsid w:val="009312C6"/>
    <w:rsid w:val="009313A1"/>
    <w:rsid w:val="009315D1"/>
    <w:rsid w:val="009316EC"/>
    <w:rsid w:val="00931CA4"/>
    <w:rsid w:val="00931F56"/>
    <w:rsid w:val="00932206"/>
    <w:rsid w:val="00932317"/>
    <w:rsid w:val="00932347"/>
    <w:rsid w:val="0093249D"/>
    <w:rsid w:val="00932649"/>
    <w:rsid w:val="0093285E"/>
    <w:rsid w:val="0093286F"/>
    <w:rsid w:val="00933077"/>
    <w:rsid w:val="009330F9"/>
    <w:rsid w:val="00933370"/>
    <w:rsid w:val="009336FA"/>
    <w:rsid w:val="0093396A"/>
    <w:rsid w:val="00933A6F"/>
    <w:rsid w:val="00933BDE"/>
    <w:rsid w:val="00933BE3"/>
    <w:rsid w:val="00933C1A"/>
    <w:rsid w:val="00933FCD"/>
    <w:rsid w:val="0093442E"/>
    <w:rsid w:val="009344C2"/>
    <w:rsid w:val="009345C0"/>
    <w:rsid w:val="00934755"/>
    <w:rsid w:val="009348D1"/>
    <w:rsid w:val="009348D7"/>
    <w:rsid w:val="009348EF"/>
    <w:rsid w:val="009358DA"/>
    <w:rsid w:val="00935912"/>
    <w:rsid w:val="00935C93"/>
    <w:rsid w:val="009363BD"/>
    <w:rsid w:val="00936634"/>
    <w:rsid w:val="009366BF"/>
    <w:rsid w:val="00936838"/>
    <w:rsid w:val="009368B9"/>
    <w:rsid w:val="00936A8A"/>
    <w:rsid w:val="00936BE1"/>
    <w:rsid w:val="00936CBC"/>
    <w:rsid w:val="00936D53"/>
    <w:rsid w:val="00937482"/>
    <w:rsid w:val="00940D91"/>
    <w:rsid w:val="009411B9"/>
    <w:rsid w:val="0094122F"/>
    <w:rsid w:val="0094129C"/>
    <w:rsid w:val="00941B71"/>
    <w:rsid w:val="00941C8B"/>
    <w:rsid w:val="0094264B"/>
    <w:rsid w:val="009427E5"/>
    <w:rsid w:val="00942D07"/>
    <w:rsid w:val="009432DD"/>
    <w:rsid w:val="009434F1"/>
    <w:rsid w:val="009439A2"/>
    <w:rsid w:val="00943BA4"/>
    <w:rsid w:val="00943F89"/>
    <w:rsid w:val="00943FD7"/>
    <w:rsid w:val="009441D6"/>
    <w:rsid w:val="009443A4"/>
    <w:rsid w:val="00944539"/>
    <w:rsid w:val="009445BB"/>
    <w:rsid w:val="00944E3F"/>
    <w:rsid w:val="009456D4"/>
    <w:rsid w:val="00945C66"/>
    <w:rsid w:val="00945CF3"/>
    <w:rsid w:val="009461DC"/>
    <w:rsid w:val="00946257"/>
    <w:rsid w:val="0094686C"/>
    <w:rsid w:val="00946992"/>
    <w:rsid w:val="009473FE"/>
    <w:rsid w:val="009474FA"/>
    <w:rsid w:val="00947701"/>
    <w:rsid w:val="00947B90"/>
    <w:rsid w:val="00947EBC"/>
    <w:rsid w:val="00950061"/>
    <w:rsid w:val="00950063"/>
    <w:rsid w:val="00950379"/>
    <w:rsid w:val="00950551"/>
    <w:rsid w:val="00950A77"/>
    <w:rsid w:val="00951B39"/>
    <w:rsid w:val="00951DA8"/>
    <w:rsid w:val="00952CE1"/>
    <w:rsid w:val="00952D28"/>
    <w:rsid w:val="00952D2C"/>
    <w:rsid w:val="00952EFF"/>
    <w:rsid w:val="00952F1B"/>
    <w:rsid w:val="00952FE8"/>
    <w:rsid w:val="0095342F"/>
    <w:rsid w:val="0095360A"/>
    <w:rsid w:val="0095374C"/>
    <w:rsid w:val="0095387D"/>
    <w:rsid w:val="00953A65"/>
    <w:rsid w:val="00953B1D"/>
    <w:rsid w:val="00953FA1"/>
    <w:rsid w:val="009543A2"/>
    <w:rsid w:val="009544BE"/>
    <w:rsid w:val="0095469E"/>
    <w:rsid w:val="009548CA"/>
    <w:rsid w:val="009548E0"/>
    <w:rsid w:val="00954FA9"/>
    <w:rsid w:val="0095515C"/>
    <w:rsid w:val="00955C70"/>
    <w:rsid w:val="00955F6F"/>
    <w:rsid w:val="009560B3"/>
    <w:rsid w:val="009566C7"/>
    <w:rsid w:val="009569CB"/>
    <w:rsid w:val="00956B2E"/>
    <w:rsid w:val="00957999"/>
    <w:rsid w:val="00957AAC"/>
    <w:rsid w:val="00957C2C"/>
    <w:rsid w:val="00957E9B"/>
    <w:rsid w:val="00957FF7"/>
    <w:rsid w:val="009603AE"/>
    <w:rsid w:val="009604BF"/>
    <w:rsid w:val="00960698"/>
    <w:rsid w:val="00960748"/>
    <w:rsid w:val="00960E98"/>
    <w:rsid w:val="009612B1"/>
    <w:rsid w:val="00961608"/>
    <w:rsid w:val="00961B7D"/>
    <w:rsid w:val="00961CE6"/>
    <w:rsid w:val="00961D5F"/>
    <w:rsid w:val="00961D80"/>
    <w:rsid w:val="00961E59"/>
    <w:rsid w:val="00961FCA"/>
    <w:rsid w:val="009625F1"/>
    <w:rsid w:val="0096274F"/>
    <w:rsid w:val="009627E1"/>
    <w:rsid w:val="0096283B"/>
    <w:rsid w:val="00962F22"/>
    <w:rsid w:val="0096308D"/>
    <w:rsid w:val="00964267"/>
    <w:rsid w:val="0096434B"/>
    <w:rsid w:val="009644DE"/>
    <w:rsid w:val="009645C6"/>
    <w:rsid w:val="009645D8"/>
    <w:rsid w:val="00964802"/>
    <w:rsid w:val="00964BFE"/>
    <w:rsid w:val="0096514C"/>
    <w:rsid w:val="009655E9"/>
    <w:rsid w:val="00965985"/>
    <w:rsid w:val="00965C63"/>
    <w:rsid w:val="00965CED"/>
    <w:rsid w:val="00966068"/>
    <w:rsid w:val="0096610A"/>
    <w:rsid w:val="0096625A"/>
    <w:rsid w:val="0096644E"/>
    <w:rsid w:val="00966645"/>
    <w:rsid w:val="00966727"/>
    <w:rsid w:val="00966783"/>
    <w:rsid w:val="009668EB"/>
    <w:rsid w:val="00966AC6"/>
    <w:rsid w:val="00966C04"/>
    <w:rsid w:val="0096754D"/>
    <w:rsid w:val="0096754E"/>
    <w:rsid w:val="0096761E"/>
    <w:rsid w:val="00967B40"/>
    <w:rsid w:val="00970195"/>
    <w:rsid w:val="009702B3"/>
    <w:rsid w:val="009704BB"/>
    <w:rsid w:val="00970A2A"/>
    <w:rsid w:val="00970ADE"/>
    <w:rsid w:val="00970B22"/>
    <w:rsid w:val="00970E76"/>
    <w:rsid w:val="009715B3"/>
    <w:rsid w:val="009718DA"/>
    <w:rsid w:val="00971978"/>
    <w:rsid w:val="009719E5"/>
    <w:rsid w:val="00971B5C"/>
    <w:rsid w:val="00971C43"/>
    <w:rsid w:val="00971E41"/>
    <w:rsid w:val="00971E4A"/>
    <w:rsid w:val="0097223A"/>
    <w:rsid w:val="0097246C"/>
    <w:rsid w:val="0097268F"/>
    <w:rsid w:val="009727F7"/>
    <w:rsid w:val="0097287C"/>
    <w:rsid w:val="009728BA"/>
    <w:rsid w:val="00972EF0"/>
    <w:rsid w:val="00973518"/>
    <w:rsid w:val="0097378B"/>
    <w:rsid w:val="00974470"/>
    <w:rsid w:val="009746ED"/>
    <w:rsid w:val="0097497B"/>
    <w:rsid w:val="00974B1E"/>
    <w:rsid w:val="00974C2C"/>
    <w:rsid w:val="00975599"/>
    <w:rsid w:val="0097579F"/>
    <w:rsid w:val="00976376"/>
    <w:rsid w:val="009764A0"/>
    <w:rsid w:val="0097664A"/>
    <w:rsid w:val="00976669"/>
    <w:rsid w:val="009767DB"/>
    <w:rsid w:val="00976F2A"/>
    <w:rsid w:val="00976F8E"/>
    <w:rsid w:val="00977286"/>
    <w:rsid w:val="0097754D"/>
    <w:rsid w:val="00977579"/>
    <w:rsid w:val="00977875"/>
    <w:rsid w:val="00977A1F"/>
    <w:rsid w:val="00977A81"/>
    <w:rsid w:val="00977C30"/>
    <w:rsid w:val="00977D01"/>
    <w:rsid w:val="00977DEB"/>
    <w:rsid w:val="0098002B"/>
    <w:rsid w:val="00980607"/>
    <w:rsid w:val="00980B4D"/>
    <w:rsid w:val="00980CC9"/>
    <w:rsid w:val="00980E62"/>
    <w:rsid w:val="00981353"/>
    <w:rsid w:val="009818B5"/>
    <w:rsid w:val="00982B96"/>
    <w:rsid w:val="00982BDE"/>
    <w:rsid w:val="00982D14"/>
    <w:rsid w:val="00982E01"/>
    <w:rsid w:val="00982E58"/>
    <w:rsid w:val="00982EBB"/>
    <w:rsid w:val="00982F44"/>
    <w:rsid w:val="00983034"/>
    <w:rsid w:val="00983903"/>
    <w:rsid w:val="00983B67"/>
    <w:rsid w:val="00983DE9"/>
    <w:rsid w:val="0098419E"/>
    <w:rsid w:val="009843C9"/>
    <w:rsid w:val="00984A79"/>
    <w:rsid w:val="00984E03"/>
    <w:rsid w:val="0098505F"/>
    <w:rsid w:val="00985485"/>
    <w:rsid w:val="00985554"/>
    <w:rsid w:val="009857EB"/>
    <w:rsid w:val="0098580B"/>
    <w:rsid w:val="00985D22"/>
    <w:rsid w:val="00985F47"/>
    <w:rsid w:val="00985F9B"/>
    <w:rsid w:val="00986074"/>
    <w:rsid w:val="00986259"/>
    <w:rsid w:val="00986319"/>
    <w:rsid w:val="009867A3"/>
    <w:rsid w:val="0098687E"/>
    <w:rsid w:val="00986977"/>
    <w:rsid w:val="00986AAA"/>
    <w:rsid w:val="00986D05"/>
    <w:rsid w:val="0098752F"/>
    <w:rsid w:val="00987933"/>
    <w:rsid w:val="00987987"/>
    <w:rsid w:val="00987B49"/>
    <w:rsid w:val="00987F1A"/>
    <w:rsid w:val="00987FDE"/>
    <w:rsid w:val="00990158"/>
    <w:rsid w:val="00990577"/>
    <w:rsid w:val="009907BA"/>
    <w:rsid w:val="00990B19"/>
    <w:rsid w:val="00990B6B"/>
    <w:rsid w:val="0099166F"/>
    <w:rsid w:val="009916EF"/>
    <w:rsid w:val="0099181F"/>
    <w:rsid w:val="00991B9A"/>
    <w:rsid w:val="00991DBB"/>
    <w:rsid w:val="009925C9"/>
    <w:rsid w:val="009928DB"/>
    <w:rsid w:val="00992A29"/>
    <w:rsid w:val="00992FAB"/>
    <w:rsid w:val="009930DA"/>
    <w:rsid w:val="0099375D"/>
    <w:rsid w:val="00993C2D"/>
    <w:rsid w:val="00993D3C"/>
    <w:rsid w:val="00993F0F"/>
    <w:rsid w:val="0099403F"/>
    <w:rsid w:val="009941A7"/>
    <w:rsid w:val="009941F6"/>
    <w:rsid w:val="009942E0"/>
    <w:rsid w:val="0099447F"/>
    <w:rsid w:val="00994832"/>
    <w:rsid w:val="0099496D"/>
    <w:rsid w:val="00994A94"/>
    <w:rsid w:val="00994AB3"/>
    <w:rsid w:val="00994B74"/>
    <w:rsid w:val="00994EEC"/>
    <w:rsid w:val="009951FC"/>
    <w:rsid w:val="009958CF"/>
    <w:rsid w:val="009958DB"/>
    <w:rsid w:val="00995CE8"/>
    <w:rsid w:val="00995DE5"/>
    <w:rsid w:val="00996109"/>
    <w:rsid w:val="009961EC"/>
    <w:rsid w:val="0099625A"/>
    <w:rsid w:val="009966F6"/>
    <w:rsid w:val="00996CE8"/>
    <w:rsid w:val="00996D1D"/>
    <w:rsid w:val="00996E07"/>
    <w:rsid w:val="00997128"/>
    <w:rsid w:val="009972B9"/>
    <w:rsid w:val="00997475"/>
    <w:rsid w:val="00997F99"/>
    <w:rsid w:val="009A0067"/>
    <w:rsid w:val="009A00D0"/>
    <w:rsid w:val="009A01B9"/>
    <w:rsid w:val="009A0233"/>
    <w:rsid w:val="009A0920"/>
    <w:rsid w:val="009A0BA4"/>
    <w:rsid w:val="009A0D2F"/>
    <w:rsid w:val="009A0D57"/>
    <w:rsid w:val="009A1054"/>
    <w:rsid w:val="009A1062"/>
    <w:rsid w:val="009A1664"/>
    <w:rsid w:val="009A17EA"/>
    <w:rsid w:val="009A1821"/>
    <w:rsid w:val="009A2893"/>
    <w:rsid w:val="009A2ADB"/>
    <w:rsid w:val="009A2CEB"/>
    <w:rsid w:val="009A3D7C"/>
    <w:rsid w:val="009A3DC1"/>
    <w:rsid w:val="009A3F33"/>
    <w:rsid w:val="009A3F98"/>
    <w:rsid w:val="009A3FE1"/>
    <w:rsid w:val="009A42BC"/>
    <w:rsid w:val="009A44B6"/>
    <w:rsid w:val="009A4923"/>
    <w:rsid w:val="009A4DDF"/>
    <w:rsid w:val="009A4EC6"/>
    <w:rsid w:val="009A53C3"/>
    <w:rsid w:val="009A54AB"/>
    <w:rsid w:val="009A5917"/>
    <w:rsid w:val="009A60AD"/>
    <w:rsid w:val="009A640A"/>
    <w:rsid w:val="009A6958"/>
    <w:rsid w:val="009A6EDA"/>
    <w:rsid w:val="009A6F73"/>
    <w:rsid w:val="009A72B7"/>
    <w:rsid w:val="009A753E"/>
    <w:rsid w:val="009A75DD"/>
    <w:rsid w:val="009A76DC"/>
    <w:rsid w:val="009A7FA3"/>
    <w:rsid w:val="009B0433"/>
    <w:rsid w:val="009B0665"/>
    <w:rsid w:val="009B07C8"/>
    <w:rsid w:val="009B0A5A"/>
    <w:rsid w:val="009B15E6"/>
    <w:rsid w:val="009B1651"/>
    <w:rsid w:val="009B17E1"/>
    <w:rsid w:val="009B1990"/>
    <w:rsid w:val="009B1CCC"/>
    <w:rsid w:val="009B211C"/>
    <w:rsid w:val="009B286D"/>
    <w:rsid w:val="009B2B7A"/>
    <w:rsid w:val="009B2C2A"/>
    <w:rsid w:val="009B30B7"/>
    <w:rsid w:val="009B352A"/>
    <w:rsid w:val="009B3779"/>
    <w:rsid w:val="009B3917"/>
    <w:rsid w:val="009B3A05"/>
    <w:rsid w:val="009B4067"/>
    <w:rsid w:val="009B4129"/>
    <w:rsid w:val="009B46DE"/>
    <w:rsid w:val="009B49A9"/>
    <w:rsid w:val="009B4B71"/>
    <w:rsid w:val="009B5047"/>
    <w:rsid w:val="009B578F"/>
    <w:rsid w:val="009B59A7"/>
    <w:rsid w:val="009B5AFC"/>
    <w:rsid w:val="009B5B56"/>
    <w:rsid w:val="009B5DD3"/>
    <w:rsid w:val="009B6102"/>
    <w:rsid w:val="009B6287"/>
    <w:rsid w:val="009B6295"/>
    <w:rsid w:val="009B6333"/>
    <w:rsid w:val="009B67CA"/>
    <w:rsid w:val="009B690D"/>
    <w:rsid w:val="009B7419"/>
    <w:rsid w:val="009B793A"/>
    <w:rsid w:val="009B7B18"/>
    <w:rsid w:val="009C1004"/>
    <w:rsid w:val="009C115E"/>
    <w:rsid w:val="009C12B2"/>
    <w:rsid w:val="009C1A07"/>
    <w:rsid w:val="009C1C8A"/>
    <w:rsid w:val="009C1E26"/>
    <w:rsid w:val="009C1F7C"/>
    <w:rsid w:val="009C202A"/>
    <w:rsid w:val="009C203A"/>
    <w:rsid w:val="009C20FA"/>
    <w:rsid w:val="009C2110"/>
    <w:rsid w:val="009C2767"/>
    <w:rsid w:val="009C279E"/>
    <w:rsid w:val="009C27BA"/>
    <w:rsid w:val="009C28A1"/>
    <w:rsid w:val="009C2A5B"/>
    <w:rsid w:val="009C2C5D"/>
    <w:rsid w:val="009C3F0D"/>
    <w:rsid w:val="009C4015"/>
    <w:rsid w:val="009C4048"/>
    <w:rsid w:val="009C43FF"/>
    <w:rsid w:val="009C47DD"/>
    <w:rsid w:val="009C4814"/>
    <w:rsid w:val="009C4AD0"/>
    <w:rsid w:val="009C4FF7"/>
    <w:rsid w:val="009C5017"/>
    <w:rsid w:val="009C51B3"/>
    <w:rsid w:val="009C5437"/>
    <w:rsid w:val="009C5B36"/>
    <w:rsid w:val="009C5B7C"/>
    <w:rsid w:val="009C5BA4"/>
    <w:rsid w:val="009C64B4"/>
    <w:rsid w:val="009C652D"/>
    <w:rsid w:val="009C67AC"/>
    <w:rsid w:val="009C6C69"/>
    <w:rsid w:val="009C720B"/>
    <w:rsid w:val="009C7611"/>
    <w:rsid w:val="009C777A"/>
    <w:rsid w:val="009C77B2"/>
    <w:rsid w:val="009C78A9"/>
    <w:rsid w:val="009C7A90"/>
    <w:rsid w:val="009C7B74"/>
    <w:rsid w:val="009C7DB9"/>
    <w:rsid w:val="009C7DFD"/>
    <w:rsid w:val="009C7E15"/>
    <w:rsid w:val="009C7E55"/>
    <w:rsid w:val="009C7F6D"/>
    <w:rsid w:val="009D0308"/>
    <w:rsid w:val="009D03C3"/>
    <w:rsid w:val="009D0414"/>
    <w:rsid w:val="009D06C8"/>
    <w:rsid w:val="009D079B"/>
    <w:rsid w:val="009D0A37"/>
    <w:rsid w:val="009D0C9C"/>
    <w:rsid w:val="009D0D14"/>
    <w:rsid w:val="009D12FF"/>
    <w:rsid w:val="009D13AB"/>
    <w:rsid w:val="009D1A8E"/>
    <w:rsid w:val="009D1BD6"/>
    <w:rsid w:val="009D2493"/>
    <w:rsid w:val="009D251B"/>
    <w:rsid w:val="009D338F"/>
    <w:rsid w:val="009D33E7"/>
    <w:rsid w:val="009D4326"/>
    <w:rsid w:val="009D44D1"/>
    <w:rsid w:val="009D4D8C"/>
    <w:rsid w:val="009D4DD5"/>
    <w:rsid w:val="009D506C"/>
    <w:rsid w:val="009D5B53"/>
    <w:rsid w:val="009D5C20"/>
    <w:rsid w:val="009D5D3F"/>
    <w:rsid w:val="009D5ED2"/>
    <w:rsid w:val="009D6F3D"/>
    <w:rsid w:val="009D6FA9"/>
    <w:rsid w:val="009D79D4"/>
    <w:rsid w:val="009E0024"/>
    <w:rsid w:val="009E037D"/>
    <w:rsid w:val="009E0770"/>
    <w:rsid w:val="009E078E"/>
    <w:rsid w:val="009E1124"/>
    <w:rsid w:val="009E1C60"/>
    <w:rsid w:val="009E2133"/>
    <w:rsid w:val="009E2590"/>
    <w:rsid w:val="009E25E0"/>
    <w:rsid w:val="009E2639"/>
    <w:rsid w:val="009E2773"/>
    <w:rsid w:val="009E2817"/>
    <w:rsid w:val="009E2885"/>
    <w:rsid w:val="009E2BC9"/>
    <w:rsid w:val="009E2BCB"/>
    <w:rsid w:val="009E2D94"/>
    <w:rsid w:val="009E31DC"/>
    <w:rsid w:val="009E3470"/>
    <w:rsid w:val="009E364A"/>
    <w:rsid w:val="009E3745"/>
    <w:rsid w:val="009E38B1"/>
    <w:rsid w:val="009E39CF"/>
    <w:rsid w:val="009E3A6F"/>
    <w:rsid w:val="009E4360"/>
    <w:rsid w:val="009E43D7"/>
    <w:rsid w:val="009E493F"/>
    <w:rsid w:val="009E4D15"/>
    <w:rsid w:val="009E5115"/>
    <w:rsid w:val="009E5184"/>
    <w:rsid w:val="009E547B"/>
    <w:rsid w:val="009E58BD"/>
    <w:rsid w:val="009E5F69"/>
    <w:rsid w:val="009E6070"/>
    <w:rsid w:val="009E6539"/>
    <w:rsid w:val="009E6A01"/>
    <w:rsid w:val="009E6A19"/>
    <w:rsid w:val="009E6A4B"/>
    <w:rsid w:val="009E6D16"/>
    <w:rsid w:val="009E71E1"/>
    <w:rsid w:val="009E73EE"/>
    <w:rsid w:val="009F0538"/>
    <w:rsid w:val="009F0967"/>
    <w:rsid w:val="009F0A2E"/>
    <w:rsid w:val="009F0BD2"/>
    <w:rsid w:val="009F1176"/>
    <w:rsid w:val="009F160E"/>
    <w:rsid w:val="009F17C7"/>
    <w:rsid w:val="009F182D"/>
    <w:rsid w:val="009F1BEA"/>
    <w:rsid w:val="009F224C"/>
    <w:rsid w:val="009F2451"/>
    <w:rsid w:val="009F2EB3"/>
    <w:rsid w:val="009F2FDF"/>
    <w:rsid w:val="009F3440"/>
    <w:rsid w:val="009F3474"/>
    <w:rsid w:val="009F43A8"/>
    <w:rsid w:val="009F44BA"/>
    <w:rsid w:val="009F47DE"/>
    <w:rsid w:val="009F4B25"/>
    <w:rsid w:val="009F4BBA"/>
    <w:rsid w:val="009F4D49"/>
    <w:rsid w:val="009F4D6C"/>
    <w:rsid w:val="009F4DE7"/>
    <w:rsid w:val="009F4F18"/>
    <w:rsid w:val="009F54AD"/>
    <w:rsid w:val="009F5583"/>
    <w:rsid w:val="009F6027"/>
    <w:rsid w:val="009F6314"/>
    <w:rsid w:val="009F6B6B"/>
    <w:rsid w:val="009F6EBE"/>
    <w:rsid w:val="009F6F98"/>
    <w:rsid w:val="009F7E1A"/>
    <w:rsid w:val="009F7E80"/>
    <w:rsid w:val="009F7EE3"/>
    <w:rsid w:val="00A0011C"/>
    <w:rsid w:val="00A00567"/>
    <w:rsid w:val="00A00988"/>
    <w:rsid w:val="00A00CEA"/>
    <w:rsid w:val="00A00E35"/>
    <w:rsid w:val="00A01528"/>
    <w:rsid w:val="00A01BBC"/>
    <w:rsid w:val="00A01CF2"/>
    <w:rsid w:val="00A01F61"/>
    <w:rsid w:val="00A021F7"/>
    <w:rsid w:val="00A0243C"/>
    <w:rsid w:val="00A0248E"/>
    <w:rsid w:val="00A02837"/>
    <w:rsid w:val="00A028B2"/>
    <w:rsid w:val="00A02AAC"/>
    <w:rsid w:val="00A03C16"/>
    <w:rsid w:val="00A047C0"/>
    <w:rsid w:val="00A04B4C"/>
    <w:rsid w:val="00A04B52"/>
    <w:rsid w:val="00A04B65"/>
    <w:rsid w:val="00A04FAB"/>
    <w:rsid w:val="00A0503F"/>
    <w:rsid w:val="00A05089"/>
    <w:rsid w:val="00A05141"/>
    <w:rsid w:val="00A0542F"/>
    <w:rsid w:val="00A055B2"/>
    <w:rsid w:val="00A05E90"/>
    <w:rsid w:val="00A0606C"/>
    <w:rsid w:val="00A0631C"/>
    <w:rsid w:val="00A0635C"/>
    <w:rsid w:val="00A0637F"/>
    <w:rsid w:val="00A06427"/>
    <w:rsid w:val="00A06509"/>
    <w:rsid w:val="00A06848"/>
    <w:rsid w:val="00A068DA"/>
    <w:rsid w:val="00A069B4"/>
    <w:rsid w:val="00A06BB5"/>
    <w:rsid w:val="00A06D4B"/>
    <w:rsid w:val="00A077AB"/>
    <w:rsid w:val="00A07867"/>
    <w:rsid w:val="00A07A4E"/>
    <w:rsid w:val="00A07D41"/>
    <w:rsid w:val="00A07FAE"/>
    <w:rsid w:val="00A07FBD"/>
    <w:rsid w:val="00A1000C"/>
    <w:rsid w:val="00A1039E"/>
    <w:rsid w:val="00A1040F"/>
    <w:rsid w:val="00A1068D"/>
    <w:rsid w:val="00A10FDE"/>
    <w:rsid w:val="00A11010"/>
    <w:rsid w:val="00A114E3"/>
    <w:rsid w:val="00A114F1"/>
    <w:rsid w:val="00A11845"/>
    <w:rsid w:val="00A11B60"/>
    <w:rsid w:val="00A11C31"/>
    <w:rsid w:val="00A11D0D"/>
    <w:rsid w:val="00A124EC"/>
    <w:rsid w:val="00A1253A"/>
    <w:rsid w:val="00A12694"/>
    <w:rsid w:val="00A128B0"/>
    <w:rsid w:val="00A12AC0"/>
    <w:rsid w:val="00A12ED5"/>
    <w:rsid w:val="00A13083"/>
    <w:rsid w:val="00A13676"/>
    <w:rsid w:val="00A136F6"/>
    <w:rsid w:val="00A13A77"/>
    <w:rsid w:val="00A13F04"/>
    <w:rsid w:val="00A13FB7"/>
    <w:rsid w:val="00A14F11"/>
    <w:rsid w:val="00A1548A"/>
    <w:rsid w:val="00A15543"/>
    <w:rsid w:val="00A15590"/>
    <w:rsid w:val="00A1652F"/>
    <w:rsid w:val="00A16577"/>
    <w:rsid w:val="00A16607"/>
    <w:rsid w:val="00A16C3E"/>
    <w:rsid w:val="00A17558"/>
    <w:rsid w:val="00A1760F"/>
    <w:rsid w:val="00A17FCF"/>
    <w:rsid w:val="00A2000D"/>
    <w:rsid w:val="00A201DB"/>
    <w:rsid w:val="00A201E0"/>
    <w:rsid w:val="00A20577"/>
    <w:rsid w:val="00A20926"/>
    <w:rsid w:val="00A20F5D"/>
    <w:rsid w:val="00A2124E"/>
    <w:rsid w:val="00A21441"/>
    <w:rsid w:val="00A214A1"/>
    <w:rsid w:val="00A21754"/>
    <w:rsid w:val="00A21C0B"/>
    <w:rsid w:val="00A21CDB"/>
    <w:rsid w:val="00A21D9F"/>
    <w:rsid w:val="00A223A5"/>
    <w:rsid w:val="00A22D5C"/>
    <w:rsid w:val="00A22F98"/>
    <w:rsid w:val="00A230C4"/>
    <w:rsid w:val="00A231CC"/>
    <w:rsid w:val="00A23321"/>
    <w:rsid w:val="00A235CE"/>
    <w:rsid w:val="00A237E0"/>
    <w:rsid w:val="00A23A18"/>
    <w:rsid w:val="00A24008"/>
    <w:rsid w:val="00A244EE"/>
    <w:rsid w:val="00A24799"/>
    <w:rsid w:val="00A24DCE"/>
    <w:rsid w:val="00A252B8"/>
    <w:rsid w:val="00A25982"/>
    <w:rsid w:val="00A25C70"/>
    <w:rsid w:val="00A25F9B"/>
    <w:rsid w:val="00A26556"/>
    <w:rsid w:val="00A26AF7"/>
    <w:rsid w:val="00A26B34"/>
    <w:rsid w:val="00A26DD1"/>
    <w:rsid w:val="00A27339"/>
    <w:rsid w:val="00A275FA"/>
    <w:rsid w:val="00A30036"/>
    <w:rsid w:val="00A30340"/>
    <w:rsid w:val="00A30415"/>
    <w:rsid w:val="00A305A3"/>
    <w:rsid w:val="00A305B5"/>
    <w:rsid w:val="00A30E2F"/>
    <w:rsid w:val="00A30FAE"/>
    <w:rsid w:val="00A31169"/>
    <w:rsid w:val="00A313C5"/>
    <w:rsid w:val="00A3162C"/>
    <w:rsid w:val="00A31748"/>
    <w:rsid w:val="00A31789"/>
    <w:rsid w:val="00A31D81"/>
    <w:rsid w:val="00A3257A"/>
    <w:rsid w:val="00A328B9"/>
    <w:rsid w:val="00A328CA"/>
    <w:rsid w:val="00A32C54"/>
    <w:rsid w:val="00A32D66"/>
    <w:rsid w:val="00A32F32"/>
    <w:rsid w:val="00A33816"/>
    <w:rsid w:val="00A33CB0"/>
    <w:rsid w:val="00A33D95"/>
    <w:rsid w:val="00A340AF"/>
    <w:rsid w:val="00A34326"/>
    <w:rsid w:val="00A34B8F"/>
    <w:rsid w:val="00A35133"/>
    <w:rsid w:val="00A353B0"/>
    <w:rsid w:val="00A354DA"/>
    <w:rsid w:val="00A35738"/>
    <w:rsid w:val="00A35824"/>
    <w:rsid w:val="00A358F9"/>
    <w:rsid w:val="00A3619B"/>
    <w:rsid w:val="00A366AA"/>
    <w:rsid w:val="00A36B49"/>
    <w:rsid w:val="00A36C07"/>
    <w:rsid w:val="00A36F1F"/>
    <w:rsid w:val="00A37078"/>
    <w:rsid w:val="00A376CD"/>
    <w:rsid w:val="00A37B2B"/>
    <w:rsid w:val="00A40098"/>
    <w:rsid w:val="00A406B4"/>
    <w:rsid w:val="00A40CAB"/>
    <w:rsid w:val="00A41544"/>
    <w:rsid w:val="00A42246"/>
    <w:rsid w:val="00A42716"/>
    <w:rsid w:val="00A429AD"/>
    <w:rsid w:val="00A42A30"/>
    <w:rsid w:val="00A42CEC"/>
    <w:rsid w:val="00A42E1E"/>
    <w:rsid w:val="00A42ECA"/>
    <w:rsid w:val="00A42ED6"/>
    <w:rsid w:val="00A4416D"/>
    <w:rsid w:val="00A4448F"/>
    <w:rsid w:val="00A4455F"/>
    <w:rsid w:val="00A446B4"/>
    <w:rsid w:val="00A4477A"/>
    <w:rsid w:val="00A44841"/>
    <w:rsid w:val="00A44F21"/>
    <w:rsid w:val="00A451CF"/>
    <w:rsid w:val="00A45399"/>
    <w:rsid w:val="00A45C55"/>
    <w:rsid w:val="00A45D01"/>
    <w:rsid w:val="00A45FB0"/>
    <w:rsid w:val="00A4632A"/>
    <w:rsid w:val="00A46393"/>
    <w:rsid w:val="00A46611"/>
    <w:rsid w:val="00A46810"/>
    <w:rsid w:val="00A4691C"/>
    <w:rsid w:val="00A46D08"/>
    <w:rsid w:val="00A46D21"/>
    <w:rsid w:val="00A46E8F"/>
    <w:rsid w:val="00A4714A"/>
    <w:rsid w:val="00A474A1"/>
    <w:rsid w:val="00A47E4C"/>
    <w:rsid w:val="00A50081"/>
    <w:rsid w:val="00A502DD"/>
    <w:rsid w:val="00A503A0"/>
    <w:rsid w:val="00A50B02"/>
    <w:rsid w:val="00A50CD3"/>
    <w:rsid w:val="00A5201D"/>
    <w:rsid w:val="00A523CF"/>
    <w:rsid w:val="00A52525"/>
    <w:rsid w:val="00A525B8"/>
    <w:rsid w:val="00A5293B"/>
    <w:rsid w:val="00A52985"/>
    <w:rsid w:val="00A52A94"/>
    <w:rsid w:val="00A52C3C"/>
    <w:rsid w:val="00A53723"/>
    <w:rsid w:val="00A5391C"/>
    <w:rsid w:val="00A53D9A"/>
    <w:rsid w:val="00A54092"/>
    <w:rsid w:val="00A54224"/>
    <w:rsid w:val="00A54237"/>
    <w:rsid w:val="00A542E9"/>
    <w:rsid w:val="00A543B5"/>
    <w:rsid w:val="00A543D9"/>
    <w:rsid w:val="00A545BC"/>
    <w:rsid w:val="00A54912"/>
    <w:rsid w:val="00A54B05"/>
    <w:rsid w:val="00A54EC5"/>
    <w:rsid w:val="00A55A71"/>
    <w:rsid w:val="00A55BE8"/>
    <w:rsid w:val="00A55E11"/>
    <w:rsid w:val="00A560AF"/>
    <w:rsid w:val="00A56188"/>
    <w:rsid w:val="00A5696A"/>
    <w:rsid w:val="00A56C25"/>
    <w:rsid w:val="00A57157"/>
    <w:rsid w:val="00A57B80"/>
    <w:rsid w:val="00A57FDD"/>
    <w:rsid w:val="00A60184"/>
    <w:rsid w:val="00A604E9"/>
    <w:rsid w:val="00A60526"/>
    <w:rsid w:val="00A6070B"/>
    <w:rsid w:val="00A60CD0"/>
    <w:rsid w:val="00A60D88"/>
    <w:rsid w:val="00A60DE6"/>
    <w:rsid w:val="00A60EED"/>
    <w:rsid w:val="00A60FA4"/>
    <w:rsid w:val="00A610C5"/>
    <w:rsid w:val="00A61885"/>
    <w:rsid w:val="00A61CCC"/>
    <w:rsid w:val="00A622BA"/>
    <w:rsid w:val="00A6255C"/>
    <w:rsid w:val="00A62724"/>
    <w:rsid w:val="00A627AF"/>
    <w:rsid w:val="00A6281E"/>
    <w:rsid w:val="00A629E1"/>
    <w:rsid w:val="00A62BA8"/>
    <w:rsid w:val="00A62C81"/>
    <w:rsid w:val="00A62CEB"/>
    <w:rsid w:val="00A62FC4"/>
    <w:rsid w:val="00A63CDA"/>
    <w:rsid w:val="00A63EB2"/>
    <w:rsid w:val="00A641E3"/>
    <w:rsid w:val="00A647D9"/>
    <w:rsid w:val="00A64E3A"/>
    <w:rsid w:val="00A652E5"/>
    <w:rsid w:val="00A65567"/>
    <w:rsid w:val="00A655EF"/>
    <w:rsid w:val="00A658AD"/>
    <w:rsid w:val="00A659EF"/>
    <w:rsid w:val="00A65DB0"/>
    <w:rsid w:val="00A66483"/>
    <w:rsid w:val="00A66721"/>
    <w:rsid w:val="00A667A4"/>
    <w:rsid w:val="00A6710B"/>
    <w:rsid w:val="00A676E6"/>
    <w:rsid w:val="00A70219"/>
    <w:rsid w:val="00A70545"/>
    <w:rsid w:val="00A706AC"/>
    <w:rsid w:val="00A70CAB"/>
    <w:rsid w:val="00A710F5"/>
    <w:rsid w:val="00A71199"/>
    <w:rsid w:val="00A7142E"/>
    <w:rsid w:val="00A71624"/>
    <w:rsid w:val="00A7177F"/>
    <w:rsid w:val="00A71838"/>
    <w:rsid w:val="00A71C01"/>
    <w:rsid w:val="00A72324"/>
    <w:rsid w:val="00A7254A"/>
    <w:rsid w:val="00A726ED"/>
    <w:rsid w:val="00A72E97"/>
    <w:rsid w:val="00A7339E"/>
    <w:rsid w:val="00A73558"/>
    <w:rsid w:val="00A738B1"/>
    <w:rsid w:val="00A73CB4"/>
    <w:rsid w:val="00A742F1"/>
    <w:rsid w:val="00A7435B"/>
    <w:rsid w:val="00A7435E"/>
    <w:rsid w:val="00A746D7"/>
    <w:rsid w:val="00A749FD"/>
    <w:rsid w:val="00A74B13"/>
    <w:rsid w:val="00A74B2D"/>
    <w:rsid w:val="00A74B5C"/>
    <w:rsid w:val="00A750AE"/>
    <w:rsid w:val="00A750BC"/>
    <w:rsid w:val="00A750FD"/>
    <w:rsid w:val="00A755AD"/>
    <w:rsid w:val="00A766F2"/>
    <w:rsid w:val="00A76AF0"/>
    <w:rsid w:val="00A76FCE"/>
    <w:rsid w:val="00A77084"/>
    <w:rsid w:val="00A770BB"/>
    <w:rsid w:val="00A7763A"/>
    <w:rsid w:val="00A777A3"/>
    <w:rsid w:val="00A778D7"/>
    <w:rsid w:val="00A8006A"/>
    <w:rsid w:val="00A801C4"/>
    <w:rsid w:val="00A80232"/>
    <w:rsid w:val="00A8036A"/>
    <w:rsid w:val="00A80710"/>
    <w:rsid w:val="00A80902"/>
    <w:rsid w:val="00A809C0"/>
    <w:rsid w:val="00A80C9D"/>
    <w:rsid w:val="00A80F86"/>
    <w:rsid w:val="00A812E7"/>
    <w:rsid w:val="00A818BA"/>
    <w:rsid w:val="00A81FF6"/>
    <w:rsid w:val="00A821B3"/>
    <w:rsid w:val="00A82378"/>
    <w:rsid w:val="00A828E8"/>
    <w:rsid w:val="00A82EFD"/>
    <w:rsid w:val="00A8312E"/>
    <w:rsid w:val="00A8329D"/>
    <w:rsid w:val="00A838A1"/>
    <w:rsid w:val="00A83C4D"/>
    <w:rsid w:val="00A8422D"/>
    <w:rsid w:val="00A8429B"/>
    <w:rsid w:val="00A84577"/>
    <w:rsid w:val="00A84644"/>
    <w:rsid w:val="00A846BB"/>
    <w:rsid w:val="00A84B77"/>
    <w:rsid w:val="00A84DFE"/>
    <w:rsid w:val="00A850E0"/>
    <w:rsid w:val="00A85286"/>
    <w:rsid w:val="00A85462"/>
    <w:rsid w:val="00A854BF"/>
    <w:rsid w:val="00A859CD"/>
    <w:rsid w:val="00A865D2"/>
    <w:rsid w:val="00A866BC"/>
    <w:rsid w:val="00A86811"/>
    <w:rsid w:val="00A86FA3"/>
    <w:rsid w:val="00A8739B"/>
    <w:rsid w:val="00A87B27"/>
    <w:rsid w:val="00A87C24"/>
    <w:rsid w:val="00A87FFA"/>
    <w:rsid w:val="00A90161"/>
    <w:rsid w:val="00A90409"/>
    <w:rsid w:val="00A9045D"/>
    <w:rsid w:val="00A904AD"/>
    <w:rsid w:val="00A904D0"/>
    <w:rsid w:val="00A904E1"/>
    <w:rsid w:val="00A90972"/>
    <w:rsid w:val="00A90F1E"/>
    <w:rsid w:val="00A90FE2"/>
    <w:rsid w:val="00A91038"/>
    <w:rsid w:val="00A91BAD"/>
    <w:rsid w:val="00A91D2D"/>
    <w:rsid w:val="00A92616"/>
    <w:rsid w:val="00A9290F"/>
    <w:rsid w:val="00A92B47"/>
    <w:rsid w:val="00A92D36"/>
    <w:rsid w:val="00A92E26"/>
    <w:rsid w:val="00A9310F"/>
    <w:rsid w:val="00A9323B"/>
    <w:rsid w:val="00A93B61"/>
    <w:rsid w:val="00A93B8C"/>
    <w:rsid w:val="00A93F15"/>
    <w:rsid w:val="00A94905"/>
    <w:rsid w:val="00A94E7A"/>
    <w:rsid w:val="00A94EBE"/>
    <w:rsid w:val="00A957FA"/>
    <w:rsid w:val="00A95861"/>
    <w:rsid w:val="00A95A66"/>
    <w:rsid w:val="00A95BA1"/>
    <w:rsid w:val="00A95E4B"/>
    <w:rsid w:val="00A9616C"/>
    <w:rsid w:val="00A963C4"/>
    <w:rsid w:val="00A96429"/>
    <w:rsid w:val="00A965B8"/>
    <w:rsid w:val="00A96DF1"/>
    <w:rsid w:val="00A97027"/>
    <w:rsid w:val="00A9748A"/>
    <w:rsid w:val="00A977AC"/>
    <w:rsid w:val="00A97E6B"/>
    <w:rsid w:val="00AA0B93"/>
    <w:rsid w:val="00AA0CC2"/>
    <w:rsid w:val="00AA0FBC"/>
    <w:rsid w:val="00AA1174"/>
    <w:rsid w:val="00AA17F8"/>
    <w:rsid w:val="00AA1946"/>
    <w:rsid w:val="00AA1D3E"/>
    <w:rsid w:val="00AA1F6B"/>
    <w:rsid w:val="00AA262C"/>
    <w:rsid w:val="00AA2D5A"/>
    <w:rsid w:val="00AA3099"/>
    <w:rsid w:val="00AA397B"/>
    <w:rsid w:val="00AA39C8"/>
    <w:rsid w:val="00AA3BC0"/>
    <w:rsid w:val="00AA4321"/>
    <w:rsid w:val="00AA5001"/>
    <w:rsid w:val="00AA51C7"/>
    <w:rsid w:val="00AA52A3"/>
    <w:rsid w:val="00AA59A0"/>
    <w:rsid w:val="00AA5D08"/>
    <w:rsid w:val="00AA60C2"/>
    <w:rsid w:val="00AA6922"/>
    <w:rsid w:val="00AA78B5"/>
    <w:rsid w:val="00AA799C"/>
    <w:rsid w:val="00AA7AE6"/>
    <w:rsid w:val="00AB05BD"/>
    <w:rsid w:val="00AB0724"/>
    <w:rsid w:val="00AB1200"/>
    <w:rsid w:val="00AB17BC"/>
    <w:rsid w:val="00AB19C8"/>
    <w:rsid w:val="00AB1B6F"/>
    <w:rsid w:val="00AB2148"/>
    <w:rsid w:val="00AB22E6"/>
    <w:rsid w:val="00AB23D7"/>
    <w:rsid w:val="00AB273D"/>
    <w:rsid w:val="00AB2843"/>
    <w:rsid w:val="00AB2B1B"/>
    <w:rsid w:val="00AB2DCD"/>
    <w:rsid w:val="00AB351B"/>
    <w:rsid w:val="00AB38D4"/>
    <w:rsid w:val="00AB39DA"/>
    <w:rsid w:val="00AB3AF5"/>
    <w:rsid w:val="00AB4189"/>
    <w:rsid w:val="00AB41D3"/>
    <w:rsid w:val="00AB46A4"/>
    <w:rsid w:val="00AB46DC"/>
    <w:rsid w:val="00AB4B6C"/>
    <w:rsid w:val="00AB50D0"/>
    <w:rsid w:val="00AB536C"/>
    <w:rsid w:val="00AB58AC"/>
    <w:rsid w:val="00AB5929"/>
    <w:rsid w:val="00AB5A2C"/>
    <w:rsid w:val="00AB5A86"/>
    <w:rsid w:val="00AB5D62"/>
    <w:rsid w:val="00AB61A3"/>
    <w:rsid w:val="00AB6282"/>
    <w:rsid w:val="00AB675E"/>
    <w:rsid w:val="00AB6963"/>
    <w:rsid w:val="00AB6A3B"/>
    <w:rsid w:val="00AB6DB8"/>
    <w:rsid w:val="00AB7587"/>
    <w:rsid w:val="00AB7FE5"/>
    <w:rsid w:val="00AC09EC"/>
    <w:rsid w:val="00AC0D66"/>
    <w:rsid w:val="00AC14A0"/>
    <w:rsid w:val="00AC1508"/>
    <w:rsid w:val="00AC165D"/>
    <w:rsid w:val="00AC1B5B"/>
    <w:rsid w:val="00AC23A8"/>
    <w:rsid w:val="00AC2440"/>
    <w:rsid w:val="00AC25F2"/>
    <w:rsid w:val="00AC2860"/>
    <w:rsid w:val="00AC29A0"/>
    <w:rsid w:val="00AC2D19"/>
    <w:rsid w:val="00AC2DFC"/>
    <w:rsid w:val="00AC2EDD"/>
    <w:rsid w:val="00AC3009"/>
    <w:rsid w:val="00AC3035"/>
    <w:rsid w:val="00AC330F"/>
    <w:rsid w:val="00AC3401"/>
    <w:rsid w:val="00AC35AE"/>
    <w:rsid w:val="00AC36A0"/>
    <w:rsid w:val="00AC3E08"/>
    <w:rsid w:val="00AC3E40"/>
    <w:rsid w:val="00AC4010"/>
    <w:rsid w:val="00AC4185"/>
    <w:rsid w:val="00AC45DA"/>
    <w:rsid w:val="00AC46B5"/>
    <w:rsid w:val="00AC46BC"/>
    <w:rsid w:val="00AC4BEC"/>
    <w:rsid w:val="00AC53B7"/>
    <w:rsid w:val="00AC55E5"/>
    <w:rsid w:val="00AC5CE9"/>
    <w:rsid w:val="00AC5D93"/>
    <w:rsid w:val="00AC619A"/>
    <w:rsid w:val="00AC6554"/>
    <w:rsid w:val="00AC65C3"/>
    <w:rsid w:val="00AC6BAB"/>
    <w:rsid w:val="00AC7190"/>
    <w:rsid w:val="00AC71F6"/>
    <w:rsid w:val="00AC76A0"/>
    <w:rsid w:val="00AC784C"/>
    <w:rsid w:val="00AC7A4C"/>
    <w:rsid w:val="00AC7BB3"/>
    <w:rsid w:val="00AC7D5B"/>
    <w:rsid w:val="00AC7E4E"/>
    <w:rsid w:val="00AD09A7"/>
    <w:rsid w:val="00AD0FFC"/>
    <w:rsid w:val="00AD12F8"/>
    <w:rsid w:val="00AD1BF6"/>
    <w:rsid w:val="00AD1EBE"/>
    <w:rsid w:val="00AD2490"/>
    <w:rsid w:val="00AD2494"/>
    <w:rsid w:val="00AD269E"/>
    <w:rsid w:val="00AD28EF"/>
    <w:rsid w:val="00AD2DB6"/>
    <w:rsid w:val="00AD3945"/>
    <w:rsid w:val="00AD3C22"/>
    <w:rsid w:val="00AD3D7B"/>
    <w:rsid w:val="00AD47CE"/>
    <w:rsid w:val="00AD4B08"/>
    <w:rsid w:val="00AD4BDE"/>
    <w:rsid w:val="00AD4EA0"/>
    <w:rsid w:val="00AD5329"/>
    <w:rsid w:val="00AD5C35"/>
    <w:rsid w:val="00AD60DE"/>
    <w:rsid w:val="00AD616B"/>
    <w:rsid w:val="00AD632C"/>
    <w:rsid w:val="00AD632F"/>
    <w:rsid w:val="00AD6477"/>
    <w:rsid w:val="00AD650E"/>
    <w:rsid w:val="00AD6B94"/>
    <w:rsid w:val="00AD6D99"/>
    <w:rsid w:val="00AD6F66"/>
    <w:rsid w:val="00AD77D4"/>
    <w:rsid w:val="00AD7AC0"/>
    <w:rsid w:val="00AD7D30"/>
    <w:rsid w:val="00AE004A"/>
    <w:rsid w:val="00AE05C1"/>
    <w:rsid w:val="00AE086E"/>
    <w:rsid w:val="00AE0984"/>
    <w:rsid w:val="00AE1F65"/>
    <w:rsid w:val="00AE2023"/>
    <w:rsid w:val="00AE21E1"/>
    <w:rsid w:val="00AE2812"/>
    <w:rsid w:val="00AE28E9"/>
    <w:rsid w:val="00AE2D51"/>
    <w:rsid w:val="00AE2DE0"/>
    <w:rsid w:val="00AE329C"/>
    <w:rsid w:val="00AE3E59"/>
    <w:rsid w:val="00AE3F8C"/>
    <w:rsid w:val="00AE46BC"/>
    <w:rsid w:val="00AE4815"/>
    <w:rsid w:val="00AE4838"/>
    <w:rsid w:val="00AE4D1A"/>
    <w:rsid w:val="00AE5179"/>
    <w:rsid w:val="00AE5CD8"/>
    <w:rsid w:val="00AE5F3E"/>
    <w:rsid w:val="00AE6F6A"/>
    <w:rsid w:val="00AE73B8"/>
    <w:rsid w:val="00AE7455"/>
    <w:rsid w:val="00AE75FF"/>
    <w:rsid w:val="00AE778A"/>
    <w:rsid w:val="00AE795A"/>
    <w:rsid w:val="00AE79A5"/>
    <w:rsid w:val="00AE7CA1"/>
    <w:rsid w:val="00AE7E2E"/>
    <w:rsid w:val="00AF024E"/>
    <w:rsid w:val="00AF1303"/>
    <w:rsid w:val="00AF13F9"/>
    <w:rsid w:val="00AF1520"/>
    <w:rsid w:val="00AF185C"/>
    <w:rsid w:val="00AF190F"/>
    <w:rsid w:val="00AF1C63"/>
    <w:rsid w:val="00AF2927"/>
    <w:rsid w:val="00AF2C5B"/>
    <w:rsid w:val="00AF2D7A"/>
    <w:rsid w:val="00AF316C"/>
    <w:rsid w:val="00AF336C"/>
    <w:rsid w:val="00AF3A30"/>
    <w:rsid w:val="00AF3BE2"/>
    <w:rsid w:val="00AF3C64"/>
    <w:rsid w:val="00AF41DA"/>
    <w:rsid w:val="00AF47BC"/>
    <w:rsid w:val="00AF4A0C"/>
    <w:rsid w:val="00AF52A9"/>
    <w:rsid w:val="00AF5599"/>
    <w:rsid w:val="00AF59AE"/>
    <w:rsid w:val="00AF5C3B"/>
    <w:rsid w:val="00AF625A"/>
    <w:rsid w:val="00AF6827"/>
    <w:rsid w:val="00AF732E"/>
    <w:rsid w:val="00AF7CE4"/>
    <w:rsid w:val="00AF7D8F"/>
    <w:rsid w:val="00B00612"/>
    <w:rsid w:val="00B0064C"/>
    <w:rsid w:val="00B00A2A"/>
    <w:rsid w:val="00B00AD6"/>
    <w:rsid w:val="00B00BCB"/>
    <w:rsid w:val="00B00F6F"/>
    <w:rsid w:val="00B01683"/>
    <w:rsid w:val="00B016DC"/>
    <w:rsid w:val="00B019F6"/>
    <w:rsid w:val="00B01C4B"/>
    <w:rsid w:val="00B020A8"/>
    <w:rsid w:val="00B02525"/>
    <w:rsid w:val="00B02FD2"/>
    <w:rsid w:val="00B030E2"/>
    <w:rsid w:val="00B032A5"/>
    <w:rsid w:val="00B032F9"/>
    <w:rsid w:val="00B03341"/>
    <w:rsid w:val="00B033C2"/>
    <w:rsid w:val="00B03C17"/>
    <w:rsid w:val="00B03EC3"/>
    <w:rsid w:val="00B03F8F"/>
    <w:rsid w:val="00B03FAC"/>
    <w:rsid w:val="00B0452F"/>
    <w:rsid w:val="00B045D8"/>
    <w:rsid w:val="00B046AC"/>
    <w:rsid w:val="00B046D0"/>
    <w:rsid w:val="00B04B6B"/>
    <w:rsid w:val="00B04BAF"/>
    <w:rsid w:val="00B04D62"/>
    <w:rsid w:val="00B04F1E"/>
    <w:rsid w:val="00B0506C"/>
    <w:rsid w:val="00B05150"/>
    <w:rsid w:val="00B05500"/>
    <w:rsid w:val="00B05994"/>
    <w:rsid w:val="00B05CDC"/>
    <w:rsid w:val="00B06144"/>
    <w:rsid w:val="00B062F6"/>
    <w:rsid w:val="00B064AC"/>
    <w:rsid w:val="00B0652F"/>
    <w:rsid w:val="00B067F5"/>
    <w:rsid w:val="00B06B7D"/>
    <w:rsid w:val="00B06C3B"/>
    <w:rsid w:val="00B0711D"/>
    <w:rsid w:val="00B07556"/>
    <w:rsid w:val="00B076BD"/>
    <w:rsid w:val="00B078C0"/>
    <w:rsid w:val="00B10009"/>
    <w:rsid w:val="00B104B0"/>
    <w:rsid w:val="00B10564"/>
    <w:rsid w:val="00B10587"/>
    <w:rsid w:val="00B106EB"/>
    <w:rsid w:val="00B109B9"/>
    <w:rsid w:val="00B10B2B"/>
    <w:rsid w:val="00B10EC9"/>
    <w:rsid w:val="00B10F9E"/>
    <w:rsid w:val="00B1105F"/>
    <w:rsid w:val="00B11397"/>
    <w:rsid w:val="00B118F1"/>
    <w:rsid w:val="00B11B62"/>
    <w:rsid w:val="00B11BD4"/>
    <w:rsid w:val="00B11FA9"/>
    <w:rsid w:val="00B12688"/>
    <w:rsid w:val="00B1277A"/>
    <w:rsid w:val="00B12B7F"/>
    <w:rsid w:val="00B12C4F"/>
    <w:rsid w:val="00B13307"/>
    <w:rsid w:val="00B13470"/>
    <w:rsid w:val="00B13534"/>
    <w:rsid w:val="00B135E1"/>
    <w:rsid w:val="00B1399D"/>
    <w:rsid w:val="00B13CA3"/>
    <w:rsid w:val="00B14402"/>
    <w:rsid w:val="00B148B7"/>
    <w:rsid w:val="00B15A24"/>
    <w:rsid w:val="00B15C30"/>
    <w:rsid w:val="00B15E97"/>
    <w:rsid w:val="00B15FE3"/>
    <w:rsid w:val="00B168EB"/>
    <w:rsid w:val="00B1694D"/>
    <w:rsid w:val="00B16A34"/>
    <w:rsid w:val="00B16AAD"/>
    <w:rsid w:val="00B16C4A"/>
    <w:rsid w:val="00B1736C"/>
    <w:rsid w:val="00B17744"/>
    <w:rsid w:val="00B1778B"/>
    <w:rsid w:val="00B177D4"/>
    <w:rsid w:val="00B178F1"/>
    <w:rsid w:val="00B17BD2"/>
    <w:rsid w:val="00B20039"/>
    <w:rsid w:val="00B20086"/>
    <w:rsid w:val="00B203A7"/>
    <w:rsid w:val="00B2041D"/>
    <w:rsid w:val="00B20536"/>
    <w:rsid w:val="00B205F0"/>
    <w:rsid w:val="00B20651"/>
    <w:rsid w:val="00B20A46"/>
    <w:rsid w:val="00B20BEC"/>
    <w:rsid w:val="00B210D0"/>
    <w:rsid w:val="00B21234"/>
    <w:rsid w:val="00B2146A"/>
    <w:rsid w:val="00B218FC"/>
    <w:rsid w:val="00B220E0"/>
    <w:rsid w:val="00B22473"/>
    <w:rsid w:val="00B22620"/>
    <w:rsid w:val="00B227A2"/>
    <w:rsid w:val="00B22EBE"/>
    <w:rsid w:val="00B23062"/>
    <w:rsid w:val="00B23365"/>
    <w:rsid w:val="00B238F8"/>
    <w:rsid w:val="00B23EB4"/>
    <w:rsid w:val="00B23F84"/>
    <w:rsid w:val="00B23FE8"/>
    <w:rsid w:val="00B241D3"/>
    <w:rsid w:val="00B24267"/>
    <w:rsid w:val="00B245BA"/>
    <w:rsid w:val="00B246D7"/>
    <w:rsid w:val="00B24BDF"/>
    <w:rsid w:val="00B24FD8"/>
    <w:rsid w:val="00B254DE"/>
    <w:rsid w:val="00B2578A"/>
    <w:rsid w:val="00B25813"/>
    <w:rsid w:val="00B25A52"/>
    <w:rsid w:val="00B265CF"/>
    <w:rsid w:val="00B26A32"/>
    <w:rsid w:val="00B26AD4"/>
    <w:rsid w:val="00B26BD3"/>
    <w:rsid w:val="00B27037"/>
    <w:rsid w:val="00B272C7"/>
    <w:rsid w:val="00B27711"/>
    <w:rsid w:val="00B301AC"/>
    <w:rsid w:val="00B30327"/>
    <w:rsid w:val="00B3035C"/>
    <w:rsid w:val="00B304BA"/>
    <w:rsid w:val="00B30E79"/>
    <w:rsid w:val="00B30EC3"/>
    <w:rsid w:val="00B30F04"/>
    <w:rsid w:val="00B31932"/>
    <w:rsid w:val="00B31A81"/>
    <w:rsid w:val="00B31DAC"/>
    <w:rsid w:val="00B32322"/>
    <w:rsid w:val="00B3240B"/>
    <w:rsid w:val="00B325BE"/>
    <w:rsid w:val="00B33018"/>
    <w:rsid w:val="00B34257"/>
    <w:rsid w:val="00B34292"/>
    <w:rsid w:val="00B34453"/>
    <w:rsid w:val="00B34925"/>
    <w:rsid w:val="00B34A76"/>
    <w:rsid w:val="00B34ADB"/>
    <w:rsid w:val="00B34B9B"/>
    <w:rsid w:val="00B34BA7"/>
    <w:rsid w:val="00B35276"/>
    <w:rsid w:val="00B3544D"/>
    <w:rsid w:val="00B35A03"/>
    <w:rsid w:val="00B360F8"/>
    <w:rsid w:val="00B36754"/>
    <w:rsid w:val="00B3683C"/>
    <w:rsid w:val="00B36AD1"/>
    <w:rsid w:val="00B36EEB"/>
    <w:rsid w:val="00B371B9"/>
    <w:rsid w:val="00B37788"/>
    <w:rsid w:val="00B37A1C"/>
    <w:rsid w:val="00B37BDD"/>
    <w:rsid w:val="00B37D58"/>
    <w:rsid w:val="00B40024"/>
    <w:rsid w:val="00B4024C"/>
    <w:rsid w:val="00B40389"/>
    <w:rsid w:val="00B404AE"/>
    <w:rsid w:val="00B40AC0"/>
    <w:rsid w:val="00B40E65"/>
    <w:rsid w:val="00B41037"/>
    <w:rsid w:val="00B41A7F"/>
    <w:rsid w:val="00B41D60"/>
    <w:rsid w:val="00B42679"/>
    <w:rsid w:val="00B42699"/>
    <w:rsid w:val="00B42717"/>
    <w:rsid w:val="00B432C4"/>
    <w:rsid w:val="00B4343C"/>
    <w:rsid w:val="00B43762"/>
    <w:rsid w:val="00B437B1"/>
    <w:rsid w:val="00B438DF"/>
    <w:rsid w:val="00B44181"/>
    <w:rsid w:val="00B44574"/>
    <w:rsid w:val="00B44C74"/>
    <w:rsid w:val="00B44DF0"/>
    <w:rsid w:val="00B452AB"/>
    <w:rsid w:val="00B4559F"/>
    <w:rsid w:val="00B45930"/>
    <w:rsid w:val="00B461D3"/>
    <w:rsid w:val="00B461F3"/>
    <w:rsid w:val="00B46331"/>
    <w:rsid w:val="00B4696A"/>
    <w:rsid w:val="00B46FB9"/>
    <w:rsid w:val="00B47005"/>
    <w:rsid w:val="00B4714D"/>
    <w:rsid w:val="00B475B2"/>
    <w:rsid w:val="00B47A47"/>
    <w:rsid w:val="00B47A93"/>
    <w:rsid w:val="00B47D65"/>
    <w:rsid w:val="00B47E4C"/>
    <w:rsid w:val="00B5024A"/>
    <w:rsid w:val="00B50397"/>
    <w:rsid w:val="00B50762"/>
    <w:rsid w:val="00B508DF"/>
    <w:rsid w:val="00B50B28"/>
    <w:rsid w:val="00B510B0"/>
    <w:rsid w:val="00B510B7"/>
    <w:rsid w:val="00B514F7"/>
    <w:rsid w:val="00B517CC"/>
    <w:rsid w:val="00B51CF6"/>
    <w:rsid w:val="00B51D9A"/>
    <w:rsid w:val="00B51DAE"/>
    <w:rsid w:val="00B5221C"/>
    <w:rsid w:val="00B524C7"/>
    <w:rsid w:val="00B52561"/>
    <w:rsid w:val="00B527D8"/>
    <w:rsid w:val="00B5290D"/>
    <w:rsid w:val="00B52F5C"/>
    <w:rsid w:val="00B530FD"/>
    <w:rsid w:val="00B5330C"/>
    <w:rsid w:val="00B53423"/>
    <w:rsid w:val="00B537FB"/>
    <w:rsid w:val="00B53927"/>
    <w:rsid w:val="00B539C5"/>
    <w:rsid w:val="00B549CC"/>
    <w:rsid w:val="00B54D7B"/>
    <w:rsid w:val="00B54EEA"/>
    <w:rsid w:val="00B55108"/>
    <w:rsid w:val="00B555BD"/>
    <w:rsid w:val="00B560A8"/>
    <w:rsid w:val="00B5643A"/>
    <w:rsid w:val="00B56515"/>
    <w:rsid w:val="00B569DC"/>
    <w:rsid w:val="00B56CB9"/>
    <w:rsid w:val="00B57413"/>
    <w:rsid w:val="00B5759C"/>
    <w:rsid w:val="00B57B23"/>
    <w:rsid w:val="00B57E22"/>
    <w:rsid w:val="00B60309"/>
    <w:rsid w:val="00B606AA"/>
    <w:rsid w:val="00B61012"/>
    <w:rsid w:val="00B6141F"/>
    <w:rsid w:val="00B616B9"/>
    <w:rsid w:val="00B618F6"/>
    <w:rsid w:val="00B618FF"/>
    <w:rsid w:val="00B6196F"/>
    <w:rsid w:val="00B61DC7"/>
    <w:rsid w:val="00B62106"/>
    <w:rsid w:val="00B62177"/>
    <w:rsid w:val="00B62BD0"/>
    <w:rsid w:val="00B6304B"/>
    <w:rsid w:val="00B6323C"/>
    <w:rsid w:val="00B6325F"/>
    <w:rsid w:val="00B639DE"/>
    <w:rsid w:val="00B6407E"/>
    <w:rsid w:val="00B64377"/>
    <w:rsid w:val="00B64659"/>
    <w:rsid w:val="00B6497C"/>
    <w:rsid w:val="00B64A50"/>
    <w:rsid w:val="00B64A96"/>
    <w:rsid w:val="00B64BD1"/>
    <w:rsid w:val="00B64DDC"/>
    <w:rsid w:val="00B64E28"/>
    <w:rsid w:val="00B65311"/>
    <w:rsid w:val="00B65517"/>
    <w:rsid w:val="00B655AA"/>
    <w:rsid w:val="00B655F3"/>
    <w:rsid w:val="00B65A71"/>
    <w:rsid w:val="00B65D15"/>
    <w:rsid w:val="00B65E18"/>
    <w:rsid w:val="00B662AF"/>
    <w:rsid w:val="00B6641D"/>
    <w:rsid w:val="00B665BB"/>
    <w:rsid w:val="00B6685A"/>
    <w:rsid w:val="00B66A01"/>
    <w:rsid w:val="00B66B54"/>
    <w:rsid w:val="00B66C67"/>
    <w:rsid w:val="00B66F0C"/>
    <w:rsid w:val="00B6746A"/>
    <w:rsid w:val="00B678B1"/>
    <w:rsid w:val="00B67A74"/>
    <w:rsid w:val="00B67EC3"/>
    <w:rsid w:val="00B7007E"/>
    <w:rsid w:val="00B7032E"/>
    <w:rsid w:val="00B709F9"/>
    <w:rsid w:val="00B70E9F"/>
    <w:rsid w:val="00B71039"/>
    <w:rsid w:val="00B71454"/>
    <w:rsid w:val="00B71624"/>
    <w:rsid w:val="00B71860"/>
    <w:rsid w:val="00B71892"/>
    <w:rsid w:val="00B71936"/>
    <w:rsid w:val="00B71B2B"/>
    <w:rsid w:val="00B71D4C"/>
    <w:rsid w:val="00B72508"/>
    <w:rsid w:val="00B7270E"/>
    <w:rsid w:val="00B73933"/>
    <w:rsid w:val="00B7397A"/>
    <w:rsid w:val="00B73C86"/>
    <w:rsid w:val="00B73EB7"/>
    <w:rsid w:val="00B749D5"/>
    <w:rsid w:val="00B74D75"/>
    <w:rsid w:val="00B75101"/>
    <w:rsid w:val="00B7528B"/>
    <w:rsid w:val="00B75B5D"/>
    <w:rsid w:val="00B75C1C"/>
    <w:rsid w:val="00B75FBB"/>
    <w:rsid w:val="00B761B3"/>
    <w:rsid w:val="00B763A6"/>
    <w:rsid w:val="00B763D7"/>
    <w:rsid w:val="00B76CA5"/>
    <w:rsid w:val="00B76CFD"/>
    <w:rsid w:val="00B76DCE"/>
    <w:rsid w:val="00B772B1"/>
    <w:rsid w:val="00B7753A"/>
    <w:rsid w:val="00B77904"/>
    <w:rsid w:val="00B77ACD"/>
    <w:rsid w:val="00B77F88"/>
    <w:rsid w:val="00B80144"/>
    <w:rsid w:val="00B80173"/>
    <w:rsid w:val="00B8039B"/>
    <w:rsid w:val="00B805DF"/>
    <w:rsid w:val="00B80705"/>
    <w:rsid w:val="00B80803"/>
    <w:rsid w:val="00B80B25"/>
    <w:rsid w:val="00B80C80"/>
    <w:rsid w:val="00B80DFB"/>
    <w:rsid w:val="00B80E32"/>
    <w:rsid w:val="00B80F19"/>
    <w:rsid w:val="00B81004"/>
    <w:rsid w:val="00B815F5"/>
    <w:rsid w:val="00B81D66"/>
    <w:rsid w:val="00B82525"/>
    <w:rsid w:val="00B8259B"/>
    <w:rsid w:val="00B825FC"/>
    <w:rsid w:val="00B83011"/>
    <w:rsid w:val="00B8301C"/>
    <w:rsid w:val="00B83A55"/>
    <w:rsid w:val="00B840DC"/>
    <w:rsid w:val="00B8458A"/>
    <w:rsid w:val="00B84667"/>
    <w:rsid w:val="00B84980"/>
    <w:rsid w:val="00B84A87"/>
    <w:rsid w:val="00B8533F"/>
    <w:rsid w:val="00B853B4"/>
    <w:rsid w:val="00B85C4E"/>
    <w:rsid w:val="00B85D6F"/>
    <w:rsid w:val="00B861D8"/>
    <w:rsid w:val="00B86626"/>
    <w:rsid w:val="00B86D27"/>
    <w:rsid w:val="00B871E3"/>
    <w:rsid w:val="00B872D6"/>
    <w:rsid w:val="00B877B3"/>
    <w:rsid w:val="00B878EA"/>
    <w:rsid w:val="00B8790B"/>
    <w:rsid w:val="00B87C17"/>
    <w:rsid w:val="00B87E8D"/>
    <w:rsid w:val="00B900BD"/>
    <w:rsid w:val="00B900FD"/>
    <w:rsid w:val="00B90146"/>
    <w:rsid w:val="00B901F8"/>
    <w:rsid w:val="00B9063A"/>
    <w:rsid w:val="00B907C9"/>
    <w:rsid w:val="00B90998"/>
    <w:rsid w:val="00B90DB0"/>
    <w:rsid w:val="00B90DD6"/>
    <w:rsid w:val="00B91047"/>
    <w:rsid w:val="00B911D4"/>
    <w:rsid w:val="00B9172E"/>
    <w:rsid w:val="00B91E87"/>
    <w:rsid w:val="00B920BE"/>
    <w:rsid w:val="00B92E7B"/>
    <w:rsid w:val="00B92F3E"/>
    <w:rsid w:val="00B937CB"/>
    <w:rsid w:val="00B93F9A"/>
    <w:rsid w:val="00B94224"/>
    <w:rsid w:val="00B9439E"/>
    <w:rsid w:val="00B9458D"/>
    <w:rsid w:val="00B94590"/>
    <w:rsid w:val="00B94E22"/>
    <w:rsid w:val="00B950FB"/>
    <w:rsid w:val="00B95143"/>
    <w:rsid w:val="00B95175"/>
    <w:rsid w:val="00B9528E"/>
    <w:rsid w:val="00B957D6"/>
    <w:rsid w:val="00B9586C"/>
    <w:rsid w:val="00B958B7"/>
    <w:rsid w:val="00B95BA7"/>
    <w:rsid w:val="00B95E3A"/>
    <w:rsid w:val="00B960DB"/>
    <w:rsid w:val="00B96381"/>
    <w:rsid w:val="00B96586"/>
    <w:rsid w:val="00B96744"/>
    <w:rsid w:val="00B97378"/>
    <w:rsid w:val="00B9743E"/>
    <w:rsid w:val="00B97492"/>
    <w:rsid w:val="00B9776B"/>
    <w:rsid w:val="00B97864"/>
    <w:rsid w:val="00B9786A"/>
    <w:rsid w:val="00B9790D"/>
    <w:rsid w:val="00B97B23"/>
    <w:rsid w:val="00BA0C41"/>
    <w:rsid w:val="00BA0FA6"/>
    <w:rsid w:val="00BA1259"/>
    <w:rsid w:val="00BA13CD"/>
    <w:rsid w:val="00BA1440"/>
    <w:rsid w:val="00BA187E"/>
    <w:rsid w:val="00BA1AF6"/>
    <w:rsid w:val="00BA2162"/>
    <w:rsid w:val="00BA24CF"/>
    <w:rsid w:val="00BA25B0"/>
    <w:rsid w:val="00BA2B8A"/>
    <w:rsid w:val="00BA2C93"/>
    <w:rsid w:val="00BA2F81"/>
    <w:rsid w:val="00BA3053"/>
    <w:rsid w:val="00BA3295"/>
    <w:rsid w:val="00BA38AD"/>
    <w:rsid w:val="00BA392D"/>
    <w:rsid w:val="00BA3B53"/>
    <w:rsid w:val="00BA40BB"/>
    <w:rsid w:val="00BA505D"/>
    <w:rsid w:val="00BA5067"/>
    <w:rsid w:val="00BA52FA"/>
    <w:rsid w:val="00BA5573"/>
    <w:rsid w:val="00BA568B"/>
    <w:rsid w:val="00BA5962"/>
    <w:rsid w:val="00BA5C2D"/>
    <w:rsid w:val="00BA61ED"/>
    <w:rsid w:val="00BA6AEB"/>
    <w:rsid w:val="00BA6E7D"/>
    <w:rsid w:val="00BA754A"/>
    <w:rsid w:val="00BA764F"/>
    <w:rsid w:val="00BA7790"/>
    <w:rsid w:val="00BA7A07"/>
    <w:rsid w:val="00BA7E73"/>
    <w:rsid w:val="00BA7F13"/>
    <w:rsid w:val="00BB0126"/>
    <w:rsid w:val="00BB0523"/>
    <w:rsid w:val="00BB173B"/>
    <w:rsid w:val="00BB18F2"/>
    <w:rsid w:val="00BB1CA9"/>
    <w:rsid w:val="00BB1D8A"/>
    <w:rsid w:val="00BB1E8D"/>
    <w:rsid w:val="00BB1F86"/>
    <w:rsid w:val="00BB2257"/>
    <w:rsid w:val="00BB244C"/>
    <w:rsid w:val="00BB28BB"/>
    <w:rsid w:val="00BB2A3E"/>
    <w:rsid w:val="00BB2CCA"/>
    <w:rsid w:val="00BB2D53"/>
    <w:rsid w:val="00BB2E0D"/>
    <w:rsid w:val="00BB2E23"/>
    <w:rsid w:val="00BB2E5E"/>
    <w:rsid w:val="00BB331E"/>
    <w:rsid w:val="00BB358E"/>
    <w:rsid w:val="00BB3706"/>
    <w:rsid w:val="00BB38DF"/>
    <w:rsid w:val="00BB3A08"/>
    <w:rsid w:val="00BB3A53"/>
    <w:rsid w:val="00BB3F38"/>
    <w:rsid w:val="00BB43F1"/>
    <w:rsid w:val="00BB4441"/>
    <w:rsid w:val="00BB4634"/>
    <w:rsid w:val="00BB4680"/>
    <w:rsid w:val="00BB490D"/>
    <w:rsid w:val="00BB4B40"/>
    <w:rsid w:val="00BB4EB8"/>
    <w:rsid w:val="00BB4EC4"/>
    <w:rsid w:val="00BB527B"/>
    <w:rsid w:val="00BB5486"/>
    <w:rsid w:val="00BB551F"/>
    <w:rsid w:val="00BB5EB1"/>
    <w:rsid w:val="00BB61C8"/>
    <w:rsid w:val="00BB6BA3"/>
    <w:rsid w:val="00BB6D1F"/>
    <w:rsid w:val="00BB6EA6"/>
    <w:rsid w:val="00BB7132"/>
    <w:rsid w:val="00BB722D"/>
    <w:rsid w:val="00BB739E"/>
    <w:rsid w:val="00BB77DD"/>
    <w:rsid w:val="00BB7D63"/>
    <w:rsid w:val="00BB7E23"/>
    <w:rsid w:val="00BB7FB9"/>
    <w:rsid w:val="00BC006C"/>
    <w:rsid w:val="00BC097D"/>
    <w:rsid w:val="00BC0B4E"/>
    <w:rsid w:val="00BC0BDE"/>
    <w:rsid w:val="00BC1071"/>
    <w:rsid w:val="00BC154D"/>
    <w:rsid w:val="00BC1B68"/>
    <w:rsid w:val="00BC1FB9"/>
    <w:rsid w:val="00BC210E"/>
    <w:rsid w:val="00BC2286"/>
    <w:rsid w:val="00BC3107"/>
    <w:rsid w:val="00BC36A0"/>
    <w:rsid w:val="00BC3948"/>
    <w:rsid w:val="00BC45AD"/>
    <w:rsid w:val="00BC4744"/>
    <w:rsid w:val="00BC4CA5"/>
    <w:rsid w:val="00BC549D"/>
    <w:rsid w:val="00BC567F"/>
    <w:rsid w:val="00BC568F"/>
    <w:rsid w:val="00BC570E"/>
    <w:rsid w:val="00BC60F3"/>
    <w:rsid w:val="00BC66CE"/>
    <w:rsid w:val="00BC6ADD"/>
    <w:rsid w:val="00BC6C41"/>
    <w:rsid w:val="00BC6E15"/>
    <w:rsid w:val="00BC71F8"/>
    <w:rsid w:val="00BC7479"/>
    <w:rsid w:val="00BC747B"/>
    <w:rsid w:val="00BC796E"/>
    <w:rsid w:val="00BC7DF5"/>
    <w:rsid w:val="00BC7E41"/>
    <w:rsid w:val="00BC7FED"/>
    <w:rsid w:val="00BD061B"/>
    <w:rsid w:val="00BD077D"/>
    <w:rsid w:val="00BD07D4"/>
    <w:rsid w:val="00BD0842"/>
    <w:rsid w:val="00BD0AB7"/>
    <w:rsid w:val="00BD0C79"/>
    <w:rsid w:val="00BD0EB2"/>
    <w:rsid w:val="00BD0F61"/>
    <w:rsid w:val="00BD1B03"/>
    <w:rsid w:val="00BD1D69"/>
    <w:rsid w:val="00BD23DF"/>
    <w:rsid w:val="00BD2C93"/>
    <w:rsid w:val="00BD2CBE"/>
    <w:rsid w:val="00BD3EAE"/>
    <w:rsid w:val="00BD46D7"/>
    <w:rsid w:val="00BD4748"/>
    <w:rsid w:val="00BD4CCA"/>
    <w:rsid w:val="00BD4D58"/>
    <w:rsid w:val="00BD4E00"/>
    <w:rsid w:val="00BD4FC8"/>
    <w:rsid w:val="00BD529C"/>
    <w:rsid w:val="00BD5487"/>
    <w:rsid w:val="00BD5FA9"/>
    <w:rsid w:val="00BD6406"/>
    <w:rsid w:val="00BD669B"/>
    <w:rsid w:val="00BD7538"/>
    <w:rsid w:val="00BD7613"/>
    <w:rsid w:val="00BD76ED"/>
    <w:rsid w:val="00BD76F4"/>
    <w:rsid w:val="00BD78CF"/>
    <w:rsid w:val="00BD7901"/>
    <w:rsid w:val="00BD7EAC"/>
    <w:rsid w:val="00BE0648"/>
    <w:rsid w:val="00BE0668"/>
    <w:rsid w:val="00BE08AB"/>
    <w:rsid w:val="00BE0E42"/>
    <w:rsid w:val="00BE0EFD"/>
    <w:rsid w:val="00BE1513"/>
    <w:rsid w:val="00BE1591"/>
    <w:rsid w:val="00BE1E1F"/>
    <w:rsid w:val="00BE211B"/>
    <w:rsid w:val="00BE226A"/>
    <w:rsid w:val="00BE241A"/>
    <w:rsid w:val="00BE2997"/>
    <w:rsid w:val="00BE2BA6"/>
    <w:rsid w:val="00BE2FF6"/>
    <w:rsid w:val="00BE32BD"/>
    <w:rsid w:val="00BE3671"/>
    <w:rsid w:val="00BE3A25"/>
    <w:rsid w:val="00BE4581"/>
    <w:rsid w:val="00BE4A63"/>
    <w:rsid w:val="00BE56F4"/>
    <w:rsid w:val="00BE57A8"/>
    <w:rsid w:val="00BE5AF8"/>
    <w:rsid w:val="00BE5C39"/>
    <w:rsid w:val="00BE5CFA"/>
    <w:rsid w:val="00BE6123"/>
    <w:rsid w:val="00BE6202"/>
    <w:rsid w:val="00BE6DF6"/>
    <w:rsid w:val="00BE6F4C"/>
    <w:rsid w:val="00BE7A5E"/>
    <w:rsid w:val="00BF0756"/>
    <w:rsid w:val="00BF0E75"/>
    <w:rsid w:val="00BF0E89"/>
    <w:rsid w:val="00BF1352"/>
    <w:rsid w:val="00BF13BF"/>
    <w:rsid w:val="00BF149F"/>
    <w:rsid w:val="00BF14F7"/>
    <w:rsid w:val="00BF18D0"/>
    <w:rsid w:val="00BF1B71"/>
    <w:rsid w:val="00BF211E"/>
    <w:rsid w:val="00BF268D"/>
    <w:rsid w:val="00BF28F4"/>
    <w:rsid w:val="00BF2BAD"/>
    <w:rsid w:val="00BF3340"/>
    <w:rsid w:val="00BF359E"/>
    <w:rsid w:val="00BF3C66"/>
    <w:rsid w:val="00BF3CB6"/>
    <w:rsid w:val="00BF3FB4"/>
    <w:rsid w:val="00BF4FE2"/>
    <w:rsid w:val="00BF5282"/>
    <w:rsid w:val="00BF5B24"/>
    <w:rsid w:val="00BF5E73"/>
    <w:rsid w:val="00BF63BF"/>
    <w:rsid w:val="00BF6952"/>
    <w:rsid w:val="00BF72E6"/>
    <w:rsid w:val="00BF749C"/>
    <w:rsid w:val="00BF74F9"/>
    <w:rsid w:val="00BF75EB"/>
    <w:rsid w:val="00BF765A"/>
    <w:rsid w:val="00BF7692"/>
    <w:rsid w:val="00BF7C48"/>
    <w:rsid w:val="00BF7CCC"/>
    <w:rsid w:val="00C0025A"/>
    <w:rsid w:val="00C0025D"/>
    <w:rsid w:val="00C0053A"/>
    <w:rsid w:val="00C005D3"/>
    <w:rsid w:val="00C00BEC"/>
    <w:rsid w:val="00C00F48"/>
    <w:rsid w:val="00C00FF7"/>
    <w:rsid w:val="00C0127C"/>
    <w:rsid w:val="00C01361"/>
    <w:rsid w:val="00C01B4F"/>
    <w:rsid w:val="00C01F12"/>
    <w:rsid w:val="00C01F75"/>
    <w:rsid w:val="00C02467"/>
    <w:rsid w:val="00C02BE6"/>
    <w:rsid w:val="00C032F8"/>
    <w:rsid w:val="00C03400"/>
    <w:rsid w:val="00C03733"/>
    <w:rsid w:val="00C03753"/>
    <w:rsid w:val="00C03869"/>
    <w:rsid w:val="00C04330"/>
    <w:rsid w:val="00C04A1F"/>
    <w:rsid w:val="00C05032"/>
    <w:rsid w:val="00C0540E"/>
    <w:rsid w:val="00C0549D"/>
    <w:rsid w:val="00C0667D"/>
    <w:rsid w:val="00C06738"/>
    <w:rsid w:val="00C06B27"/>
    <w:rsid w:val="00C06CFF"/>
    <w:rsid w:val="00C07096"/>
    <w:rsid w:val="00C078B9"/>
    <w:rsid w:val="00C07F97"/>
    <w:rsid w:val="00C07FDF"/>
    <w:rsid w:val="00C1009D"/>
    <w:rsid w:val="00C101FB"/>
    <w:rsid w:val="00C1036A"/>
    <w:rsid w:val="00C1054F"/>
    <w:rsid w:val="00C1079D"/>
    <w:rsid w:val="00C10948"/>
    <w:rsid w:val="00C10B9A"/>
    <w:rsid w:val="00C10DAC"/>
    <w:rsid w:val="00C10DE1"/>
    <w:rsid w:val="00C10F67"/>
    <w:rsid w:val="00C112B1"/>
    <w:rsid w:val="00C11712"/>
    <w:rsid w:val="00C11F21"/>
    <w:rsid w:val="00C1230B"/>
    <w:rsid w:val="00C12322"/>
    <w:rsid w:val="00C12391"/>
    <w:rsid w:val="00C126DA"/>
    <w:rsid w:val="00C127B5"/>
    <w:rsid w:val="00C12A08"/>
    <w:rsid w:val="00C12C04"/>
    <w:rsid w:val="00C12F25"/>
    <w:rsid w:val="00C1339D"/>
    <w:rsid w:val="00C1371A"/>
    <w:rsid w:val="00C14007"/>
    <w:rsid w:val="00C14194"/>
    <w:rsid w:val="00C1485C"/>
    <w:rsid w:val="00C14B8F"/>
    <w:rsid w:val="00C14F73"/>
    <w:rsid w:val="00C151D3"/>
    <w:rsid w:val="00C1550F"/>
    <w:rsid w:val="00C15CF2"/>
    <w:rsid w:val="00C15ED0"/>
    <w:rsid w:val="00C15FEB"/>
    <w:rsid w:val="00C161EE"/>
    <w:rsid w:val="00C16358"/>
    <w:rsid w:val="00C16506"/>
    <w:rsid w:val="00C16550"/>
    <w:rsid w:val="00C1697D"/>
    <w:rsid w:val="00C16A38"/>
    <w:rsid w:val="00C16AC6"/>
    <w:rsid w:val="00C174D3"/>
    <w:rsid w:val="00C179F5"/>
    <w:rsid w:val="00C17C0F"/>
    <w:rsid w:val="00C17EC9"/>
    <w:rsid w:val="00C2024C"/>
    <w:rsid w:val="00C20271"/>
    <w:rsid w:val="00C20697"/>
    <w:rsid w:val="00C206DF"/>
    <w:rsid w:val="00C207C3"/>
    <w:rsid w:val="00C20A0E"/>
    <w:rsid w:val="00C20E42"/>
    <w:rsid w:val="00C21095"/>
    <w:rsid w:val="00C2121B"/>
    <w:rsid w:val="00C21605"/>
    <w:rsid w:val="00C216BD"/>
    <w:rsid w:val="00C219AA"/>
    <w:rsid w:val="00C219F1"/>
    <w:rsid w:val="00C223B7"/>
    <w:rsid w:val="00C22CF3"/>
    <w:rsid w:val="00C2321F"/>
    <w:rsid w:val="00C236EC"/>
    <w:rsid w:val="00C2389F"/>
    <w:rsid w:val="00C23A48"/>
    <w:rsid w:val="00C23A66"/>
    <w:rsid w:val="00C23B11"/>
    <w:rsid w:val="00C23BD2"/>
    <w:rsid w:val="00C23CAC"/>
    <w:rsid w:val="00C23FE5"/>
    <w:rsid w:val="00C242AD"/>
    <w:rsid w:val="00C2448C"/>
    <w:rsid w:val="00C248E1"/>
    <w:rsid w:val="00C24904"/>
    <w:rsid w:val="00C24D47"/>
    <w:rsid w:val="00C2516B"/>
    <w:rsid w:val="00C252FE"/>
    <w:rsid w:val="00C252FF"/>
    <w:rsid w:val="00C25511"/>
    <w:rsid w:val="00C25DC2"/>
    <w:rsid w:val="00C25E68"/>
    <w:rsid w:val="00C25FB5"/>
    <w:rsid w:val="00C26206"/>
    <w:rsid w:val="00C267F5"/>
    <w:rsid w:val="00C26B71"/>
    <w:rsid w:val="00C26DBA"/>
    <w:rsid w:val="00C26DC7"/>
    <w:rsid w:val="00C26ED9"/>
    <w:rsid w:val="00C2754F"/>
    <w:rsid w:val="00C27556"/>
    <w:rsid w:val="00C27C33"/>
    <w:rsid w:val="00C27D76"/>
    <w:rsid w:val="00C301C1"/>
    <w:rsid w:val="00C307CE"/>
    <w:rsid w:val="00C30D91"/>
    <w:rsid w:val="00C30E4F"/>
    <w:rsid w:val="00C31452"/>
    <w:rsid w:val="00C317D0"/>
    <w:rsid w:val="00C31A90"/>
    <w:rsid w:val="00C31C89"/>
    <w:rsid w:val="00C3278E"/>
    <w:rsid w:val="00C32D4B"/>
    <w:rsid w:val="00C32FFE"/>
    <w:rsid w:val="00C33043"/>
    <w:rsid w:val="00C33167"/>
    <w:rsid w:val="00C33E2C"/>
    <w:rsid w:val="00C33E9F"/>
    <w:rsid w:val="00C33F30"/>
    <w:rsid w:val="00C33FF6"/>
    <w:rsid w:val="00C34119"/>
    <w:rsid w:val="00C342C7"/>
    <w:rsid w:val="00C34739"/>
    <w:rsid w:val="00C3473E"/>
    <w:rsid w:val="00C347B3"/>
    <w:rsid w:val="00C355B0"/>
    <w:rsid w:val="00C355DD"/>
    <w:rsid w:val="00C35659"/>
    <w:rsid w:val="00C35674"/>
    <w:rsid w:val="00C357D0"/>
    <w:rsid w:val="00C3628B"/>
    <w:rsid w:val="00C363ED"/>
    <w:rsid w:val="00C36817"/>
    <w:rsid w:val="00C36840"/>
    <w:rsid w:val="00C3693D"/>
    <w:rsid w:val="00C36B14"/>
    <w:rsid w:val="00C3766B"/>
    <w:rsid w:val="00C37AE5"/>
    <w:rsid w:val="00C37CDE"/>
    <w:rsid w:val="00C37CF7"/>
    <w:rsid w:val="00C37D9E"/>
    <w:rsid w:val="00C37FB3"/>
    <w:rsid w:val="00C40331"/>
    <w:rsid w:val="00C409FD"/>
    <w:rsid w:val="00C40DA6"/>
    <w:rsid w:val="00C410EA"/>
    <w:rsid w:val="00C41BA6"/>
    <w:rsid w:val="00C41C3A"/>
    <w:rsid w:val="00C4209C"/>
    <w:rsid w:val="00C4215E"/>
    <w:rsid w:val="00C42313"/>
    <w:rsid w:val="00C427A9"/>
    <w:rsid w:val="00C42B40"/>
    <w:rsid w:val="00C42DE2"/>
    <w:rsid w:val="00C42DE7"/>
    <w:rsid w:val="00C43436"/>
    <w:rsid w:val="00C4379F"/>
    <w:rsid w:val="00C43C6B"/>
    <w:rsid w:val="00C444F6"/>
    <w:rsid w:val="00C445AC"/>
    <w:rsid w:val="00C4478A"/>
    <w:rsid w:val="00C4485B"/>
    <w:rsid w:val="00C452CB"/>
    <w:rsid w:val="00C456AC"/>
    <w:rsid w:val="00C456C5"/>
    <w:rsid w:val="00C459F8"/>
    <w:rsid w:val="00C45BF3"/>
    <w:rsid w:val="00C45D62"/>
    <w:rsid w:val="00C466C6"/>
    <w:rsid w:val="00C46879"/>
    <w:rsid w:val="00C46C99"/>
    <w:rsid w:val="00C46CDF"/>
    <w:rsid w:val="00C46FE4"/>
    <w:rsid w:val="00C47112"/>
    <w:rsid w:val="00C47482"/>
    <w:rsid w:val="00C47726"/>
    <w:rsid w:val="00C47C39"/>
    <w:rsid w:val="00C47EDC"/>
    <w:rsid w:val="00C5034B"/>
    <w:rsid w:val="00C50570"/>
    <w:rsid w:val="00C50574"/>
    <w:rsid w:val="00C50979"/>
    <w:rsid w:val="00C50A4D"/>
    <w:rsid w:val="00C50AEE"/>
    <w:rsid w:val="00C50D7F"/>
    <w:rsid w:val="00C51471"/>
    <w:rsid w:val="00C519A8"/>
    <w:rsid w:val="00C51B8B"/>
    <w:rsid w:val="00C51BD2"/>
    <w:rsid w:val="00C51F21"/>
    <w:rsid w:val="00C520FF"/>
    <w:rsid w:val="00C528CD"/>
    <w:rsid w:val="00C52911"/>
    <w:rsid w:val="00C52BE3"/>
    <w:rsid w:val="00C52C49"/>
    <w:rsid w:val="00C52F66"/>
    <w:rsid w:val="00C53647"/>
    <w:rsid w:val="00C53811"/>
    <w:rsid w:val="00C538F3"/>
    <w:rsid w:val="00C54366"/>
    <w:rsid w:val="00C545EB"/>
    <w:rsid w:val="00C547CA"/>
    <w:rsid w:val="00C549CE"/>
    <w:rsid w:val="00C54B9C"/>
    <w:rsid w:val="00C54F38"/>
    <w:rsid w:val="00C5521B"/>
    <w:rsid w:val="00C55455"/>
    <w:rsid w:val="00C55723"/>
    <w:rsid w:val="00C5572A"/>
    <w:rsid w:val="00C55B16"/>
    <w:rsid w:val="00C55DD1"/>
    <w:rsid w:val="00C5610D"/>
    <w:rsid w:val="00C56197"/>
    <w:rsid w:val="00C56732"/>
    <w:rsid w:val="00C56736"/>
    <w:rsid w:val="00C56947"/>
    <w:rsid w:val="00C56D72"/>
    <w:rsid w:val="00C57214"/>
    <w:rsid w:val="00C573BF"/>
    <w:rsid w:val="00C575D1"/>
    <w:rsid w:val="00C57734"/>
    <w:rsid w:val="00C57C04"/>
    <w:rsid w:val="00C57FE4"/>
    <w:rsid w:val="00C605F8"/>
    <w:rsid w:val="00C60709"/>
    <w:rsid w:val="00C612E4"/>
    <w:rsid w:val="00C612FF"/>
    <w:rsid w:val="00C613B6"/>
    <w:rsid w:val="00C614A2"/>
    <w:rsid w:val="00C61825"/>
    <w:rsid w:val="00C61B18"/>
    <w:rsid w:val="00C61B67"/>
    <w:rsid w:val="00C61EEC"/>
    <w:rsid w:val="00C620A4"/>
    <w:rsid w:val="00C62287"/>
    <w:rsid w:val="00C626E5"/>
    <w:rsid w:val="00C627E0"/>
    <w:rsid w:val="00C63192"/>
    <w:rsid w:val="00C633E3"/>
    <w:rsid w:val="00C63443"/>
    <w:rsid w:val="00C634FE"/>
    <w:rsid w:val="00C63803"/>
    <w:rsid w:val="00C63E68"/>
    <w:rsid w:val="00C64202"/>
    <w:rsid w:val="00C64240"/>
    <w:rsid w:val="00C64847"/>
    <w:rsid w:val="00C64A9D"/>
    <w:rsid w:val="00C64CB9"/>
    <w:rsid w:val="00C64D3A"/>
    <w:rsid w:val="00C65272"/>
    <w:rsid w:val="00C65552"/>
    <w:rsid w:val="00C65ABC"/>
    <w:rsid w:val="00C65C53"/>
    <w:rsid w:val="00C65C59"/>
    <w:rsid w:val="00C65CCB"/>
    <w:rsid w:val="00C65DFC"/>
    <w:rsid w:val="00C65FE7"/>
    <w:rsid w:val="00C6618A"/>
    <w:rsid w:val="00C66735"/>
    <w:rsid w:val="00C66763"/>
    <w:rsid w:val="00C66822"/>
    <w:rsid w:val="00C6688A"/>
    <w:rsid w:val="00C6718D"/>
    <w:rsid w:val="00C673CB"/>
    <w:rsid w:val="00C6744E"/>
    <w:rsid w:val="00C677F5"/>
    <w:rsid w:val="00C67B33"/>
    <w:rsid w:val="00C67BEF"/>
    <w:rsid w:val="00C67C7A"/>
    <w:rsid w:val="00C67D96"/>
    <w:rsid w:val="00C70059"/>
    <w:rsid w:val="00C70450"/>
    <w:rsid w:val="00C707AF"/>
    <w:rsid w:val="00C70C4D"/>
    <w:rsid w:val="00C7104B"/>
    <w:rsid w:val="00C71239"/>
    <w:rsid w:val="00C712FD"/>
    <w:rsid w:val="00C71566"/>
    <w:rsid w:val="00C71802"/>
    <w:rsid w:val="00C71EF4"/>
    <w:rsid w:val="00C72569"/>
    <w:rsid w:val="00C72BAA"/>
    <w:rsid w:val="00C72D00"/>
    <w:rsid w:val="00C72D2F"/>
    <w:rsid w:val="00C73057"/>
    <w:rsid w:val="00C732ED"/>
    <w:rsid w:val="00C73370"/>
    <w:rsid w:val="00C7344C"/>
    <w:rsid w:val="00C7345E"/>
    <w:rsid w:val="00C734D6"/>
    <w:rsid w:val="00C7357C"/>
    <w:rsid w:val="00C73A49"/>
    <w:rsid w:val="00C73AE1"/>
    <w:rsid w:val="00C73B72"/>
    <w:rsid w:val="00C7464F"/>
    <w:rsid w:val="00C748E3"/>
    <w:rsid w:val="00C74BED"/>
    <w:rsid w:val="00C74BF6"/>
    <w:rsid w:val="00C74C61"/>
    <w:rsid w:val="00C74D2F"/>
    <w:rsid w:val="00C7500E"/>
    <w:rsid w:val="00C7554E"/>
    <w:rsid w:val="00C75683"/>
    <w:rsid w:val="00C75C54"/>
    <w:rsid w:val="00C760D4"/>
    <w:rsid w:val="00C761BE"/>
    <w:rsid w:val="00C7651D"/>
    <w:rsid w:val="00C767F8"/>
    <w:rsid w:val="00C76CA8"/>
    <w:rsid w:val="00C76DEC"/>
    <w:rsid w:val="00C76E8D"/>
    <w:rsid w:val="00C76FF0"/>
    <w:rsid w:val="00C771B0"/>
    <w:rsid w:val="00C772AE"/>
    <w:rsid w:val="00C77ED6"/>
    <w:rsid w:val="00C77F3F"/>
    <w:rsid w:val="00C800B3"/>
    <w:rsid w:val="00C80165"/>
    <w:rsid w:val="00C808EE"/>
    <w:rsid w:val="00C80B19"/>
    <w:rsid w:val="00C80C46"/>
    <w:rsid w:val="00C80EE3"/>
    <w:rsid w:val="00C812CA"/>
    <w:rsid w:val="00C813AC"/>
    <w:rsid w:val="00C815D1"/>
    <w:rsid w:val="00C81709"/>
    <w:rsid w:val="00C81730"/>
    <w:rsid w:val="00C8183F"/>
    <w:rsid w:val="00C818AE"/>
    <w:rsid w:val="00C8195C"/>
    <w:rsid w:val="00C81A8D"/>
    <w:rsid w:val="00C82076"/>
    <w:rsid w:val="00C823E3"/>
    <w:rsid w:val="00C825B3"/>
    <w:rsid w:val="00C82677"/>
    <w:rsid w:val="00C82A06"/>
    <w:rsid w:val="00C82DF4"/>
    <w:rsid w:val="00C831F0"/>
    <w:rsid w:val="00C83256"/>
    <w:rsid w:val="00C8329C"/>
    <w:rsid w:val="00C8348D"/>
    <w:rsid w:val="00C83F79"/>
    <w:rsid w:val="00C8453A"/>
    <w:rsid w:val="00C84670"/>
    <w:rsid w:val="00C84716"/>
    <w:rsid w:val="00C8506B"/>
    <w:rsid w:val="00C8508C"/>
    <w:rsid w:val="00C85355"/>
    <w:rsid w:val="00C8558C"/>
    <w:rsid w:val="00C85FC9"/>
    <w:rsid w:val="00C8603F"/>
    <w:rsid w:val="00C86281"/>
    <w:rsid w:val="00C866B2"/>
    <w:rsid w:val="00C869FA"/>
    <w:rsid w:val="00C86A35"/>
    <w:rsid w:val="00C86DC0"/>
    <w:rsid w:val="00C87D28"/>
    <w:rsid w:val="00C90416"/>
    <w:rsid w:val="00C90456"/>
    <w:rsid w:val="00C90A4A"/>
    <w:rsid w:val="00C90AF1"/>
    <w:rsid w:val="00C90BB7"/>
    <w:rsid w:val="00C90CEA"/>
    <w:rsid w:val="00C90EC9"/>
    <w:rsid w:val="00C90F1D"/>
    <w:rsid w:val="00C9123D"/>
    <w:rsid w:val="00C9134C"/>
    <w:rsid w:val="00C9184E"/>
    <w:rsid w:val="00C91926"/>
    <w:rsid w:val="00C92125"/>
    <w:rsid w:val="00C92768"/>
    <w:rsid w:val="00C9310F"/>
    <w:rsid w:val="00C93141"/>
    <w:rsid w:val="00C9314B"/>
    <w:rsid w:val="00C932B3"/>
    <w:rsid w:val="00C936E0"/>
    <w:rsid w:val="00C93D32"/>
    <w:rsid w:val="00C94697"/>
    <w:rsid w:val="00C9481F"/>
    <w:rsid w:val="00C94BD9"/>
    <w:rsid w:val="00C95136"/>
    <w:rsid w:val="00C95324"/>
    <w:rsid w:val="00C95519"/>
    <w:rsid w:val="00C955FA"/>
    <w:rsid w:val="00C9570A"/>
    <w:rsid w:val="00C95E23"/>
    <w:rsid w:val="00C95FA9"/>
    <w:rsid w:val="00C96187"/>
    <w:rsid w:val="00C961B2"/>
    <w:rsid w:val="00C96715"/>
    <w:rsid w:val="00C967BC"/>
    <w:rsid w:val="00C969E9"/>
    <w:rsid w:val="00C96A65"/>
    <w:rsid w:val="00C96F27"/>
    <w:rsid w:val="00C96FC2"/>
    <w:rsid w:val="00C9764F"/>
    <w:rsid w:val="00C97882"/>
    <w:rsid w:val="00C97A31"/>
    <w:rsid w:val="00CA019B"/>
    <w:rsid w:val="00CA019E"/>
    <w:rsid w:val="00CA0213"/>
    <w:rsid w:val="00CA056E"/>
    <w:rsid w:val="00CA059D"/>
    <w:rsid w:val="00CA0CB0"/>
    <w:rsid w:val="00CA0D90"/>
    <w:rsid w:val="00CA0DC5"/>
    <w:rsid w:val="00CA0EC8"/>
    <w:rsid w:val="00CA128B"/>
    <w:rsid w:val="00CA26D6"/>
    <w:rsid w:val="00CA2A3F"/>
    <w:rsid w:val="00CA2BB2"/>
    <w:rsid w:val="00CA3572"/>
    <w:rsid w:val="00CA3BAE"/>
    <w:rsid w:val="00CA461B"/>
    <w:rsid w:val="00CA46A9"/>
    <w:rsid w:val="00CA4987"/>
    <w:rsid w:val="00CA49E1"/>
    <w:rsid w:val="00CA4CF1"/>
    <w:rsid w:val="00CA4CF2"/>
    <w:rsid w:val="00CA4E8A"/>
    <w:rsid w:val="00CA4F4D"/>
    <w:rsid w:val="00CA5043"/>
    <w:rsid w:val="00CA5058"/>
    <w:rsid w:val="00CA54F7"/>
    <w:rsid w:val="00CA56E0"/>
    <w:rsid w:val="00CA5845"/>
    <w:rsid w:val="00CA59BB"/>
    <w:rsid w:val="00CA5B6B"/>
    <w:rsid w:val="00CA5EF9"/>
    <w:rsid w:val="00CA6225"/>
    <w:rsid w:val="00CA63CD"/>
    <w:rsid w:val="00CA66C8"/>
    <w:rsid w:val="00CA68EB"/>
    <w:rsid w:val="00CA6C09"/>
    <w:rsid w:val="00CA6FE6"/>
    <w:rsid w:val="00CA745D"/>
    <w:rsid w:val="00CA7CC9"/>
    <w:rsid w:val="00CA7E01"/>
    <w:rsid w:val="00CB01BE"/>
    <w:rsid w:val="00CB054B"/>
    <w:rsid w:val="00CB05F0"/>
    <w:rsid w:val="00CB0C30"/>
    <w:rsid w:val="00CB0D8F"/>
    <w:rsid w:val="00CB13B3"/>
    <w:rsid w:val="00CB1571"/>
    <w:rsid w:val="00CB16AF"/>
    <w:rsid w:val="00CB1942"/>
    <w:rsid w:val="00CB1A9F"/>
    <w:rsid w:val="00CB1DE9"/>
    <w:rsid w:val="00CB1E61"/>
    <w:rsid w:val="00CB1F4A"/>
    <w:rsid w:val="00CB2361"/>
    <w:rsid w:val="00CB26DA"/>
    <w:rsid w:val="00CB2C30"/>
    <w:rsid w:val="00CB2DF8"/>
    <w:rsid w:val="00CB3654"/>
    <w:rsid w:val="00CB3926"/>
    <w:rsid w:val="00CB392B"/>
    <w:rsid w:val="00CB3AF4"/>
    <w:rsid w:val="00CB3FEB"/>
    <w:rsid w:val="00CB42C0"/>
    <w:rsid w:val="00CB42DF"/>
    <w:rsid w:val="00CB45AA"/>
    <w:rsid w:val="00CB45B7"/>
    <w:rsid w:val="00CB4B70"/>
    <w:rsid w:val="00CB4FAC"/>
    <w:rsid w:val="00CB5217"/>
    <w:rsid w:val="00CB5256"/>
    <w:rsid w:val="00CB56B7"/>
    <w:rsid w:val="00CB59C4"/>
    <w:rsid w:val="00CB5B5A"/>
    <w:rsid w:val="00CB5C4B"/>
    <w:rsid w:val="00CB5C55"/>
    <w:rsid w:val="00CB5DF7"/>
    <w:rsid w:val="00CB5F5D"/>
    <w:rsid w:val="00CB6122"/>
    <w:rsid w:val="00CB66D9"/>
    <w:rsid w:val="00CB6D39"/>
    <w:rsid w:val="00CB6DD8"/>
    <w:rsid w:val="00CB7102"/>
    <w:rsid w:val="00CB71C7"/>
    <w:rsid w:val="00CB76B9"/>
    <w:rsid w:val="00CB788C"/>
    <w:rsid w:val="00CB7920"/>
    <w:rsid w:val="00CC0028"/>
    <w:rsid w:val="00CC008A"/>
    <w:rsid w:val="00CC0D36"/>
    <w:rsid w:val="00CC13A6"/>
    <w:rsid w:val="00CC1740"/>
    <w:rsid w:val="00CC1A2D"/>
    <w:rsid w:val="00CC1C10"/>
    <w:rsid w:val="00CC1D26"/>
    <w:rsid w:val="00CC21C1"/>
    <w:rsid w:val="00CC22AD"/>
    <w:rsid w:val="00CC2403"/>
    <w:rsid w:val="00CC2598"/>
    <w:rsid w:val="00CC2CF3"/>
    <w:rsid w:val="00CC2D3A"/>
    <w:rsid w:val="00CC2F84"/>
    <w:rsid w:val="00CC3001"/>
    <w:rsid w:val="00CC3032"/>
    <w:rsid w:val="00CC308F"/>
    <w:rsid w:val="00CC3608"/>
    <w:rsid w:val="00CC36E5"/>
    <w:rsid w:val="00CC38F6"/>
    <w:rsid w:val="00CC410B"/>
    <w:rsid w:val="00CC47DD"/>
    <w:rsid w:val="00CC523D"/>
    <w:rsid w:val="00CC58A2"/>
    <w:rsid w:val="00CC66C1"/>
    <w:rsid w:val="00CC6747"/>
    <w:rsid w:val="00CC6DBC"/>
    <w:rsid w:val="00CC73A7"/>
    <w:rsid w:val="00CC77A1"/>
    <w:rsid w:val="00CC7972"/>
    <w:rsid w:val="00CC79A2"/>
    <w:rsid w:val="00CC7B22"/>
    <w:rsid w:val="00CC7D01"/>
    <w:rsid w:val="00CC7E01"/>
    <w:rsid w:val="00CC7E65"/>
    <w:rsid w:val="00CD0029"/>
    <w:rsid w:val="00CD096F"/>
    <w:rsid w:val="00CD0974"/>
    <w:rsid w:val="00CD0B23"/>
    <w:rsid w:val="00CD0C3C"/>
    <w:rsid w:val="00CD0DDC"/>
    <w:rsid w:val="00CD0E2B"/>
    <w:rsid w:val="00CD0ECA"/>
    <w:rsid w:val="00CD1280"/>
    <w:rsid w:val="00CD132A"/>
    <w:rsid w:val="00CD17DF"/>
    <w:rsid w:val="00CD1B16"/>
    <w:rsid w:val="00CD246A"/>
    <w:rsid w:val="00CD2506"/>
    <w:rsid w:val="00CD2698"/>
    <w:rsid w:val="00CD31F8"/>
    <w:rsid w:val="00CD3850"/>
    <w:rsid w:val="00CD3C96"/>
    <w:rsid w:val="00CD3E40"/>
    <w:rsid w:val="00CD45EB"/>
    <w:rsid w:val="00CD5136"/>
    <w:rsid w:val="00CD55EB"/>
    <w:rsid w:val="00CD57AA"/>
    <w:rsid w:val="00CD5CA5"/>
    <w:rsid w:val="00CD5D68"/>
    <w:rsid w:val="00CD5DDD"/>
    <w:rsid w:val="00CD5F97"/>
    <w:rsid w:val="00CD625E"/>
    <w:rsid w:val="00CD6579"/>
    <w:rsid w:val="00CD6666"/>
    <w:rsid w:val="00CD6B62"/>
    <w:rsid w:val="00CD6BBB"/>
    <w:rsid w:val="00CD6C73"/>
    <w:rsid w:val="00CD7332"/>
    <w:rsid w:val="00CD73B5"/>
    <w:rsid w:val="00CD7B8A"/>
    <w:rsid w:val="00CD7C40"/>
    <w:rsid w:val="00CD7D7A"/>
    <w:rsid w:val="00CD7DB5"/>
    <w:rsid w:val="00CD7E8E"/>
    <w:rsid w:val="00CE0291"/>
    <w:rsid w:val="00CE0BE2"/>
    <w:rsid w:val="00CE151A"/>
    <w:rsid w:val="00CE1533"/>
    <w:rsid w:val="00CE16E9"/>
    <w:rsid w:val="00CE1A3B"/>
    <w:rsid w:val="00CE1B09"/>
    <w:rsid w:val="00CE1ECF"/>
    <w:rsid w:val="00CE1F19"/>
    <w:rsid w:val="00CE2371"/>
    <w:rsid w:val="00CE23A4"/>
    <w:rsid w:val="00CE2418"/>
    <w:rsid w:val="00CE263B"/>
    <w:rsid w:val="00CE3421"/>
    <w:rsid w:val="00CE360B"/>
    <w:rsid w:val="00CE3659"/>
    <w:rsid w:val="00CE3B93"/>
    <w:rsid w:val="00CE3D07"/>
    <w:rsid w:val="00CE452F"/>
    <w:rsid w:val="00CE4BB8"/>
    <w:rsid w:val="00CE4D9A"/>
    <w:rsid w:val="00CE4DB0"/>
    <w:rsid w:val="00CE5171"/>
    <w:rsid w:val="00CE543D"/>
    <w:rsid w:val="00CE54FD"/>
    <w:rsid w:val="00CE5A48"/>
    <w:rsid w:val="00CE6269"/>
    <w:rsid w:val="00CE640A"/>
    <w:rsid w:val="00CE7277"/>
    <w:rsid w:val="00CE7DCD"/>
    <w:rsid w:val="00CF0032"/>
    <w:rsid w:val="00CF00F1"/>
    <w:rsid w:val="00CF0141"/>
    <w:rsid w:val="00CF0558"/>
    <w:rsid w:val="00CF061B"/>
    <w:rsid w:val="00CF08B2"/>
    <w:rsid w:val="00CF0934"/>
    <w:rsid w:val="00CF0C13"/>
    <w:rsid w:val="00CF0FAA"/>
    <w:rsid w:val="00CF1096"/>
    <w:rsid w:val="00CF10AE"/>
    <w:rsid w:val="00CF14F3"/>
    <w:rsid w:val="00CF20BF"/>
    <w:rsid w:val="00CF2383"/>
    <w:rsid w:val="00CF2511"/>
    <w:rsid w:val="00CF2692"/>
    <w:rsid w:val="00CF2751"/>
    <w:rsid w:val="00CF284F"/>
    <w:rsid w:val="00CF28FC"/>
    <w:rsid w:val="00CF31A5"/>
    <w:rsid w:val="00CF325E"/>
    <w:rsid w:val="00CF3599"/>
    <w:rsid w:val="00CF3857"/>
    <w:rsid w:val="00CF3CB2"/>
    <w:rsid w:val="00CF3DE4"/>
    <w:rsid w:val="00CF425A"/>
    <w:rsid w:val="00CF43F4"/>
    <w:rsid w:val="00CF4FB5"/>
    <w:rsid w:val="00CF547E"/>
    <w:rsid w:val="00CF5966"/>
    <w:rsid w:val="00CF6749"/>
    <w:rsid w:val="00CF68A6"/>
    <w:rsid w:val="00CF6CB3"/>
    <w:rsid w:val="00CF754C"/>
    <w:rsid w:val="00CF7D8A"/>
    <w:rsid w:val="00CF7D94"/>
    <w:rsid w:val="00CF7EA2"/>
    <w:rsid w:val="00CF7F20"/>
    <w:rsid w:val="00CF7F79"/>
    <w:rsid w:val="00D0018C"/>
    <w:rsid w:val="00D00592"/>
    <w:rsid w:val="00D006AF"/>
    <w:rsid w:val="00D00B7F"/>
    <w:rsid w:val="00D00C0D"/>
    <w:rsid w:val="00D00C19"/>
    <w:rsid w:val="00D00C88"/>
    <w:rsid w:val="00D01159"/>
    <w:rsid w:val="00D012B8"/>
    <w:rsid w:val="00D01544"/>
    <w:rsid w:val="00D01727"/>
    <w:rsid w:val="00D01A0E"/>
    <w:rsid w:val="00D01CE0"/>
    <w:rsid w:val="00D021F0"/>
    <w:rsid w:val="00D0265D"/>
    <w:rsid w:val="00D02686"/>
    <w:rsid w:val="00D027D9"/>
    <w:rsid w:val="00D028EB"/>
    <w:rsid w:val="00D029C9"/>
    <w:rsid w:val="00D02EA1"/>
    <w:rsid w:val="00D02F8F"/>
    <w:rsid w:val="00D034C6"/>
    <w:rsid w:val="00D034FE"/>
    <w:rsid w:val="00D03879"/>
    <w:rsid w:val="00D0395F"/>
    <w:rsid w:val="00D03A5A"/>
    <w:rsid w:val="00D03CD0"/>
    <w:rsid w:val="00D0426B"/>
    <w:rsid w:val="00D0498A"/>
    <w:rsid w:val="00D04A68"/>
    <w:rsid w:val="00D04DA2"/>
    <w:rsid w:val="00D05257"/>
    <w:rsid w:val="00D0561D"/>
    <w:rsid w:val="00D05AC6"/>
    <w:rsid w:val="00D05BAA"/>
    <w:rsid w:val="00D06351"/>
    <w:rsid w:val="00D0647D"/>
    <w:rsid w:val="00D06C0D"/>
    <w:rsid w:val="00D071FD"/>
    <w:rsid w:val="00D0755B"/>
    <w:rsid w:val="00D07573"/>
    <w:rsid w:val="00D0773F"/>
    <w:rsid w:val="00D077BB"/>
    <w:rsid w:val="00D10113"/>
    <w:rsid w:val="00D1054C"/>
    <w:rsid w:val="00D10551"/>
    <w:rsid w:val="00D1099F"/>
    <w:rsid w:val="00D11268"/>
    <w:rsid w:val="00D1154E"/>
    <w:rsid w:val="00D11959"/>
    <w:rsid w:val="00D11A76"/>
    <w:rsid w:val="00D11DD0"/>
    <w:rsid w:val="00D12241"/>
    <w:rsid w:val="00D122ED"/>
    <w:rsid w:val="00D1286E"/>
    <w:rsid w:val="00D12A92"/>
    <w:rsid w:val="00D12AA5"/>
    <w:rsid w:val="00D131BB"/>
    <w:rsid w:val="00D136B6"/>
    <w:rsid w:val="00D1406E"/>
    <w:rsid w:val="00D1449E"/>
    <w:rsid w:val="00D14759"/>
    <w:rsid w:val="00D14762"/>
    <w:rsid w:val="00D14C79"/>
    <w:rsid w:val="00D14F00"/>
    <w:rsid w:val="00D1550E"/>
    <w:rsid w:val="00D1553D"/>
    <w:rsid w:val="00D1563C"/>
    <w:rsid w:val="00D158D0"/>
    <w:rsid w:val="00D15B33"/>
    <w:rsid w:val="00D15C89"/>
    <w:rsid w:val="00D15E7F"/>
    <w:rsid w:val="00D15E84"/>
    <w:rsid w:val="00D15FAA"/>
    <w:rsid w:val="00D16867"/>
    <w:rsid w:val="00D16B8F"/>
    <w:rsid w:val="00D170D8"/>
    <w:rsid w:val="00D17201"/>
    <w:rsid w:val="00D17429"/>
    <w:rsid w:val="00D176B6"/>
    <w:rsid w:val="00D1796B"/>
    <w:rsid w:val="00D20001"/>
    <w:rsid w:val="00D202BD"/>
    <w:rsid w:val="00D202FD"/>
    <w:rsid w:val="00D20342"/>
    <w:rsid w:val="00D20A32"/>
    <w:rsid w:val="00D2126E"/>
    <w:rsid w:val="00D212B6"/>
    <w:rsid w:val="00D213A7"/>
    <w:rsid w:val="00D21AC2"/>
    <w:rsid w:val="00D22CFF"/>
    <w:rsid w:val="00D22E9B"/>
    <w:rsid w:val="00D23B90"/>
    <w:rsid w:val="00D23CA0"/>
    <w:rsid w:val="00D23F6F"/>
    <w:rsid w:val="00D24372"/>
    <w:rsid w:val="00D244F0"/>
    <w:rsid w:val="00D245FB"/>
    <w:rsid w:val="00D24911"/>
    <w:rsid w:val="00D25595"/>
    <w:rsid w:val="00D25B92"/>
    <w:rsid w:val="00D25BAA"/>
    <w:rsid w:val="00D25DAF"/>
    <w:rsid w:val="00D25DD2"/>
    <w:rsid w:val="00D26897"/>
    <w:rsid w:val="00D26C86"/>
    <w:rsid w:val="00D2725E"/>
    <w:rsid w:val="00D277E0"/>
    <w:rsid w:val="00D27CDB"/>
    <w:rsid w:val="00D27D19"/>
    <w:rsid w:val="00D27D7E"/>
    <w:rsid w:val="00D30678"/>
    <w:rsid w:val="00D30B00"/>
    <w:rsid w:val="00D315F4"/>
    <w:rsid w:val="00D316A3"/>
    <w:rsid w:val="00D316A5"/>
    <w:rsid w:val="00D31705"/>
    <w:rsid w:val="00D31AA0"/>
    <w:rsid w:val="00D3206F"/>
    <w:rsid w:val="00D320CE"/>
    <w:rsid w:val="00D32A4D"/>
    <w:rsid w:val="00D32B1C"/>
    <w:rsid w:val="00D33490"/>
    <w:rsid w:val="00D33916"/>
    <w:rsid w:val="00D33DFA"/>
    <w:rsid w:val="00D33EC3"/>
    <w:rsid w:val="00D3427F"/>
    <w:rsid w:val="00D34305"/>
    <w:rsid w:val="00D3430B"/>
    <w:rsid w:val="00D3454A"/>
    <w:rsid w:val="00D347F2"/>
    <w:rsid w:val="00D34BC9"/>
    <w:rsid w:val="00D35699"/>
    <w:rsid w:val="00D356DE"/>
    <w:rsid w:val="00D36056"/>
    <w:rsid w:val="00D360B1"/>
    <w:rsid w:val="00D3628C"/>
    <w:rsid w:val="00D36364"/>
    <w:rsid w:val="00D36410"/>
    <w:rsid w:val="00D36518"/>
    <w:rsid w:val="00D3683E"/>
    <w:rsid w:val="00D3698C"/>
    <w:rsid w:val="00D369CB"/>
    <w:rsid w:val="00D374CA"/>
    <w:rsid w:val="00D37565"/>
    <w:rsid w:val="00D407F3"/>
    <w:rsid w:val="00D408A3"/>
    <w:rsid w:val="00D40FB7"/>
    <w:rsid w:val="00D41086"/>
    <w:rsid w:val="00D41344"/>
    <w:rsid w:val="00D41636"/>
    <w:rsid w:val="00D41BE7"/>
    <w:rsid w:val="00D41CBD"/>
    <w:rsid w:val="00D41E50"/>
    <w:rsid w:val="00D420F1"/>
    <w:rsid w:val="00D421AA"/>
    <w:rsid w:val="00D42539"/>
    <w:rsid w:val="00D429D7"/>
    <w:rsid w:val="00D42F55"/>
    <w:rsid w:val="00D42FCA"/>
    <w:rsid w:val="00D4302B"/>
    <w:rsid w:val="00D434C2"/>
    <w:rsid w:val="00D435E4"/>
    <w:rsid w:val="00D4372B"/>
    <w:rsid w:val="00D43774"/>
    <w:rsid w:val="00D43782"/>
    <w:rsid w:val="00D43B4D"/>
    <w:rsid w:val="00D43D58"/>
    <w:rsid w:val="00D441BC"/>
    <w:rsid w:val="00D441D8"/>
    <w:rsid w:val="00D44582"/>
    <w:rsid w:val="00D45302"/>
    <w:rsid w:val="00D46080"/>
    <w:rsid w:val="00D4622E"/>
    <w:rsid w:val="00D464C9"/>
    <w:rsid w:val="00D466B5"/>
    <w:rsid w:val="00D4685A"/>
    <w:rsid w:val="00D46B00"/>
    <w:rsid w:val="00D47146"/>
    <w:rsid w:val="00D4731E"/>
    <w:rsid w:val="00D476C4"/>
    <w:rsid w:val="00D4770F"/>
    <w:rsid w:val="00D47E50"/>
    <w:rsid w:val="00D501AE"/>
    <w:rsid w:val="00D50AEC"/>
    <w:rsid w:val="00D50BAB"/>
    <w:rsid w:val="00D51594"/>
    <w:rsid w:val="00D5224A"/>
    <w:rsid w:val="00D5240F"/>
    <w:rsid w:val="00D524B0"/>
    <w:rsid w:val="00D52CC7"/>
    <w:rsid w:val="00D52D40"/>
    <w:rsid w:val="00D5385E"/>
    <w:rsid w:val="00D53CC7"/>
    <w:rsid w:val="00D53EF3"/>
    <w:rsid w:val="00D53FE7"/>
    <w:rsid w:val="00D5426A"/>
    <w:rsid w:val="00D54928"/>
    <w:rsid w:val="00D55046"/>
    <w:rsid w:val="00D55492"/>
    <w:rsid w:val="00D556FE"/>
    <w:rsid w:val="00D5570C"/>
    <w:rsid w:val="00D5576D"/>
    <w:rsid w:val="00D55F81"/>
    <w:rsid w:val="00D56000"/>
    <w:rsid w:val="00D56385"/>
    <w:rsid w:val="00D563E5"/>
    <w:rsid w:val="00D565B4"/>
    <w:rsid w:val="00D56ABF"/>
    <w:rsid w:val="00D56CC9"/>
    <w:rsid w:val="00D56E50"/>
    <w:rsid w:val="00D571DB"/>
    <w:rsid w:val="00D57A92"/>
    <w:rsid w:val="00D57B93"/>
    <w:rsid w:val="00D57DEB"/>
    <w:rsid w:val="00D60167"/>
    <w:rsid w:val="00D60BF3"/>
    <w:rsid w:val="00D60E5E"/>
    <w:rsid w:val="00D61240"/>
    <w:rsid w:val="00D612F3"/>
    <w:rsid w:val="00D615B4"/>
    <w:rsid w:val="00D617A6"/>
    <w:rsid w:val="00D61D52"/>
    <w:rsid w:val="00D625E7"/>
    <w:rsid w:val="00D62762"/>
    <w:rsid w:val="00D631A3"/>
    <w:rsid w:val="00D6320F"/>
    <w:rsid w:val="00D63323"/>
    <w:rsid w:val="00D63848"/>
    <w:rsid w:val="00D63AC0"/>
    <w:rsid w:val="00D63F58"/>
    <w:rsid w:val="00D64451"/>
    <w:rsid w:val="00D644A3"/>
    <w:rsid w:val="00D6461B"/>
    <w:rsid w:val="00D64D17"/>
    <w:rsid w:val="00D657E0"/>
    <w:rsid w:val="00D65C1A"/>
    <w:rsid w:val="00D65C61"/>
    <w:rsid w:val="00D65EF7"/>
    <w:rsid w:val="00D66088"/>
    <w:rsid w:val="00D663BE"/>
    <w:rsid w:val="00D665E7"/>
    <w:rsid w:val="00D6724F"/>
    <w:rsid w:val="00D674FF"/>
    <w:rsid w:val="00D676F4"/>
    <w:rsid w:val="00D679CC"/>
    <w:rsid w:val="00D67DB0"/>
    <w:rsid w:val="00D703C1"/>
    <w:rsid w:val="00D70FAD"/>
    <w:rsid w:val="00D716E2"/>
    <w:rsid w:val="00D7196C"/>
    <w:rsid w:val="00D71DD2"/>
    <w:rsid w:val="00D72566"/>
    <w:rsid w:val="00D7266D"/>
    <w:rsid w:val="00D728BD"/>
    <w:rsid w:val="00D7317A"/>
    <w:rsid w:val="00D7335C"/>
    <w:rsid w:val="00D73959"/>
    <w:rsid w:val="00D73C43"/>
    <w:rsid w:val="00D740D8"/>
    <w:rsid w:val="00D742DB"/>
    <w:rsid w:val="00D748B7"/>
    <w:rsid w:val="00D74980"/>
    <w:rsid w:val="00D74ABA"/>
    <w:rsid w:val="00D75B3E"/>
    <w:rsid w:val="00D75E45"/>
    <w:rsid w:val="00D76556"/>
    <w:rsid w:val="00D76EE0"/>
    <w:rsid w:val="00D77325"/>
    <w:rsid w:val="00D776BC"/>
    <w:rsid w:val="00D7775A"/>
    <w:rsid w:val="00D778E9"/>
    <w:rsid w:val="00D80171"/>
    <w:rsid w:val="00D8087B"/>
    <w:rsid w:val="00D809FF"/>
    <w:rsid w:val="00D80A1E"/>
    <w:rsid w:val="00D80A95"/>
    <w:rsid w:val="00D813AD"/>
    <w:rsid w:val="00D8185F"/>
    <w:rsid w:val="00D81CEE"/>
    <w:rsid w:val="00D821A2"/>
    <w:rsid w:val="00D8261B"/>
    <w:rsid w:val="00D8267A"/>
    <w:rsid w:val="00D826B9"/>
    <w:rsid w:val="00D8272B"/>
    <w:rsid w:val="00D82732"/>
    <w:rsid w:val="00D83B96"/>
    <w:rsid w:val="00D83C7B"/>
    <w:rsid w:val="00D843F0"/>
    <w:rsid w:val="00D848A7"/>
    <w:rsid w:val="00D84B23"/>
    <w:rsid w:val="00D85511"/>
    <w:rsid w:val="00D85525"/>
    <w:rsid w:val="00D85709"/>
    <w:rsid w:val="00D866B4"/>
    <w:rsid w:val="00D86726"/>
    <w:rsid w:val="00D875B3"/>
    <w:rsid w:val="00D87C84"/>
    <w:rsid w:val="00D901A3"/>
    <w:rsid w:val="00D903FB"/>
    <w:rsid w:val="00D9094C"/>
    <w:rsid w:val="00D90B83"/>
    <w:rsid w:val="00D90F63"/>
    <w:rsid w:val="00D91512"/>
    <w:rsid w:val="00D915A4"/>
    <w:rsid w:val="00D918DF"/>
    <w:rsid w:val="00D91A6E"/>
    <w:rsid w:val="00D92701"/>
    <w:rsid w:val="00D92FE1"/>
    <w:rsid w:val="00D9316E"/>
    <w:rsid w:val="00D932BC"/>
    <w:rsid w:val="00D93409"/>
    <w:rsid w:val="00D93BF5"/>
    <w:rsid w:val="00D9449A"/>
    <w:rsid w:val="00D9450C"/>
    <w:rsid w:val="00D946EF"/>
    <w:rsid w:val="00D94C7A"/>
    <w:rsid w:val="00D94D7E"/>
    <w:rsid w:val="00D952F9"/>
    <w:rsid w:val="00D95441"/>
    <w:rsid w:val="00D9556A"/>
    <w:rsid w:val="00D95778"/>
    <w:rsid w:val="00D958D7"/>
    <w:rsid w:val="00D959F2"/>
    <w:rsid w:val="00D95A34"/>
    <w:rsid w:val="00D95D39"/>
    <w:rsid w:val="00D95D96"/>
    <w:rsid w:val="00D962C7"/>
    <w:rsid w:val="00D963AB"/>
    <w:rsid w:val="00D964C5"/>
    <w:rsid w:val="00D96951"/>
    <w:rsid w:val="00D96A78"/>
    <w:rsid w:val="00D974BD"/>
    <w:rsid w:val="00D974DC"/>
    <w:rsid w:val="00D9772D"/>
    <w:rsid w:val="00D97FB7"/>
    <w:rsid w:val="00DA0113"/>
    <w:rsid w:val="00DA03E0"/>
    <w:rsid w:val="00DA04F1"/>
    <w:rsid w:val="00DA063D"/>
    <w:rsid w:val="00DA06DF"/>
    <w:rsid w:val="00DA07E4"/>
    <w:rsid w:val="00DA0C8B"/>
    <w:rsid w:val="00DA0E9F"/>
    <w:rsid w:val="00DA1180"/>
    <w:rsid w:val="00DA130B"/>
    <w:rsid w:val="00DA1349"/>
    <w:rsid w:val="00DA1B28"/>
    <w:rsid w:val="00DA1B5C"/>
    <w:rsid w:val="00DA1BD0"/>
    <w:rsid w:val="00DA1D11"/>
    <w:rsid w:val="00DA1E9E"/>
    <w:rsid w:val="00DA21BF"/>
    <w:rsid w:val="00DA2338"/>
    <w:rsid w:val="00DA24C0"/>
    <w:rsid w:val="00DA25F0"/>
    <w:rsid w:val="00DA2CC4"/>
    <w:rsid w:val="00DA2E4A"/>
    <w:rsid w:val="00DA3B3E"/>
    <w:rsid w:val="00DA3D47"/>
    <w:rsid w:val="00DA46D3"/>
    <w:rsid w:val="00DA4BDA"/>
    <w:rsid w:val="00DA4CAC"/>
    <w:rsid w:val="00DA4EE4"/>
    <w:rsid w:val="00DA50A5"/>
    <w:rsid w:val="00DA52E0"/>
    <w:rsid w:val="00DA530D"/>
    <w:rsid w:val="00DA5371"/>
    <w:rsid w:val="00DA5588"/>
    <w:rsid w:val="00DA5647"/>
    <w:rsid w:val="00DA5756"/>
    <w:rsid w:val="00DA57E1"/>
    <w:rsid w:val="00DA5BDE"/>
    <w:rsid w:val="00DA6040"/>
    <w:rsid w:val="00DA6275"/>
    <w:rsid w:val="00DA653A"/>
    <w:rsid w:val="00DA68D2"/>
    <w:rsid w:val="00DA72D5"/>
    <w:rsid w:val="00DA74A9"/>
    <w:rsid w:val="00DA7B14"/>
    <w:rsid w:val="00DA7FB0"/>
    <w:rsid w:val="00DB001E"/>
    <w:rsid w:val="00DB009F"/>
    <w:rsid w:val="00DB078E"/>
    <w:rsid w:val="00DB0902"/>
    <w:rsid w:val="00DB0E31"/>
    <w:rsid w:val="00DB101D"/>
    <w:rsid w:val="00DB13D7"/>
    <w:rsid w:val="00DB14FC"/>
    <w:rsid w:val="00DB1656"/>
    <w:rsid w:val="00DB1D2F"/>
    <w:rsid w:val="00DB227A"/>
    <w:rsid w:val="00DB2F66"/>
    <w:rsid w:val="00DB30B8"/>
    <w:rsid w:val="00DB3102"/>
    <w:rsid w:val="00DB33F0"/>
    <w:rsid w:val="00DB3585"/>
    <w:rsid w:val="00DB3A58"/>
    <w:rsid w:val="00DB3A7F"/>
    <w:rsid w:val="00DB44D3"/>
    <w:rsid w:val="00DB4B0D"/>
    <w:rsid w:val="00DB4B88"/>
    <w:rsid w:val="00DB4DA1"/>
    <w:rsid w:val="00DB56EA"/>
    <w:rsid w:val="00DB572D"/>
    <w:rsid w:val="00DB5AE2"/>
    <w:rsid w:val="00DB6ABE"/>
    <w:rsid w:val="00DB6E8F"/>
    <w:rsid w:val="00DB6F52"/>
    <w:rsid w:val="00DB7A4E"/>
    <w:rsid w:val="00DB7A51"/>
    <w:rsid w:val="00DB7B9A"/>
    <w:rsid w:val="00DB7DB3"/>
    <w:rsid w:val="00DC07BF"/>
    <w:rsid w:val="00DC0AD3"/>
    <w:rsid w:val="00DC0B7C"/>
    <w:rsid w:val="00DC0E6F"/>
    <w:rsid w:val="00DC0FAF"/>
    <w:rsid w:val="00DC0FDF"/>
    <w:rsid w:val="00DC1083"/>
    <w:rsid w:val="00DC1118"/>
    <w:rsid w:val="00DC1272"/>
    <w:rsid w:val="00DC14EF"/>
    <w:rsid w:val="00DC18DB"/>
    <w:rsid w:val="00DC1B1B"/>
    <w:rsid w:val="00DC1CE0"/>
    <w:rsid w:val="00DC249D"/>
    <w:rsid w:val="00DC24E5"/>
    <w:rsid w:val="00DC24FD"/>
    <w:rsid w:val="00DC28AF"/>
    <w:rsid w:val="00DC2961"/>
    <w:rsid w:val="00DC2CF2"/>
    <w:rsid w:val="00DC330F"/>
    <w:rsid w:val="00DC3485"/>
    <w:rsid w:val="00DC3716"/>
    <w:rsid w:val="00DC3E3A"/>
    <w:rsid w:val="00DC3F73"/>
    <w:rsid w:val="00DC5198"/>
    <w:rsid w:val="00DC5580"/>
    <w:rsid w:val="00DC55D5"/>
    <w:rsid w:val="00DC580F"/>
    <w:rsid w:val="00DC5AB1"/>
    <w:rsid w:val="00DC5C28"/>
    <w:rsid w:val="00DC5D62"/>
    <w:rsid w:val="00DC5F39"/>
    <w:rsid w:val="00DC62B8"/>
    <w:rsid w:val="00DC62C7"/>
    <w:rsid w:val="00DC65C0"/>
    <w:rsid w:val="00DC68EB"/>
    <w:rsid w:val="00DC708A"/>
    <w:rsid w:val="00DC70CF"/>
    <w:rsid w:val="00DC7960"/>
    <w:rsid w:val="00DC7AFF"/>
    <w:rsid w:val="00DD087F"/>
    <w:rsid w:val="00DD0914"/>
    <w:rsid w:val="00DD0AC5"/>
    <w:rsid w:val="00DD0B9F"/>
    <w:rsid w:val="00DD0D93"/>
    <w:rsid w:val="00DD15AE"/>
    <w:rsid w:val="00DD1840"/>
    <w:rsid w:val="00DD1D62"/>
    <w:rsid w:val="00DD1E60"/>
    <w:rsid w:val="00DD2245"/>
    <w:rsid w:val="00DD249E"/>
    <w:rsid w:val="00DD25D5"/>
    <w:rsid w:val="00DD26C8"/>
    <w:rsid w:val="00DD2918"/>
    <w:rsid w:val="00DD2985"/>
    <w:rsid w:val="00DD2AFC"/>
    <w:rsid w:val="00DD2C12"/>
    <w:rsid w:val="00DD3139"/>
    <w:rsid w:val="00DD31C8"/>
    <w:rsid w:val="00DD3681"/>
    <w:rsid w:val="00DD39B6"/>
    <w:rsid w:val="00DD3AFF"/>
    <w:rsid w:val="00DD3C98"/>
    <w:rsid w:val="00DD3EDB"/>
    <w:rsid w:val="00DD4059"/>
    <w:rsid w:val="00DD4828"/>
    <w:rsid w:val="00DD4837"/>
    <w:rsid w:val="00DD4957"/>
    <w:rsid w:val="00DD4FBE"/>
    <w:rsid w:val="00DD5544"/>
    <w:rsid w:val="00DD555F"/>
    <w:rsid w:val="00DD5A67"/>
    <w:rsid w:val="00DD5E5E"/>
    <w:rsid w:val="00DD5ED0"/>
    <w:rsid w:val="00DD6254"/>
    <w:rsid w:val="00DD6664"/>
    <w:rsid w:val="00DD6782"/>
    <w:rsid w:val="00DD6885"/>
    <w:rsid w:val="00DD69D3"/>
    <w:rsid w:val="00DD6D28"/>
    <w:rsid w:val="00DD7573"/>
    <w:rsid w:val="00DD7ECE"/>
    <w:rsid w:val="00DD7EF8"/>
    <w:rsid w:val="00DE026E"/>
    <w:rsid w:val="00DE0475"/>
    <w:rsid w:val="00DE05AF"/>
    <w:rsid w:val="00DE060B"/>
    <w:rsid w:val="00DE0731"/>
    <w:rsid w:val="00DE0870"/>
    <w:rsid w:val="00DE0955"/>
    <w:rsid w:val="00DE09E2"/>
    <w:rsid w:val="00DE1212"/>
    <w:rsid w:val="00DE151C"/>
    <w:rsid w:val="00DE1B1C"/>
    <w:rsid w:val="00DE1B72"/>
    <w:rsid w:val="00DE1CC9"/>
    <w:rsid w:val="00DE1E75"/>
    <w:rsid w:val="00DE2629"/>
    <w:rsid w:val="00DE2C5A"/>
    <w:rsid w:val="00DE2D2E"/>
    <w:rsid w:val="00DE3460"/>
    <w:rsid w:val="00DE3721"/>
    <w:rsid w:val="00DE37CA"/>
    <w:rsid w:val="00DE4801"/>
    <w:rsid w:val="00DE4914"/>
    <w:rsid w:val="00DE4A5C"/>
    <w:rsid w:val="00DE520E"/>
    <w:rsid w:val="00DE5872"/>
    <w:rsid w:val="00DE6105"/>
    <w:rsid w:val="00DE625D"/>
    <w:rsid w:val="00DE6989"/>
    <w:rsid w:val="00DE6D39"/>
    <w:rsid w:val="00DE6E8F"/>
    <w:rsid w:val="00DE6EF7"/>
    <w:rsid w:val="00DE726B"/>
    <w:rsid w:val="00DE77E9"/>
    <w:rsid w:val="00DE7BDE"/>
    <w:rsid w:val="00DF0E13"/>
    <w:rsid w:val="00DF112A"/>
    <w:rsid w:val="00DF1167"/>
    <w:rsid w:val="00DF1B65"/>
    <w:rsid w:val="00DF1D0D"/>
    <w:rsid w:val="00DF1D48"/>
    <w:rsid w:val="00DF1DF0"/>
    <w:rsid w:val="00DF248A"/>
    <w:rsid w:val="00DF2A17"/>
    <w:rsid w:val="00DF2C91"/>
    <w:rsid w:val="00DF3230"/>
    <w:rsid w:val="00DF34BA"/>
    <w:rsid w:val="00DF37C8"/>
    <w:rsid w:val="00DF3871"/>
    <w:rsid w:val="00DF39D1"/>
    <w:rsid w:val="00DF3C7A"/>
    <w:rsid w:val="00DF3FF4"/>
    <w:rsid w:val="00DF412D"/>
    <w:rsid w:val="00DF4693"/>
    <w:rsid w:val="00DF4CAE"/>
    <w:rsid w:val="00DF5AB2"/>
    <w:rsid w:val="00DF5CF9"/>
    <w:rsid w:val="00DF5E56"/>
    <w:rsid w:val="00DF65EC"/>
    <w:rsid w:val="00DF690E"/>
    <w:rsid w:val="00DF69EE"/>
    <w:rsid w:val="00DF6B7D"/>
    <w:rsid w:val="00DF6E02"/>
    <w:rsid w:val="00DF73F3"/>
    <w:rsid w:val="00DF76BA"/>
    <w:rsid w:val="00DF7745"/>
    <w:rsid w:val="00DF7E4E"/>
    <w:rsid w:val="00E007C8"/>
    <w:rsid w:val="00E007D0"/>
    <w:rsid w:val="00E007D4"/>
    <w:rsid w:val="00E00ADB"/>
    <w:rsid w:val="00E00EB8"/>
    <w:rsid w:val="00E01232"/>
    <w:rsid w:val="00E01559"/>
    <w:rsid w:val="00E016DC"/>
    <w:rsid w:val="00E01A54"/>
    <w:rsid w:val="00E01CDB"/>
    <w:rsid w:val="00E022ED"/>
    <w:rsid w:val="00E024DB"/>
    <w:rsid w:val="00E0259D"/>
    <w:rsid w:val="00E026D1"/>
    <w:rsid w:val="00E02893"/>
    <w:rsid w:val="00E02C04"/>
    <w:rsid w:val="00E031E8"/>
    <w:rsid w:val="00E03430"/>
    <w:rsid w:val="00E03497"/>
    <w:rsid w:val="00E03B1A"/>
    <w:rsid w:val="00E03B6E"/>
    <w:rsid w:val="00E03B77"/>
    <w:rsid w:val="00E03CF8"/>
    <w:rsid w:val="00E03E02"/>
    <w:rsid w:val="00E04531"/>
    <w:rsid w:val="00E04665"/>
    <w:rsid w:val="00E04820"/>
    <w:rsid w:val="00E04829"/>
    <w:rsid w:val="00E048E7"/>
    <w:rsid w:val="00E050AB"/>
    <w:rsid w:val="00E054A1"/>
    <w:rsid w:val="00E05812"/>
    <w:rsid w:val="00E05DAC"/>
    <w:rsid w:val="00E05E4E"/>
    <w:rsid w:val="00E06B09"/>
    <w:rsid w:val="00E06C0A"/>
    <w:rsid w:val="00E07420"/>
    <w:rsid w:val="00E0774C"/>
    <w:rsid w:val="00E07AB7"/>
    <w:rsid w:val="00E07DB6"/>
    <w:rsid w:val="00E101D7"/>
    <w:rsid w:val="00E10508"/>
    <w:rsid w:val="00E10A0D"/>
    <w:rsid w:val="00E10B32"/>
    <w:rsid w:val="00E110B0"/>
    <w:rsid w:val="00E11103"/>
    <w:rsid w:val="00E1117D"/>
    <w:rsid w:val="00E112E4"/>
    <w:rsid w:val="00E116DF"/>
    <w:rsid w:val="00E11F47"/>
    <w:rsid w:val="00E12199"/>
    <w:rsid w:val="00E1272E"/>
    <w:rsid w:val="00E12B81"/>
    <w:rsid w:val="00E12E92"/>
    <w:rsid w:val="00E12EB6"/>
    <w:rsid w:val="00E12F7C"/>
    <w:rsid w:val="00E13163"/>
    <w:rsid w:val="00E13886"/>
    <w:rsid w:val="00E13BE2"/>
    <w:rsid w:val="00E13F7B"/>
    <w:rsid w:val="00E143D4"/>
    <w:rsid w:val="00E1463E"/>
    <w:rsid w:val="00E146EF"/>
    <w:rsid w:val="00E14991"/>
    <w:rsid w:val="00E14F73"/>
    <w:rsid w:val="00E151F9"/>
    <w:rsid w:val="00E1577A"/>
    <w:rsid w:val="00E15894"/>
    <w:rsid w:val="00E15F21"/>
    <w:rsid w:val="00E168B3"/>
    <w:rsid w:val="00E174B8"/>
    <w:rsid w:val="00E17666"/>
    <w:rsid w:val="00E178A9"/>
    <w:rsid w:val="00E17945"/>
    <w:rsid w:val="00E179FF"/>
    <w:rsid w:val="00E17AF9"/>
    <w:rsid w:val="00E17B15"/>
    <w:rsid w:val="00E17D75"/>
    <w:rsid w:val="00E20332"/>
    <w:rsid w:val="00E20506"/>
    <w:rsid w:val="00E20986"/>
    <w:rsid w:val="00E209BC"/>
    <w:rsid w:val="00E209EE"/>
    <w:rsid w:val="00E20C6A"/>
    <w:rsid w:val="00E20E2F"/>
    <w:rsid w:val="00E20E4C"/>
    <w:rsid w:val="00E21489"/>
    <w:rsid w:val="00E214F0"/>
    <w:rsid w:val="00E2167E"/>
    <w:rsid w:val="00E21890"/>
    <w:rsid w:val="00E2196D"/>
    <w:rsid w:val="00E21C21"/>
    <w:rsid w:val="00E21E89"/>
    <w:rsid w:val="00E228AA"/>
    <w:rsid w:val="00E22A2E"/>
    <w:rsid w:val="00E22ADF"/>
    <w:rsid w:val="00E22C8F"/>
    <w:rsid w:val="00E22EC0"/>
    <w:rsid w:val="00E23072"/>
    <w:rsid w:val="00E23456"/>
    <w:rsid w:val="00E2360A"/>
    <w:rsid w:val="00E237B2"/>
    <w:rsid w:val="00E23ACD"/>
    <w:rsid w:val="00E23AF0"/>
    <w:rsid w:val="00E241A4"/>
    <w:rsid w:val="00E24CC0"/>
    <w:rsid w:val="00E24D18"/>
    <w:rsid w:val="00E25040"/>
    <w:rsid w:val="00E2512D"/>
    <w:rsid w:val="00E252F5"/>
    <w:rsid w:val="00E2542A"/>
    <w:rsid w:val="00E2549B"/>
    <w:rsid w:val="00E254D2"/>
    <w:rsid w:val="00E2555E"/>
    <w:rsid w:val="00E2558E"/>
    <w:rsid w:val="00E255B6"/>
    <w:rsid w:val="00E25B87"/>
    <w:rsid w:val="00E26212"/>
    <w:rsid w:val="00E26C3D"/>
    <w:rsid w:val="00E26E59"/>
    <w:rsid w:val="00E27241"/>
    <w:rsid w:val="00E27329"/>
    <w:rsid w:val="00E2764C"/>
    <w:rsid w:val="00E27B7D"/>
    <w:rsid w:val="00E27C1A"/>
    <w:rsid w:val="00E27FE8"/>
    <w:rsid w:val="00E3041B"/>
    <w:rsid w:val="00E304F4"/>
    <w:rsid w:val="00E309BC"/>
    <w:rsid w:val="00E30B0D"/>
    <w:rsid w:val="00E310D4"/>
    <w:rsid w:val="00E3141B"/>
    <w:rsid w:val="00E31A80"/>
    <w:rsid w:val="00E31AF5"/>
    <w:rsid w:val="00E31D6D"/>
    <w:rsid w:val="00E31DA0"/>
    <w:rsid w:val="00E32394"/>
    <w:rsid w:val="00E32AE3"/>
    <w:rsid w:val="00E32E06"/>
    <w:rsid w:val="00E3325B"/>
    <w:rsid w:val="00E3352F"/>
    <w:rsid w:val="00E33795"/>
    <w:rsid w:val="00E33F57"/>
    <w:rsid w:val="00E345C9"/>
    <w:rsid w:val="00E3495F"/>
    <w:rsid w:val="00E34C9D"/>
    <w:rsid w:val="00E34F3A"/>
    <w:rsid w:val="00E3530C"/>
    <w:rsid w:val="00E35767"/>
    <w:rsid w:val="00E35F62"/>
    <w:rsid w:val="00E35FC5"/>
    <w:rsid w:val="00E36269"/>
    <w:rsid w:val="00E362A4"/>
    <w:rsid w:val="00E3642D"/>
    <w:rsid w:val="00E3696F"/>
    <w:rsid w:val="00E37011"/>
    <w:rsid w:val="00E37370"/>
    <w:rsid w:val="00E373B3"/>
    <w:rsid w:val="00E37632"/>
    <w:rsid w:val="00E37E06"/>
    <w:rsid w:val="00E401A3"/>
    <w:rsid w:val="00E40504"/>
    <w:rsid w:val="00E40861"/>
    <w:rsid w:val="00E41497"/>
    <w:rsid w:val="00E416E8"/>
    <w:rsid w:val="00E41BDA"/>
    <w:rsid w:val="00E42258"/>
    <w:rsid w:val="00E425BF"/>
    <w:rsid w:val="00E42698"/>
    <w:rsid w:val="00E429B1"/>
    <w:rsid w:val="00E42C03"/>
    <w:rsid w:val="00E43285"/>
    <w:rsid w:val="00E436FC"/>
    <w:rsid w:val="00E43CE9"/>
    <w:rsid w:val="00E43D18"/>
    <w:rsid w:val="00E43DEB"/>
    <w:rsid w:val="00E43F39"/>
    <w:rsid w:val="00E44321"/>
    <w:rsid w:val="00E44642"/>
    <w:rsid w:val="00E44654"/>
    <w:rsid w:val="00E45451"/>
    <w:rsid w:val="00E45472"/>
    <w:rsid w:val="00E4564F"/>
    <w:rsid w:val="00E4566E"/>
    <w:rsid w:val="00E4589C"/>
    <w:rsid w:val="00E45931"/>
    <w:rsid w:val="00E45DCF"/>
    <w:rsid w:val="00E4674E"/>
    <w:rsid w:val="00E46E51"/>
    <w:rsid w:val="00E472E5"/>
    <w:rsid w:val="00E47564"/>
    <w:rsid w:val="00E47D0A"/>
    <w:rsid w:val="00E50807"/>
    <w:rsid w:val="00E50DF7"/>
    <w:rsid w:val="00E50E34"/>
    <w:rsid w:val="00E51243"/>
    <w:rsid w:val="00E51263"/>
    <w:rsid w:val="00E51F16"/>
    <w:rsid w:val="00E5208F"/>
    <w:rsid w:val="00E520DD"/>
    <w:rsid w:val="00E521A6"/>
    <w:rsid w:val="00E52415"/>
    <w:rsid w:val="00E52BBC"/>
    <w:rsid w:val="00E52C56"/>
    <w:rsid w:val="00E52D47"/>
    <w:rsid w:val="00E52FF2"/>
    <w:rsid w:val="00E535DA"/>
    <w:rsid w:val="00E5383C"/>
    <w:rsid w:val="00E53EE5"/>
    <w:rsid w:val="00E54388"/>
    <w:rsid w:val="00E544D1"/>
    <w:rsid w:val="00E54C6D"/>
    <w:rsid w:val="00E54E09"/>
    <w:rsid w:val="00E54E3E"/>
    <w:rsid w:val="00E553B5"/>
    <w:rsid w:val="00E55638"/>
    <w:rsid w:val="00E55B6B"/>
    <w:rsid w:val="00E55D42"/>
    <w:rsid w:val="00E56792"/>
    <w:rsid w:val="00E56CA1"/>
    <w:rsid w:val="00E57167"/>
    <w:rsid w:val="00E57602"/>
    <w:rsid w:val="00E576D8"/>
    <w:rsid w:val="00E577DE"/>
    <w:rsid w:val="00E57A4C"/>
    <w:rsid w:val="00E57DD7"/>
    <w:rsid w:val="00E57FA6"/>
    <w:rsid w:val="00E60156"/>
    <w:rsid w:val="00E603A7"/>
    <w:rsid w:val="00E60564"/>
    <w:rsid w:val="00E6068D"/>
    <w:rsid w:val="00E60787"/>
    <w:rsid w:val="00E60D23"/>
    <w:rsid w:val="00E60F93"/>
    <w:rsid w:val="00E61059"/>
    <w:rsid w:val="00E6138D"/>
    <w:rsid w:val="00E6154B"/>
    <w:rsid w:val="00E61A30"/>
    <w:rsid w:val="00E62436"/>
    <w:rsid w:val="00E62748"/>
    <w:rsid w:val="00E62795"/>
    <w:rsid w:val="00E62B77"/>
    <w:rsid w:val="00E6309A"/>
    <w:rsid w:val="00E631CF"/>
    <w:rsid w:val="00E633C7"/>
    <w:rsid w:val="00E63402"/>
    <w:rsid w:val="00E63915"/>
    <w:rsid w:val="00E639FB"/>
    <w:rsid w:val="00E63BED"/>
    <w:rsid w:val="00E63C90"/>
    <w:rsid w:val="00E63CEF"/>
    <w:rsid w:val="00E63E74"/>
    <w:rsid w:val="00E64549"/>
    <w:rsid w:val="00E64896"/>
    <w:rsid w:val="00E64FE0"/>
    <w:rsid w:val="00E6564D"/>
    <w:rsid w:val="00E65BB8"/>
    <w:rsid w:val="00E65FE6"/>
    <w:rsid w:val="00E660C9"/>
    <w:rsid w:val="00E66581"/>
    <w:rsid w:val="00E667B3"/>
    <w:rsid w:val="00E66908"/>
    <w:rsid w:val="00E673E1"/>
    <w:rsid w:val="00E6777B"/>
    <w:rsid w:val="00E67972"/>
    <w:rsid w:val="00E67BE8"/>
    <w:rsid w:val="00E67D36"/>
    <w:rsid w:val="00E70091"/>
    <w:rsid w:val="00E70499"/>
    <w:rsid w:val="00E704C4"/>
    <w:rsid w:val="00E70719"/>
    <w:rsid w:val="00E70914"/>
    <w:rsid w:val="00E70AB4"/>
    <w:rsid w:val="00E71118"/>
    <w:rsid w:val="00E713F5"/>
    <w:rsid w:val="00E71762"/>
    <w:rsid w:val="00E7190D"/>
    <w:rsid w:val="00E719C1"/>
    <w:rsid w:val="00E71A82"/>
    <w:rsid w:val="00E7213D"/>
    <w:rsid w:val="00E72BE9"/>
    <w:rsid w:val="00E72E67"/>
    <w:rsid w:val="00E72FD2"/>
    <w:rsid w:val="00E7314C"/>
    <w:rsid w:val="00E73332"/>
    <w:rsid w:val="00E73377"/>
    <w:rsid w:val="00E7358D"/>
    <w:rsid w:val="00E73803"/>
    <w:rsid w:val="00E73A82"/>
    <w:rsid w:val="00E74541"/>
    <w:rsid w:val="00E749B6"/>
    <w:rsid w:val="00E74A01"/>
    <w:rsid w:val="00E753E2"/>
    <w:rsid w:val="00E75895"/>
    <w:rsid w:val="00E75BA3"/>
    <w:rsid w:val="00E75C83"/>
    <w:rsid w:val="00E75EA9"/>
    <w:rsid w:val="00E75F7E"/>
    <w:rsid w:val="00E76A62"/>
    <w:rsid w:val="00E76A88"/>
    <w:rsid w:val="00E7710B"/>
    <w:rsid w:val="00E7725A"/>
    <w:rsid w:val="00E7739B"/>
    <w:rsid w:val="00E775AF"/>
    <w:rsid w:val="00E77F03"/>
    <w:rsid w:val="00E80127"/>
    <w:rsid w:val="00E80201"/>
    <w:rsid w:val="00E80EA6"/>
    <w:rsid w:val="00E81206"/>
    <w:rsid w:val="00E814F2"/>
    <w:rsid w:val="00E815E3"/>
    <w:rsid w:val="00E81649"/>
    <w:rsid w:val="00E816F3"/>
    <w:rsid w:val="00E81723"/>
    <w:rsid w:val="00E8180A"/>
    <w:rsid w:val="00E8186D"/>
    <w:rsid w:val="00E81CC0"/>
    <w:rsid w:val="00E8260A"/>
    <w:rsid w:val="00E82B13"/>
    <w:rsid w:val="00E82D66"/>
    <w:rsid w:val="00E8373B"/>
    <w:rsid w:val="00E83785"/>
    <w:rsid w:val="00E83A2F"/>
    <w:rsid w:val="00E8402D"/>
    <w:rsid w:val="00E84540"/>
    <w:rsid w:val="00E8495C"/>
    <w:rsid w:val="00E84A8F"/>
    <w:rsid w:val="00E84BDF"/>
    <w:rsid w:val="00E85711"/>
    <w:rsid w:val="00E85E95"/>
    <w:rsid w:val="00E867A6"/>
    <w:rsid w:val="00E86927"/>
    <w:rsid w:val="00E86D38"/>
    <w:rsid w:val="00E87336"/>
    <w:rsid w:val="00E876D3"/>
    <w:rsid w:val="00E877D6"/>
    <w:rsid w:val="00E87970"/>
    <w:rsid w:val="00E87E45"/>
    <w:rsid w:val="00E87EAF"/>
    <w:rsid w:val="00E901AC"/>
    <w:rsid w:val="00E90B62"/>
    <w:rsid w:val="00E90B81"/>
    <w:rsid w:val="00E90C0C"/>
    <w:rsid w:val="00E90CEA"/>
    <w:rsid w:val="00E91647"/>
    <w:rsid w:val="00E9186A"/>
    <w:rsid w:val="00E919AB"/>
    <w:rsid w:val="00E91CF3"/>
    <w:rsid w:val="00E9291F"/>
    <w:rsid w:val="00E9324D"/>
    <w:rsid w:val="00E9367A"/>
    <w:rsid w:val="00E93A18"/>
    <w:rsid w:val="00E93B63"/>
    <w:rsid w:val="00E93C2B"/>
    <w:rsid w:val="00E93EF5"/>
    <w:rsid w:val="00E94491"/>
    <w:rsid w:val="00E944F1"/>
    <w:rsid w:val="00E9466B"/>
    <w:rsid w:val="00E94B0C"/>
    <w:rsid w:val="00E94F86"/>
    <w:rsid w:val="00E9517F"/>
    <w:rsid w:val="00E9599D"/>
    <w:rsid w:val="00E95A50"/>
    <w:rsid w:val="00E95DB2"/>
    <w:rsid w:val="00E961A5"/>
    <w:rsid w:val="00E9624C"/>
    <w:rsid w:val="00E96567"/>
    <w:rsid w:val="00E96887"/>
    <w:rsid w:val="00E969A7"/>
    <w:rsid w:val="00E969F8"/>
    <w:rsid w:val="00E96DE5"/>
    <w:rsid w:val="00E96E29"/>
    <w:rsid w:val="00E96E81"/>
    <w:rsid w:val="00E96F38"/>
    <w:rsid w:val="00E97339"/>
    <w:rsid w:val="00E97524"/>
    <w:rsid w:val="00E97E44"/>
    <w:rsid w:val="00EA01F5"/>
    <w:rsid w:val="00EA0324"/>
    <w:rsid w:val="00EA0549"/>
    <w:rsid w:val="00EA072A"/>
    <w:rsid w:val="00EA07C0"/>
    <w:rsid w:val="00EA0FF0"/>
    <w:rsid w:val="00EA1152"/>
    <w:rsid w:val="00EA1173"/>
    <w:rsid w:val="00EA171B"/>
    <w:rsid w:val="00EA1745"/>
    <w:rsid w:val="00EA1829"/>
    <w:rsid w:val="00EA1A5B"/>
    <w:rsid w:val="00EA1C32"/>
    <w:rsid w:val="00EA2040"/>
    <w:rsid w:val="00EA2C36"/>
    <w:rsid w:val="00EA2FD3"/>
    <w:rsid w:val="00EA3676"/>
    <w:rsid w:val="00EA38FF"/>
    <w:rsid w:val="00EA3916"/>
    <w:rsid w:val="00EA3966"/>
    <w:rsid w:val="00EA3B34"/>
    <w:rsid w:val="00EA3C14"/>
    <w:rsid w:val="00EA401E"/>
    <w:rsid w:val="00EA4203"/>
    <w:rsid w:val="00EA44CA"/>
    <w:rsid w:val="00EA49F1"/>
    <w:rsid w:val="00EA4BC8"/>
    <w:rsid w:val="00EA4F92"/>
    <w:rsid w:val="00EA5014"/>
    <w:rsid w:val="00EA5D9E"/>
    <w:rsid w:val="00EA5DFC"/>
    <w:rsid w:val="00EA6074"/>
    <w:rsid w:val="00EA6AFD"/>
    <w:rsid w:val="00EA6FAB"/>
    <w:rsid w:val="00EA72C0"/>
    <w:rsid w:val="00EA790F"/>
    <w:rsid w:val="00EA7A36"/>
    <w:rsid w:val="00EA7C47"/>
    <w:rsid w:val="00EB0A58"/>
    <w:rsid w:val="00EB0D83"/>
    <w:rsid w:val="00EB12C0"/>
    <w:rsid w:val="00EB12F1"/>
    <w:rsid w:val="00EB1379"/>
    <w:rsid w:val="00EB137A"/>
    <w:rsid w:val="00EB14AC"/>
    <w:rsid w:val="00EB15BE"/>
    <w:rsid w:val="00EB16C2"/>
    <w:rsid w:val="00EB17B5"/>
    <w:rsid w:val="00EB1814"/>
    <w:rsid w:val="00EB1BC7"/>
    <w:rsid w:val="00EB1CCE"/>
    <w:rsid w:val="00EB1D28"/>
    <w:rsid w:val="00EB1D7C"/>
    <w:rsid w:val="00EB1E2E"/>
    <w:rsid w:val="00EB2552"/>
    <w:rsid w:val="00EB289E"/>
    <w:rsid w:val="00EB2910"/>
    <w:rsid w:val="00EB2A50"/>
    <w:rsid w:val="00EB323E"/>
    <w:rsid w:val="00EB343C"/>
    <w:rsid w:val="00EB35F9"/>
    <w:rsid w:val="00EB3693"/>
    <w:rsid w:val="00EB3738"/>
    <w:rsid w:val="00EB37F7"/>
    <w:rsid w:val="00EB3A37"/>
    <w:rsid w:val="00EB3CFE"/>
    <w:rsid w:val="00EB3EFA"/>
    <w:rsid w:val="00EB478A"/>
    <w:rsid w:val="00EB50B3"/>
    <w:rsid w:val="00EB5A35"/>
    <w:rsid w:val="00EB5B37"/>
    <w:rsid w:val="00EB5D50"/>
    <w:rsid w:val="00EB5FFF"/>
    <w:rsid w:val="00EB619F"/>
    <w:rsid w:val="00EB6340"/>
    <w:rsid w:val="00EB6383"/>
    <w:rsid w:val="00EB64C1"/>
    <w:rsid w:val="00EB67E7"/>
    <w:rsid w:val="00EB69E3"/>
    <w:rsid w:val="00EB6B3F"/>
    <w:rsid w:val="00EB73D4"/>
    <w:rsid w:val="00EB7C5C"/>
    <w:rsid w:val="00EC04F2"/>
    <w:rsid w:val="00EC0969"/>
    <w:rsid w:val="00EC0BF1"/>
    <w:rsid w:val="00EC0F40"/>
    <w:rsid w:val="00EC0FCE"/>
    <w:rsid w:val="00EC190A"/>
    <w:rsid w:val="00EC1ADB"/>
    <w:rsid w:val="00EC218C"/>
    <w:rsid w:val="00EC2359"/>
    <w:rsid w:val="00EC2415"/>
    <w:rsid w:val="00EC2969"/>
    <w:rsid w:val="00EC2D36"/>
    <w:rsid w:val="00EC30BC"/>
    <w:rsid w:val="00EC3A04"/>
    <w:rsid w:val="00EC3DAB"/>
    <w:rsid w:val="00EC3DCE"/>
    <w:rsid w:val="00EC3EB2"/>
    <w:rsid w:val="00EC3FA4"/>
    <w:rsid w:val="00EC411F"/>
    <w:rsid w:val="00EC429F"/>
    <w:rsid w:val="00EC4B6E"/>
    <w:rsid w:val="00EC51C6"/>
    <w:rsid w:val="00EC53C8"/>
    <w:rsid w:val="00EC5404"/>
    <w:rsid w:val="00EC640E"/>
    <w:rsid w:val="00EC6424"/>
    <w:rsid w:val="00EC64DD"/>
    <w:rsid w:val="00EC6BED"/>
    <w:rsid w:val="00EC6DB9"/>
    <w:rsid w:val="00EC6EFB"/>
    <w:rsid w:val="00EC71F1"/>
    <w:rsid w:val="00EC75A2"/>
    <w:rsid w:val="00ED0363"/>
    <w:rsid w:val="00ED03CB"/>
    <w:rsid w:val="00ED07FB"/>
    <w:rsid w:val="00ED08F7"/>
    <w:rsid w:val="00ED1761"/>
    <w:rsid w:val="00ED1946"/>
    <w:rsid w:val="00ED1B19"/>
    <w:rsid w:val="00ED1C26"/>
    <w:rsid w:val="00ED1C96"/>
    <w:rsid w:val="00ED1E9C"/>
    <w:rsid w:val="00ED2490"/>
    <w:rsid w:val="00ED2874"/>
    <w:rsid w:val="00ED29C7"/>
    <w:rsid w:val="00ED29FC"/>
    <w:rsid w:val="00ED2B36"/>
    <w:rsid w:val="00ED31A6"/>
    <w:rsid w:val="00ED34E6"/>
    <w:rsid w:val="00ED3A04"/>
    <w:rsid w:val="00ED4146"/>
    <w:rsid w:val="00ED4A08"/>
    <w:rsid w:val="00ED4B3D"/>
    <w:rsid w:val="00ED5222"/>
    <w:rsid w:val="00ED534D"/>
    <w:rsid w:val="00ED5599"/>
    <w:rsid w:val="00ED5961"/>
    <w:rsid w:val="00ED5A73"/>
    <w:rsid w:val="00ED5B48"/>
    <w:rsid w:val="00ED5C1D"/>
    <w:rsid w:val="00ED5D99"/>
    <w:rsid w:val="00ED631C"/>
    <w:rsid w:val="00ED6C80"/>
    <w:rsid w:val="00ED6F48"/>
    <w:rsid w:val="00ED70D4"/>
    <w:rsid w:val="00ED758E"/>
    <w:rsid w:val="00EE010E"/>
    <w:rsid w:val="00EE0266"/>
    <w:rsid w:val="00EE02C4"/>
    <w:rsid w:val="00EE02E8"/>
    <w:rsid w:val="00EE0747"/>
    <w:rsid w:val="00EE0B93"/>
    <w:rsid w:val="00EE0FC3"/>
    <w:rsid w:val="00EE11F6"/>
    <w:rsid w:val="00EE1649"/>
    <w:rsid w:val="00EE172E"/>
    <w:rsid w:val="00EE1B87"/>
    <w:rsid w:val="00EE1BD9"/>
    <w:rsid w:val="00EE1C1D"/>
    <w:rsid w:val="00EE1E6C"/>
    <w:rsid w:val="00EE1F0B"/>
    <w:rsid w:val="00EE1F38"/>
    <w:rsid w:val="00EE216B"/>
    <w:rsid w:val="00EE26D9"/>
    <w:rsid w:val="00EE276E"/>
    <w:rsid w:val="00EE2A03"/>
    <w:rsid w:val="00EE2BA8"/>
    <w:rsid w:val="00EE3098"/>
    <w:rsid w:val="00EE344E"/>
    <w:rsid w:val="00EE3466"/>
    <w:rsid w:val="00EE3525"/>
    <w:rsid w:val="00EE3D1D"/>
    <w:rsid w:val="00EE3DA3"/>
    <w:rsid w:val="00EE3EBF"/>
    <w:rsid w:val="00EE3FE7"/>
    <w:rsid w:val="00EE4302"/>
    <w:rsid w:val="00EE43CE"/>
    <w:rsid w:val="00EE4412"/>
    <w:rsid w:val="00EE464B"/>
    <w:rsid w:val="00EE480A"/>
    <w:rsid w:val="00EE4B3B"/>
    <w:rsid w:val="00EE4EA1"/>
    <w:rsid w:val="00EE595C"/>
    <w:rsid w:val="00EE5B78"/>
    <w:rsid w:val="00EE5EC1"/>
    <w:rsid w:val="00EE6139"/>
    <w:rsid w:val="00EE62D9"/>
    <w:rsid w:val="00EE63D7"/>
    <w:rsid w:val="00EE69CD"/>
    <w:rsid w:val="00EE69DC"/>
    <w:rsid w:val="00EE6AEC"/>
    <w:rsid w:val="00EE7AD7"/>
    <w:rsid w:val="00EF018D"/>
    <w:rsid w:val="00EF03EB"/>
    <w:rsid w:val="00EF047F"/>
    <w:rsid w:val="00EF08DB"/>
    <w:rsid w:val="00EF0F65"/>
    <w:rsid w:val="00EF0FDC"/>
    <w:rsid w:val="00EF10FF"/>
    <w:rsid w:val="00EF11D3"/>
    <w:rsid w:val="00EF1587"/>
    <w:rsid w:val="00EF1877"/>
    <w:rsid w:val="00EF1E96"/>
    <w:rsid w:val="00EF234F"/>
    <w:rsid w:val="00EF2933"/>
    <w:rsid w:val="00EF29BE"/>
    <w:rsid w:val="00EF2E94"/>
    <w:rsid w:val="00EF340A"/>
    <w:rsid w:val="00EF3510"/>
    <w:rsid w:val="00EF35EE"/>
    <w:rsid w:val="00EF3A93"/>
    <w:rsid w:val="00EF3ABA"/>
    <w:rsid w:val="00EF3C58"/>
    <w:rsid w:val="00EF40D1"/>
    <w:rsid w:val="00EF491D"/>
    <w:rsid w:val="00EF4B08"/>
    <w:rsid w:val="00EF4C12"/>
    <w:rsid w:val="00EF4D32"/>
    <w:rsid w:val="00EF4FB3"/>
    <w:rsid w:val="00EF52BD"/>
    <w:rsid w:val="00EF5A42"/>
    <w:rsid w:val="00EF5D9B"/>
    <w:rsid w:val="00EF5F73"/>
    <w:rsid w:val="00EF5F96"/>
    <w:rsid w:val="00EF6349"/>
    <w:rsid w:val="00EF69EC"/>
    <w:rsid w:val="00EF6C02"/>
    <w:rsid w:val="00EF6E6E"/>
    <w:rsid w:val="00EF6FF1"/>
    <w:rsid w:val="00EF7308"/>
    <w:rsid w:val="00EF79FA"/>
    <w:rsid w:val="00EF7CC3"/>
    <w:rsid w:val="00EF7DBA"/>
    <w:rsid w:val="00EF7F66"/>
    <w:rsid w:val="00F007BD"/>
    <w:rsid w:val="00F00A48"/>
    <w:rsid w:val="00F015E1"/>
    <w:rsid w:val="00F019B0"/>
    <w:rsid w:val="00F01DA3"/>
    <w:rsid w:val="00F01FBB"/>
    <w:rsid w:val="00F022B6"/>
    <w:rsid w:val="00F02542"/>
    <w:rsid w:val="00F02CFD"/>
    <w:rsid w:val="00F02DB5"/>
    <w:rsid w:val="00F02DC5"/>
    <w:rsid w:val="00F03294"/>
    <w:rsid w:val="00F036C7"/>
    <w:rsid w:val="00F036E9"/>
    <w:rsid w:val="00F037F5"/>
    <w:rsid w:val="00F03982"/>
    <w:rsid w:val="00F039AD"/>
    <w:rsid w:val="00F03A95"/>
    <w:rsid w:val="00F03DBE"/>
    <w:rsid w:val="00F04171"/>
    <w:rsid w:val="00F0430C"/>
    <w:rsid w:val="00F0447D"/>
    <w:rsid w:val="00F04589"/>
    <w:rsid w:val="00F0463A"/>
    <w:rsid w:val="00F048E0"/>
    <w:rsid w:val="00F04AD2"/>
    <w:rsid w:val="00F04BF9"/>
    <w:rsid w:val="00F04F89"/>
    <w:rsid w:val="00F05311"/>
    <w:rsid w:val="00F053D5"/>
    <w:rsid w:val="00F0546A"/>
    <w:rsid w:val="00F05513"/>
    <w:rsid w:val="00F0587A"/>
    <w:rsid w:val="00F059C5"/>
    <w:rsid w:val="00F065BF"/>
    <w:rsid w:val="00F06733"/>
    <w:rsid w:val="00F06826"/>
    <w:rsid w:val="00F06D32"/>
    <w:rsid w:val="00F10989"/>
    <w:rsid w:val="00F10AD3"/>
    <w:rsid w:val="00F10F9F"/>
    <w:rsid w:val="00F1108C"/>
    <w:rsid w:val="00F111A2"/>
    <w:rsid w:val="00F1121F"/>
    <w:rsid w:val="00F1133A"/>
    <w:rsid w:val="00F114D8"/>
    <w:rsid w:val="00F11AF3"/>
    <w:rsid w:val="00F11B0D"/>
    <w:rsid w:val="00F11C22"/>
    <w:rsid w:val="00F120F3"/>
    <w:rsid w:val="00F12435"/>
    <w:rsid w:val="00F1284E"/>
    <w:rsid w:val="00F12DC1"/>
    <w:rsid w:val="00F12DEB"/>
    <w:rsid w:val="00F13112"/>
    <w:rsid w:val="00F13145"/>
    <w:rsid w:val="00F13300"/>
    <w:rsid w:val="00F1332E"/>
    <w:rsid w:val="00F13523"/>
    <w:rsid w:val="00F135B8"/>
    <w:rsid w:val="00F13629"/>
    <w:rsid w:val="00F13803"/>
    <w:rsid w:val="00F138B2"/>
    <w:rsid w:val="00F13F9E"/>
    <w:rsid w:val="00F14335"/>
    <w:rsid w:val="00F14390"/>
    <w:rsid w:val="00F14676"/>
    <w:rsid w:val="00F149E6"/>
    <w:rsid w:val="00F14F06"/>
    <w:rsid w:val="00F1503B"/>
    <w:rsid w:val="00F15412"/>
    <w:rsid w:val="00F154E4"/>
    <w:rsid w:val="00F157E7"/>
    <w:rsid w:val="00F159C6"/>
    <w:rsid w:val="00F15CA8"/>
    <w:rsid w:val="00F15DBF"/>
    <w:rsid w:val="00F16597"/>
    <w:rsid w:val="00F1668C"/>
    <w:rsid w:val="00F167E8"/>
    <w:rsid w:val="00F16A94"/>
    <w:rsid w:val="00F17013"/>
    <w:rsid w:val="00F17303"/>
    <w:rsid w:val="00F173EB"/>
    <w:rsid w:val="00F17595"/>
    <w:rsid w:val="00F177EC"/>
    <w:rsid w:val="00F178BF"/>
    <w:rsid w:val="00F17A85"/>
    <w:rsid w:val="00F2015D"/>
    <w:rsid w:val="00F20170"/>
    <w:rsid w:val="00F2096F"/>
    <w:rsid w:val="00F20C76"/>
    <w:rsid w:val="00F20F44"/>
    <w:rsid w:val="00F216BC"/>
    <w:rsid w:val="00F218DF"/>
    <w:rsid w:val="00F21A33"/>
    <w:rsid w:val="00F220A0"/>
    <w:rsid w:val="00F222CA"/>
    <w:rsid w:val="00F22577"/>
    <w:rsid w:val="00F2262F"/>
    <w:rsid w:val="00F226AE"/>
    <w:rsid w:val="00F2293D"/>
    <w:rsid w:val="00F22944"/>
    <w:rsid w:val="00F22D00"/>
    <w:rsid w:val="00F22E8B"/>
    <w:rsid w:val="00F230D0"/>
    <w:rsid w:val="00F23316"/>
    <w:rsid w:val="00F23700"/>
    <w:rsid w:val="00F23AB2"/>
    <w:rsid w:val="00F23D97"/>
    <w:rsid w:val="00F23FAD"/>
    <w:rsid w:val="00F24121"/>
    <w:rsid w:val="00F2424E"/>
    <w:rsid w:val="00F2453D"/>
    <w:rsid w:val="00F24733"/>
    <w:rsid w:val="00F24A30"/>
    <w:rsid w:val="00F24A39"/>
    <w:rsid w:val="00F24C80"/>
    <w:rsid w:val="00F25165"/>
    <w:rsid w:val="00F255A1"/>
    <w:rsid w:val="00F25718"/>
    <w:rsid w:val="00F25885"/>
    <w:rsid w:val="00F25DD4"/>
    <w:rsid w:val="00F25E9D"/>
    <w:rsid w:val="00F2618E"/>
    <w:rsid w:val="00F264DD"/>
    <w:rsid w:val="00F265DA"/>
    <w:rsid w:val="00F2669E"/>
    <w:rsid w:val="00F266AB"/>
    <w:rsid w:val="00F268C7"/>
    <w:rsid w:val="00F2712C"/>
    <w:rsid w:val="00F271BD"/>
    <w:rsid w:val="00F27410"/>
    <w:rsid w:val="00F2776B"/>
    <w:rsid w:val="00F27E27"/>
    <w:rsid w:val="00F27F3B"/>
    <w:rsid w:val="00F3034B"/>
    <w:rsid w:val="00F30F11"/>
    <w:rsid w:val="00F31394"/>
    <w:rsid w:val="00F31A0D"/>
    <w:rsid w:val="00F31BFB"/>
    <w:rsid w:val="00F32148"/>
    <w:rsid w:val="00F324FD"/>
    <w:rsid w:val="00F327B2"/>
    <w:rsid w:val="00F32E0B"/>
    <w:rsid w:val="00F32FBB"/>
    <w:rsid w:val="00F33068"/>
    <w:rsid w:val="00F33218"/>
    <w:rsid w:val="00F3328F"/>
    <w:rsid w:val="00F334A3"/>
    <w:rsid w:val="00F33BBD"/>
    <w:rsid w:val="00F33D83"/>
    <w:rsid w:val="00F33F2F"/>
    <w:rsid w:val="00F34437"/>
    <w:rsid w:val="00F34444"/>
    <w:rsid w:val="00F34464"/>
    <w:rsid w:val="00F3507D"/>
    <w:rsid w:val="00F352F5"/>
    <w:rsid w:val="00F35498"/>
    <w:rsid w:val="00F354E0"/>
    <w:rsid w:val="00F35E9E"/>
    <w:rsid w:val="00F35FD8"/>
    <w:rsid w:val="00F36145"/>
    <w:rsid w:val="00F366AD"/>
    <w:rsid w:val="00F368A3"/>
    <w:rsid w:val="00F36914"/>
    <w:rsid w:val="00F36981"/>
    <w:rsid w:val="00F36BBA"/>
    <w:rsid w:val="00F3763E"/>
    <w:rsid w:val="00F37905"/>
    <w:rsid w:val="00F37947"/>
    <w:rsid w:val="00F37997"/>
    <w:rsid w:val="00F37BFC"/>
    <w:rsid w:val="00F40C39"/>
    <w:rsid w:val="00F40ED7"/>
    <w:rsid w:val="00F40F1D"/>
    <w:rsid w:val="00F41055"/>
    <w:rsid w:val="00F4129D"/>
    <w:rsid w:val="00F414B1"/>
    <w:rsid w:val="00F414C5"/>
    <w:rsid w:val="00F41582"/>
    <w:rsid w:val="00F41C3B"/>
    <w:rsid w:val="00F41F40"/>
    <w:rsid w:val="00F41FA8"/>
    <w:rsid w:val="00F42035"/>
    <w:rsid w:val="00F420E5"/>
    <w:rsid w:val="00F4268E"/>
    <w:rsid w:val="00F42A4E"/>
    <w:rsid w:val="00F42D6F"/>
    <w:rsid w:val="00F43297"/>
    <w:rsid w:val="00F43445"/>
    <w:rsid w:val="00F4367F"/>
    <w:rsid w:val="00F43AA3"/>
    <w:rsid w:val="00F43DA5"/>
    <w:rsid w:val="00F43DC7"/>
    <w:rsid w:val="00F43E5E"/>
    <w:rsid w:val="00F448D2"/>
    <w:rsid w:val="00F44BB6"/>
    <w:rsid w:val="00F45073"/>
    <w:rsid w:val="00F459A4"/>
    <w:rsid w:val="00F46513"/>
    <w:rsid w:val="00F46662"/>
    <w:rsid w:val="00F47044"/>
    <w:rsid w:val="00F4720D"/>
    <w:rsid w:val="00F47216"/>
    <w:rsid w:val="00F47376"/>
    <w:rsid w:val="00F474E9"/>
    <w:rsid w:val="00F479DD"/>
    <w:rsid w:val="00F47BC8"/>
    <w:rsid w:val="00F47CE3"/>
    <w:rsid w:val="00F500FC"/>
    <w:rsid w:val="00F5024E"/>
    <w:rsid w:val="00F508F3"/>
    <w:rsid w:val="00F50E6F"/>
    <w:rsid w:val="00F519DC"/>
    <w:rsid w:val="00F52232"/>
    <w:rsid w:val="00F527B4"/>
    <w:rsid w:val="00F52990"/>
    <w:rsid w:val="00F52A7D"/>
    <w:rsid w:val="00F52C56"/>
    <w:rsid w:val="00F531AB"/>
    <w:rsid w:val="00F538B0"/>
    <w:rsid w:val="00F53A0C"/>
    <w:rsid w:val="00F53E3A"/>
    <w:rsid w:val="00F53E5C"/>
    <w:rsid w:val="00F54A53"/>
    <w:rsid w:val="00F54C83"/>
    <w:rsid w:val="00F5518C"/>
    <w:rsid w:val="00F552FA"/>
    <w:rsid w:val="00F5586D"/>
    <w:rsid w:val="00F55AC3"/>
    <w:rsid w:val="00F55DFC"/>
    <w:rsid w:val="00F55E2C"/>
    <w:rsid w:val="00F55EF6"/>
    <w:rsid w:val="00F55F24"/>
    <w:rsid w:val="00F56098"/>
    <w:rsid w:val="00F56196"/>
    <w:rsid w:val="00F56606"/>
    <w:rsid w:val="00F56720"/>
    <w:rsid w:val="00F5681A"/>
    <w:rsid w:val="00F568F1"/>
    <w:rsid w:val="00F56997"/>
    <w:rsid w:val="00F57097"/>
    <w:rsid w:val="00F571BE"/>
    <w:rsid w:val="00F572A9"/>
    <w:rsid w:val="00F57497"/>
    <w:rsid w:val="00F57615"/>
    <w:rsid w:val="00F57650"/>
    <w:rsid w:val="00F5791F"/>
    <w:rsid w:val="00F6007E"/>
    <w:rsid w:val="00F6022E"/>
    <w:rsid w:val="00F602B0"/>
    <w:rsid w:val="00F6038A"/>
    <w:rsid w:val="00F6056B"/>
    <w:rsid w:val="00F6074F"/>
    <w:rsid w:val="00F60783"/>
    <w:rsid w:val="00F60ABD"/>
    <w:rsid w:val="00F60D35"/>
    <w:rsid w:val="00F60DEF"/>
    <w:rsid w:val="00F60F1B"/>
    <w:rsid w:val="00F61067"/>
    <w:rsid w:val="00F61655"/>
    <w:rsid w:val="00F61A5D"/>
    <w:rsid w:val="00F61E0E"/>
    <w:rsid w:val="00F61E28"/>
    <w:rsid w:val="00F6200C"/>
    <w:rsid w:val="00F6201B"/>
    <w:rsid w:val="00F62303"/>
    <w:rsid w:val="00F62374"/>
    <w:rsid w:val="00F6238D"/>
    <w:rsid w:val="00F628F9"/>
    <w:rsid w:val="00F62D78"/>
    <w:rsid w:val="00F62F26"/>
    <w:rsid w:val="00F63413"/>
    <w:rsid w:val="00F63C4D"/>
    <w:rsid w:val="00F63F13"/>
    <w:rsid w:val="00F63FC3"/>
    <w:rsid w:val="00F643AE"/>
    <w:rsid w:val="00F644F3"/>
    <w:rsid w:val="00F645A5"/>
    <w:rsid w:val="00F6461F"/>
    <w:rsid w:val="00F64E86"/>
    <w:rsid w:val="00F64F70"/>
    <w:rsid w:val="00F6564B"/>
    <w:rsid w:val="00F6564D"/>
    <w:rsid w:val="00F65E94"/>
    <w:rsid w:val="00F6627A"/>
    <w:rsid w:val="00F66367"/>
    <w:rsid w:val="00F670C0"/>
    <w:rsid w:val="00F70252"/>
    <w:rsid w:val="00F709BA"/>
    <w:rsid w:val="00F70D8C"/>
    <w:rsid w:val="00F70DF1"/>
    <w:rsid w:val="00F71183"/>
    <w:rsid w:val="00F719C0"/>
    <w:rsid w:val="00F71A93"/>
    <w:rsid w:val="00F71B86"/>
    <w:rsid w:val="00F7227F"/>
    <w:rsid w:val="00F725F3"/>
    <w:rsid w:val="00F72ED9"/>
    <w:rsid w:val="00F72F2A"/>
    <w:rsid w:val="00F73829"/>
    <w:rsid w:val="00F73A12"/>
    <w:rsid w:val="00F73ADE"/>
    <w:rsid w:val="00F73B5D"/>
    <w:rsid w:val="00F73F99"/>
    <w:rsid w:val="00F73FC6"/>
    <w:rsid w:val="00F743C6"/>
    <w:rsid w:val="00F7471C"/>
    <w:rsid w:val="00F7485F"/>
    <w:rsid w:val="00F74960"/>
    <w:rsid w:val="00F74986"/>
    <w:rsid w:val="00F74DE1"/>
    <w:rsid w:val="00F74DEB"/>
    <w:rsid w:val="00F7520D"/>
    <w:rsid w:val="00F753DD"/>
    <w:rsid w:val="00F75405"/>
    <w:rsid w:val="00F7548A"/>
    <w:rsid w:val="00F75B48"/>
    <w:rsid w:val="00F75E70"/>
    <w:rsid w:val="00F75F31"/>
    <w:rsid w:val="00F76012"/>
    <w:rsid w:val="00F7613B"/>
    <w:rsid w:val="00F767DD"/>
    <w:rsid w:val="00F768C9"/>
    <w:rsid w:val="00F76913"/>
    <w:rsid w:val="00F76A13"/>
    <w:rsid w:val="00F76A8C"/>
    <w:rsid w:val="00F76AD3"/>
    <w:rsid w:val="00F76BCD"/>
    <w:rsid w:val="00F76D7C"/>
    <w:rsid w:val="00F77462"/>
    <w:rsid w:val="00F77553"/>
    <w:rsid w:val="00F7766C"/>
    <w:rsid w:val="00F776D6"/>
    <w:rsid w:val="00F77797"/>
    <w:rsid w:val="00F77900"/>
    <w:rsid w:val="00F7795E"/>
    <w:rsid w:val="00F80004"/>
    <w:rsid w:val="00F80532"/>
    <w:rsid w:val="00F806DA"/>
    <w:rsid w:val="00F80B91"/>
    <w:rsid w:val="00F80ED3"/>
    <w:rsid w:val="00F80F64"/>
    <w:rsid w:val="00F817F1"/>
    <w:rsid w:val="00F819D1"/>
    <w:rsid w:val="00F81AD7"/>
    <w:rsid w:val="00F81B96"/>
    <w:rsid w:val="00F81BBA"/>
    <w:rsid w:val="00F820D7"/>
    <w:rsid w:val="00F820D9"/>
    <w:rsid w:val="00F827FC"/>
    <w:rsid w:val="00F82A6B"/>
    <w:rsid w:val="00F83423"/>
    <w:rsid w:val="00F835D4"/>
    <w:rsid w:val="00F83ABA"/>
    <w:rsid w:val="00F83EB2"/>
    <w:rsid w:val="00F84456"/>
    <w:rsid w:val="00F84ABA"/>
    <w:rsid w:val="00F84D0B"/>
    <w:rsid w:val="00F84DFF"/>
    <w:rsid w:val="00F84E46"/>
    <w:rsid w:val="00F84FED"/>
    <w:rsid w:val="00F850EA"/>
    <w:rsid w:val="00F861E0"/>
    <w:rsid w:val="00F8620E"/>
    <w:rsid w:val="00F866B4"/>
    <w:rsid w:val="00F86726"/>
    <w:rsid w:val="00F86B22"/>
    <w:rsid w:val="00F87247"/>
    <w:rsid w:val="00F87AF6"/>
    <w:rsid w:val="00F905D0"/>
    <w:rsid w:val="00F9072C"/>
    <w:rsid w:val="00F907A1"/>
    <w:rsid w:val="00F90B14"/>
    <w:rsid w:val="00F91BC0"/>
    <w:rsid w:val="00F92138"/>
    <w:rsid w:val="00F923E5"/>
    <w:rsid w:val="00F92596"/>
    <w:rsid w:val="00F92DB7"/>
    <w:rsid w:val="00F93349"/>
    <w:rsid w:val="00F934C2"/>
    <w:rsid w:val="00F935D9"/>
    <w:rsid w:val="00F935DA"/>
    <w:rsid w:val="00F93A6A"/>
    <w:rsid w:val="00F9439F"/>
    <w:rsid w:val="00F94805"/>
    <w:rsid w:val="00F94E89"/>
    <w:rsid w:val="00F9516F"/>
    <w:rsid w:val="00F95C4E"/>
    <w:rsid w:val="00F95F94"/>
    <w:rsid w:val="00F96018"/>
    <w:rsid w:val="00F960B0"/>
    <w:rsid w:val="00F9654C"/>
    <w:rsid w:val="00F96871"/>
    <w:rsid w:val="00F96D5B"/>
    <w:rsid w:val="00F9723A"/>
    <w:rsid w:val="00F97278"/>
    <w:rsid w:val="00F9746D"/>
    <w:rsid w:val="00F975D7"/>
    <w:rsid w:val="00F97AE5"/>
    <w:rsid w:val="00FA079E"/>
    <w:rsid w:val="00FA13D4"/>
    <w:rsid w:val="00FA1458"/>
    <w:rsid w:val="00FA15FB"/>
    <w:rsid w:val="00FA1A3E"/>
    <w:rsid w:val="00FA1B66"/>
    <w:rsid w:val="00FA1BCE"/>
    <w:rsid w:val="00FA1C41"/>
    <w:rsid w:val="00FA2122"/>
    <w:rsid w:val="00FA21D2"/>
    <w:rsid w:val="00FA22B7"/>
    <w:rsid w:val="00FA22D3"/>
    <w:rsid w:val="00FA26EC"/>
    <w:rsid w:val="00FA29F2"/>
    <w:rsid w:val="00FA2C2F"/>
    <w:rsid w:val="00FA2E13"/>
    <w:rsid w:val="00FA319B"/>
    <w:rsid w:val="00FA3669"/>
    <w:rsid w:val="00FA3746"/>
    <w:rsid w:val="00FA37B7"/>
    <w:rsid w:val="00FA3C37"/>
    <w:rsid w:val="00FA3C6C"/>
    <w:rsid w:val="00FA42BF"/>
    <w:rsid w:val="00FA4509"/>
    <w:rsid w:val="00FA4999"/>
    <w:rsid w:val="00FA49A7"/>
    <w:rsid w:val="00FA4AA0"/>
    <w:rsid w:val="00FA5312"/>
    <w:rsid w:val="00FA54DE"/>
    <w:rsid w:val="00FA587B"/>
    <w:rsid w:val="00FA5CB5"/>
    <w:rsid w:val="00FA6579"/>
    <w:rsid w:val="00FA6892"/>
    <w:rsid w:val="00FA6E6C"/>
    <w:rsid w:val="00FA6EF7"/>
    <w:rsid w:val="00FA75BE"/>
    <w:rsid w:val="00FA7741"/>
    <w:rsid w:val="00FA785D"/>
    <w:rsid w:val="00FA7DF2"/>
    <w:rsid w:val="00FA7F5A"/>
    <w:rsid w:val="00FB0199"/>
    <w:rsid w:val="00FB06AE"/>
    <w:rsid w:val="00FB0708"/>
    <w:rsid w:val="00FB1624"/>
    <w:rsid w:val="00FB1B9F"/>
    <w:rsid w:val="00FB1E2C"/>
    <w:rsid w:val="00FB20A7"/>
    <w:rsid w:val="00FB20E0"/>
    <w:rsid w:val="00FB2890"/>
    <w:rsid w:val="00FB29D8"/>
    <w:rsid w:val="00FB2BA0"/>
    <w:rsid w:val="00FB2D3D"/>
    <w:rsid w:val="00FB3624"/>
    <w:rsid w:val="00FB36D8"/>
    <w:rsid w:val="00FB36FE"/>
    <w:rsid w:val="00FB37BE"/>
    <w:rsid w:val="00FB3909"/>
    <w:rsid w:val="00FB3B0C"/>
    <w:rsid w:val="00FB41BE"/>
    <w:rsid w:val="00FB4443"/>
    <w:rsid w:val="00FB44AB"/>
    <w:rsid w:val="00FB4B5C"/>
    <w:rsid w:val="00FB4F5A"/>
    <w:rsid w:val="00FB56FE"/>
    <w:rsid w:val="00FB5B54"/>
    <w:rsid w:val="00FB5E4B"/>
    <w:rsid w:val="00FB63CF"/>
    <w:rsid w:val="00FB6883"/>
    <w:rsid w:val="00FB70B4"/>
    <w:rsid w:val="00FB7274"/>
    <w:rsid w:val="00FB78C2"/>
    <w:rsid w:val="00FB7C13"/>
    <w:rsid w:val="00FB7CFB"/>
    <w:rsid w:val="00FC093A"/>
    <w:rsid w:val="00FC0ACB"/>
    <w:rsid w:val="00FC176E"/>
    <w:rsid w:val="00FC17B1"/>
    <w:rsid w:val="00FC21BC"/>
    <w:rsid w:val="00FC2469"/>
    <w:rsid w:val="00FC259E"/>
    <w:rsid w:val="00FC2E62"/>
    <w:rsid w:val="00FC3079"/>
    <w:rsid w:val="00FC30A2"/>
    <w:rsid w:val="00FC31D7"/>
    <w:rsid w:val="00FC343C"/>
    <w:rsid w:val="00FC3F4D"/>
    <w:rsid w:val="00FC42A3"/>
    <w:rsid w:val="00FC4339"/>
    <w:rsid w:val="00FC4ED4"/>
    <w:rsid w:val="00FC5489"/>
    <w:rsid w:val="00FC5EC3"/>
    <w:rsid w:val="00FC6AE1"/>
    <w:rsid w:val="00FC7066"/>
    <w:rsid w:val="00FC70D5"/>
    <w:rsid w:val="00FC7391"/>
    <w:rsid w:val="00FC75D1"/>
    <w:rsid w:val="00FD0237"/>
    <w:rsid w:val="00FD0577"/>
    <w:rsid w:val="00FD0DDD"/>
    <w:rsid w:val="00FD0FE8"/>
    <w:rsid w:val="00FD14EA"/>
    <w:rsid w:val="00FD169E"/>
    <w:rsid w:val="00FD1BE6"/>
    <w:rsid w:val="00FD20C3"/>
    <w:rsid w:val="00FD22A4"/>
    <w:rsid w:val="00FD2544"/>
    <w:rsid w:val="00FD2B9A"/>
    <w:rsid w:val="00FD2D65"/>
    <w:rsid w:val="00FD2E07"/>
    <w:rsid w:val="00FD2EC2"/>
    <w:rsid w:val="00FD3011"/>
    <w:rsid w:val="00FD3038"/>
    <w:rsid w:val="00FD3587"/>
    <w:rsid w:val="00FD415E"/>
    <w:rsid w:val="00FD416B"/>
    <w:rsid w:val="00FD44EA"/>
    <w:rsid w:val="00FD4775"/>
    <w:rsid w:val="00FD477B"/>
    <w:rsid w:val="00FD4872"/>
    <w:rsid w:val="00FD496D"/>
    <w:rsid w:val="00FD4D32"/>
    <w:rsid w:val="00FD5128"/>
    <w:rsid w:val="00FD512A"/>
    <w:rsid w:val="00FD5403"/>
    <w:rsid w:val="00FD55D0"/>
    <w:rsid w:val="00FD57D0"/>
    <w:rsid w:val="00FD5974"/>
    <w:rsid w:val="00FD5D0B"/>
    <w:rsid w:val="00FD5F41"/>
    <w:rsid w:val="00FD5F79"/>
    <w:rsid w:val="00FD63F3"/>
    <w:rsid w:val="00FD675A"/>
    <w:rsid w:val="00FD694D"/>
    <w:rsid w:val="00FD69F0"/>
    <w:rsid w:val="00FD6BEF"/>
    <w:rsid w:val="00FD71F9"/>
    <w:rsid w:val="00FD75ED"/>
    <w:rsid w:val="00FD77BE"/>
    <w:rsid w:val="00FD78B1"/>
    <w:rsid w:val="00FD79D7"/>
    <w:rsid w:val="00FD7C18"/>
    <w:rsid w:val="00FD7E4C"/>
    <w:rsid w:val="00FD7E9C"/>
    <w:rsid w:val="00FD7F39"/>
    <w:rsid w:val="00FE0530"/>
    <w:rsid w:val="00FE054D"/>
    <w:rsid w:val="00FE063C"/>
    <w:rsid w:val="00FE0B8F"/>
    <w:rsid w:val="00FE0DB1"/>
    <w:rsid w:val="00FE0FA9"/>
    <w:rsid w:val="00FE12F4"/>
    <w:rsid w:val="00FE1E66"/>
    <w:rsid w:val="00FE2CDF"/>
    <w:rsid w:val="00FE2E16"/>
    <w:rsid w:val="00FE3263"/>
    <w:rsid w:val="00FE3642"/>
    <w:rsid w:val="00FE3F6C"/>
    <w:rsid w:val="00FE406D"/>
    <w:rsid w:val="00FE4635"/>
    <w:rsid w:val="00FE465D"/>
    <w:rsid w:val="00FE4769"/>
    <w:rsid w:val="00FE48DE"/>
    <w:rsid w:val="00FE533E"/>
    <w:rsid w:val="00FE5516"/>
    <w:rsid w:val="00FE625F"/>
    <w:rsid w:val="00FE6566"/>
    <w:rsid w:val="00FE68BC"/>
    <w:rsid w:val="00FE6C7C"/>
    <w:rsid w:val="00FE7163"/>
    <w:rsid w:val="00FE72BE"/>
    <w:rsid w:val="00FE7884"/>
    <w:rsid w:val="00FE7A44"/>
    <w:rsid w:val="00FE7BF2"/>
    <w:rsid w:val="00FE7DB4"/>
    <w:rsid w:val="00FF004B"/>
    <w:rsid w:val="00FF052D"/>
    <w:rsid w:val="00FF0A4D"/>
    <w:rsid w:val="00FF2133"/>
    <w:rsid w:val="00FF243A"/>
    <w:rsid w:val="00FF25A4"/>
    <w:rsid w:val="00FF2625"/>
    <w:rsid w:val="00FF2960"/>
    <w:rsid w:val="00FF2C14"/>
    <w:rsid w:val="00FF2D5F"/>
    <w:rsid w:val="00FF2DE3"/>
    <w:rsid w:val="00FF358A"/>
    <w:rsid w:val="00FF3743"/>
    <w:rsid w:val="00FF3C18"/>
    <w:rsid w:val="00FF40F5"/>
    <w:rsid w:val="00FF43D8"/>
    <w:rsid w:val="00FF444E"/>
    <w:rsid w:val="00FF4B5E"/>
    <w:rsid w:val="00FF4EEB"/>
    <w:rsid w:val="00FF54A0"/>
    <w:rsid w:val="00FF566D"/>
    <w:rsid w:val="00FF59EE"/>
    <w:rsid w:val="00FF5B6A"/>
    <w:rsid w:val="00FF5F39"/>
    <w:rsid w:val="00FF5FEF"/>
    <w:rsid w:val="00FF6162"/>
    <w:rsid w:val="00FF685C"/>
    <w:rsid w:val="00FF6952"/>
    <w:rsid w:val="00FF6961"/>
    <w:rsid w:val="00FF6AD6"/>
    <w:rsid w:val="00FF6ADB"/>
    <w:rsid w:val="00FF6CAC"/>
    <w:rsid w:val="00FF6D13"/>
    <w:rsid w:val="00FF6F4B"/>
    <w:rsid w:val="00FF73F1"/>
    <w:rsid w:val="00FF76F8"/>
    <w:rsid w:val="00FF77DA"/>
    <w:rsid w:val="00FF7F16"/>
    <w:rsid w:val="01784B4C"/>
    <w:rsid w:val="0199398B"/>
    <w:rsid w:val="019D738A"/>
    <w:rsid w:val="01AE53C4"/>
    <w:rsid w:val="01BB685C"/>
    <w:rsid w:val="01C9159A"/>
    <w:rsid w:val="01E16F4E"/>
    <w:rsid w:val="020462ED"/>
    <w:rsid w:val="021E11D3"/>
    <w:rsid w:val="025066B7"/>
    <w:rsid w:val="02663C42"/>
    <w:rsid w:val="02873BB9"/>
    <w:rsid w:val="02AC72AB"/>
    <w:rsid w:val="02CA15F0"/>
    <w:rsid w:val="02D75414"/>
    <w:rsid w:val="02F65D83"/>
    <w:rsid w:val="02FF2C6A"/>
    <w:rsid w:val="031E3C02"/>
    <w:rsid w:val="03350A3A"/>
    <w:rsid w:val="03656A2C"/>
    <w:rsid w:val="03743A17"/>
    <w:rsid w:val="03854E2F"/>
    <w:rsid w:val="03A04294"/>
    <w:rsid w:val="03AB680D"/>
    <w:rsid w:val="03CD19FA"/>
    <w:rsid w:val="03E01199"/>
    <w:rsid w:val="03ED2572"/>
    <w:rsid w:val="042E26EB"/>
    <w:rsid w:val="044A05EF"/>
    <w:rsid w:val="045D1075"/>
    <w:rsid w:val="047D4239"/>
    <w:rsid w:val="049727BB"/>
    <w:rsid w:val="04BC391D"/>
    <w:rsid w:val="04F63F85"/>
    <w:rsid w:val="050407E1"/>
    <w:rsid w:val="050A3AC4"/>
    <w:rsid w:val="050F05C1"/>
    <w:rsid w:val="05174F49"/>
    <w:rsid w:val="05303C1B"/>
    <w:rsid w:val="05364D02"/>
    <w:rsid w:val="053C1AE4"/>
    <w:rsid w:val="05574F02"/>
    <w:rsid w:val="05590880"/>
    <w:rsid w:val="056A64D2"/>
    <w:rsid w:val="057E7A8F"/>
    <w:rsid w:val="05946180"/>
    <w:rsid w:val="05C0366A"/>
    <w:rsid w:val="05D47115"/>
    <w:rsid w:val="05ED04BF"/>
    <w:rsid w:val="05F2086C"/>
    <w:rsid w:val="06406717"/>
    <w:rsid w:val="06777989"/>
    <w:rsid w:val="06940F6E"/>
    <w:rsid w:val="06C32EA7"/>
    <w:rsid w:val="06C56FF1"/>
    <w:rsid w:val="06E74C61"/>
    <w:rsid w:val="06F6179A"/>
    <w:rsid w:val="0709141D"/>
    <w:rsid w:val="07733BF3"/>
    <w:rsid w:val="077A6C32"/>
    <w:rsid w:val="079F13AE"/>
    <w:rsid w:val="07FA0B61"/>
    <w:rsid w:val="081450A2"/>
    <w:rsid w:val="081A1FD7"/>
    <w:rsid w:val="08372DF7"/>
    <w:rsid w:val="08556484"/>
    <w:rsid w:val="08607DD9"/>
    <w:rsid w:val="086546C9"/>
    <w:rsid w:val="08742BCF"/>
    <w:rsid w:val="08EF5C01"/>
    <w:rsid w:val="08FA69DB"/>
    <w:rsid w:val="09781E69"/>
    <w:rsid w:val="097D5DA0"/>
    <w:rsid w:val="09BA053E"/>
    <w:rsid w:val="09DB056C"/>
    <w:rsid w:val="09ED307B"/>
    <w:rsid w:val="0A4C1BD9"/>
    <w:rsid w:val="0A597C43"/>
    <w:rsid w:val="0A5A5398"/>
    <w:rsid w:val="0A5B04A3"/>
    <w:rsid w:val="0A884AC2"/>
    <w:rsid w:val="0A8D59B6"/>
    <w:rsid w:val="0A913C3F"/>
    <w:rsid w:val="0A9F6BE3"/>
    <w:rsid w:val="0AA04BFE"/>
    <w:rsid w:val="0AA14702"/>
    <w:rsid w:val="0AC10340"/>
    <w:rsid w:val="0AD86032"/>
    <w:rsid w:val="0AE4691F"/>
    <w:rsid w:val="0AFD2B73"/>
    <w:rsid w:val="0B243B52"/>
    <w:rsid w:val="0B2E72C7"/>
    <w:rsid w:val="0B8D0A75"/>
    <w:rsid w:val="0BC5166E"/>
    <w:rsid w:val="0BEF6D35"/>
    <w:rsid w:val="0C104C1F"/>
    <w:rsid w:val="0C1D75DB"/>
    <w:rsid w:val="0C597B42"/>
    <w:rsid w:val="0C6A4FEB"/>
    <w:rsid w:val="0C6F7804"/>
    <w:rsid w:val="0C7B7BBA"/>
    <w:rsid w:val="0C972783"/>
    <w:rsid w:val="0CD024AF"/>
    <w:rsid w:val="0CF72B8E"/>
    <w:rsid w:val="0D4109FB"/>
    <w:rsid w:val="0D43783F"/>
    <w:rsid w:val="0D614171"/>
    <w:rsid w:val="0D9D5AAC"/>
    <w:rsid w:val="0DA57240"/>
    <w:rsid w:val="0DA85345"/>
    <w:rsid w:val="0E032B87"/>
    <w:rsid w:val="0E15476E"/>
    <w:rsid w:val="0E340CB9"/>
    <w:rsid w:val="0E5C6154"/>
    <w:rsid w:val="0E7B09CE"/>
    <w:rsid w:val="0ED10FDA"/>
    <w:rsid w:val="0EEF1EF0"/>
    <w:rsid w:val="0F235963"/>
    <w:rsid w:val="0F4A710C"/>
    <w:rsid w:val="0F615C11"/>
    <w:rsid w:val="0F6B4A79"/>
    <w:rsid w:val="0FCA7068"/>
    <w:rsid w:val="0FDE628B"/>
    <w:rsid w:val="0FF06A72"/>
    <w:rsid w:val="10454D05"/>
    <w:rsid w:val="108E5D60"/>
    <w:rsid w:val="109758B5"/>
    <w:rsid w:val="10CC408D"/>
    <w:rsid w:val="110B4996"/>
    <w:rsid w:val="118B2A1C"/>
    <w:rsid w:val="12047CB0"/>
    <w:rsid w:val="121E6DC4"/>
    <w:rsid w:val="12366443"/>
    <w:rsid w:val="125D4779"/>
    <w:rsid w:val="12756B67"/>
    <w:rsid w:val="12854F44"/>
    <w:rsid w:val="128B1A18"/>
    <w:rsid w:val="12935F60"/>
    <w:rsid w:val="12C05480"/>
    <w:rsid w:val="12D25402"/>
    <w:rsid w:val="12D63D30"/>
    <w:rsid w:val="12E464D1"/>
    <w:rsid w:val="13311FAF"/>
    <w:rsid w:val="13394A5B"/>
    <w:rsid w:val="1348219C"/>
    <w:rsid w:val="13502C05"/>
    <w:rsid w:val="13694F8A"/>
    <w:rsid w:val="14151C2B"/>
    <w:rsid w:val="14361B45"/>
    <w:rsid w:val="14AF537E"/>
    <w:rsid w:val="14B6767D"/>
    <w:rsid w:val="14D02DF5"/>
    <w:rsid w:val="14E704E1"/>
    <w:rsid w:val="15270BBD"/>
    <w:rsid w:val="157079BA"/>
    <w:rsid w:val="15AC1679"/>
    <w:rsid w:val="15F75DA4"/>
    <w:rsid w:val="16111742"/>
    <w:rsid w:val="16127AFE"/>
    <w:rsid w:val="163D1F5C"/>
    <w:rsid w:val="165E2796"/>
    <w:rsid w:val="166200E9"/>
    <w:rsid w:val="16783AEC"/>
    <w:rsid w:val="16970684"/>
    <w:rsid w:val="16996FF2"/>
    <w:rsid w:val="169E4366"/>
    <w:rsid w:val="16B57597"/>
    <w:rsid w:val="16BA6D54"/>
    <w:rsid w:val="16EB0BF1"/>
    <w:rsid w:val="17237EFC"/>
    <w:rsid w:val="17A95E0C"/>
    <w:rsid w:val="17AA5F28"/>
    <w:rsid w:val="17B423F4"/>
    <w:rsid w:val="17C0064A"/>
    <w:rsid w:val="17D0746E"/>
    <w:rsid w:val="17E26C8C"/>
    <w:rsid w:val="17F20725"/>
    <w:rsid w:val="18396F14"/>
    <w:rsid w:val="18421DE9"/>
    <w:rsid w:val="184C30CA"/>
    <w:rsid w:val="186276D4"/>
    <w:rsid w:val="18906A92"/>
    <w:rsid w:val="189D066B"/>
    <w:rsid w:val="18A67F53"/>
    <w:rsid w:val="18B96DA5"/>
    <w:rsid w:val="18BB39F2"/>
    <w:rsid w:val="18BE50BA"/>
    <w:rsid w:val="18BE7198"/>
    <w:rsid w:val="18D536B7"/>
    <w:rsid w:val="190B2328"/>
    <w:rsid w:val="19212258"/>
    <w:rsid w:val="19722563"/>
    <w:rsid w:val="19743984"/>
    <w:rsid w:val="19BF7295"/>
    <w:rsid w:val="19FF4E04"/>
    <w:rsid w:val="1A5A1A62"/>
    <w:rsid w:val="1A676352"/>
    <w:rsid w:val="1A757FC2"/>
    <w:rsid w:val="1AA46A08"/>
    <w:rsid w:val="1AB328E2"/>
    <w:rsid w:val="1AB8776D"/>
    <w:rsid w:val="1AC76789"/>
    <w:rsid w:val="1ACA6E82"/>
    <w:rsid w:val="1ACB0549"/>
    <w:rsid w:val="1AD91089"/>
    <w:rsid w:val="1ADA1B37"/>
    <w:rsid w:val="1AE165BB"/>
    <w:rsid w:val="1AFE249D"/>
    <w:rsid w:val="1B0B6E51"/>
    <w:rsid w:val="1B275AED"/>
    <w:rsid w:val="1B6450EA"/>
    <w:rsid w:val="1B84497F"/>
    <w:rsid w:val="1B88705D"/>
    <w:rsid w:val="1B9C027D"/>
    <w:rsid w:val="1BAA36DF"/>
    <w:rsid w:val="1BE95B78"/>
    <w:rsid w:val="1C1D0557"/>
    <w:rsid w:val="1C4B6210"/>
    <w:rsid w:val="1C6070C2"/>
    <w:rsid w:val="1C660E63"/>
    <w:rsid w:val="1C6F027F"/>
    <w:rsid w:val="1CC63AF9"/>
    <w:rsid w:val="1CD0766E"/>
    <w:rsid w:val="1D8965DF"/>
    <w:rsid w:val="1DA6438C"/>
    <w:rsid w:val="1DB179E9"/>
    <w:rsid w:val="1DB5464C"/>
    <w:rsid w:val="1DD51E94"/>
    <w:rsid w:val="1DDF314D"/>
    <w:rsid w:val="1E0503A2"/>
    <w:rsid w:val="1E2A6014"/>
    <w:rsid w:val="1E3C6CC4"/>
    <w:rsid w:val="1E3F6C3A"/>
    <w:rsid w:val="1E98313A"/>
    <w:rsid w:val="1E991A34"/>
    <w:rsid w:val="1ECE5260"/>
    <w:rsid w:val="1EEF4E63"/>
    <w:rsid w:val="1F0E3293"/>
    <w:rsid w:val="1F3643E9"/>
    <w:rsid w:val="1F656F4D"/>
    <w:rsid w:val="1F805BBC"/>
    <w:rsid w:val="1F886705"/>
    <w:rsid w:val="1FB07DF3"/>
    <w:rsid w:val="1FB24C1E"/>
    <w:rsid w:val="1FC93481"/>
    <w:rsid w:val="1FD244A3"/>
    <w:rsid w:val="1FE17A01"/>
    <w:rsid w:val="202E7D97"/>
    <w:rsid w:val="204313B4"/>
    <w:rsid w:val="208366D5"/>
    <w:rsid w:val="209E30D6"/>
    <w:rsid w:val="20C30CA9"/>
    <w:rsid w:val="20D818F7"/>
    <w:rsid w:val="20D96F08"/>
    <w:rsid w:val="211A3E43"/>
    <w:rsid w:val="2139157F"/>
    <w:rsid w:val="21547F36"/>
    <w:rsid w:val="2187631F"/>
    <w:rsid w:val="21A4380A"/>
    <w:rsid w:val="21A65541"/>
    <w:rsid w:val="21C94D76"/>
    <w:rsid w:val="220C20F0"/>
    <w:rsid w:val="22574F86"/>
    <w:rsid w:val="22794E74"/>
    <w:rsid w:val="227E5704"/>
    <w:rsid w:val="228A7CE8"/>
    <w:rsid w:val="22A34D47"/>
    <w:rsid w:val="22C51CE6"/>
    <w:rsid w:val="231511CE"/>
    <w:rsid w:val="23A470D8"/>
    <w:rsid w:val="23A74735"/>
    <w:rsid w:val="23B9332C"/>
    <w:rsid w:val="23F75E7E"/>
    <w:rsid w:val="2426246A"/>
    <w:rsid w:val="2451792E"/>
    <w:rsid w:val="245826E9"/>
    <w:rsid w:val="245D400B"/>
    <w:rsid w:val="246A4A80"/>
    <w:rsid w:val="24767F32"/>
    <w:rsid w:val="24C41D56"/>
    <w:rsid w:val="24C626E8"/>
    <w:rsid w:val="24DC5EBB"/>
    <w:rsid w:val="25144DAF"/>
    <w:rsid w:val="25276F08"/>
    <w:rsid w:val="254A2AF8"/>
    <w:rsid w:val="25517CE4"/>
    <w:rsid w:val="25703EC3"/>
    <w:rsid w:val="25874F28"/>
    <w:rsid w:val="25A02BF9"/>
    <w:rsid w:val="25A721CD"/>
    <w:rsid w:val="25C75A3D"/>
    <w:rsid w:val="25D4529B"/>
    <w:rsid w:val="25F95F1C"/>
    <w:rsid w:val="2636728D"/>
    <w:rsid w:val="265F1920"/>
    <w:rsid w:val="266C3528"/>
    <w:rsid w:val="269D20C2"/>
    <w:rsid w:val="26A219CE"/>
    <w:rsid w:val="27392E24"/>
    <w:rsid w:val="274F6DD1"/>
    <w:rsid w:val="275324C4"/>
    <w:rsid w:val="27B366BF"/>
    <w:rsid w:val="27CB65A0"/>
    <w:rsid w:val="27E601D4"/>
    <w:rsid w:val="280412BD"/>
    <w:rsid w:val="285F611A"/>
    <w:rsid w:val="28773C04"/>
    <w:rsid w:val="288735DA"/>
    <w:rsid w:val="288D49A0"/>
    <w:rsid w:val="288E278C"/>
    <w:rsid w:val="28916651"/>
    <w:rsid w:val="28A43A43"/>
    <w:rsid w:val="291933B8"/>
    <w:rsid w:val="291D7302"/>
    <w:rsid w:val="293B613B"/>
    <w:rsid w:val="295B0A83"/>
    <w:rsid w:val="296E070E"/>
    <w:rsid w:val="29737B86"/>
    <w:rsid w:val="299049E8"/>
    <w:rsid w:val="29C923E4"/>
    <w:rsid w:val="29E84155"/>
    <w:rsid w:val="2A08519E"/>
    <w:rsid w:val="2A134FA1"/>
    <w:rsid w:val="2A1466DF"/>
    <w:rsid w:val="2A211664"/>
    <w:rsid w:val="2A236931"/>
    <w:rsid w:val="2A3224D8"/>
    <w:rsid w:val="2A826FFE"/>
    <w:rsid w:val="2AA17AB1"/>
    <w:rsid w:val="2AAC35BE"/>
    <w:rsid w:val="2AAC5DF6"/>
    <w:rsid w:val="2AB52179"/>
    <w:rsid w:val="2ABF4C21"/>
    <w:rsid w:val="2AD60653"/>
    <w:rsid w:val="2ADC2444"/>
    <w:rsid w:val="2B27185F"/>
    <w:rsid w:val="2B340391"/>
    <w:rsid w:val="2B4C75CA"/>
    <w:rsid w:val="2B585EB3"/>
    <w:rsid w:val="2B5E00EB"/>
    <w:rsid w:val="2B822211"/>
    <w:rsid w:val="2B941E8F"/>
    <w:rsid w:val="2BB802F1"/>
    <w:rsid w:val="2BB86778"/>
    <w:rsid w:val="2BCA41E5"/>
    <w:rsid w:val="2BF838D9"/>
    <w:rsid w:val="2C275941"/>
    <w:rsid w:val="2C304522"/>
    <w:rsid w:val="2C3A0591"/>
    <w:rsid w:val="2C453CB2"/>
    <w:rsid w:val="2C8C56B5"/>
    <w:rsid w:val="2CC94C4A"/>
    <w:rsid w:val="2CD55C01"/>
    <w:rsid w:val="2D012BC6"/>
    <w:rsid w:val="2D0F6A25"/>
    <w:rsid w:val="2D413313"/>
    <w:rsid w:val="2D66371B"/>
    <w:rsid w:val="2D6B0AEA"/>
    <w:rsid w:val="2D940467"/>
    <w:rsid w:val="2DC85545"/>
    <w:rsid w:val="2DCE715A"/>
    <w:rsid w:val="2DE40ACB"/>
    <w:rsid w:val="2E381134"/>
    <w:rsid w:val="2E5C5D76"/>
    <w:rsid w:val="2EC44A97"/>
    <w:rsid w:val="2EF80714"/>
    <w:rsid w:val="2F16569A"/>
    <w:rsid w:val="2F2C15FA"/>
    <w:rsid w:val="2F3A0E3E"/>
    <w:rsid w:val="2F4A524B"/>
    <w:rsid w:val="2F661460"/>
    <w:rsid w:val="2F7336C7"/>
    <w:rsid w:val="2F7409FD"/>
    <w:rsid w:val="2FAC02A1"/>
    <w:rsid w:val="2FAD1F3D"/>
    <w:rsid w:val="2FBB71FA"/>
    <w:rsid w:val="2FD960EE"/>
    <w:rsid w:val="2FF53F4B"/>
    <w:rsid w:val="2FF61339"/>
    <w:rsid w:val="30455DB9"/>
    <w:rsid w:val="3059610A"/>
    <w:rsid w:val="305C10FB"/>
    <w:rsid w:val="30A77050"/>
    <w:rsid w:val="30CF0F8B"/>
    <w:rsid w:val="30F606E8"/>
    <w:rsid w:val="310421D2"/>
    <w:rsid w:val="311A52A5"/>
    <w:rsid w:val="31634E45"/>
    <w:rsid w:val="317E3D59"/>
    <w:rsid w:val="318D6E43"/>
    <w:rsid w:val="31D15247"/>
    <w:rsid w:val="31D57D89"/>
    <w:rsid w:val="31EB7645"/>
    <w:rsid w:val="3207341B"/>
    <w:rsid w:val="32236C2E"/>
    <w:rsid w:val="32466C35"/>
    <w:rsid w:val="32BC6F27"/>
    <w:rsid w:val="32C16E4F"/>
    <w:rsid w:val="32C83822"/>
    <w:rsid w:val="32EF4667"/>
    <w:rsid w:val="32FC18EF"/>
    <w:rsid w:val="33233B85"/>
    <w:rsid w:val="33544C1D"/>
    <w:rsid w:val="339148A8"/>
    <w:rsid w:val="33A76F60"/>
    <w:rsid w:val="340B5FBB"/>
    <w:rsid w:val="34433534"/>
    <w:rsid w:val="34CF6B76"/>
    <w:rsid w:val="34DF36B3"/>
    <w:rsid w:val="34F62354"/>
    <w:rsid w:val="350008B7"/>
    <w:rsid w:val="35287855"/>
    <w:rsid w:val="357019E1"/>
    <w:rsid w:val="35817C78"/>
    <w:rsid w:val="35EA49B6"/>
    <w:rsid w:val="35ED1FD2"/>
    <w:rsid w:val="360056EE"/>
    <w:rsid w:val="361673E1"/>
    <w:rsid w:val="36237DBC"/>
    <w:rsid w:val="362447C7"/>
    <w:rsid w:val="363C60CD"/>
    <w:rsid w:val="36847815"/>
    <w:rsid w:val="36A0704D"/>
    <w:rsid w:val="36F55D6A"/>
    <w:rsid w:val="370C36FB"/>
    <w:rsid w:val="370C4951"/>
    <w:rsid w:val="37452302"/>
    <w:rsid w:val="37563860"/>
    <w:rsid w:val="37630940"/>
    <w:rsid w:val="376F77BB"/>
    <w:rsid w:val="37713F68"/>
    <w:rsid w:val="37A5715B"/>
    <w:rsid w:val="37AB2A7D"/>
    <w:rsid w:val="37C90E63"/>
    <w:rsid w:val="37D41ABC"/>
    <w:rsid w:val="37D772E4"/>
    <w:rsid w:val="37EF67CD"/>
    <w:rsid w:val="37F26356"/>
    <w:rsid w:val="382E1C39"/>
    <w:rsid w:val="38382E81"/>
    <w:rsid w:val="386A53E3"/>
    <w:rsid w:val="38750A94"/>
    <w:rsid w:val="387576E1"/>
    <w:rsid w:val="38B9311E"/>
    <w:rsid w:val="38D51263"/>
    <w:rsid w:val="38DF2E5B"/>
    <w:rsid w:val="38E80D57"/>
    <w:rsid w:val="390A2F6D"/>
    <w:rsid w:val="39115542"/>
    <w:rsid w:val="392C5CA2"/>
    <w:rsid w:val="3937066D"/>
    <w:rsid w:val="398E654D"/>
    <w:rsid w:val="39900FC9"/>
    <w:rsid w:val="39AD452D"/>
    <w:rsid w:val="39AF27CD"/>
    <w:rsid w:val="39D5598E"/>
    <w:rsid w:val="3A2C5621"/>
    <w:rsid w:val="3A5D5AD1"/>
    <w:rsid w:val="3A6A0B07"/>
    <w:rsid w:val="3A6C4FEA"/>
    <w:rsid w:val="3A7C32FC"/>
    <w:rsid w:val="3A804602"/>
    <w:rsid w:val="3AB82AD6"/>
    <w:rsid w:val="3ACA6209"/>
    <w:rsid w:val="3ACE7FFB"/>
    <w:rsid w:val="3B075849"/>
    <w:rsid w:val="3B201FB2"/>
    <w:rsid w:val="3B3E4288"/>
    <w:rsid w:val="3B472C67"/>
    <w:rsid w:val="3B4F3512"/>
    <w:rsid w:val="3B5F7789"/>
    <w:rsid w:val="3B6A7FB4"/>
    <w:rsid w:val="3BA6175F"/>
    <w:rsid w:val="3BAC7C11"/>
    <w:rsid w:val="3BC15513"/>
    <w:rsid w:val="3BDF2E8B"/>
    <w:rsid w:val="3BFF4760"/>
    <w:rsid w:val="3C455F53"/>
    <w:rsid w:val="3C585A10"/>
    <w:rsid w:val="3CBE25E9"/>
    <w:rsid w:val="3CC03FCC"/>
    <w:rsid w:val="3CC1149A"/>
    <w:rsid w:val="3CE448AB"/>
    <w:rsid w:val="3D4A2EE7"/>
    <w:rsid w:val="3D582F24"/>
    <w:rsid w:val="3D620ACA"/>
    <w:rsid w:val="3D693F66"/>
    <w:rsid w:val="3D7E4DC3"/>
    <w:rsid w:val="3D7F6A3A"/>
    <w:rsid w:val="3D8A7ABC"/>
    <w:rsid w:val="3DB3732D"/>
    <w:rsid w:val="3DC172A7"/>
    <w:rsid w:val="3DC6211A"/>
    <w:rsid w:val="3DCC1077"/>
    <w:rsid w:val="3DEA2D86"/>
    <w:rsid w:val="3DEB651A"/>
    <w:rsid w:val="3E23065E"/>
    <w:rsid w:val="3E3C5DE7"/>
    <w:rsid w:val="3E616933"/>
    <w:rsid w:val="3E713E39"/>
    <w:rsid w:val="3E8175BE"/>
    <w:rsid w:val="3E823D9C"/>
    <w:rsid w:val="3EEF23D8"/>
    <w:rsid w:val="3F007DF3"/>
    <w:rsid w:val="3F063341"/>
    <w:rsid w:val="3F125391"/>
    <w:rsid w:val="3F134B07"/>
    <w:rsid w:val="3F140F27"/>
    <w:rsid w:val="3F325A3F"/>
    <w:rsid w:val="3F8B6B34"/>
    <w:rsid w:val="3F8C2250"/>
    <w:rsid w:val="3F942E96"/>
    <w:rsid w:val="3F990C4C"/>
    <w:rsid w:val="3FF724F2"/>
    <w:rsid w:val="3FFF042F"/>
    <w:rsid w:val="406A3401"/>
    <w:rsid w:val="40837404"/>
    <w:rsid w:val="40875D69"/>
    <w:rsid w:val="409B412C"/>
    <w:rsid w:val="40D65E30"/>
    <w:rsid w:val="40F61EB7"/>
    <w:rsid w:val="410B1171"/>
    <w:rsid w:val="412C606A"/>
    <w:rsid w:val="412F3A2A"/>
    <w:rsid w:val="417F709C"/>
    <w:rsid w:val="41A72441"/>
    <w:rsid w:val="41D24DDF"/>
    <w:rsid w:val="41D73D23"/>
    <w:rsid w:val="41DA0BC8"/>
    <w:rsid w:val="41EA162A"/>
    <w:rsid w:val="41F00286"/>
    <w:rsid w:val="42252E7D"/>
    <w:rsid w:val="422F0C69"/>
    <w:rsid w:val="42507548"/>
    <w:rsid w:val="427F648A"/>
    <w:rsid w:val="42876CE2"/>
    <w:rsid w:val="42B6763D"/>
    <w:rsid w:val="43104E14"/>
    <w:rsid w:val="431326C9"/>
    <w:rsid w:val="432036E1"/>
    <w:rsid w:val="4335569C"/>
    <w:rsid w:val="434012B5"/>
    <w:rsid w:val="43414302"/>
    <w:rsid w:val="434D215B"/>
    <w:rsid w:val="43A24854"/>
    <w:rsid w:val="43A546AB"/>
    <w:rsid w:val="43C004F4"/>
    <w:rsid w:val="44104B0F"/>
    <w:rsid w:val="447811D7"/>
    <w:rsid w:val="44873F3D"/>
    <w:rsid w:val="448E5435"/>
    <w:rsid w:val="44A30FDA"/>
    <w:rsid w:val="44D01572"/>
    <w:rsid w:val="45580516"/>
    <w:rsid w:val="457124C5"/>
    <w:rsid w:val="45772094"/>
    <w:rsid w:val="45900050"/>
    <w:rsid w:val="45B500A7"/>
    <w:rsid w:val="46281D08"/>
    <w:rsid w:val="462908AA"/>
    <w:rsid w:val="463B109C"/>
    <w:rsid w:val="46901133"/>
    <w:rsid w:val="46EB3BA2"/>
    <w:rsid w:val="46F61076"/>
    <w:rsid w:val="47343821"/>
    <w:rsid w:val="477D269F"/>
    <w:rsid w:val="47916B77"/>
    <w:rsid w:val="47956ADA"/>
    <w:rsid w:val="48427933"/>
    <w:rsid w:val="48552DCE"/>
    <w:rsid w:val="4885155F"/>
    <w:rsid w:val="489020BD"/>
    <w:rsid w:val="48BB2867"/>
    <w:rsid w:val="48E0721C"/>
    <w:rsid w:val="494D479C"/>
    <w:rsid w:val="49620953"/>
    <w:rsid w:val="498C2AD2"/>
    <w:rsid w:val="49DC21C8"/>
    <w:rsid w:val="49EC288C"/>
    <w:rsid w:val="4A143551"/>
    <w:rsid w:val="4A2F4D54"/>
    <w:rsid w:val="4A4F346A"/>
    <w:rsid w:val="4A6B2C0C"/>
    <w:rsid w:val="4A741309"/>
    <w:rsid w:val="4A804C80"/>
    <w:rsid w:val="4ACF18BC"/>
    <w:rsid w:val="4AD403C0"/>
    <w:rsid w:val="4AEB07FB"/>
    <w:rsid w:val="4AF96DA6"/>
    <w:rsid w:val="4B013AD5"/>
    <w:rsid w:val="4B8B481A"/>
    <w:rsid w:val="4B95222F"/>
    <w:rsid w:val="4BA8621E"/>
    <w:rsid w:val="4BBB73BA"/>
    <w:rsid w:val="4C1E250F"/>
    <w:rsid w:val="4C201254"/>
    <w:rsid w:val="4C2B5752"/>
    <w:rsid w:val="4C3517CA"/>
    <w:rsid w:val="4C3A0E8D"/>
    <w:rsid w:val="4C562CF2"/>
    <w:rsid w:val="4C6F0F12"/>
    <w:rsid w:val="4CA14CC6"/>
    <w:rsid w:val="4CA26BF2"/>
    <w:rsid w:val="4CAE634F"/>
    <w:rsid w:val="4CCA2604"/>
    <w:rsid w:val="4CCB2111"/>
    <w:rsid w:val="4D4C66A4"/>
    <w:rsid w:val="4D9F367B"/>
    <w:rsid w:val="4DA41677"/>
    <w:rsid w:val="4DA66523"/>
    <w:rsid w:val="4DAA6439"/>
    <w:rsid w:val="4DE70AF0"/>
    <w:rsid w:val="4DED0FBF"/>
    <w:rsid w:val="4E0A084D"/>
    <w:rsid w:val="4E40044D"/>
    <w:rsid w:val="4EFB2A0C"/>
    <w:rsid w:val="4F422A08"/>
    <w:rsid w:val="4F6F68C5"/>
    <w:rsid w:val="4F706CEE"/>
    <w:rsid w:val="4F832319"/>
    <w:rsid w:val="4F8D1E8A"/>
    <w:rsid w:val="5020335E"/>
    <w:rsid w:val="50286CD9"/>
    <w:rsid w:val="503B1D58"/>
    <w:rsid w:val="5069299A"/>
    <w:rsid w:val="507C1E50"/>
    <w:rsid w:val="509F5A68"/>
    <w:rsid w:val="50BC1B24"/>
    <w:rsid w:val="50E04A65"/>
    <w:rsid w:val="51087E13"/>
    <w:rsid w:val="5119556F"/>
    <w:rsid w:val="511B2921"/>
    <w:rsid w:val="51226A29"/>
    <w:rsid w:val="51305432"/>
    <w:rsid w:val="515D39C6"/>
    <w:rsid w:val="51901B14"/>
    <w:rsid w:val="519E7677"/>
    <w:rsid w:val="51A116B0"/>
    <w:rsid w:val="51AB1BA3"/>
    <w:rsid w:val="51DA5080"/>
    <w:rsid w:val="523C0A30"/>
    <w:rsid w:val="525D3F00"/>
    <w:rsid w:val="52781559"/>
    <w:rsid w:val="5296297B"/>
    <w:rsid w:val="52AA0C60"/>
    <w:rsid w:val="52E81FE1"/>
    <w:rsid w:val="52E90890"/>
    <w:rsid w:val="52EB0768"/>
    <w:rsid w:val="53144E35"/>
    <w:rsid w:val="53236981"/>
    <w:rsid w:val="532965BF"/>
    <w:rsid w:val="534433BC"/>
    <w:rsid w:val="535751D0"/>
    <w:rsid w:val="536054BA"/>
    <w:rsid w:val="53695B54"/>
    <w:rsid w:val="53E50FED"/>
    <w:rsid w:val="5407520C"/>
    <w:rsid w:val="54437FB7"/>
    <w:rsid w:val="549B140C"/>
    <w:rsid w:val="54EB3100"/>
    <w:rsid w:val="54F1675A"/>
    <w:rsid w:val="5500023C"/>
    <w:rsid w:val="550726EC"/>
    <w:rsid w:val="552E5A45"/>
    <w:rsid w:val="555B50AE"/>
    <w:rsid w:val="55BC0945"/>
    <w:rsid w:val="55C73B6D"/>
    <w:rsid w:val="56222B52"/>
    <w:rsid w:val="56292812"/>
    <w:rsid w:val="56564E3C"/>
    <w:rsid w:val="56771E5B"/>
    <w:rsid w:val="568224D5"/>
    <w:rsid w:val="56AA5140"/>
    <w:rsid w:val="56BA0FDC"/>
    <w:rsid w:val="56BA4455"/>
    <w:rsid w:val="56C24164"/>
    <w:rsid w:val="56C62F7F"/>
    <w:rsid w:val="570C5B60"/>
    <w:rsid w:val="571F0D65"/>
    <w:rsid w:val="57494746"/>
    <w:rsid w:val="574C183C"/>
    <w:rsid w:val="57592939"/>
    <w:rsid w:val="575A4DA5"/>
    <w:rsid w:val="57852033"/>
    <w:rsid w:val="5788168A"/>
    <w:rsid w:val="579064EC"/>
    <w:rsid w:val="579F744F"/>
    <w:rsid w:val="57AD1BAC"/>
    <w:rsid w:val="58234724"/>
    <w:rsid w:val="584016E1"/>
    <w:rsid w:val="58483E59"/>
    <w:rsid w:val="58665E4C"/>
    <w:rsid w:val="589A0A5E"/>
    <w:rsid w:val="58AB7467"/>
    <w:rsid w:val="591B35A8"/>
    <w:rsid w:val="59711529"/>
    <w:rsid w:val="59890124"/>
    <w:rsid w:val="59A72F25"/>
    <w:rsid w:val="59BC54F3"/>
    <w:rsid w:val="59BE47E8"/>
    <w:rsid w:val="59D41088"/>
    <w:rsid w:val="59DF76D7"/>
    <w:rsid w:val="5A076DF6"/>
    <w:rsid w:val="5A1B75EF"/>
    <w:rsid w:val="5A4E6848"/>
    <w:rsid w:val="5A5020B9"/>
    <w:rsid w:val="5A737E20"/>
    <w:rsid w:val="5A7E5715"/>
    <w:rsid w:val="5AC800CF"/>
    <w:rsid w:val="5B0C0DCC"/>
    <w:rsid w:val="5B102E0E"/>
    <w:rsid w:val="5B144CC7"/>
    <w:rsid w:val="5B2608FD"/>
    <w:rsid w:val="5B592D40"/>
    <w:rsid w:val="5B5E2576"/>
    <w:rsid w:val="5B6F6AAE"/>
    <w:rsid w:val="5B751E7C"/>
    <w:rsid w:val="5B7F270C"/>
    <w:rsid w:val="5B9B13DC"/>
    <w:rsid w:val="5BA04490"/>
    <w:rsid w:val="5BD844BF"/>
    <w:rsid w:val="5BDB5A74"/>
    <w:rsid w:val="5BEF6255"/>
    <w:rsid w:val="5BF671C1"/>
    <w:rsid w:val="5C2A7E91"/>
    <w:rsid w:val="5C337C10"/>
    <w:rsid w:val="5C823640"/>
    <w:rsid w:val="5C857F6D"/>
    <w:rsid w:val="5CB436B1"/>
    <w:rsid w:val="5D044FCA"/>
    <w:rsid w:val="5D196DEA"/>
    <w:rsid w:val="5D52007F"/>
    <w:rsid w:val="5D607672"/>
    <w:rsid w:val="5D6E2C84"/>
    <w:rsid w:val="5D8F228A"/>
    <w:rsid w:val="5DA378C7"/>
    <w:rsid w:val="5DD42630"/>
    <w:rsid w:val="5E453881"/>
    <w:rsid w:val="5E500B92"/>
    <w:rsid w:val="5E8D4D51"/>
    <w:rsid w:val="5EBC3592"/>
    <w:rsid w:val="5EDF37B0"/>
    <w:rsid w:val="5EEC01A1"/>
    <w:rsid w:val="5EF61967"/>
    <w:rsid w:val="5F0725BA"/>
    <w:rsid w:val="5F17281A"/>
    <w:rsid w:val="5F442C41"/>
    <w:rsid w:val="5F534520"/>
    <w:rsid w:val="5F566ED6"/>
    <w:rsid w:val="5F860448"/>
    <w:rsid w:val="5FB61869"/>
    <w:rsid w:val="5FD62261"/>
    <w:rsid w:val="601752FA"/>
    <w:rsid w:val="601D7525"/>
    <w:rsid w:val="602045B8"/>
    <w:rsid w:val="6064376B"/>
    <w:rsid w:val="606C580B"/>
    <w:rsid w:val="606C7575"/>
    <w:rsid w:val="606F2E37"/>
    <w:rsid w:val="60773674"/>
    <w:rsid w:val="607C3A1D"/>
    <w:rsid w:val="60C22332"/>
    <w:rsid w:val="60E07719"/>
    <w:rsid w:val="61133E1C"/>
    <w:rsid w:val="611539DF"/>
    <w:rsid w:val="61217CBD"/>
    <w:rsid w:val="61305953"/>
    <w:rsid w:val="619057DE"/>
    <w:rsid w:val="61997363"/>
    <w:rsid w:val="61B759FD"/>
    <w:rsid w:val="61BC727B"/>
    <w:rsid w:val="61E36D53"/>
    <w:rsid w:val="61FB16BE"/>
    <w:rsid w:val="622D7DB2"/>
    <w:rsid w:val="624B188D"/>
    <w:rsid w:val="62604393"/>
    <w:rsid w:val="62746BA1"/>
    <w:rsid w:val="62A96C5C"/>
    <w:rsid w:val="63337152"/>
    <w:rsid w:val="634451B5"/>
    <w:rsid w:val="6399611D"/>
    <w:rsid w:val="63A05FEC"/>
    <w:rsid w:val="63C55319"/>
    <w:rsid w:val="640B5F7D"/>
    <w:rsid w:val="641F313D"/>
    <w:rsid w:val="641F7E21"/>
    <w:rsid w:val="64695DBA"/>
    <w:rsid w:val="64DC5B21"/>
    <w:rsid w:val="64F00643"/>
    <w:rsid w:val="6518779A"/>
    <w:rsid w:val="65230B9F"/>
    <w:rsid w:val="65512720"/>
    <w:rsid w:val="659673E5"/>
    <w:rsid w:val="65D35C16"/>
    <w:rsid w:val="663076A2"/>
    <w:rsid w:val="66315F88"/>
    <w:rsid w:val="664F3FC7"/>
    <w:rsid w:val="666134B9"/>
    <w:rsid w:val="666C38F9"/>
    <w:rsid w:val="66EF194B"/>
    <w:rsid w:val="66EF692B"/>
    <w:rsid w:val="66F93080"/>
    <w:rsid w:val="671B715E"/>
    <w:rsid w:val="67337D6A"/>
    <w:rsid w:val="67833C30"/>
    <w:rsid w:val="67B67084"/>
    <w:rsid w:val="67CE442D"/>
    <w:rsid w:val="67D839B8"/>
    <w:rsid w:val="67F21127"/>
    <w:rsid w:val="6817328F"/>
    <w:rsid w:val="68394457"/>
    <w:rsid w:val="684D74C6"/>
    <w:rsid w:val="685D01C5"/>
    <w:rsid w:val="68685BD7"/>
    <w:rsid w:val="689E69F0"/>
    <w:rsid w:val="68A10776"/>
    <w:rsid w:val="68A33ACA"/>
    <w:rsid w:val="691554F3"/>
    <w:rsid w:val="691B0EFE"/>
    <w:rsid w:val="694A5CDD"/>
    <w:rsid w:val="694B0634"/>
    <w:rsid w:val="69A93FDB"/>
    <w:rsid w:val="69D3648B"/>
    <w:rsid w:val="69D615DA"/>
    <w:rsid w:val="69DE5965"/>
    <w:rsid w:val="69EB6E59"/>
    <w:rsid w:val="69F67967"/>
    <w:rsid w:val="69FA7C16"/>
    <w:rsid w:val="69FC14BC"/>
    <w:rsid w:val="6A0F4771"/>
    <w:rsid w:val="6A327690"/>
    <w:rsid w:val="6A3766FD"/>
    <w:rsid w:val="6A421FE5"/>
    <w:rsid w:val="6A4C0060"/>
    <w:rsid w:val="6A537326"/>
    <w:rsid w:val="6A5F216E"/>
    <w:rsid w:val="6A623437"/>
    <w:rsid w:val="6A8D686E"/>
    <w:rsid w:val="6AF55DB4"/>
    <w:rsid w:val="6B046B87"/>
    <w:rsid w:val="6B0D5E42"/>
    <w:rsid w:val="6B3358A5"/>
    <w:rsid w:val="6B475BC1"/>
    <w:rsid w:val="6B7042B9"/>
    <w:rsid w:val="6B99077F"/>
    <w:rsid w:val="6B9D0DD4"/>
    <w:rsid w:val="6BA83E8B"/>
    <w:rsid w:val="6BB06677"/>
    <w:rsid w:val="6BD71F45"/>
    <w:rsid w:val="6C0375B0"/>
    <w:rsid w:val="6C0C5F81"/>
    <w:rsid w:val="6C1954FD"/>
    <w:rsid w:val="6C1A52B7"/>
    <w:rsid w:val="6C2D0985"/>
    <w:rsid w:val="6C9E53D2"/>
    <w:rsid w:val="6C9F4566"/>
    <w:rsid w:val="6CA237C2"/>
    <w:rsid w:val="6CCB3FBE"/>
    <w:rsid w:val="6CDD5F0C"/>
    <w:rsid w:val="6CF92086"/>
    <w:rsid w:val="6D116900"/>
    <w:rsid w:val="6D182FB2"/>
    <w:rsid w:val="6D612C86"/>
    <w:rsid w:val="6D7D288C"/>
    <w:rsid w:val="6D9C0A3F"/>
    <w:rsid w:val="6DAD24E8"/>
    <w:rsid w:val="6DBF2595"/>
    <w:rsid w:val="6DDD7E95"/>
    <w:rsid w:val="6DED150A"/>
    <w:rsid w:val="6E150CAB"/>
    <w:rsid w:val="6E22773B"/>
    <w:rsid w:val="6E2A130B"/>
    <w:rsid w:val="6E712052"/>
    <w:rsid w:val="6E8D613D"/>
    <w:rsid w:val="6E8E5F23"/>
    <w:rsid w:val="6EC73E02"/>
    <w:rsid w:val="6ECD63BB"/>
    <w:rsid w:val="6EE618A0"/>
    <w:rsid w:val="6F093E0D"/>
    <w:rsid w:val="6F0A2F03"/>
    <w:rsid w:val="6F3F60CB"/>
    <w:rsid w:val="6F4A1DE1"/>
    <w:rsid w:val="6F6949BA"/>
    <w:rsid w:val="6FB71D76"/>
    <w:rsid w:val="6FF173EA"/>
    <w:rsid w:val="700156B6"/>
    <w:rsid w:val="700D4188"/>
    <w:rsid w:val="704178E7"/>
    <w:rsid w:val="70517FB1"/>
    <w:rsid w:val="70A365B8"/>
    <w:rsid w:val="70A627A4"/>
    <w:rsid w:val="70B10879"/>
    <w:rsid w:val="70BD2070"/>
    <w:rsid w:val="70C60C3E"/>
    <w:rsid w:val="70E87E11"/>
    <w:rsid w:val="70F74353"/>
    <w:rsid w:val="71496D59"/>
    <w:rsid w:val="71550659"/>
    <w:rsid w:val="716C0B5E"/>
    <w:rsid w:val="71D02A85"/>
    <w:rsid w:val="71F1664B"/>
    <w:rsid w:val="72185CC2"/>
    <w:rsid w:val="72302459"/>
    <w:rsid w:val="72482005"/>
    <w:rsid w:val="72660D1B"/>
    <w:rsid w:val="72E97972"/>
    <w:rsid w:val="730A09E9"/>
    <w:rsid w:val="730F205D"/>
    <w:rsid w:val="733D07AD"/>
    <w:rsid w:val="73423CCD"/>
    <w:rsid w:val="735A0F51"/>
    <w:rsid w:val="736E4F36"/>
    <w:rsid w:val="73B766CE"/>
    <w:rsid w:val="73C26A1C"/>
    <w:rsid w:val="74317A90"/>
    <w:rsid w:val="74667E03"/>
    <w:rsid w:val="749A2585"/>
    <w:rsid w:val="749A798D"/>
    <w:rsid w:val="74A314A0"/>
    <w:rsid w:val="74A46198"/>
    <w:rsid w:val="74AA6211"/>
    <w:rsid w:val="74BA487A"/>
    <w:rsid w:val="74FB4EF0"/>
    <w:rsid w:val="751B5F13"/>
    <w:rsid w:val="7524620E"/>
    <w:rsid w:val="75370592"/>
    <w:rsid w:val="753A28EB"/>
    <w:rsid w:val="755A1EB0"/>
    <w:rsid w:val="756E175A"/>
    <w:rsid w:val="7582762E"/>
    <w:rsid w:val="758E0981"/>
    <w:rsid w:val="75981543"/>
    <w:rsid w:val="75B65537"/>
    <w:rsid w:val="75B72D8C"/>
    <w:rsid w:val="75B965D3"/>
    <w:rsid w:val="75E42214"/>
    <w:rsid w:val="76063F13"/>
    <w:rsid w:val="763359FC"/>
    <w:rsid w:val="764D09CB"/>
    <w:rsid w:val="765425D6"/>
    <w:rsid w:val="765C3110"/>
    <w:rsid w:val="76834273"/>
    <w:rsid w:val="76F017B6"/>
    <w:rsid w:val="76F64459"/>
    <w:rsid w:val="771976F5"/>
    <w:rsid w:val="772F721B"/>
    <w:rsid w:val="773611C3"/>
    <w:rsid w:val="779C013C"/>
    <w:rsid w:val="77AE1EC0"/>
    <w:rsid w:val="77CB525B"/>
    <w:rsid w:val="78061A5D"/>
    <w:rsid w:val="783973D7"/>
    <w:rsid w:val="789902DA"/>
    <w:rsid w:val="789D015F"/>
    <w:rsid w:val="78AD0322"/>
    <w:rsid w:val="78AD53D4"/>
    <w:rsid w:val="79441B50"/>
    <w:rsid w:val="79604594"/>
    <w:rsid w:val="79922259"/>
    <w:rsid w:val="79C92416"/>
    <w:rsid w:val="79F3642F"/>
    <w:rsid w:val="7A031D70"/>
    <w:rsid w:val="7A553AAB"/>
    <w:rsid w:val="7A7011CE"/>
    <w:rsid w:val="7AAC0AB8"/>
    <w:rsid w:val="7AD601E6"/>
    <w:rsid w:val="7AE6475E"/>
    <w:rsid w:val="7AEB71DD"/>
    <w:rsid w:val="7AF67D38"/>
    <w:rsid w:val="7AF74E21"/>
    <w:rsid w:val="7B555FDE"/>
    <w:rsid w:val="7B7F6FE9"/>
    <w:rsid w:val="7BA6061C"/>
    <w:rsid w:val="7BAB400B"/>
    <w:rsid w:val="7BD007D6"/>
    <w:rsid w:val="7BD87D76"/>
    <w:rsid w:val="7C4431AD"/>
    <w:rsid w:val="7C5036C5"/>
    <w:rsid w:val="7C951E23"/>
    <w:rsid w:val="7C9C7B1E"/>
    <w:rsid w:val="7CAA0D67"/>
    <w:rsid w:val="7CBD75BB"/>
    <w:rsid w:val="7CF34F0C"/>
    <w:rsid w:val="7D6E294E"/>
    <w:rsid w:val="7D9636AF"/>
    <w:rsid w:val="7D994735"/>
    <w:rsid w:val="7DBE59C9"/>
    <w:rsid w:val="7DC30F2F"/>
    <w:rsid w:val="7DD71893"/>
    <w:rsid w:val="7EA064DF"/>
    <w:rsid w:val="7EB31E1B"/>
    <w:rsid w:val="7F311C1A"/>
    <w:rsid w:val="7F3B3921"/>
    <w:rsid w:val="7F63170E"/>
    <w:rsid w:val="7F671064"/>
    <w:rsid w:val="7F90761D"/>
    <w:rsid w:val="7F9B4C14"/>
    <w:rsid w:val="7FAE623A"/>
    <w:rsid w:val="7FC07F70"/>
    <w:rsid w:val="7FC6459B"/>
    <w:rsid w:val="7FF13B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3"/>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64"/>
    <w:qFormat/>
    <w:uiPriority w:val="0"/>
    <w:pPr>
      <w:keepNext/>
      <w:keepLines/>
      <w:spacing w:before="260" w:after="260" w:line="416" w:lineRule="auto"/>
      <w:outlineLvl w:val="2"/>
    </w:pPr>
    <w:rPr>
      <w:b/>
      <w:bCs/>
      <w:sz w:val="32"/>
      <w:szCs w:val="32"/>
    </w:rPr>
  </w:style>
  <w:style w:type="paragraph" w:styleId="5">
    <w:name w:val="heading 4"/>
    <w:basedOn w:val="1"/>
    <w:next w:val="1"/>
    <w:link w:val="65"/>
    <w:qFormat/>
    <w:uiPriority w:val="0"/>
    <w:pPr>
      <w:keepNext/>
      <w:keepLines/>
      <w:widowControl/>
      <w:spacing w:before="120" w:after="120" w:line="360" w:lineRule="auto"/>
      <w:ind w:firstLine="1044" w:firstLineChars="200"/>
      <w:jc w:val="center"/>
      <w:outlineLvl w:val="3"/>
    </w:pPr>
    <w:rPr>
      <w:rFonts w:ascii="Arial" w:hAnsi="Arial" w:eastAsia="黑体"/>
      <w:kern w:val="0"/>
      <w:sz w:val="28"/>
      <w:szCs w:val="20"/>
    </w:rPr>
  </w:style>
  <w:style w:type="paragraph" w:styleId="6">
    <w:name w:val="heading 5"/>
    <w:basedOn w:val="1"/>
    <w:next w:val="1"/>
    <w:link w:val="66"/>
    <w:qFormat/>
    <w:uiPriority w:val="0"/>
    <w:pPr>
      <w:keepNext/>
      <w:keepLines/>
      <w:spacing w:before="280" w:after="290" w:line="376" w:lineRule="auto"/>
      <w:ind w:firstLine="567" w:firstLineChars="200"/>
      <w:jc w:val="left"/>
      <w:outlineLvl w:val="4"/>
    </w:pPr>
    <w:rPr>
      <w:b/>
      <w:sz w:val="28"/>
    </w:rPr>
  </w:style>
  <w:style w:type="paragraph" w:styleId="7">
    <w:name w:val="heading 6"/>
    <w:basedOn w:val="1"/>
    <w:next w:val="1"/>
    <w:link w:val="67"/>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link w:val="68"/>
    <w:qFormat/>
    <w:uiPriority w:val="0"/>
    <w:pPr>
      <w:keepNext/>
      <w:keepLines/>
      <w:tabs>
        <w:tab w:val="left" w:pos="3827"/>
      </w:tabs>
      <w:spacing w:before="240" w:after="64" w:line="320" w:lineRule="auto"/>
      <w:ind w:left="3827" w:hanging="1276" w:firstLineChars="200"/>
      <w:jc w:val="left"/>
      <w:outlineLvl w:val="6"/>
    </w:pPr>
    <w:rPr>
      <w:b/>
      <w:sz w:val="24"/>
    </w:rPr>
  </w:style>
  <w:style w:type="paragraph" w:styleId="9">
    <w:name w:val="heading 8"/>
    <w:basedOn w:val="1"/>
    <w:next w:val="10"/>
    <w:link w:val="69"/>
    <w:qFormat/>
    <w:uiPriority w:val="0"/>
    <w:pPr>
      <w:keepNext/>
      <w:keepLines/>
      <w:tabs>
        <w:tab w:val="left" w:pos="4394"/>
      </w:tabs>
      <w:spacing w:before="240" w:after="64" w:line="320" w:lineRule="auto"/>
      <w:ind w:left="4394" w:hanging="1418" w:firstLineChars="200"/>
      <w:jc w:val="left"/>
      <w:outlineLvl w:val="7"/>
    </w:pPr>
    <w:rPr>
      <w:rFonts w:ascii="Arial" w:hAnsi="Arial" w:eastAsia="黑体"/>
      <w:sz w:val="24"/>
    </w:rPr>
  </w:style>
  <w:style w:type="paragraph" w:styleId="11">
    <w:name w:val="heading 9"/>
    <w:basedOn w:val="1"/>
    <w:next w:val="10"/>
    <w:link w:val="71"/>
    <w:qFormat/>
    <w:uiPriority w:val="0"/>
    <w:pPr>
      <w:keepNext/>
      <w:keepLines/>
      <w:tabs>
        <w:tab w:val="left" w:pos="5102"/>
      </w:tabs>
      <w:spacing w:before="240" w:after="64" w:line="320" w:lineRule="auto"/>
      <w:ind w:left="5102" w:hanging="1700" w:firstLineChars="200"/>
      <w:jc w:val="left"/>
      <w:outlineLvl w:val="8"/>
    </w:pPr>
    <w:rPr>
      <w:rFonts w:ascii="Arial" w:hAnsi="Arial" w:eastAsia="黑体"/>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10">
    <w:name w:val="Normal Indent"/>
    <w:basedOn w:val="1"/>
    <w:link w:val="70"/>
    <w:qFormat/>
    <w:uiPriority w:val="0"/>
    <w:pPr>
      <w:ind w:firstLine="420"/>
    </w:pPr>
    <w:rPr>
      <w:szCs w:val="20"/>
    </w:rPr>
  </w:style>
  <w:style w:type="paragraph" w:styleId="12">
    <w:name w:val="toc 7"/>
    <w:basedOn w:val="1"/>
    <w:next w:val="1"/>
    <w:qFormat/>
    <w:uiPriority w:val="0"/>
    <w:pPr>
      <w:tabs>
        <w:tab w:val="right" w:leader="dot" w:pos="9185"/>
      </w:tabs>
      <w:adjustRightInd w:val="0"/>
      <w:spacing w:line="312" w:lineRule="atLeast"/>
      <w:ind w:left="2520" w:firstLine="1044" w:firstLineChars="200"/>
      <w:jc w:val="left"/>
      <w:textAlignment w:val="baseline"/>
    </w:pPr>
    <w:rPr>
      <w:kern w:val="0"/>
      <w:szCs w:val="20"/>
    </w:rPr>
  </w:style>
  <w:style w:type="paragraph" w:styleId="13">
    <w:name w:val="index 8"/>
    <w:basedOn w:val="1"/>
    <w:next w:val="1"/>
    <w:qFormat/>
    <w:uiPriority w:val="0"/>
    <w:pPr>
      <w:spacing w:line="400" w:lineRule="exact"/>
      <w:ind w:left="2940" w:firstLine="1044" w:firstLineChars="200"/>
      <w:jc w:val="left"/>
    </w:pPr>
  </w:style>
  <w:style w:type="paragraph" w:styleId="14">
    <w:name w:val="List Number"/>
    <w:basedOn w:val="1"/>
    <w:qFormat/>
    <w:uiPriority w:val="0"/>
    <w:pPr>
      <w:widowControl/>
      <w:tabs>
        <w:tab w:val="left" w:pos="454"/>
        <w:tab w:val="left" w:pos="720"/>
        <w:tab w:val="left" w:pos="840"/>
      </w:tabs>
      <w:spacing w:afterLines="50" w:line="400" w:lineRule="exact"/>
      <w:ind w:left="454" w:hanging="284" w:firstLineChars="200"/>
      <w:jc w:val="left"/>
    </w:pPr>
    <w:rPr>
      <w:kern w:val="0"/>
      <w:sz w:val="24"/>
      <w:szCs w:val="20"/>
    </w:rPr>
  </w:style>
  <w:style w:type="paragraph" w:styleId="15">
    <w:name w:val="caption"/>
    <w:basedOn w:val="1"/>
    <w:next w:val="1"/>
    <w:qFormat/>
    <w:uiPriority w:val="0"/>
    <w:pPr>
      <w:spacing w:before="152" w:after="160" w:line="400" w:lineRule="exact"/>
      <w:ind w:firstLine="1044" w:firstLineChars="200"/>
      <w:jc w:val="left"/>
    </w:pPr>
    <w:rPr>
      <w:rFonts w:ascii="Arial" w:hAnsi="Arial" w:eastAsia="黑体" w:cs="Arial"/>
      <w:sz w:val="20"/>
      <w:szCs w:val="20"/>
    </w:rPr>
  </w:style>
  <w:style w:type="paragraph" w:styleId="16">
    <w:name w:val="Document Map"/>
    <w:basedOn w:val="1"/>
    <w:link w:val="72"/>
    <w:qFormat/>
    <w:uiPriority w:val="0"/>
    <w:pPr>
      <w:shd w:val="clear" w:color="auto" w:fill="000080"/>
      <w:adjustRightInd w:val="0"/>
      <w:spacing w:line="312" w:lineRule="atLeast"/>
      <w:ind w:firstLine="1044" w:firstLineChars="200"/>
      <w:jc w:val="left"/>
      <w:textAlignment w:val="baseline"/>
    </w:pPr>
    <w:rPr>
      <w:kern w:val="0"/>
      <w:szCs w:val="20"/>
    </w:rPr>
  </w:style>
  <w:style w:type="paragraph" w:styleId="17">
    <w:name w:val="annotation text"/>
    <w:basedOn w:val="1"/>
    <w:link w:val="73"/>
    <w:qFormat/>
    <w:uiPriority w:val="99"/>
    <w:pPr>
      <w:jc w:val="left"/>
    </w:pPr>
  </w:style>
  <w:style w:type="paragraph" w:styleId="18">
    <w:name w:val="Body Text 3"/>
    <w:basedOn w:val="1"/>
    <w:link w:val="74"/>
    <w:qFormat/>
    <w:uiPriority w:val="0"/>
    <w:pPr>
      <w:spacing w:line="240" w:lineRule="exact"/>
    </w:pPr>
    <w:rPr>
      <w:rFonts w:ascii="宋体" w:hAnsi="宋体"/>
      <w:color w:val="000000"/>
      <w:szCs w:val="21"/>
    </w:rPr>
  </w:style>
  <w:style w:type="paragraph" w:styleId="19">
    <w:name w:val="Body Text"/>
    <w:basedOn w:val="1"/>
    <w:link w:val="75"/>
    <w:qFormat/>
    <w:uiPriority w:val="99"/>
    <w:pPr>
      <w:spacing w:line="380" w:lineRule="exact"/>
      <w:ind w:firstLine="1044" w:firstLineChars="200"/>
      <w:jc w:val="left"/>
    </w:pPr>
    <w:rPr>
      <w:sz w:val="24"/>
    </w:rPr>
  </w:style>
  <w:style w:type="paragraph" w:styleId="20">
    <w:name w:val="Body Text Indent"/>
    <w:basedOn w:val="1"/>
    <w:link w:val="76"/>
    <w:qFormat/>
    <w:uiPriority w:val="0"/>
    <w:pPr>
      <w:spacing w:line="400" w:lineRule="exact"/>
      <w:ind w:firstLine="830" w:firstLineChars="352"/>
      <w:jc w:val="left"/>
    </w:pPr>
    <w:rPr>
      <w:rFonts w:ascii="仿宋_GB2312" w:eastAsia="仿宋_GB2312"/>
      <w:sz w:val="32"/>
      <w:szCs w:val="20"/>
    </w:rPr>
  </w:style>
  <w:style w:type="paragraph" w:styleId="21">
    <w:name w:val="List Number 3"/>
    <w:basedOn w:val="1"/>
    <w:qFormat/>
    <w:uiPriority w:val="0"/>
    <w:pPr>
      <w:numPr>
        <w:ilvl w:val="0"/>
        <w:numId w:val="1"/>
      </w:numPr>
      <w:spacing w:line="400" w:lineRule="exact"/>
      <w:ind w:firstLine="200" w:firstLineChars="200"/>
      <w:jc w:val="left"/>
    </w:pPr>
  </w:style>
  <w:style w:type="paragraph" w:styleId="22">
    <w:name w:val="List 2"/>
    <w:basedOn w:val="1"/>
    <w:qFormat/>
    <w:uiPriority w:val="0"/>
    <w:pPr>
      <w:spacing w:line="400" w:lineRule="exact"/>
      <w:ind w:left="100" w:leftChars="200" w:hanging="200" w:hangingChars="200"/>
      <w:jc w:val="left"/>
    </w:pPr>
    <w:rPr>
      <w:sz w:val="28"/>
    </w:rPr>
  </w:style>
  <w:style w:type="paragraph" w:styleId="23">
    <w:name w:val="Block Text"/>
    <w:basedOn w:val="1"/>
    <w:qFormat/>
    <w:uiPriority w:val="0"/>
    <w:pPr>
      <w:adjustRightInd w:val="0"/>
      <w:spacing w:line="400" w:lineRule="exact"/>
      <w:ind w:left="420" w:right="33" w:firstLine="1044" w:firstLineChars="200"/>
      <w:jc w:val="left"/>
      <w:textAlignment w:val="baseline"/>
    </w:pPr>
    <w:rPr>
      <w:kern w:val="0"/>
      <w:sz w:val="24"/>
      <w:szCs w:val="20"/>
    </w:rPr>
  </w:style>
  <w:style w:type="paragraph" w:styleId="24">
    <w:name w:val="toc 5"/>
    <w:basedOn w:val="1"/>
    <w:next w:val="1"/>
    <w:qFormat/>
    <w:uiPriority w:val="0"/>
    <w:pPr>
      <w:tabs>
        <w:tab w:val="right" w:leader="dot" w:pos="9185"/>
      </w:tabs>
      <w:adjustRightInd w:val="0"/>
      <w:spacing w:line="312" w:lineRule="atLeast"/>
      <w:ind w:left="1680" w:firstLine="1044" w:firstLineChars="200"/>
      <w:jc w:val="left"/>
      <w:textAlignment w:val="baseline"/>
    </w:pPr>
    <w:rPr>
      <w:kern w:val="0"/>
      <w:szCs w:val="20"/>
    </w:rPr>
  </w:style>
  <w:style w:type="paragraph" w:styleId="25">
    <w:name w:val="toc 3"/>
    <w:basedOn w:val="1"/>
    <w:next w:val="1"/>
    <w:qFormat/>
    <w:uiPriority w:val="0"/>
    <w:pPr>
      <w:spacing w:line="400" w:lineRule="exact"/>
      <w:ind w:left="840" w:leftChars="400" w:firstLine="1044" w:firstLineChars="200"/>
      <w:jc w:val="left"/>
    </w:pPr>
  </w:style>
  <w:style w:type="paragraph" w:styleId="26">
    <w:name w:val="Plain Text"/>
    <w:basedOn w:val="1"/>
    <w:next w:val="13"/>
    <w:link w:val="77"/>
    <w:qFormat/>
    <w:uiPriority w:val="99"/>
    <w:rPr>
      <w:rFonts w:ascii="宋体" w:hAnsi="Courier New"/>
      <w:szCs w:val="20"/>
    </w:rPr>
  </w:style>
  <w:style w:type="paragraph" w:styleId="27">
    <w:name w:val="toc 8"/>
    <w:basedOn w:val="1"/>
    <w:next w:val="1"/>
    <w:qFormat/>
    <w:uiPriority w:val="0"/>
    <w:pPr>
      <w:tabs>
        <w:tab w:val="right" w:leader="dot" w:pos="9185"/>
      </w:tabs>
      <w:adjustRightInd w:val="0"/>
      <w:spacing w:line="312" w:lineRule="atLeast"/>
      <w:ind w:left="2940" w:firstLine="1044" w:firstLineChars="200"/>
      <w:jc w:val="left"/>
      <w:textAlignment w:val="baseline"/>
    </w:pPr>
    <w:rPr>
      <w:kern w:val="0"/>
      <w:szCs w:val="20"/>
    </w:rPr>
  </w:style>
  <w:style w:type="paragraph" w:styleId="28">
    <w:name w:val="Date"/>
    <w:basedOn w:val="1"/>
    <w:next w:val="1"/>
    <w:link w:val="78"/>
    <w:qFormat/>
    <w:uiPriority w:val="0"/>
    <w:pPr>
      <w:ind w:left="100" w:leftChars="2500"/>
    </w:pPr>
  </w:style>
  <w:style w:type="paragraph" w:styleId="29">
    <w:name w:val="Body Text Indent 2"/>
    <w:basedOn w:val="1"/>
    <w:link w:val="79"/>
    <w:qFormat/>
    <w:uiPriority w:val="0"/>
    <w:pPr>
      <w:spacing w:line="400" w:lineRule="exact"/>
      <w:ind w:firstLine="630" w:firstLineChars="200"/>
      <w:jc w:val="left"/>
    </w:pPr>
    <w:rPr>
      <w:sz w:val="32"/>
      <w:szCs w:val="20"/>
    </w:rPr>
  </w:style>
  <w:style w:type="paragraph" w:styleId="30">
    <w:name w:val="Balloon Text"/>
    <w:basedOn w:val="1"/>
    <w:link w:val="80"/>
    <w:qFormat/>
    <w:uiPriority w:val="0"/>
    <w:rPr>
      <w:sz w:val="18"/>
      <w:szCs w:val="18"/>
    </w:rPr>
  </w:style>
  <w:style w:type="paragraph" w:styleId="31">
    <w:name w:val="footer"/>
    <w:basedOn w:val="1"/>
    <w:next w:val="1"/>
    <w:link w:val="81"/>
    <w:qFormat/>
    <w:uiPriority w:val="99"/>
    <w:pPr>
      <w:tabs>
        <w:tab w:val="center" w:pos="4153"/>
        <w:tab w:val="right" w:pos="8306"/>
      </w:tabs>
      <w:snapToGrid w:val="0"/>
      <w:jc w:val="left"/>
    </w:pPr>
    <w:rPr>
      <w:sz w:val="18"/>
      <w:szCs w:val="18"/>
    </w:rPr>
  </w:style>
  <w:style w:type="paragraph" w:styleId="32">
    <w:name w:val="envelope return"/>
    <w:basedOn w:val="1"/>
    <w:qFormat/>
    <w:uiPriority w:val="0"/>
    <w:pPr>
      <w:snapToGrid w:val="0"/>
      <w:spacing w:line="400" w:lineRule="exact"/>
      <w:ind w:firstLine="1044" w:firstLineChars="200"/>
      <w:jc w:val="left"/>
    </w:pPr>
    <w:rPr>
      <w:rFonts w:ascii="Arial" w:hAnsi="Arial" w:cs="Arial"/>
    </w:rPr>
  </w:style>
  <w:style w:type="paragraph" w:styleId="33">
    <w:name w:val="header"/>
    <w:basedOn w:val="1"/>
    <w:link w:val="82"/>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tabs>
        <w:tab w:val="right" w:leader="dot" w:pos="8398"/>
      </w:tabs>
      <w:spacing w:before="120" w:after="120" w:line="400" w:lineRule="exact"/>
      <w:ind w:firstLine="240" w:firstLineChars="100"/>
      <w:jc w:val="left"/>
    </w:pPr>
    <w:rPr>
      <w:rFonts w:ascii="宋体" w:hAnsi="宋体"/>
      <w:b/>
      <w:bCs/>
      <w:caps/>
      <w:sz w:val="24"/>
    </w:rPr>
  </w:style>
  <w:style w:type="paragraph" w:styleId="35">
    <w:name w:val="toc 4"/>
    <w:basedOn w:val="1"/>
    <w:next w:val="1"/>
    <w:qFormat/>
    <w:uiPriority w:val="0"/>
    <w:pPr>
      <w:tabs>
        <w:tab w:val="right" w:leader="dot" w:pos="9185"/>
      </w:tabs>
      <w:adjustRightInd w:val="0"/>
      <w:spacing w:line="312" w:lineRule="atLeast"/>
      <w:ind w:left="1260" w:firstLine="1044" w:firstLineChars="200"/>
      <w:jc w:val="left"/>
      <w:textAlignment w:val="baseline"/>
    </w:pPr>
    <w:rPr>
      <w:kern w:val="0"/>
      <w:szCs w:val="20"/>
    </w:rPr>
  </w:style>
  <w:style w:type="paragraph" w:styleId="36">
    <w:name w:val="List"/>
    <w:basedOn w:val="1"/>
    <w:qFormat/>
    <w:uiPriority w:val="0"/>
    <w:pPr>
      <w:spacing w:line="400" w:lineRule="exact"/>
      <w:ind w:left="200" w:hanging="200" w:hangingChars="200"/>
      <w:jc w:val="left"/>
    </w:pPr>
    <w:rPr>
      <w:sz w:val="28"/>
    </w:rPr>
  </w:style>
  <w:style w:type="paragraph" w:styleId="37">
    <w:name w:val="toc 6"/>
    <w:basedOn w:val="1"/>
    <w:next w:val="1"/>
    <w:qFormat/>
    <w:uiPriority w:val="0"/>
    <w:pPr>
      <w:tabs>
        <w:tab w:val="right" w:leader="dot" w:pos="9185"/>
      </w:tabs>
      <w:adjustRightInd w:val="0"/>
      <w:spacing w:line="312" w:lineRule="atLeast"/>
      <w:ind w:left="2100" w:firstLine="1044" w:firstLineChars="200"/>
      <w:jc w:val="left"/>
      <w:textAlignment w:val="baseline"/>
    </w:pPr>
    <w:rPr>
      <w:kern w:val="0"/>
      <w:szCs w:val="20"/>
    </w:rPr>
  </w:style>
  <w:style w:type="paragraph" w:styleId="38">
    <w:name w:val="List 5"/>
    <w:basedOn w:val="1"/>
    <w:qFormat/>
    <w:uiPriority w:val="0"/>
    <w:pPr>
      <w:spacing w:line="400" w:lineRule="exact"/>
      <w:ind w:left="2100" w:hanging="420" w:firstLineChars="200"/>
      <w:jc w:val="left"/>
    </w:pPr>
    <w:rPr>
      <w:szCs w:val="20"/>
    </w:rPr>
  </w:style>
  <w:style w:type="paragraph" w:styleId="39">
    <w:name w:val="Body Text Indent 3"/>
    <w:basedOn w:val="1"/>
    <w:link w:val="83"/>
    <w:qFormat/>
    <w:uiPriority w:val="0"/>
    <w:pPr>
      <w:spacing w:after="120" w:line="400" w:lineRule="exact"/>
      <w:ind w:left="420" w:leftChars="200" w:firstLine="1044" w:firstLineChars="200"/>
      <w:jc w:val="left"/>
    </w:pPr>
    <w:rPr>
      <w:sz w:val="16"/>
      <w:szCs w:val="16"/>
    </w:rPr>
  </w:style>
  <w:style w:type="paragraph" w:styleId="40">
    <w:name w:val="table of figures"/>
    <w:basedOn w:val="1"/>
    <w:next w:val="1"/>
    <w:qFormat/>
    <w:uiPriority w:val="0"/>
    <w:pPr>
      <w:spacing w:line="400" w:lineRule="exact"/>
      <w:ind w:left="200" w:leftChars="200" w:hanging="200" w:hangingChars="200"/>
      <w:jc w:val="left"/>
    </w:pPr>
  </w:style>
  <w:style w:type="paragraph" w:styleId="41">
    <w:name w:val="toc 2"/>
    <w:basedOn w:val="1"/>
    <w:next w:val="1"/>
    <w:qFormat/>
    <w:uiPriority w:val="39"/>
    <w:pPr>
      <w:spacing w:line="400" w:lineRule="exact"/>
      <w:ind w:left="420" w:leftChars="200" w:firstLine="1044" w:firstLineChars="200"/>
      <w:jc w:val="left"/>
    </w:pPr>
  </w:style>
  <w:style w:type="paragraph" w:styleId="42">
    <w:name w:val="toc 9"/>
    <w:basedOn w:val="1"/>
    <w:next w:val="1"/>
    <w:qFormat/>
    <w:uiPriority w:val="0"/>
    <w:pPr>
      <w:tabs>
        <w:tab w:val="right" w:leader="dot" w:pos="9185"/>
      </w:tabs>
      <w:adjustRightInd w:val="0"/>
      <w:spacing w:line="312" w:lineRule="atLeast"/>
      <w:ind w:left="3360" w:firstLine="1044" w:firstLineChars="200"/>
      <w:jc w:val="left"/>
      <w:textAlignment w:val="baseline"/>
    </w:pPr>
    <w:rPr>
      <w:kern w:val="0"/>
      <w:szCs w:val="20"/>
    </w:rPr>
  </w:style>
  <w:style w:type="paragraph" w:styleId="43">
    <w:name w:val="Body Text 2"/>
    <w:basedOn w:val="1"/>
    <w:link w:val="84"/>
    <w:qFormat/>
    <w:uiPriority w:val="0"/>
    <w:pPr>
      <w:spacing w:after="120" w:line="480" w:lineRule="auto"/>
      <w:ind w:firstLine="1044" w:firstLineChars="200"/>
      <w:jc w:val="left"/>
    </w:pPr>
  </w:style>
  <w:style w:type="paragraph" w:styleId="44">
    <w:name w:val="HTML Preformatted"/>
    <w:basedOn w:val="1"/>
    <w:link w:val="8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6">
    <w:name w:val="index 1"/>
    <w:basedOn w:val="1"/>
    <w:next w:val="1"/>
    <w:qFormat/>
    <w:uiPriority w:val="0"/>
    <w:pPr>
      <w:spacing w:line="400" w:lineRule="exact"/>
      <w:ind w:firstLine="420" w:firstLineChars="200"/>
      <w:jc w:val="left"/>
    </w:pPr>
    <w:rPr>
      <w:rFonts w:ascii="宋体" w:hAnsi="Courier New"/>
      <w:b/>
      <w:szCs w:val="20"/>
    </w:rPr>
  </w:style>
  <w:style w:type="paragraph" w:styleId="47">
    <w:name w:val="Title"/>
    <w:basedOn w:val="1"/>
    <w:next w:val="1"/>
    <w:link w:val="86"/>
    <w:qFormat/>
    <w:uiPriority w:val="0"/>
    <w:pPr>
      <w:spacing w:before="240" w:after="60" w:line="400" w:lineRule="exact"/>
      <w:ind w:firstLine="1044" w:firstLineChars="200"/>
      <w:jc w:val="center"/>
      <w:outlineLvl w:val="0"/>
    </w:pPr>
    <w:rPr>
      <w:rFonts w:ascii="Cambria" w:hAnsi="Cambria"/>
      <w:b/>
      <w:bCs/>
      <w:sz w:val="32"/>
      <w:szCs w:val="32"/>
    </w:rPr>
  </w:style>
  <w:style w:type="paragraph" w:styleId="48">
    <w:name w:val="annotation subject"/>
    <w:basedOn w:val="17"/>
    <w:next w:val="17"/>
    <w:link w:val="87"/>
    <w:qFormat/>
    <w:uiPriority w:val="0"/>
    <w:rPr>
      <w:b/>
      <w:bCs/>
      <w:kern w:val="0"/>
      <w:sz w:val="20"/>
      <w:szCs w:val="20"/>
    </w:rPr>
  </w:style>
  <w:style w:type="paragraph" w:styleId="49">
    <w:name w:val="Body Text First Indent"/>
    <w:basedOn w:val="19"/>
    <w:link w:val="88"/>
    <w:qFormat/>
    <w:uiPriority w:val="99"/>
    <w:pPr>
      <w:spacing w:beforeLines="50" w:afterLines="50" w:line="360" w:lineRule="auto"/>
      <w:ind w:firstLine="420" w:firstLineChars="100"/>
    </w:pPr>
  </w:style>
  <w:style w:type="paragraph" w:styleId="50">
    <w:name w:val="Body Text First Indent 2"/>
    <w:basedOn w:val="20"/>
    <w:link w:val="89"/>
    <w:unhideWhenUsed/>
    <w:qFormat/>
    <w:uiPriority w:val="99"/>
    <w:pPr>
      <w:ind w:firstLine="420" w:firstLineChars="200"/>
    </w:p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qFormat/>
    <w:uiPriority w:val="0"/>
  </w:style>
  <w:style w:type="character" w:styleId="56">
    <w:name w:val="FollowedHyperlink"/>
    <w:qFormat/>
    <w:uiPriority w:val="99"/>
    <w:rPr>
      <w:rFonts w:ascii="Times New Roman" w:hAnsi="Times New Roman" w:eastAsia="宋体" w:cs="Times New Roman"/>
      <w:color w:val="800080"/>
      <w:u w:val="single"/>
    </w:rPr>
  </w:style>
  <w:style w:type="character" w:styleId="57">
    <w:name w:val="Emphasis"/>
    <w:qFormat/>
    <w:uiPriority w:val="0"/>
    <w:rPr>
      <w:rFonts w:ascii="Times New Roman" w:hAnsi="Times New Roman" w:eastAsia="宋体" w:cs="Times New Roman"/>
      <w:color w:val="CC0000"/>
    </w:rPr>
  </w:style>
  <w:style w:type="character" w:styleId="58">
    <w:name w:val="HTML Typewriter"/>
    <w:qFormat/>
    <w:uiPriority w:val="0"/>
    <w:rPr>
      <w:rFonts w:hint="eastAsia" w:ascii="宋体" w:hAnsi="宋体" w:eastAsia="宋体" w:cs="宋体"/>
      <w:sz w:val="24"/>
      <w:szCs w:val="24"/>
    </w:rPr>
  </w:style>
  <w:style w:type="character" w:styleId="59">
    <w:name w:val="Hyperlink"/>
    <w:qFormat/>
    <w:uiPriority w:val="0"/>
    <w:rPr>
      <w:color w:val="0000FF"/>
      <w:u w:val="single"/>
    </w:rPr>
  </w:style>
  <w:style w:type="character" w:styleId="60">
    <w:name w:val="annotation reference"/>
    <w:qFormat/>
    <w:uiPriority w:val="99"/>
    <w:rPr>
      <w:sz w:val="21"/>
      <w:szCs w:val="21"/>
    </w:rPr>
  </w:style>
  <w:style w:type="paragraph" w:customStyle="1" w:styleId="61">
    <w:name w:val="无间隔1"/>
    <w:basedOn w:val="1"/>
    <w:qFormat/>
    <w:uiPriority w:val="0"/>
    <w:pPr>
      <w:spacing w:line="400" w:lineRule="exact"/>
    </w:pPr>
    <w:rPr>
      <w:sz w:val="24"/>
    </w:rPr>
  </w:style>
  <w:style w:type="character" w:customStyle="1" w:styleId="62">
    <w:name w:val="标题 1 字符"/>
    <w:link w:val="2"/>
    <w:qFormat/>
    <w:uiPriority w:val="0"/>
    <w:rPr>
      <w:b/>
      <w:bCs/>
      <w:kern w:val="44"/>
      <w:sz w:val="44"/>
      <w:szCs w:val="44"/>
    </w:rPr>
  </w:style>
  <w:style w:type="character" w:customStyle="1" w:styleId="63">
    <w:name w:val="标题 2 字符"/>
    <w:link w:val="3"/>
    <w:qFormat/>
    <w:uiPriority w:val="0"/>
    <w:rPr>
      <w:rFonts w:ascii="Cambria" w:hAnsi="Cambria" w:eastAsia="宋体" w:cs="Times New Roman"/>
      <w:b/>
      <w:bCs/>
      <w:kern w:val="2"/>
      <w:sz w:val="32"/>
      <w:szCs w:val="32"/>
    </w:rPr>
  </w:style>
  <w:style w:type="character" w:customStyle="1" w:styleId="64">
    <w:name w:val="标题 3 字符"/>
    <w:link w:val="4"/>
    <w:qFormat/>
    <w:uiPriority w:val="0"/>
    <w:rPr>
      <w:b/>
      <w:bCs/>
      <w:kern w:val="2"/>
      <w:sz w:val="32"/>
      <w:szCs w:val="32"/>
    </w:rPr>
  </w:style>
  <w:style w:type="character" w:customStyle="1" w:styleId="65">
    <w:name w:val="标题 4 字符"/>
    <w:link w:val="5"/>
    <w:qFormat/>
    <w:uiPriority w:val="0"/>
    <w:rPr>
      <w:rFonts w:ascii="Arial" w:hAnsi="Arial" w:eastAsia="黑体"/>
      <w:sz w:val="28"/>
    </w:rPr>
  </w:style>
  <w:style w:type="character" w:customStyle="1" w:styleId="66">
    <w:name w:val="标题 5 字符"/>
    <w:link w:val="6"/>
    <w:qFormat/>
    <w:uiPriority w:val="0"/>
    <w:rPr>
      <w:b/>
      <w:kern w:val="2"/>
      <w:sz w:val="28"/>
      <w:szCs w:val="24"/>
    </w:rPr>
  </w:style>
  <w:style w:type="character" w:customStyle="1" w:styleId="67">
    <w:name w:val="标题 6 字符"/>
    <w:link w:val="7"/>
    <w:qFormat/>
    <w:uiPriority w:val="0"/>
    <w:rPr>
      <w:rFonts w:ascii="Arial" w:hAnsi="Arial" w:eastAsia="黑体"/>
      <w:b/>
      <w:bCs/>
      <w:kern w:val="2"/>
      <w:sz w:val="24"/>
      <w:szCs w:val="24"/>
      <w:lang w:val="en-US" w:eastAsia="zh-CN" w:bidi="ar-SA"/>
    </w:rPr>
  </w:style>
  <w:style w:type="character" w:customStyle="1" w:styleId="68">
    <w:name w:val="标题 7 字符"/>
    <w:link w:val="8"/>
    <w:qFormat/>
    <w:uiPriority w:val="0"/>
    <w:rPr>
      <w:b/>
      <w:kern w:val="2"/>
      <w:sz w:val="24"/>
      <w:szCs w:val="24"/>
    </w:rPr>
  </w:style>
  <w:style w:type="character" w:customStyle="1" w:styleId="69">
    <w:name w:val="标题 8 字符"/>
    <w:link w:val="9"/>
    <w:qFormat/>
    <w:uiPriority w:val="0"/>
    <w:rPr>
      <w:rFonts w:ascii="Arial" w:hAnsi="Arial" w:eastAsia="黑体"/>
      <w:kern w:val="2"/>
      <w:sz w:val="24"/>
      <w:szCs w:val="24"/>
    </w:rPr>
  </w:style>
  <w:style w:type="character" w:customStyle="1" w:styleId="70">
    <w:name w:val="正文缩进 字符"/>
    <w:link w:val="10"/>
    <w:qFormat/>
    <w:locked/>
    <w:uiPriority w:val="0"/>
    <w:rPr>
      <w:rFonts w:eastAsia="宋体"/>
      <w:kern w:val="2"/>
      <w:sz w:val="21"/>
      <w:lang w:val="en-US" w:eastAsia="zh-CN" w:bidi="ar-SA"/>
    </w:rPr>
  </w:style>
  <w:style w:type="character" w:customStyle="1" w:styleId="71">
    <w:name w:val="标题 9 字符"/>
    <w:link w:val="11"/>
    <w:qFormat/>
    <w:uiPriority w:val="0"/>
    <w:rPr>
      <w:rFonts w:ascii="Arial" w:hAnsi="Arial" w:eastAsia="黑体"/>
      <w:kern w:val="2"/>
      <w:sz w:val="21"/>
      <w:szCs w:val="24"/>
    </w:rPr>
  </w:style>
  <w:style w:type="character" w:customStyle="1" w:styleId="72">
    <w:name w:val="文档结构图 字符"/>
    <w:link w:val="16"/>
    <w:qFormat/>
    <w:uiPriority w:val="0"/>
    <w:rPr>
      <w:sz w:val="21"/>
      <w:shd w:val="clear" w:color="auto" w:fill="000080"/>
    </w:rPr>
  </w:style>
  <w:style w:type="character" w:customStyle="1" w:styleId="73">
    <w:name w:val="批注文字 字符1"/>
    <w:link w:val="17"/>
    <w:qFormat/>
    <w:uiPriority w:val="99"/>
    <w:rPr>
      <w:rFonts w:eastAsia="宋体"/>
      <w:kern w:val="2"/>
      <w:sz w:val="21"/>
      <w:szCs w:val="24"/>
      <w:lang w:val="en-US" w:eastAsia="zh-CN" w:bidi="ar-SA"/>
    </w:rPr>
  </w:style>
  <w:style w:type="character" w:customStyle="1" w:styleId="74">
    <w:name w:val="正文文本 3 字符"/>
    <w:link w:val="18"/>
    <w:qFormat/>
    <w:uiPriority w:val="0"/>
    <w:rPr>
      <w:rFonts w:ascii="宋体" w:hAnsi="宋体"/>
      <w:color w:val="000000"/>
      <w:kern w:val="2"/>
      <w:sz w:val="21"/>
      <w:szCs w:val="21"/>
    </w:rPr>
  </w:style>
  <w:style w:type="character" w:customStyle="1" w:styleId="75">
    <w:name w:val="正文文本 字符"/>
    <w:link w:val="19"/>
    <w:qFormat/>
    <w:uiPriority w:val="99"/>
    <w:rPr>
      <w:kern w:val="2"/>
      <w:sz w:val="24"/>
      <w:szCs w:val="24"/>
    </w:rPr>
  </w:style>
  <w:style w:type="character" w:customStyle="1" w:styleId="76">
    <w:name w:val="正文文本缩进 字符"/>
    <w:link w:val="20"/>
    <w:qFormat/>
    <w:uiPriority w:val="0"/>
    <w:rPr>
      <w:rFonts w:ascii="仿宋_GB2312" w:eastAsia="仿宋_GB2312"/>
      <w:kern w:val="2"/>
      <w:sz w:val="32"/>
    </w:rPr>
  </w:style>
  <w:style w:type="character" w:customStyle="1" w:styleId="77">
    <w:name w:val="纯文本 字符"/>
    <w:link w:val="26"/>
    <w:qFormat/>
    <w:uiPriority w:val="99"/>
    <w:rPr>
      <w:rFonts w:ascii="宋体" w:hAnsi="Courier New" w:eastAsia="宋体"/>
      <w:kern w:val="2"/>
      <w:sz w:val="21"/>
      <w:lang w:val="en-US" w:eastAsia="zh-CN" w:bidi="ar-SA"/>
    </w:rPr>
  </w:style>
  <w:style w:type="character" w:customStyle="1" w:styleId="78">
    <w:name w:val="日期 字符"/>
    <w:link w:val="28"/>
    <w:qFormat/>
    <w:uiPriority w:val="0"/>
    <w:rPr>
      <w:kern w:val="2"/>
      <w:sz w:val="21"/>
      <w:szCs w:val="24"/>
    </w:rPr>
  </w:style>
  <w:style w:type="character" w:customStyle="1" w:styleId="79">
    <w:name w:val="正文文本缩进 2 字符"/>
    <w:link w:val="29"/>
    <w:qFormat/>
    <w:uiPriority w:val="0"/>
    <w:rPr>
      <w:kern w:val="2"/>
      <w:sz w:val="32"/>
    </w:rPr>
  </w:style>
  <w:style w:type="character" w:customStyle="1" w:styleId="80">
    <w:name w:val="批注框文本 字符"/>
    <w:link w:val="30"/>
    <w:qFormat/>
    <w:uiPriority w:val="0"/>
    <w:rPr>
      <w:kern w:val="2"/>
      <w:sz w:val="18"/>
      <w:szCs w:val="18"/>
    </w:rPr>
  </w:style>
  <w:style w:type="character" w:customStyle="1" w:styleId="81">
    <w:name w:val="页脚 字符"/>
    <w:link w:val="31"/>
    <w:qFormat/>
    <w:uiPriority w:val="99"/>
    <w:rPr>
      <w:kern w:val="2"/>
      <w:sz w:val="18"/>
      <w:szCs w:val="18"/>
    </w:rPr>
  </w:style>
  <w:style w:type="character" w:customStyle="1" w:styleId="82">
    <w:name w:val="页眉 字符"/>
    <w:link w:val="33"/>
    <w:qFormat/>
    <w:uiPriority w:val="0"/>
    <w:rPr>
      <w:kern w:val="2"/>
      <w:sz w:val="18"/>
      <w:szCs w:val="18"/>
    </w:rPr>
  </w:style>
  <w:style w:type="character" w:customStyle="1" w:styleId="83">
    <w:name w:val="正文文本缩进 3 字符"/>
    <w:link w:val="39"/>
    <w:qFormat/>
    <w:uiPriority w:val="0"/>
    <w:rPr>
      <w:kern w:val="2"/>
      <w:sz w:val="16"/>
      <w:szCs w:val="16"/>
    </w:rPr>
  </w:style>
  <w:style w:type="character" w:customStyle="1" w:styleId="84">
    <w:name w:val="正文文本 2 字符"/>
    <w:link w:val="43"/>
    <w:qFormat/>
    <w:uiPriority w:val="0"/>
    <w:rPr>
      <w:kern w:val="2"/>
      <w:sz w:val="21"/>
      <w:szCs w:val="24"/>
    </w:rPr>
  </w:style>
  <w:style w:type="character" w:customStyle="1" w:styleId="85">
    <w:name w:val="HTML 预设格式 字符"/>
    <w:link w:val="44"/>
    <w:qFormat/>
    <w:uiPriority w:val="0"/>
    <w:rPr>
      <w:rFonts w:ascii="黑体" w:hAnsi="Courier New" w:eastAsia="黑体"/>
    </w:rPr>
  </w:style>
  <w:style w:type="character" w:customStyle="1" w:styleId="86">
    <w:name w:val="标题 字符"/>
    <w:link w:val="47"/>
    <w:qFormat/>
    <w:uiPriority w:val="0"/>
    <w:rPr>
      <w:rFonts w:ascii="Cambria" w:hAnsi="Cambria"/>
      <w:b/>
      <w:bCs/>
      <w:kern w:val="2"/>
      <w:sz w:val="32"/>
      <w:szCs w:val="32"/>
    </w:rPr>
  </w:style>
  <w:style w:type="character" w:customStyle="1" w:styleId="87">
    <w:name w:val="批注主题 字符"/>
    <w:link w:val="48"/>
    <w:qFormat/>
    <w:uiPriority w:val="0"/>
    <w:rPr>
      <w:b/>
      <w:bCs/>
      <w:lang w:val="en-US" w:eastAsia="zh-CN" w:bidi="ar-SA"/>
    </w:rPr>
  </w:style>
  <w:style w:type="character" w:customStyle="1" w:styleId="88">
    <w:name w:val="正文首行缩进 字符"/>
    <w:link w:val="49"/>
    <w:qFormat/>
    <w:uiPriority w:val="99"/>
  </w:style>
  <w:style w:type="character" w:customStyle="1" w:styleId="89">
    <w:name w:val="正文首行缩进 2 字符"/>
    <w:link w:val="50"/>
    <w:qFormat/>
    <w:uiPriority w:val="99"/>
  </w:style>
  <w:style w:type="character" w:customStyle="1" w:styleId="90">
    <w:name w:val="Char Char3"/>
    <w:qFormat/>
    <w:uiPriority w:val="0"/>
    <w:rPr>
      <w:rFonts w:ascii="宋体" w:hAnsi="Courier New" w:eastAsia="宋体"/>
      <w:kern w:val="2"/>
      <w:sz w:val="21"/>
      <w:lang w:val="en-US" w:eastAsia="zh-CN" w:bidi="ar-SA"/>
    </w:rPr>
  </w:style>
  <w:style w:type="character" w:customStyle="1" w:styleId="91">
    <w:name w:val="font112"/>
    <w:qFormat/>
    <w:uiPriority w:val="0"/>
    <w:rPr>
      <w:rFonts w:hint="eastAsia" w:ascii="宋体" w:hAnsi="宋体" w:eastAsia="宋体" w:cs="宋体"/>
      <w:color w:val="000000"/>
      <w:sz w:val="20"/>
      <w:szCs w:val="20"/>
      <w:u w:val="none"/>
    </w:rPr>
  </w:style>
  <w:style w:type="character" w:customStyle="1" w:styleId="92">
    <w:name w:val="批注文字 字符"/>
    <w:qFormat/>
    <w:uiPriority w:val="99"/>
    <w:rPr>
      <w:rFonts w:hint="eastAsia" w:ascii="宋体" w:hAnsi="宋体" w:eastAsia="宋体"/>
      <w:kern w:val="2"/>
      <w:sz w:val="21"/>
      <w:szCs w:val="24"/>
      <w:lang w:val="en-US" w:eastAsia="zh-CN" w:bidi="ar-SA"/>
    </w:rPr>
  </w:style>
  <w:style w:type="character" w:customStyle="1" w:styleId="93">
    <w:name w:val="Plain Text Char"/>
    <w:qFormat/>
    <w:uiPriority w:val="0"/>
    <w:rPr>
      <w:rFonts w:ascii="宋体" w:hAnsi="Courier New" w:eastAsia="宋体" w:cs="Times New Roman"/>
    </w:rPr>
  </w:style>
  <w:style w:type="character" w:customStyle="1" w:styleId="94">
    <w:name w:val="param-name"/>
    <w:qFormat/>
    <w:uiPriority w:val="0"/>
    <w:rPr>
      <w:rFonts w:ascii="Times New Roman" w:hAnsi="Times New Roman" w:eastAsia="宋体" w:cs="Times New Roman"/>
    </w:rPr>
  </w:style>
  <w:style w:type="character" w:customStyle="1" w:styleId="95">
    <w:name w:val="text11"/>
    <w:qFormat/>
    <w:uiPriority w:val="0"/>
    <w:rPr>
      <w:rFonts w:hint="default" w:ascii="Verdana" w:hAnsi="Verdana" w:eastAsia="宋体" w:cs="Times New Roman"/>
      <w:color w:val="4E4E4E"/>
      <w:sz w:val="18"/>
      <w:szCs w:val="18"/>
    </w:rPr>
  </w:style>
  <w:style w:type="character" w:customStyle="1" w:styleId="96">
    <w:name w:val="Char Char31"/>
    <w:qFormat/>
    <w:uiPriority w:val="0"/>
    <w:rPr>
      <w:rFonts w:hint="eastAsia" w:ascii="宋体" w:hAnsi="Courier New" w:eastAsia="宋体"/>
      <w:kern w:val="2"/>
      <w:sz w:val="21"/>
      <w:lang w:val="en-US" w:eastAsia="zh-CN" w:bidi="ar-SA"/>
    </w:rPr>
  </w:style>
  <w:style w:type="character" w:customStyle="1" w:styleId="97">
    <w:name w:val="font31"/>
    <w:qFormat/>
    <w:uiPriority w:val="0"/>
    <w:rPr>
      <w:rFonts w:ascii="AvantGarde Bk BT" w:hAnsi="AvantGarde Bk BT" w:eastAsia="AvantGarde Bk BT" w:cs="AvantGarde Bk BT"/>
      <w:color w:val="FF0000"/>
      <w:sz w:val="24"/>
      <w:szCs w:val="24"/>
      <w:u w:val="none"/>
    </w:rPr>
  </w:style>
  <w:style w:type="character" w:customStyle="1" w:styleId="98">
    <w:name w:val="font241"/>
    <w:qFormat/>
    <w:uiPriority w:val="0"/>
    <w:rPr>
      <w:rFonts w:hint="default" w:ascii="Times New Roman" w:hAnsi="Times New Roman" w:eastAsia="宋体" w:cs="Times New Roman"/>
      <w:color w:val="000000"/>
      <w:sz w:val="22"/>
      <w:szCs w:val="22"/>
      <w:u w:val="none"/>
    </w:rPr>
  </w:style>
  <w:style w:type="character" w:customStyle="1" w:styleId="99">
    <w:name w:val="列出段落 字符1"/>
    <w:link w:val="100"/>
    <w:qFormat/>
    <w:locked/>
    <w:uiPriority w:val="34"/>
    <w:rPr>
      <w:rFonts w:ascii="Calibri" w:hAnsi="Calibri" w:cs="宋体"/>
      <w:kern w:val="2"/>
      <w:sz w:val="21"/>
      <w:szCs w:val="22"/>
    </w:rPr>
  </w:style>
  <w:style w:type="paragraph" w:styleId="100">
    <w:name w:val="List Paragraph"/>
    <w:basedOn w:val="1"/>
    <w:link w:val="99"/>
    <w:qFormat/>
    <w:uiPriority w:val="34"/>
    <w:pPr>
      <w:ind w:firstLine="420" w:firstLineChars="200"/>
    </w:pPr>
    <w:rPr>
      <w:rFonts w:ascii="Calibri" w:hAnsi="Calibri"/>
      <w:szCs w:val="22"/>
    </w:rPr>
  </w:style>
  <w:style w:type="character" w:customStyle="1" w:styleId="101">
    <w:name w:val="graytext1"/>
    <w:qFormat/>
    <w:uiPriority w:val="0"/>
    <w:rPr>
      <w:rFonts w:ascii="Calibri" w:hAnsi="Calibri" w:eastAsia="宋体" w:cs="Times New Roman"/>
      <w:color w:val="666666"/>
    </w:rPr>
  </w:style>
  <w:style w:type="character" w:customStyle="1" w:styleId="102">
    <w:name w:val="llyf92"/>
    <w:qFormat/>
    <w:uiPriority w:val="0"/>
    <w:rPr>
      <w:rFonts w:ascii="Calibri" w:hAnsi="Calibri" w:eastAsia="宋体" w:cs="Times New Roman"/>
      <w:sz w:val="18"/>
      <w:szCs w:val="18"/>
    </w:rPr>
  </w:style>
  <w:style w:type="character" w:customStyle="1" w:styleId="103">
    <w:name w:val="white"/>
    <w:qFormat/>
    <w:uiPriority w:val="0"/>
    <w:rPr>
      <w:rFonts w:ascii="Calibri" w:hAnsi="Calibri" w:eastAsia="宋体" w:cs="Times New Roman"/>
    </w:rPr>
  </w:style>
  <w:style w:type="character" w:customStyle="1" w:styleId="104">
    <w:name w:val="样式1 Char"/>
    <w:link w:val="105"/>
    <w:qFormat/>
    <w:locked/>
    <w:uiPriority w:val="0"/>
    <w:rPr>
      <w:rFonts w:ascii="Cambria" w:hAnsi="Cambria"/>
      <w:b/>
      <w:bCs/>
      <w:i/>
      <w:iCs/>
      <w:sz w:val="21"/>
      <w:szCs w:val="28"/>
    </w:rPr>
  </w:style>
  <w:style w:type="paragraph" w:customStyle="1" w:styleId="105">
    <w:name w:val="样式1"/>
    <w:basedOn w:val="3"/>
    <w:next w:val="1"/>
    <w:link w:val="104"/>
    <w:qFormat/>
    <w:uiPriority w:val="0"/>
    <w:pPr>
      <w:keepLines w:val="0"/>
      <w:widowControl/>
      <w:numPr>
        <w:ilvl w:val="1"/>
        <w:numId w:val="2"/>
      </w:numPr>
      <w:spacing w:before="100" w:beforeAutospacing="1" w:after="100" w:afterAutospacing="1" w:line="240" w:lineRule="auto"/>
      <w:ind w:left="1152" w:right="100" w:rightChars="100"/>
      <w:jc w:val="left"/>
    </w:pPr>
    <w:rPr>
      <w:i/>
      <w:iCs/>
      <w:kern w:val="0"/>
      <w:sz w:val="21"/>
      <w:szCs w:val="28"/>
    </w:rPr>
  </w:style>
  <w:style w:type="character" w:customStyle="1" w:styleId="106">
    <w:name w:val="font231"/>
    <w:qFormat/>
    <w:uiPriority w:val="0"/>
    <w:rPr>
      <w:rFonts w:hint="default" w:ascii="Times New Roman" w:hAnsi="Times New Roman" w:eastAsia="宋体" w:cs="Times New Roman"/>
      <w:b/>
      <w:bCs/>
      <w:color w:val="000000"/>
      <w:sz w:val="22"/>
      <w:szCs w:val="22"/>
      <w:u w:val="none"/>
    </w:rPr>
  </w:style>
  <w:style w:type="character" w:customStyle="1" w:styleId="107">
    <w:name w:val="small"/>
    <w:qFormat/>
    <w:uiPriority w:val="0"/>
    <w:rPr>
      <w:rFonts w:ascii="Calibri" w:hAnsi="Calibri" w:eastAsia="宋体" w:cs="Times New Roman"/>
    </w:rPr>
  </w:style>
  <w:style w:type="character" w:customStyle="1" w:styleId="108">
    <w:name w:val="font191"/>
    <w:qFormat/>
    <w:uiPriority w:val="0"/>
    <w:rPr>
      <w:rFonts w:hint="default" w:ascii="Times New Roman" w:hAnsi="Times New Roman" w:eastAsia="宋体" w:cs="Times New Roman"/>
      <w:color w:val="000000"/>
      <w:sz w:val="22"/>
      <w:szCs w:val="22"/>
      <w:u w:val="none"/>
    </w:rPr>
  </w:style>
  <w:style w:type="character" w:customStyle="1" w:styleId="109">
    <w:name w:val="1ji Char"/>
    <w:qFormat/>
    <w:uiPriority w:val="0"/>
    <w:rPr>
      <w:rFonts w:ascii="宋体" w:hAnsi="宋体" w:eastAsia="宋体" w:cs="Times New Roman"/>
      <w:b/>
      <w:bCs/>
      <w:kern w:val="44"/>
      <w:sz w:val="36"/>
      <w:szCs w:val="44"/>
    </w:rPr>
  </w:style>
  <w:style w:type="character" w:customStyle="1" w:styleId="110">
    <w:name w:val="普通文字 Char Char1"/>
    <w:qFormat/>
    <w:uiPriority w:val="0"/>
    <w:rPr>
      <w:rFonts w:ascii="宋体" w:hAnsi="Courier New" w:eastAsia="宋体" w:cs="Courier New"/>
      <w:kern w:val="2"/>
      <w:sz w:val="21"/>
      <w:szCs w:val="21"/>
      <w:lang w:val="en-US" w:eastAsia="zh-CN" w:bidi="ar-SA"/>
    </w:rPr>
  </w:style>
  <w:style w:type="character" w:customStyle="1" w:styleId="111">
    <w:name w:val="font121"/>
    <w:qFormat/>
    <w:uiPriority w:val="0"/>
    <w:rPr>
      <w:rFonts w:hint="default" w:ascii="Times New Roman" w:hAnsi="Times New Roman" w:eastAsia="宋体" w:cs="Times New Roman"/>
      <w:color w:val="000000"/>
      <w:sz w:val="22"/>
      <w:szCs w:val="22"/>
      <w:u w:val="none"/>
    </w:rPr>
  </w:style>
  <w:style w:type="character" w:customStyle="1" w:styleId="112">
    <w:name w:val="font01"/>
    <w:qFormat/>
    <w:uiPriority w:val="0"/>
    <w:rPr>
      <w:rFonts w:hint="eastAsia" w:ascii="宋体" w:hAnsi="宋体" w:eastAsia="宋体" w:cs="宋体"/>
      <w:color w:val="000000"/>
      <w:sz w:val="28"/>
      <w:szCs w:val="28"/>
      <w:u w:val="none"/>
    </w:rPr>
  </w:style>
  <w:style w:type="character" w:customStyle="1" w:styleId="113">
    <w:name w:val="普通文字 Char Char5"/>
    <w:qFormat/>
    <w:uiPriority w:val="0"/>
    <w:rPr>
      <w:rFonts w:ascii="宋体" w:hAnsi="Courier New" w:eastAsia="宋体"/>
      <w:szCs w:val="21"/>
      <w:lang w:bidi="ar-SA"/>
    </w:rPr>
  </w:style>
  <w:style w:type="character" w:customStyle="1" w:styleId="114">
    <w:name w:val="font301"/>
    <w:qFormat/>
    <w:uiPriority w:val="0"/>
    <w:rPr>
      <w:rFonts w:hint="default" w:ascii="Times New Roman" w:hAnsi="Times New Roman" w:eastAsia="宋体" w:cs="Times New Roman"/>
      <w:color w:val="000000"/>
      <w:sz w:val="22"/>
      <w:szCs w:val="22"/>
      <w:u w:val="none"/>
      <w:vertAlign w:val="superscript"/>
    </w:rPr>
  </w:style>
  <w:style w:type="character" w:customStyle="1" w:styleId="115">
    <w:name w:val="标题 2 + 宋体 四号 非加粗 Char Char Char Char"/>
    <w:qFormat/>
    <w:uiPriority w:val="0"/>
    <w:rPr>
      <w:rFonts w:hint="eastAsia" w:ascii="宋体" w:hAnsi="宋体" w:eastAsia="宋体"/>
      <w:b/>
      <w:color w:val="000000"/>
      <w:kern w:val="2"/>
      <w:sz w:val="24"/>
      <w:szCs w:val="24"/>
      <w:lang w:val="en-US" w:eastAsia="zh-CN" w:bidi="ar-SA"/>
    </w:rPr>
  </w:style>
  <w:style w:type="character" w:customStyle="1" w:styleId="116">
    <w:name w:val="font21"/>
    <w:qFormat/>
    <w:uiPriority w:val="0"/>
    <w:rPr>
      <w:rFonts w:ascii="AvantGarde Bk BT" w:hAnsi="AvantGarde Bk BT" w:eastAsia="AvantGarde Bk BT" w:cs="AvantGarde Bk BT"/>
      <w:color w:val="FF0000"/>
      <w:sz w:val="24"/>
      <w:szCs w:val="24"/>
      <w:u w:val="none"/>
    </w:rPr>
  </w:style>
  <w:style w:type="character" w:customStyle="1" w:styleId="117">
    <w:name w:val="普通文字 Char Char3"/>
    <w:qFormat/>
    <w:uiPriority w:val="0"/>
    <w:rPr>
      <w:rFonts w:hint="eastAsia" w:ascii="宋体" w:hAnsi="Courier New" w:eastAsia="宋体"/>
      <w:kern w:val="2"/>
      <w:sz w:val="21"/>
    </w:rPr>
  </w:style>
  <w:style w:type="character" w:customStyle="1" w:styleId="118">
    <w:name w:val="批注文字 Char1"/>
    <w:semiHidden/>
    <w:qFormat/>
    <w:locked/>
    <w:uiPriority w:val="99"/>
    <w:rPr>
      <w:kern w:val="2"/>
      <w:sz w:val="21"/>
      <w:szCs w:val="24"/>
    </w:rPr>
  </w:style>
  <w:style w:type="character" w:customStyle="1" w:styleId="119">
    <w:name w:val="纯文本 Char2"/>
    <w:qFormat/>
    <w:uiPriority w:val="0"/>
    <w:rPr>
      <w:rFonts w:ascii="宋体" w:hAnsi="Courier New" w:eastAsia="宋体" w:cs="Courier New"/>
      <w:szCs w:val="21"/>
    </w:rPr>
  </w:style>
  <w:style w:type="character" w:customStyle="1" w:styleId="120">
    <w:name w:val="font312"/>
    <w:qFormat/>
    <w:uiPriority w:val="0"/>
    <w:rPr>
      <w:rFonts w:hint="default" w:ascii="Times New Roman" w:hAnsi="Times New Roman" w:eastAsia="宋体" w:cs="Times New Roman"/>
      <w:color w:val="000000"/>
      <w:sz w:val="22"/>
      <w:szCs w:val="22"/>
      <w:u w:val="none"/>
      <w:vertAlign w:val="superscript"/>
    </w:rPr>
  </w:style>
  <w:style w:type="character" w:customStyle="1" w:styleId="121">
    <w:name w:val="font101"/>
    <w:qFormat/>
    <w:uiPriority w:val="0"/>
    <w:rPr>
      <w:rFonts w:hint="eastAsia" w:ascii="宋体" w:hAnsi="宋体" w:eastAsia="宋体" w:cs="宋体"/>
      <w:color w:val="000000"/>
      <w:sz w:val="22"/>
      <w:szCs w:val="22"/>
      <w:u w:val="none"/>
    </w:rPr>
  </w:style>
  <w:style w:type="character" w:customStyle="1" w:styleId="122">
    <w:name w:val="doc-header-title"/>
    <w:qFormat/>
    <w:uiPriority w:val="0"/>
  </w:style>
  <w:style w:type="character" w:customStyle="1" w:styleId="123">
    <w:name w:val="textcontents"/>
    <w:qFormat/>
    <w:uiPriority w:val="0"/>
    <w:rPr>
      <w:rFonts w:ascii="Times New Roman" w:hAnsi="Times New Roman" w:eastAsia="宋体" w:cs="Times New Roman"/>
    </w:rPr>
  </w:style>
  <w:style w:type="character" w:customStyle="1" w:styleId="124">
    <w:name w:val="font61"/>
    <w:qFormat/>
    <w:uiPriority w:val="0"/>
    <w:rPr>
      <w:rFonts w:hint="eastAsia" w:ascii="宋体" w:hAnsi="宋体" w:eastAsia="宋体" w:cs="宋体"/>
      <w:color w:val="000000"/>
      <w:sz w:val="24"/>
      <w:szCs w:val="24"/>
      <w:u w:val="none"/>
    </w:rPr>
  </w:style>
  <w:style w:type="character" w:customStyle="1" w:styleId="125">
    <w:name w:val="font141"/>
    <w:qFormat/>
    <w:uiPriority w:val="0"/>
    <w:rPr>
      <w:rFonts w:hint="eastAsia" w:ascii="宋体" w:hAnsi="宋体" w:eastAsia="宋体" w:cs="宋体"/>
      <w:color w:val="000000"/>
      <w:sz w:val="22"/>
      <w:szCs w:val="22"/>
      <w:u w:val="none"/>
    </w:rPr>
  </w:style>
  <w:style w:type="character" w:customStyle="1" w:styleId="126">
    <w:name w:val="apple-converted-space"/>
    <w:qFormat/>
    <w:uiPriority w:val="0"/>
  </w:style>
  <w:style w:type="character" w:customStyle="1" w:styleId="127">
    <w:name w:val="NormalCharacter"/>
    <w:qFormat/>
    <w:uiPriority w:val="0"/>
    <w:rPr>
      <w:rFonts w:ascii="Times New Roman" w:hAnsi="Times New Roman" w:eastAsia="宋体" w:cs="Times New Roman"/>
    </w:rPr>
  </w:style>
  <w:style w:type="character" w:customStyle="1" w:styleId="128">
    <w:name w:val="bookmark-item"/>
    <w:qFormat/>
    <w:uiPriority w:val="0"/>
  </w:style>
  <w:style w:type="character" w:customStyle="1" w:styleId="129">
    <w:name w:val="纯文本 字符1"/>
    <w:qFormat/>
    <w:uiPriority w:val="0"/>
    <w:rPr>
      <w:rFonts w:ascii="宋体" w:hAnsi="Courier New" w:eastAsia="宋体" w:cs="Times New Roman"/>
    </w:rPr>
  </w:style>
  <w:style w:type="character" w:customStyle="1" w:styleId="130">
    <w:name w:val="case31"/>
    <w:qFormat/>
    <w:uiPriority w:val="0"/>
    <w:rPr>
      <w:rFonts w:hint="default" w:eastAsia="宋体" w:cs="Times New Roman"/>
      <w:sz w:val="21"/>
      <w:szCs w:val="21"/>
    </w:rPr>
  </w:style>
  <w:style w:type="character" w:customStyle="1" w:styleId="131">
    <w:name w:val="font11"/>
    <w:qFormat/>
    <w:uiPriority w:val="0"/>
    <w:rPr>
      <w:rFonts w:hint="eastAsia" w:ascii="宋体" w:hAnsi="宋体" w:eastAsia="宋体" w:cs="宋体"/>
      <w:color w:val="000000"/>
      <w:sz w:val="22"/>
      <w:szCs w:val="22"/>
      <w:u w:val="none"/>
    </w:rPr>
  </w:style>
  <w:style w:type="character" w:customStyle="1" w:styleId="132">
    <w:name w:val="Char Char1"/>
    <w:qFormat/>
    <w:uiPriority w:val="0"/>
    <w:rPr>
      <w:rFonts w:eastAsia="宋体"/>
      <w:kern w:val="2"/>
      <w:sz w:val="21"/>
      <w:szCs w:val="24"/>
      <w:lang w:val="en-US" w:eastAsia="zh-CN" w:bidi="ar-SA"/>
    </w:rPr>
  </w:style>
  <w:style w:type="character" w:customStyle="1" w:styleId="133">
    <w:name w:val="style11"/>
    <w:qFormat/>
    <w:uiPriority w:val="0"/>
    <w:rPr>
      <w:rFonts w:hint="default" w:ascii="Arial" w:hAnsi="Arial" w:eastAsia="宋体" w:cs="Arial"/>
    </w:rPr>
  </w:style>
  <w:style w:type="character" w:customStyle="1" w:styleId="134">
    <w:name w:val="Char Char10"/>
    <w:qFormat/>
    <w:locked/>
    <w:uiPriority w:val="0"/>
    <w:rPr>
      <w:rFonts w:ascii="宋体" w:hAnsi="宋体" w:eastAsia="宋体"/>
      <w:kern w:val="2"/>
      <w:sz w:val="21"/>
      <w:szCs w:val="24"/>
      <w:lang w:val="en-US" w:eastAsia="zh-CN" w:bidi="ar-SA"/>
    </w:rPr>
  </w:style>
  <w:style w:type="character" w:customStyle="1" w:styleId="135">
    <w:name w:val="UserStyle_9"/>
    <w:link w:val="136"/>
    <w:qFormat/>
    <w:locked/>
    <w:uiPriority w:val="0"/>
    <w:rPr>
      <w:kern w:val="2"/>
      <w:sz w:val="21"/>
      <w:szCs w:val="24"/>
    </w:rPr>
  </w:style>
  <w:style w:type="paragraph" w:customStyle="1" w:styleId="136">
    <w:name w:val="AnnotationText"/>
    <w:basedOn w:val="1"/>
    <w:link w:val="135"/>
    <w:qFormat/>
    <w:uiPriority w:val="0"/>
    <w:pPr>
      <w:widowControl/>
      <w:jc w:val="left"/>
    </w:pPr>
  </w:style>
  <w:style w:type="character" w:customStyle="1" w:styleId="137">
    <w:name w:val="font41"/>
    <w:qFormat/>
    <w:uiPriority w:val="0"/>
    <w:rPr>
      <w:rFonts w:hint="eastAsia" w:ascii="宋体" w:hAnsi="宋体" w:eastAsia="宋体" w:cs="宋体"/>
      <w:color w:val="000000"/>
      <w:sz w:val="24"/>
      <w:szCs w:val="24"/>
      <w:u w:val="none"/>
    </w:rPr>
  </w:style>
  <w:style w:type="character" w:customStyle="1" w:styleId="138">
    <w:name w:val="1ji Char Char"/>
    <w:link w:val="139"/>
    <w:qFormat/>
    <w:uiPriority w:val="0"/>
    <w:rPr>
      <w:rFonts w:ascii="宋体" w:hAnsi="宋体"/>
      <w:b/>
      <w:bCs/>
      <w:kern w:val="44"/>
      <w:sz w:val="36"/>
      <w:szCs w:val="44"/>
    </w:rPr>
  </w:style>
  <w:style w:type="paragraph" w:customStyle="1" w:styleId="139">
    <w:name w:val="1ji"/>
    <w:basedOn w:val="2"/>
    <w:link w:val="138"/>
    <w:qFormat/>
    <w:uiPriority w:val="0"/>
    <w:pPr>
      <w:keepLines w:val="0"/>
      <w:widowControl/>
      <w:spacing w:before="0" w:after="0" w:line="240" w:lineRule="auto"/>
      <w:jc w:val="center"/>
    </w:pPr>
    <w:rPr>
      <w:rFonts w:ascii="宋体" w:hAnsi="宋体"/>
      <w:sz w:val="36"/>
    </w:rPr>
  </w:style>
  <w:style w:type="character" w:customStyle="1" w:styleId="140">
    <w:name w:val="纯文本 Char1"/>
    <w:qFormat/>
    <w:locked/>
    <w:uiPriority w:val="0"/>
    <w:rPr>
      <w:rFonts w:ascii="宋体" w:hAnsi="Courier New" w:cs="Courier New"/>
      <w:szCs w:val="21"/>
    </w:rPr>
  </w:style>
  <w:style w:type="character" w:customStyle="1" w:styleId="141">
    <w:name w:val="font71"/>
    <w:qFormat/>
    <w:uiPriority w:val="0"/>
    <w:rPr>
      <w:rFonts w:ascii="AvantGarde Bk BT" w:hAnsi="AvantGarde Bk BT" w:eastAsia="AvantGarde Bk BT" w:cs="AvantGarde Bk BT"/>
      <w:color w:val="000000"/>
      <w:sz w:val="28"/>
      <w:szCs w:val="28"/>
      <w:u w:val="none"/>
    </w:rPr>
  </w:style>
  <w:style w:type="character" w:customStyle="1" w:styleId="142">
    <w:name w:val="正文文本 Char1"/>
    <w:qFormat/>
    <w:uiPriority w:val="0"/>
    <w:rPr>
      <w:kern w:val="2"/>
      <w:sz w:val="21"/>
      <w:szCs w:val="24"/>
    </w:rPr>
  </w:style>
  <w:style w:type="character" w:customStyle="1" w:styleId="143">
    <w:name w:val="1051"/>
    <w:qFormat/>
    <w:uiPriority w:val="0"/>
    <w:rPr>
      <w:rFonts w:ascii="Calibri" w:hAnsi="Calibri" w:eastAsia="宋体" w:cs="Times New Roman"/>
      <w:sz w:val="21"/>
      <w:szCs w:val="21"/>
    </w:rPr>
  </w:style>
  <w:style w:type="character" w:customStyle="1" w:styleId="144">
    <w:name w:val="font91"/>
    <w:qFormat/>
    <w:uiPriority w:val="0"/>
    <w:rPr>
      <w:rFonts w:hint="default" w:ascii="AvantGarde Bk BT" w:hAnsi="AvantGarde Bk BT" w:eastAsia="AvantGarde Bk BT" w:cs="AvantGarde Bk BT"/>
      <w:color w:val="000000"/>
      <w:sz w:val="28"/>
      <w:szCs w:val="28"/>
      <w:u w:val="none"/>
    </w:rPr>
  </w:style>
  <w:style w:type="character" w:customStyle="1" w:styleId="145">
    <w:name w:val="style21"/>
    <w:qFormat/>
    <w:uiPriority w:val="0"/>
    <w:rPr>
      <w:rFonts w:ascii="Times New Roman" w:hAnsi="Times New Roman" w:eastAsia="宋体" w:cs="Times New Roman"/>
      <w:color w:val="595959"/>
    </w:rPr>
  </w:style>
  <w:style w:type="character" w:customStyle="1" w:styleId="146">
    <w:name w:val="style5"/>
    <w:qFormat/>
    <w:uiPriority w:val="0"/>
    <w:rPr>
      <w:rFonts w:ascii="Calibri" w:hAnsi="Calibri" w:eastAsia="宋体" w:cs="Times New Roman"/>
    </w:rPr>
  </w:style>
  <w:style w:type="character" w:customStyle="1" w:styleId="147">
    <w:name w:val="Char Char"/>
    <w:qFormat/>
    <w:locked/>
    <w:uiPriority w:val="0"/>
    <w:rPr>
      <w:rFonts w:ascii="宋体" w:hAnsi="宋体" w:eastAsia="宋体"/>
      <w:kern w:val="2"/>
      <w:sz w:val="21"/>
      <w:szCs w:val="24"/>
      <w:lang w:val="en-US" w:eastAsia="zh-CN" w:bidi="ar-SA"/>
    </w:rPr>
  </w:style>
  <w:style w:type="character" w:customStyle="1" w:styleId="148">
    <w:name w:val="062"/>
    <w:qFormat/>
    <w:uiPriority w:val="0"/>
    <w:rPr>
      <w:rFonts w:ascii="宋体" w:hAnsi="宋体" w:eastAsia="宋体" w:cs="Times New Roman"/>
      <w:b/>
      <w:bCs/>
      <w:sz w:val="32"/>
    </w:rPr>
  </w:style>
  <w:style w:type="character" w:customStyle="1" w:styleId="149">
    <w:name w:val="font51"/>
    <w:qFormat/>
    <w:uiPriority w:val="0"/>
    <w:rPr>
      <w:rFonts w:ascii="AvantGarde Bk BT" w:hAnsi="AvantGarde Bk BT" w:eastAsia="AvantGarde Bk BT" w:cs="AvantGarde Bk BT"/>
      <w:color w:val="000000"/>
      <w:sz w:val="24"/>
      <w:szCs w:val="24"/>
      <w:u w:val="none"/>
    </w:rPr>
  </w:style>
  <w:style w:type="character" w:customStyle="1" w:styleId="150">
    <w:name w:val="font81"/>
    <w:qFormat/>
    <w:uiPriority w:val="0"/>
    <w:rPr>
      <w:rFonts w:ascii="AvantGarde Bk BT" w:hAnsi="AvantGarde Bk BT" w:eastAsia="AvantGarde Bk BT" w:cs="AvantGarde Bk BT"/>
      <w:color w:val="000000"/>
      <w:sz w:val="24"/>
      <w:szCs w:val="24"/>
      <w:u w:val="none"/>
    </w:rPr>
  </w:style>
  <w:style w:type="character" w:customStyle="1" w:styleId="151">
    <w:name w:val="apple-style-span"/>
    <w:qFormat/>
    <w:uiPriority w:val="0"/>
    <w:rPr>
      <w:rFonts w:ascii="Times New Roman" w:hAnsi="Times New Roman" w:eastAsia="宋体" w:cs="Times New Roman"/>
    </w:rPr>
  </w:style>
  <w:style w:type="character" w:customStyle="1" w:styleId="152">
    <w:name w:val="font131"/>
    <w:qFormat/>
    <w:uiPriority w:val="0"/>
    <w:rPr>
      <w:rFonts w:ascii="Arial" w:hAnsi="Arial" w:eastAsia="宋体" w:cs="Arial"/>
      <w:color w:val="000000"/>
      <w:sz w:val="22"/>
      <w:szCs w:val="22"/>
      <w:u w:val="none"/>
    </w:rPr>
  </w:style>
  <w:style w:type="character" w:customStyle="1" w:styleId="153">
    <w:name w:val="普通文字 Char Char2"/>
    <w:qFormat/>
    <w:uiPriority w:val="99"/>
    <w:rPr>
      <w:rFonts w:ascii="宋体" w:hAnsi="Courier New" w:eastAsia="宋体" w:cs="Courier New"/>
      <w:szCs w:val="21"/>
    </w:rPr>
  </w:style>
  <w:style w:type="paragraph" w:customStyle="1" w:styleId="154">
    <w:name w:val="默认段落字体 Para Char Char Char Char Char Char Char"/>
    <w:basedOn w:val="1"/>
    <w:qFormat/>
    <w:uiPriority w:val="0"/>
    <w:pPr>
      <w:adjustRightInd w:val="0"/>
      <w:spacing w:line="360" w:lineRule="auto"/>
    </w:pPr>
    <w:rPr>
      <w:kern w:val="0"/>
      <w:sz w:val="24"/>
      <w:szCs w:val="20"/>
    </w:rPr>
  </w:style>
  <w:style w:type="paragraph" w:customStyle="1" w:styleId="155">
    <w:name w:val="列出段落2"/>
    <w:basedOn w:val="1"/>
    <w:qFormat/>
    <w:uiPriority w:val="0"/>
    <w:pPr>
      <w:autoSpaceDE w:val="0"/>
      <w:autoSpaceDN w:val="0"/>
      <w:ind w:firstLine="420" w:firstLineChars="200"/>
      <w:jc w:val="left"/>
    </w:pPr>
    <w:rPr>
      <w:rFonts w:ascii="Calibri" w:hAnsi="Calibri" w:cs="宋体"/>
      <w:kern w:val="0"/>
      <w:sz w:val="22"/>
      <w:szCs w:val="22"/>
      <w:lang w:val="zh-CN" w:bidi="zh-CN"/>
    </w:rPr>
  </w:style>
  <w:style w:type="paragraph" w:customStyle="1" w:styleId="156">
    <w:name w:val="Char"/>
    <w:basedOn w:val="1"/>
    <w:qFormat/>
    <w:uiPriority w:val="0"/>
  </w:style>
  <w:style w:type="paragraph" w:customStyle="1" w:styleId="157">
    <w:name w:val="reader-word-layer reader-word-s4-7"/>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58">
    <w:name w:val="Char Char Char Char Char Char Char"/>
    <w:basedOn w:val="1"/>
    <w:qFormat/>
    <w:uiPriority w:val="0"/>
    <w:rPr>
      <w:rFonts w:ascii="Calibri" w:hAnsi="Calibri"/>
    </w:rPr>
  </w:style>
  <w:style w:type="paragraph" w:customStyle="1" w:styleId="159">
    <w:name w:val="_Style 30"/>
    <w:basedOn w:val="1"/>
    <w:qFormat/>
    <w:uiPriority w:val="0"/>
    <w:rPr>
      <w:rFonts w:ascii="仿宋_GB2312" w:hAnsi="Calibri" w:eastAsia="仿宋_GB2312"/>
      <w:b/>
      <w:sz w:val="32"/>
      <w:szCs w:val="32"/>
    </w:rPr>
  </w:style>
  <w:style w:type="paragraph" w:customStyle="1" w:styleId="160">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161">
    <w:name w:val="表内文字"/>
    <w:basedOn w:val="1"/>
    <w:qFormat/>
    <w:uiPriority w:val="0"/>
    <w:pPr>
      <w:snapToGrid w:val="0"/>
      <w:spacing w:before="50" w:after="50" w:line="400" w:lineRule="exact"/>
      <w:ind w:firstLine="1044" w:firstLineChars="200"/>
      <w:jc w:val="center"/>
    </w:pPr>
    <w:rPr>
      <w:rFonts w:ascii="仿宋_GB2312" w:hAnsi="宋体" w:eastAsia="仿宋_GB2312"/>
      <w:b/>
      <w:color w:val="000000"/>
      <w:sz w:val="32"/>
      <w:szCs w:val="32"/>
    </w:rPr>
  </w:style>
  <w:style w:type="paragraph" w:customStyle="1" w:styleId="162">
    <w:name w:val="表格"/>
    <w:basedOn w:val="1"/>
    <w:qFormat/>
    <w:uiPriority w:val="0"/>
    <w:pPr>
      <w:spacing w:line="400" w:lineRule="exact"/>
      <w:ind w:firstLine="1044" w:firstLineChars="200"/>
      <w:jc w:val="left"/>
    </w:pPr>
    <w:rPr>
      <w:sz w:val="24"/>
    </w:rPr>
  </w:style>
  <w:style w:type="paragraph" w:customStyle="1" w:styleId="16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4">
    <w:name w:val="01 正文-首行缩进2字符"/>
    <w:basedOn w:val="1"/>
    <w:qFormat/>
    <w:uiPriority w:val="99"/>
    <w:pPr>
      <w:spacing w:beforeLines="50" w:line="400" w:lineRule="exact"/>
      <w:ind w:firstLine="964" w:firstLineChars="200"/>
      <w:jc w:val="left"/>
    </w:pPr>
    <w:rPr>
      <w:rFonts w:ascii="Arial" w:hAnsi="Arial"/>
      <w:color w:val="000000"/>
      <w:sz w:val="28"/>
    </w:rPr>
  </w:style>
  <w:style w:type="paragraph" w:customStyle="1" w:styleId="165">
    <w:name w:val="p16"/>
    <w:basedOn w:val="1"/>
    <w:qFormat/>
    <w:uiPriority w:val="0"/>
    <w:pPr>
      <w:widowControl/>
    </w:pPr>
    <w:rPr>
      <w:rFonts w:ascii="宋体" w:hAnsi="宋体" w:cs="宋体"/>
      <w:kern w:val="0"/>
      <w:szCs w:val="21"/>
    </w:rPr>
  </w:style>
  <w:style w:type="paragraph" w:customStyle="1" w:styleId="166">
    <w:name w:val="Char Char11"/>
    <w:basedOn w:val="1"/>
    <w:qFormat/>
    <w:uiPriority w:val="0"/>
    <w:pPr>
      <w:widowControl/>
      <w:spacing w:after="160" w:line="240" w:lineRule="exact"/>
      <w:ind w:firstLine="1044" w:firstLineChars="200"/>
      <w:jc w:val="left"/>
    </w:pPr>
    <w:rPr>
      <w:rFonts w:ascii="Verdana" w:hAnsi="Verdana" w:eastAsia="楷体_GB2312"/>
      <w:b/>
      <w:i/>
      <w:iCs/>
      <w:color w:val="000000"/>
      <w:kern w:val="0"/>
      <w:sz w:val="20"/>
      <w:szCs w:val="20"/>
      <w:lang w:eastAsia="en-US"/>
    </w:rPr>
  </w:style>
  <w:style w:type="paragraph" w:customStyle="1" w:styleId="167">
    <w:name w:val="样式 首行缩进:  2 字符"/>
    <w:basedOn w:val="1"/>
    <w:qFormat/>
    <w:uiPriority w:val="0"/>
    <w:pPr>
      <w:spacing w:line="400" w:lineRule="exact"/>
      <w:ind w:firstLine="200" w:firstLineChars="200"/>
      <w:jc w:val="left"/>
    </w:pPr>
    <w:rPr>
      <w:rFonts w:cs="宋体"/>
      <w:sz w:val="24"/>
    </w:rPr>
  </w:style>
  <w:style w:type="paragraph" w:customStyle="1" w:styleId="168">
    <w:name w:val="reader-word-layer reader-word-s3-14"/>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69">
    <w:name w:val="列出段落11"/>
    <w:basedOn w:val="1"/>
    <w:qFormat/>
    <w:uiPriority w:val="0"/>
    <w:pPr>
      <w:spacing w:line="400" w:lineRule="exact"/>
      <w:ind w:firstLine="420" w:firstLineChars="200"/>
      <w:jc w:val="left"/>
    </w:pPr>
    <w:rPr>
      <w:rFonts w:ascii="Calibri" w:hAnsi="Calibri"/>
      <w:szCs w:val="22"/>
    </w:rPr>
  </w:style>
  <w:style w:type="paragraph" w:customStyle="1" w:styleId="170">
    <w:name w:val="F2"/>
    <w:basedOn w:val="1"/>
    <w:qFormat/>
    <w:uiPriority w:val="0"/>
    <w:pPr>
      <w:autoSpaceDE w:val="0"/>
      <w:autoSpaceDN w:val="0"/>
      <w:adjustRightInd w:val="0"/>
      <w:spacing w:line="400" w:lineRule="exact"/>
      <w:ind w:firstLine="601" w:firstLineChars="200"/>
      <w:jc w:val="left"/>
      <w:textAlignment w:val="baseline"/>
    </w:pPr>
    <w:rPr>
      <w:kern w:val="0"/>
      <w:sz w:val="24"/>
      <w:szCs w:val="20"/>
    </w:rPr>
  </w:style>
  <w:style w:type="paragraph" w:customStyle="1" w:styleId="171">
    <w:name w:val="Char Char Char1"/>
    <w:basedOn w:val="1"/>
    <w:qFormat/>
    <w:uiPriority w:val="0"/>
    <w:pPr>
      <w:spacing w:line="400" w:lineRule="exact"/>
      <w:ind w:firstLine="1044" w:firstLineChars="200"/>
      <w:jc w:val="left"/>
    </w:pPr>
  </w:style>
  <w:style w:type="paragraph" w:customStyle="1" w:styleId="172">
    <w:name w:val="正文 A"/>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styleId="173">
    <w:name w:val="No Spacing"/>
    <w:basedOn w:val="1"/>
    <w:qFormat/>
    <w:uiPriority w:val="0"/>
    <w:rPr>
      <w:rFonts w:ascii="Calibri" w:hAnsi="Calibri"/>
      <w:szCs w:val="21"/>
    </w:rPr>
  </w:style>
  <w:style w:type="paragraph" w:customStyle="1" w:styleId="174">
    <w:name w:val="Char2"/>
    <w:basedOn w:val="1"/>
    <w:qFormat/>
    <w:uiPriority w:val="0"/>
    <w:pPr>
      <w:widowControl/>
      <w:spacing w:after="160" w:line="240" w:lineRule="exact"/>
      <w:ind w:firstLine="1044" w:firstLineChars="200"/>
      <w:jc w:val="left"/>
    </w:pPr>
    <w:rPr>
      <w:rFonts w:ascii="Verdana" w:hAnsi="Verdana"/>
      <w:kern w:val="0"/>
      <w:szCs w:val="20"/>
      <w:lang w:eastAsia="en-US"/>
    </w:rPr>
  </w:style>
  <w:style w:type="paragraph" w:customStyle="1" w:styleId="175">
    <w:name w:val="BodyText"/>
    <w:basedOn w:val="1"/>
    <w:qFormat/>
    <w:uiPriority w:val="0"/>
    <w:pPr>
      <w:spacing w:line="380" w:lineRule="exact"/>
      <w:ind w:firstLine="1044" w:firstLineChars="200"/>
      <w:textAlignment w:val="baseline"/>
    </w:pPr>
    <w:rPr>
      <w:kern w:val="0"/>
      <w:sz w:val="24"/>
    </w:rPr>
  </w:style>
  <w:style w:type="paragraph" w:customStyle="1" w:styleId="176">
    <w:name w:val="reader-word-layer reader-word-s4-6"/>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77">
    <w:name w:val="reader-word-layer reader-word-s4-10"/>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78">
    <w:name w:val="默认段落字体 Para Char Char Char Char Char Char Char Char Char1 Char Char Char Char Char Char Char"/>
    <w:basedOn w:val="16"/>
    <w:qFormat/>
    <w:uiPriority w:val="0"/>
    <w:pPr>
      <w:adjustRightInd/>
      <w:spacing w:line="240" w:lineRule="auto"/>
      <w:ind w:firstLine="0" w:firstLineChars="0"/>
      <w:jc w:val="both"/>
      <w:textAlignment w:val="auto"/>
    </w:pPr>
    <w:rPr>
      <w:rFonts w:ascii="宋体" w:hAnsi="宋体" w:cs="Arial"/>
      <w:kern w:val="2"/>
      <w:szCs w:val="21"/>
    </w:rPr>
  </w:style>
  <w:style w:type="paragraph" w:customStyle="1" w:styleId="179">
    <w:name w:val="444"/>
    <w:basedOn w:val="1"/>
    <w:qFormat/>
    <w:uiPriority w:val="0"/>
    <w:pPr>
      <w:adjustRightInd w:val="0"/>
      <w:spacing w:line="312" w:lineRule="atLeast"/>
      <w:ind w:firstLine="1044" w:firstLineChars="200"/>
      <w:jc w:val="center"/>
      <w:textAlignment w:val="baseline"/>
    </w:pPr>
    <w:rPr>
      <w:b/>
      <w:kern w:val="0"/>
      <w:sz w:val="36"/>
      <w:szCs w:val="36"/>
    </w:rPr>
  </w:style>
  <w:style w:type="paragraph" w:customStyle="1" w:styleId="180">
    <w:name w:val="Char Char8"/>
    <w:basedOn w:val="1"/>
    <w:qFormat/>
    <w:uiPriority w:val="0"/>
    <w:rPr>
      <w:rFonts w:ascii="Tahoma" w:hAnsi="Tahoma" w:eastAsia="Times New Roman"/>
      <w:kern w:val="0"/>
      <w:sz w:val="24"/>
      <w:szCs w:val="20"/>
    </w:rPr>
  </w:style>
  <w:style w:type="paragraph" w:customStyle="1" w:styleId="181">
    <w:name w:val="_Style 36"/>
    <w:basedOn w:val="1"/>
    <w:qFormat/>
    <w:uiPriority w:val="0"/>
    <w:rPr>
      <w:rFonts w:ascii="Tahoma" w:hAnsi="Tahoma"/>
      <w:sz w:val="24"/>
      <w:szCs w:val="20"/>
    </w:rPr>
  </w:style>
  <w:style w:type="paragraph" w:customStyle="1" w:styleId="182">
    <w:name w:val="正文首行缩进两字符"/>
    <w:basedOn w:val="1"/>
    <w:qFormat/>
    <w:uiPriority w:val="0"/>
    <w:pPr>
      <w:spacing w:line="360" w:lineRule="auto"/>
      <w:ind w:firstLine="200" w:firstLineChars="200"/>
      <w:jc w:val="left"/>
    </w:pPr>
  </w:style>
  <w:style w:type="paragraph" w:customStyle="1" w:styleId="183">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84">
    <w:name w:val="标题 71"/>
    <w:next w:val="172"/>
    <w:qFormat/>
    <w:uiPriority w:val="0"/>
    <w:pPr>
      <w:keepNext/>
      <w:framePr w:wrap="around" w:vAnchor="margin" w:hAnchor="text" w:yAlign="top"/>
      <w:spacing w:before="80" w:after="60" w:line="440" w:lineRule="atLeast"/>
      <w:jc w:val="both"/>
      <w:outlineLvl w:val="6"/>
    </w:pPr>
    <w:rPr>
      <w:rFonts w:hint="eastAsia" w:ascii="Arial Unicode MS" w:hAnsi="Arial Unicode MS" w:eastAsia="Times New Roman" w:cs="Arial Unicode MS"/>
      <w:b/>
      <w:bCs/>
      <w:color w:val="000000"/>
      <w:kern w:val="28"/>
      <w:sz w:val="28"/>
      <w:szCs w:val="28"/>
      <w:u w:color="000000"/>
      <w:lang w:val="en-US" w:eastAsia="zh-CN" w:bidi="ar-SA"/>
    </w:rPr>
  </w:style>
  <w:style w:type="paragraph" w:customStyle="1" w:styleId="185">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186">
    <w:name w:val="Char Char Char"/>
    <w:basedOn w:val="1"/>
    <w:qFormat/>
    <w:uiPriority w:val="0"/>
    <w:pPr>
      <w:spacing w:line="400" w:lineRule="exact"/>
      <w:ind w:firstLine="1044" w:firstLineChars="200"/>
      <w:jc w:val="left"/>
    </w:pPr>
    <w:rPr>
      <w:rFonts w:ascii="Tahoma" w:hAnsi="Tahoma"/>
      <w:sz w:val="24"/>
      <w:szCs w:val="20"/>
    </w:rPr>
  </w:style>
  <w:style w:type="paragraph" w:customStyle="1" w:styleId="187">
    <w:name w:val="列出段落1"/>
    <w:basedOn w:val="1"/>
    <w:link w:val="188"/>
    <w:qFormat/>
    <w:uiPriority w:val="34"/>
    <w:pPr>
      <w:spacing w:line="400" w:lineRule="exact"/>
      <w:ind w:firstLine="420" w:firstLineChars="200"/>
      <w:jc w:val="left"/>
    </w:pPr>
    <w:rPr>
      <w:rFonts w:ascii="Calibri" w:hAnsi="Calibri"/>
      <w:szCs w:val="22"/>
    </w:rPr>
  </w:style>
  <w:style w:type="character" w:customStyle="1" w:styleId="188">
    <w:name w:val="列出段落 字符"/>
    <w:link w:val="187"/>
    <w:qFormat/>
    <w:locked/>
    <w:uiPriority w:val="34"/>
    <w:rPr>
      <w:rFonts w:ascii="Calibri" w:hAnsi="Calibri"/>
      <w:kern w:val="2"/>
      <w:sz w:val="21"/>
      <w:szCs w:val="22"/>
    </w:rPr>
  </w:style>
  <w:style w:type="paragraph" w:customStyle="1" w:styleId="189">
    <w:name w:val="Default"/>
    <w:basedOn w:val="47"/>
    <w:next w:val="2"/>
    <w:qFormat/>
    <w:uiPriority w:val="0"/>
    <w:pPr>
      <w:autoSpaceDE w:val="0"/>
      <w:autoSpaceDN w:val="0"/>
      <w:adjustRightInd w:val="0"/>
    </w:pPr>
    <w:rPr>
      <w:rFonts w:ascii="宋体" w:cs="宋体"/>
      <w:color w:val="000000"/>
      <w:sz w:val="24"/>
      <w:szCs w:val="24"/>
    </w:rPr>
  </w:style>
  <w:style w:type="paragraph" w:customStyle="1" w:styleId="190">
    <w:name w:val="默认段落字体 Para Char Char Char Char Char Char Char Char Char Char"/>
    <w:basedOn w:val="1"/>
    <w:qFormat/>
    <w:uiPriority w:val="0"/>
    <w:pPr>
      <w:widowControl/>
      <w:snapToGrid w:val="0"/>
      <w:spacing w:before="80" w:after="80"/>
      <w:ind w:left="1701"/>
    </w:pPr>
    <w:rPr>
      <w:rFonts w:ascii="Arial" w:hAnsi="Arial" w:cs="Arial"/>
    </w:rPr>
  </w:style>
  <w:style w:type="paragraph" w:customStyle="1" w:styleId="191">
    <w:name w:val="reader-word-layer reader-word-s3-13"/>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92">
    <w:name w:val="正文_0"/>
    <w:qFormat/>
    <w:uiPriority w:val="0"/>
    <w:rPr>
      <w:rFonts w:ascii="Times New Roman" w:hAnsi="Times New Roman" w:eastAsia="宋体" w:cs="Times New Roman"/>
      <w:sz w:val="21"/>
      <w:szCs w:val="22"/>
      <w:lang w:val="en-US" w:eastAsia="zh-CN" w:bidi="ar-SA"/>
    </w:rPr>
  </w:style>
  <w:style w:type="paragraph" w:customStyle="1" w:styleId="19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4">
    <w:name w:val="_Style 15"/>
    <w:basedOn w:val="16"/>
    <w:qFormat/>
    <w:uiPriority w:val="0"/>
    <w:pPr>
      <w:adjustRightInd/>
      <w:spacing w:line="240" w:lineRule="auto"/>
      <w:ind w:firstLine="0" w:firstLineChars="0"/>
      <w:jc w:val="both"/>
      <w:textAlignment w:val="auto"/>
    </w:pPr>
    <w:rPr>
      <w:rFonts w:ascii="Tahoma" w:hAnsi="Tahoma"/>
      <w:kern w:val="2"/>
      <w:sz w:val="24"/>
      <w:szCs w:val="24"/>
    </w:rPr>
  </w:style>
  <w:style w:type="paragraph" w:customStyle="1" w:styleId="195">
    <w:name w:val="BodyTextIndent"/>
    <w:basedOn w:val="1"/>
    <w:qFormat/>
    <w:uiPriority w:val="0"/>
    <w:pPr>
      <w:ind w:firstLine="830" w:firstLineChars="352"/>
      <w:textAlignment w:val="baseline"/>
    </w:pPr>
    <w:rPr>
      <w:rFonts w:ascii="仿宋_GB2312" w:eastAsia="仿宋_GB2312"/>
      <w:kern w:val="0"/>
      <w:sz w:val="32"/>
      <w:szCs w:val="20"/>
    </w:rPr>
  </w:style>
  <w:style w:type="paragraph" w:customStyle="1" w:styleId="196">
    <w:name w:val="reader-word-layer reader-word-s4-8 reader-word-s4-10"/>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97">
    <w:name w:val="缺省文本"/>
    <w:basedOn w:val="1"/>
    <w:qFormat/>
    <w:uiPriority w:val="0"/>
    <w:pPr>
      <w:autoSpaceDE w:val="0"/>
      <w:autoSpaceDN w:val="0"/>
      <w:adjustRightInd w:val="0"/>
      <w:spacing w:line="360" w:lineRule="auto"/>
      <w:jc w:val="left"/>
    </w:pPr>
    <w:rPr>
      <w:rFonts w:ascii="Calibri" w:hAnsi="Calibri"/>
      <w:kern w:val="0"/>
      <w:sz w:val="24"/>
      <w:szCs w:val="20"/>
    </w:rPr>
  </w:style>
  <w:style w:type="paragraph" w:customStyle="1" w:styleId="198">
    <w:name w:val="Char Char2"/>
    <w:basedOn w:val="1"/>
    <w:qFormat/>
    <w:uiPriority w:val="0"/>
    <w:pPr>
      <w:widowControl/>
      <w:spacing w:line="400" w:lineRule="exact"/>
      <w:ind w:firstLine="1044" w:firstLineChars="200"/>
      <w:jc w:val="left"/>
    </w:pPr>
    <w:rPr>
      <w:sz w:val="28"/>
      <w:szCs w:val="20"/>
    </w:rPr>
  </w:style>
  <w:style w:type="paragraph" w:customStyle="1" w:styleId="199">
    <w:name w:val="_Style 2"/>
    <w:basedOn w:val="1"/>
    <w:qFormat/>
    <w:uiPriority w:val="0"/>
    <w:pPr>
      <w:ind w:firstLine="420" w:firstLineChars="200"/>
    </w:pPr>
    <w:rPr>
      <w:rFonts w:ascii="Calibri" w:hAnsi="Calibri"/>
      <w:szCs w:val="22"/>
    </w:rPr>
  </w:style>
  <w:style w:type="paragraph" w:customStyle="1" w:styleId="200">
    <w:name w:val="样式 Verdana 首行缩进:  0.74 厘米"/>
    <w:basedOn w:val="1"/>
    <w:qFormat/>
    <w:uiPriority w:val="0"/>
    <w:pPr>
      <w:spacing w:line="360" w:lineRule="auto"/>
      <w:ind w:firstLine="420" w:firstLineChars="200"/>
      <w:jc w:val="left"/>
    </w:pPr>
    <w:rPr>
      <w:rFonts w:ascii="Verdana" w:hAnsi="Verdana"/>
      <w:sz w:val="24"/>
      <w:szCs w:val="20"/>
    </w:rPr>
  </w:style>
  <w:style w:type="paragraph" w:customStyle="1" w:styleId="201">
    <w:name w:val="Char3"/>
    <w:basedOn w:val="1"/>
    <w:qFormat/>
    <w:uiPriority w:val="0"/>
    <w:pPr>
      <w:widowControl/>
      <w:spacing w:after="160" w:line="240" w:lineRule="exact"/>
      <w:ind w:firstLine="1044" w:firstLineChars="200"/>
      <w:jc w:val="left"/>
    </w:pPr>
    <w:rPr>
      <w:rFonts w:ascii="Arial" w:hAnsi="Arial" w:eastAsia="Times New Roman" w:cs="Verdana"/>
      <w:b/>
      <w:kern w:val="0"/>
      <w:sz w:val="24"/>
      <w:szCs w:val="20"/>
      <w:lang w:eastAsia="en-US"/>
    </w:rPr>
  </w:style>
  <w:style w:type="paragraph" w:customStyle="1" w:styleId="202">
    <w:name w:val="msolistparagraph"/>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203">
    <w:name w:val="普通(网站)1"/>
    <w:basedOn w:val="1"/>
    <w:qFormat/>
    <w:uiPriority w:val="99"/>
    <w:pPr>
      <w:widowControl/>
      <w:autoSpaceDE w:val="0"/>
      <w:autoSpaceDN w:val="0"/>
      <w:spacing w:before="100" w:beforeAutospacing="1" w:after="100" w:afterAutospacing="1"/>
      <w:jc w:val="left"/>
    </w:pPr>
    <w:rPr>
      <w:rFonts w:ascii="宋体" w:hAnsi="宋体" w:cs="宋体"/>
      <w:kern w:val="0"/>
      <w:sz w:val="24"/>
      <w:szCs w:val="22"/>
      <w:lang w:val="zh-CN" w:bidi="zh-CN"/>
    </w:rPr>
  </w:style>
  <w:style w:type="paragraph" w:customStyle="1" w:styleId="204">
    <w:name w:val="次小点说明 Char"/>
    <w:basedOn w:val="10"/>
    <w:qFormat/>
    <w:uiPriority w:val="0"/>
    <w:pPr>
      <w:ind w:firstLine="0"/>
    </w:pPr>
    <w:rPr>
      <w:rFonts w:ascii="Calibri" w:hAnsi="Calibri"/>
      <w:sz w:val="24"/>
      <w:szCs w:val="24"/>
    </w:rPr>
  </w:style>
  <w:style w:type="paragraph" w:customStyle="1" w:styleId="205">
    <w:name w:val="表格文字"/>
    <w:basedOn w:val="1"/>
    <w:qFormat/>
    <w:uiPriority w:val="99"/>
    <w:pPr>
      <w:spacing w:before="25" w:after="25" w:line="400" w:lineRule="exact"/>
      <w:ind w:firstLine="1044" w:firstLineChars="200"/>
      <w:jc w:val="left"/>
    </w:pPr>
    <w:rPr>
      <w:bCs/>
      <w:spacing w:val="10"/>
      <w:kern w:val="0"/>
      <w:sz w:val="24"/>
    </w:rPr>
  </w:style>
  <w:style w:type="paragraph" w:customStyle="1" w:styleId="206">
    <w:name w:val="Char Char81"/>
    <w:basedOn w:val="1"/>
    <w:qFormat/>
    <w:uiPriority w:val="0"/>
    <w:rPr>
      <w:rFonts w:ascii="Tahoma" w:hAnsi="Tahoma" w:eastAsia="Times New Roman"/>
      <w:kern w:val="0"/>
      <w:sz w:val="24"/>
      <w:szCs w:val="20"/>
    </w:rPr>
  </w:style>
  <w:style w:type="paragraph" w:customStyle="1" w:styleId="207">
    <w:name w:val="Char1"/>
    <w:basedOn w:val="1"/>
    <w:qFormat/>
    <w:uiPriority w:val="0"/>
    <w:pPr>
      <w:spacing w:line="400" w:lineRule="exact"/>
      <w:ind w:firstLine="1044" w:firstLineChars="200"/>
      <w:jc w:val="left"/>
    </w:pPr>
    <w:rPr>
      <w:szCs w:val="21"/>
    </w:rPr>
  </w:style>
  <w:style w:type="paragraph" w:customStyle="1" w:styleId="208">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209">
    <w:name w:val="_Style 5"/>
    <w:qFormat/>
    <w:uiPriority w:val="1"/>
    <w:rPr>
      <w:rFonts w:ascii="Times New Roman" w:hAnsi="Times New Roman" w:eastAsia="宋体" w:cs="Times New Roman"/>
      <w:sz w:val="22"/>
      <w:szCs w:val="22"/>
      <w:lang w:val="en-US" w:eastAsia="zh-CN" w:bidi="ar-SA"/>
    </w:rPr>
  </w:style>
  <w:style w:type="paragraph" w:customStyle="1" w:styleId="210">
    <w:name w:val="样式 标题 3 + (中文) 黑体 小四 非加粗 段前: 7.8 磅 段后: 0 磅 行距: 固定值 20 磅"/>
    <w:basedOn w:val="4"/>
    <w:qFormat/>
    <w:uiPriority w:val="0"/>
    <w:pPr>
      <w:spacing w:before="0" w:after="0" w:line="400" w:lineRule="exact"/>
      <w:ind w:firstLine="1044" w:firstLineChars="200"/>
      <w:jc w:val="left"/>
    </w:pPr>
    <w:rPr>
      <w:rFonts w:eastAsia="黑体" w:cs="宋体"/>
      <w:b w:val="0"/>
      <w:bCs w:val="0"/>
      <w:sz w:val="24"/>
      <w:szCs w:val="20"/>
    </w:rPr>
  </w:style>
  <w:style w:type="paragraph" w:customStyle="1" w:styleId="211">
    <w:name w:val="reader-word-layer reader-word-s4-1"/>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212">
    <w:name w:val="List Paragraph1"/>
    <w:basedOn w:val="1"/>
    <w:qFormat/>
    <w:uiPriority w:val="99"/>
    <w:pPr>
      <w:ind w:firstLine="420" w:firstLineChars="200"/>
    </w:pPr>
    <w:rPr>
      <w:rFonts w:ascii="Calibri" w:hAnsi="Calibri"/>
      <w:szCs w:val="22"/>
    </w:rPr>
  </w:style>
  <w:style w:type="paragraph" w:customStyle="1" w:styleId="213">
    <w:name w:val="一级条标题"/>
    <w:basedOn w:val="1"/>
    <w:next w:val="1"/>
    <w:qFormat/>
    <w:uiPriority w:val="0"/>
    <w:pPr>
      <w:widowControl/>
      <w:numPr>
        <w:ilvl w:val="2"/>
        <w:numId w:val="3"/>
      </w:numPr>
      <w:spacing w:line="400" w:lineRule="exact"/>
      <w:ind w:firstLine="200" w:firstLineChars="200"/>
      <w:jc w:val="left"/>
    </w:pPr>
    <w:rPr>
      <w:rFonts w:ascii="黑体" w:eastAsia="黑体"/>
      <w:kern w:val="0"/>
      <w:szCs w:val="20"/>
    </w:rPr>
  </w:style>
  <w:style w:type="paragraph" w:customStyle="1" w:styleId="214">
    <w:name w:val="2ji"/>
    <w:basedOn w:val="3"/>
    <w:qFormat/>
    <w:uiPriority w:val="0"/>
    <w:pPr>
      <w:adjustRightInd w:val="0"/>
      <w:spacing w:before="0" w:after="0" w:line="360" w:lineRule="auto"/>
      <w:ind w:firstLine="1044" w:firstLineChars="200"/>
      <w:jc w:val="left"/>
      <w:textAlignment w:val="baseline"/>
    </w:pPr>
    <w:rPr>
      <w:rFonts w:ascii="宋体" w:hAnsi="宋体"/>
      <w:kern w:val="0"/>
      <w:sz w:val="21"/>
      <w:szCs w:val="21"/>
    </w:rPr>
  </w:style>
  <w:style w:type="paragraph" w:customStyle="1" w:styleId="215">
    <w:name w:val="正文段"/>
    <w:basedOn w:val="1"/>
    <w:qFormat/>
    <w:uiPriority w:val="0"/>
    <w:pPr>
      <w:widowControl/>
      <w:snapToGrid w:val="0"/>
      <w:spacing w:afterLines="50" w:line="400" w:lineRule="exact"/>
      <w:ind w:firstLine="200" w:firstLineChars="200"/>
      <w:jc w:val="left"/>
    </w:pPr>
    <w:rPr>
      <w:kern w:val="0"/>
      <w:sz w:val="24"/>
      <w:szCs w:val="20"/>
    </w:rPr>
  </w:style>
  <w:style w:type="paragraph" w:customStyle="1" w:styleId="216">
    <w:name w:val="默认段落字体 Para Char Char Char Char Char Char Char Char Char1 Char Char Char Char"/>
    <w:basedOn w:val="1"/>
    <w:qFormat/>
    <w:uiPriority w:val="0"/>
    <w:pPr>
      <w:spacing w:line="400" w:lineRule="exact"/>
      <w:ind w:firstLine="1044" w:firstLineChars="200"/>
      <w:jc w:val="left"/>
    </w:pPr>
    <w:rPr>
      <w:rFonts w:ascii="Tahoma" w:hAnsi="Tahoma"/>
      <w:sz w:val="24"/>
      <w:szCs w:val="20"/>
    </w:rPr>
  </w:style>
  <w:style w:type="paragraph" w:customStyle="1" w:styleId="217">
    <w:name w:val="Body text|3"/>
    <w:basedOn w:val="1"/>
    <w:qFormat/>
    <w:uiPriority w:val="0"/>
    <w:pPr>
      <w:spacing w:after="680"/>
    </w:pPr>
    <w:rPr>
      <w:rFonts w:ascii="宋体" w:hAnsi="宋体" w:cs="宋体"/>
      <w:sz w:val="30"/>
      <w:szCs w:val="30"/>
      <w:u w:val="single"/>
      <w:lang w:val="zh-TW" w:eastAsia="zh-TW" w:bidi="zh-TW"/>
    </w:rPr>
  </w:style>
  <w:style w:type="paragraph" w:customStyle="1" w:styleId="218">
    <w:name w:val="reader-word-layer reader-word-s4-9"/>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219">
    <w:name w:val="首行缩进"/>
    <w:basedOn w:val="1"/>
    <w:qFormat/>
    <w:uiPriority w:val="0"/>
    <w:pPr>
      <w:spacing w:line="400" w:lineRule="exact"/>
      <w:ind w:firstLine="480" w:firstLineChars="200"/>
      <w:jc w:val="left"/>
    </w:pPr>
    <w:rPr>
      <w:lang w:val="zh-CN"/>
    </w:rPr>
  </w:style>
  <w:style w:type="paragraph" w:customStyle="1" w:styleId="220">
    <w:name w:val="PlainText"/>
    <w:basedOn w:val="1"/>
    <w:next w:val="221"/>
    <w:qFormat/>
    <w:uiPriority w:val="0"/>
    <w:pPr>
      <w:ind w:firstLine="1044" w:firstLineChars="200"/>
      <w:textAlignment w:val="baseline"/>
    </w:pPr>
    <w:rPr>
      <w:rFonts w:ascii="宋体" w:hAnsi="Courier New"/>
      <w:kern w:val="0"/>
      <w:sz w:val="20"/>
      <w:szCs w:val="21"/>
    </w:rPr>
  </w:style>
  <w:style w:type="paragraph" w:customStyle="1" w:styleId="221">
    <w:name w:val="Heading4"/>
    <w:basedOn w:val="1"/>
    <w:next w:val="1"/>
    <w:qFormat/>
    <w:uiPriority w:val="0"/>
    <w:pPr>
      <w:keepNext/>
      <w:keepLines/>
      <w:spacing w:before="280" w:after="290" w:line="376" w:lineRule="atLeast"/>
      <w:ind w:firstLine="1044" w:firstLineChars="200"/>
      <w:textAlignment w:val="baseline"/>
    </w:pPr>
    <w:rPr>
      <w:rFonts w:ascii="Cambria" w:hAnsi="Cambria"/>
      <w:b/>
      <w:bCs/>
      <w:sz w:val="28"/>
      <w:szCs w:val="28"/>
    </w:rPr>
  </w:style>
  <w:style w:type="paragraph" w:customStyle="1" w:styleId="222">
    <w:name w:val="p0"/>
    <w:basedOn w:val="1"/>
    <w:qFormat/>
    <w:uiPriority w:val="0"/>
    <w:pPr>
      <w:widowControl/>
      <w:spacing w:line="400" w:lineRule="exact"/>
      <w:ind w:firstLine="1044" w:firstLineChars="200"/>
      <w:jc w:val="left"/>
    </w:pPr>
    <w:rPr>
      <w:kern w:val="0"/>
      <w:szCs w:val="21"/>
    </w:rPr>
  </w:style>
  <w:style w:type="paragraph" w:customStyle="1" w:styleId="223">
    <w:name w:val="样式 标题 2 + Times New Roman 四号 非加粗 段前: 5 磅 段后: 0 磅 行距: 固定值 20..."/>
    <w:basedOn w:val="3"/>
    <w:qFormat/>
    <w:uiPriority w:val="0"/>
    <w:pPr>
      <w:spacing w:before="100" w:after="0" w:line="400" w:lineRule="exact"/>
      <w:ind w:firstLine="1044" w:firstLineChars="200"/>
      <w:jc w:val="left"/>
    </w:pPr>
    <w:rPr>
      <w:rFonts w:ascii="Times New Roman" w:hAnsi="Times New Roman" w:cs="宋体"/>
      <w:b w:val="0"/>
      <w:bCs w:val="0"/>
      <w:kern w:val="0"/>
      <w:sz w:val="28"/>
      <w:szCs w:val="20"/>
    </w:rPr>
  </w:style>
  <w:style w:type="paragraph" w:customStyle="1" w:styleId="224">
    <w:name w:val="Table Paragraph"/>
    <w:basedOn w:val="1"/>
    <w:qFormat/>
    <w:uiPriority w:val="1"/>
    <w:pPr>
      <w:spacing w:line="400" w:lineRule="exact"/>
      <w:ind w:firstLine="1044" w:firstLineChars="200"/>
      <w:jc w:val="left"/>
    </w:pPr>
    <w:rPr>
      <w:sz w:val="24"/>
    </w:rPr>
  </w:style>
  <w:style w:type="paragraph" w:customStyle="1" w:styleId="225">
    <w:name w:val="1"/>
    <w:basedOn w:val="1"/>
    <w:next w:val="26"/>
    <w:qFormat/>
    <w:uiPriority w:val="0"/>
    <w:rPr>
      <w:rFonts w:ascii="宋体" w:hAnsi="Courier New"/>
      <w:szCs w:val="20"/>
    </w:rPr>
  </w:style>
  <w:style w:type="paragraph" w:customStyle="1" w:styleId="226">
    <w:name w:val="2-2ji"/>
    <w:basedOn w:val="3"/>
    <w:qFormat/>
    <w:uiPriority w:val="0"/>
    <w:pPr>
      <w:adjustRightInd w:val="0"/>
      <w:spacing w:before="0" w:after="0" w:line="360" w:lineRule="auto"/>
      <w:ind w:firstLine="1044" w:firstLineChars="200"/>
      <w:jc w:val="center"/>
      <w:textAlignment w:val="baseline"/>
    </w:pPr>
    <w:rPr>
      <w:rFonts w:ascii="宋体" w:hAnsi="宋体"/>
      <w:bCs w:val="0"/>
      <w:kern w:val="0"/>
      <w:sz w:val="36"/>
    </w:rPr>
  </w:style>
  <w:style w:type="paragraph" w:customStyle="1" w:styleId="227">
    <w:name w:val="_Style 225"/>
    <w:unhideWhenUsed/>
    <w:qFormat/>
    <w:uiPriority w:val="99"/>
    <w:rPr>
      <w:rFonts w:ascii="Times New Roman" w:hAnsi="Times New Roman" w:eastAsia="宋体" w:cs="Times New Roman"/>
      <w:kern w:val="2"/>
      <w:sz w:val="21"/>
      <w:szCs w:val="24"/>
      <w:lang w:val="en-US" w:eastAsia="zh-CN" w:bidi="ar-SA"/>
    </w:rPr>
  </w:style>
  <w:style w:type="paragraph" w:customStyle="1" w:styleId="228">
    <w:name w:val="正文缩进2"/>
    <w:basedOn w:val="1"/>
    <w:qFormat/>
    <w:uiPriority w:val="0"/>
    <w:pPr>
      <w:ind w:firstLine="420" w:firstLineChars="200"/>
    </w:pPr>
  </w:style>
  <w:style w:type="paragraph" w:customStyle="1" w:styleId="229">
    <w:name w:val="彩色列表 - 强调文字颜色 1111"/>
    <w:basedOn w:val="1"/>
    <w:qFormat/>
    <w:uiPriority w:val="34"/>
    <w:pPr>
      <w:ind w:firstLine="420" w:firstLineChars="200"/>
    </w:pPr>
  </w:style>
  <w:style w:type="paragraph" w:customStyle="1" w:styleId="230">
    <w:name w:val="Normal_28"/>
    <w:qFormat/>
    <w:uiPriority w:val="0"/>
    <w:pPr>
      <w:spacing w:before="120" w:after="240"/>
      <w:jc w:val="both"/>
    </w:pPr>
    <w:rPr>
      <w:rFonts w:ascii="Times New Roman" w:hAnsi="Times New Roman" w:eastAsia="Times New Roman" w:cs="Times New Roman"/>
      <w:sz w:val="22"/>
      <w:szCs w:val="22"/>
      <w:lang w:val="en-US" w:eastAsia="en-US" w:bidi="ar-SA"/>
    </w:rPr>
  </w:style>
  <w:style w:type="paragraph" w:customStyle="1" w:styleId="231">
    <w:name w:val="列表段落1"/>
    <w:basedOn w:val="1"/>
    <w:qFormat/>
    <w:uiPriority w:val="0"/>
    <w:pPr>
      <w:ind w:firstLine="420" w:firstLineChars="200"/>
    </w:pPr>
  </w:style>
  <w:style w:type="paragraph" w:customStyle="1" w:styleId="232">
    <w:name w:val="p1"/>
    <w:basedOn w:val="1"/>
    <w:qFormat/>
    <w:uiPriority w:val="0"/>
    <w:pPr>
      <w:spacing w:before="0" w:beforeAutospacing="0" w:after="0" w:afterAutospacing="0"/>
      <w:ind w:left="0" w:right="0"/>
      <w:jc w:val="left"/>
    </w:pPr>
    <w:rPr>
      <w:rFonts w:ascii="Helvetica Neue" w:hAnsi="Helvetica Neue" w:eastAsia="Helvetica Neue" w:cs="Helvetica Neue"/>
      <w:kern w:val="0"/>
      <w:sz w:val="40"/>
      <w:szCs w:val="4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https://www.gov.cn/zhengce/content/202509/W020250930645245947614.png" TargetMode="Externa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3511e624-2c49-4748-bbea-0d4325ea034e</errorID>
      <errorWord>…………</errorWord>
      <group>L1_Punc</group>
      <groupName>标点问题</groupName>
      <ability>L2_Punc</ability>
      <abilityName>标点符号检查</abilityName>
      <candidateList>
        <item>…</item>
      </candidateList>
      <explain/>
      <paraID>381B935F</paraID>
      <start>21</start>
      <end>25</end>
      <status>ignored</status>
      <modifiedWord/>
      <trackRevisions>false</trackRevisions>
    </reviewItem>
    <reviewItem>
      <errorID>f31255bf-8141-4f51-a457-00497ae26513</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210D7002</paraID>
      <start>113</start>
      <end>115</end>
      <status>ignored</status>
      <modifiedWord/>
      <trackRevisions>false</trackRevisions>
    </reviewItem>
    <reviewItem>
      <errorID>cbc78a5a-0432-466f-ab6e-addaa28a8b6c</errorID>
      <errorWord>项号</errorWord>
      <group>L1_Word</group>
      <groupName>字词问题</groupName>
      <ability>L2_Typo</ability>
      <abilityName>字词错误</abilityName>
      <candidateList>
        <item>项</item>
      </candidateList>
      <explain/>
      <paraID>11454FEB</paraID>
      <start>136</start>
      <end>138</end>
      <status>ignored</status>
      <modifiedWord/>
      <trackRevisions>false</trackRevisions>
    </reviewItem>
    <reviewItem>
      <errorID>d37f251b-c920-4df7-ae28-03a3175b41b2</errorID>
      <errorWord>项号</errorWord>
      <group>L1_Word</group>
      <groupName>字词问题</groupName>
      <ability>L2_Typo</ability>
      <abilityName>字词错误</abilityName>
      <candidateList>
        <item>项</item>
      </candidateList>
      <explain/>
      <paraID>2661874E</paraID>
      <start>12</start>
      <end>14</end>
      <status>ignored</status>
      <modifiedWord/>
      <trackRevisions>false</trackRevisions>
    </reviewItem>
    <reviewItem>
      <errorID>149606eb-e974-46a1-9b91-e61c58fc7868</errorID>
      <errorWord>上午00:00</errorWord>
      <group>L1_Knowledge</group>
      <groupName>知识性问题</groupName>
      <ability>L2_Time</ability>
      <abilityName>日期时间</abilityName>
      <candidateList/>
      <explain>时间与前缀不匹配，可能的时间前缀有“下午、晚上、凌晨、午夜”。</explain>
      <paraID>191F9484</paraID>
      <start>29</start>
      <end>36</end>
      <status>ignored</status>
      <modifiedWord/>
      <trackRevisions>false</trackRevisions>
    </reviewItem>
    <reviewItem>
      <errorID>b9c74e06-43d0-460e-ba1f-1a00a6398a11</errorID>
      <errorWord>操作合</errorWord>
      <group>L1_Word</group>
      <groupName>字词问题</groupName>
      <ability>L2_Typo</ability>
      <abilityName>字词错误</abilityName>
      <candidateList>
        <item>操作台</item>
      </candidateList>
      <explain/>
      <paraID>29788F1A</paraID>
      <start>9</start>
      <end>12</end>
      <status>ignored</status>
      <modifiedWord/>
      <trackRevisions>false</trackRevisions>
    </reviewItem>
    <reviewItem>
      <errorID>6e80ca55-e004-4615-9b7d-ead7fb5a094a</errorID>
      <errorWord>操作合</errorWord>
      <group>L1_Word</group>
      <groupName>字词问题</groupName>
      <ability>L2_Typo</ability>
      <abilityName>字词错误</abilityName>
      <candidateList>
        <item>操作台</item>
      </candidateList>
      <explain/>
      <paraID> 66CCDD0</paraID>
      <start>9</start>
      <end>12</end>
      <status>ignored</status>
      <modifiedWord/>
      <trackRevisions>false</trackRevisions>
    </reviewItem>
    <reviewItem>
      <errorID>2d3dc09c-7d5d-47b8-b4c2-29cd150538c4</errorID>
      <errorWord>操作合</errorWord>
      <group>L1_Word</group>
      <groupName>字词问题</groupName>
      <ability>L2_Typo</ability>
      <abilityName>字词错误</abilityName>
      <candidateList>
        <item>操作台</item>
      </candidateList>
      <explain/>
      <paraID>48EFDE6E</paraID>
      <start>9</start>
      <end>12</end>
      <status>ignored</status>
      <modifiedWord/>
      <trackRevisions>false</trackRevisions>
    </reviewItem>
    <reviewItem>
      <errorID>388c8d47-a494-4bc8-b416-ddc0656728d6</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4C9882B3</paraID>
      <start>0</start>
      <end>8</end>
      <status>ignored</status>
      <modifiedWord/>
      <trackRevisions>false</trackRevisions>
    </reviewItem>
    <reviewItem>
      <errorID>3e33435b-899c-46fc-9759-961cdcce7705</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50E2E77B</paraID>
      <start>0</start>
      <end>9</end>
      <status>ignored</status>
      <modifiedWord/>
      <trackRevisions>false</trackRevisions>
    </reviewItem>
    <reviewItem>
      <errorID>dd9c1cf7-dd7d-48ae-8bce-dae66c36021d</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66753E26</paraID>
      <start>0</start>
      <end>10</end>
      <status>ignored</status>
      <modifiedWord/>
      <trackRevisions>false</trackRevisions>
    </reviewItem>
    <reviewItem>
      <errorID>74c465bf-8f1c-45b5-9ca3-3d152d639182</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7BD61E5B</paraID>
      <start>0</start>
      <end>4</end>
      <status>ignored</status>
      <modifiedWord/>
      <trackRevisions>false</trackRevisions>
    </reviewItem>
    <reviewItem>
      <errorID>480f83c6-fb48-4652-9c1c-ae8dfbe0f420</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30F3ADE9</paraID>
      <start>0</start>
      <end>5</end>
      <status>ignored</status>
      <modifiedWord/>
      <trackRevisions>false</trackRevisions>
    </reviewItem>
    <reviewItem>
      <errorID>825aa1da-88e8-4b5d-b8da-1fe387a29c7a</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3992B0BF</paraID>
      <start>0</start>
      <end>6</end>
      <status>ignored</status>
      <modifiedWord/>
      <trackRevisions>false</trackRevisions>
    </reviewItem>
    <reviewItem>
      <errorID>afd57e48-c5e8-4b1f-9cb2-aa8f87d1736a</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16B51396</paraID>
      <start>0</start>
      <end>7</end>
      <status>ignored</status>
      <modifiedWord/>
      <trackRevisions>false</trackRevisions>
    </reviewItem>
    <reviewItem>
      <errorID>849e08c8-43ab-44f1-8567-dd570d6636b6</errorID>
      <errorWord>亿</errorWord>
      <group>L1_Word</group>
      <groupName>字词问题</groupName>
      <ability>L2_Typo</ability>
      <abilityName>字词错误</abilityName>
      <candidateList>
        <item>亿元</item>
      </candidateList>
      <explain/>
      <paraID> 399A0C8</paraID>
      <start>3</start>
      <end>4</end>
      <status>ignored</status>
      <modifiedWord/>
      <trackRevisions>false</trackRevisions>
    </reviewItem>
    <reviewItem>
      <errorID>db33b2ce-abe6-495f-9b9f-c47d490e9f42</errorID>
      <errorWord>提出质疑</errorWord>
      <group>L1_Grammar</group>
      <groupName>语法问题</groupName>
      <ability>L2_Grammar</ability>
      <abilityName>语法错误</abilityName>
      <candidateList>
        <item>质疑</item>
      </candidateList>
      <explain>〈动〉提出疑问：～问难。</explain>
      <paraID>670214EB</paraID>
      <start>53</start>
      <end>57</end>
      <status>ignored</status>
      <modifiedWord/>
      <trackRevisions>false</trackRevisions>
    </reviewItem>
    <reviewItem>
      <errorID>e89254f4-25a8-4c88-9e24-3f07c4c7eaa4</errorID>
      <errorWord>可附件</errorWord>
      <group>L1_Word</group>
      <groupName>字词问题</groupName>
      <ability>L2_Typo</ability>
      <abilityName>字词错误</abilityName>
      <candidateList>
        <item>见附件</item>
      </candidateList>
      <explain/>
      <paraID>4888D580</paraID>
      <start>100</start>
      <end>103</end>
      <status>ignored</status>
      <modifiedWord/>
      <trackRevisions>false</trackRevisions>
    </reviewItem>
    <reviewItem>
      <errorID>67f182a1-140b-4252-9601-3523d988a541</errorID>
      <errorWord>电流强度</errorWord>
      <group>L1_Word</group>
      <groupName>字词问题</groupName>
      <ability>L2_Typo</ability>
      <abilityName>字词错误</abilityName>
      <candidateList>
        <item>电流</item>
      </candidateList>
      <explain/>
      <paraID>40640353</paraID>
      <start>7</start>
      <end>11</end>
      <status>ignored</status>
      <modifiedWord/>
      <trackRevisions>false</trackRevisions>
    </reviewItem>
    <reviewItem>
      <errorID>115e9cd5-27f8-419d-acae-adba926a6d4e</errorID>
      <errorWord>电流强度</errorWord>
      <group>L1_Word</group>
      <groupName>字词问题</groupName>
      <ability>L2_Typo</ability>
      <abilityName>字词错误</abilityName>
      <candidateList>
        <item>电流</item>
      </candidateList>
      <explain/>
      <paraID>28AC9C92</paraID>
      <start>41</start>
      <end>45</end>
      <status>ignored</status>
      <modifiedWord/>
      <trackRevisions>false</trackRevisions>
    </reviewItem>
    <reviewItem>
      <errorID>7ac3e9c6-b1eb-40f6-8a5f-6b6be44bf3fd</errorID>
      <errorWord>档位</errorWord>
      <group>L1_Word</group>
      <groupName>字词问题</groupName>
      <ability>L2_Typo</ability>
      <abilityName>字词错误</abilityName>
      <candidateList>
        <item>挡位</item>
      </candidateList>
      <explain>存在发音相同字词的误用。</explain>
      <paraID>1E879237</paraID>
      <start>19</start>
      <end>21</end>
      <status>ignored</status>
      <modifiedWord/>
      <trackRevisions>false</trackRevisions>
    </reviewItem>
    <reviewItem>
      <errorID>ddd80a84-a5c6-48ba-a574-4c0ee8e568d9</errorID>
      <errorWord>材</errorWord>
      <group>L1_Word</group>
      <groupName>字词问题</groupName>
      <ability>L2_Typo</ability>
      <abilityName>字词错误</abilityName>
      <candidateList>
        <item>材料</item>
      </candidateList>
      <explain>〈名〉❶可以直接造成成品的东西，如建筑用的砖瓦、纺织用的棉纱等：建筑～｜做一套衣服，这点～不够。❷提供著作内容的事物：他打算写一部小说，正在搜集～。❸可供参考的事实：人事～。❹比喻适于做某种事情的人才：我五音不全，不是唱歌的～。</explain>
      <paraID> E8EAE80</paraID>
      <start>10</start>
      <end>11</end>
      <status>ignored</status>
      <modifiedWord/>
      <trackRevisions>false</trackRevisions>
    </reviewItem>
    <reviewItem>
      <errorID>b320fbfa-43be-476a-b77d-f35cd9ac3054</errorID>
      <errorWord>所有</errorWord>
      <group>L1_Word</group>
      <groupName>字词问题</groupName>
      <ability>L2_Typo</ability>
      <abilityName>字词错误</abilityName>
      <candidateList>
        <item>所</item>
      </candidateList>
      <explain/>
      <paraID>5336F70C</paraID>
      <start>10</start>
      <end>12</end>
      <status>ignored</status>
      <modifiedWord/>
      <trackRevisions>false</trackRevisions>
    </reviewItem>
    <reviewItem>
      <errorID>c62c8dc2-d87a-44da-9c3e-756bb8830775</errorID>
      <errorWord>）</errorWord>
      <group>L1_Format</group>
      <groupName>格式问题</groupName>
      <ability>L2_HalfPunc</ability>
      <abilityName>全半角检查</abilityName>
      <candidateList>
        <item>)</item>
      </candidateList>
      <explain>文本全半角错误。</explain>
      <paraID>2FE8ED8D</paraID>
      <start>23</start>
      <end>24</end>
      <status>modified</status>
      <modifiedWord>)</modifiedWord>
      <trackRevisions>false</trackRevisions>
    </reviewItem>
    <reviewItem>
      <errorID>75172c54-89ee-498f-8f74-0e3ff70a24f0</errorID>
      <errorWord>所有</errorWord>
      <group>L1_Word</group>
      <groupName>字词问题</groupName>
      <ability>L2_Typo</ability>
      <abilityName>字词错误</abilityName>
      <candidateList>
        <item>所</item>
      </candidateList>
      <explain/>
      <paraID>1274D6FA</paraID>
      <start>10</start>
      <end>12</end>
      <status>ignored</status>
      <modifiedWord/>
      <trackRevisions>false</trackRevisions>
    </reviewItem>
    <reviewItem>
      <errorID>68417467-5018-4bcd-bfa7-b2fc692ac19e</errorID>
      <errorWord>项号</errorWord>
      <group>L1_Word</group>
      <groupName>字词问题</groupName>
      <ability>L2_Typo</ability>
      <abilityName>字词错误</abilityName>
      <candidateList>
        <item>项</item>
      </candidateList>
      <explain/>
      <paraID>30DBA389</paraID>
      <start>9</start>
      <end>11</end>
      <status>ignored</status>
      <modifiedWord/>
      <trackRevisions>false</trackRevisions>
    </reviewItem>
    <reviewItem>
      <errorID>02bddf04-6bcd-4d70-aeb4-b2875c8a3289</errorID>
      <errorWord>标示</errorWord>
      <group>L1_Word</group>
      <groupName>字词问题</groupName>
      <ability>L2_Typo</ability>
      <abilityName>字词错误</abilityName>
      <candidateList>
        <item>标识</item>
      </candidateList>
      <explain>存在发音相同字词的误用。</explain>
      <paraID>7342C00C</paraID>
      <start>287</start>
      <end>289</end>
      <status>ignored</status>
      <modifiedWord/>
      <trackRevisions>false</trackRevisions>
    </reviewItem>
    <reviewItem>
      <errorID>3c7dac5c-0a5c-410c-a565-de5ca44f621e</errorID>
      <errorWord>所有</errorWord>
      <group>L1_Word</group>
      <groupName>字词问题</groupName>
      <ability>L2_Typo</ability>
      <abilityName>字词错误</abilityName>
      <candidateList>
        <item>所</item>
      </candidateList>
      <explain/>
      <paraID>23590F50</paraID>
      <start>10</start>
      <end>12</end>
      <status>ignored</status>
      <modifiedWord/>
      <trackRevisions>false</trackRevisions>
    </reviewItem>
    <reviewItem>
      <errorID>41802fe9-6269-4ce4-889c-64d4233c417e</errorID>
      <errorWord>，</errorWord>
      <group>L1_Word</group>
      <groupName>字词问题</groupName>
      <ability>L2_Typo</ability>
      <abilityName>字词错误</abilityName>
      <candidateList>
        <item>，机</item>
      </candidateList>
      <explain/>
      <paraID>2525F365</paraID>
      <start>32</start>
      <end>33</end>
      <status>unmodified</status>
      <modifiedWord/>
      <trackRevisions>false</trackRevisions>
    </reviewItem>
    <reviewItem>
      <errorID>8e8072fd-5b74-490e-8b5f-cae09c57795c</errorID>
      <errorWord>所有</errorWord>
      <group>L1_Word</group>
      <groupName>字词问题</groupName>
      <ability>L2_Typo</ability>
      <abilityName>字词错误</abilityName>
      <candidateList>
        <item>所</item>
      </candidateList>
      <explain/>
      <paraID>4FC01AF0</paraID>
      <start>10</start>
      <end>12</end>
      <status>ignored</status>
      <modifiedWord/>
      <trackRevisions>false</trackRevisions>
    </reviewItem>
    <reviewItem>
      <errorID>1311351b-08b5-49fd-8c28-7f21479934fe</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144CD494</paraID>
      <start>34</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e39266-47d9-435b-ba9b-f224eff33a9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81</Pages>
  <Words>52965</Words>
  <Characters>56574</Characters>
  <Lines>392</Lines>
  <Paragraphs>110</Paragraphs>
  <TotalTime>280</TotalTime>
  <ScaleCrop>false</ScaleCrop>
  <LinksUpToDate>false</LinksUpToDate>
  <CharactersWithSpaces>61081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2022-12-09T07:18:00Z</dcterms:created>
  <dc:creator>微软用户</dc:creator>
  <cp:lastModifiedBy>Administrator</cp:lastModifiedBy>
  <cp:lastPrinted>2026-09-07T05:13:00Z</cp:lastPrinted>
  <dcterms:modified xsi:type="dcterms:W3CDTF">2026-09-16T07:16:43Z</dcterms:modified>
  <dc:title>医疗设备采购</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19A6E19D9D8C4B76A759E415A3886D72</vt:lpwstr>
  </property>
  <property fmtid="{D5CDD505-2E9C-101B-9397-08002B2CF9AE}" pid="4" name="KSOTemplateDocerSaveRecord">
    <vt:lpwstr>eyJoZGlkIjoiZDMzZDM1ZDg5MGNmNzllYmZmZTI2ZTYwMjQ0NmE3MTEiLCJ1c2VySWQiOiIyNDA5MzM3NzAifQ==</vt:lpwstr>
  </property>
</Properties>
</file>