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E66C3">
      <w:pPr>
        <w:spacing w:line="360" w:lineRule="auto"/>
        <w:jc w:val="center"/>
        <w:rPr>
          <w:rFonts w:ascii="Arial Unicode MS" w:hAnsi="宋体" w:eastAsia="Arial Unicode MS"/>
          <w:color w:val="auto"/>
          <w:sz w:val="52"/>
          <w:szCs w:val="52"/>
          <w:highlight w:val="none"/>
        </w:rPr>
      </w:pPr>
      <w:r>
        <w:rPr>
          <w:rFonts w:hint="eastAsia" w:ascii="Arial Unicode MS" w:hAnsi="宋体" w:eastAsia="Arial Unicode MS"/>
          <w:color w:val="auto"/>
          <w:sz w:val="52"/>
          <w:szCs w:val="52"/>
          <w:highlight w:val="none"/>
        </w:rPr>
        <w:t>云之龙咨询集团有限公司</w:t>
      </w:r>
    </w:p>
    <w:p w14:paraId="78D8F5BE">
      <w:pPr>
        <w:spacing w:line="360" w:lineRule="auto"/>
        <w:rPr>
          <w:rFonts w:ascii="Arial Unicode MS" w:hAnsi="Arial Unicode MS" w:eastAsia="Arial Unicode MS" w:cs="Arial Unicode MS"/>
          <w:b/>
          <w:color w:val="auto"/>
          <w:sz w:val="44"/>
          <w:szCs w:val="44"/>
          <w:highlight w:val="none"/>
        </w:rPr>
      </w:pPr>
    </w:p>
    <w:p w14:paraId="36586EFD">
      <w:pPr>
        <w:spacing w:line="360" w:lineRule="auto"/>
        <w:rPr>
          <w:rFonts w:ascii="Arial Unicode MS" w:hAnsi="Arial Unicode MS" w:eastAsia="Arial Unicode MS" w:cs="Arial Unicode MS"/>
          <w:b/>
          <w:color w:val="auto"/>
          <w:sz w:val="44"/>
          <w:szCs w:val="44"/>
          <w:highlight w:val="none"/>
        </w:rPr>
      </w:pPr>
    </w:p>
    <w:p w14:paraId="79A6A836">
      <w:pPr>
        <w:spacing w:before="156" w:line="360" w:lineRule="auto"/>
        <w:jc w:val="center"/>
        <w:rPr>
          <w:rFonts w:ascii="华文细黑" w:hAnsi="华文细黑" w:eastAsia="华文细黑" w:cs="华文细黑"/>
          <w:color w:val="auto"/>
          <w:sz w:val="100"/>
          <w:szCs w:val="100"/>
          <w:highlight w:val="none"/>
        </w:rPr>
      </w:pPr>
      <w:r>
        <w:rPr>
          <w:rFonts w:hint="eastAsia" w:ascii="华文细黑" w:hAnsi="华文细黑" w:eastAsia="华文细黑" w:cs="华文细黑"/>
          <w:color w:val="auto"/>
          <w:sz w:val="100"/>
          <w:szCs w:val="100"/>
          <w:highlight w:val="none"/>
        </w:rPr>
        <w:t>竞争性谈判文件</w:t>
      </w:r>
    </w:p>
    <w:p w14:paraId="09902AB0">
      <w:pPr>
        <w:spacing w:before="156" w:line="360" w:lineRule="auto"/>
        <w:jc w:val="center"/>
        <w:rPr>
          <w:rFonts w:ascii="仿宋_GB2312" w:hAnsi="宋体" w:eastAsia="仿宋_GB2312"/>
          <w:b/>
          <w:color w:val="auto"/>
          <w:sz w:val="30"/>
          <w:szCs w:val="72"/>
          <w:highlight w:val="none"/>
        </w:rPr>
      </w:pPr>
      <w:r>
        <w:rPr>
          <w:rFonts w:hint="eastAsia" w:ascii="仿宋_GB2312" w:hAnsi="宋体" w:eastAsia="仿宋_GB2312"/>
          <w:b/>
          <w:color w:val="auto"/>
          <w:sz w:val="48"/>
          <w:szCs w:val="48"/>
          <w:highlight w:val="none"/>
        </w:rPr>
        <w:t>（全流程电子化采购）</w:t>
      </w:r>
    </w:p>
    <w:p w14:paraId="7AC25A35">
      <w:pPr>
        <w:spacing w:line="360" w:lineRule="auto"/>
        <w:rPr>
          <w:rFonts w:ascii="仿宋_GB2312" w:hAnsi="宋体" w:eastAsia="仿宋_GB2312"/>
          <w:color w:val="auto"/>
          <w:sz w:val="30"/>
          <w:szCs w:val="72"/>
          <w:highlight w:val="none"/>
        </w:rPr>
      </w:pPr>
    </w:p>
    <w:p w14:paraId="0D0B8CE8">
      <w:pPr>
        <w:pStyle w:val="244"/>
        <w:spacing w:line="360" w:lineRule="auto"/>
        <w:ind w:firstLine="1193"/>
        <w:rPr>
          <w:rFonts w:ascii="仿宋_GB2312" w:hAnsi="宋体" w:eastAsia="仿宋_GB2312"/>
          <w:b/>
          <w:bCs/>
          <w:color w:val="auto"/>
          <w:sz w:val="30"/>
          <w:szCs w:val="30"/>
          <w:highlight w:val="none"/>
        </w:rPr>
      </w:pPr>
    </w:p>
    <w:p w14:paraId="0F295842">
      <w:pPr>
        <w:pStyle w:val="244"/>
        <w:spacing w:line="360" w:lineRule="auto"/>
        <w:ind w:firstLine="904"/>
        <w:rPr>
          <w:rFonts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sz w:val="30"/>
          <w:szCs w:val="30"/>
          <w:highlight w:val="none"/>
        </w:rPr>
        <w:t>名称</w:t>
      </w:r>
      <w:r>
        <w:rPr>
          <w:rFonts w:hint="eastAsia" w:ascii="仿宋_GB2312" w:hAnsi="宋体" w:eastAsia="仿宋_GB2312"/>
          <w:b/>
          <w:bCs/>
          <w:color w:val="auto"/>
          <w:sz w:val="30"/>
          <w:szCs w:val="30"/>
          <w:highlight w:val="none"/>
        </w:rPr>
        <w:t>：宁明县海渊镇中心卫生院血液透析设备采购</w:t>
      </w:r>
    </w:p>
    <w:p w14:paraId="402B8364">
      <w:pPr>
        <w:spacing w:line="360" w:lineRule="auto"/>
        <w:ind w:firstLine="859"/>
        <w:rPr>
          <w:rFonts w:hint="eastAsia" w:ascii="仿宋_GB2312" w:hAnsi="宋体" w:eastAsia="仿宋_GB2312" w:cs="Courier New"/>
          <w:b/>
          <w:bCs/>
          <w:color w:val="auto"/>
          <w:sz w:val="30"/>
          <w:szCs w:val="30"/>
          <w:highlight w:val="none"/>
          <w:lang w:eastAsia="zh-CN"/>
        </w:rPr>
      </w:pPr>
      <w:r>
        <w:rPr>
          <w:rFonts w:hint="eastAsia" w:ascii="仿宋_GB2312" w:hAnsi="宋体" w:eastAsia="仿宋_GB2312" w:cs="Courier New"/>
          <w:b/>
          <w:bCs/>
          <w:color w:val="auto"/>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sz w:val="30"/>
          <w:szCs w:val="30"/>
          <w:highlight w:val="none"/>
        </w:rPr>
        <w:t>：</w:t>
      </w:r>
      <w:r>
        <w:rPr>
          <w:rFonts w:hint="eastAsia" w:ascii="仿宋_GB2312" w:hAnsi="宋体" w:eastAsia="仿宋_GB2312" w:cs="Courier New"/>
          <w:b/>
          <w:bCs/>
          <w:color w:val="auto"/>
          <w:sz w:val="30"/>
          <w:szCs w:val="30"/>
          <w:highlight w:val="none"/>
          <w:lang w:eastAsia="zh-CN"/>
        </w:rPr>
        <w:t>CZZC2026-J1-220130-YZLZ</w:t>
      </w:r>
    </w:p>
    <w:p w14:paraId="605C5BA2">
      <w:pPr>
        <w:spacing w:line="360" w:lineRule="auto"/>
        <w:ind w:firstLine="1205"/>
        <w:rPr>
          <w:rFonts w:ascii="仿宋_GB2312" w:hAnsi="宋体" w:eastAsia="仿宋_GB2312"/>
          <w:b/>
          <w:color w:val="auto"/>
          <w:sz w:val="30"/>
          <w:szCs w:val="48"/>
          <w:highlight w:val="none"/>
        </w:rPr>
      </w:pPr>
      <w:r>
        <w:rPr>
          <w:rFonts w:hint="eastAsia" w:ascii="仿宋_GB2312" w:hAnsi="宋体" w:eastAsia="仿宋_GB2312"/>
          <w:b/>
          <w:color w:val="auto"/>
          <w:sz w:val="30"/>
          <w:szCs w:val="48"/>
          <w:highlight w:val="none"/>
        </w:rPr>
        <w:t xml:space="preserve"> </w:t>
      </w:r>
    </w:p>
    <w:p w14:paraId="52343A8E">
      <w:pPr>
        <w:spacing w:line="360" w:lineRule="auto"/>
        <w:ind w:firstLine="1205"/>
        <w:rPr>
          <w:rFonts w:ascii="仿宋_GB2312" w:hAnsi="宋体" w:eastAsia="仿宋_GB2312"/>
          <w:b/>
          <w:color w:val="auto"/>
          <w:sz w:val="30"/>
          <w:szCs w:val="48"/>
          <w:highlight w:val="none"/>
        </w:rPr>
      </w:pPr>
    </w:p>
    <w:p w14:paraId="38B73839">
      <w:pPr>
        <w:pStyle w:val="291"/>
        <w:rPr>
          <w:rFonts w:ascii="仿宋_GB2312" w:hAnsi="宋体" w:eastAsia="仿宋_GB2312"/>
          <w:b/>
          <w:color w:val="auto"/>
          <w:sz w:val="30"/>
          <w:szCs w:val="48"/>
          <w:highlight w:val="none"/>
        </w:rPr>
      </w:pPr>
    </w:p>
    <w:p w14:paraId="67F4A5FE">
      <w:pPr>
        <w:pStyle w:val="244"/>
        <w:spacing w:line="360" w:lineRule="auto"/>
        <w:ind w:firstLine="1125"/>
        <w:rPr>
          <w:rFonts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采 购 人：宁明县海渊镇中心卫生院 </w:t>
      </w:r>
    </w:p>
    <w:p w14:paraId="2F90DF76">
      <w:pPr>
        <w:pStyle w:val="244"/>
        <w:spacing w:line="360" w:lineRule="auto"/>
        <w:ind w:firstLine="1125"/>
        <w:rPr>
          <w:rFonts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采购代理机构：云之龙咨询集团有限公司</w:t>
      </w:r>
    </w:p>
    <w:p w14:paraId="63D971B4">
      <w:pPr>
        <w:pStyle w:val="244"/>
        <w:spacing w:line="360" w:lineRule="auto"/>
        <w:ind w:firstLine="2862"/>
        <w:rPr>
          <w:rFonts w:hAnsi="宋体" w:cs="宋体"/>
          <w:b/>
          <w:color w:val="auto"/>
          <w:sz w:val="32"/>
          <w:szCs w:val="32"/>
          <w:highlight w:val="none"/>
        </w:rPr>
      </w:pPr>
      <w:r>
        <w:rPr>
          <w:rFonts w:hint="eastAsia" w:ascii="仿宋_GB2312" w:hAnsi="宋体" w:eastAsia="仿宋_GB2312"/>
          <w:b/>
          <w:bCs/>
          <w:color w:val="auto"/>
          <w:sz w:val="30"/>
          <w:szCs w:val="30"/>
          <w:highlight w:val="none"/>
        </w:rPr>
        <w:t>2026年8月</w:t>
      </w:r>
      <w:r>
        <w:rPr>
          <w:rFonts w:hint="eastAsia" w:ascii="仿宋_GB2312" w:hAnsi="宋体" w:eastAsia="仿宋_GB2312"/>
          <w:b/>
          <w:bCs/>
          <w:color w:val="auto"/>
          <w:sz w:val="30"/>
          <w:szCs w:val="30"/>
          <w:highlight w:val="none"/>
          <w:lang w:val="en-US" w:eastAsia="zh-CN"/>
        </w:rPr>
        <w:t>17</w:t>
      </w:r>
      <w:r>
        <w:rPr>
          <w:rFonts w:hint="eastAsia" w:ascii="仿宋_GB2312" w:hAnsi="宋体" w:eastAsia="仿宋_GB2312"/>
          <w:b/>
          <w:bCs/>
          <w:color w:val="auto"/>
          <w:sz w:val="30"/>
          <w:szCs w:val="30"/>
          <w:highlight w:val="none"/>
        </w:rPr>
        <w:t>日</w:t>
      </w:r>
    </w:p>
    <w:p w14:paraId="27EBFD4E">
      <w:pPr>
        <w:tabs>
          <w:tab w:val="left" w:pos="1080"/>
        </w:tabs>
        <w:spacing w:line="360" w:lineRule="exact"/>
        <w:ind w:firstLine="480"/>
        <w:rPr>
          <w:rFonts w:ascii="宋体" w:hAnsi="宋体" w:cs="宋体"/>
          <w:bCs/>
          <w:color w:val="auto"/>
          <w:highlight w:val="none"/>
        </w:rPr>
      </w:pPr>
    </w:p>
    <w:p w14:paraId="236156EE">
      <w:pPr>
        <w:tabs>
          <w:tab w:val="left" w:pos="1080"/>
        </w:tabs>
        <w:spacing w:line="360" w:lineRule="exact"/>
        <w:ind w:firstLine="480"/>
        <w:rPr>
          <w:rFonts w:ascii="宋体" w:hAnsi="宋体" w:cs="宋体"/>
          <w:bCs/>
          <w:color w:val="auto"/>
          <w:highlight w:val="none"/>
        </w:rPr>
      </w:pPr>
    </w:p>
    <w:p w14:paraId="6850A7C6">
      <w:pPr>
        <w:spacing w:line="360" w:lineRule="auto"/>
        <w:jc w:val="center"/>
        <w:rPr>
          <w:rFonts w:ascii="宋体" w:hAnsi="宋体"/>
          <w:b/>
          <w:color w:val="auto"/>
          <w:sz w:val="44"/>
          <w:szCs w:val="44"/>
          <w:highlight w:val="none"/>
        </w:rPr>
      </w:pPr>
      <w:r>
        <w:rPr>
          <w:rFonts w:ascii="宋体" w:hAnsi="宋体"/>
          <w:b/>
          <w:color w:val="auto"/>
          <w:sz w:val="44"/>
          <w:szCs w:val="44"/>
          <w:highlight w:val="none"/>
        </w:rPr>
        <w:br w:type="page" w:clear="all"/>
      </w:r>
    </w:p>
    <w:p w14:paraId="7941436C">
      <w:pPr>
        <w:spacing w:line="360" w:lineRule="auto"/>
        <w:jc w:val="center"/>
        <w:rPr>
          <w:rFonts w:ascii="宋体" w:hAnsi="宋体"/>
          <w:b/>
          <w:color w:val="auto"/>
          <w:sz w:val="44"/>
          <w:szCs w:val="44"/>
          <w:highlight w:val="none"/>
        </w:rPr>
      </w:pPr>
      <w:r>
        <w:rPr>
          <w:rFonts w:hint="eastAsia" w:ascii="宋体" w:hAnsi="宋体"/>
          <w:b/>
          <w:color w:val="auto"/>
          <w:sz w:val="44"/>
          <w:szCs w:val="44"/>
          <w:highlight w:val="none"/>
        </w:rPr>
        <w:t>目  录</w:t>
      </w:r>
    </w:p>
    <w:p w14:paraId="57C48709">
      <w:pPr>
        <w:spacing w:line="400" w:lineRule="exact"/>
        <w:jc w:val="center"/>
        <w:rPr>
          <w:rFonts w:ascii="宋体" w:hAnsi="宋体"/>
          <w:b/>
          <w:color w:val="auto"/>
          <w:sz w:val="44"/>
          <w:szCs w:val="44"/>
          <w:highlight w:val="none"/>
        </w:rPr>
      </w:pPr>
    </w:p>
    <w:sdt>
      <w:sdtPr>
        <w:rPr>
          <w:rFonts w:ascii="宋体" w:hAnsi="宋体"/>
          <w:color w:val="auto"/>
          <w:highlight w:val="none"/>
        </w:rPr>
        <w:id w:val="147477767"/>
        <w15:color w:val="DBDBDB"/>
        <w:docPartObj>
          <w:docPartGallery w:val="Table of Contents"/>
          <w:docPartUnique/>
        </w:docPartObj>
      </w:sdtPr>
      <w:sdtEndPr>
        <w:rPr>
          <w:rFonts w:ascii="宋体" w:hAnsi="宋体"/>
          <w:color w:val="auto"/>
          <w:highlight w:val="none"/>
        </w:rPr>
      </w:sdtEndPr>
      <w:sdtContent>
        <w:p w14:paraId="297D4767">
          <w:pPr>
            <w:jc w:val="center"/>
            <w:rPr>
              <w:color w:val="auto"/>
              <w:highlight w:val="none"/>
            </w:rPr>
          </w:pPr>
          <w:r>
            <w:rPr>
              <w:rFonts w:ascii="宋体" w:hAnsi="宋体"/>
              <w:color w:val="auto"/>
              <w:highlight w:val="none"/>
            </w:rPr>
            <w:t>目录</w:t>
          </w:r>
        </w:p>
        <w:p w14:paraId="4628F9CF">
          <w:pPr>
            <w:pStyle w:val="15"/>
            <w:tabs>
              <w:tab w:val="right" w:leader="dot" w:pos="8879"/>
            </w:tabs>
            <w:rPr>
              <w:color w:val="auto"/>
              <w:highlight w:val="none"/>
            </w:rPr>
          </w:pPr>
          <w:r>
            <w:rPr>
              <w:rFonts w:ascii="宋体" w:hAnsi="宋体"/>
              <w:b/>
              <w:color w:val="auto"/>
              <w:sz w:val="32"/>
              <w:szCs w:val="32"/>
              <w:highlight w:val="none"/>
            </w:rPr>
            <w:fldChar w:fldCharType="begin"/>
          </w:r>
          <w:r>
            <w:rPr>
              <w:rFonts w:ascii="宋体" w:hAnsi="宋体"/>
              <w:b/>
              <w:color w:val="auto"/>
              <w:sz w:val="32"/>
              <w:szCs w:val="32"/>
              <w:highlight w:val="none"/>
            </w:rPr>
            <w:instrText xml:space="preserve">TOC \o "1-1" \h \u </w:instrText>
          </w:r>
          <w:r>
            <w:rPr>
              <w:rFonts w:ascii="宋体" w:hAnsi="宋体"/>
              <w:b/>
              <w:color w:val="auto"/>
              <w:sz w:val="32"/>
              <w:szCs w:val="32"/>
              <w:highlight w:val="none"/>
            </w:rPr>
            <w:fldChar w:fldCharType="separate"/>
          </w:r>
          <w:r>
            <w:rPr>
              <w:color w:val="auto"/>
              <w:highlight w:val="none"/>
            </w:rPr>
            <w:fldChar w:fldCharType="begin"/>
          </w:r>
          <w:r>
            <w:rPr>
              <w:color w:val="auto"/>
              <w:highlight w:val="none"/>
            </w:rPr>
            <w:instrText xml:space="preserve"> HYPERLINK \l "_Toc7389" </w:instrText>
          </w:r>
          <w:r>
            <w:rPr>
              <w:color w:val="auto"/>
              <w:highlight w:val="none"/>
            </w:rPr>
            <w:fldChar w:fldCharType="separate"/>
          </w:r>
          <w:r>
            <w:rPr>
              <w:rFonts w:hint="eastAsia"/>
              <w:color w:val="auto"/>
              <w:highlight w:val="none"/>
            </w:rPr>
            <w:t>第一章 竞争性谈判公告</w:t>
          </w:r>
          <w:r>
            <w:rPr>
              <w:color w:val="auto"/>
              <w:highlight w:val="none"/>
            </w:rPr>
            <w:tab/>
          </w:r>
          <w:r>
            <w:rPr>
              <w:color w:val="auto"/>
              <w:highlight w:val="none"/>
            </w:rPr>
            <w:fldChar w:fldCharType="begin"/>
          </w:r>
          <w:r>
            <w:rPr>
              <w:color w:val="auto"/>
              <w:highlight w:val="none"/>
            </w:rPr>
            <w:instrText xml:space="preserve"> PAGEREF _Toc7389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2D04474D">
          <w:pPr>
            <w:pStyle w:val="15"/>
            <w:tabs>
              <w:tab w:val="right" w:leader="dot" w:pos="8879"/>
            </w:tabs>
            <w:rPr>
              <w:color w:val="auto"/>
              <w:highlight w:val="none"/>
            </w:rPr>
          </w:pPr>
          <w:r>
            <w:rPr>
              <w:color w:val="auto"/>
              <w:highlight w:val="none"/>
            </w:rPr>
            <w:fldChar w:fldCharType="begin"/>
          </w:r>
          <w:r>
            <w:rPr>
              <w:color w:val="auto"/>
              <w:highlight w:val="none"/>
            </w:rPr>
            <w:instrText xml:space="preserve"> HYPERLINK \l "_Toc29160" </w:instrText>
          </w:r>
          <w:r>
            <w:rPr>
              <w:color w:val="auto"/>
              <w:highlight w:val="none"/>
            </w:rPr>
            <w:fldChar w:fldCharType="separate"/>
          </w:r>
          <w:r>
            <w:rPr>
              <w:rFonts w:hint="eastAsia"/>
              <w:color w:val="auto"/>
              <w:highlight w:val="none"/>
            </w:rPr>
            <w:t>第二章 供应商须知</w:t>
          </w:r>
          <w:r>
            <w:rPr>
              <w:color w:val="auto"/>
              <w:highlight w:val="none"/>
            </w:rPr>
            <w:tab/>
          </w:r>
          <w:r>
            <w:rPr>
              <w:color w:val="auto"/>
              <w:highlight w:val="none"/>
            </w:rPr>
            <w:fldChar w:fldCharType="begin"/>
          </w:r>
          <w:r>
            <w:rPr>
              <w:color w:val="auto"/>
              <w:highlight w:val="none"/>
            </w:rPr>
            <w:instrText xml:space="preserve"> PAGEREF _Toc29160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18302B4B">
          <w:pPr>
            <w:pStyle w:val="15"/>
            <w:tabs>
              <w:tab w:val="right" w:leader="dot" w:pos="8879"/>
            </w:tabs>
            <w:rPr>
              <w:color w:val="auto"/>
              <w:highlight w:val="none"/>
            </w:rPr>
          </w:pPr>
          <w:r>
            <w:rPr>
              <w:color w:val="auto"/>
              <w:highlight w:val="none"/>
            </w:rPr>
            <w:fldChar w:fldCharType="begin"/>
          </w:r>
          <w:r>
            <w:rPr>
              <w:color w:val="auto"/>
              <w:highlight w:val="none"/>
            </w:rPr>
            <w:instrText xml:space="preserve"> HYPERLINK \l "_Toc6462" </w:instrText>
          </w:r>
          <w:r>
            <w:rPr>
              <w:color w:val="auto"/>
              <w:highlight w:val="none"/>
            </w:rPr>
            <w:fldChar w:fldCharType="separate"/>
          </w:r>
          <w:r>
            <w:rPr>
              <w:rFonts w:hint="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_Toc6462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0AF99951">
          <w:pPr>
            <w:pStyle w:val="15"/>
            <w:tabs>
              <w:tab w:val="right" w:leader="dot" w:pos="8879"/>
            </w:tabs>
            <w:rPr>
              <w:color w:val="auto"/>
              <w:highlight w:val="none"/>
            </w:rPr>
          </w:pPr>
          <w:r>
            <w:rPr>
              <w:color w:val="auto"/>
              <w:highlight w:val="none"/>
            </w:rPr>
            <w:fldChar w:fldCharType="begin"/>
          </w:r>
          <w:r>
            <w:rPr>
              <w:color w:val="auto"/>
              <w:highlight w:val="none"/>
            </w:rPr>
            <w:instrText xml:space="preserve"> HYPERLINK \l "_Toc13387" </w:instrText>
          </w:r>
          <w:r>
            <w:rPr>
              <w:color w:val="auto"/>
              <w:highlight w:val="none"/>
            </w:rPr>
            <w:fldChar w:fldCharType="separate"/>
          </w:r>
          <w:r>
            <w:rPr>
              <w:rFonts w:hint="eastAsia"/>
              <w:color w:val="auto"/>
              <w:highlight w:val="none"/>
            </w:rPr>
            <w:t>第四章  评审程序和评定成交的标准</w:t>
          </w:r>
          <w:r>
            <w:rPr>
              <w:color w:val="auto"/>
              <w:highlight w:val="none"/>
            </w:rPr>
            <w:tab/>
          </w:r>
          <w:r>
            <w:rPr>
              <w:color w:val="auto"/>
              <w:highlight w:val="none"/>
            </w:rPr>
            <w:fldChar w:fldCharType="begin"/>
          </w:r>
          <w:r>
            <w:rPr>
              <w:color w:val="auto"/>
              <w:highlight w:val="none"/>
            </w:rPr>
            <w:instrText xml:space="preserve"> PAGEREF _Toc13387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247B6D54">
          <w:pPr>
            <w:pStyle w:val="15"/>
            <w:tabs>
              <w:tab w:val="right" w:leader="dot" w:pos="8879"/>
            </w:tabs>
            <w:rPr>
              <w:color w:val="auto"/>
              <w:highlight w:val="none"/>
            </w:rPr>
          </w:pPr>
          <w:r>
            <w:rPr>
              <w:color w:val="auto"/>
              <w:highlight w:val="none"/>
            </w:rPr>
            <w:fldChar w:fldCharType="begin"/>
          </w:r>
          <w:r>
            <w:rPr>
              <w:color w:val="auto"/>
              <w:highlight w:val="none"/>
            </w:rPr>
            <w:instrText xml:space="preserve"> HYPERLINK \l "_Toc25260" </w:instrText>
          </w:r>
          <w:r>
            <w:rPr>
              <w:color w:val="auto"/>
              <w:highlight w:val="none"/>
            </w:rPr>
            <w:fldChar w:fldCharType="separate"/>
          </w:r>
          <w:r>
            <w:rPr>
              <w:rFonts w:hint="eastAsia"/>
              <w:color w:val="auto"/>
              <w:highlight w:val="none"/>
            </w:rPr>
            <w:t>第五章 响应文件格式</w:t>
          </w:r>
          <w:r>
            <w:rPr>
              <w:color w:val="auto"/>
              <w:highlight w:val="none"/>
            </w:rPr>
            <w:tab/>
          </w:r>
          <w:r>
            <w:rPr>
              <w:color w:val="auto"/>
              <w:highlight w:val="none"/>
            </w:rPr>
            <w:fldChar w:fldCharType="begin"/>
          </w:r>
          <w:r>
            <w:rPr>
              <w:color w:val="auto"/>
              <w:highlight w:val="none"/>
            </w:rPr>
            <w:instrText xml:space="preserve"> PAGEREF _Toc25260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2E1DEC22">
          <w:pPr>
            <w:pStyle w:val="15"/>
            <w:tabs>
              <w:tab w:val="right" w:leader="dot" w:pos="8879"/>
            </w:tabs>
            <w:rPr>
              <w:color w:val="auto"/>
              <w:highlight w:val="none"/>
            </w:rPr>
          </w:pPr>
          <w:r>
            <w:rPr>
              <w:color w:val="auto"/>
              <w:highlight w:val="none"/>
            </w:rPr>
            <w:fldChar w:fldCharType="begin"/>
          </w:r>
          <w:r>
            <w:rPr>
              <w:color w:val="auto"/>
              <w:highlight w:val="none"/>
            </w:rPr>
            <w:instrText xml:space="preserve"> HYPERLINK \l "_Toc222" </w:instrText>
          </w:r>
          <w:r>
            <w:rPr>
              <w:color w:val="auto"/>
              <w:highlight w:val="none"/>
            </w:rPr>
            <w:fldChar w:fldCharType="separate"/>
          </w:r>
          <w:r>
            <w:rPr>
              <w:rFonts w:hint="eastAsia"/>
              <w:color w:val="auto"/>
              <w:highlight w:val="none"/>
            </w:rPr>
            <w:t>第六章 合同文本</w:t>
          </w:r>
          <w:r>
            <w:rPr>
              <w:color w:val="auto"/>
              <w:highlight w:val="none"/>
            </w:rPr>
            <w:tab/>
          </w:r>
          <w:r>
            <w:rPr>
              <w:color w:val="auto"/>
              <w:highlight w:val="none"/>
            </w:rPr>
            <w:fldChar w:fldCharType="begin"/>
          </w:r>
          <w:r>
            <w:rPr>
              <w:color w:val="auto"/>
              <w:highlight w:val="none"/>
            </w:rPr>
            <w:instrText xml:space="preserve"> PAGEREF _Toc222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4CF8AC2B">
          <w:pPr>
            <w:spacing w:line="400" w:lineRule="exact"/>
            <w:jc w:val="center"/>
            <w:rPr>
              <w:rFonts w:ascii="宋体" w:hAnsi="宋体"/>
              <w:color w:val="auto"/>
              <w:szCs w:val="32"/>
              <w:highlight w:val="none"/>
            </w:rPr>
          </w:pPr>
          <w:r>
            <w:rPr>
              <w:rFonts w:ascii="宋体" w:hAnsi="宋体"/>
              <w:color w:val="auto"/>
              <w:szCs w:val="32"/>
              <w:highlight w:val="none"/>
            </w:rPr>
            <w:fldChar w:fldCharType="end"/>
          </w:r>
        </w:p>
      </w:sdtContent>
    </w:sdt>
    <w:p w14:paraId="7AF1C2F6">
      <w:pPr>
        <w:pStyle w:val="221"/>
        <w:tabs>
          <w:tab w:val="left" w:pos="5131"/>
        </w:tabs>
        <w:rPr>
          <w:color w:val="auto"/>
          <w:highlight w:val="none"/>
        </w:rPr>
      </w:pPr>
      <w:r>
        <w:rPr>
          <w:rFonts w:hint="eastAsia"/>
          <w:color w:val="auto"/>
          <w:highlight w:val="none"/>
        </w:rPr>
        <w:tab/>
      </w:r>
    </w:p>
    <w:p w14:paraId="27D1534D">
      <w:pPr>
        <w:spacing w:line="400" w:lineRule="exact"/>
        <w:jc w:val="center"/>
        <w:rPr>
          <w:rFonts w:ascii="宋体" w:hAnsi="宋体"/>
          <w:b/>
          <w:color w:val="auto"/>
          <w:sz w:val="32"/>
          <w:szCs w:val="32"/>
          <w:highlight w:val="none"/>
        </w:rPr>
      </w:pPr>
    </w:p>
    <w:p w14:paraId="2475753C">
      <w:pPr>
        <w:spacing w:line="400" w:lineRule="exact"/>
        <w:jc w:val="center"/>
        <w:rPr>
          <w:rFonts w:ascii="宋体" w:hAnsi="宋体"/>
          <w:b/>
          <w:color w:val="auto"/>
          <w:sz w:val="32"/>
          <w:szCs w:val="32"/>
          <w:highlight w:val="none"/>
        </w:rPr>
      </w:pPr>
    </w:p>
    <w:p w14:paraId="491F447B">
      <w:pPr>
        <w:spacing w:line="400" w:lineRule="exact"/>
        <w:jc w:val="center"/>
        <w:rPr>
          <w:rFonts w:ascii="宋体" w:hAnsi="宋体"/>
          <w:b/>
          <w:color w:val="auto"/>
          <w:sz w:val="32"/>
          <w:szCs w:val="32"/>
          <w:highlight w:val="none"/>
        </w:rPr>
      </w:pPr>
    </w:p>
    <w:p w14:paraId="4F92F9AD">
      <w:pPr>
        <w:spacing w:line="400" w:lineRule="exact"/>
        <w:rPr>
          <w:rFonts w:ascii="宋体" w:hAnsi="宋体"/>
          <w:b/>
          <w:color w:val="auto"/>
          <w:sz w:val="32"/>
          <w:szCs w:val="32"/>
          <w:highlight w:val="none"/>
        </w:rPr>
        <w:sectPr>
          <w:headerReference r:id="rId3" w:type="default"/>
          <w:footerReference r:id="rId4" w:type="default"/>
          <w:pgSz w:w="11906" w:h="16838"/>
          <w:pgMar w:top="1440" w:right="1440" w:bottom="1440" w:left="1587" w:header="851" w:footer="992" w:gutter="0"/>
          <w:cols w:space="720" w:num="1"/>
          <w:titlePg/>
        </w:sectPr>
      </w:pPr>
    </w:p>
    <w:p w14:paraId="54813744">
      <w:pPr>
        <w:pStyle w:val="222"/>
        <w:spacing w:after="100" w:line="480" w:lineRule="auto"/>
        <w:jc w:val="center"/>
        <w:rPr>
          <w:color w:val="auto"/>
          <w:highlight w:val="none"/>
        </w:rPr>
      </w:pPr>
      <w:bookmarkStart w:id="0" w:name="_Toc74322008"/>
      <w:bookmarkStart w:id="1" w:name="_Toc7389"/>
      <w:r>
        <w:rPr>
          <w:rFonts w:hint="eastAsia"/>
          <w:color w:val="auto"/>
          <w:highlight w:val="none"/>
        </w:rPr>
        <w:t>第一章 竞争性谈判公告</w:t>
      </w:r>
      <w:bookmarkEnd w:id="0"/>
      <w:bookmarkEnd w:id="1"/>
    </w:p>
    <w:p w14:paraId="7C32083C">
      <w:pPr>
        <w:spacing w:line="37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竞争性谈判公告</w:t>
      </w:r>
    </w:p>
    <w:p w14:paraId="2672F284">
      <w:pPr>
        <w:pBdr>
          <w:top w:val="single" w:color="000000" w:sz="4" w:space="1"/>
          <w:left w:val="single" w:color="000000" w:sz="4" w:space="4"/>
          <w:bottom w:val="single" w:color="000000" w:sz="4" w:space="1"/>
          <w:right w:val="single" w:color="000000" w:sz="4" w:space="4"/>
        </w:pBdr>
        <w:spacing w:line="400" w:lineRule="exact"/>
        <w:rPr>
          <w:rFonts w:ascii="宋体" w:hAnsi="宋体"/>
          <w:color w:val="auto"/>
          <w:szCs w:val="21"/>
          <w:highlight w:val="none"/>
        </w:rPr>
      </w:pPr>
      <w:bookmarkStart w:id="2" w:name="_Hlk37430271"/>
      <w:r>
        <w:rPr>
          <w:rFonts w:hint="eastAsia" w:ascii="宋体" w:hAnsi="宋体"/>
          <w:color w:val="auto"/>
          <w:szCs w:val="21"/>
          <w:highlight w:val="none"/>
        </w:rPr>
        <w:t>项目概况</w:t>
      </w:r>
    </w:p>
    <w:p w14:paraId="22CE6A3A">
      <w:pPr>
        <w:pBdr>
          <w:top w:val="single" w:color="000000" w:sz="4" w:space="1"/>
          <w:left w:val="single" w:color="000000" w:sz="4" w:space="4"/>
          <w:bottom w:val="single" w:color="000000" w:sz="4" w:space="1"/>
          <w:right w:val="single" w:color="000000" w:sz="4" w:space="4"/>
        </w:pBdr>
        <w:spacing w:line="400" w:lineRule="exact"/>
        <w:ind w:firstLine="420"/>
        <w:rPr>
          <w:rFonts w:ascii="宋体" w:hAnsi="宋体"/>
          <w:color w:val="auto"/>
          <w:szCs w:val="21"/>
          <w:highlight w:val="none"/>
        </w:rPr>
      </w:pPr>
      <w:r>
        <w:rPr>
          <w:rFonts w:hint="eastAsia" w:ascii="宋体" w:hAnsi="宋体"/>
          <w:color w:val="auto"/>
          <w:szCs w:val="21"/>
          <w:highlight w:val="none"/>
          <w:u w:val="single"/>
        </w:rPr>
        <w:t>宁明县海渊镇中心卫生院血液透析设备采购</w:t>
      </w:r>
      <w:r>
        <w:rPr>
          <w:rFonts w:hint="eastAsia" w:ascii="宋体" w:hAnsi="宋体"/>
          <w:color w:val="auto"/>
          <w:szCs w:val="21"/>
          <w:highlight w:val="none"/>
        </w:rPr>
        <w:t>项目的潜在供应商应在广西政府采购云平台（https://www.gcy.zfcg.gxzf.gov.cn）获取（下载）竞争性谈判文件，并于</w:t>
      </w:r>
      <w:r>
        <w:rPr>
          <w:rFonts w:ascii="宋体" w:hAnsi="宋体"/>
          <w:color w:val="auto"/>
          <w:szCs w:val="21"/>
          <w:highlight w:val="none"/>
          <w:u w:val="single"/>
        </w:rPr>
        <w:t xml:space="preserve"> </w:t>
      </w:r>
      <w:r>
        <w:rPr>
          <w:rFonts w:hint="eastAsia" w:ascii="宋体" w:hAnsi="宋体"/>
          <w:color w:val="auto"/>
          <w:szCs w:val="21"/>
          <w:highlight w:val="none"/>
          <w:u w:val="single"/>
        </w:rPr>
        <w:t>2026</w:t>
      </w:r>
      <w:r>
        <w:rPr>
          <w:rFonts w:hint="eastAsia" w:ascii="宋体" w:hAnsi="宋体"/>
          <w:bCs/>
          <w:color w:val="auto"/>
          <w:szCs w:val="21"/>
          <w:highlight w:val="none"/>
          <w:u w:val="single"/>
        </w:rPr>
        <w:t xml:space="preserve">年8月  </w:t>
      </w:r>
      <w:r>
        <w:rPr>
          <w:rFonts w:hint="eastAsia" w:ascii="宋体" w:hAnsi="宋体"/>
          <w:bCs/>
          <w:color w:val="auto"/>
          <w:szCs w:val="21"/>
          <w:highlight w:val="none"/>
          <w:u w:val="single"/>
          <w:lang w:val="en-US" w:eastAsia="zh-CN"/>
        </w:rPr>
        <w:t>21</w:t>
      </w:r>
      <w:r>
        <w:rPr>
          <w:rFonts w:hint="eastAsia" w:ascii="宋体" w:hAnsi="宋体"/>
          <w:bCs/>
          <w:color w:val="auto"/>
          <w:szCs w:val="21"/>
          <w:highlight w:val="none"/>
          <w:u w:val="single"/>
        </w:rPr>
        <w:t>日9时00分（</w:t>
      </w:r>
      <w:r>
        <w:rPr>
          <w:rFonts w:hint="eastAsia" w:ascii="宋体" w:hAnsi="宋体"/>
          <w:bCs/>
          <w:color w:val="auto"/>
          <w:szCs w:val="21"/>
          <w:highlight w:val="none"/>
        </w:rPr>
        <w:t>北京时间）前提交（上传）</w:t>
      </w:r>
      <w:r>
        <w:rPr>
          <w:rFonts w:hint="eastAsia" w:ascii="宋体" w:hAnsi="宋体"/>
          <w:color w:val="auto"/>
          <w:szCs w:val="21"/>
          <w:highlight w:val="none"/>
        </w:rPr>
        <w:t>响应</w:t>
      </w:r>
      <w:r>
        <w:rPr>
          <w:rFonts w:ascii="宋体" w:hAnsi="宋体"/>
          <w:bCs/>
          <w:color w:val="auto"/>
          <w:szCs w:val="21"/>
          <w:highlight w:val="none"/>
        </w:rPr>
        <w:t>文件</w:t>
      </w:r>
      <w:r>
        <w:rPr>
          <w:rFonts w:hint="eastAsia" w:ascii="宋体" w:hAnsi="宋体"/>
          <w:color w:val="auto"/>
          <w:szCs w:val="21"/>
          <w:highlight w:val="none"/>
        </w:rPr>
        <w:t>。</w:t>
      </w:r>
    </w:p>
    <w:p w14:paraId="63CDF65B">
      <w:pPr>
        <w:spacing w:line="400" w:lineRule="exact"/>
        <w:ind w:firstLine="360"/>
        <w:rPr>
          <w:rFonts w:ascii="黑体" w:hAnsi="黑体" w:eastAsia="黑体"/>
          <w:color w:val="auto"/>
          <w:sz w:val="24"/>
          <w:highlight w:val="none"/>
        </w:rPr>
      </w:pPr>
      <w:bookmarkStart w:id="3" w:name="_Toc28359012"/>
      <w:bookmarkStart w:id="4" w:name="_Toc71366040"/>
      <w:bookmarkStart w:id="5" w:name="_Toc71365362"/>
      <w:bookmarkStart w:id="6" w:name="_Toc28359089"/>
      <w:bookmarkStart w:id="7" w:name="_Toc35393798"/>
      <w:bookmarkStart w:id="8" w:name="_Toc35393629"/>
      <w:r>
        <w:rPr>
          <w:rFonts w:hint="eastAsia" w:ascii="黑体" w:hAnsi="黑体" w:eastAsia="黑体"/>
          <w:color w:val="auto"/>
          <w:sz w:val="24"/>
          <w:highlight w:val="none"/>
        </w:rPr>
        <w:t>一、项目基本情况</w:t>
      </w:r>
      <w:bookmarkEnd w:id="2"/>
      <w:bookmarkEnd w:id="3"/>
      <w:bookmarkEnd w:id="4"/>
      <w:bookmarkEnd w:id="5"/>
      <w:bookmarkEnd w:id="6"/>
      <w:bookmarkEnd w:id="7"/>
    </w:p>
    <w:p w14:paraId="6F70DF3E">
      <w:pPr>
        <w:spacing w:line="400" w:lineRule="exact"/>
        <w:ind w:firstLine="420"/>
        <w:rPr>
          <w:rFonts w:hint="eastAsia" w:ascii="宋体" w:hAnsi="宋体" w:eastAsia="宋体"/>
          <w:color w:val="auto"/>
          <w:szCs w:val="21"/>
          <w:highlight w:val="none"/>
          <w:lang w:eastAsia="zh-CN"/>
        </w:rPr>
      </w:pPr>
      <w:r>
        <w:rPr>
          <w:rFonts w:hint="eastAsia" w:ascii="宋体" w:hAnsi="宋体"/>
          <w:color w:val="auto"/>
          <w:szCs w:val="21"/>
          <w:highlight w:val="none"/>
        </w:rPr>
        <w:t>1.项目编号：</w:t>
      </w:r>
      <w:r>
        <w:rPr>
          <w:rFonts w:hint="eastAsia" w:ascii="宋体" w:hAnsi="宋体"/>
          <w:color w:val="auto"/>
          <w:szCs w:val="21"/>
          <w:highlight w:val="none"/>
          <w:lang w:eastAsia="zh-CN"/>
        </w:rPr>
        <w:t>CZZC2026-J1-220130-YZLZ</w:t>
      </w:r>
    </w:p>
    <w:p w14:paraId="583133B9">
      <w:pPr>
        <w:spacing w:line="400" w:lineRule="exact"/>
        <w:ind w:firstLine="420"/>
        <w:rPr>
          <w:rFonts w:ascii="宋体" w:hAnsi="宋体"/>
          <w:color w:val="auto"/>
          <w:szCs w:val="21"/>
          <w:highlight w:val="none"/>
        </w:rPr>
      </w:pPr>
      <w:r>
        <w:rPr>
          <w:rFonts w:hint="eastAsia" w:ascii="宋体" w:hAnsi="宋体"/>
          <w:color w:val="auto"/>
          <w:szCs w:val="21"/>
          <w:highlight w:val="none"/>
        </w:rPr>
        <w:t>2.项目名称：宁明县海渊镇中心卫生院血液透析设备采购</w:t>
      </w:r>
      <w:bookmarkStart w:id="72" w:name="_GoBack"/>
      <w:bookmarkEnd w:id="72"/>
    </w:p>
    <w:p w14:paraId="729A371E">
      <w:pPr>
        <w:spacing w:line="400" w:lineRule="exact"/>
        <w:ind w:firstLine="420"/>
        <w:rPr>
          <w:rFonts w:ascii="宋体" w:hAnsi="宋体"/>
          <w:color w:val="auto"/>
          <w:szCs w:val="21"/>
          <w:highlight w:val="none"/>
        </w:rPr>
      </w:pPr>
      <w:r>
        <w:rPr>
          <w:rFonts w:hint="eastAsia" w:ascii="宋体" w:hAnsi="宋体"/>
          <w:color w:val="auto"/>
          <w:szCs w:val="21"/>
          <w:highlight w:val="none"/>
        </w:rPr>
        <w:t>3.采购方式：竞争性谈判</w:t>
      </w:r>
    </w:p>
    <w:p w14:paraId="21415DDB">
      <w:pPr>
        <w:spacing w:line="400" w:lineRule="exact"/>
        <w:ind w:firstLine="420"/>
        <w:rPr>
          <w:rFonts w:ascii="宋体" w:hAnsi="宋体"/>
          <w:color w:val="auto"/>
          <w:szCs w:val="21"/>
          <w:highlight w:val="none"/>
        </w:rPr>
      </w:pPr>
      <w:r>
        <w:rPr>
          <w:rFonts w:hint="eastAsia" w:ascii="宋体" w:hAnsi="宋体"/>
          <w:color w:val="auto"/>
          <w:szCs w:val="21"/>
          <w:highlight w:val="none"/>
        </w:rPr>
        <w:t>4.预算金额：1000000元</w:t>
      </w:r>
    </w:p>
    <w:p w14:paraId="63BA5A05">
      <w:pPr>
        <w:spacing w:line="400" w:lineRule="exact"/>
        <w:ind w:firstLine="420"/>
        <w:rPr>
          <w:rFonts w:ascii="宋体" w:hAnsi="宋体"/>
          <w:color w:val="auto"/>
          <w:szCs w:val="21"/>
          <w:highlight w:val="none"/>
        </w:rPr>
      </w:pPr>
      <w:r>
        <w:rPr>
          <w:rFonts w:hint="eastAsia" w:ascii="宋体" w:hAnsi="宋体"/>
          <w:color w:val="auto"/>
          <w:szCs w:val="21"/>
          <w:highlight w:val="none"/>
        </w:rPr>
        <w:t>5.最高限价：1000000元</w:t>
      </w:r>
    </w:p>
    <w:p w14:paraId="7F1C6C3F">
      <w:pPr>
        <w:spacing w:line="380" w:lineRule="exact"/>
        <w:ind w:firstLine="420" w:firstLineChars="200"/>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rPr>
        <w:t>简要规格描述或项目基本概况介绍、用途：血液透析机5台、血液透析滤过机1台等；具体内容详见竞争性谈判文件“第三章 采购需求”。</w:t>
      </w:r>
    </w:p>
    <w:p w14:paraId="0071A573">
      <w:pPr>
        <w:spacing w:line="380" w:lineRule="exact"/>
        <w:ind w:firstLine="420"/>
        <w:rPr>
          <w:rFonts w:ascii="宋体" w:hAnsi="宋体"/>
          <w:color w:val="auto"/>
          <w:szCs w:val="21"/>
          <w:highlight w:val="none"/>
        </w:rPr>
      </w:pPr>
      <w:r>
        <w:rPr>
          <w:rFonts w:hint="eastAsia" w:ascii="宋体" w:hAnsi="宋体"/>
          <w:color w:val="auto"/>
          <w:szCs w:val="21"/>
          <w:highlight w:val="none"/>
        </w:rPr>
        <w:t>7.合同履约期限：</w:t>
      </w:r>
      <w:r>
        <w:rPr>
          <w:rFonts w:hint="eastAsia" w:ascii="宋体" w:hAnsi="宋体"/>
          <w:color w:val="auto"/>
          <w:szCs w:val="21"/>
          <w:highlight w:val="none"/>
        </w:rPr>
        <w:t>自签订合同之日起</w:t>
      </w:r>
      <w:r>
        <w:rPr>
          <w:rFonts w:ascii="宋体" w:hAnsi="宋体"/>
          <w:color w:val="auto"/>
          <w:szCs w:val="21"/>
          <w:highlight w:val="none"/>
        </w:rPr>
        <w:t>30</w:t>
      </w:r>
      <w:r>
        <w:rPr>
          <w:rFonts w:hint="eastAsia" w:ascii="宋体" w:hAnsi="宋体"/>
          <w:color w:val="auto"/>
          <w:szCs w:val="21"/>
          <w:highlight w:val="none"/>
        </w:rPr>
        <w:t>天内交货安装调试完毕并交付使用</w:t>
      </w:r>
      <w:r>
        <w:rPr>
          <w:rFonts w:hint="eastAsia" w:ascii="宋体" w:hAnsi="宋体"/>
          <w:color w:val="auto"/>
          <w:szCs w:val="21"/>
          <w:highlight w:val="none"/>
        </w:rPr>
        <w:t>。</w:t>
      </w:r>
    </w:p>
    <w:p w14:paraId="22E4EA4C">
      <w:pPr>
        <w:spacing w:line="400" w:lineRule="exact"/>
        <w:ind w:firstLine="420"/>
        <w:rPr>
          <w:rFonts w:ascii="宋体" w:hAnsi="宋体"/>
          <w:color w:val="auto"/>
          <w:szCs w:val="21"/>
          <w:highlight w:val="none"/>
        </w:rPr>
      </w:pPr>
      <w:r>
        <w:rPr>
          <w:rFonts w:hint="eastAsia" w:ascii="宋体" w:hAnsi="宋体"/>
          <w:color w:val="auto"/>
          <w:szCs w:val="21"/>
          <w:highlight w:val="none"/>
        </w:rPr>
        <w:t>8.本项目（</w:t>
      </w:r>
      <w:r>
        <w:rPr>
          <w:rFonts w:ascii="宋体" w:hAnsi="宋体"/>
          <w:color w:val="auto"/>
          <w:szCs w:val="21"/>
          <w:highlight w:val="none"/>
        </w:rPr>
        <w:t>否</w:t>
      </w:r>
      <w:r>
        <w:rPr>
          <w:rFonts w:hint="eastAsia" w:ascii="宋体" w:hAnsi="宋体"/>
          <w:color w:val="auto"/>
          <w:szCs w:val="21"/>
          <w:highlight w:val="none"/>
        </w:rPr>
        <w:t>）接受联合体。</w:t>
      </w:r>
    </w:p>
    <w:p w14:paraId="42FD1DF5">
      <w:pPr>
        <w:spacing w:line="400" w:lineRule="exact"/>
        <w:ind w:firstLine="480"/>
        <w:rPr>
          <w:rFonts w:ascii="黑体" w:hAnsi="黑体" w:eastAsia="黑体"/>
          <w:color w:val="auto"/>
          <w:sz w:val="24"/>
          <w:highlight w:val="none"/>
        </w:rPr>
      </w:pPr>
      <w:bookmarkStart w:id="9" w:name="_Toc35393630"/>
      <w:bookmarkStart w:id="10" w:name="_Toc71365363"/>
      <w:bookmarkStart w:id="11" w:name="_Toc35393799"/>
      <w:bookmarkStart w:id="12" w:name="_Toc71366041"/>
      <w:bookmarkStart w:id="13" w:name="_Toc28359013"/>
      <w:bookmarkStart w:id="14" w:name="_Toc28359090"/>
      <w:r>
        <w:rPr>
          <w:rFonts w:hint="eastAsia" w:ascii="黑体" w:hAnsi="黑体" w:eastAsia="黑体"/>
          <w:color w:val="auto"/>
          <w:sz w:val="24"/>
          <w:highlight w:val="none"/>
        </w:rPr>
        <w:t>二、供应商的资格条件：</w:t>
      </w:r>
      <w:bookmarkEnd w:id="8"/>
      <w:bookmarkEnd w:id="9"/>
      <w:bookmarkEnd w:id="10"/>
      <w:bookmarkEnd w:id="11"/>
      <w:bookmarkEnd w:id="12"/>
      <w:bookmarkEnd w:id="13"/>
    </w:p>
    <w:p w14:paraId="037315C3">
      <w:pPr>
        <w:spacing w:line="400" w:lineRule="exact"/>
        <w:ind w:firstLine="420"/>
        <w:rPr>
          <w:rFonts w:ascii="宋体" w:hAnsi="宋体"/>
          <w:color w:val="auto"/>
          <w:szCs w:val="21"/>
          <w:highlight w:val="none"/>
        </w:rPr>
      </w:pPr>
      <w:bookmarkStart w:id="15" w:name="_Toc28359014"/>
      <w:bookmarkStart w:id="16" w:name="_Toc28359091"/>
      <w:r>
        <w:rPr>
          <w:rFonts w:hint="eastAsia" w:ascii="宋体" w:hAnsi="宋体"/>
          <w:color w:val="auto"/>
          <w:szCs w:val="21"/>
          <w:highlight w:val="none"/>
        </w:rPr>
        <w:t>1.满足《中华人民共和国政府采购法》第二十二条规定；</w:t>
      </w:r>
    </w:p>
    <w:p w14:paraId="71169C39">
      <w:pPr>
        <w:spacing w:line="380" w:lineRule="exact"/>
        <w:ind w:firstLine="42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w:t>
      </w:r>
      <w:r>
        <w:rPr>
          <w:rFonts w:hint="eastAsia" w:ascii="宋体" w:hAnsi="宋体"/>
          <w:color w:val="auto"/>
          <w:szCs w:val="21"/>
          <w:highlight w:val="none"/>
        </w:rPr>
        <w:t>落实政府采购政策需满足的资格要求：本项目属于专门面向中小企业采购的项目，</w:t>
      </w:r>
      <w:r>
        <w:rPr>
          <w:rFonts w:hint="eastAsia" w:ascii="宋体" w:hAnsi="宋体"/>
          <w:b/>
          <w:bCs/>
          <w:color w:val="auto"/>
          <w:szCs w:val="21"/>
          <w:highlight w:val="none"/>
        </w:rPr>
        <w:t>货物制造商</w:t>
      </w:r>
      <w:r>
        <w:rPr>
          <w:rFonts w:hint="eastAsia" w:ascii="宋体" w:hAnsi="宋体"/>
          <w:color w:val="auto"/>
          <w:szCs w:val="21"/>
          <w:highlight w:val="none"/>
        </w:rPr>
        <w:t>应为中小微企业或监狱企业或残疾人福利性单位；</w:t>
      </w:r>
    </w:p>
    <w:p w14:paraId="0B74345E">
      <w:pPr>
        <w:spacing w:line="380" w:lineRule="exact"/>
        <w:ind w:firstLine="420"/>
        <w:rPr>
          <w:rFonts w:ascii="宋体" w:hAnsi="宋体"/>
          <w:color w:val="auto"/>
          <w:szCs w:val="21"/>
          <w:highlight w:val="none"/>
        </w:rPr>
      </w:pPr>
      <w:bookmarkStart w:id="17" w:name="_Toc35393800"/>
      <w:bookmarkStart w:id="18" w:name="_Toc71365364"/>
      <w:bookmarkStart w:id="19" w:name="_Toc35393631"/>
      <w:bookmarkStart w:id="20" w:name="_Toc71366042"/>
      <w:r>
        <w:rPr>
          <w:rFonts w:hint="eastAsia" w:ascii="宋体" w:hAnsi="宋体"/>
          <w:color w:val="auto"/>
          <w:szCs w:val="21"/>
          <w:highlight w:val="none"/>
        </w:rPr>
        <w:t>3.本项目的特定资格要求：</w:t>
      </w:r>
      <w:r>
        <w:rPr>
          <w:rFonts w:hint="eastAsia" w:ascii="宋体" w:hAnsi="宋体"/>
          <w:iCs/>
          <w:color w:val="auto"/>
          <w:szCs w:val="21"/>
          <w:highlight w:val="none"/>
        </w:rPr>
        <w:t>供应商按《医疗器械监督管理条例》（国务院令第739号）医疗器械分类管理要求具备有效的医疗器械经营备案凭证或者经营许可证，且经营范围必须包含采购标的[符合《医疗器械监督管理条例》第四十一条第二款规定的除外]；或者供应商具有《医疗器械监督管理条例》第四十三条规定的注册人凭证。</w:t>
      </w:r>
    </w:p>
    <w:p w14:paraId="04099ECB">
      <w:pPr>
        <w:spacing w:line="400" w:lineRule="exact"/>
        <w:ind w:firstLine="480"/>
        <w:rPr>
          <w:rFonts w:ascii="黑体" w:hAnsi="黑体" w:eastAsia="黑体"/>
          <w:color w:val="auto"/>
          <w:sz w:val="24"/>
          <w:highlight w:val="none"/>
        </w:rPr>
      </w:pPr>
      <w:r>
        <w:rPr>
          <w:rFonts w:hint="eastAsia" w:ascii="黑体" w:hAnsi="黑体" w:eastAsia="黑体"/>
          <w:color w:val="auto"/>
          <w:sz w:val="24"/>
          <w:highlight w:val="none"/>
        </w:rPr>
        <w:t>三、获取竞争性谈判文件</w:t>
      </w:r>
      <w:bookmarkEnd w:id="14"/>
      <w:bookmarkEnd w:id="15"/>
      <w:bookmarkEnd w:id="16"/>
      <w:bookmarkEnd w:id="17"/>
      <w:bookmarkEnd w:id="18"/>
      <w:bookmarkEnd w:id="19"/>
    </w:p>
    <w:p w14:paraId="001D7E68">
      <w:pPr>
        <w:spacing w:line="400" w:lineRule="exact"/>
        <w:ind w:firstLine="420"/>
        <w:rPr>
          <w:rFonts w:ascii="宋体" w:hAnsi="宋体" w:cs="宋体"/>
          <w:bCs/>
          <w:color w:val="auto"/>
          <w:szCs w:val="21"/>
          <w:highlight w:val="none"/>
        </w:rPr>
      </w:pPr>
      <w:r>
        <w:rPr>
          <w:rFonts w:hint="eastAsia" w:ascii="宋体" w:hAnsi="宋体" w:cs="宋体"/>
          <w:bCs/>
          <w:color w:val="auto"/>
          <w:szCs w:val="21"/>
          <w:highlight w:val="none"/>
        </w:rPr>
        <w:t>时间：2026年8月</w:t>
      </w:r>
      <w:r>
        <w:rPr>
          <w:rFonts w:hint="eastAsia" w:ascii="宋体" w:hAnsi="宋体" w:cs="宋体"/>
          <w:bCs/>
          <w:color w:val="auto"/>
          <w:szCs w:val="21"/>
          <w:highlight w:val="none"/>
          <w:lang w:val="en-US" w:eastAsia="zh-CN"/>
        </w:rPr>
        <w:t>17</w:t>
      </w:r>
      <w:r>
        <w:rPr>
          <w:rFonts w:hint="eastAsia" w:ascii="宋体" w:hAnsi="宋体" w:cs="宋体"/>
          <w:bCs/>
          <w:color w:val="auto"/>
          <w:szCs w:val="21"/>
          <w:highlight w:val="none"/>
        </w:rPr>
        <w:t xml:space="preserve"> 日至2026年8月</w:t>
      </w:r>
      <w:r>
        <w:rPr>
          <w:rFonts w:hint="eastAsia" w:ascii="宋体" w:hAnsi="宋体" w:cs="宋体"/>
          <w:bCs/>
          <w:color w:val="auto"/>
          <w:szCs w:val="21"/>
          <w:highlight w:val="none"/>
          <w:lang w:val="en-US" w:eastAsia="zh-CN"/>
        </w:rPr>
        <w:t>20</w:t>
      </w:r>
      <w:r>
        <w:rPr>
          <w:rFonts w:hint="eastAsia" w:ascii="宋体" w:hAnsi="宋体" w:cs="宋体"/>
          <w:bCs/>
          <w:color w:val="auto"/>
          <w:szCs w:val="21"/>
          <w:highlight w:val="none"/>
        </w:rPr>
        <w:t xml:space="preserve"> 日止</w:t>
      </w:r>
      <w:r>
        <w:rPr>
          <w:rFonts w:hint="eastAsia" w:ascii="新宋体" w:hAnsi="新宋体" w:eastAsia="新宋体" w:cs="新宋体"/>
          <w:color w:val="auto"/>
          <w:szCs w:val="21"/>
          <w:highlight w:val="none"/>
        </w:rPr>
        <w:t>（北京时间，双休日和法定节假日不办理业务）</w:t>
      </w:r>
      <w:r>
        <w:rPr>
          <w:rFonts w:hint="eastAsia" w:ascii="宋体" w:hAnsi="宋体" w:cs="宋体"/>
          <w:bCs/>
          <w:color w:val="auto"/>
          <w:szCs w:val="21"/>
          <w:highlight w:val="none"/>
        </w:rPr>
        <w:t>，每天0:00至12:00，12:00至23:59</w:t>
      </w:r>
    </w:p>
    <w:p w14:paraId="06871927">
      <w:pPr>
        <w:spacing w:line="400" w:lineRule="exact"/>
        <w:ind w:firstLine="540"/>
        <w:rPr>
          <w:rFonts w:ascii="宋体" w:hAnsi="宋体" w:cs="宋体"/>
          <w:bCs/>
          <w:color w:val="auto"/>
          <w:szCs w:val="21"/>
          <w:highlight w:val="none"/>
        </w:rPr>
      </w:pPr>
      <w:r>
        <w:rPr>
          <w:rFonts w:hint="eastAsia" w:ascii="宋体" w:hAnsi="宋体" w:cs="宋体"/>
          <w:bCs/>
          <w:color w:val="auto"/>
          <w:szCs w:val="21"/>
          <w:highlight w:val="none"/>
        </w:rPr>
        <w:t>地点：广西政府采购云平台（https://www.gcy.zfcg.gxzf.gov.cn/）</w:t>
      </w:r>
    </w:p>
    <w:p w14:paraId="07DC9795">
      <w:pPr>
        <w:spacing w:line="400" w:lineRule="exact"/>
        <w:ind w:firstLine="540"/>
        <w:rPr>
          <w:rFonts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使用账号登录或者使用CA登录广西政府采购云平台（https://www.gcy.zfcg.gxzf.gov.cn/）-进入“项目采购”应用，在获取采购文件菜单中选择项目，获取竞争性谈判文件。电子响应文件制作需要基于广西政府采购云平台获取的谈判文件编制，通过其他方式获取谈判文件的，将有可能导致供应商无法在广西政府采购云平台编制及上传响应文件。</w:t>
      </w:r>
    </w:p>
    <w:p w14:paraId="34AFE9A3">
      <w:pPr>
        <w:spacing w:line="400" w:lineRule="exact"/>
        <w:ind w:firstLine="540"/>
        <w:rPr>
          <w:rFonts w:ascii="宋体" w:hAnsi="宋体" w:cs="宋体"/>
          <w:color w:val="auto"/>
          <w:szCs w:val="21"/>
          <w:highlight w:val="none"/>
        </w:rPr>
      </w:pPr>
      <w:r>
        <w:rPr>
          <w:rFonts w:hint="eastAsia" w:ascii="宋体" w:hAnsi="宋体" w:cs="宋体"/>
          <w:bCs/>
          <w:color w:val="auto"/>
          <w:szCs w:val="21"/>
          <w:highlight w:val="none"/>
        </w:rPr>
        <w:t>售价：</w:t>
      </w:r>
      <w:r>
        <w:rPr>
          <w:rFonts w:hint="eastAsia" w:ascii="宋体" w:hAnsi="宋体" w:cs="宋体"/>
          <w:iCs/>
          <w:color w:val="auto"/>
          <w:szCs w:val="21"/>
          <w:highlight w:val="none"/>
          <w:u w:val="single"/>
        </w:rPr>
        <w:t>0</w:t>
      </w:r>
      <w:r>
        <w:rPr>
          <w:rFonts w:hint="eastAsia" w:ascii="宋体" w:hAnsi="宋体" w:cs="宋体"/>
          <w:color w:val="auto"/>
          <w:szCs w:val="21"/>
          <w:highlight w:val="none"/>
        </w:rPr>
        <w:t>元</w:t>
      </w:r>
    </w:p>
    <w:p w14:paraId="5BA2CFD8">
      <w:pPr>
        <w:spacing w:line="400" w:lineRule="exact"/>
        <w:ind w:firstLine="360"/>
        <w:rPr>
          <w:rFonts w:ascii="黑体" w:hAnsi="黑体" w:eastAsia="黑体"/>
          <w:color w:val="auto"/>
          <w:sz w:val="24"/>
          <w:highlight w:val="none"/>
        </w:rPr>
      </w:pPr>
      <w:bookmarkStart w:id="21" w:name="_Toc28359092"/>
      <w:bookmarkStart w:id="22" w:name="_Toc35393632"/>
      <w:bookmarkStart w:id="23" w:name="_Toc28359015"/>
      <w:bookmarkStart w:id="24" w:name="_Toc71365365"/>
      <w:bookmarkStart w:id="25" w:name="_Toc71366043"/>
      <w:bookmarkStart w:id="26" w:name="_Toc35393801"/>
      <w:r>
        <w:rPr>
          <w:rFonts w:hint="eastAsia" w:ascii="黑体" w:hAnsi="黑体" w:eastAsia="黑体"/>
          <w:color w:val="auto"/>
          <w:sz w:val="24"/>
          <w:highlight w:val="none"/>
        </w:rPr>
        <w:t>四、响应文件提交</w:t>
      </w:r>
      <w:bookmarkEnd w:id="20"/>
      <w:bookmarkEnd w:id="21"/>
      <w:bookmarkEnd w:id="22"/>
      <w:bookmarkEnd w:id="23"/>
      <w:bookmarkEnd w:id="24"/>
      <w:bookmarkEnd w:id="25"/>
    </w:p>
    <w:p w14:paraId="100C6774">
      <w:pPr>
        <w:spacing w:line="400" w:lineRule="exact"/>
        <w:ind w:firstLine="420"/>
        <w:rPr>
          <w:rFonts w:ascii="宋体" w:hAnsi="宋体"/>
          <w:bCs/>
          <w:color w:val="auto"/>
          <w:szCs w:val="21"/>
          <w:highlight w:val="none"/>
          <w:u w:val="single"/>
        </w:rPr>
      </w:pPr>
      <w:r>
        <w:rPr>
          <w:rFonts w:hint="eastAsia" w:ascii="宋体" w:hAnsi="宋体"/>
          <w:color w:val="auto"/>
          <w:szCs w:val="21"/>
          <w:highlight w:val="none"/>
        </w:rPr>
        <w:t>截止时间：</w:t>
      </w:r>
      <w:r>
        <w:rPr>
          <w:rFonts w:hint="eastAsia" w:ascii="宋体" w:hAnsi="宋体"/>
          <w:bCs/>
          <w:color w:val="auto"/>
          <w:szCs w:val="21"/>
          <w:highlight w:val="none"/>
          <w:u w:val="single"/>
        </w:rPr>
        <w:t xml:space="preserve"> 2026年8月</w:t>
      </w:r>
      <w:r>
        <w:rPr>
          <w:rFonts w:hint="eastAsia" w:ascii="宋体" w:hAnsi="宋体"/>
          <w:bCs/>
          <w:color w:val="auto"/>
          <w:szCs w:val="21"/>
          <w:highlight w:val="none"/>
          <w:u w:val="single"/>
          <w:lang w:val="en-US" w:eastAsia="zh-CN"/>
        </w:rPr>
        <w:t>21</w:t>
      </w:r>
      <w:r>
        <w:rPr>
          <w:rFonts w:hint="eastAsia" w:ascii="宋体" w:hAnsi="宋体"/>
          <w:bCs/>
          <w:color w:val="auto"/>
          <w:szCs w:val="21"/>
          <w:highlight w:val="none"/>
          <w:u w:val="single"/>
        </w:rPr>
        <w:t>日9时00分</w:t>
      </w:r>
      <w:r>
        <w:rPr>
          <w:rFonts w:hint="eastAsia" w:ascii="宋体" w:hAnsi="宋体"/>
          <w:bCs/>
          <w:color w:val="auto"/>
          <w:szCs w:val="21"/>
          <w:highlight w:val="none"/>
        </w:rPr>
        <w:t>（北京时间）</w:t>
      </w:r>
    </w:p>
    <w:p w14:paraId="46E97DFE">
      <w:pPr>
        <w:spacing w:line="400" w:lineRule="exact"/>
        <w:ind w:left="422"/>
        <w:rPr>
          <w:rFonts w:ascii="宋体" w:hAnsi="宋体"/>
          <w:bCs/>
          <w:color w:val="auto"/>
          <w:szCs w:val="21"/>
          <w:highlight w:val="none"/>
          <w:u w:val="single"/>
        </w:rPr>
      </w:pPr>
      <w:r>
        <w:rPr>
          <w:rFonts w:hint="eastAsia" w:ascii="宋体" w:hAnsi="宋体"/>
          <w:color w:val="auto"/>
          <w:szCs w:val="21"/>
          <w:highlight w:val="none"/>
        </w:rPr>
        <w:t>地点：广西政府采购云平台</w:t>
      </w:r>
      <w:r>
        <w:rPr>
          <w:rFonts w:hint="eastAsia" w:ascii="宋体" w:hAnsi="宋体" w:cs="宋体"/>
          <w:bCs/>
          <w:color w:val="auto"/>
          <w:szCs w:val="21"/>
          <w:highlight w:val="none"/>
        </w:rPr>
        <w:t>（https://www.gcy.zfcg.gxzf.gov.cn）</w:t>
      </w:r>
    </w:p>
    <w:p w14:paraId="0693639A">
      <w:pPr>
        <w:spacing w:line="400" w:lineRule="exact"/>
        <w:ind w:firstLine="360"/>
        <w:rPr>
          <w:rFonts w:ascii="黑体" w:hAnsi="黑体" w:eastAsia="黑体"/>
          <w:color w:val="auto"/>
          <w:sz w:val="24"/>
          <w:highlight w:val="none"/>
        </w:rPr>
      </w:pPr>
      <w:bookmarkStart w:id="27" w:name="_Toc35393802"/>
      <w:bookmarkStart w:id="28" w:name="_Toc28359016"/>
      <w:bookmarkStart w:id="29" w:name="_Toc28359093"/>
      <w:bookmarkStart w:id="30" w:name="_Toc71365366"/>
      <w:bookmarkStart w:id="31" w:name="_Toc35393633"/>
      <w:bookmarkStart w:id="32" w:name="_Toc71366044"/>
      <w:r>
        <w:rPr>
          <w:rFonts w:hint="eastAsia" w:ascii="黑体" w:hAnsi="黑体" w:eastAsia="黑体"/>
          <w:color w:val="auto"/>
          <w:sz w:val="24"/>
          <w:highlight w:val="none"/>
        </w:rPr>
        <w:t>五、开启</w:t>
      </w:r>
      <w:bookmarkEnd w:id="26"/>
      <w:bookmarkEnd w:id="27"/>
      <w:bookmarkEnd w:id="28"/>
      <w:bookmarkEnd w:id="29"/>
      <w:bookmarkEnd w:id="30"/>
      <w:bookmarkEnd w:id="31"/>
    </w:p>
    <w:p w14:paraId="5F60B4C1">
      <w:pPr>
        <w:spacing w:line="400" w:lineRule="exact"/>
        <w:ind w:firstLine="420"/>
        <w:rPr>
          <w:rFonts w:ascii="宋体" w:hAnsi="宋体"/>
          <w:bCs/>
          <w:color w:val="auto"/>
          <w:szCs w:val="21"/>
          <w:highlight w:val="none"/>
          <w:u w:val="single"/>
        </w:rPr>
      </w:pPr>
      <w:r>
        <w:rPr>
          <w:rFonts w:hint="eastAsia" w:ascii="宋体" w:hAnsi="宋体"/>
          <w:color w:val="auto"/>
          <w:szCs w:val="21"/>
          <w:highlight w:val="none"/>
        </w:rPr>
        <w:t>时间：</w:t>
      </w:r>
      <w:r>
        <w:rPr>
          <w:rFonts w:hint="eastAsia" w:ascii="宋体" w:hAnsi="宋体"/>
          <w:color w:val="auto"/>
          <w:szCs w:val="21"/>
          <w:highlight w:val="none"/>
          <w:u w:val="single"/>
        </w:rPr>
        <w:t xml:space="preserve"> 2026</w:t>
      </w:r>
      <w:r>
        <w:rPr>
          <w:rFonts w:hint="eastAsia" w:ascii="宋体" w:hAnsi="宋体"/>
          <w:bCs/>
          <w:color w:val="auto"/>
          <w:szCs w:val="21"/>
          <w:highlight w:val="none"/>
          <w:u w:val="single"/>
        </w:rPr>
        <w:t>年8月</w:t>
      </w:r>
      <w:r>
        <w:rPr>
          <w:rFonts w:hint="eastAsia" w:ascii="宋体" w:hAnsi="宋体"/>
          <w:bCs/>
          <w:color w:val="auto"/>
          <w:szCs w:val="21"/>
          <w:highlight w:val="none"/>
          <w:u w:val="single"/>
          <w:lang w:val="en-US" w:eastAsia="zh-CN"/>
        </w:rPr>
        <w:t>21</w:t>
      </w:r>
      <w:r>
        <w:rPr>
          <w:rFonts w:hint="eastAsia" w:ascii="宋体" w:hAnsi="宋体"/>
          <w:bCs/>
          <w:color w:val="auto"/>
          <w:szCs w:val="21"/>
          <w:highlight w:val="none"/>
          <w:u w:val="single"/>
        </w:rPr>
        <w:t xml:space="preserve"> 日9时00分（北京时间）</w:t>
      </w:r>
    </w:p>
    <w:p w14:paraId="1C033797">
      <w:pPr>
        <w:spacing w:line="400" w:lineRule="exact"/>
        <w:ind w:firstLine="420"/>
        <w:rPr>
          <w:rFonts w:ascii="宋体" w:hAnsi="宋体" w:cs="宋体"/>
          <w:bCs/>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szCs w:val="21"/>
          <w:highlight w:val="none"/>
        </w:rPr>
        <w:t>（https://www.gcy.zfcg.gxzf.gov.cn）</w:t>
      </w:r>
    </w:p>
    <w:p w14:paraId="42786FC6">
      <w:pPr>
        <w:spacing w:line="400" w:lineRule="exact"/>
        <w:ind w:firstLine="360"/>
        <w:rPr>
          <w:rFonts w:ascii="黑体" w:hAnsi="黑体" w:eastAsia="黑体"/>
          <w:color w:val="auto"/>
          <w:sz w:val="24"/>
          <w:highlight w:val="none"/>
        </w:rPr>
      </w:pPr>
      <w:bookmarkStart w:id="33" w:name="_Toc71365367"/>
      <w:bookmarkStart w:id="34" w:name="_Toc28359017"/>
      <w:bookmarkStart w:id="35" w:name="_Toc71366045"/>
      <w:bookmarkStart w:id="36" w:name="_Toc28359094"/>
      <w:bookmarkStart w:id="37" w:name="_Toc35393803"/>
      <w:bookmarkStart w:id="38" w:name="_Toc35393634"/>
      <w:r>
        <w:rPr>
          <w:rFonts w:hint="eastAsia" w:ascii="黑体" w:hAnsi="黑体" w:eastAsia="黑体"/>
          <w:color w:val="auto"/>
          <w:sz w:val="24"/>
          <w:highlight w:val="none"/>
        </w:rPr>
        <w:t>六、公告期限</w:t>
      </w:r>
      <w:bookmarkEnd w:id="32"/>
      <w:bookmarkEnd w:id="33"/>
      <w:bookmarkEnd w:id="34"/>
      <w:bookmarkEnd w:id="35"/>
      <w:bookmarkEnd w:id="36"/>
      <w:bookmarkEnd w:id="37"/>
    </w:p>
    <w:p w14:paraId="2164E98E">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自本公告发布之日起3个工作日。</w:t>
      </w:r>
    </w:p>
    <w:p w14:paraId="3760B245">
      <w:pPr>
        <w:spacing w:line="400" w:lineRule="exact"/>
        <w:ind w:firstLine="360"/>
        <w:rPr>
          <w:rFonts w:ascii="黑体" w:hAnsi="黑体" w:eastAsia="黑体"/>
          <w:color w:val="auto"/>
          <w:sz w:val="24"/>
          <w:highlight w:val="none"/>
        </w:rPr>
      </w:pPr>
      <w:bookmarkStart w:id="39" w:name="_Toc71365368"/>
      <w:bookmarkStart w:id="40" w:name="_Toc35393635"/>
      <w:bookmarkStart w:id="41" w:name="_Toc35393804"/>
      <w:bookmarkStart w:id="42" w:name="_Toc71366046"/>
      <w:r>
        <w:rPr>
          <w:rFonts w:hint="eastAsia" w:ascii="黑体" w:hAnsi="黑体" w:eastAsia="黑体"/>
          <w:color w:val="auto"/>
          <w:sz w:val="24"/>
          <w:highlight w:val="none"/>
        </w:rPr>
        <w:t>七、其他补充事宜</w:t>
      </w:r>
      <w:bookmarkEnd w:id="38"/>
      <w:bookmarkEnd w:id="39"/>
      <w:bookmarkEnd w:id="40"/>
      <w:bookmarkEnd w:id="41"/>
    </w:p>
    <w:p w14:paraId="13A3D810">
      <w:pPr>
        <w:spacing w:line="400" w:lineRule="exact"/>
        <w:ind w:firstLine="420"/>
        <w:rPr>
          <w:rFonts w:ascii="宋体" w:hAnsi="宋体"/>
          <w:color w:val="auto"/>
          <w:szCs w:val="21"/>
          <w:highlight w:val="none"/>
        </w:rPr>
      </w:pPr>
      <w:r>
        <w:rPr>
          <w:rFonts w:hint="eastAsia" w:ascii="宋体" w:hAnsi="宋体" w:cs="宋体"/>
          <w:color w:val="auto"/>
          <w:szCs w:val="21"/>
          <w:highlight w:val="none"/>
        </w:rPr>
        <w:t>1.竞标保证金：</w:t>
      </w:r>
      <w:r>
        <w:rPr>
          <w:rFonts w:hint="eastAsia" w:ascii="宋体" w:hAnsi="宋体"/>
          <w:color w:val="auto"/>
          <w:szCs w:val="21"/>
          <w:highlight w:val="none"/>
        </w:rPr>
        <w:t>0元。</w:t>
      </w:r>
    </w:p>
    <w:p w14:paraId="0FA48CDF">
      <w:pPr>
        <w:spacing w:line="400" w:lineRule="exact"/>
        <w:ind w:firstLine="420"/>
        <w:rPr>
          <w:rFonts w:ascii="宋体" w:cs="宋体"/>
          <w:color w:val="auto"/>
          <w:szCs w:val="21"/>
          <w:highlight w:val="none"/>
        </w:rPr>
      </w:pPr>
      <w:r>
        <w:rPr>
          <w:rFonts w:hint="eastAsia" w:ascii="宋体" w:hAnsi="宋体" w:cs="宋体"/>
          <w:color w:val="auto"/>
          <w:szCs w:val="21"/>
          <w:highlight w:val="none"/>
        </w:rPr>
        <w:t>竞标保证金的交纳方式：银行转账、支票、汇票、本票、金融机构、担保机构出具的保函等非现金形式提交。禁止采用现钞方式。采用银行转账方式的，在首次响应文件提交截止时间前交至采购代理机构指定账户并到账</w:t>
      </w:r>
      <w:r>
        <w:rPr>
          <w:rFonts w:hint="eastAsia" w:ascii="宋体" w:hAnsi="宋体" w:cs="宋体"/>
          <w:b/>
          <w:bCs/>
          <w:color w:val="auto"/>
          <w:szCs w:val="21"/>
          <w:highlight w:val="none"/>
          <w:u w:val="single"/>
        </w:rPr>
        <w:t>【开户名称：云之龙咨询集团有限公司崇左分公司，账号：</w:t>
      </w:r>
      <w:r>
        <w:rPr>
          <w:rFonts w:ascii="宋体" w:hAnsi="宋体" w:cs="宋体"/>
          <w:b/>
          <w:bCs/>
          <w:color w:val="auto"/>
          <w:szCs w:val="21"/>
          <w:highlight w:val="none"/>
          <w:u w:val="single"/>
        </w:rPr>
        <w:t>8113001013900075153</w:t>
      </w:r>
      <w:r>
        <w:rPr>
          <w:rFonts w:hint="eastAsia" w:ascii="宋体" w:hAnsi="宋体" w:cs="宋体"/>
          <w:b/>
          <w:bCs/>
          <w:color w:val="auto"/>
          <w:szCs w:val="21"/>
          <w:highlight w:val="none"/>
          <w:u w:val="single"/>
        </w:rPr>
        <w:t>，开户行：中信银行股份有限公司南宁园湖支行</w:t>
      </w:r>
      <w:r>
        <w:rPr>
          <w:rFonts w:hint="eastAsia" w:ascii="宋体" w:hAnsi="宋体" w:cs="宋体"/>
          <w:color w:val="auto"/>
          <w:szCs w:val="21"/>
          <w:highlight w:val="none"/>
        </w:rPr>
        <w:t>】；采用支票、汇票、本票或者金融机构、担保机构出具的保函等方式的，在首次响应文件提交截止时间前，供应商应当提交单独密封的支票、汇票、本票或者保函、保险单原件。否则视为无效竞标保证金。</w:t>
      </w:r>
    </w:p>
    <w:p w14:paraId="36BCFD30">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网上查询地址</w:t>
      </w:r>
    </w:p>
    <w:p w14:paraId="0B49DA6E">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www.ccgp.gov.cn（中国政府采购网）、zfcg.gxzf.gov.cn（广西壮族自治区政府采购网）</w:t>
      </w:r>
    </w:p>
    <w:p w14:paraId="2B4D6615">
      <w:pPr>
        <w:spacing w:line="400" w:lineRule="exact"/>
        <w:ind w:firstLine="424"/>
        <w:rPr>
          <w:rFonts w:ascii="宋体" w:hAnsi="宋体" w:cs="宋体"/>
          <w:color w:val="auto"/>
          <w:szCs w:val="21"/>
          <w:highlight w:val="none"/>
        </w:rPr>
      </w:pPr>
      <w:bookmarkStart w:id="43" w:name="_Toc35393805"/>
      <w:bookmarkStart w:id="44" w:name="_Hlk37429674"/>
      <w:bookmarkStart w:id="45" w:name="_Toc71365369"/>
      <w:bookmarkStart w:id="46" w:name="_Toc35393636"/>
      <w:bookmarkStart w:id="47" w:name="_Toc71366047"/>
      <w:bookmarkStart w:id="48" w:name="_Toc28359095"/>
      <w:bookmarkStart w:id="49" w:name="_Toc28359018"/>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s="宋体"/>
          <w:color w:val="auto"/>
          <w:szCs w:val="21"/>
          <w:highlight w:val="none"/>
        </w:rPr>
        <w:t>本项目需要落实的政府采购政策</w:t>
      </w:r>
    </w:p>
    <w:p w14:paraId="53520F57">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（1）政府采购促进中小企业发展。</w:t>
      </w:r>
    </w:p>
    <w:p w14:paraId="0E236309">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（2）政府采购支持采用本国产品的政策。</w:t>
      </w:r>
    </w:p>
    <w:p w14:paraId="7E9B0F5B">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14:paraId="1DA91404">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（4）政府采购促进残疾人就业政策。</w:t>
      </w:r>
    </w:p>
    <w:p w14:paraId="7A719DF7">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（5）政府采购支持监狱企业发展。</w:t>
      </w:r>
    </w:p>
    <w:p w14:paraId="73C5F5A1">
      <w:pPr>
        <w:widowControl/>
        <w:spacing w:line="400" w:lineRule="exact"/>
        <w:ind w:firstLine="422"/>
        <w:jc w:val="left"/>
        <w:rPr>
          <w:rFonts w:ascii="宋体" w:hAnsi="宋体"/>
          <w:b/>
          <w:bCs/>
          <w:color w:val="auto"/>
          <w:szCs w:val="21"/>
          <w:highlight w:val="none"/>
        </w:rPr>
      </w:pPr>
      <w:r>
        <w:rPr>
          <w:rFonts w:hint="eastAsia" w:ascii="宋体" w:hAnsi="宋体"/>
          <w:b/>
          <w:bCs/>
          <w:color w:val="auto"/>
          <w:szCs w:val="21"/>
          <w:highlight w:val="none"/>
        </w:rPr>
        <w:t>4.本项目采用远程异地评审。崇左市的专家到广西崇左市友谊大道与城南八路交叉口东南角处（崇左建设大厦/百成财富2#楼十三层）云之龙咨询集团有限公司崇左分公司参加评审；</w:t>
      </w:r>
      <w:r>
        <w:rPr>
          <w:rFonts w:hint="eastAsia" w:ascii="宋体" w:hAnsi="宋体"/>
          <w:b/>
          <w:bCs/>
          <w:color w:val="auto"/>
          <w:szCs w:val="21"/>
          <w:highlight w:val="none"/>
          <w:lang w:eastAsia="zh-CN"/>
        </w:rPr>
        <w:t>梧州</w:t>
      </w:r>
      <w:r>
        <w:rPr>
          <w:rFonts w:hint="eastAsia" w:ascii="宋体" w:hAnsi="宋体"/>
          <w:b/>
          <w:bCs/>
          <w:color w:val="auto"/>
          <w:szCs w:val="21"/>
          <w:highlight w:val="none"/>
        </w:rPr>
        <w:t>市的专家到梧州市新兴三路30号神冠豪都B栋1单元1008号房</w:t>
      </w:r>
      <w:r>
        <w:rPr>
          <w:rFonts w:hint="eastAsia" w:ascii="宋体" w:hAnsi="宋体"/>
          <w:b/>
          <w:bCs/>
          <w:color w:val="auto"/>
          <w:szCs w:val="21"/>
          <w:highlight w:val="none"/>
          <w:lang w:eastAsia="zh-CN"/>
        </w:rPr>
        <w:t>梧州</w:t>
      </w:r>
      <w:r>
        <w:rPr>
          <w:rFonts w:hint="eastAsia" w:ascii="宋体" w:hAnsi="宋体"/>
          <w:b/>
          <w:bCs/>
          <w:color w:val="auto"/>
          <w:szCs w:val="21"/>
          <w:highlight w:val="none"/>
        </w:rPr>
        <w:t>分公司参加评审。</w:t>
      </w:r>
    </w:p>
    <w:p w14:paraId="0C6D06B8">
      <w:pPr>
        <w:widowControl/>
        <w:spacing w:line="400" w:lineRule="exact"/>
        <w:ind w:firstLine="420"/>
        <w:jc w:val="left"/>
        <w:rPr>
          <w:rFonts w:ascii="宋体" w:hAnsi="宋体"/>
          <w:color w:val="auto"/>
          <w:szCs w:val="21"/>
          <w:highlight w:val="none"/>
        </w:rPr>
      </w:pPr>
      <w:r>
        <w:rPr>
          <w:rFonts w:hint="eastAsia" w:ascii="宋体" w:hAnsi="宋体" w:cs="宋体"/>
          <w:color w:val="auto"/>
          <w:szCs w:val="21"/>
          <w:highlight w:val="none"/>
        </w:rPr>
        <w:t>5.供应商</w:t>
      </w:r>
      <w:r>
        <w:rPr>
          <w:rFonts w:hint="eastAsia" w:ascii="宋体" w:hAnsi="宋体"/>
          <w:color w:val="auto"/>
          <w:szCs w:val="21"/>
          <w:highlight w:val="none"/>
        </w:rPr>
        <w:t>竞标注意事项</w:t>
      </w:r>
    </w:p>
    <w:p w14:paraId="4DA7839B">
      <w:pPr>
        <w:widowControl/>
        <w:spacing w:line="400" w:lineRule="exact"/>
        <w:ind w:firstLine="420"/>
        <w:jc w:val="left"/>
        <w:rPr>
          <w:rFonts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竞标，供应商应先安装“广西政府采购云平台电子交易客户端”（请自行前往广西政府采购云平台进行下载），并按照本项目竞争性谈判文件和广西政府采购云平台的要求编制、加密后在提交响应文件截止时间前通过网络上传至 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供应商登录广西政府采购云平台，依次进入“服务中心－项目采购－操作流程－电子招投标－</w:t>
      </w:r>
      <w:r>
        <w:rPr>
          <w:color w:val="auto"/>
          <w:highlight w:val="none"/>
        </w:rPr>
        <w:t>政府采购项目电子交易管理操作指南</w:t>
      </w:r>
      <w:r>
        <w:rPr>
          <w:rFonts w:hint="eastAsia"/>
          <w:color w:val="auto"/>
          <w:highlight w:val="none"/>
        </w:rPr>
        <w:t>－</w:t>
      </w:r>
      <w:r>
        <w:rPr>
          <w:color w:val="auto"/>
          <w:highlight w:val="none"/>
        </w:rPr>
        <w:t>供应商</w:t>
      </w:r>
      <w:r>
        <w:rPr>
          <w:rFonts w:hint="eastAsia" w:ascii="宋体" w:hAnsi="宋体"/>
          <w:color w:val="auto"/>
          <w:szCs w:val="21"/>
          <w:highlight w:val="none"/>
        </w:rPr>
        <w:t>”查看电子竞标具体操作流程。</w:t>
      </w:r>
    </w:p>
    <w:p w14:paraId="2E70A514">
      <w:pPr>
        <w:widowControl/>
        <w:spacing w:line="400" w:lineRule="exact"/>
        <w:ind w:firstLine="420"/>
        <w:rPr>
          <w:rFonts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如在操作过程中遇到问题或者需要技术支持，请致电广西政府采购云平台客服热线：95763或0771-3381253</w:t>
      </w:r>
      <w:r>
        <w:rPr>
          <w:rFonts w:hint="eastAsia" w:ascii="宋体" w:hAnsi="宋体"/>
          <w:color w:val="auto"/>
          <w:szCs w:val="21"/>
          <w:highlight w:val="none"/>
        </w:rPr>
        <w:t>）。</w:t>
      </w:r>
    </w:p>
    <w:p w14:paraId="3279CCF4">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（3）CA证书在线解密：供应商竞标时，需凭制作响应文件时用来加密的有效数字证书（CA认证）登录广西政府采购云平台电子开标大厅现场按规定时间对加密的响应文件进行解密，</w:t>
      </w:r>
      <w:r>
        <w:rPr>
          <w:rFonts w:hint="eastAsia" w:ascii="宋体" w:hAnsi="宋体" w:cs="宋体"/>
          <w:b/>
          <w:bCs/>
          <w:color w:val="auto"/>
          <w:szCs w:val="21"/>
          <w:highlight w:val="none"/>
        </w:rPr>
        <w:t>为确保投标（响应）文件顺利解密，建议供应商尽量使用PDF编辑软件调整、减小投标（响应）文件大小，加密后再上传至广西政府采购云平台，否则后果自负。</w:t>
      </w:r>
    </w:p>
    <w:p w14:paraId="05B87A92">
      <w:pPr>
        <w:widowControl/>
        <w:spacing w:line="400" w:lineRule="exact"/>
        <w:ind w:firstLine="420"/>
        <w:jc w:val="left"/>
        <w:rPr>
          <w:rFonts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1142E2EC">
      <w:pPr>
        <w:numPr>
          <w:ilvl w:val="0"/>
          <w:numId w:val="1"/>
        </w:num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供应商需要在具备摄像头及语音功能且互联网网络状况良好的电脑登录广西政府采购云平台远程开标大厅参与本次谈判，否则后果自负。</w:t>
      </w:r>
    </w:p>
    <w:p w14:paraId="4E082DD5">
      <w:pPr>
        <w:widowControl/>
        <w:spacing w:line="400" w:lineRule="exact"/>
        <w:ind w:firstLine="422"/>
        <w:jc w:val="left"/>
        <w:rPr>
          <w:rFonts w:ascii="宋体" w:hAnsi="宋体"/>
          <w:b/>
          <w:bCs/>
          <w:color w:val="auto"/>
          <w:szCs w:val="21"/>
          <w:highlight w:val="none"/>
        </w:rPr>
      </w:pPr>
      <w:r>
        <w:rPr>
          <w:rFonts w:hint="eastAsia" w:ascii="宋体" w:hAnsi="宋体"/>
          <w:b/>
          <w:bCs/>
          <w:color w:val="auto"/>
          <w:szCs w:val="21"/>
          <w:highlight w:val="none"/>
        </w:rPr>
        <w:t>6.根据《崇左市财政局关于进一步做好线上“政采贷”融资业务工作的通知》（崇财采〔2023〕10号），供应商可凭成交通知书、政府采购合同，通过中征应收账款融资服务平台向银行在线申请“政采贷”融资。（具体详见采购文件中关于“政采贷”相关信息）</w:t>
      </w:r>
      <w:bookmarkEnd w:id="42"/>
    </w:p>
    <w:p w14:paraId="2AD323C4">
      <w:pPr>
        <w:spacing w:line="400" w:lineRule="exact"/>
        <w:ind w:firstLine="360"/>
        <w:rPr>
          <w:rFonts w:ascii="黑体" w:hAnsi="黑体" w:eastAsia="黑体"/>
          <w:color w:val="auto"/>
          <w:sz w:val="24"/>
          <w:highlight w:val="none"/>
        </w:rPr>
      </w:pPr>
      <w:r>
        <w:rPr>
          <w:rFonts w:hint="eastAsia" w:ascii="黑体" w:hAnsi="黑体" w:eastAsia="黑体"/>
          <w:color w:val="auto"/>
          <w:sz w:val="24"/>
          <w:highlight w:val="none"/>
        </w:rPr>
        <w:t>八、凡对本次采购提出询问，请按</w:t>
      </w:r>
      <w:r>
        <w:rPr>
          <w:rFonts w:ascii="黑体" w:hAnsi="黑体" w:eastAsia="黑体"/>
          <w:color w:val="auto"/>
          <w:sz w:val="24"/>
          <w:highlight w:val="none"/>
        </w:rPr>
        <w:t>以下方式</w:t>
      </w:r>
      <w:r>
        <w:rPr>
          <w:rFonts w:hint="eastAsia" w:ascii="黑体" w:hAnsi="黑体" w:eastAsia="黑体"/>
          <w:color w:val="auto"/>
          <w:sz w:val="24"/>
          <w:highlight w:val="none"/>
        </w:rPr>
        <w:t>联系。</w:t>
      </w:r>
      <w:bookmarkEnd w:id="43"/>
      <w:bookmarkEnd w:id="44"/>
      <w:bookmarkEnd w:id="45"/>
      <w:bookmarkEnd w:id="46"/>
      <w:bookmarkEnd w:id="47"/>
      <w:bookmarkEnd w:id="48"/>
      <w:bookmarkEnd w:id="49"/>
    </w:p>
    <w:p w14:paraId="010FD273">
      <w:pPr>
        <w:spacing w:line="400" w:lineRule="exact"/>
        <w:ind w:firstLine="420"/>
        <w:rPr>
          <w:rFonts w:ascii="宋体" w:hAnsi="宋体" w:cs="仿宋"/>
          <w:color w:val="auto"/>
          <w:highlight w:val="none"/>
        </w:rPr>
      </w:pPr>
      <w:bookmarkStart w:id="50" w:name="_Toc28359020"/>
      <w:bookmarkStart w:id="51" w:name="_Toc28359097"/>
      <w:bookmarkStart w:id="52" w:name="_Toc35393638"/>
      <w:bookmarkStart w:id="53" w:name="_Toc35393807"/>
      <w:r>
        <w:rPr>
          <w:rFonts w:hint="eastAsia" w:ascii="宋体" w:hAnsi="宋体" w:cs="仿宋"/>
          <w:color w:val="auto"/>
          <w:highlight w:val="none"/>
        </w:rPr>
        <w:t>1.采购人信息</w:t>
      </w:r>
    </w:p>
    <w:p w14:paraId="57093AC0">
      <w:pPr>
        <w:widowControl/>
        <w:spacing w:line="400" w:lineRule="exact"/>
        <w:ind w:firstLine="420"/>
        <w:jc w:val="left"/>
        <w:rPr>
          <w:rFonts w:ascii="宋体" w:hAnsi="宋体" w:cs="宋体"/>
          <w:color w:val="auto"/>
          <w:szCs w:val="21"/>
          <w:highlight w:val="none"/>
        </w:rPr>
      </w:pPr>
      <w:r>
        <w:rPr>
          <w:rFonts w:hint="eastAsia" w:ascii="宋体" w:hAnsi="宋体" w:cs="宋体"/>
          <w:color w:val="auto"/>
          <w:szCs w:val="21"/>
          <w:highlight w:val="none"/>
        </w:rPr>
        <w:t>名 称：宁明县海渊镇中心卫生院 </w:t>
      </w:r>
    </w:p>
    <w:p w14:paraId="181FC1B4">
      <w:pPr>
        <w:widowControl/>
        <w:spacing w:line="400" w:lineRule="exact"/>
        <w:ind w:firstLine="420"/>
        <w:jc w:val="left"/>
        <w:rPr>
          <w:rFonts w:ascii="宋体" w:hAnsi="宋体" w:cs="宋体"/>
          <w:color w:val="auto"/>
          <w:szCs w:val="21"/>
          <w:highlight w:val="none"/>
        </w:rPr>
      </w:pPr>
      <w:r>
        <w:rPr>
          <w:rFonts w:hint="eastAsia" w:ascii="宋体" w:hAnsi="宋体" w:cs="宋体"/>
          <w:color w:val="auto"/>
          <w:szCs w:val="21"/>
          <w:highlight w:val="none"/>
        </w:rPr>
        <w:t>地址：宁明县海渊镇新路街139号</w:t>
      </w:r>
    </w:p>
    <w:p w14:paraId="1556CF30">
      <w:pPr>
        <w:widowControl/>
        <w:spacing w:line="400" w:lineRule="exact"/>
        <w:ind w:firstLine="420"/>
        <w:jc w:val="left"/>
        <w:rPr>
          <w:rFonts w:ascii="宋体" w:hAnsi="宋体" w:cs="宋体"/>
          <w:color w:val="auto"/>
          <w:szCs w:val="21"/>
          <w:highlight w:val="none"/>
        </w:rPr>
      </w:pPr>
      <w:r>
        <w:rPr>
          <w:rFonts w:hint="eastAsia" w:ascii="宋体" w:hAnsi="宋体" w:cs="宋体"/>
          <w:color w:val="auto"/>
          <w:szCs w:val="21"/>
          <w:highlight w:val="none"/>
        </w:rPr>
        <w:t>联系人：黄艳强</w:t>
      </w:r>
    </w:p>
    <w:p w14:paraId="3E573223">
      <w:pPr>
        <w:widowControl/>
        <w:spacing w:line="400" w:lineRule="exact"/>
        <w:ind w:firstLine="420"/>
        <w:jc w:val="left"/>
        <w:rPr>
          <w:rFonts w:ascii="宋体" w:hAnsi="宋体" w:cs="仿宋"/>
          <w:color w:val="auto"/>
          <w:highlight w:val="none"/>
        </w:rPr>
      </w:pPr>
      <w:r>
        <w:rPr>
          <w:rFonts w:hint="eastAsia" w:ascii="宋体" w:hAnsi="宋体" w:cs="宋体"/>
          <w:color w:val="auto"/>
          <w:szCs w:val="21"/>
          <w:highlight w:val="none"/>
        </w:rPr>
        <w:t>联系电话：‌0771-8661173‌</w:t>
      </w:r>
    </w:p>
    <w:p w14:paraId="322B506B">
      <w:pPr>
        <w:spacing w:line="400" w:lineRule="exact"/>
        <w:ind w:firstLine="420"/>
        <w:rPr>
          <w:rFonts w:ascii="宋体" w:hAnsi="宋体" w:cs="仿宋"/>
          <w:color w:val="auto"/>
          <w:highlight w:val="none"/>
        </w:rPr>
      </w:pPr>
      <w:r>
        <w:rPr>
          <w:rFonts w:ascii="宋体" w:hAnsi="宋体" w:cs="仿宋"/>
          <w:color w:val="auto"/>
          <w:highlight w:val="none"/>
        </w:rPr>
        <w:t>2.采购代理机构信息</w:t>
      </w:r>
    </w:p>
    <w:p w14:paraId="42B8DB55">
      <w:pPr>
        <w:spacing w:line="400" w:lineRule="exact"/>
        <w:ind w:firstLine="420"/>
        <w:rPr>
          <w:rFonts w:ascii="宋体" w:hAnsi="宋体" w:cs="仿宋"/>
          <w:color w:val="auto"/>
          <w:highlight w:val="none"/>
        </w:rPr>
      </w:pPr>
      <w:r>
        <w:rPr>
          <w:rFonts w:ascii="宋体" w:hAnsi="宋体" w:cs="仿宋"/>
          <w:color w:val="auto"/>
          <w:highlight w:val="none"/>
        </w:rPr>
        <w:t>名 称：云之龙咨询集团有限公司</w:t>
      </w:r>
    </w:p>
    <w:p w14:paraId="48C32A23">
      <w:pPr>
        <w:spacing w:line="400" w:lineRule="exact"/>
        <w:ind w:firstLine="420"/>
        <w:rPr>
          <w:rFonts w:ascii="宋体" w:hAnsi="宋体" w:cs="仿宋"/>
          <w:color w:val="auto"/>
          <w:highlight w:val="none"/>
        </w:rPr>
      </w:pPr>
      <w:r>
        <w:rPr>
          <w:rFonts w:ascii="宋体" w:hAnsi="宋体" w:cs="仿宋"/>
          <w:color w:val="auto"/>
          <w:highlight w:val="none"/>
        </w:rPr>
        <w:t>地址：</w:t>
      </w:r>
      <w:r>
        <w:rPr>
          <w:rFonts w:hint="eastAsia" w:ascii="宋体" w:hAnsi="宋体" w:cs="仿宋"/>
          <w:color w:val="auto"/>
          <w:highlight w:val="none"/>
        </w:rPr>
        <w:t>广西崇左市友谊大道与城南八路交叉口东南角处</w:t>
      </w:r>
    </w:p>
    <w:p w14:paraId="02346DE4">
      <w:pPr>
        <w:spacing w:line="400" w:lineRule="exact"/>
        <w:ind w:firstLine="420"/>
        <w:rPr>
          <w:rFonts w:ascii="宋体" w:hAnsi="宋体" w:cs="仿宋"/>
          <w:color w:val="auto"/>
          <w:highlight w:val="none"/>
        </w:rPr>
      </w:pPr>
      <w:r>
        <w:rPr>
          <w:rFonts w:hint="eastAsia" w:ascii="宋体" w:hAnsi="宋体" w:cs="仿宋"/>
          <w:color w:val="auto"/>
          <w:highlight w:val="none"/>
        </w:rPr>
        <w:t>（崇左建设大厦/百成财富2#楼十三层）</w:t>
      </w:r>
    </w:p>
    <w:p w14:paraId="306869E5">
      <w:pPr>
        <w:spacing w:line="400" w:lineRule="exact"/>
        <w:ind w:firstLine="420"/>
        <w:rPr>
          <w:rFonts w:ascii="宋体" w:hAnsi="宋体" w:cs="仿宋"/>
          <w:color w:val="auto"/>
          <w:highlight w:val="none"/>
        </w:rPr>
      </w:pPr>
      <w:r>
        <w:rPr>
          <w:rFonts w:ascii="宋体" w:hAnsi="宋体" w:cs="仿宋"/>
          <w:color w:val="auto"/>
          <w:highlight w:val="none"/>
        </w:rPr>
        <w:t>联系方式：0771-7833699</w:t>
      </w:r>
      <w:bookmarkEnd w:id="50"/>
      <w:bookmarkEnd w:id="51"/>
      <w:bookmarkEnd w:id="52"/>
      <w:bookmarkEnd w:id="53"/>
    </w:p>
    <w:p w14:paraId="30B33429">
      <w:pPr>
        <w:spacing w:line="400" w:lineRule="exact"/>
        <w:ind w:firstLine="420"/>
        <w:rPr>
          <w:rFonts w:ascii="宋体" w:hAnsi="宋体" w:cs="仿宋"/>
          <w:color w:val="auto"/>
          <w:highlight w:val="none"/>
        </w:rPr>
      </w:pPr>
      <w:bookmarkStart w:id="54" w:name="_Toc28359098"/>
      <w:bookmarkStart w:id="55" w:name="_Toc28359021"/>
      <w:bookmarkStart w:id="56" w:name="_Toc35393808"/>
      <w:bookmarkStart w:id="57" w:name="_Toc35393639"/>
      <w:r>
        <w:rPr>
          <w:rFonts w:hint="eastAsia" w:ascii="宋体" w:hAnsi="宋体" w:cs="仿宋"/>
          <w:color w:val="auto"/>
          <w:highlight w:val="none"/>
        </w:rPr>
        <w:t>3.项目联系方式</w:t>
      </w:r>
      <w:bookmarkEnd w:id="54"/>
      <w:bookmarkEnd w:id="55"/>
      <w:bookmarkEnd w:id="56"/>
      <w:bookmarkEnd w:id="57"/>
    </w:p>
    <w:p w14:paraId="65E4DBB0">
      <w:pPr>
        <w:spacing w:line="400" w:lineRule="exact"/>
        <w:ind w:firstLine="420"/>
        <w:rPr>
          <w:rFonts w:ascii="宋体" w:hAnsi="宋体" w:cs="仿宋"/>
          <w:color w:val="auto"/>
          <w:highlight w:val="none"/>
        </w:rPr>
      </w:pPr>
      <w:r>
        <w:rPr>
          <w:rFonts w:hint="eastAsia" w:ascii="宋体" w:hAnsi="宋体" w:cs="仿宋"/>
          <w:color w:val="auto"/>
          <w:highlight w:val="none"/>
        </w:rPr>
        <w:t>项目联系人：黄冬妮</w:t>
      </w:r>
    </w:p>
    <w:p w14:paraId="17CCE421">
      <w:pPr>
        <w:spacing w:line="400" w:lineRule="exact"/>
        <w:ind w:firstLine="420"/>
        <w:rPr>
          <w:rFonts w:ascii="宋体" w:hAnsi="宋体" w:cs="仿宋"/>
          <w:color w:val="auto"/>
          <w:highlight w:val="none"/>
        </w:rPr>
      </w:pPr>
      <w:r>
        <w:rPr>
          <w:rFonts w:hint="eastAsia" w:ascii="宋体" w:hAnsi="宋体" w:cs="仿宋"/>
          <w:color w:val="auto"/>
          <w:highlight w:val="none"/>
        </w:rPr>
        <w:t>电话：0771-7835598、0771-7833699    传真：0771-7835509</w:t>
      </w:r>
    </w:p>
    <w:p w14:paraId="2A587CC3">
      <w:pPr>
        <w:spacing w:line="400" w:lineRule="exact"/>
        <w:ind w:firstLine="420"/>
        <w:rPr>
          <w:rFonts w:ascii="宋体" w:hAnsi="宋体" w:cs="仿宋"/>
          <w:color w:val="auto"/>
          <w:highlight w:val="none"/>
        </w:rPr>
      </w:pPr>
      <w:r>
        <w:rPr>
          <w:rFonts w:hint="eastAsia" w:ascii="宋体" w:hAnsi="宋体" w:cs="仿宋"/>
          <w:color w:val="auto"/>
          <w:highlight w:val="none"/>
        </w:rPr>
        <w:t>财务电话：0771-7836268</w:t>
      </w:r>
    </w:p>
    <w:p w14:paraId="1FB71637">
      <w:pPr>
        <w:pStyle w:val="222"/>
        <w:jc w:val="center"/>
        <w:rPr>
          <w:color w:val="auto"/>
          <w:highlight w:val="none"/>
        </w:rPr>
      </w:pPr>
      <w:r>
        <w:rPr>
          <w:rFonts w:ascii="Arial Unicode MS" w:hAnsi="Arial Unicode MS" w:eastAsia="Arial Unicode MS" w:cs="Arial Unicode MS"/>
          <w:bCs w:val="0"/>
          <w:color w:val="auto"/>
          <w:highlight w:val="none"/>
        </w:rPr>
        <w:br w:type="page" w:clear="all"/>
      </w:r>
      <w:bookmarkStart w:id="58" w:name="_Toc74322009"/>
      <w:bookmarkStart w:id="59" w:name="_Toc29160"/>
      <w:r>
        <w:rPr>
          <w:rFonts w:hint="eastAsia"/>
          <w:color w:val="auto"/>
          <w:highlight w:val="none"/>
        </w:rPr>
        <w:t>第二章 供应商须知</w:t>
      </w:r>
      <w:bookmarkEnd w:id="58"/>
      <w:bookmarkEnd w:id="59"/>
    </w:p>
    <w:p w14:paraId="4DDBF97F">
      <w:pPr>
        <w:spacing w:line="400" w:lineRule="exact"/>
        <w:jc w:val="center"/>
        <w:rPr>
          <w:rFonts w:ascii="宋体" w:hAnsi="宋体"/>
          <w:b/>
          <w:color w:val="auto"/>
          <w:sz w:val="32"/>
          <w:szCs w:val="32"/>
          <w:highlight w:val="none"/>
        </w:rPr>
      </w:pPr>
      <w:r>
        <w:rPr>
          <w:rFonts w:hint="eastAsia" w:ascii="宋体" w:hAnsi="宋体"/>
          <w:b/>
          <w:color w:val="auto"/>
          <w:sz w:val="32"/>
          <w:szCs w:val="32"/>
          <w:highlight w:val="none"/>
        </w:rPr>
        <w:t>供应商须知前附表</w:t>
      </w:r>
    </w:p>
    <w:p w14:paraId="0AFF5BDA">
      <w:pPr>
        <w:spacing w:line="400" w:lineRule="exact"/>
        <w:jc w:val="center"/>
        <w:rPr>
          <w:rFonts w:ascii="宋体" w:hAnsi="宋体"/>
          <w:b/>
          <w:color w:val="auto"/>
          <w:sz w:val="32"/>
          <w:szCs w:val="32"/>
          <w:highlight w:val="none"/>
        </w:rPr>
      </w:pPr>
    </w:p>
    <w:tbl>
      <w:tblPr>
        <w:tblStyle w:val="40"/>
        <w:tblW w:w="90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045"/>
      </w:tblGrid>
      <w:tr w14:paraId="478B9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tcPr>
          <w:p w14:paraId="01735E17">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8045" w:type="dxa"/>
            <w:tcBorders>
              <w:top w:val="single" w:color="000000" w:sz="4" w:space="0"/>
              <w:left w:val="single" w:color="000000" w:sz="4" w:space="0"/>
              <w:bottom w:val="single" w:color="000000" w:sz="4" w:space="0"/>
              <w:right w:val="single" w:color="000000" w:sz="4" w:space="0"/>
            </w:tcBorders>
          </w:tcPr>
          <w:p w14:paraId="41ED4C0E">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内    容</w:t>
            </w:r>
          </w:p>
        </w:tc>
      </w:tr>
      <w:tr w14:paraId="2A9B2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51DFA13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p>
        </w:tc>
        <w:tc>
          <w:tcPr>
            <w:tcW w:w="8045" w:type="dxa"/>
            <w:tcBorders>
              <w:top w:val="single" w:color="000000" w:sz="4" w:space="0"/>
              <w:left w:val="single" w:color="000000" w:sz="4" w:space="0"/>
              <w:bottom w:val="single" w:color="000000" w:sz="4" w:space="0"/>
              <w:right w:val="single" w:color="000000" w:sz="4" w:space="0"/>
            </w:tcBorders>
            <w:vAlign w:val="center"/>
          </w:tcPr>
          <w:p w14:paraId="0B39DB96">
            <w:pPr>
              <w:spacing w:line="360" w:lineRule="auto"/>
              <w:rPr>
                <w:rFonts w:ascii="宋体" w:hAnsi="宋体" w:cs="宋体"/>
                <w:color w:val="auto"/>
                <w:szCs w:val="21"/>
                <w:highlight w:val="none"/>
              </w:rPr>
            </w:pPr>
            <w:r>
              <w:rPr>
                <w:rFonts w:hint="eastAsia" w:ascii="宋体" w:hAnsi="宋体" w:cs="宋体"/>
                <w:color w:val="auto"/>
                <w:szCs w:val="21"/>
                <w:highlight w:val="none"/>
              </w:rPr>
              <w:t>1.供应商的资格条件：详见竞争性谈判公告</w:t>
            </w:r>
          </w:p>
          <w:p w14:paraId="45A9B9F9">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1B504CF1">
            <w:pPr>
              <w:spacing w:line="360" w:lineRule="auto"/>
              <w:rPr>
                <w:rFonts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2A477F7">
            <w:pPr>
              <w:spacing w:line="360" w:lineRule="auto"/>
              <w:rPr>
                <w:rFonts w:ascii="宋体" w:hAnsi="宋体" w:cs="宋体"/>
                <w:color w:val="auto"/>
                <w:szCs w:val="21"/>
                <w:highlight w:val="none"/>
              </w:rPr>
            </w:pPr>
            <w:r>
              <w:rPr>
                <w:rFonts w:hint="eastAsia" w:ascii="宋体" w:hAnsi="宋体" w:cs="宋体"/>
                <w:color w:val="auto"/>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7489F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atLeast"/>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CCDB66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8045" w:type="dxa"/>
            <w:tcBorders>
              <w:top w:val="single" w:color="000000" w:sz="4" w:space="0"/>
              <w:left w:val="single" w:color="000000" w:sz="4" w:space="0"/>
              <w:bottom w:val="single" w:color="000000" w:sz="4" w:space="0"/>
              <w:right w:val="single" w:color="000000" w:sz="4" w:space="0"/>
            </w:tcBorders>
            <w:vAlign w:val="center"/>
          </w:tcPr>
          <w:p w14:paraId="1ADB9258">
            <w:pPr>
              <w:spacing w:line="360" w:lineRule="auto"/>
              <w:rPr>
                <w:rFonts w:ascii="宋体" w:hAnsi="宋体" w:cs="宋体"/>
                <w:color w:val="auto"/>
                <w:szCs w:val="21"/>
                <w:highlight w:val="none"/>
              </w:rPr>
            </w:pPr>
            <w:r>
              <w:rPr>
                <w:rFonts w:hint="eastAsia" w:ascii="宋体" w:hAnsi="宋体" w:cs="宋体"/>
                <w:color w:val="auto"/>
                <w:szCs w:val="21"/>
                <w:highlight w:val="none"/>
              </w:rPr>
              <w:t>是否接受联合体竞标： 详见竞争性谈判公告</w:t>
            </w:r>
          </w:p>
        </w:tc>
      </w:tr>
      <w:tr w14:paraId="5720B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BBA30D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8045" w:type="dxa"/>
            <w:tcBorders>
              <w:top w:val="single" w:color="000000" w:sz="4" w:space="0"/>
              <w:left w:val="single" w:color="000000" w:sz="4" w:space="0"/>
              <w:bottom w:val="single" w:color="000000" w:sz="4" w:space="0"/>
              <w:right w:val="single" w:color="000000" w:sz="4" w:space="0"/>
            </w:tcBorders>
            <w:vAlign w:val="center"/>
          </w:tcPr>
          <w:p w14:paraId="60EFF47A">
            <w:pPr>
              <w:spacing w:line="360" w:lineRule="auto"/>
              <w:rPr>
                <w:rFonts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7082E6D3">
            <w:pPr>
              <w:spacing w:line="360" w:lineRule="auto"/>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68DE2C2E">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须具备《中华人民共和国政府采购法》第二十二条第一款规定的基本条件（涉及行政许可范围的内容，联合体各方均应具备相应资质）。本项目有特殊要求规定供应商特定条件的，联合体各方中至少有一方必须符合谈判文件规定的特定条件。</w:t>
            </w:r>
          </w:p>
          <w:p w14:paraId="2E51C08C">
            <w:pPr>
              <w:spacing w:line="360" w:lineRule="auto"/>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联合体各方之间必须签订联合竞标协议，协议书必须明确主体方（或者牵头方）并明确约定联合体各方承担的工作和相应的责任（各方承担责任与义务的分工必须符合采购需求，</w:t>
            </w:r>
            <w:r>
              <w:rPr>
                <w:rFonts w:hint="eastAsia" w:ascii="宋体" w:hAnsi="宋体" w:cs="宋体"/>
                <w:b/>
                <w:bCs/>
                <w:color w:val="auto"/>
                <w:szCs w:val="21"/>
                <w:highlight w:val="none"/>
              </w:rPr>
              <w:t>否则，联合体竞标无效</w:t>
            </w:r>
            <w:r>
              <w:rPr>
                <w:rFonts w:hint="eastAsia" w:ascii="宋体" w:hAnsi="宋体" w:cs="宋体"/>
                <w:color w:val="auto"/>
                <w:szCs w:val="21"/>
                <w:highlight w:val="none"/>
              </w:rPr>
              <w:t>），并将联合竞标协议连同响应文件一并提交采购代理机构。联合体各方必须共同与采购人签订采购合同，就采购合同约定的事项对采购人承担连带责任。</w:t>
            </w:r>
          </w:p>
          <w:p w14:paraId="11547A8D">
            <w:pPr>
              <w:spacing w:line="360" w:lineRule="auto"/>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70EE35D5">
            <w:pPr>
              <w:spacing w:line="360" w:lineRule="auto"/>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7D941892">
            <w:pPr>
              <w:spacing w:line="360" w:lineRule="auto"/>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w:t>
            </w:r>
          </w:p>
          <w:p w14:paraId="357FA455">
            <w:pPr>
              <w:spacing w:line="360" w:lineRule="auto"/>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供应商为联合体的，可以由联合体中的一方或者多方共同交纳保证金，其交纳的保证金对联合体各方均具有约束力。</w:t>
            </w:r>
          </w:p>
          <w:p w14:paraId="7CD01E20">
            <w:pPr>
              <w:spacing w:line="360" w:lineRule="auto"/>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联合体各方均应按照谈判文件的规定分别提交资格证明文件。</w:t>
            </w:r>
          </w:p>
        </w:tc>
      </w:tr>
      <w:tr w14:paraId="2C2B9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DE271D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6.2</w:t>
            </w:r>
          </w:p>
        </w:tc>
        <w:tc>
          <w:tcPr>
            <w:tcW w:w="8045" w:type="dxa"/>
            <w:tcBorders>
              <w:top w:val="single" w:color="000000" w:sz="4" w:space="0"/>
              <w:left w:val="single" w:color="000000" w:sz="4" w:space="0"/>
              <w:bottom w:val="single" w:color="000000" w:sz="4" w:space="0"/>
              <w:right w:val="single" w:color="000000" w:sz="4" w:space="0"/>
            </w:tcBorders>
            <w:vAlign w:val="center"/>
          </w:tcPr>
          <w:p w14:paraId="1336EEE0">
            <w:pPr>
              <w:pStyle w:val="233"/>
              <w:spacing w:line="360" w:lineRule="auto"/>
              <w:rPr>
                <w:color w:val="auto"/>
                <w:highlight w:val="none"/>
              </w:rPr>
            </w:pPr>
            <w:r>
              <w:rPr>
                <w:rFonts w:hint="eastAsia"/>
                <w:color w:val="auto"/>
                <w:highlight w:val="none"/>
              </w:rPr>
              <w:t>☑不允许分包</w:t>
            </w:r>
          </w:p>
          <w:p w14:paraId="3D76B4B5">
            <w:pPr>
              <w:pStyle w:val="233"/>
              <w:spacing w:line="360" w:lineRule="auto"/>
              <w:rPr>
                <w:color w:val="auto"/>
                <w:highlight w:val="none"/>
              </w:rPr>
            </w:pPr>
            <w:r>
              <w:rPr>
                <w:rFonts w:hint="eastAsia"/>
                <w:color w:val="auto"/>
                <w:highlight w:val="none"/>
              </w:rPr>
              <w:t>□允许分包</w:t>
            </w:r>
          </w:p>
          <w:p w14:paraId="0DFF597A">
            <w:pPr>
              <w:pStyle w:val="233"/>
              <w:spacing w:line="360" w:lineRule="auto"/>
              <w:rPr>
                <w:color w:val="auto"/>
                <w:highlight w:val="none"/>
                <w:u w:val="single"/>
              </w:rPr>
            </w:pPr>
            <w:r>
              <w:rPr>
                <w:rFonts w:hint="eastAsia"/>
                <w:color w:val="auto"/>
                <w:highlight w:val="none"/>
              </w:rPr>
              <w:t>分包内容：</w:t>
            </w:r>
            <w:r>
              <w:rPr>
                <w:rFonts w:hint="eastAsia"/>
                <w:color w:val="auto"/>
                <w:highlight w:val="none"/>
                <w:u w:val="single"/>
              </w:rPr>
              <w:t xml:space="preserve">                                     。</w:t>
            </w:r>
          </w:p>
          <w:p w14:paraId="18184902">
            <w:pPr>
              <w:pStyle w:val="233"/>
              <w:spacing w:line="360" w:lineRule="auto"/>
              <w:rPr>
                <w:color w:val="auto"/>
                <w:highlight w:val="none"/>
                <w:u w:val="single"/>
              </w:rPr>
            </w:pPr>
            <w:r>
              <w:rPr>
                <w:rFonts w:hint="eastAsia"/>
                <w:color w:val="auto"/>
                <w:highlight w:val="none"/>
              </w:rPr>
              <w:t>分包金额或者比例：</w:t>
            </w:r>
            <w:r>
              <w:rPr>
                <w:rFonts w:hint="eastAsia"/>
                <w:color w:val="auto"/>
                <w:highlight w:val="none"/>
                <w:u w:val="single"/>
              </w:rPr>
              <w:t xml:space="preserve">                             。</w:t>
            </w:r>
          </w:p>
          <w:p w14:paraId="76B5813A">
            <w:pPr>
              <w:pStyle w:val="233"/>
              <w:spacing w:line="360" w:lineRule="auto"/>
              <w:rPr>
                <w:color w:val="auto"/>
                <w:highlight w:val="none"/>
                <w:u w:val="single"/>
              </w:rPr>
            </w:pPr>
            <w:r>
              <w:rPr>
                <w:rFonts w:hint="eastAsia" w:ascii="宋体" w:hAnsi="宋体"/>
                <w:color w:val="auto"/>
                <w:szCs w:val="21"/>
                <w:highlight w:val="none"/>
              </w:rPr>
              <w:t>分包供应商必须具备的资质：</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w:t>
            </w:r>
          </w:p>
        </w:tc>
      </w:tr>
      <w:tr w14:paraId="54B2E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EE99A9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7.1</w:t>
            </w:r>
          </w:p>
        </w:tc>
        <w:tc>
          <w:tcPr>
            <w:tcW w:w="8045" w:type="dxa"/>
            <w:tcBorders>
              <w:top w:val="single" w:color="000000" w:sz="4" w:space="0"/>
              <w:left w:val="single" w:color="000000" w:sz="4" w:space="0"/>
              <w:bottom w:val="single" w:color="000000" w:sz="4" w:space="0"/>
              <w:right w:val="single" w:color="000000" w:sz="4" w:space="0"/>
            </w:tcBorders>
            <w:vAlign w:val="center"/>
          </w:tcPr>
          <w:p w14:paraId="02DBBABE">
            <w:pPr>
              <w:spacing w:line="360" w:lineRule="auto"/>
              <w:rPr>
                <w:rFonts w:ascii="宋体" w:hAnsi="宋体"/>
                <w:color w:val="auto"/>
                <w:szCs w:val="21"/>
                <w:highlight w:val="none"/>
              </w:rPr>
            </w:pPr>
            <w:r>
              <w:rPr>
                <w:rFonts w:hint="eastAsia" w:ascii="宋体" w:hAnsi="宋体"/>
                <w:color w:val="auto"/>
                <w:szCs w:val="21"/>
                <w:highlight w:val="none"/>
              </w:rPr>
              <w:t>提供相同品牌产品（非单一产品采购项目的，指核心产品）的不同供应商最后报价相同时，按照下列方式确定一个供应商获得成交供应商推荐资格：</w:t>
            </w:r>
          </w:p>
          <w:p w14:paraId="4297CD7C">
            <w:pPr>
              <w:spacing w:line="360" w:lineRule="auto"/>
              <w:rPr>
                <w:rFonts w:ascii="宋体" w:hAnsi="宋体"/>
                <w:color w:val="auto"/>
                <w:szCs w:val="21"/>
                <w:highlight w:val="none"/>
              </w:rPr>
            </w:pPr>
            <w:r>
              <w:rPr>
                <w:rFonts w:hint="eastAsia" w:ascii="宋体" w:hAnsi="宋体"/>
                <w:color w:val="auto"/>
                <w:szCs w:val="21"/>
                <w:highlight w:val="none"/>
              </w:rPr>
              <w:t>☑随机抽取；</w:t>
            </w:r>
          </w:p>
        </w:tc>
      </w:tr>
      <w:tr w14:paraId="3F391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F20708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8045" w:type="dxa"/>
            <w:tcBorders>
              <w:top w:val="single" w:color="000000" w:sz="4" w:space="0"/>
              <w:left w:val="single" w:color="000000" w:sz="4" w:space="0"/>
              <w:bottom w:val="single" w:color="000000" w:sz="4" w:space="0"/>
              <w:right w:val="single" w:color="000000" w:sz="4" w:space="0"/>
            </w:tcBorders>
            <w:vAlign w:val="center"/>
          </w:tcPr>
          <w:p w14:paraId="4A8914F3">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资格证明文件</w:t>
            </w:r>
          </w:p>
          <w:p w14:paraId="07F59382">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1.崇左市政府采购供应商信用承诺函（格式后附，供应商应对其承诺内容的真实性、合法性、有效性负责）；（</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328A4E9">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2.供应商直接控股信息表（格式后附）；（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94B71CE">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3.供应商直接管理关系信息表（格式后附）；（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E59F314">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BCF4139">
            <w:pPr>
              <w:spacing w:line="400" w:lineRule="exact"/>
              <w:jc w:val="left"/>
              <w:rPr>
                <w:rFonts w:ascii="宋体" w:hAnsi="宋体"/>
                <w:color w:val="auto"/>
                <w:szCs w:val="21"/>
                <w:highlight w:val="none"/>
              </w:rPr>
            </w:pPr>
            <w:r>
              <w:rPr>
                <w:rFonts w:hint="eastAsia" w:ascii="宋体" w:hAnsi="宋体" w:cs="宋体"/>
                <w:color w:val="auto"/>
                <w:szCs w:val="21"/>
                <w:highlight w:val="none"/>
              </w:rPr>
              <w:t>5.</w:t>
            </w:r>
            <w:r>
              <w:rPr>
                <w:rFonts w:hint="eastAsia" w:ascii="宋体" w:hAnsi="宋体"/>
                <w:color w:val="auto"/>
                <w:szCs w:val="21"/>
                <w:highlight w:val="none"/>
              </w:rPr>
              <w:t>供应商按以下要求提供医疗器械的有关证明材料复印件：</w:t>
            </w:r>
          </w:p>
          <w:p w14:paraId="19060452">
            <w:pPr>
              <w:spacing w:line="360" w:lineRule="auto"/>
              <w:contextualSpacing/>
              <w:jc w:val="left"/>
              <w:rPr>
                <w:rFonts w:hint="eastAsia" w:ascii="宋体" w:hAnsi="宋体" w:cs="宋体"/>
                <w:color w:val="auto"/>
                <w:szCs w:val="21"/>
                <w:highlight w:val="none"/>
              </w:rPr>
            </w:pPr>
            <w:r>
              <w:rPr>
                <w:rFonts w:hint="eastAsia" w:ascii="宋体" w:hAnsi="宋体"/>
                <w:color w:val="auto"/>
                <w:szCs w:val="21"/>
                <w:highlight w:val="none"/>
              </w:rPr>
              <w:t>（1）有第二类医疗器械的，应提供有效的医疗器械经营备案凭证（经营范围包含采购的第二类医疗器械），符合《医疗器械监督管理条例》（国务院令第739号）第四十一</w:t>
            </w:r>
            <w:r>
              <w:rPr>
                <w:rFonts w:hint="eastAsia" w:ascii="宋体" w:hAnsi="宋体" w:cs="宋体"/>
                <w:color w:val="auto"/>
                <w:szCs w:val="21"/>
                <w:highlight w:val="none"/>
              </w:rPr>
              <w:t>条第二款规定的除外；如供应商符合《医疗器械监督管理条例》第四十三条“医疗器械注册人、备案人经营其注册、备案的医疗器械，无需办理医疗器械经营许可或者备案，但应当符合本条例规定的经营条件”规定的，仅需提供该医疗器械注册证（另附表格列明所竞标对应产品的名称和规格型号）（格式自拟）；</w:t>
            </w:r>
          </w:p>
          <w:p w14:paraId="16E084C0">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2）有第三类医疗器械的，应提供有效的医疗器械经营许可证（经营范围包含采购的第三类医疗器械）；如供应商符合《医疗器械监督管理条例》第四十三条“医疗器械注册人、备案人经营其注册、备案的医疗器械，无需办理医疗器械经营许可或者备案，但应当符合本条例规定的经营条件”规定的，仅需提供该医疗器械注册证（另附表格列明所竞标对应产品的名称和规格型号）（格式自拟）；</w:t>
            </w:r>
          </w:p>
          <w:p w14:paraId="3E516DC0">
            <w:pPr>
              <w:spacing w:line="400" w:lineRule="exact"/>
              <w:jc w:val="left"/>
              <w:rPr>
                <w:rFonts w:ascii="宋体" w:hAnsi="宋体"/>
                <w:color w:val="auto"/>
                <w:szCs w:val="21"/>
                <w:highlight w:val="none"/>
              </w:rPr>
            </w:pPr>
            <w:r>
              <w:rPr>
                <w:rFonts w:hint="eastAsia" w:ascii="宋体" w:hAnsi="宋体"/>
                <w:color w:val="auto"/>
                <w:szCs w:val="21"/>
                <w:highlight w:val="none"/>
              </w:rPr>
              <w:t>（3）有第二类和第三类医疗器械的，应按上述（1）（2）要求提供；</w:t>
            </w:r>
            <w:r>
              <w:rPr>
                <w:rFonts w:hint="eastAsia" w:ascii="宋体" w:hAnsi="宋体"/>
                <w:bCs/>
                <w:color w:val="auto"/>
                <w:szCs w:val="21"/>
                <w:highlight w:val="none"/>
              </w:rPr>
              <w:t>（</w:t>
            </w:r>
            <w:r>
              <w:rPr>
                <w:rFonts w:hint="eastAsia" w:ascii="宋体" w:hAnsi="宋体"/>
                <w:b/>
                <w:bCs/>
                <w:color w:val="auto"/>
                <w:szCs w:val="21"/>
                <w:highlight w:val="none"/>
              </w:rPr>
              <w:t>必须提供，否则响应文件按无效响应处理</w:t>
            </w:r>
            <w:r>
              <w:rPr>
                <w:rFonts w:hint="eastAsia" w:ascii="宋体" w:hAnsi="宋体"/>
                <w:bCs/>
                <w:color w:val="auto"/>
                <w:szCs w:val="21"/>
                <w:highlight w:val="none"/>
              </w:rPr>
              <w:t>）</w:t>
            </w:r>
            <w:r>
              <w:rPr>
                <w:rFonts w:hint="eastAsia" w:ascii="宋体" w:hAnsi="宋体"/>
                <w:b/>
                <w:bCs/>
                <w:color w:val="auto"/>
                <w:szCs w:val="21"/>
                <w:highlight w:val="none"/>
              </w:rPr>
              <w:t>；</w:t>
            </w:r>
            <w:r>
              <w:rPr>
                <w:rFonts w:hint="eastAsia" w:ascii="宋体" w:hAnsi="宋体"/>
                <w:color w:val="auto"/>
                <w:szCs w:val="21"/>
                <w:highlight w:val="none"/>
              </w:rPr>
              <w:t xml:space="preserve"> </w:t>
            </w:r>
          </w:p>
          <w:p w14:paraId="54EC3AD6">
            <w:pPr>
              <w:spacing w:line="400" w:lineRule="exact"/>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cs="宋体"/>
                <w:color w:val="auto"/>
                <w:szCs w:val="21"/>
                <w:highlight w:val="none"/>
              </w:rPr>
              <w:t>货物制造商为中小企业或监狱企业或残疾人福利性单位的资格证明材料【为中小微企业的应当提供《中小企业声明函》；为残疾人福利性单位的应当提供《残疾人福利性单位声明函》；为监狱企业的应当提供由省级以上监狱管理局、戒毒管理局（含新疆生产建设兵团）出具的属于监狱企业的证明文件】</w:t>
            </w:r>
            <w:r>
              <w:rPr>
                <w:rFonts w:hint="eastAsia" w:ascii="宋体" w:hAnsi="宋体"/>
                <w:color w:val="auto"/>
                <w:szCs w:val="21"/>
                <w:highlight w:val="none"/>
              </w:rPr>
              <w:t>；（</w:t>
            </w:r>
            <w:r>
              <w:rPr>
                <w:rFonts w:hint="eastAsia" w:ascii="宋体" w:hAnsi="宋体"/>
                <w:b/>
                <w:color w:val="auto"/>
                <w:szCs w:val="21"/>
                <w:highlight w:val="none"/>
              </w:rPr>
              <w:t>必须提供，否则响应文件按无效处理</w:t>
            </w:r>
            <w:r>
              <w:rPr>
                <w:rFonts w:hint="eastAsia" w:ascii="宋体" w:hAnsi="宋体"/>
                <w:color w:val="auto"/>
                <w:szCs w:val="21"/>
                <w:highlight w:val="none"/>
              </w:rPr>
              <w:t>）</w:t>
            </w:r>
          </w:p>
          <w:p w14:paraId="059A06A7">
            <w:pPr>
              <w:spacing w:line="360" w:lineRule="auto"/>
              <w:jc w:val="left"/>
              <w:rPr>
                <w:rFonts w:ascii="宋体" w:hAnsi="宋体"/>
                <w:i/>
                <w:color w:val="auto"/>
                <w:szCs w:val="21"/>
                <w:highlight w:val="none"/>
              </w:rPr>
            </w:pPr>
            <w:r>
              <w:rPr>
                <w:rFonts w:hint="eastAsia" w:ascii="宋体" w:hAnsi="宋体" w:cs="宋体"/>
                <w:color w:val="auto"/>
                <w:szCs w:val="21"/>
                <w:highlight w:val="none"/>
              </w:rPr>
              <w:t>7.除谈判文件规定必须提供以外，供应商认为需要提供的其他证明材料；</w:t>
            </w:r>
          </w:p>
          <w:p w14:paraId="00FDDF28">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w:t>
            </w:r>
          </w:p>
          <w:p w14:paraId="2666B4A2">
            <w:pPr>
              <w:spacing w:line="360" w:lineRule="auto"/>
              <w:ind w:firstLine="413"/>
              <w:jc w:val="left"/>
              <w:rPr>
                <w:rFonts w:ascii="宋体" w:hAnsi="宋体" w:cs="宋体"/>
                <w:b/>
                <w:color w:val="auto"/>
                <w:szCs w:val="21"/>
                <w:highlight w:val="none"/>
              </w:rPr>
            </w:pPr>
            <w:r>
              <w:rPr>
                <w:rFonts w:hint="eastAsia" w:ascii="宋体" w:hAnsi="宋体" w:cs="宋体"/>
                <w:b/>
                <w:color w:val="auto"/>
                <w:szCs w:val="21"/>
                <w:highlight w:val="none"/>
              </w:rPr>
              <w:t>1.以上标明“必须提供”的材料属于复印件的，必须加盖供应商</w:t>
            </w:r>
            <w:r>
              <w:rPr>
                <w:rFonts w:hint="eastAsia"/>
                <w:b/>
                <w:color w:val="auto"/>
                <w:highlight w:val="none"/>
              </w:rPr>
              <w:t>电子签章</w:t>
            </w:r>
            <w:r>
              <w:rPr>
                <w:rFonts w:hint="eastAsia" w:ascii="宋体" w:hAnsi="宋体" w:cs="宋体"/>
                <w:b/>
                <w:color w:val="auto"/>
                <w:szCs w:val="21"/>
                <w:highlight w:val="none"/>
              </w:rPr>
              <w:t>，否则响应文件按无效处理。</w:t>
            </w:r>
          </w:p>
          <w:p w14:paraId="4D2C800C">
            <w:pPr>
              <w:spacing w:line="360" w:lineRule="auto"/>
              <w:ind w:firstLine="413"/>
              <w:jc w:val="left"/>
              <w:rPr>
                <w:rFonts w:ascii="宋体" w:hAnsi="宋体" w:cs="宋体"/>
                <w:b/>
                <w:color w:val="auto"/>
                <w:szCs w:val="21"/>
                <w:highlight w:val="none"/>
              </w:rPr>
            </w:pPr>
            <w:r>
              <w:rPr>
                <w:rFonts w:hint="eastAsia" w:ascii="宋体" w:hAnsi="宋体" w:cs="宋体"/>
                <w:b/>
                <w:color w:val="auto"/>
                <w:szCs w:val="21"/>
                <w:highlight w:val="none"/>
              </w:rPr>
              <w:t>2.联合体竞标时，第1-3</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5-6</w:t>
            </w:r>
            <w:r>
              <w:rPr>
                <w:rFonts w:hint="eastAsia" w:ascii="宋体" w:hAnsi="宋体" w:cs="宋体"/>
                <w:b/>
                <w:color w:val="auto"/>
                <w:szCs w:val="21"/>
                <w:highlight w:val="none"/>
              </w:rPr>
              <w:t>项资格证明文件联合体各方均必须分别提供，</w:t>
            </w:r>
            <w:r>
              <w:rPr>
                <w:rFonts w:hint="eastAsia"/>
                <w:b/>
                <w:color w:val="auto"/>
                <w:highlight w:val="none"/>
              </w:rPr>
              <w:t>并由</w:t>
            </w:r>
            <w:r>
              <w:rPr>
                <w:rFonts w:hint="eastAsia" w:ascii="宋体" w:hAnsi="宋体" w:cs="宋体"/>
                <w:b/>
                <w:color w:val="auto"/>
                <w:szCs w:val="21"/>
                <w:highlight w:val="none"/>
              </w:rPr>
              <w:t>联合体</w:t>
            </w:r>
            <w:r>
              <w:rPr>
                <w:rFonts w:hint="eastAsia"/>
                <w:b/>
                <w:color w:val="auto"/>
                <w:highlight w:val="none"/>
              </w:rPr>
              <w:t>牵头人加盖电子签章</w:t>
            </w:r>
            <w:r>
              <w:rPr>
                <w:rFonts w:hint="eastAsia" w:ascii="宋体" w:hAnsi="宋体" w:cs="宋体"/>
                <w:b/>
                <w:color w:val="auto"/>
                <w:szCs w:val="21"/>
                <w:highlight w:val="none"/>
              </w:rPr>
              <w:t>，</w:t>
            </w:r>
            <w:r>
              <w:rPr>
                <w:rFonts w:hint="eastAsia"/>
                <w:b/>
                <w:color w:val="auto"/>
                <w:highlight w:val="none"/>
              </w:rPr>
              <w:t>规定签字</w:t>
            </w:r>
            <w:r>
              <w:rPr>
                <w:rFonts w:hint="eastAsia" w:ascii="宋体" w:hAnsi="宋体" w:cs="宋体"/>
                <w:b/>
                <w:color w:val="auto"/>
                <w:szCs w:val="21"/>
                <w:highlight w:val="none"/>
              </w:rPr>
              <w:t>处签字</w:t>
            </w:r>
            <w:r>
              <w:rPr>
                <w:rFonts w:hint="eastAsia" w:ascii="宋体" w:hAnsi="宋体"/>
                <w:b/>
                <w:bCs/>
                <w:color w:val="auto"/>
                <w:szCs w:val="21"/>
                <w:highlight w:val="none"/>
              </w:rPr>
              <w:t>（或者电子签名）</w:t>
            </w:r>
            <w:r>
              <w:rPr>
                <w:rFonts w:hint="eastAsia" w:ascii="宋体" w:hAnsi="宋体" w:cs="宋体"/>
                <w:b/>
                <w:color w:val="auto"/>
                <w:szCs w:val="21"/>
                <w:highlight w:val="none"/>
              </w:rPr>
              <w:t>，否则响应文件按无效处理。</w:t>
            </w:r>
          </w:p>
        </w:tc>
      </w:tr>
      <w:tr w14:paraId="73EAF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D79FF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2</w:t>
            </w:r>
          </w:p>
        </w:tc>
        <w:tc>
          <w:tcPr>
            <w:tcW w:w="8045" w:type="dxa"/>
            <w:tcBorders>
              <w:top w:val="single" w:color="000000" w:sz="4" w:space="0"/>
              <w:left w:val="single" w:color="000000" w:sz="4" w:space="0"/>
              <w:bottom w:val="single" w:color="000000" w:sz="4" w:space="0"/>
              <w:right w:val="single" w:color="000000" w:sz="4" w:space="0"/>
            </w:tcBorders>
            <w:vAlign w:val="center"/>
          </w:tcPr>
          <w:p w14:paraId="1C54BCC5">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报价文件</w:t>
            </w:r>
          </w:p>
          <w:p w14:paraId="79DA9380">
            <w:pPr>
              <w:spacing w:line="360" w:lineRule="auto"/>
              <w:rPr>
                <w:rFonts w:ascii="宋体" w:hAnsi="宋体" w:cs="宋体"/>
                <w:color w:val="auto"/>
                <w:szCs w:val="21"/>
                <w:highlight w:val="none"/>
              </w:rPr>
            </w:pPr>
            <w:r>
              <w:rPr>
                <w:rFonts w:hint="eastAsia" w:ascii="宋体" w:hAnsi="宋体" w:cs="宋体"/>
                <w:color w:val="auto"/>
                <w:szCs w:val="21"/>
                <w:highlight w:val="none"/>
              </w:rPr>
              <w:t>1.竞标报价表（格式后附）；（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51598FB5">
            <w:pPr>
              <w:spacing w:line="360" w:lineRule="auto"/>
              <w:rPr>
                <w:rFonts w:ascii="宋体" w:hAnsi="宋体" w:cs="宋体"/>
                <w:color w:val="auto"/>
                <w:szCs w:val="21"/>
                <w:highlight w:val="none"/>
              </w:rPr>
            </w:pPr>
            <w:r>
              <w:rPr>
                <w:rFonts w:hint="eastAsia" w:ascii="宋体" w:hAnsi="宋体" w:cs="宋体"/>
                <w:color w:val="auto"/>
                <w:szCs w:val="21"/>
                <w:highlight w:val="none"/>
              </w:rPr>
              <w:t>2.供应商认为需要提供的其他有关资料。</w:t>
            </w:r>
          </w:p>
        </w:tc>
      </w:tr>
      <w:tr w14:paraId="260B3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7FEC3D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8045" w:type="dxa"/>
            <w:tcBorders>
              <w:top w:val="single" w:color="000000" w:sz="4" w:space="0"/>
              <w:left w:val="single" w:color="000000" w:sz="4" w:space="0"/>
              <w:bottom w:val="single" w:color="000000" w:sz="4" w:space="0"/>
              <w:right w:val="single" w:color="000000" w:sz="4" w:space="0"/>
            </w:tcBorders>
            <w:vAlign w:val="center"/>
          </w:tcPr>
          <w:p w14:paraId="23AB21F0">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商务技术文件</w:t>
            </w:r>
          </w:p>
          <w:p w14:paraId="7741B513">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2ECC7F48">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63BBDDA">
            <w:pPr>
              <w:spacing w:line="360" w:lineRule="auto"/>
              <w:rPr>
                <w:rFonts w:ascii="宋体" w:hAnsi="宋体" w:cs="宋体"/>
                <w:b/>
                <w:color w:val="auto"/>
                <w:szCs w:val="21"/>
                <w:highlight w:val="none"/>
              </w:rPr>
            </w:pPr>
            <w:r>
              <w:rPr>
                <w:rFonts w:hint="eastAsia" w:ascii="宋体" w:hAnsi="宋体" w:cs="宋体"/>
                <w:color w:val="auto"/>
                <w:szCs w:val="21"/>
                <w:highlight w:val="none"/>
              </w:rPr>
              <w:t>3.授权委托书及委托代理人有效身份证正反面复印件（格式后附）；（</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p>
          <w:p w14:paraId="6CEF4615">
            <w:pPr>
              <w:spacing w:line="400" w:lineRule="exact"/>
              <w:rPr>
                <w:rFonts w:ascii="宋体" w:hAnsi="宋体" w:cs="宋体"/>
                <w:color w:val="auto"/>
                <w:szCs w:val="21"/>
                <w:highlight w:val="none"/>
              </w:rPr>
            </w:pPr>
            <w:r>
              <w:rPr>
                <w:rFonts w:hint="eastAsia" w:ascii="宋体" w:hAnsi="宋体" w:cs="宋体"/>
                <w:color w:val="auto"/>
                <w:szCs w:val="21"/>
                <w:highlight w:val="none"/>
              </w:rPr>
              <w:t>4.商务要求偏离表（格式后附）；（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260976E">
            <w:pPr>
              <w:spacing w:line="400" w:lineRule="exact"/>
              <w:rPr>
                <w:rFonts w:ascii="宋体" w:hAnsi="宋体" w:cs="宋体"/>
                <w:color w:val="auto"/>
                <w:szCs w:val="21"/>
                <w:highlight w:val="none"/>
              </w:rPr>
            </w:pPr>
            <w:r>
              <w:rPr>
                <w:rFonts w:hint="eastAsia" w:ascii="宋体" w:hAnsi="宋体" w:cs="宋体"/>
                <w:color w:val="auto"/>
                <w:szCs w:val="21"/>
                <w:highlight w:val="none"/>
              </w:rPr>
              <w:t>5.售后服务承诺（格式自拟）；（</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E9E1DEB">
            <w:pPr>
              <w:spacing w:line="400" w:lineRule="exact"/>
              <w:rPr>
                <w:rFonts w:ascii="宋体" w:hAnsi="宋体" w:cs="宋体"/>
                <w:color w:val="auto"/>
                <w:szCs w:val="21"/>
                <w:highlight w:val="none"/>
              </w:rPr>
            </w:pPr>
            <w:r>
              <w:rPr>
                <w:rFonts w:hint="eastAsia" w:ascii="宋体" w:hAnsi="宋体" w:cs="宋体"/>
                <w:color w:val="auto"/>
                <w:szCs w:val="21"/>
                <w:highlight w:val="none"/>
              </w:rPr>
              <w:t>6.货物配置清单（均不含报价）（格式后附）；（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52EE9ABC">
            <w:pPr>
              <w:spacing w:line="400" w:lineRule="exact"/>
              <w:rPr>
                <w:rFonts w:ascii="宋体" w:hAnsi="宋体" w:cs="宋体"/>
                <w:color w:val="auto"/>
                <w:szCs w:val="21"/>
                <w:highlight w:val="none"/>
              </w:rPr>
            </w:pPr>
            <w:r>
              <w:rPr>
                <w:rFonts w:hint="eastAsia" w:ascii="宋体" w:hAnsi="宋体" w:cs="宋体"/>
                <w:color w:val="auto"/>
                <w:szCs w:val="21"/>
                <w:highlight w:val="none"/>
              </w:rPr>
              <w:t>7.技术要求偏离表（格式后附）；（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26B2FA63">
            <w:pPr>
              <w:spacing w:line="400" w:lineRule="exact"/>
              <w:rPr>
                <w:rFonts w:ascii="宋体" w:hAnsi="宋体"/>
                <w:color w:val="auto"/>
                <w:szCs w:val="21"/>
                <w:highlight w:val="none"/>
              </w:rPr>
            </w:pPr>
            <w:r>
              <w:rPr>
                <w:rFonts w:hint="eastAsia" w:ascii="宋体" w:hAnsi="宋体"/>
                <w:color w:val="auto"/>
                <w:szCs w:val="21"/>
                <w:highlight w:val="none"/>
              </w:rPr>
              <w:t>8.《关于符合本国产品标准的声明函》或者财政部会同有关部门规定的有关证明文件；（供应商根据自身响应情况出具）</w:t>
            </w:r>
          </w:p>
          <w:p w14:paraId="3B3C6482">
            <w:pPr>
              <w:spacing w:line="400" w:lineRule="exact"/>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bCs/>
                <w:color w:val="auto"/>
                <w:szCs w:val="21"/>
                <w:highlight w:val="none"/>
              </w:rPr>
              <w:t>代理服务费承诺书</w:t>
            </w:r>
            <w:r>
              <w:rPr>
                <w:rFonts w:hint="eastAsia" w:ascii="宋体" w:hAnsi="宋体" w:cs="宋体"/>
                <w:color w:val="auto"/>
                <w:szCs w:val="21"/>
                <w:highlight w:val="none"/>
              </w:rPr>
              <w:t>（格式后附）；</w:t>
            </w:r>
          </w:p>
          <w:p w14:paraId="16E8A014">
            <w:pPr>
              <w:spacing w:line="400" w:lineRule="exact"/>
              <w:rPr>
                <w:rFonts w:ascii="宋体" w:hAnsi="宋体" w:cs="宋体"/>
                <w:bCs/>
                <w:color w:val="auto"/>
                <w:szCs w:val="21"/>
                <w:highlight w:val="none"/>
              </w:rPr>
            </w:pPr>
            <w:r>
              <w:rPr>
                <w:rFonts w:hint="eastAsia" w:ascii="宋体" w:hAnsi="宋体" w:cs="宋体"/>
                <w:color w:val="auto"/>
                <w:szCs w:val="21"/>
                <w:highlight w:val="none"/>
              </w:rPr>
              <w:t>10.对应采购需求的技术要求、商务要求提供的其他文件资料（格式自拟）；</w:t>
            </w:r>
          </w:p>
          <w:p w14:paraId="7551D25D">
            <w:pPr>
              <w:spacing w:line="400" w:lineRule="exact"/>
              <w:rPr>
                <w:rFonts w:ascii="宋体" w:hAnsi="宋体" w:cs="宋体"/>
                <w:color w:val="auto"/>
                <w:szCs w:val="21"/>
                <w:highlight w:val="none"/>
              </w:rPr>
            </w:pPr>
            <w:r>
              <w:rPr>
                <w:rFonts w:hint="eastAsia" w:ascii="宋体" w:hAnsi="宋体" w:cs="宋体"/>
                <w:color w:val="auto"/>
                <w:szCs w:val="21"/>
                <w:highlight w:val="none"/>
              </w:rPr>
              <w:t>11.供应商认为需要提供的其他有关资料。</w:t>
            </w:r>
          </w:p>
          <w:p w14:paraId="5F003557">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注：以上标明“必须提供”材料复印件的，必须加盖供应商</w:t>
            </w:r>
            <w:r>
              <w:rPr>
                <w:rFonts w:hint="eastAsia" w:ascii="宋体" w:hAnsi="宋体"/>
                <w:b/>
                <w:bCs/>
                <w:color w:val="auto"/>
                <w:szCs w:val="21"/>
                <w:highlight w:val="none"/>
              </w:rPr>
              <w:t>电子签章</w:t>
            </w:r>
            <w:r>
              <w:rPr>
                <w:rFonts w:hint="eastAsia" w:ascii="宋体" w:hAnsi="宋体" w:cs="宋体"/>
                <w:b/>
                <w:color w:val="auto"/>
                <w:szCs w:val="21"/>
                <w:highlight w:val="none"/>
              </w:rPr>
              <w:t>，否则响应文件按无效处理。</w:t>
            </w:r>
          </w:p>
        </w:tc>
      </w:tr>
      <w:tr w14:paraId="25509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78A182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8045" w:type="dxa"/>
            <w:tcBorders>
              <w:top w:val="single" w:color="000000" w:sz="4" w:space="0"/>
              <w:left w:val="single" w:color="000000" w:sz="4" w:space="0"/>
              <w:bottom w:val="single" w:color="000000" w:sz="4" w:space="0"/>
              <w:right w:val="single" w:color="000000" w:sz="4" w:space="0"/>
            </w:tcBorders>
            <w:vAlign w:val="center"/>
          </w:tcPr>
          <w:p w14:paraId="27CE02DD">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竞标报价含货物、随配附件、辅料、备品备件、工具、运抵指定交货地点、现场安装调试的各种费用、施工配合费和售后服务、培训、验收、税金、产品抽样检测费及其他所有成本费用的总和及采购文件所要求的相关服务以及合同所述全部责任、义务和风险等全过程产生的所有成本和费用以及一切税费，对采购的全部货物进行完整唯一报价。</w:t>
            </w:r>
          </w:p>
        </w:tc>
      </w:tr>
      <w:tr w14:paraId="07A2E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FFA136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8045" w:type="dxa"/>
            <w:tcBorders>
              <w:top w:val="single" w:color="000000" w:sz="4" w:space="0"/>
              <w:left w:val="single" w:color="000000" w:sz="4" w:space="0"/>
              <w:bottom w:val="single" w:color="000000" w:sz="4" w:space="0"/>
              <w:right w:val="single" w:color="000000" w:sz="4" w:space="0"/>
            </w:tcBorders>
            <w:vAlign w:val="center"/>
          </w:tcPr>
          <w:p w14:paraId="57C6FB48">
            <w:pPr>
              <w:pStyle w:val="232"/>
              <w:widowControl w:val="0"/>
              <w:tabs>
                <w:tab w:val="clear" w:pos="454"/>
              </w:tabs>
              <w:spacing w:line="360" w:lineRule="auto"/>
              <w:ind w:left="283" w:hanging="283"/>
              <w:rPr>
                <w:rFonts w:ascii="宋体" w:hAnsi="宋体" w:cs="宋体"/>
                <w:color w:val="auto"/>
                <w:sz w:val="21"/>
                <w:szCs w:val="21"/>
                <w:highlight w:val="none"/>
              </w:rPr>
            </w:pPr>
            <w:r>
              <w:rPr>
                <w:rFonts w:hint="eastAsia" w:ascii="宋体" w:hAnsi="宋体" w:cs="宋体"/>
                <w:color w:val="auto"/>
                <w:sz w:val="21"/>
                <w:szCs w:val="21"/>
                <w:highlight w:val="none"/>
              </w:rPr>
              <w:t>竞标有效期：自首次响应文件提交截止之日起</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rPr>
              <w:t>90</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p>
        </w:tc>
      </w:tr>
      <w:tr w14:paraId="579C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2" w:hRule="atLeast"/>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EA1BA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8045" w:type="dxa"/>
            <w:tcBorders>
              <w:top w:val="single" w:color="000000" w:sz="4" w:space="0"/>
              <w:left w:val="single" w:color="000000" w:sz="4" w:space="0"/>
              <w:bottom w:val="single" w:color="000000" w:sz="4" w:space="0"/>
              <w:right w:val="single" w:color="000000" w:sz="4" w:space="0"/>
            </w:tcBorders>
            <w:vAlign w:val="center"/>
          </w:tcPr>
          <w:p w14:paraId="6D693D88">
            <w:pPr>
              <w:spacing w:line="360" w:lineRule="auto"/>
              <w:rPr>
                <w:rFonts w:ascii="宋体" w:hAnsi="宋体"/>
                <w:color w:val="auto"/>
                <w:szCs w:val="21"/>
                <w:highlight w:val="none"/>
              </w:rPr>
            </w:pPr>
            <w:r>
              <w:rPr>
                <w:rFonts w:hint="eastAsia" w:ascii="宋体" w:hAnsi="宋体"/>
                <w:color w:val="auto"/>
                <w:szCs w:val="21"/>
                <w:highlight w:val="none"/>
              </w:rPr>
              <w:t>☑本项目不收取竞标保证金。</w:t>
            </w:r>
          </w:p>
          <w:p w14:paraId="796A78B3">
            <w:pPr>
              <w:spacing w:line="360" w:lineRule="auto"/>
              <w:rPr>
                <w:rFonts w:ascii="宋体" w:hAnsi="宋体"/>
                <w:color w:val="auto"/>
                <w:szCs w:val="21"/>
                <w:highlight w:val="none"/>
              </w:rPr>
            </w:pPr>
            <w:r>
              <w:rPr>
                <w:rFonts w:hint="eastAsia" w:ascii="宋体" w:hAnsi="宋体"/>
                <w:color w:val="auto"/>
                <w:szCs w:val="21"/>
                <w:highlight w:val="none"/>
              </w:rPr>
              <w:t>□本项目收取竞标保证金，具体规定如下：</w:t>
            </w:r>
          </w:p>
          <w:p w14:paraId="04A55342">
            <w:pPr>
              <w:spacing w:line="360" w:lineRule="auto"/>
              <w:rPr>
                <w:rFonts w:ascii="宋体" w:hAnsi="宋体" w:cs="宋体"/>
                <w:color w:val="auto"/>
                <w:szCs w:val="21"/>
                <w:highlight w:val="none"/>
              </w:rPr>
            </w:pPr>
            <w:r>
              <w:rPr>
                <w:rFonts w:hint="eastAsia" w:ascii="宋体" w:hAnsi="宋体" w:cs="宋体"/>
                <w:color w:val="auto"/>
                <w:szCs w:val="21"/>
                <w:highlight w:val="none"/>
              </w:rPr>
              <w:t>竞标保证金（人民币）：</w:t>
            </w:r>
            <w:r>
              <w:rPr>
                <w:rFonts w:hint="eastAsia" w:ascii="宋体" w:hAnsi="宋体"/>
                <w:color w:val="auto"/>
                <w:szCs w:val="21"/>
                <w:highlight w:val="none"/>
                <w:u w:val="single"/>
              </w:rPr>
              <w:t>0元</w:t>
            </w:r>
            <w:r>
              <w:rPr>
                <w:rFonts w:hint="eastAsia" w:ascii="宋体" w:hAnsi="宋体"/>
                <w:color w:val="auto"/>
                <w:szCs w:val="21"/>
                <w:highlight w:val="none"/>
              </w:rPr>
              <w:t>。</w:t>
            </w:r>
          </w:p>
          <w:p w14:paraId="5577B190">
            <w:pPr>
              <w:spacing w:line="360" w:lineRule="auto"/>
              <w:rPr>
                <w:rFonts w:ascii="宋体" w:hAnsi="宋体" w:cs="宋体"/>
                <w:color w:val="auto"/>
                <w:szCs w:val="21"/>
                <w:highlight w:val="none"/>
              </w:rPr>
            </w:pPr>
            <w:r>
              <w:rPr>
                <w:rFonts w:hint="eastAsia" w:ascii="宋体" w:hAnsi="宋体" w:cs="宋体"/>
                <w:color w:val="auto"/>
                <w:szCs w:val="21"/>
                <w:highlight w:val="none"/>
              </w:rPr>
              <w:t>竞标保证金的交纳方式：银行转账、支票、汇票、本票或者金融、担保机构出具的保函（包含电子保函），禁止采用现钞方式。采用银行转账方式的，在响应文件提交截止时间前交至指定账户并且到账</w:t>
            </w:r>
            <w:r>
              <w:rPr>
                <w:rFonts w:hint="eastAsia" w:ascii="宋体" w:hAnsi="宋体"/>
                <w:color w:val="auto"/>
                <w:szCs w:val="21"/>
                <w:highlight w:val="none"/>
              </w:rPr>
              <w:t>【</w:t>
            </w:r>
            <w:r>
              <w:rPr>
                <w:rFonts w:hint="eastAsia" w:ascii="宋体" w:hAnsi="宋体"/>
                <w:b/>
                <w:bCs/>
                <w:color w:val="auto"/>
                <w:szCs w:val="21"/>
                <w:highlight w:val="none"/>
              </w:rPr>
              <w:t>开户名称：云之龙咨询集团有限公司崇左分公司，开户银行：中信银行南宁东葛支行，银行账号：8113001013900075153</w:t>
            </w:r>
            <w:r>
              <w:rPr>
                <w:rFonts w:hint="eastAsia" w:ascii="宋体" w:hAnsi="宋体"/>
                <w:color w:val="auto"/>
                <w:szCs w:val="21"/>
                <w:highlight w:val="none"/>
              </w:rPr>
              <w:t>】</w:t>
            </w:r>
            <w:r>
              <w:rPr>
                <w:rFonts w:hint="eastAsia" w:ascii="宋体" w:hAnsi="宋体" w:cs="宋体"/>
                <w:color w:val="auto"/>
                <w:szCs w:val="21"/>
                <w:highlight w:val="none"/>
              </w:rPr>
              <w:t>；采用支票、汇票、本票或者保函（包含电子保函）等方式的，在响应文件提交截止时间前，供应商必须提交单独密封的支票、汇票、本票原件或者保函（包含电子保函）。</w:t>
            </w:r>
            <w:r>
              <w:rPr>
                <w:rFonts w:hint="eastAsia" w:ascii="宋体" w:hAnsi="宋体" w:cs="宋体"/>
                <w:b/>
                <w:bCs/>
                <w:color w:val="auto"/>
                <w:szCs w:val="21"/>
                <w:highlight w:val="none"/>
              </w:rPr>
              <w:t>否则视为无效竞标保证金。</w:t>
            </w:r>
          </w:p>
          <w:p w14:paraId="6BE3D00E">
            <w:pPr>
              <w:spacing w:line="360" w:lineRule="auto"/>
              <w:rPr>
                <w:rFonts w:ascii="宋体" w:hAnsi="宋体" w:cs="宋体"/>
                <w:color w:val="auto"/>
                <w:szCs w:val="21"/>
                <w:highlight w:val="none"/>
              </w:rPr>
            </w:pPr>
            <w:r>
              <w:rPr>
                <w:rFonts w:hint="eastAsia" w:ascii="宋体" w:hAnsi="宋体" w:cs="宋体"/>
                <w:color w:val="auto"/>
                <w:szCs w:val="21"/>
                <w:highlight w:val="none"/>
              </w:rPr>
              <w:t>相关要求：</w:t>
            </w:r>
          </w:p>
          <w:p w14:paraId="1DB194C3">
            <w:pPr>
              <w:spacing w:line="360" w:lineRule="auto"/>
              <w:rPr>
                <w:rFonts w:ascii="宋体" w:hAnsi="宋体" w:cs="宋体"/>
                <w:color w:val="auto"/>
                <w:szCs w:val="21"/>
                <w:highlight w:val="none"/>
              </w:rPr>
            </w:pPr>
            <w:r>
              <w:rPr>
                <w:rFonts w:hint="eastAsia" w:ascii="宋体" w:hAnsi="宋体" w:cs="宋体"/>
                <w:color w:val="auto"/>
                <w:szCs w:val="21"/>
                <w:highlight w:val="none"/>
              </w:rPr>
              <w:t>1.竞标保证金采用银行转账交纳方式的，在响应文件提交截止时间前交至指定账户并且到账，供应商应将银行转账底单的复印件作为竞标保证金提交凭证，放置于报价商务技术文件中，</w:t>
            </w:r>
            <w:r>
              <w:rPr>
                <w:rFonts w:hint="eastAsia" w:ascii="宋体" w:hAnsi="宋体" w:cs="宋体"/>
                <w:b/>
                <w:color w:val="auto"/>
                <w:szCs w:val="21"/>
                <w:highlight w:val="none"/>
              </w:rPr>
              <w:t>否则响应文件按无效处理</w:t>
            </w:r>
            <w:r>
              <w:rPr>
                <w:rFonts w:hint="eastAsia" w:ascii="宋体" w:hAnsi="宋体" w:cs="宋体"/>
                <w:color w:val="auto"/>
                <w:szCs w:val="21"/>
                <w:highlight w:val="none"/>
              </w:rPr>
              <w:t>。</w:t>
            </w:r>
          </w:p>
          <w:p w14:paraId="40A4B111">
            <w:pPr>
              <w:spacing w:line="360" w:lineRule="auto"/>
              <w:rPr>
                <w:rFonts w:ascii="宋体" w:hAnsi="宋体"/>
                <w:color w:val="auto"/>
                <w:szCs w:val="21"/>
                <w:highlight w:val="none"/>
              </w:rPr>
            </w:pPr>
            <w:r>
              <w:rPr>
                <w:rFonts w:hint="eastAsia" w:ascii="宋体" w:hAnsi="宋体"/>
                <w:color w:val="auto"/>
                <w:szCs w:val="21"/>
                <w:highlight w:val="none"/>
              </w:rPr>
              <w:t>2.竞标保证金采用支票、汇票、本票或者金融、担保机构出具的保函（包含电子保函）交纳方式的，供应商应将支票、汇票、本票或者金融、担保机构出具的保函（包含电子保函）的复印件作为竞标保证金提交凭证，放置于</w:t>
            </w:r>
            <w:r>
              <w:rPr>
                <w:rFonts w:hint="eastAsia" w:ascii="宋体" w:hAnsi="宋体" w:cs="宋体"/>
                <w:color w:val="auto"/>
                <w:szCs w:val="21"/>
                <w:highlight w:val="none"/>
              </w:rPr>
              <w:t>报价商务技术文件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否则响应文件按无效处理</w:t>
            </w:r>
            <w:r>
              <w:rPr>
                <w:rFonts w:hint="eastAsia" w:ascii="宋体" w:hAnsi="宋体"/>
                <w:color w:val="auto"/>
                <w:szCs w:val="21"/>
                <w:highlight w:val="none"/>
              </w:rPr>
              <w:t>。供应商必须</w:t>
            </w:r>
            <w:r>
              <w:rPr>
                <w:rFonts w:hint="eastAsia"/>
                <w:color w:val="auto"/>
                <w:highlight w:val="none"/>
              </w:rPr>
              <w:t>在响应文件提交截止时间前采用现场或邮寄方式（现场提交地址：</w:t>
            </w:r>
            <w:r>
              <w:rPr>
                <w:rFonts w:hint="eastAsia"/>
                <w:color w:val="auto"/>
                <w:highlight w:val="none"/>
                <w:u w:val="single"/>
              </w:rPr>
              <w:t xml:space="preserve"> 广西崇左市友谊大道与城南八路交叉口东南角处（崇左建设大厦/百成财富2#楼十三层）</w:t>
            </w:r>
            <w:r>
              <w:rPr>
                <w:rFonts w:hint="eastAsia"/>
                <w:color w:val="auto"/>
                <w:highlight w:val="none"/>
              </w:rPr>
              <w:t>；邮寄地址：</w:t>
            </w:r>
            <w:r>
              <w:rPr>
                <w:rFonts w:hint="eastAsia"/>
                <w:color w:val="auto"/>
                <w:highlight w:val="none"/>
                <w:u w:val="single"/>
              </w:rPr>
              <w:t>广西崇左市友谊大道与城南八路交叉口东南角处（崇左建设大厦/百成财富2#楼十三层），</w:t>
            </w:r>
            <w:r>
              <w:rPr>
                <w:rFonts w:hint="eastAsia"/>
                <w:color w:val="auto"/>
                <w:highlight w:val="none"/>
              </w:rPr>
              <w:t>收件人：</w:t>
            </w:r>
            <w:r>
              <w:rPr>
                <w:rFonts w:hint="eastAsia"/>
                <w:color w:val="auto"/>
                <w:highlight w:val="none"/>
                <w:u w:val="single"/>
              </w:rPr>
              <w:t xml:space="preserve"> 黄冬妮 </w:t>
            </w:r>
            <w:r>
              <w:rPr>
                <w:rFonts w:hint="eastAsia"/>
                <w:color w:val="auto"/>
                <w:highlight w:val="none"/>
              </w:rPr>
              <w:t>，联系方式：</w:t>
            </w:r>
            <w:r>
              <w:rPr>
                <w:rFonts w:hint="eastAsia"/>
                <w:color w:val="auto"/>
                <w:highlight w:val="none"/>
                <w:u w:val="single"/>
              </w:rPr>
              <w:t xml:space="preserve"> 0771-7835598、0771-7833699</w:t>
            </w:r>
            <w:r>
              <w:rPr>
                <w:rFonts w:hint="eastAsia"/>
                <w:color w:val="auto"/>
                <w:highlight w:val="none"/>
              </w:rPr>
              <w:t>）</w:t>
            </w:r>
            <w:r>
              <w:rPr>
                <w:rFonts w:hint="eastAsia" w:ascii="宋体" w:hAnsi="宋体"/>
                <w:color w:val="auto"/>
                <w:szCs w:val="21"/>
                <w:highlight w:val="none"/>
              </w:rPr>
              <w:t>将</w:t>
            </w:r>
            <w:r>
              <w:rPr>
                <w:rFonts w:hint="eastAsia" w:ascii="宋体" w:hAnsi="宋体" w:cs="宋体"/>
                <w:color w:val="auto"/>
                <w:szCs w:val="21"/>
                <w:highlight w:val="none"/>
              </w:rPr>
              <w:t>单独密封的</w:t>
            </w:r>
            <w:r>
              <w:rPr>
                <w:rFonts w:hint="eastAsia" w:ascii="宋体" w:hAnsi="宋体"/>
                <w:color w:val="auto"/>
                <w:szCs w:val="21"/>
                <w:highlight w:val="none"/>
              </w:rPr>
              <w:t>支票、汇票、本票或者金融、担保机构出具的保函原件（包含电子保函）提交给采购人或者采购代理机构，由采购人或者采购代理机构向供应商出具回执（邮寄方式的除外），并妥善保管。</w:t>
            </w:r>
          </w:p>
          <w:p w14:paraId="0929A3CF">
            <w:pPr>
              <w:spacing w:line="360" w:lineRule="auto"/>
              <w:rPr>
                <w:rFonts w:ascii="宋体" w:hAnsi="宋体" w:cs="宋体"/>
                <w:b/>
                <w:color w:val="auto"/>
                <w:szCs w:val="21"/>
                <w:highlight w:val="none"/>
              </w:rPr>
            </w:pPr>
            <w:r>
              <w:rPr>
                <w:rFonts w:hint="eastAsia" w:ascii="宋体" w:hAnsi="宋体" w:cs="宋体"/>
                <w:color w:val="auto"/>
                <w:szCs w:val="21"/>
                <w:highlight w:val="none"/>
              </w:rPr>
              <w:t>3.供应商为联合体的，可以由联合体中的一方或者多方共同交纳谈判保证金，其交纳的保证金对联合体各方均具有约束力。</w:t>
            </w:r>
          </w:p>
          <w:p w14:paraId="1D7DEC61">
            <w:pPr>
              <w:spacing w:line="360" w:lineRule="auto"/>
              <w:rPr>
                <w:rFonts w:ascii="宋体" w:hAnsi="宋体" w:cs="宋体"/>
                <w:b/>
                <w:color w:val="auto"/>
                <w:szCs w:val="21"/>
                <w:highlight w:val="none"/>
              </w:rPr>
            </w:pPr>
            <w:r>
              <w:rPr>
                <w:rFonts w:hint="eastAsia" w:ascii="宋体" w:hAnsi="宋体" w:cs="宋体"/>
                <w:b/>
                <w:color w:val="auto"/>
                <w:szCs w:val="21"/>
                <w:highlight w:val="none"/>
              </w:rPr>
              <w:t xml:space="preserve">备注： </w:t>
            </w:r>
          </w:p>
          <w:p w14:paraId="02E21737">
            <w:pPr>
              <w:spacing w:line="360" w:lineRule="auto"/>
              <w:ind w:firstLine="422"/>
              <w:jc w:val="left"/>
              <w:rPr>
                <w:rFonts w:ascii="宋体" w:hAnsi="宋体" w:cs="宋体"/>
                <w:b/>
                <w:color w:val="auto"/>
                <w:szCs w:val="21"/>
                <w:highlight w:val="none"/>
              </w:rPr>
            </w:pPr>
            <w:r>
              <w:rPr>
                <w:rFonts w:hint="eastAsia" w:ascii="宋体" w:hAnsi="宋体" w:cs="宋体"/>
                <w:b/>
                <w:color w:val="auto"/>
                <w:szCs w:val="21"/>
                <w:highlight w:val="none"/>
              </w:rPr>
              <w:t>1.竞标保证金在响应文件提交截止时间后提交的，或者不按规定交纳方式交纳的，或者未足额交纳的（包含保函额度不足的），视为无效竞标保证金。</w:t>
            </w:r>
          </w:p>
          <w:p w14:paraId="36A14184">
            <w:pPr>
              <w:spacing w:line="360" w:lineRule="auto"/>
              <w:ind w:firstLine="422"/>
              <w:jc w:val="left"/>
              <w:rPr>
                <w:rFonts w:ascii="宋体" w:hAnsi="宋体" w:cs="宋体"/>
                <w:b/>
                <w:color w:val="auto"/>
                <w:szCs w:val="21"/>
                <w:highlight w:val="none"/>
              </w:rPr>
            </w:pPr>
            <w:r>
              <w:rPr>
                <w:rFonts w:hint="eastAsia" w:ascii="宋体" w:hAnsi="宋体" w:cs="宋体"/>
                <w:b/>
                <w:color w:val="auto"/>
                <w:szCs w:val="21"/>
                <w:highlight w:val="none"/>
              </w:rPr>
              <w:t>2.供应商采用现钞方式或者从个人账户（自然人竞标除外）转出的竞标保证金，视为无效竞标保证金。</w:t>
            </w:r>
          </w:p>
          <w:p w14:paraId="635B490F">
            <w:pPr>
              <w:spacing w:line="360" w:lineRule="auto"/>
              <w:ind w:firstLine="422"/>
              <w:jc w:val="left"/>
              <w:rPr>
                <w:rFonts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3.支票、汇票或者本票出现无效或者背书情形的，视为无效竞标保证金。</w:t>
            </w:r>
          </w:p>
          <w:p w14:paraId="400EA8B4">
            <w:pPr>
              <w:spacing w:line="360" w:lineRule="auto"/>
              <w:ind w:firstLine="422"/>
              <w:jc w:val="left"/>
              <w:rPr>
                <w:rFonts w:ascii="宋体" w:hAnsi="宋体" w:cs="宋体"/>
                <w:b/>
                <w:color w:val="auto"/>
                <w:szCs w:val="21"/>
                <w:highlight w:val="none"/>
              </w:rPr>
            </w:pPr>
            <w:r>
              <w:rPr>
                <w:rFonts w:hint="eastAsia" w:ascii="宋体" w:hAnsi="宋体" w:cs="宋体"/>
                <w:b/>
                <w:color w:val="auto"/>
                <w:szCs w:val="21"/>
                <w:highlight w:val="none"/>
              </w:rPr>
              <w:t>4.保函（包含电子保函）有效期低于竞标有效期的，视为无效竞标保证金。</w:t>
            </w:r>
          </w:p>
          <w:p w14:paraId="0D6ADC95">
            <w:pPr>
              <w:spacing w:line="360" w:lineRule="auto"/>
              <w:rPr>
                <w:rFonts w:ascii="宋体" w:hAnsi="宋体"/>
                <w:color w:val="auto"/>
                <w:szCs w:val="21"/>
                <w:highlight w:val="none"/>
              </w:rPr>
            </w:pPr>
            <w:r>
              <w:rPr>
                <w:rFonts w:hint="eastAsia" w:ascii="宋体" w:hAnsi="宋体" w:cs="宋体"/>
                <w:b/>
                <w:color w:val="auto"/>
                <w:szCs w:val="21"/>
                <w:highlight w:val="none"/>
              </w:rPr>
              <w:t>5.竞标保证金采用金融、担保机构出具的保函（包含电子保函）为有条件保函的，视为无效竞标保证金。</w:t>
            </w:r>
          </w:p>
        </w:tc>
      </w:tr>
      <w:tr w14:paraId="2DB3C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B8DAF3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19</w:t>
            </w:r>
          </w:p>
        </w:tc>
        <w:tc>
          <w:tcPr>
            <w:tcW w:w="8045" w:type="dxa"/>
            <w:tcBorders>
              <w:top w:val="single" w:color="000000" w:sz="4" w:space="0"/>
              <w:left w:val="single" w:color="000000" w:sz="4" w:space="0"/>
              <w:bottom w:val="single" w:color="000000" w:sz="4" w:space="0"/>
              <w:right w:val="single" w:color="000000" w:sz="4" w:space="0"/>
            </w:tcBorders>
            <w:vAlign w:val="center"/>
          </w:tcPr>
          <w:p w14:paraId="45883F67">
            <w:pPr>
              <w:spacing w:line="360" w:lineRule="auto"/>
              <w:rPr>
                <w:rFonts w:ascii="宋体" w:hAnsi="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p w14:paraId="16F52B83">
            <w:pPr>
              <w:spacing w:line="360" w:lineRule="auto"/>
              <w:rPr>
                <w:color w:val="auto"/>
                <w:highlight w:val="none"/>
              </w:rPr>
            </w:pPr>
            <w:r>
              <w:rPr>
                <w:rFonts w:hint="eastAsia" w:ascii="宋体" w:hAnsi="宋体"/>
                <w:color w:val="auto"/>
                <w:szCs w:val="21"/>
                <w:highlight w:val="none"/>
              </w:rPr>
              <w:t>□</w:t>
            </w:r>
            <w:r>
              <w:rPr>
                <w:rFonts w:hint="eastAsia"/>
                <w:color w:val="auto"/>
                <w:highlight w:val="none"/>
              </w:rPr>
              <w:t>本项目接受电子备份响应文件。</w:t>
            </w:r>
          </w:p>
          <w:p w14:paraId="5692F2F1">
            <w:pPr>
              <w:spacing w:line="360" w:lineRule="auto"/>
              <w:rPr>
                <w:color w:val="auto"/>
                <w:highlight w:val="none"/>
              </w:rPr>
            </w:pPr>
            <w:r>
              <w:rPr>
                <w:rFonts w:hint="eastAsia"/>
                <w:color w:val="auto"/>
                <w:highlight w:val="none"/>
              </w:rPr>
              <w:t>电子备份响应文件提交方式：供应商可以在响应文件提交截止时间前采用以下方式向采购代理机构提交电子备份响应文件，并确保采购代理机构在截标前收到该文件（通过“广西政府采购云平台电子投标客户端”在线编制生成且后缀名为“bfbs”的文件）：</w:t>
            </w:r>
          </w:p>
          <w:p w14:paraId="5E7EE3C9">
            <w:pPr>
              <w:spacing w:line="360" w:lineRule="auto"/>
              <w:rPr>
                <w:color w:val="auto"/>
                <w:highlight w:val="none"/>
              </w:rPr>
            </w:pPr>
            <w:r>
              <w:rPr>
                <w:rFonts w:hint="eastAsia"/>
                <w:color w:val="auto"/>
                <w:highlight w:val="none"/>
              </w:rPr>
              <w:t>（1）现场提交方式，应采用U盘进行存储，提交地址：广西崇左市友谊大道与城南八路交叉口东南角处（崇左建设大厦/百成财富2#楼十三层）云之龙咨询集团有限公司招标部；外包装上注明供应商名称、项目名称及项目编号（外包装不作密封要求）。</w:t>
            </w:r>
          </w:p>
          <w:p w14:paraId="44F586DD">
            <w:pPr>
              <w:spacing w:line="360" w:lineRule="auto"/>
              <w:rPr>
                <w:color w:val="auto"/>
                <w:highlight w:val="none"/>
              </w:rPr>
            </w:pPr>
            <w:r>
              <w:rPr>
                <w:rFonts w:hint="eastAsia"/>
                <w:color w:val="auto"/>
                <w:highlight w:val="none"/>
              </w:rPr>
              <w:t>（2）电子邮件方式，接收电子备份响应文件的电子邮箱为：yunlongcz@163.com；</w:t>
            </w:r>
          </w:p>
          <w:p w14:paraId="1A4394E5">
            <w:pPr>
              <w:spacing w:line="360" w:lineRule="auto"/>
              <w:ind w:firstLine="420"/>
              <w:rPr>
                <w:rFonts w:ascii="宋体" w:hAnsi="宋体"/>
                <w:color w:val="auto"/>
                <w:szCs w:val="21"/>
                <w:highlight w:val="none"/>
              </w:rPr>
            </w:pPr>
            <w:r>
              <w:rPr>
                <w:rFonts w:hint="eastAsia"/>
                <w:color w:val="auto"/>
                <w:highlight w:val="none"/>
              </w:rPr>
              <w:t>供应商未按上述规定提交的电子备份响应文件，采购代理机构不予接收或承认。若电子加密响应文件解密成功，电子备份响应文件自动失效。若供应商无法在规定的时间内解密响应文件或者解密失败的，采购代理机构将电子备份响应文件按照“政府采购云平台”操作规范上传至“政府采购云平台”，电子备份响应文件上传成功后，供应商原上传的电子加密响应文件自动失效。</w:t>
            </w:r>
            <w:r>
              <w:rPr>
                <w:rFonts w:hint="eastAsia"/>
                <w:b/>
                <w:bCs/>
                <w:color w:val="auto"/>
                <w:highlight w:val="none"/>
              </w:rPr>
              <w:t>若供应商在规定时间内无法解密或解密失败且未提供电子备份响应文件的（包含提供的电子备份响应文件无效或无法解读的情况），供应商的响应文件作无效处理。</w:t>
            </w:r>
          </w:p>
        </w:tc>
      </w:tr>
      <w:tr w14:paraId="59DC2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53479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8045" w:type="dxa"/>
            <w:tcBorders>
              <w:top w:val="single" w:color="000000" w:sz="4" w:space="0"/>
              <w:left w:val="single" w:color="000000" w:sz="4" w:space="0"/>
              <w:bottom w:val="single" w:color="000000" w:sz="4" w:space="0"/>
              <w:right w:val="single" w:color="000000" w:sz="4" w:space="0"/>
            </w:tcBorders>
            <w:vAlign w:val="center"/>
          </w:tcPr>
          <w:p w14:paraId="29186B97">
            <w:pPr>
              <w:spacing w:line="360" w:lineRule="auto"/>
              <w:contextualSpacing/>
              <w:jc w:val="left"/>
              <w:rPr>
                <w:color w:val="auto"/>
                <w:highlight w:val="none"/>
              </w:rPr>
            </w:pPr>
            <w:r>
              <w:rPr>
                <w:rFonts w:hint="eastAsia"/>
                <w:color w:val="auto"/>
                <w:highlight w:val="none"/>
              </w:rPr>
              <w:t>响应文件提交截止时间：详见竞争性谈判公告。</w:t>
            </w:r>
          </w:p>
          <w:p w14:paraId="28E44FF5">
            <w:pPr>
              <w:spacing w:line="360" w:lineRule="auto"/>
              <w:contextualSpacing/>
              <w:jc w:val="left"/>
              <w:rPr>
                <w:color w:val="auto"/>
                <w:highlight w:val="none"/>
              </w:rPr>
            </w:pPr>
            <w:r>
              <w:rPr>
                <w:rFonts w:hint="eastAsia"/>
                <w:color w:val="auto"/>
                <w:highlight w:val="none"/>
              </w:rPr>
              <w:t>响应文件提交地点：详见竞争性谈判公告。</w:t>
            </w:r>
          </w:p>
        </w:tc>
      </w:tr>
      <w:tr w14:paraId="446AC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D639DD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24.1</w:t>
            </w:r>
          </w:p>
        </w:tc>
        <w:tc>
          <w:tcPr>
            <w:tcW w:w="8045" w:type="dxa"/>
            <w:tcBorders>
              <w:top w:val="single" w:color="000000" w:sz="4" w:space="0"/>
              <w:left w:val="single" w:color="000000" w:sz="4" w:space="0"/>
              <w:bottom w:val="single" w:color="000000" w:sz="4" w:space="0"/>
              <w:right w:val="single" w:color="000000" w:sz="4" w:space="0"/>
            </w:tcBorders>
            <w:vAlign w:val="center"/>
          </w:tcPr>
          <w:p w14:paraId="21AB51B8">
            <w:pPr>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谈判小组的人数：</w:t>
            </w:r>
            <w:r>
              <w:rPr>
                <w:rFonts w:hint="eastAsia" w:ascii="宋体" w:hAnsi="宋体" w:cs="宋体"/>
                <w:color w:val="auto"/>
                <w:szCs w:val="21"/>
                <w:highlight w:val="none"/>
                <w:u w:val="single"/>
              </w:rPr>
              <w:t xml:space="preserve">  不少于3  </w:t>
            </w:r>
            <w:r>
              <w:rPr>
                <w:rFonts w:hint="eastAsia" w:ascii="宋体" w:hAnsi="宋体" w:cs="宋体"/>
                <w:color w:val="auto"/>
                <w:szCs w:val="21"/>
                <w:highlight w:val="none"/>
              </w:rPr>
              <w:t>人。</w:t>
            </w:r>
          </w:p>
        </w:tc>
      </w:tr>
      <w:tr w14:paraId="3C4C5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4FB57CB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8045" w:type="dxa"/>
            <w:tcBorders>
              <w:top w:val="single" w:color="000000" w:sz="4" w:space="0"/>
              <w:left w:val="single" w:color="000000" w:sz="4" w:space="0"/>
              <w:bottom w:val="single" w:color="000000" w:sz="4" w:space="0"/>
              <w:right w:val="single" w:color="000000" w:sz="4" w:space="0"/>
            </w:tcBorders>
            <w:vAlign w:val="center"/>
          </w:tcPr>
          <w:p w14:paraId="007DAA56">
            <w:pPr>
              <w:spacing w:line="360" w:lineRule="auto"/>
              <w:jc w:val="left"/>
              <w:rPr>
                <w:color w:val="auto"/>
                <w:highlight w:val="none"/>
              </w:rPr>
            </w:pPr>
            <w:r>
              <w:rPr>
                <w:rFonts w:hint="eastAsia"/>
                <w:color w:val="auto"/>
                <w:highlight w:val="none"/>
              </w:rPr>
              <w:t>首次响应文件开启时间详见“竞争性谈判公告”</w:t>
            </w:r>
          </w:p>
          <w:p w14:paraId="6FFC4768">
            <w:pPr>
              <w:spacing w:line="360" w:lineRule="auto"/>
              <w:jc w:val="left"/>
              <w:rPr>
                <w:color w:val="auto"/>
                <w:highlight w:val="none"/>
              </w:rPr>
            </w:pPr>
            <w:r>
              <w:rPr>
                <w:rFonts w:hint="eastAsia"/>
                <w:color w:val="auto"/>
                <w:highlight w:val="none"/>
              </w:rPr>
              <w:t>首次响应文件解密时间：</w:t>
            </w:r>
            <w:r>
              <w:rPr>
                <w:color w:val="auto"/>
                <w:highlight w:val="none"/>
                <w:u w:val="single"/>
              </w:rPr>
              <w:t xml:space="preserve"> </w:t>
            </w:r>
            <w:r>
              <w:rPr>
                <w:rFonts w:hint="eastAsia"/>
                <w:color w:val="auto"/>
                <w:highlight w:val="none"/>
                <w:u w:val="single"/>
              </w:rPr>
              <w:t>30</w:t>
            </w:r>
            <w:r>
              <w:rPr>
                <w:color w:val="auto"/>
                <w:highlight w:val="none"/>
                <w:u w:val="single"/>
              </w:rPr>
              <w:t xml:space="preserve"> </w:t>
            </w:r>
            <w:r>
              <w:rPr>
                <w:rFonts w:hint="eastAsia"/>
                <w:color w:val="auto"/>
                <w:highlight w:val="none"/>
              </w:rPr>
              <w:t>分钟。</w:t>
            </w:r>
          </w:p>
        </w:tc>
      </w:tr>
      <w:tr w14:paraId="4ED11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Merge w:val="restart"/>
            <w:tcBorders>
              <w:top w:val="single" w:color="000000" w:sz="4" w:space="0"/>
              <w:left w:val="single" w:color="000000" w:sz="4" w:space="0"/>
              <w:bottom w:val="single" w:color="000000" w:sz="4" w:space="0"/>
              <w:right w:val="single" w:color="000000" w:sz="4" w:space="0"/>
            </w:tcBorders>
            <w:vAlign w:val="center"/>
          </w:tcPr>
          <w:p w14:paraId="58348C36">
            <w:pPr>
              <w:spacing w:line="360" w:lineRule="auto"/>
              <w:jc w:val="center"/>
              <w:rPr>
                <w:rFonts w:ascii="宋体" w:hAnsi="宋体" w:cs="宋体"/>
                <w:color w:val="auto"/>
                <w:szCs w:val="21"/>
                <w:highlight w:val="none"/>
              </w:rPr>
            </w:pPr>
            <w:r>
              <w:rPr>
                <w:rFonts w:ascii="宋体" w:hAnsi="宋体" w:cs="宋体"/>
                <w:color w:val="auto"/>
                <w:szCs w:val="21"/>
                <w:highlight w:val="none"/>
              </w:rPr>
              <w:t>26</w:t>
            </w:r>
          </w:p>
        </w:tc>
        <w:tc>
          <w:tcPr>
            <w:tcW w:w="8045" w:type="dxa"/>
            <w:tcBorders>
              <w:top w:val="single" w:color="000000" w:sz="4" w:space="0"/>
              <w:left w:val="single" w:color="000000" w:sz="4" w:space="0"/>
              <w:bottom w:val="single" w:color="000000" w:sz="4" w:space="0"/>
              <w:right w:val="single" w:color="000000" w:sz="4" w:space="0"/>
            </w:tcBorders>
            <w:vAlign w:val="center"/>
          </w:tcPr>
          <w:p w14:paraId="72F3E44E">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评审价相同时，按照最后报价由低到高顺序依次推荐；最后报价相同时，按节能、环保产品累计金额由高到低顺序依次推荐；节能、环保产品累计金额也相同时，按以下原则确定成交候选人的顺序：</w:t>
            </w:r>
          </w:p>
          <w:p w14:paraId="118A8BBC">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☑带“▲”的实质性要求正偏离项数多的优先、均无正偏离或者正偏离项数一致时负偏离项数少的优先、保修期长优先、交货期短优先、故障响应时间短优先的顺序推荐。</w:t>
            </w:r>
          </w:p>
          <w:p w14:paraId="0B1F6778">
            <w:pPr>
              <w:spacing w:line="360" w:lineRule="auto"/>
              <w:rPr>
                <w:rFonts w:ascii="宋体" w:hAnsi="宋体" w:cs="宋体"/>
                <w:color w:val="auto"/>
                <w:szCs w:val="21"/>
                <w:highlight w:val="none"/>
              </w:rPr>
            </w:pPr>
            <w:r>
              <w:rPr>
                <w:rFonts w:hint="eastAsia" w:ascii="宋体" w:hAnsi="宋体" w:cs="宋体"/>
                <w:color w:val="auto"/>
                <w:szCs w:val="21"/>
                <w:highlight w:val="none"/>
              </w:rPr>
              <w:t>□由谈判小组推荐代表随机抽取。</w:t>
            </w:r>
          </w:p>
        </w:tc>
      </w:tr>
      <w:tr w14:paraId="31EA6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tcBorders>
              <w:top w:val="single" w:color="000000" w:sz="4" w:space="0"/>
              <w:left w:val="single" w:color="000000" w:sz="4" w:space="0"/>
              <w:bottom w:val="single" w:color="000000" w:sz="4" w:space="0"/>
              <w:right w:val="single" w:color="000000" w:sz="4" w:space="0"/>
            </w:tcBorders>
            <w:vAlign w:val="center"/>
          </w:tcPr>
          <w:p w14:paraId="46101FA7">
            <w:pPr>
              <w:spacing w:line="360" w:lineRule="auto"/>
              <w:jc w:val="center"/>
              <w:rPr>
                <w:rFonts w:ascii="宋体" w:hAnsi="宋体" w:cs="宋体"/>
                <w:color w:val="auto"/>
                <w:szCs w:val="21"/>
                <w:highlight w:val="none"/>
              </w:rPr>
            </w:pPr>
          </w:p>
        </w:tc>
        <w:tc>
          <w:tcPr>
            <w:tcW w:w="8045" w:type="dxa"/>
            <w:tcBorders>
              <w:top w:val="single" w:color="000000" w:sz="4" w:space="0"/>
              <w:left w:val="single" w:color="000000" w:sz="4" w:space="0"/>
              <w:bottom w:val="single" w:color="000000" w:sz="4" w:space="0"/>
              <w:right w:val="single" w:color="000000" w:sz="4" w:space="0"/>
            </w:tcBorders>
            <w:vAlign w:val="center"/>
          </w:tcPr>
          <w:p w14:paraId="739B1CFC">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商务要求评审中允许负偏离的条款数为</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w:t>
            </w:r>
          </w:p>
          <w:p w14:paraId="20B3EF27">
            <w:pPr>
              <w:spacing w:line="360" w:lineRule="auto"/>
              <w:rPr>
                <w:rFonts w:ascii="宋体" w:hAnsi="宋体" w:cs="宋体"/>
                <w:color w:val="auto"/>
                <w:szCs w:val="21"/>
                <w:highlight w:val="none"/>
              </w:rPr>
            </w:pPr>
            <w:r>
              <w:rPr>
                <w:rFonts w:hint="eastAsia" w:ascii="宋体" w:hAnsi="宋体" w:cs="宋体"/>
                <w:b/>
                <w:bCs/>
                <w:color w:val="auto"/>
                <w:szCs w:val="21"/>
                <w:highlight w:val="none"/>
              </w:rPr>
              <w:t>技术要求评审中允许负偏离的条款数为</w:t>
            </w:r>
            <w:r>
              <w:rPr>
                <w:rFonts w:hint="eastAsia" w:ascii="宋体" w:hAnsi="宋体" w:cs="宋体"/>
                <w:b/>
                <w:bCs/>
                <w:color w:val="auto"/>
                <w:szCs w:val="21"/>
                <w:highlight w:val="none"/>
                <w:u w:val="single"/>
              </w:rPr>
              <w:t xml:space="preserve"> 3  </w:t>
            </w:r>
            <w:r>
              <w:rPr>
                <w:rFonts w:hint="eastAsia" w:ascii="宋体" w:hAnsi="宋体" w:cs="宋体"/>
                <w:b/>
                <w:bCs/>
                <w:color w:val="auto"/>
                <w:szCs w:val="21"/>
                <w:highlight w:val="none"/>
              </w:rPr>
              <w:t>项。</w:t>
            </w:r>
          </w:p>
        </w:tc>
      </w:tr>
      <w:tr w14:paraId="5EF6D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92C1B5F">
            <w:pPr>
              <w:spacing w:line="360" w:lineRule="auto"/>
              <w:jc w:val="center"/>
              <w:rPr>
                <w:rFonts w:ascii="宋体" w:hAnsi="宋体" w:cs="宋体"/>
                <w:color w:val="auto"/>
                <w:szCs w:val="21"/>
                <w:highlight w:val="none"/>
              </w:rPr>
            </w:pPr>
            <w:r>
              <w:rPr>
                <w:rFonts w:ascii="宋体" w:hAnsi="宋体" w:cs="宋体"/>
                <w:color w:val="auto"/>
                <w:szCs w:val="21"/>
                <w:highlight w:val="none"/>
              </w:rPr>
              <w:t>28.1</w:t>
            </w:r>
          </w:p>
        </w:tc>
        <w:tc>
          <w:tcPr>
            <w:tcW w:w="8045" w:type="dxa"/>
            <w:tcBorders>
              <w:top w:val="single" w:color="000000" w:sz="4" w:space="0"/>
              <w:left w:val="single" w:color="000000" w:sz="4" w:space="0"/>
              <w:bottom w:val="single" w:color="000000" w:sz="4" w:space="0"/>
              <w:right w:val="single" w:color="000000" w:sz="4" w:space="0"/>
            </w:tcBorders>
            <w:vAlign w:val="center"/>
          </w:tcPr>
          <w:p w14:paraId="7C22D29E">
            <w:pPr>
              <w:spacing w:line="360" w:lineRule="auto"/>
              <w:rPr>
                <w:rFonts w:ascii="宋体" w:hAnsi="宋体" w:cs="宋体"/>
                <w:color w:val="auto"/>
                <w:szCs w:val="21"/>
                <w:highlight w:val="none"/>
              </w:rPr>
            </w:pPr>
            <w:r>
              <w:rPr>
                <w:rFonts w:hint="eastAsia" w:ascii="宋体" w:hAnsi="宋体"/>
                <w:color w:val="auto"/>
                <w:szCs w:val="21"/>
                <w:highlight w:val="none"/>
              </w:rPr>
              <w:t>☑本项目不收取履约保证金。</w:t>
            </w:r>
          </w:p>
        </w:tc>
      </w:tr>
      <w:tr w14:paraId="5312E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FF0A9DF">
            <w:pPr>
              <w:spacing w:line="360" w:lineRule="auto"/>
              <w:jc w:val="center"/>
              <w:rPr>
                <w:rFonts w:ascii="宋体" w:hAnsi="宋体" w:cs="宋体"/>
                <w:color w:val="auto"/>
                <w:szCs w:val="21"/>
                <w:highlight w:val="none"/>
              </w:rPr>
            </w:pPr>
            <w:r>
              <w:rPr>
                <w:rFonts w:ascii="宋体" w:hAnsi="宋体" w:cs="宋体"/>
                <w:color w:val="auto"/>
                <w:szCs w:val="21"/>
                <w:highlight w:val="none"/>
              </w:rPr>
              <w:t>29</w:t>
            </w:r>
            <w:r>
              <w:rPr>
                <w:rFonts w:hint="eastAsia" w:ascii="宋体" w:hAnsi="宋体" w:cs="宋体"/>
                <w:color w:val="auto"/>
                <w:szCs w:val="21"/>
                <w:highlight w:val="none"/>
              </w:rPr>
              <w:t>.1</w:t>
            </w:r>
          </w:p>
        </w:tc>
        <w:tc>
          <w:tcPr>
            <w:tcW w:w="8045" w:type="dxa"/>
            <w:tcBorders>
              <w:top w:val="single" w:color="000000" w:sz="4" w:space="0"/>
              <w:left w:val="single" w:color="000000" w:sz="4" w:space="0"/>
              <w:bottom w:val="single" w:color="000000" w:sz="4" w:space="0"/>
              <w:right w:val="single" w:color="000000" w:sz="4" w:space="0"/>
            </w:tcBorders>
            <w:vAlign w:val="center"/>
          </w:tcPr>
          <w:p w14:paraId="0EB1B3AB">
            <w:pPr>
              <w:spacing w:line="360" w:lineRule="auto"/>
              <w:rPr>
                <w:rFonts w:ascii="宋体" w:hAnsi="宋体"/>
                <w:color w:val="auto"/>
                <w:szCs w:val="21"/>
                <w:highlight w:val="none"/>
              </w:rPr>
            </w:pPr>
            <w:r>
              <w:rPr>
                <w:rFonts w:hint="eastAsia" w:ascii="宋体" w:hAnsi="宋体"/>
                <w:color w:val="auto"/>
                <w:szCs w:val="21"/>
                <w:highlight w:val="none"/>
              </w:rPr>
              <w:t xml:space="preserve">签订合同携带的证明材料： </w:t>
            </w:r>
          </w:p>
          <w:p w14:paraId="524670ED">
            <w:pPr>
              <w:spacing w:line="360" w:lineRule="auto"/>
              <w:rPr>
                <w:rFonts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73670AB6">
            <w:pPr>
              <w:spacing w:line="360" w:lineRule="auto"/>
              <w:rPr>
                <w:rFonts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040AF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744E51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8045" w:type="dxa"/>
            <w:tcBorders>
              <w:top w:val="single" w:color="000000" w:sz="4" w:space="0"/>
              <w:left w:val="single" w:color="000000" w:sz="4" w:space="0"/>
              <w:bottom w:val="single" w:color="000000" w:sz="4" w:space="0"/>
              <w:right w:val="single" w:color="000000" w:sz="4" w:space="0"/>
            </w:tcBorders>
            <w:vAlign w:val="center"/>
          </w:tcPr>
          <w:p w14:paraId="49156870">
            <w:pPr>
              <w:spacing w:line="360" w:lineRule="auto"/>
              <w:rPr>
                <w:rFonts w:ascii="宋体" w:hAnsi="宋体" w:cs="宋体"/>
                <w:color w:val="auto"/>
                <w:szCs w:val="21"/>
                <w:highlight w:val="none"/>
              </w:rPr>
            </w:pPr>
            <w:r>
              <w:rPr>
                <w:rFonts w:hint="eastAsia" w:ascii="宋体" w:hAnsi="宋体" w:cs="宋体"/>
                <w:color w:val="auto"/>
                <w:szCs w:val="21"/>
                <w:highlight w:val="none"/>
              </w:rPr>
              <w:t>接收质疑函方式：以书面形式。</w:t>
            </w:r>
          </w:p>
          <w:p w14:paraId="55547CA8">
            <w:pPr>
              <w:pStyle w:val="244"/>
              <w:spacing w:line="360" w:lineRule="auto"/>
              <w:rPr>
                <w:rFonts w:hAnsi="宋体" w:cs="宋体"/>
                <w:color w:val="auto"/>
                <w:sz w:val="21"/>
                <w:highlight w:val="none"/>
              </w:rPr>
            </w:pPr>
            <w:r>
              <w:rPr>
                <w:rFonts w:hint="eastAsia" w:hAnsi="宋体" w:cs="宋体"/>
                <w:color w:val="auto"/>
                <w:sz w:val="21"/>
                <w:highlight w:val="none"/>
              </w:rPr>
              <w:t>质疑联系部门及联系方式：</w:t>
            </w:r>
            <w:r>
              <w:rPr>
                <w:rFonts w:hint="eastAsia" w:hAnsi="宋体" w:cs="宋体"/>
                <w:color w:val="auto"/>
                <w:sz w:val="21"/>
                <w:highlight w:val="none"/>
                <w:u w:val="single"/>
              </w:rPr>
              <w:t>云之龙咨询集团有限公司</w:t>
            </w:r>
            <w:r>
              <w:rPr>
                <w:rFonts w:hint="eastAsia" w:hAnsi="宋体" w:cs="宋体"/>
                <w:color w:val="auto"/>
                <w:sz w:val="21"/>
                <w:highlight w:val="none"/>
              </w:rPr>
              <w:t>，联系电话：0771-7835598、0771-7833699，通讯地址：广西崇左市友谊大道与城南八路交叉口东南角处（崇左建设大厦/百成财富2#楼十三层）云之龙咨询集团有限公司。</w:t>
            </w:r>
          </w:p>
          <w:p w14:paraId="253F2F6B">
            <w:pPr>
              <w:pStyle w:val="244"/>
              <w:spacing w:line="360" w:lineRule="auto"/>
              <w:rPr>
                <w:rFonts w:hAnsi="宋体" w:cs="宋体"/>
                <w:color w:val="auto"/>
                <w:sz w:val="21"/>
                <w:highlight w:val="none"/>
              </w:rPr>
            </w:pPr>
            <w:r>
              <w:rPr>
                <w:rFonts w:hint="eastAsia" w:hAnsi="宋体" w:cs="宋体"/>
                <w:color w:val="auto"/>
                <w:sz w:val="21"/>
                <w:highlight w:val="none"/>
              </w:rPr>
              <w:t>业务时间：工作日每天8时00分到12时00分，15时00分到18时 00分。</w:t>
            </w:r>
          </w:p>
        </w:tc>
      </w:tr>
      <w:tr w14:paraId="505F9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375994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r>
              <w:rPr>
                <w:rFonts w:hint="eastAsia" w:ascii="宋体" w:hAnsi="宋体" w:cs="宋体"/>
                <w:color w:val="auto"/>
                <w:szCs w:val="21"/>
                <w:highlight w:val="none"/>
              </w:rPr>
              <w:t>.1</w:t>
            </w:r>
          </w:p>
        </w:tc>
        <w:tc>
          <w:tcPr>
            <w:tcW w:w="8045" w:type="dxa"/>
            <w:tcBorders>
              <w:top w:val="single" w:color="000000" w:sz="4" w:space="0"/>
              <w:left w:val="single" w:color="000000" w:sz="4" w:space="0"/>
              <w:bottom w:val="single" w:color="000000" w:sz="4" w:space="0"/>
              <w:right w:val="single" w:color="000000" w:sz="4" w:space="0"/>
            </w:tcBorders>
            <w:vAlign w:val="center"/>
          </w:tcPr>
          <w:p w14:paraId="41872F36">
            <w:pPr>
              <w:pStyle w:val="244"/>
              <w:spacing w:line="360" w:lineRule="auto"/>
              <w:rPr>
                <w:rFonts w:hAnsi="宋体" w:cs="宋体"/>
                <w:color w:val="auto"/>
                <w:sz w:val="21"/>
                <w:highlight w:val="none"/>
              </w:rPr>
            </w:pPr>
            <w:r>
              <w:rPr>
                <w:rFonts w:hint="eastAsia" w:hAnsi="宋体" w:cs="宋体"/>
                <w:color w:val="auto"/>
                <w:sz w:val="21"/>
                <w:highlight w:val="none"/>
              </w:rPr>
              <w:t>1.采购代理费支付方式：</w:t>
            </w:r>
          </w:p>
          <w:p w14:paraId="7A2AF757">
            <w:pPr>
              <w:pStyle w:val="244"/>
              <w:spacing w:line="360" w:lineRule="auto"/>
              <w:rPr>
                <w:rFonts w:hAnsi="宋体" w:cs="宋体"/>
                <w:color w:val="auto"/>
                <w:sz w:val="21"/>
                <w:highlight w:val="none"/>
              </w:rPr>
            </w:pPr>
            <w:r>
              <w:rPr>
                <w:rFonts w:hint="eastAsia" w:hAnsi="宋体" w:cs="宋体"/>
                <w:color w:val="auto"/>
                <w:sz w:val="21"/>
                <w:highlight w:val="none"/>
              </w:rPr>
              <w:t>采购代理服务费：</w:t>
            </w:r>
            <w:r>
              <w:rPr>
                <w:rFonts w:hint="eastAsia" w:hAnsi="宋体" w:cs="宋体"/>
                <w:color w:val="auto"/>
                <w:sz w:val="21"/>
                <w:highlight w:val="none"/>
              </w:rPr>
              <w:t>☑以分标（☑中标金额）为计费额，</w:t>
            </w:r>
            <w:r>
              <w:rPr>
                <w:rFonts w:hint="eastAsia" w:hAnsi="宋体" w:cs="宋体"/>
                <w:color w:val="auto"/>
                <w:sz w:val="21"/>
                <w:highlight w:val="none"/>
              </w:rPr>
              <w:t>参照桂价费〔2011〕55号文件（货物类）标准执行（若采购代理服务费不足5000元，按5000元计收），方式为成交供应商向采购代理机构支付。</w:t>
            </w:r>
          </w:p>
          <w:p w14:paraId="5D5FC4CE">
            <w:pPr>
              <w:pStyle w:val="244"/>
              <w:spacing w:line="360" w:lineRule="auto"/>
              <w:rPr>
                <w:color w:val="auto"/>
                <w:highlight w:val="none"/>
              </w:rPr>
            </w:pPr>
            <w:r>
              <w:rPr>
                <w:rFonts w:hint="eastAsia" w:hAnsi="宋体" w:cs="宋体"/>
                <w:color w:val="auto"/>
                <w:sz w:val="21"/>
                <w:highlight w:val="none"/>
              </w:rPr>
              <w:t>2.采购代理费收取银行账户</w:t>
            </w:r>
            <w:r>
              <w:rPr>
                <w:rFonts w:hint="eastAsia"/>
                <w:color w:val="auto"/>
                <w:highlight w:val="none"/>
              </w:rPr>
              <w:t>：</w:t>
            </w:r>
          </w:p>
          <w:p w14:paraId="3E0E0AF2">
            <w:pPr>
              <w:spacing w:line="400" w:lineRule="exact"/>
              <w:rPr>
                <w:rFonts w:hAnsi="宋体" w:cs="宋体"/>
                <w:b/>
                <w:bCs/>
                <w:color w:val="auto"/>
                <w:highlight w:val="none"/>
                <w:u w:val="single"/>
              </w:rPr>
            </w:pPr>
            <w:r>
              <w:rPr>
                <w:rFonts w:hint="eastAsia" w:hAnsi="宋体" w:cs="宋体"/>
                <w:b/>
                <w:bCs/>
                <w:color w:val="auto"/>
                <w:highlight w:val="none"/>
                <w:u w:val="single"/>
              </w:rPr>
              <w:t>公司名称：云之龙咨询集团有限公司崇左分公司</w:t>
            </w:r>
          </w:p>
          <w:p w14:paraId="3BC6C646">
            <w:pPr>
              <w:spacing w:line="400" w:lineRule="exact"/>
              <w:rPr>
                <w:rFonts w:hAnsi="宋体" w:cs="宋体"/>
                <w:b/>
                <w:bCs/>
                <w:color w:val="auto"/>
                <w:highlight w:val="none"/>
                <w:u w:val="single"/>
              </w:rPr>
            </w:pPr>
            <w:r>
              <w:rPr>
                <w:rFonts w:hint="eastAsia" w:hAnsi="宋体" w:cs="宋体"/>
                <w:b/>
                <w:bCs/>
                <w:color w:val="auto"/>
                <w:highlight w:val="none"/>
                <w:u w:val="single"/>
              </w:rPr>
              <w:t>账号：8113001013000157995</w:t>
            </w:r>
          </w:p>
          <w:p w14:paraId="53B13588">
            <w:pPr>
              <w:spacing w:line="400" w:lineRule="exact"/>
              <w:rPr>
                <w:rFonts w:hAnsi="宋体" w:cs="宋体"/>
                <w:color w:val="auto"/>
                <w:highlight w:val="none"/>
                <w:u w:val="single"/>
              </w:rPr>
            </w:pPr>
            <w:r>
              <w:rPr>
                <w:rFonts w:hint="eastAsia" w:hAnsi="宋体" w:cs="宋体"/>
                <w:b/>
                <w:bCs/>
                <w:color w:val="auto"/>
                <w:highlight w:val="none"/>
                <w:u w:val="single"/>
              </w:rPr>
              <w:t>开户行：中信银行股份有限公司南宁园湖支行</w:t>
            </w:r>
          </w:p>
        </w:tc>
      </w:tr>
      <w:tr w14:paraId="1A1BF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7DE004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8045" w:type="dxa"/>
            <w:tcBorders>
              <w:top w:val="single" w:color="000000" w:sz="4" w:space="0"/>
              <w:left w:val="single" w:color="000000" w:sz="4" w:space="0"/>
              <w:bottom w:val="single" w:color="000000" w:sz="4" w:space="0"/>
              <w:right w:val="single" w:color="000000" w:sz="4" w:space="0"/>
            </w:tcBorders>
            <w:vAlign w:val="center"/>
          </w:tcPr>
          <w:p w14:paraId="1606B35F">
            <w:pPr>
              <w:pStyle w:val="244"/>
              <w:spacing w:line="360" w:lineRule="auto"/>
              <w:rPr>
                <w:rFonts w:hAnsi="宋体" w:cs="宋体"/>
                <w:color w:val="auto"/>
                <w:sz w:val="21"/>
                <w:highlight w:val="none"/>
              </w:rPr>
            </w:pPr>
            <w:r>
              <w:rPr>
                <w:rFonts w:hint="eastAsia" w:hAnsi="宋体" w:cs="宋体"/>
                <w:color w:val="auto"/>
                <w:sz w:val="21"/>
                <w:highlight w:val="none"/>
              </w:rPr>
              <w:t>解释：</w:t>
            </w:r>
            <w:r>
              <w:rPr>
                <w:rFonts w:hAnsi="宋体" w:cs="宋体"/>
                <w:color w:val="auto"/>
                <w:sz w:val="21"/>
                <w:highlight w:val="none"/>
              </w:rPr>
              <w:t>构成本</w:t>
            </w:r>
            <w:r>
              <w:rPr>
                <w:rFonts w:hint="eastAsia" w:hAnsi="宋体" w:cs="宋体"/>
                <w:color w:val="auto"/>
                <w:sz w:val="21"/>
                <w:highlight w:val="none"/>
              </w:rPr>
              <w:t>谈判文件</w:t>
            </w:r>
            <w:r>
              <w:rPr>
                <w:rFonts w:hAnsi="宋体" w:cs="宋体"/>
                <w:color w:val="auto"/>
                <w:sz w:val="21"/>
                <w:highlight w:val="none"/>
              </w:rPr>
              <w:t>的各个组成文件应互为解释，互为说明；除</w:t>
            </w:r>
            <w:r>
              <w:rPr>
                <w:rFonts w:hint="eastAsia" w:hAnsi="宋体" w:cs="宋体"/>
                <w:color w:val="auto"/>
                <w:sz w:val="21"/>
                <w:highlight w:val="none"/>
              </w:rPr>
              <w:t>谈判文件</w:t>
            </w:r>
            <w:r>
              <w:rPr>
                <w:rFonts w:hAnsi="宋体" w:cs="宋体"/>
                <w:color w:val="auto"/>
                <w:sz w:val="21"/>
                <w:highlight w:val="none"/>
              </w:rPr>
              <w:t>中有特别规定外，仅适用于</w:t>
            </w:r>
            <w:r>
              <w:rPr>
                <w:rFonts w:hint="eastAsia" w:hAnsi="宋体" w:cs="宋体"/>
                <w:color w:val="auto"/>
                <w:sz w:val="21"/>
                <w:highlight w:val="none"/>
              </w:rPr>
              <w:t>竞标</w:t>
            </w:r>
            <w:r>
              <w:rPr>
                <w:rFonts w:hAnsi="宋体" w:cs="宋体"/>
                <w:color w:val="auto"/>
                <w:sz w:val="21"/>
                <w:highlight w:val="none"/>
              </w:rPr>
              <w:t>阶段的规定，</w:t>
            </w:r>
            <w:r>
              <w:rPr>
                <w:rFonts w:hint="eastAsia" w:hAnsi="宋体" w:cs="宋体"/>
                <w:color w:val="auto"/>
                <w:sz w:val="21"/>
                <w:highlight w:val="none"/>
              </w:rPr>
              <w:t>按照更正公告（澄清公告）</w:t>
            </w:r>
            <w:r>
              <w:rPr>
                <w:rFonts w:hAnsi="宋体" w:cs="宋体"/>
                <w:color w:val="auto"/>
                <w:sz w:val="21"/>
                <w:highlight w:val="none"/>
              </w:rPr>
              <w:t>、</w:t>
            </w:r>
            <w:r>
              <w:rPr>
                <w:rFonts w:hint="eastAsia" w:hAnsi="宋体" w:cs="宋体"/>
                <w:color w:val="auto"/>
                <w:sz w:val="21"/>
                <w:highlight w:val="none"/>
              </w:rPr>
              <w:t>竞争性谈判</w:t>
            </w:r>
            <w:r>
              <w:rPr>
                <w:rFonts w:hAnsi="宋体" w:cs="宋体"/>
                <w:color w:val="auto"/>
                <w:sz w:val="21"/>
                <w:highlight w:val="none"/>
              </w:rPr>
              <w:t>公告、</w:t>
            </w:r>
            <w:r>
              <w:rPr>
                <w:rFonts w:hint="eastAsia" w:hAnsi="宋体" w:cs="宋体"/>
                <w:color w:val="auto"/>
                <w:sz w:val="21"/>
                <w:highlight w:val="none"/>
              </w:rPr>
              <w:t>供应商</w:t>
            </w:r>
            <w:r>
              <w:rPr>
                <w:rFonts w:hAnsi="宋体" w:cs="宋体"/>
                <w:color w:val="auto"/>
                <w:sz w:val="21"/>
                <w:highlight w:val="none"/>
              </w:rPr>
              <w:t>须知</w:t>
            </w:r>
            <w:r>
              <w:rPr>
                <w:rFonts w:hint="eastAsia" w:hAnsi="宋体" w:cs="宋体"/>
                <w:color w:val="auto"/>
                <w:sz w:val="21"/>
                <w:highlight w:val="none"/>
              </w:rPr>
              <w:t>、采购需求</w:t>
            </w:r>
            <w:r>
              <w:rPr>
                <w:rFonts w:hAnsi="宋体" w:cs="宋体"/>
                <w:color w:val="auto"/>
                <w:sz w:val="21"/>
                <w:highlight w:val="none"/>
              </w:rPr>
              <w:t>、</w:t>
            </w:r>
            <w:r>
              <w:rPr>
                <w:rFonts w:hint="eastAsia" w:hAnsi="宋体" w:cs="宋体"/>
                <w:color w:val="auto"/>
                <w:sz w:val="21"/>
                <w:highlight w:val="none"/>
              </w:rPr>
              <w:t>评审程序和评定成交的标准</w:t>
            </w:r>
            <w:r>
              <w:rPr>
                <w:rFonts w:hAnsi="宋体" w:cs="宋体"/>
                <w:color w:val="auto"/>
                <w:sz w:val="21"/>
                <w:highlight w:val="none"/>
              </w:rPr>
              <w:t>、</w:t>
            </w:r>
            <w:r>
              <w:rPr>
                <w:rFonts w:hint="eastAsia" w:hAnsi="宋体" w:cs="宋体"/>
                <w:color w:val="auto"/>
                <w:sz w:val="21"/>
                <w:highlight w:val="none"/>
              </w:rPr>
              <w:t>响应</w:t>
            </w:r>
            <w:r>
              <w:rPr>
                <w:rFonts w:hAnsi="宋体" w:cs="宋体"/>
                <w:color w:val="auto"/>
                <w:sz w:val="21"/>
                <w:highlight w:val="none"/>
              </w:rPr>
              <w:t>文件格式</w:t>
            </w:r>
            <w:r>
              <w:rPr>
                <w:rFonts w:hint="eastAsia" w:hAnsi="宋体" w:cs="宋体"/>
                <w:color w:val="auto"/>
                <w:sz w:val="21"/>
                <w:highlight w:val="none"/>
              </w:rPr>
              <w:t>、合同文本</w:t>
            </w:r>
            <w:r>
              <w:rPr>
                <w:rFonts w:hAnsi="宋体" w:cs="宋体"/>
                <w:color w:val="auto"/>
                <w:sz w:val="21"/>
                <w:highlight w:val="none"/>
              </w:rPr>
              <w:t>的先后顺序解释；同一组成文件中就同一事项的规定或约定不一致的，以编排顺序在后者为准；同一组成文件不同版本之间有不一致的，以形成时间在后者为准；</w:t>
            </w:r>
            <w:r>
              <w:rPr>
                <w:rFonts w:hint="eastAsia" w:hAnsi="宋体" w:cs="宋体"/>
                <w:color w:val="auto"/>
                <w:sz w:val="21"/>
                <w:highlight w:val="none"/>
              </w:rPr>
              <w:t>更正公告（澄清公告）</w:t>
            </w:r>
            <w:r>
              <w:rPr>
                <w:rFonts w:hAnsi="宋体" w:cs="宋体"/>
                <w:color w:val="auto"/>
                <w:sz w:val="21"/>
                <w:highlight w:val="none"/>
              </w:rPr>
              <w:t>与同步更新的</w:t>
            </w:r>
            <w:r>
              <w:rPr>
                <w:rFonts w:hint="eastAsia" w:hAnsi="宋体" w:cs="宋体"/>
                <w:color w:val="auto"/>
                <w:sz w:val="21"/>
                <w:highlight w:val="none"/>
              </w:rPr>
              <w:t>谈判文件</w:t>
            </w:r>
            <w:r>
              <w:rPr>
                <w:rFonts w:hAnsi="宋体" w:cs="宋体"/>
                <w:color w:val="auto"/>
                <w:sz w:val="21"/>
                <w:highlight w:val="none"/>
              </w:rPr>
              <w:t>不一致时以</w:t>
            </w:r>
            <w:r>
              <w:rPr>
                <w:rFonts w:hint="eastAsia" w:hAnsi="宋体" w:cs="宋体"/>
                <w:color w:val="auto"/>
                <w:sz w:val="21"/>
                <w:highlight w:val="none"/>
              </w:rPr>
              <w:t>更正公告（澄清公告）</w:t>
            </w:r>
            <w:r>
              <w:rPr>
                <w:rFonts w:hAnsi="宋体" w:cs="宋体"/>
                <w:color w:val="auto"/>
                <w:sz w:val="21"/>
                <w:highlight w:val="none"/>
              </w:rPr>
              <w:t>为准。按本款前述规定仍不能形成结论的，由</w:t>
            </w:r>
            <w:r>
              <w:rPr>
                <w:rFonts w:hint="eastAsia" w:hAnsi="宋体" w:cs="宋体"/>
                <w:color w:val="auto"/>
                <w:sz w:val="21"/>
                <w:highlight w:val="none"/>
              </w:rPr>
              <w:t>采购</w:t>
            </w:r>
            <w:r>
              <w:rPr>
                <w:rFonts w:hAnsi="宋体" w:cs="宋体"/>
                <w:color w:val="auto"/>
                <w:sz w:val="21"/>
                <w:highlight w:val="none"/>
              </w:rPr>
              <w:t>人</w:t>
            </w:r>
            <w:r>
              <w:rPr>
                <w:rFonts w:hint="eastAsia" w:hAnsi="宋体" w:cs="宋体"/>
                <w:color w:val="auto"/>
                <w:sz w:val="21"/>
                <w:highlight w:val="none"/>
              </w:rPr>
              <w:t>或者采购代理机构</w:t>
            </w:r>
            <w:r>
              <w:rPr>
                <w:rFonts w:hAnsi="宋体" w:cs="宋体"/>
                <w:color w:val="auto"/>
                <w:sz w:val="21"/>
                <w:highlight w:val="none"/>
              </w:rPr>
              <w:t>负责解释。</w:t>
            </w:r>
          </w:p>
        </w:tc>
      </w:tr>
      <w:tr w14:paraId="3C41C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D609F4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3.2</w:t>
            </w:r>
          </w:p>
        </w:tc>
        <w:tc>
          <w:tcPr>
            <w:tcW w:w="8045" w:type="dxa"/>
            <w:tcBorders>
              <w:top w:val="single" w:color="000000" w:sz="4" w:space="0"/>
              <w:left w:val="single" w:color="000000" w:sz="4" w:space="0"/>
              <w:bottom w:val="single" w:color="000000" w:sz="4" w:space="0"/>
              <w:right w:val="single" w:color="000000" w:sz="4" w:space="0"/>
            </w:tcBorders>
            <w:vAlign w:val="center"/>
          </w:tcPr>
          <w:p w14:paraId="3ECB0F54">
            <w:pPr>
              <w:pStyle w:val="244"/>
              <w:spacing w:line="360" w:lineRule="auto"/>
              <w:rPr>
                <w:rFonts w:hAnsi="宋体" w:cs="宋体"/>
                <w:color w:val="auto"/>
                <w:sz w:val="21"/>
                <w:highlight w:val="none"/>
              </w:rPr>
            </w:pPr>
            <w:r>
              <w:rPr>
                <w:rFonts w:hint="eastAsia" w:hAnsi="宋体" w:cs="宋体"/>
                <w:color w:val="auto"/>
                <w:sz w:val="21"/>
                <w:highlight w:val="none"/>
              </w:rPr>
              <w:t>1.本谈判文件中描述供应商的“公章”是指根据我国对公章的管理规定，使用供应商法定主体行为名称制作的印章，除本谈判文件有特殊规定外，供应商的财务章、部门章、分公司章、工会章、合同章、竞标专用章、业务专用章及银行的转账章、现金收讫章、现金付讫章等其他形式印章均不能代替公章。</w:t>
            </w:r>
          </w:p>
          <w:p w14:paraId="0F17EDA0">
            <w:pPr>
              <w:pStyle w:val="244"/>
              <w:spacing w:line="360" w:lineRule="auto"/>
              <w:rPr>
                <w:rFonts w:hAnsi="宋体" w:cs="宋体"/>
                <w:bCs/>
                <w:color w:val="auto"/>
                <w:sz w:val="21"/>
                <w:highlight w:val="none"/>
              </w:rPr>
            </w:pPr>
            <w:r>
              <w:rPr>
                <w:rFonts w:hint="eastAsia" w:hAnsi="宋体" w:cs="宋体"/>
                <w:bCs/>
                <w:color w:val="auto"/>
                <w:sz w:val="21"/>
                <w:highlight w:val="none"/>
              </w:rPr>
              <w:t>2.本谈判文件所称的“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2403BA04">
            <w:pPr>
              <w:pStyle w:val="244"/>
              <w:spacing w:line="360" w:lineRule="auto"/>
              <w:rPr>
                <w:rFonts w:hAnsi="宋体" w:cs="宋体"/>
                <w:bCs/>
                <w:color w:val="auto"/>
                <w:sz w:val="21"/>
                <w:highlight w:val="none"/>
              </w:rPr>
            </w:pPr>
            <w:r>
              <w:rPr>
                <w:rFonts w:hint="eastAsia" w:hAnsi="宋体" w:cs="宋体"/>
                <w:color w:val="auto"/>
                <w:sz w:val="21"/>
                <w:highlight w:val="none"/>
              </w:rPr>
              <w:t>3.供应商为其他组织或者自然人时，本谈判文件规定的法定代表人指负责人或者自然人。本谈判文件所称负责人是指参加竞标的其他组织</w:t>
            </w:r>
            <w:r>
              <w:rPr>
                <w:rFonts w:hint="eastAsia" w:hAnsi="宋体" w:cs="宋体"/>
                <w:bCs/>
                <w:color w:val="auto"/>
                <w:sz w:val="21"/>
                <w:highlight w:val="none"/>
              </w:rPr>
              <w:t>营业执照或者执业许可证等证照上</w:t>
            </w:r>
            <w:r>
              <w:rPr>
                <w:rFonts w:hint="eastAsia" w:hAnsi="宋体" w:cs="宋体"/>
                <w:color w:val="auto"/>
                <w:sz w:val="21"/>
                <w:highlight w:val="none"/>
              </w:rPr>
              <w:t>的负责人，本谈判文件所称自然人指参与竞标的自然人本人，</w:t>
            </w:r>
            <w:r>
              <w:rPr>
                <w:rFonts w:hint="eastAsia" w:hAnsi="宋体" w:cs="宋体"/>
                <w:bCs/>
                <w:color w:val="auto"/>
                <w:sz w:val="21"/>
                <w:highlight w:val="none"/>
              </w:rPr>
              <w:t>且应具备独立承担民事责任能力，自然人应当为年满18岁以上成年人（十六周岁以上的未成年人，以自己的劳动收入为主要生活来源的，视为完全民事行为能力人）。</w:t>
            </w:r>
          </w:p>
          <w:p w14:paraId="3E03E958">
            <w:pPr>
              <w:pStyle w:val="244"/>
              <w:spacing w:line="360" w:lineRule="auto"/>
              <w:rPr>
                <w:rFonts w:hAnsi="宋体" w:cs="宋体"/>
                <w:color w:val="auto"/>
                <w:sz w:val="21"/>
                <w:highlight w:val="none"/>
              </w:rPr>
            </w:pPr>
            <w:r>
              <w:rPr>
                <w:rFonts w:hint="eastAsia" w:hAnsi="宋体" w:cs="宋体"/>
                <w:color w:val="auto"/>
                <w:sz w:val="21"/>
                <w:highlight w:val="none"/>
              </w:rPr>
              <w:t>4.本谈判文件中描述供应商的“签字”是指供应商的法定代表人或者委托代理人亲自在文件规定签署处亲笔写上个人的名字的行为，私章、签字章、印鉴、影印等其他形式均不能代替亲笔签字。</w:t>
            </w:r>
          </w:p>
          <w:p w14:paraId="371BB028">
            <w:pPr>
              <w:pStyle w:val="244"/>
              <w:spacing w:line="360" w:lineRule="auto"/>
              <w:rPr>
                <w:rFonts w:hAnsi="宋体" w:cs="宋体"/>
                <w:color w:val="auto"/>
                <w:sz w:val="21"/>
                <w:highlight w:val="none"/>
              </w:rPr>
            </w:pPr>
            <w:r>
              <w:rPr>
                <w:rFonts w:hAnsi="宋体" w:cs="宋体"/>
                <w:color w:val="auto"/>
                <w:sz w:val="21"/>
                <w:highlight w:val="none"/>
              </w:rPr>
              <w:t>5.</w:t>
            </w:r>
            <w:r>
              <w:rPr>
                <w:rFonts w:hint="eastAsia" w:hAnsi="宋体" w:cs="宋体"/>
                <w:color w:val="auto"/>
                <w:sz w:val="21"/>
                <w:highlight w:val="none"/>
              </w:rPr>
              <w:t>本谈判文件所称的“以上”“以下”“以内”“届满”，包括本数；所称的“不满”“超过”“以外”，不包括本数。</w:t>
            </w:r>
          </w:p>
        </w:tc>
      </w:tr>
      <w:tr w14:paraId="1FFD9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4304126F">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33．3</w:t>
            </w:r>
          </w:p>
        </w:tc>
        <w:tc>
          <w:tcPr>
            <w:tcW w:w="8045" w:type="dxa"/>
            <w:tcBorders>
              <w:top w:val="single" w:color="000000" w:sz="4" w:space="0"/>
              <w:left w:val="single" w:color="000000" w:sz="4" w:space="0"/>
              <w:bottom w:val="single" w:color="000000" w:sz="4" w:space="0"/>
              <w:right w:val="single" w:color="000000" w:sz="4" w:space="0"/>
            </w:tcBorders>
            <w:vAlign w:val="center"/>
          </w:tcPr>
          <w:p w14:paraId="0E44014C">
            <w:pPr>
              <w:pStyle w:val="19"/>
              <w:spacing w:line="400" w:lineRule="exact"/>
              <w:rPr>
                <w:rFonts w:hAnsi="宋体" w:cs="宋体"/>
                <w:color w:val="auto"/>
                <w:sz w:val="21"/>
                <w:highlight w:val="none"/>
              </w:rPr>
            </w:pPr>
            <w:r>
              <w:rPr>
                <w:rFonts w:hint="eastAsia" w:hAnsi="宋体" w:cs="宋体"/>
                <w:color w:val="auto"/>
                <w:sz w:val="21"/>
                <w:highlight w:val="none"/>
              </w:rPr>
              <w:t>本采购项目涉及中小企业采购，现明确以下内容：</w:t>
            </w:r>
          </w:p>
          <w:p w14:paraId="61F27356">
            <w:pPr>
              <w:pStyle w:val="19"/>
              <w:spacing w:line="400" w:lineRule="exact"/>
              <w:rPr>
                <w:rFonts w:hAnsi="宋体" w:cs="宋体"/>
                <w:color w:val="auto"/>
                <w:sz w:val="21"/>
                <w:highlight w:val="none"/>
              </w:rPr>
            </w:pPr>
            <w:r>
              <w:rPr>
                <w:rFonts w:hint="eastAsia" w:hAnsi="宋体" w:cs="宋体"/>
                <w:color w:val="auto"/>
                <w:sz w:val="21"/>
                <w:highlight w:val="none"/>
              </w:rPr>
              <w:t>1.本项目属于专门面向中小企业采购的项目，货物制造商应为中小微企业或监狱企业或残疾人福利性单位，相关标的详见本竞争性谈判文件“第三章《采购需求》”；</w:t>
            </w:r>
          </w:p>
          <w:p w14:paraId="2D3F82F5">
            <w:pPr>
              <w:pStyle w:val="19"/>
              <w:spacing w:line="400" w:lineRule="exact"/>
              <w:rPr>
                <w:rFonts w:hAnsi="宋体" w:cs="宋体"/>
                <w:color w:val="auto"/>
                <w:sz w:val="21"/>
                <w:highlight w:val="none"/>
              </w:rPr>
            </w:pPr>
            <w:r>
              <w:rPr>
                <w:rFonts w:hint="eastAsia" w:hAnsi="宋体" w:cs="宋体"/>
                <w:color w:val="auto"/>
                <w:sz w:val="21"/>
                <w:highlight w:val="none"/>
              </w:rPr>
              <w:t>2.中小企业预留预算金额：1000000</w:t>
            </w:r>
            <w:r>
              <w:rPr>
                <w:rFonts w:hAnsi="宋体" w:cs="宋体"/>
                <w:color w:val="auto"/>
                <w:sz w:val="21"/>
                <w:highlight w:val="none"/>
              </w:rPr>
              <w:t>.00</w:t>
            </w:r>
            <w:r>
              <w:rPr>
                <w:rFonts w:hint="eastAsia" w:hAnsi="宋体" w:cs="宋体"/>
                <w:color w:val="auto"/>
                <w:sz w:val="21"/>
                <w:highlight w:val="none"/>
              </w:rPr>
              <w:t>元；中小企业预留份额：100%；</w:t>
            </w:r>
          </w:p>
          <w:p w14:paraId="788FCD3D">
            <w:pPr>
              <w:pStyle w:val="19"/>
              <w:spacing w:line="400" w:lineRule="exact"/>
              <w:rPr>
                <w:rFonts w:hAnsi="宋体" w:cs="宋体"/>
                <w:color w:val="auto"/>
                <w:sz w:val="21"/>
                <w:highlight w:val="none"/>
              </w:rPr>
            </w:pPr>
            <w:r>
              <w:rPr>
                <w:rFonts w:hAnsi="宋体" w:cs="宋体"/>
                <w:color w:val="auto"/>
                <w:sz w:val="21"/>
                <w:highlight w:val="none"/>
              </w:rPr>
              <w:t>3</w:t>
            </w:r>
            <w:r>
              <w:rPr>
                <w:rFonts w:hint="eastAsia" w:hAnsi="宋体" w:cs="宋体"/>
                <w:color w:val="auto"/>
                <w:sz w:val="21"/>
                <w:highlight w:val="none"/>
              </w:rPr>
              <w:t>.本项目不接受联合体，不允许分包；</w:t>
            </w:r>
          </w:p>
          <w:p w14:paraId="3FC18E01">
            <w:pPr>
              <w:pStyle w:val="19"/>
              <w:spacing w:line="400" w:lineRule="exact"/>
              <w:rPr>
                <w:rFonts w:hAnsi="宋体" w:cs="宋体"/>
                <w:color w:val="auto"/>
                <w:sz w:val="21"/>
                <w:highlight w:val="none"/>
              </w:rPr>
            </w:pPr>
            <w:r>
              <w:rPr>
                <w:rFonts w:hAnsi="宋体" w:cs="宋体"/>
                <w:color w:val="auto"/>
                <w:sz w:val="21"/>
                <w:highlight w:val="none"/>
              </w:rPr>
              <w:t>4</w:t>
            </w:r>
            <w:r>
              <w:rPr>
                <w:rFonts w:hint="eastAsia" w:hAnsi="宋体" w:cs="宋体"/>
                <w:color w:val="auto"/>
                <w:sz w:val="21"/>
                <w:highlight w:val="none"/>
              </w:rPr>
              <w:t>.本项目属于专门面向中小企业采购的项目，不再进行价格扣除及用扣除后的价格参加评审；</w:t>
            </w:r>
          </w:p>
          <w:p w14:paraId="7F71851D">
            <w:pPr>
              <w:pStyle w:val="19"/>
              <w:spacing w:line="400" w:lineRule="exact"/>
              <w:rPr>
                <w:rFonts w:hAnsi="宋体" w:cs="宋体"/>
                <w:color w:val="auto"/>
                <w:sz w:val="21"/>
                <w:highlight w:val="none"/>
              </w:rPr>
            </w:pPr>
            <w:r>
              <w:rPr>
                <w:rFonts w:hAnsi="宋体" w:cs="宋体"/>
                <w:color w:val="auto"/>
                <w:sz w:val="21"/>
                <w:highlight w:val="none"/>
              </w:rPr>
              <w:t>5</w:t>
            </w:r>
            <w:r>
              <w:rPr>
                <w:rFonts w:hint="eastAsia" w:hAnsi="宋体" w:cs="宋体"/>
                <w:color w:val="auto"/>
                <w:sz w:val="21"/>
                <w:highlight w:val="none"/>
              </w:rPr>
              <w:t>.因本项目属于专门面向中小企业采购的项目，规定依据《政府采购促进中小企业发展管理办法》规定享受扶持政策获得政府采购合同的，中小企业不得将合同分包给大中型企业，中型企业不得将合同分包给大型企业；</w:t>
            </w:r>
          </w:p>
          <w:p w14:paraId="410CB80D">
            <w:pPr>
              <w:pStyle w:val="19"/>
              <w:spacing w:line="400" w:lineRule="exact"/>
              <w:rPr>
                <w:rFonts w:hAnsi="宋体" w:cs="宋体"/>
                <w:color w:val="auto"/>
                <w:sz w:val="21"/>
                <w:highlight w:val="none"/>
              </w:rPr>
            </w:pPr>
            <w:r>
              <w:rPr>
                <w:rFonts w:hAnsi="宋体" w:cs="宋体"/>
                <w:color w:val="auto"/>
                <w:sz w:val="21"/>
                <w:highlight w:val="none"/>
              </w:rPr>
              <w:t>6</w:t>
            </w:r>
            <w:r>
              <w:rPr>
                <w:rFonts w:hint="eastAsia" w:hAnsi="宋体" w:cs="宋体"/>
                <w:color w:val="auto"/>
                <w:sz w:val="21"/>
                <w:highlight w:val="none"/>
              </w:rPr>
              <w:t>.本项目采购标的对应的中小企业划分标准所属行业为：详见第三章《采购需求》。</w:t>
            </w:r>
          </w:p>
        </w:tc>
      </w:tr>
      <w:tr w14:paraId="1AAF3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5DA81C20">
            <w:pPr>
              <w:spacing w:line="360" w:lineRule="auto"/>
              <w:jc w:val="center"/>
              <w:rPr>
                <w:rFonts w:ascii="宋体" w:hAnsi="宋体" w:cs="宋体"/>
                <w:color w:val="auto"/>
                <w:szCs w:val="21"/>
                <w:highlight w:val="none"/>
              </w:rPr>
            </w:pPr>
          </w:p>
        </w:tc>
        <w:tc>
          <w:tcPr>
            <w:tcW w:w="8045" w:type="dxa"/>
            <w:tcBorders>
              <w:top w:val="single" w:color="000000" w:sz="4" w:space="0"/>
              <w:left w:val="single" w:color="000000" w:sz="4" w:space="0"/>
              <w:bottom w:val="single" w:color="000000" w:sz="4" w:space="0"/>
              <w:right w:val="single" w:color="000000" w:sz="4" w:space="0"/>
            </w:tcBorders>
            <w:vAlign w:val="center"/>
          </w:tcPr>
          <w:p w14:paraId="154BDECE">
            <w:pPr>
              <w:pStyle w:val="244"/>
              <w:spacing w:line="360" w:lineRule="auto"/>
              <w:rPr>
                <w:rFonts w:hAnsi="宋体" w:cs="宋体"/>
                <w:color w:val="auto"/>
                <w:sz w:val="21"/>
                <w:highlight w:val="none"/>
              </w:rPr>
            </w:pPr>
            <w:r>
              <w:rPr>
                <w:rFonts w:hint="eastAsia" w:hAnsi="宋体" w:cs="宋体"/>
                <w:b/>
                <w:bCs/>
                <w:color w:val="auto"/>
                <w:sz w:val="21"/>
                <w:highlight w:val="none"/>
              </w:rPr>
              <w:t>根据《崇左市财政局关于进一步做好线上“政采贷”融资业务工作的通知》（崇财采〔2023〕10号），供应商可凭成交通知书、政府采购合同，通过中征应收账款融资服务平台向银行在线申请“政采贷”融资。（具体详见采购文件中关于“政采贷”相关信息）</w:t>
            </w:r>
          </w:p>
        </w:tc>
      </w:tr>
    </w:tbl>
    <w:p w14:paraId="4FBF7ED8">
      <w:pPr>
        <w:spacing w:line="400" w:lineRule="exact"/>
        <w:jc w:val="center"/>
        <w:rPr>
          <w:rFonts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32"/>
          <w:szCs w:val="32"/>
          <w:highlight w:val="none"/>
        </w:rPr>
        <w:t>供应商须知正文</w:t>
      </w:r>
    </w:p>
    <w:p w14:paraId="00720F05">
      <w:pPr>
        <w:spacing w:line="400" w:lineRule="exact"/>
        <w:jc w:val="center"/>
        <w:rPr>
          <w:rFonts w:ascii="宋体" w:hAnsi="宋体"/>
          <w:b/>
          <w:color w:val="auto"/>
          <w:sz w:val="32"/>
          <w:szCs w:val="32"/>
          <w:highlight w:val="none"/>
        </w:rPr>
      </w:pPr>
    </w:p>
    <w:p w14:paraId="32B6F188">
      <w:pPr>
        <w:spacing w:line="400" w:lineRule="exact"/>
        <w:jc w:val="center"/>
        <w:rPr>
          <w:rFonts w:ascii="宋体" w:hAnsi="宋体"/>
          <w:b/>
          <w:color w:val="auto"/>
          <w:sz w:val="32"/>
          <w:szCs w:val="32"/>
          <w:highlight w:val="none"/>
        </w:rPr>
      </w:pPr>
      <w:r>
        <w:rPr>
          <w:rFonts w:hint="eastAsia" w:ascii="宋体" w:hAnsi="宋体"/>
          <w:b/>
          <w:color w:val="auto"/>
          <w:sz w:val="32"/>
          <w:szCs w:val="32"/>
          <w:highlight w:val="none"/>
        </w:rPr>
        <w:t>一、总则</w:t>
      </w:r>
    </w:p>
    <w:p w14:paraId="2F5CC986">
      <w:pPr>
        <w:spacing w:line="400" w:lineRule="exact"/>
        <w:rPr>
          <w:rFonts w:ascii="宋体" w:hAnsi="宋体"/>
          <w:color w:val="auto"/>
          <w:szCs w:val="21"/>
          <w:highlight w:val="none"/>
        </w:rPr>
      </w:pPr>
    </w:p>
    <w:p w14:paraId="15ABD3DD">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 适用范围</w:t>
      </w:r>
    </w:p>
    <w:p w14:paraId="7BEB8DA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16A52E7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本竞争性谈判文件（以下简称谈判文件）适用于本项目的所有采购程序和环节（法律、法规另有规定的，从其规定）。</w:t>
      </w:r>
    </w:p>
    <w:p w14:paraId="59F587A4">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 定义</w:t>
      </w:r>
    </w:p>
    <w:p w14:paraId="3B617FB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266C4600">
      <w:pPr>
        <w:spacing w:line="360" w:lineRule="auto"/>
        <w:ind w:firstLine="420"/>
        <w:rPr>
          <w:rFonts w:ascii="宋体" w:hAnsi="宋体"/>
          <w:b/>
          <w:color w:val="auto"/>
          <w:szCs w:val="21"/>
          <w:highlight w:val="none"/>
        </w:rPr>
      </w:pPr>
      <w:r>
        <w:rPr>
          <w:rFonts w:hint="eastAsia" w:ascii="宋体" w:hAnsi="宋体" w:cs="宋体"/>
          <w:color w:val="auto"/>
          <w:szCs w:val="21"/>
          <w:highlight w:val="none"/>
        </w:rPr>
        <w:t>2.2“采购代理机构”</w:t>
      </w:r>
      <w:r>
        <w:rPr>
          <w:rFonts w:hint="eastAsia" w:ascii="宋体" w:hAnsi="宋体"/>
          <w:b/>
          <w:color w:val="auto"/>
          <w:szCs w:val="21"/>
          <w:highlight w:val="none"/>
        </w:rPr>
        <w:t>是指政府采购集中采购机构和集中采购机构以外的采购代理机构。</w:t>
      </w:r>
    </w:p>
    <w:p w14:paraId="22C6374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2943915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2.4“货物”是指各种形态和种类的物品，包括原材料、燃料、设备、产品等。</w:t>
      </w:r>
    </w:p>
    <w:p w14:paraId="202C45D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2.5“竞标”是指按照本项目竞争性谈判公告或者邀请函规定的方式供应商获取谈判文件、提交响应文件并希望获得成交资格的行为。</w:t>
      </w:r>
    </w:p>
    <w:p w14:paraId="5D805DF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2.6“售后服务” 是指包含但不限于供应商须承担的备品备件、包装、运输、装卸、保险、货到就位以及安装、调试、培训、保修和其他类似的义务。</w:t>
      </w:r>
    </w:p>
    <w:p w14:paraId="20A289A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2.7“书面形式”是指合同书、信件和数据电文（包括电报、电传、传真、电子数据交换和电子邮件）等可以有形地表现所载内容的形式。</w:t>
      </w:r>
    </w:p>
    <w:p w14:paraId="168898B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2.8“响应文件”</w:t>
      </w:r>
      <w:r>
        <w:rPr>
          <w:rFonts w:hint="eastAsia" w:ascii="宋体" w:hAnsi="宋体" w:cs="宋体"/>
          <w:color w:val="auto"/>
          <w:spacing w:val="-6"/>
          <w:szCs w:val="21"/>
          <w:highlight w:val="none"/>
        </w:rPr>
        <w:t>是指：供应商根据本谈判文件要求，编制包含资格证明、报价、商务技术等所有内容的文件。</w:t>
      </w:r>
    </w:p>
    <w:p w14:paraId="1157DA1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2.9 “实质性要求”是指采购需求中带“▲”的条款或者不能负偏离的条款或者已经指明不满足按响应文件无效处理的条款。</w:t>
      </w:r>
    </w:p>
    <w:p w14:paraId="7257230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2.10“正偏离”，是指响应文件对谈判文件“采购需求”中有关条款作出优于条款要求并有利于采购人的响应情形；</w:t>
      </w:r>
    </w:p>
    <w:p w14:paraId="13E7F95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2.11“负偏离”，是指响应文件对谈判文件“采购需求”中有关条款作出的响应不满足条款要求，导致采购人要求不能得到满足的情形。</w:t>
      </w:r>
    </w:p>
    <w:p w14:paraId="45548BB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2.12“允许负偏离的条款”是指采购需求中的不属于“实质性要求”的条款。</w:t>
      </w:r>
    </w:p>
    <w:p w14:paraId="5781C06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2.13“首次报价”是指供应商提交的首次响应文件中的竞标报价。</w:t>
      </w:r>
    </w:p>
    <w:p w14:paraId="27BF1B17">
      <w:pPr>
        <w:spacing w:line="360" w:lineRule="auto"/>
        <w:ind w:firstLine="482"/>
        <w:contextualSpacing/>
        <w:rPr>
          <w:rFonts w:ascii="黑体" w:hAnsi="黑体" w:eastAsia="黑体" w:cs="宋体"/>
          <w:b/>
          <w:bCs/>
          <w:color w:val="auto"/>
          <w:sz w:val="24"/>
          <w:highlight w:val="none"/>
        </w:rPr>
      </w:pPr>
      <w:r>
        <w:rPr>
          <w:rFonts w:hint="eastAsia" w:ascii="黑体" w:hAnsi="黑体" w:eastAsia="黑体" w:cs="宋体"/>
          <w:b/>
          <w:bCs/>
          <w:color w:val="auto"/>
          <w:sz w:val="24"/>
          <w:highlight w:val="none"/>
        </w:rPr>
        <w:t>3. 供应商的资格条件</w:t>
      </w:r>
    </w:p>
    <w:p w14:paraId="697F1BDE">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4C5CFDAC">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4. 竞标费用</w:t>
      </w:r>
    </w:p>
    <w:p w14:paraId="267C8A2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竞标费用：供应商应承担参与本次采购活动有关的所有费用，包括但不限于获取谈判文件、勘查现场、编制和提交响应文件、参加谈判与应答、签订合同等，不论竞标结果如何，均应自行承担。</w:t>
      </w:r>
    </w:p>
    <w:p w14:paraId="12CCA568">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4FF232D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1995347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bCs/>
          <w:color w:val="auto"/>
          <w:szCs w:val="21"/>
          <w:highlight w:val="none"/>
        </w:rPr>
        <w:t>如接受联合体竞标，</w:t>
      </w:r>
      <w:r>
        <w:rPr>
          <w:rFonts w:hint="eastAsia" w:ascii="宋体" w:hAnsi="宋体" w:cs="宋体"/>
          <w:color w:val="auto"/>
          <w:szCs w:val="21"/>
          <w:highlight w:val="none"/>
        </w:rPr>
        <w:t>联合体竞标要求详见“供应商须知前附表”。</w:t>
      </w:r>
    </w:p>
    <w:p w14:paraId="0C0A1186">
      <w:pPr>
        <w:spacing w:line="360" w:lineRule="auto"/>
        <w:ind w:firstLine="420"/>
        <w:rPr>
          <w:rFonts w:ascii="宋体" w:hAnsi="宋体"/>
          <w:bCs/>
          <w:color w:val="auto"/>
          <w:szCs w:val="21"/>
          <w:highlight w:val="none"/>
        </w:rPr>
      </w:pPr>
      <w:bookmarkStart w:id="60" w:name="_Hlk66782192"/>
      <w:r>
        <w:rPr>
          <w:rFonts w:hint="eastAsia" w:ascii="宋体" w:hAnsi="宋体"/>
          <w:bCs/>
          <w:color w:val="auto"/>
          <w:szCs w:val="21"/>
          <w:highlight w:val="none"/>
        </w:rPr>
        <w:t>5.3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60"/>
    </w:p>
    <w:p w14:paraId="794EEAD0">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6393230C">
      <w:pPr>
        <w:pStyle w:val="225"/>
        <w:keepNext w:val="0"/>
        <w:keepLines w:val="0"/>
        <w:spacing w:before="0" w:after="0" w:line="360" w:lineRule="auto"/>
        <w:ind w:left="420"/>
        <w:rPr>
          <w:rFonts w:ascii="宋体" w:hAnsi="宋体"/>
          <w:b w:val="0"/>
          <w:color w:val="auto"/>
          <w:sz w:val="21"/>
          <w:szCs w:val="21"/>
          <w:highlight w:val="none"/>
        </w:rPr>
      </w:pPr>
      <w:bookmarkStart w:id="61" w:name="_Toc254970532"/>
      <w:bookmarkStart w:id="62" w:name="_Toc254970673"/>
      <w:r>
        <w:rPr>
          <w:rFonts w:hint="eastAsia" w:ascii="宋体" w:hAnsi="宋体"/>
          <w:b w:val="0"/>
          <w:color w:val="auto"/>
          <w:sz w:val="21"/>
          <w:szCs w:val="21"/>
          <w:highlight w:val="none"/>
        </w:rPr>
        <w:t>6.1本项目不允许转包。</w:t>
      </w:r>
    </w:p>
    <w:p w14:paraId="1EB47C5F">
      <w:pPr>
        <w:pStyle w:val="225"/>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0D140967">
      <w:pPr>
        <w:pStyle w:val="225"/>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6.3供应商根据谈判文件的规定和采购项目的实际情况，拟在成交后将成交项目的非主体、非关键性工作分包的，应当在响应文件中载明分包承担主体，分包承担主体应当具备相应资质条件且不得再次分包。</w:t>
      </w:r>
    </w:p>
    <w:p w14:paraId="54B9736F">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1"/>
      <w:bookmarkEnd w:id="62"/>
    </w:p>
    <w:p w14:paraId="698E39F2">
      <w:pPr>
        <w:spacing w:line="360" w:lineRule="auto"/>
        <w:ind w:firstLine="420"/>
        <w:rPr>
          <w:rFonts w:ascii="宋体" w:hAnsi="宋体" w:cs="宋体"/>
          <w:color w:val="auto"/>
          <w:szCs w:val="21"/>
          <w:highlight w:val="none"/>
        </w:rPr>
      </w:pPr>
      <w:bookmarkStart w:id="63" w:name="_8.1提供相同品牌产品且通过资格审查、符合性审查的不同投标人参加同一合"/>
      <w:bookmarkEnd w:id="63"/>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\l "_8.1"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7.1</w:t>
      </w:r>
      <w:r>
        <w:rPr>
          <w:rFonts w:hint="eastAsia" w:ascii="宋体" w:hAnsi="宋体" w:cs="宋体"/>
          <w:color w:val="auto"/>
          <w:szCs w:val="21"/>
          <w:highlight w:val="none"/>
        </w:rPr>
        <w:fldChar w:fldCharType="end"/>
      </w:r>
      <w:r>
        <w:rPr>
          <w:rFonts w:hint="eastAsia" w:ascii="宋体" w:hAnsi="宋体" w:cs="宋体"/>
          <w:color w:val="auto"/>
          <w:szCs w:val="21"/>
          <w:highlight w:val="none"/>
        </w:rPr>
        <w:t>提供相同品牌产品的不同供应商参加同一合同项下竞标的，以其中通过资格审查、符合性审查、谈判且最后报价最低的参加报价评审；最后报价相同的，由采购人或者采购人委托谈判小组按照“供应商须知前附表”规定的方式确定一个供应商获得成交人推荐资格，其他响应文件按无效处理。</w:t>
      </w:r>
    </w:p>
    <w:p w14:paraId="1051E3D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非单一产品采购项目，多家供应商提供的核心产品品牌相同的，按前款规定处理。</w:t>
      </w:r>
    </w:p>
    <w:p w14:paraId="309E6A4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7.2</w:t>
      </w:r>
      <w:r>
        <w:rPr>
          <w:rFonts w:hint="eastAsia" w:ascii="宋体" w:hAnsi="宋体"/>
          <w:color w:val="auto"/>
          <w:szCs w:val="21"/>
          <w:highlight w:val="none"/>
        </w:rPr>
        <w:t xml:space="preserve">如果本谈判文件要求提供供应商或制造商的资格、信誉、荣誉、业绩与企业认证等材料的，资格、信誉、荣誉、业绩与企业认证等必须为供应商或者制造商所拥有或自身获得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p w14:paraId="4860D27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7.3供应商应仔细阅读谈判文件的所有内容，按照谈判文件的要求提交响应文件，并对所提供的全部资料的真实性承担法律责任。</w:t>
      </w:r>
    </w:p>
    <w:p w14:paraId="45778F9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7.4供应商在竞标活动中提供任何虚假材料，其响应文件按无效处理，并报监管部门查处；签订合同后发现的，成交供应商须依照《中华人民共和国消费者权益保护法》规定赔偿采购人，且民事赔偿并不免除违法供应商的行政与刑事责任。</w:t>
      </w:r>
    </w:p>
    <w:p w14:paraId="16CCD56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7.5在政府采购活动中，采购人员及相关人员与供应商有下列利害关系之一的，应当回避：</w:t>
      </w:r>
    </w:p>
    <w:p w14:paraId="4B23645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27CD905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142608B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1228D1B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4301F14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3C93346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64DF89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7.6有下列情形之一的视为供应商相互串通竞标，响应文件将被视为无效：</w:t>
      </w:r>
    </w:p>
    <w:p w14:paraId="28464991">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（1）不同供应商的响应文件由同一单位或者个人编制；或不同供应商报名的IP地址一致的；</w:t>
      </w:r>
    </w:p>
    <w:p w14:paraId="2B8106A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0FE84F3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5E33CD1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044EE81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622A3E7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（6）不同供应商的竞标保证金从同一单位或者个人账户转出。</w:t>
      </w:r>
    </w:p>
    <w:p w14:paraId="09ABA7C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7.7供应商有下列情形之一的，属于恶意串通行为</w:t>
      </w:r>
      <w:bookmarkStart w:id="64" w:name="_Hlk54682620"/>
      <w:r>
        <w:rPr>
          <w:rFonts w:hint="eastAsia" w:ascii="宋体" w:hAnsi="宋体" w:cs="宋体"/>
          <w:color w:val="auto"/>
          <w:szCs w:val="21"/>
          <w:highlight w:val="none"/>
        </w:rPr>
        <w:t>，将报同级监督管理部门</w:t>
      </w:r>
      <w:bookmarkEnd w:id="64"/>
      <w:r>
        <w:rPr>
          <w:rFonts w:hint="eastAsia" w:ascii="宋体" w:hAnsi="宋体" w:cs="宋体"/>
          <w:color w:val="auto"/>
          <w:szCs w:val="21"/>
          <w:highlight w:val="none"/>
        </w:rPr>
        <w:t>：</w:t>
      </w:r>
    </w:p>
    <w:p w14:paraId="19509F3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44F8C89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1734FB6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669CE253">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2BA3706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381D037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4C1B3F2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4C52A138">
      <w:pPr>
        <w:pStyle w:val="226"/>
        <w:spacing w:line="360" w:lineRule="auto"/>
        <w:rPr>
          <w:rFonts w:ascii="宋体" w:hAnsi="宋体"/>
          <w:color w:val="auto"/>
          <w:highlight w:val="none"/>
        </w:rPr>
      </w:pPr>
      <w:r>
        <w:rPr>
          <w:rFonts w:ascii="宋体" w:hAnsi="宋体"/>
          <w:color w:val="auto"/>
          <w:highlight w:val="none"/>
        </w:rPr>
        <w:t>7.8</w:t>
      </w:r>
      <w:r>
        <w:rPr>
          <w:rFonts w:hint="eastAsia" w:ascii="宋体" w:hAnsi="宋体"/>
          <w:color w:val="auto"/>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FFCA52">
      <w:pPr>
        <w:pStyle w:val="226"/>
        <w:spacing w:line="360" w:lineRule="auto"/>
        <w:rPr>
          <w:rFonts w:ascii="宋体" w:hAnsi="宋体"/>
          <w:color w:val="auto"/>
          <w:highlight w:val="none"/>
        </w:rPr>
      </w:pPr>
      <w:r>
        <w:rPr>
          <w:rFonts w:hint="eastAsia" w:ascii="宋体" w:hAnsi="宋体"/>
          <w:color w:val="auto"/>
          <w:highlight w:val="none"/>
        </w:rPr>
        <w:t>产品在中国境内生产的组件成本占比应当达到规定比例，计算公式为：</w:t>
      </w:r>
    </w:p>
    <w:p w14:paraId="280171A0">
      <w:pPr>
        <w:widowControl/>
        <w:shd w:val="clear" w:color="auto" w:fill="FFFFFF"/>
        <w:spacing w:before="30" w:after="30" w:line="360" w:lineRule="auto"/>
        <w:jc w:val="center"/>
        <w:rPr>
          <w:rFonts w:ascii="宋体" w:hAnsi="宋体" w:cs="宋体"/>
          <w:color w:val="auto"/>
          <w:sz w:val="24"/>
          <w:highlight w:val="none"/>
        </w:rPr>
      </w:pPr>
      <w:r>
        <w:rPr>
          <w:rFonts w:ascii="宋体" w:hAnsi="宋体" w:cs="宋体"/>
          <w:color w:val="auto"/>
          <w:sz w:val="24"/>
          <w:highlight w:val="none"/>
        </w:rPr>
        <w:drawing>
          <wp:inline distT="0" distB="0" distL="0" distR="0">
            <wp:extent cx="4831080" cy="763270"/>
            <wp:effectExtent l="0" t="0" r="7620" b="177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4831080" cy="763270"/>
                    </a:xfrm>
                    <a:prstGeom prst="rect">
                      <a:avLst/>
                    </a:prstGeom>
                    <a:noFill/>
                    <a:ln>
                      <a:noFill/>
                    </a:ln>
                  </pic:spPr>
                </pic:pic>
              </a:graphicData>
            </a:graphic>
          </wp:inline>
        </w:drawing>
      </w:r>
    </w:p>
    <w:p w14:paraId="5A70C5B0">
      <w:pPr>
        <w:pStyle w:val="226"/>
        <w:spacing w:line="360" w:lineRule="auto"/>
        <w:rPr>
          <w:rFonts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335CE47A">
      <w:pPr>
        <w:pStyle w:val="226"/>
        <w:spacing w:line="360" w:lineRule="auto"/>
        <w:rPr>
          <w:rFonts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14:paraId="0DB5F99C">
      <w:pPr>
        <w:pStyle w:val="226"/>
        <w:spacing w:line="360" w:lineRule="auto"/>
        <w:rPr>
          <w:rFonts w:ascii="宋体" w:hAnsi="宋体"/>
          <w:color w:val="auto"/>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9358E9F">
      <w:pPr>
        <w:spacing w:line="360" w:lineRule="auto"/>
        <w:ind w:left="1" w:firstLine="417"/>
        <w:jc w:val="center"/>
        <w:rPr>
          <w:rFonts w:ascii="宋体" w:hAnsi="宋体"/>
          <w:color w:val="auto"/>
          <w:highlight w:val="none"/>
        </w:rPr>
      </w:pPr>
    </w:p>
    <w:p w14:paraId="36AD1F09">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二、谈判文件</w:t>
      </w:r>
    </w:p>
    <w:p w14:paraId="2A8C7BBB">
      <w:pPr>
        <w:spacing w:line="360" w:lineRule="auto"/>
        <w:jc w:val="center"/>
        <w:rPr>
          <w:rFonts w:ascii="宋体" w:hAnsi="宋体"/>
          <w:color w:val="auto"/>
          <w:szCs w:val="21"/>
          <w:highlight w:val="none"/>
        </w:rPr>
      </w:pPr>
    </w:p>
    <w:p w14:paraId="6A737824">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8.谈判文件的构成</w:t>
      </w:r>
    </w:p>
    <w:p w14:paraId="6AD4FAA8">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（1）竞争性谈判公告/竞标邀请函；</w:t>
      </w:r>
    </w:p>
    <w:p w14:paraId="07A0E95C">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 xml:space="preserve">（2）供应商须知； </w:t>
      </w:r>
    </w:p>
    <w:p w14:paraId="4325184F">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（3）采购需求；</w:t>
      </w:r>
    </w:p>
    <w:p w14:paraId="012256C9">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（4）响应文件格式</w:t>
      </w:r>
    </w:p>
    <w:p w14:paraId="1D680675">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（5）合同文本；</w:t>
      </w:r>
    </w:p>
    <w:p w14:paraId="3ACC7B24">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（6）评审程序和评定成交的标准；</w:t>
      </w:r>
    </w:p>
    <w:p w14:paraId="519CE1BE">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0A8D0719">
      <w:pPr>
        <w:spacing w:line="360" w:lineRule="auto"/>
        <w:ind w:firstLine="420"/>
        <w:rPr>
          <w:rFonts w:ascii="宋体" w:hAnsi="宋体"/>
          <w:color w:val="auto"/>
          <w:szCs w:val="21"/>
          <w:highlight w:val="none"/>
        </w:rPr>
      </w:pPr>
      <w:r>
        <w:rPr>
          <w:rFonts w:hint="eastAsia" w:ascii="宋体" w:hAnsi="宋体"/>
          <w:color w:val="auto"/>
          <w:szCs w:val="21"/>
          <w:highlight w:val="none"/>
        </w:rPr>
        <w:t>供应商应认真阅读谈判文件的采购需求，如供应商对谈判文件有疑问的，如要求采购人作出澄清或者修改的，供应商应在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5F561216">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10.谈判文件的澄清和修改</w:t>
      </w:r>
    </w:p>
    <w:p w14:paraId="0400C531">
      <w:pPr>
        <w:spacing w:line="360" w:lineRule="auto"/>
        <w:ind w:firstLine="420"/>
        <w:rPr>
          <w:rFonts w:ascii="宋体" w:hAnsi="宋体"/>
          <w:color w:val="auto"/>
          <w:szCs w:val="21"/>
          <w:highlight w:val="none"/>
        </w:rPr>
      </w:pPr>
      <w:r>
        <w:rPr>
          <w:rFonts w:ascii="宋体" w:hAnsi="宋体"/>
          <w:color w:val="auto"/>
          <w:szCs w:val="21"/>
          <w:highlight w:val="none"/>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2C998B32">
      <w:pPr>
        <w:spacing w:line="360" w:lineRule="auto"/>
        <w:rPr>
          <w:rFonts w:ascii="宋体" w:hAnsi="宋体"/>
          <w:color w:val="auto"/>
          <w:szCs w:val="21"/>
          <w:highlight w:val="none"/>
        </w:rPr>
      </w:pPr>
    </w:p>
    <w:p w14:paraId="197DBEF4">
      <w:pPr>
        <w:spacing w:line="360" w:lineRule="auto"/>
        <w:jc w:val="center"/>
        <w:rPr>
          <w:rFonts w:ascii="宋体" w:hAnsi="宋体"/>
          <w:b/>
          <w:color w:val="auto"/>
          <w:szCs w:val="21"/>
          <w:highlight w:val="none"/>
        </w:rPr>
      </w:pPr>
      <w:r>
        <w:rPr>
          <w:rFonts w:hint="eastAsia" w:ascii="宋体" w:hAnsi="宋体"/>
          <w:b/>
          <w:color w:val="auto"/>
          <w:sz w:val="32"/>
          <w:szCs w:val="32"/>
          <w:highlight w:val="none"/>
        </w:rPr>
        <w:t>三、响应文件的编制</w:t>
      </w:r>
    </w:p>
    <w:p w14:paraId="08135C8D">
      <w:pPr>
        <w:spacing w:line="360" w:lineRule="auto"/>
        <w:rPr>
          <w:rFonts w:ascii="宋体" w:hAnsi="宋体"/>
          <w:color w:val="auto"/>
          <w:szCs w:val="21"/>
          <w:highlight w:val="none"/>
        </w:rPr>
      </w:pPr>
    </w:p>
    <w:p w14:paraId="69D252C1">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44BDA58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供应商必须按照谈判文件的要求编制响应文件，并对其提交的响应文件的真实性、合法性承担法律责任。响应文件必须对谈判文件作出实质性响应。</w:t>
      </w:r>
    </w:p>
    <w:p w14:paraId="3A843011">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7C34D7F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w:t>
      </w:r>
      <w:r>
        <w:rPr>
          <w:rFonts w:hint="eastAsia" w:ascii="宋体" w:hAnsi="宋体" w:cs="宋体"/>
          <w:color w:val="auto"/>
          <w:szCs w:val="21"/>
          <w:highlight w:val="none"/>
        </w:rPr>
        <w:t>响应文件由资格证明文件、报价文件、商务技术文件三部分组成。</w:t>
      </w:r>
    </w:p>
    <w:p w14:paraId="124DE5C4">
      <w:pPr>
        <w:spacing w:line="360" w:lineRule="auto"/>
        <w:ind w:left="840" w:hanging="420"/>
        <w:rPr>
          <w:rFonts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r>
        <w:rPr>
          <w:rFonts w:hint="eastAsia" w:ascii="宋体" w:hAnsi="宋体" w:cs="宋体"/>
          <w:color w:val="auto"/>
          <w:szCs w:val="21"/>
          <w:highlight w:val="none"/>
        </w:rPr>
        <w:t>资格证明文件：详见“供应商须知前附表”</w:t>
      </w:r>
    </w:p>
    <w:p w14:paraId="51744B2C">
      <w:pPr>
        <w:spacing w:line="360" w:lineRule="auto"/>
        <w:ind w:left="840" w:hanging="420"/>
        <w:rPr>
          <w:rFonts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2报价文件：详见“供应商须知前附表”</w:t>
      </w:r>
    </w:p>
    <w:p w14:paraId="7574AEF2">
      <w:pPr>
        <w:spacing w:line="360" w:lineRule="auto"/>
        <w:ind w:left="840" w:hanging="420"/>
        <w:rPr>
          <w:rFonts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1868838F">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7C8BD25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1B119286">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0C2EF1A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供应商没有按照谈判文件要求提供全部资料，或者供应商没有对谈判文件在各方面作出实质性响应可能导致其响应文件按无效处理，是供应商应当考虑的风险。</w:t>
      </w:r>
    </w:p>
    <w:p w14:paraId="7FF863E2">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771CD05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15.1竞标报价应按谈判文件中“竞标报价表”格式填写。</w:t>
      </w:r>
    </w:p>
    <w:p w14:paraId="27722B9F">
      <w:pPr>
        <w:tabs>
          <w:tab w:val="left" w:pos="2492"/>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15.2竞标报价的内容详见“供应商须知前附表”。</w:t>
      </w:r>
    </w:p>
    <w:p w14:paraId="62003047">
      <w:pPr>
        <w:spacing w:line="360" w:lineRule="auto"/>
        <w:ind w:left="426"/>
        <w:rPr>
          <w:rFonts w:ascii="宋体" w:hAnsi="宋体" w:cs="宋体"/>
          <w:color w:val="auto"/>
          <w:szCs w:val="21"/>
          <w:highlight w:val="none"/>
        </w:rPr>
      </w:pPr>
      <w:r>
        <w:rPr>
          <w:rFonts w:hint="eastAsia" w:ascii="宋体" w:hAnsi="宋体" w:cs="宋体"/>
          <w:color w:val="auto"/>
          <w:szCs w:val="21"/>
          <w:highlight w:val="none"/>
        </w:rPr>
        <w:t>15.3竞标报价要求</w:t>
      </w:r>
    </w:p>
    <w:p w14:paraId="3C48F28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5.3.1</w:t>
      </w:r>
      <w:r>
        <w:rPr>
          <w:rFonts w:hint="eastAsia" w:ascii="宋体" w:hAnsi="宋体" w:cs="宋体"/>
          <w:color w:val="auto"/>
          <w:szCs w:val="21"/>
          <w:highlight w:val="none"/>
        </w:rPr>
        <w:t>供应商的竞标报价应符合以下要求，否则响应文件按无效响应处理：</w:t>
      </w:r>
    </w:p>
    <w:p w14:paraId="558C091E">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w:t>
      </w:r>
    </w:p>
    <w:p w14:paraId="78469DF6">
      <w:pPr>
        <w:spacing w:line="360" w:lineRule="auto"/>
        <w:rPr>
          <w:rFonts w:ascii="宋体" w:hAnsi="宋体" w:cs="宋体"/>
          <w:color w:val="auto"/>
          <w:szCs w:val="21"/>
          <w:highlight w:val="none"/>
        </w:rPr>
      </w:pPr>
      <w:r>
        <w:rPr>
          <w:rFonts w:hint="eastAsia" w:ascii="宋体" w:hAnsi="宋体" w:cs="宋体"/>
          <w:color w:val="auto"/>
          <w:szCs w:val="21"/>
          <w:highlight w:val="none"/>
        </w:rPr>
        <w:t>不得存在漏项报价；</w:t>
      </w:r>
    </w:p>
    <w:p w14:paraId="4826CCF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）供应商必须就所竞标的分标的单项内容作唯一报价。</w:t>
      </w:r>
    </w:p>
    <w:p w14:paraId="13912D0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竞标报价（包含首次报价、最后报价）超过所竞标分标规定的采购预算金额或者最高限价的，其响应文件将按无效处理。</w:t>
      </w:r>
    </w:p>
    <w:p w14:paraId="4378C8C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3</w:t>
      </w:r>
      <w:r>
        <w:rPr>
          <w:rFonts w:hint="eastAsia" w:ascii="宋体" w:hAnsi="宋体" w:cs="宋体"/>
          <w:color w:val="auto"/>
          <w:szCs w:val="21"/>
          <w:highlight w:val="none"/>
        </w:rPr>
        <w:t>竞标报价（包含首次报价、最后报价）超过分项采购预算金额或者最高限价的，其响应文件将按无效处理。</w:t>
      </w:r>
    </w:p>
    <w:p w14:paraId="0BBB1100">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2287E1E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51F2178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r>
        <w:rPr>
          <w:rFonts w:hint="eastAsia" w:ascii="宋体" w:hAnsi="宋体"/>
          <w:color w:val="auto"/>
          <w:szCs w:val="21"/>
          <w:highlight w:val="none"/>
        </w:rPr>
        <w:t>承诺的竞标有效期低于采购文件规定期限的，供应商的响应文件作无效处理。</w:t>
      </w:r>
    </w:p>
    <w:p w14:paraId="4F7DBA9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256BE1D6">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17.竞标保证金</w:t>
      </w:r>
    </w:p>
    <w:p w14:paraId="36C3A450">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17.1供应商须按“供应商须知前附表”的规定提交竞标保证金。</w:t>
      </w:r>
    </w:p>
    <w:p w14:paraId="0A83552D">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17.2竞标保证金的退还</w:t>
      </w:r>
    </w:p>
    <w:p w14:paraId="6B67571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成交供应商的竞标保证金自成交通知书发出之日起5个工作日内退还</w:t>
      </w:r>
      <w:r>
        <w:rPr>
          <w:rFonts w:hint="eastAsia" w:ascii="宋体" w:hAnsi="宋体"/>
          <w:color w:val="auto"/>
          <w:szCs w:val="21"/>
          <w:highlight w:val="none"/>
        </w:rPr>
        <w:t>；</w:t>
      </w:r>
      <w:r>
        <w:rPr>
          <w:rFonts w:hint="eastAsia" w:ascii="宋体" w:hAnsi="宋体" w:cs="宋体"/>
          <w:color w:val="auto"/>
          <w:szCs w:val="21"/>
          <w:highlight w:val="none"/>
        </w:rPr>
        <w:t xml:space="preserve">成交供应商的竞标保证金自签订合同之日起5个工作日内退还。 </w:t>
      </w:r>
    </w:p>
    <w:p w14:paraId="768512F3">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17.3竞标保证金不计息。</w:t>
      </w:r>
    </w:p>
    <w:p w14:paraId="6A34EF62">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 xml:space="preserve">17.4供应商有下列情形之一的，竞标保证金将不予退还： </w:t>
      </w:r>
    </w:p>
    <w:p w14:paraId="0BD06D3A">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55FB0FC1">
      <w:pPr>
        <w:spacing w:line="360" w:lineRule="auto"/>
        <w:ind w:left="420"/>
        <w:rPr>
          <w:rFonts w:ascii="宋体" w:hAnsi="宋体" w:cs="宋体"/>
          <w:color w:val="auto"/>
          <w:szCs w:val="21"/>
          <w:highlight w:val="none"/>
        </w:rPr>
      </w:pPr>
      <w:r>
        <w:rPr>
          <w:rFonts w:hint="eastAsia" w:ascii="宋体" w:hAnsi="宋体"/>
          <w:color w:val="auto"/>
          <w:szCs w:val="21"/>
          <w:highlight w:val="none"/>
        </w:rPr>
        <w:t>（2）未按规定提交履约保证金的；</w:t>
      </w:r>
    </w:p>
    <w:p w14:paraId="1B98361C">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39607F3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（4）除因不可抗力或者谈判文件认可的情形以外，成交供应商不与采购人签订合同的；</w:t>
      </w:r>
    </w:p>
    <w:p w14:paraId="45FDB09B">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306D10A9">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（6）法律法规规定的其他情形。</w:t>
      </w:r>
    </w:p>
    <w:p w14:paraId="632501E1">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18. 响应文件编制的要求</w:t>
      </w:r>
    </w:p>
    <w:p w14:paraId="1DC5F07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18.1供应商应按照本项目谈判文件规定的格式和顺序和广西政府采购云平台的要求编制并加密。响应文件内容不完整、编排混乱导致响应文件被误读、漏读或者查找不到相关内容的，由此引发的后果由供应商承担。</w:t>
      </w:r>
    </w:p>
    <w:p w14:paraId="4DA6523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00AC7A5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73DE598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341EA9C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17631839">
      <w:pPr>
        <w:spacing w:line="360" w:lineRule="auto"/>
        <w:ind w:firstLine="482"/>
        <w:rPr>
          <w:rFonts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4FA504A5">
      <w:pPr>
        <w:spacing w:line="360" w:lineRule="auto"/>
        <w:ind w:firstLine="420"/>
        <w:rPr>
          <w:rFonts w:ascii="黑体" w:hAnsi="黑体" w:eastAsia="黑体"/>
          <w:color w:val="auto"/>
          <w:sz w:val="24"/>
          <w:highlight w:val="none"/>
        </w:rPr>
      </w:pPr>
      <w:r>
        <w:rPr>
          <w:rFonts w:hint="eastAsia"/>
          <w:color w:val="auto"/>
          <w:highlight w:val="none"/>
        </w:rPr>
        <w:t>电子备份响应文件是指通过在线编制生成且后缀名为“</w:t>
      </w:r>
      <w:r>
        <w:rPr>
          <w:color w:val="auto"/>
          <w:highlight w:val="none"/>
        </w:rPr>
        <w:t>bfbs</w:t>
      </w:r>
      <w:r>
        <w:rPr>
          <w:rFonts w:hint="eastAsia"/>
          <w:color w:val="auto"/>
          <w:highlight w:val="none"/>
        </w:rPr>
        <w:t>”的文件，是否接受电子备份响应文件详见</w:t>
      </w:r>
      <w:r>
        <w:rPr>
          <w:rFonts w:hint="eastAsia" w:hAnsi="宋体"/>
          <w:bCs/>
          <w:color w:val="auto"/>
          <w:szCs w:val="21"/>
          <w:highlight w:val="none"/>
        </w:rPr>
        <w:t>“供应商须知前附表”。</w:t>
      </w:r>
    </w:p>
    <w:p w14:paraId="08B001CA">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63415FAC">
      <w:pPr>
        <w:spacing w:line="360" w:lineRule="auto"/>
        <w:ind w:firstLine="420"/>
        <w:rPr>
          <w:rFonts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5E0039A7">
      <w:pPr>
        <w:spacing w:line="360" w:lineRule="auto"/>
        <w:ind w:firstLine="422"/>
        <w:rPr>
          <w:rFonts w:ascii="宋体" w:hAnsi="宋体"/>
          <w:b/>
          <w:color w:val="auto"/>
          <w:szCs w:val="20"/>
          <w:highlight w:val="none"/>
        </w:rPr>
      </w:pPr>
      <w:r>
        <w:rPr>
          <w:rFonts w:hint="eastAsia" w:ascii="宋体" w:hAnsi="宋体"/>
          <w:b/>
          <w:color w:val="auto"/>
          <w:szCs w:val="21"/>
          <w:highlight w:val="none"/>
        </w:rPr>
        <w:t>20.</w:t>
      </w:r>
      <w:r>
        <w:rPr>
          <w:rFonts w:ascii="宋体" w:hAnsi="宋体"/>
          <w:b/>
          <w:color w:val="auto"/>
          <w:szCs w:val="21"/>
          <w:highlight w:val="none"/>
        </w:rPr>
        <w:t>2</w:t>
      </w:r>
      <w:r>
        <w:rPr>
          <w:rFonts w:hint="eastAsia" w:ascii="宋体" w:hAnsi="宋体"/>
          <w:b/>
          <w:color w:val="auto"/>
          <w:szCs w:val="21"/>
          <w:highlight w:val="none"/>
        </w:rPr>
        <w:t>未在规定时间内提交或者未按照谈判文件要求加密的电子响应文件，广西政府采购云平台将拒收。</w:t>
      </w:r>
    </w:p>
    <w:p w14:paraId="49B09249">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15E8D376">
      <w:pPr>
        <w:spacing w:line="360" w:lineRule="auto"/>
        <w:ind w:firstLine="420"/>
        <w:jc w:val="left"/>
        <w:rPr>
          <w:rFonts w:ascii="宋体" w:hAnsi="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1.1</w:t>
      </w:r>
      <w:r>
        <w:rPr>
          <w:rFonts w:hint="eastAsia" w:ascii="宋体" w:hAnsi="宋体"/>
          <w:bCs/>
          <w:color w:val="auto"/>
          <w:szCs w:val="21"/>
          <w:highlight w:val="none"/>
        </w:rPr>
        <w:t>供应商应当在</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szCs w:val="21"/>
          <w:highlight w:val="none"/>
        </w:rPr>
        <w:t>广西政府采购云平台，</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“电子投标文件制作与投送教程”）</w:t>
      </w:r>
    </w:p>
    <w:p w14:paraId="200520A6">
      <w:pPr>
        <w:pStyle w:val="277"/>
        <w:spacing w:before="0"/>
        <w:ind w:firstLine="420"/>
        <w:rPr>
          <w:rFonts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7FC23E6B">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22.响应文件的退回</w:t>
      </w:r>
    </w:p>
    <w:p w14:paraId="59E17EF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3AD09961">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6F98FB4C">
      <w:pPr>
        <w:spacing w:line="360" w:lineRule="auto"/>
        <w:ind w:firstLine="420"/>
        <w:rPr>
          <w:rFonts w:ascii="宋体" w:hAnsi="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供应商在响应文件提交截止时间后向采购人、采购代理机构书面申请撤回响应文件的，将根据本须知正文第17.4条的规定不予退还其竞标保证金。</w:t>
      </w:r>
    </w:p>
    <w:p w14:paraId="5AED8360">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四、评审及谈判</w:t>
      </w:r>
    </w:p>
    <w:p w14:paraId="64D5E1F3">
      <w:pPr>
        <w:spacing w:line="360" w:lineRule="auto"/>
        <w:ind w:left="420" w:firstLine="420"/>
        <w:rPr>
          <w:rFonts w:ascii="宋体" w:hAnsi="宋体"/>
          <w:color w:val="auto"/>
          <w:szCs w:val="21"/>
          <w:highlight w:val="none"/>
        </w:rPr>
      </w:pPr>
    </w:p>
    <w:p w14:paraId="7C4A0C94">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24.谈判小组成立</w:t>
      </w:r>
    </w:p>
    <w:p w14:paraId="3FD179C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24.1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6239DCC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60D78014">
      <w:pPr>
        <w:spacing w:line="360" w:lineRule="auto"/>
        <w:ind w:firstLine="420"/>
        <w:rPr>
          <w:rFonts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46596B8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24.4参加过采购项目前期咨询论证的专家，不得参加该采购项目的评审活动。</w:t>
      </w:r>
    </w:p>
    <w:p w14:paraId="6F7F52AA">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 xml:space="preserve"> 首次响应文件的开启和解密</w:t>
      </w:r>
    </w:p>
    <w:p w14:paraId="0293332E">
      <w:pPr>
        <w:spacing w:line="360" w:lineRule="auto"/>
        <w:ind w:firstLine="420"/>
        <w:rPr>
          <w:rFonts w:ascii="黑体" w:hAnsi="黑体" w:eastAsia="黑体" w:cs="宋体"/>
          <w:b/>
          <w:bCs/>
          <w:color w:val="auto"/>
          <w:sz w:val="24"/>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间通过电子交易平台组织响应文件开启，供应商的法定代表人或其委托代理人须携带加密时所用的CA锁，按平台提示和谈判文件的规定登录到广西政府采购云平台电子开标大厅签到，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b/>
          <w:color w:val="auto"/>
          <w:highlight w:val="none"/>
        </w:rPr>
        <w:t>。</w:t>
      </w:r>
    </w:p>
    <w:p w14:paraId="641F2315">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 评审程序和评定成交的标准</w:t>
      </w:r>
    </w:p>
    <w:p w14:paraId="1991BF64">
      <w:pPr>
        <w:spacing w:line="360" w:lineRule="auto"/>
        <w:ind w:firstLine="420"/>
        <w:rPr>
          <w:color w:val="auto"/>
          <w:highlight w:val="none"/>
        </w:rPr>
      </w:pPr>
      <w:r>
        <w:rPr>
          <w:rFonts w:hint="eastAsia"/>
          <w:color w:val="auto"/>
          <w:highlight w:val="none"/>
        </w:rPr>
        <w:t>26.1谈判小组按照“第四章  评审程序和评定成交的标准”规定的评审程序对响应文件进行评审，并按照评定成交的标准推荐成交候选供应商。评审价相同时，成交候选供应商推荐顺序见</w:t>
      </w:r>
      <w:r>
        <w:rPr>
          <w:rFonts w:hint="eastAsia" w:ascii="宋体" w:hAnsi="宋体"/>
          <w:color w:val="auto"/>
          <w:szCs w:val="21"/>
          <w:highlight w:val="none"/>
        </w:rPr>
        <w:t>“供应商须知前附表”。</w:t>
      </w:r>
    </w:p>
    <w:p w14:paraId="076812E2">
      <w:pPr>
        <w:spacing w:line="360" w:lineRule="auto"/>
        <w:ind w:firstLine="42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6.2 </w:t>
      </w:r>
      <w:r>
        <w:rPr>
          <w:rFonts w:hint="eastAsia" w:ascii="宋体" w:hAnsi="宋体"/>
          <w:color w:val="auto"/>
          <w:szCs w:val="21"/>
          <w:highlight w:val="none"/>
        </w:rPr>
        <w:t>商务/技术要求允许负偏离的条款数详见“供应商须知前附表”。</w:t>
      </w:r>
    </w:p>
    <w:p w14:paraId="3EA91A61">
      <w:pPr>
        <w:spacing w:line="360" w:lineRule="auto"/>
        <w:ind w:firstLine="420"/>
        <w:rPr>
          <w:rFonts w:ascii="宋体" w:hAnsi="宋体"/>
          <w:color w:val="auto"/>
          <w:szCs w:val="21"/>
          <w:highlight w:val="none"/>
        </w:rPr>
      </w:pPr>
      <w:r>
        <w:rPr>
          <w:rFonts w:hint="eastAsia" w:ascii="宋体" w:hAnsi="宋体" w:cs="宋体"/>
          <w:color w:val="auto"/>
          <w:highlight w:val="none"/>
        </w:rPr>
        <w:t>26.3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7865D081">
      <w:pPr>
        <w:spacing w:line="360" w:lineRule="auto"/>
        <w:ind w:firstLine="420"/>
        <w:rPr>
          <w:rFonts w:hAnsi="宋体"/>
          <w:color w:val="auto"/>
          <w:highlight w:val="none"/>
        </w:rPr>
      </w:pPr>
      <w:r>
        <w:rPr>
          <w:rFonts w:hint="eastAsia" w:ascii="宋体" w:hAnsi="宋体"/>
          <w:color w:val="auto"/>
          <w:highlight w:val="none"/>
        </w:rPr>
        <w:t>2</w:t>
      </w:r>
      <w:r>
        <w:rPr>
          <w:rFonts w:ascii="宋体" w:hAnsi="宋体"/>
          <w:color w:val="auto"/>
          <w:highlight w:val="none"/>
        </w:rPr>
        <w:t>6.</w:t>
      </w:r>
      <w:r>
        <w:rPr>
          <w:rFonts w:hint="eastAsia" w:ascii="宋体" w:hAnsi="宋体"/>
          <w:color w:val="auto"/>
          <w:highlight w:val="none"/>
        </w:rPr>
        <w:t>4</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74FCD9D3">
      <w:pPr>
        <w:spacing w:line="360" w:lineRule="auto"/>
        <w:ind w:firstLine="420"/>
        <w:rPr>
          <w:rFonts w:hAnsi="宋体"/>
          <w:color w:val="auto"/>
          <w:highlight w:val="none"/>
        </w:rPr>
      </w:pPr>
      <w:r>
        <w:rPr>
          <w:rFonts w:hint="eastAsia" w:hAnsi="宋体"/>
          <w:color w:val="auto"/>
          <w:highlight w:val="none"/>
        </w:rPr>
        <w:t xml:space="preserve">（1）电子交易平台发生故障而无法登录访问的； </w:t>
      </w:r>
    </w:p>
    <w:p w14:paraId="233D6253">
      <w:pPr>
        <w:spacing w:line="360" w:lineRule="auto"/>
        <w:ind w:firstLine="420"/>
        <w:rPr>
          <w:rFonts w:hAnsi="宋体"/>
          <w:color w:val="auto"/>
          <w:highlight w:val="none"/>
        </w:rPr>
      </w:pPr>
      <w:r>
        <w:rPr>
          <w:rFonts w:hint="eastAsia" w:hAnsi="宋体"/>
          <w:color w:val="auto"/>
          <w:highlight w:val="none"/>
        </w:rPr>
        <w:t>（2）电子交易平台应用或数据库出现错误，不能进行正常操作的；</w:t>
      </w:r>
    </w:p>
    <w:p w14:paraId="04F1C892">
      <w:pPr>
        <w:spacing w:line="360" w:lineRule="auto"/>
        <w:ind w:firstLine="420"/>
        <w:rPr>
          <w:rFonts w:hAnsi="宋体"/>
          <w:color w:val="auto"/>
          <w:highlight w:val="none"/>
        </w:rPr>
      </w:pPr>
      <w:r>
        <w:rPr>
          <w:rFonts w:hint="eastAsia" w:hAnsi="宋体"/>
          <w:color w:val="auto"/>
          <w:highlight w:val="none"/>
        </w:rPr>
        <w:t>（3）电子交易平台发现严重安全漏洞，有潜在泄密危险的；</w:t>
      </w:r>
    </w:p>
    <w:p w14:paraId="4AA84847">
      <w:pPr>
        <w:spacing w:line="360" w:lineRule="auto"/>
        <w:ind w:firstLine="420"/>
        <w:rPr>
          <w:rFonts w:hAnsi="宋体"/>
          <w:color w:val="auto"/>
          <w:highlight w:val="none"/>
        </w:rPr>
      </w:pPr>
      <w:r>
        <w:rPr>
          <w:rFonts w:hint="eastAsia" w:hAnsi="宋体"/>
          <w:color w:val="auto"/>
          <w:highlight w:val="none"/>
        </w:rPr>
        <w:t xml:space="preserve">（4）病毒发作导致不能进行正常操作的； </w:t>
      </w:r>
    </w:p>
    <w:p w14:paraId="34E9B152">
      <w:pPr>
        <w:spacing w:line="360" w:lineRule="auto"/>
        <w:ind w:firstLine="420"/>
        <w:rPr>
          <w:rFonts w:hAnsi="宋体"/>
          <w:color w:val="auto"/>
          <w:highlight w:val="none"/>
        </w:rPr>
      </w:pPr>
      <w:r>
        <w:rPr>
          <w:rFonts w:hint="eastAsia" w:hAnsi="宋体"/>
          <w:color w:val="auto"/>
          <w:highlight w:val="none"/>
        </w:rPr>
        <w:t>（5）其他无法保证电子交易的公平、公正和安全的情况。</w:t>
      </w:r>
    </w:p>
    <w:p w14:paraId="0444755A">
      <w:pPr>
        <w:spacing w:line="360" w:lineRule="auto"/>
        <w:ind w:firstLine="420"/>
        <w:rPr>
          <w:rFonts w:hAnsi="宋体"/>
          <w:color w:val="auto"/>
          <w:highlight w:val="none"/>
        </w:rPr>
      </w:pPr>
      <w:r>
        <w:rPr>
          <w:rFonts w:hint="eastAsia" w:ascii="宋体" w:hAnsi="宋体"/>
          <w:color w:val="auto"/>
          <w:highlight w:val="none"/>
        </w:rPr>
        <w:t>26.</w:t>
      </w:r>
      <w:r>
        <w:rPr>
          <w:rFonts w:ascii="宋体" w:hAnsi="宋体"/>
          <w:color w:val="auto"/>
          <w:highlight w:val="none"/>
        </w:rPr>
        <w:t>5</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5156BA03">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072AE766">
      <w:pPr>
        <w:spacing w:line="360" w:lineRule="auto"/>
        <w:ind w:firstLine="420"/>
        <w:rPr>
          <w:rFonts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 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13FBF386">
      <w:pPr>
        <w:spacing w:line="360" w:lineRule="auto"/>
        <w:ind w:firstLine="420"/>
        <w:contextualSpacing/>
        <w:rPr>
          <w:rFonts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Pr>
          <w:rFonts w:hint="eastAsia" w:ascii="宋体" w:hAnsi="宋体" w:cs="Courier New"/>
          <w:color w:val="auto"/>
          <w:szCs w:val="21"/>
          <w:highlight w:val="none"/>
        </w:rPr>
        <w:t xml:space="preserve">成交供应商享受《政府采购促进中小企业发展管理办法》（财库〔2020〕46号）规定的中小企业扶持政策的，采购人、采购代理机构应当随成交结果公开成交供应商的《中小企业声明函》。 </w:t>
      </w:r>
      <w:r>
        <w:rPr>
          <w:rFonts w:ascii="宋体" w:hAnsi="宋体" w:cs="Courier New"/>
          <w:color w:val="auto"/>
          <w:szCs w:val="21"/>
          <w:highlight w:val="none"/>
        </w:rPr>
        <w:t xml:space="preserve"> </w:t>
      </w:r>
    </w:p>
    <w:p w14:paraId="43BA0963">
      <w:pPr>
        <w:spacing w:line="360" w:lineRule="auto"/>
        <w:ind w:firstLine="420"/>
        <w:contextualSpacing/>
        <w:rPr>
          <w:rFonts w:ascii="宋体" w:hAnsi="宋体" w:cs="Courier New"/>
          <w:color w:val="auto"/>
          <w:szCs w:val="21"/>
          <w:highlight w:val="none"/>
        </w:rPr>
      </w:pPr>
      <w:r>
        <w:rPr>
          <w:rFonts w:ascii="宋体" w:hAnsi="宋体" w:cs="Courier New"/>
          <w:color w:val="auto"/>
          <w:szCs w:val="21"/>
          <w:highlight w:val="none"/>
        </w:rPr>
        <w:t>27</w:t>
      </w:r>
      <w:r>
        <w:rPr>
          <w:rFonts w:hint="eastAsia" w:ascii="宋体" w:hAnsi="宋体" w:cs="Courier New"/>
          <w:color w:val="auto"/>
          <w:szCs w:val="21"/>
          <w:highlight w:val="none"/>
        </w:rPr>
        <w:t>.3 采购人、采购代理机构应当随成交结果公开成交供应商的《关于符合本国产品标准的声明函》或有关证明文件。</w:t>
      </w:r>
    </w:p>
    <w:p w14:paraId="5306ED29">
      <w:pPr>
        <w:pStyle w:val="233"/>
        <w:spacing w:line="360" w:lineRule="auto"/>
        <w:ind w:firstLine="420"/>
        <w:rPr>
          <w:rFonts w:ascii="宋体" w:hAnsi="宋体"/>
          <w:bCs/>
          <w:color w:val="auto"/>
          <w:szCs w:val="21"/>
          <w:highlight w:val="none"/>
        </w:rPr>
      </w:pPr>
      <w:r>
        <w:rPr>
          <w:rFonts w:hint="eastAsia" w:ascii="宋体" w:hAnsi="宋体" w:cs="Courier New"/>
          <w:color w:val="auto"/>
          <w:szCs w:val="21"/>
          <w:highlight w:val="none"/>
        </w:rPr>
        <w:t>27.</w:t>
      </w:r>
      <w:r>
        <w:rPr>
          <w:rFonts w:ascii="宋体" w:hAnsi="宋体" w:cs="Courier New"/>
          <w:color w:val="auto"/>
          <w:szCs w:val="21"/>
          <w:highlight w:val="none"/>
        </w:rPr>
        <w:t>4</w:t>
      </w:r>
      <w:r>
        <w:rPr>
          <w:rFonts w:hint="eastAsia" w:ascii="宋体" w:hAnsi="宋体"/>
          <w:bCs/>
          <w:color w:val="auto"/>
          <w:szCs w:val="21"/>
          <w:highlight w:val="none"/>
        </w:rPr>
        <w:t>出现下列情形之一的，采购人或者采购代理机构应当终止竞争性谈判采购活动，发布项目终止公告并说明原因，重新开展采购活动：</w:t>
      </w:r>
    </w:p>
    <w:p w14:paraId="4BC521B3">
      <w:pPr>
        <w:pStyle w:val="233"/>
        <w:spacing w:line="360" w:lineRule="auto"/>
        <w:ind w:firstLine="420"/>
        <w:rPr>
          <w:rFonts w:ascii="宋体" w:hAnsi="宋体"/>
          <w:bCs/>
          <w:color w:val="auto"/>
          <w:szCs w:val="21"/>
          <w:highlight w:val="none"/>
        </w:rPr>
      </w:pPr>
      <w:r>
        <w:rPr>
          <w:rFonts w:hint="eastAsia" w:ascii="宋体" w:hAnsi="宋体"/>
          <w:bCs/>
          <w:color w:val="auto"/>
          <w:szCs w:val="21"/>
          <w:highlight w:val="none"/>
        </w:rPr>
        <w:t>（1）因情况变化，不再符合规定的竞争性谈判采购方式适用情形的；</w:t>
      </w:r>
    </w:p>
    <w:p w14:paraId="64AAA7C4">
      <w:pPr>
        <w:pStyle w:val="233"/>
        <w:spacing w:line="360" w:lineRule="auto"/>
        <w:ind w:firstLine="420"/>
        <w:rPr>
          <w:rFonts w:ascii="宋体" w:hAnsi="宋体"/>
          <w:bCs/>
          <w:color w:val="auto"/>
          <w:szCs w:val="21"/>
          <w:highlight w:val="none"/>
        </w:rPr>
      </w:pPr>
      <w:r>
        <w:rPr>
          <w:rFonts w:hint="eastAsia" w:ascii="宋体" w:hAnsi="宋体"/>
          <w:bCs/>
          <w:color w:val="auto"/>
          <w:szCs w:val="21"/>
          <w:highlight w:val="none"/>
        </w:rPr>
        <w:t>（2）出现影响采购公正的违法、违规行为的；</w:t>
      </w:r>
    </w:p>
    <w:p w14:paraId="01F2FEF2">
      <w:pPr>
        <w:pStyle w:val="233"/>
        <w:spacing w:line="360" w:lineRule="auto"/>
        <w:ind w:firstLine="420"/>
        <w:rPr>
          <w:rFonts w:ascii="宋体" w:hAnsi="宋体"/>
          <w:bCs/>
          <w:color w:val="auto"/>
          <w:szCs w:val="21"/>
          <w:highlight w:val="none"/>
        </w:rPr>
      </w:pPr>
      <w:r>
        <w:rPr>
          <w:rFonts w:hint="eastAsia" w:ascii="宋体" w:hAnsi="宋体"/>
          <w:bCs/>
          <w:color w:val="auto"/>
          <w:szCs w:val="21"/>
          <w:highlight w:val="none"/>
        </w:rPr>
        <w:t>（3）在采购过程中符合竞争要求的供应商或者报价未超过采购预算的供应商不足3家的，但“第四章 评审程序和评定成交的标准”第3.7条规定的情形除外。</w:t>
      </w:r>
    </w:p>
    <w:p w14:paraId="622B3D3D">
      <w:pPr>
        <w:pStyle w:val="233"/>
        <w:spacing w:line="360" w:lineRule="auto"/>
        <w:ind w:firstLine="420"/>
        <w:rPr>
          <w:rFonts w:ascii="宋体" w:hAnsi="宋体"/>
          <w:bCs/>
          <w:color w:val="auto"/>
          <w:szCs w:val="21"/>
          <w:highlight w:val="none"/>
        </w:rPr>
      </w:pPr>
      <w:r>
        <w:rPr>
          <w:rFonts w:hint="eastAsia" w:ascii="宋体" w:hAnsi="宋体"/>
          <w:bCs/>
          <w:color w:val="auto"/>
          <w:szCs w:val="21"/>
          <w:highlight w:val="none"/>
        </w:rPr>
        <w:t>27.</w:t>
      </w:r>
      <w:r>
        <w:rPr>
          <w:rFonts w:ascii="宋体" w:hAnsi="宋体"/>
          <w:bCs/>
          <w:color w:val="auto"/>
          <w:szCs w:val="21"/>
          <w:highlight w:val="none"/>
        </w:rPr>
        <w:t>5</w:t>
      </w:r>
      <w:r>
        <w:rPr>
          <w:rFonts w:hint="eastAsia" w:ascii="宋体" w:hAnsi="宋体"/>
          <w:bCs/>
          <w:color w:val="auto"/>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2FD93743">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3B29D79D">
      <w:pPr>
        <w:pStyle w:val="233"/>
        <w:spacing w:line="360" w:lineRule="auto"/>
        <w:ind w:firstLine="420"/>
        <w:rPr>
          <w:color w:val="auto"/>
          <w:highlight w:val="none"/>
        </w:rPr>
      </w:pPr>
      <w:r>
        <w:rPr>
          <w:rFonts w:ascii="宋体" w:hAnsi="宋体" w:cs="宋体"/>
          <w:color w:val="auto"/>
          <w:szCs w:val="21"/>
          <w:highlight w:val="none"/>
        </w:rPr>
        <w:t>28</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rFonts w:ascii="宋体" w:hAnsi="宋体" w:cs="宋体"/>
          <w:color w:val="auto"/>
          <w:szCs w:val="21"/>
          <w:highlight w:val="none"/>
        </w:rPr>
        <w:t>与采购人</w:t>
      </w:r>
      <w:r>
        <w:rPr>
          <w:rFonts w:hint="eastAsia" w:ascii="宋体" w:hAnsi="宋体" w:cs="宋体"/>
          <w:color w:val="auto"/>
          <w:szCs w:val="21"/>
          <w:highlight w:val="none"/>
        </w:rPr>
        <w:t>签订合同。</w:t>
      </w:r>
    </w:p>
    <w:p w14:paraId="4F416672">
      <w:pPr>
        <w:spacing w:line="360" w:lineRule="auto"/>
        <w:ind w:firstLine="424"/>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.2在履约保证金退还日期前，若成交供应商的开户名称、开户银行、账号有变动的，请以书面形式通知履约保证金收取单位，否则由此产生的后果由成交供应商自负。</w:t>
      </w:r>
    </w:p>
    <w:p w14:paraId="1B03F709">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0228E306">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759A0CFB">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31F0F50B">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03F57B25">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7B81ED3D">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2774335">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29.5采购人或成交供应商不得单方面向合同另一方提出任何谈判文件没有约定的条件或不合理的要求，作为签订合同的条件；也不得协商另行订立背离谈判文件和合同实质性内容的协议。</w:t>
      </w:r>
    </w:p>
    <w:p w14:paraId="745A2071">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409B873C">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99FF020">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77CBC19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5ECF4A2C">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515D655B">
      <w:pPr>
        <w:pStyle w:val="226"/>
        <w:spacing w:after="120" w:line="360" w:lineRule="auto"/>
        <w:rPr>
          <w:rFonts w:ascii="宋体" w:hAnsi="宋体"/>
          <w:color w:val="auto"/>
          <w:szCs w:val="21"/>
          <w:highlight w:val="none"/>
        </w:rPr>
      </w:pPr>
      <w:r>
        <w:rPr>
          <w:rFonts w:ascii="宋体" w:hAnsi="宋体" w:cs="宋体"/>
          <w:color w:val="auto"/>
          <w:highlight w:val="none"/>
        </w:rPr>
        <w:t>31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p>
    <w:p w14:paraId="07063911">
      <w:pPr>
        <w:spacing w:line="360" w:lineRule="auto"/>
        <w:ind w:firstLine="420"/>
        <w:rPr>
          <w:rFonts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.2供应商认为谈判文件、采购过程或者成交结果使自己的合法权益受到损害的，应当在知道或者应知其权益受到损害之日起7个工作日内，以书面形式向采购人、采购代理机构提出质疑，</w:t>
      </w:r>
      <w:r>
        <w:rPr>
          <w:rFonts w:ascii="Arial" w:hAnsi="Arial" w:cs="Arial"/>
          <w:color w:val="auto"/>
          <w:highlight w:val="none"/>
          <w:shd w:val="clear" w:color="auto" w:fill="FFFFFF"/>
        </w:rPr>
        <w:t>接收质疑函的方式、联系部门、联系电话和通讯地址等信息</w:t>
      </w:r>
      <w:r>
        <w:rPr>
          <w:rFonts w:hint="eastAsia" w:ascii="宋体" w:hAnsi="宋体" w:cs="宋体"/>
          <w:color w:val="auto"/>
          <w:szCs w:val="21"/>
          <w:highlight w:val="none"/>
        </w:rPr>
        <w:t>详见“供应商须知前附表”</w:t>
      </w:r>
      <w:r>
        <w:rPr>
          <w:rFonts w:hint="eastAsia" w:ascii="宋体" w:hAnsi="宋体" w:cs="宋体"/>
          <w:color w:val="auto"/>
          <w:highlight w:val="none"/>
        </w:rPr>
        <w:t>。具体质疑起算时间如下：</w:t>
      </w:r>
    </w:p>
    <w:p w14:paraId="14C7EEF6">
      <w:pPr>
        <w:spacing w:line="360" w:lineRule="auto"/>
        <w:ind w:firstLine="420"/>
        <w:rPr>
          <w:rFonts w:ascii="宋体" w:hAnsi="宋体" w:cs="宋体"/>
          <w:color w:val="auto"/>
          <w:highlight w:val="none"/>
        </w:rPr>
      </w:pPr>
      <w:r>
        <w:rPr>
          <w:rFonts w:hint="eastAsia" w:ascii="宋体" w:hAnsi="宋体" w:cs="宋体"/>
          <w:color w:val="auto"/>
          <w:highlight w:val="none"/>
        </w:rPr>
        <w:t>（1）对可以质疑的谈判文件提出质疑的，为获取谈判文件之日；</w:t>
      </w:r>
    </w:p>
    <w:p w14:paraId="5527062B">
      <w:pPr>
        <w:spacing w:line="360" w:lineRule="auto"/>
        <w:ind w:firstLine="420"/>
        <w:rPr>
          <w:rFonts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55247F4E">
      <w:pPr>
        <w:spacing w:line="360" w:lineRule="auto"/>
        <w:ind w:firstLine="420"/>
        <w:rPr>
          <w:rFonts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7434AB73">
      <w:pPr>
        <w:spacing w:line="360" w:lineRule="auto"/>
        <w:ind w:firstLine="420"/>
        <w:rPr>
          <w:rFonts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23A24BFF">
      <w:pPr>
        <w:spacing w:line="360" w:lineRule="auto"/>
        <w:ind w:firstLine="420"/>
        <w:rPr>
          <w:rFonts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.4供应商提出质疑应当提交质疑函和必要的证明材料，针对同一采购程序环节的质疑必须在法定质疑期内一次性提出。质疑函应当包括下列内容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244A3ACC">
      <w:pPr>
        <w:spacing w:line="360" w:lineRule="auto"/>
        <w:ind w:firstLine="42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4EBE70AF">
      <w:pPr>
        <w:spacing w:line="360" w:lineRule="auto"/>
        <w:ind w:firstLine="420"/>
        <w:rPr>
          <w:rFonts w:ascii="宋体" w:hAnsi="宋体" w:cs="宋体"/>
          <w:color w:val="auto"/>
          <w:highlight w:val="none"/>
        </w:rPr>
      </w:pPr>
      <w:r>
        <w:rPr>
          <w:rFonts w:hint="eastAsia" w:ascii="宋体" w:hAnsi="宋体" w:cs="宋体"/>
          <w:color w:val="auto"/>
          <w:highlight w:val="none"/>
        </w:rPr>
        <w:t>（2）质疑项目的名称、编号；</w:t>
      </w:r>
    </w:p>
    <w:p w14:paraId="7AF5DBD6">
      <w:pPr>
        <w:spacing w:line="360" w:lineRule="auto"/>
        <w:ind w:firstLine="42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44FFA105">
      <w:pPr>
        <w:spacing w:line="360" w:lineRule="auto"/>
        <w:ind w:firstLine="420"/>
        <w:rPr>
          <w:rFonts w:ascii="宋体" w:hAnsi="宋体" w:cs="宋体"/>
          <w:color w:val="auto"/>
          <w:highlight w:val="none"/>
        </w:rPr>
      </w:pPr>
      <w:r>
        <w:rPr>
          <w:rFonts w:hint="eastAsia" w:ascii="宋体" w:hAnsi="宋体" w:cs="宋体"/>
          <w:color w:val="auto"/>
          <w:highlight w:val="none"/>
        </w:rPr>
        <w:t>（4）事实依据；</w:t>
      </w:r>
    </w:p>
    <w:p w14:paraId="1DD11576">
      <w:pPr>
        <w:spacing w:line="360" w:lineRule="auto"/>
        <w:ind w:firstLine="420"/>
        <w:rPr>
          <w:rFonts w:ascii="宋体" w:hAnsi="宋体" w:cs="宋体"/>
          <w:color w:val="auto"/>
          <w:highlight w:val="none"/>
        </w:rPr>
      </w:pPr>
      <w:r>
        <w:rPr>
          <w:rFonts w:hint="eastAsia" w:ascii="宋体" w:hAnsi="宋体" w:cs="宋体"/>
          <w:color w:val="auto"/>
          <w:highlight w:val="none"/>
        </w:rPr>
        <w:t>（5）必要的法律依据；</w:t>
      </w:r>
    </w:p>
    <w:p w14:paraId="7930FEC5">
      <w:pPr>
        <w:spacing w:line="360" w:lineRule="auto"/>
        <w:ind w:firstLine="420"/>
        <w:rPr>
          <w:rFonts w:ascii="宋体" w:hAnsi="宋体" w:cs="宋体"/>
          <w:color w:val="auto"/>
          <w:highlight w:val="none"/>
        </w:rPr>
      </w:pPr>
      <w:r>
        <w:rPr>
          <w:rFonts w:hint="eastAsia" w:ascii="宋体" w:hAnsi="宋体" w:cs="宋体"/>
          <w:color w:val="auto"/>
          <w:highlight w:val="none"/>
        </w:rPr>
        <w:t>（6）提出质疑的日期。</w:t>
      </w:r>
    </w:p>
    <w:p w14:paraId="67AAC087">
      <w:pPr>
        <w:spacing w:line="360" w:lineRule="auto"/>
        <w:ind w:firstLine="42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1CA8E9B7">
      <w:pPr>
        <w:spacing w:line="360" w:lineRule="auto"/>
        <w:ind w:firstLine="42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171ACFD3">
      <w:pPr>
        <w:spacing w:line="360" w:lineRule="auto"/>
        <w:ind w:firstLine="42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AA389EC">
      <w:pPr>
        <w:spacing w:line="360" w:lineRule="auto"/>
        <w:ind w:firstLine="42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6EEF0C61">
      <w:pPr>
        <w:spacing w:line="360" w:lineRule="auto"/>
        <w:ind w:firstLine="42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63BAE9EF">
      <w:pPr>
        <w:spacing w:line="360" w:lineRule="auto"/>
        <w:ind w:firstLine="420"/>
        <w:rPr>
          <w:rFonts w:ascii="宋体" w:hAnsi="宋体" w:cs="宋体"/>
          <w:b/>
          <w:bCs/>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14AD6A0A">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其他内容</w:t>
      </w:r>
    </w:p>
    <w:p w14:paraId="5BC9D0E8">
      <w:pPr>
        <w:tabs>
          <w:tab w:val="left" w:pos="2835"/>
        </w:tabs>
        <w:spacing w:line="360" w:lineRule="auto"/>
        <w:ind w:firstLine="42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.1代理服务费收取标准详见“供应商须知前附表”，供应商为联合体的，可以由联合体中的一方或者多方共同交纳代理服务费：</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4C4A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686034DD">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费率</w:t>
            </w:r>
          </w:p>
          <w:p w14:paraId="4DD8E14B">
            <w:pPr>
              <w:spacing w:line="360" w:lineRule="auto"/>
              <w:rPr>
                <w:rFonts w:ascii="宋体" w:hAnsi="宋体" w:cs="宋体"/>
                <w:color w:val="auto"/>
                <w:szCs w:val="21"/>
                <w:highlight w:val="none"/>
              </w:rPr>
            </w:pPr>
            <w:r>
              <w:rPr>
                <w:rFonts w:hint="eastAsia" w:ascii="宋体" w:hAnsi="宋体" w:cs="宋体"/>
                <w:color w:val="auto"/>
                <w:szCs w:val="21"/>
                <w:highlight w:val="none"/>
              </w:rPr>
              <w:t>金额</w:t>
            </w:r>
          </w:p>
        </w:tc>
        <w:tc>
          <w:tcPr>
            <w:tcW w:w="1659" w:type="dxa"/>
            <w:tcBorders>
              <w:top w:val="single" w:color="auto" w:sz="4" w:space="0"/>
              <w:left w:val="single" w:color="auto" w:sz="4" w:space="0"/>
              <w:bottom w:val="single" w:color="auto" w:sz="4" w:space="0"/>
              <w:right w:val="single" w:color="auto" w:sz="4" w:space="0"/>
            </w:tcBorders>
            <w:vAlign w:val="center"/>
          </w:tcPr>
          <w:p w14:paraId="1447E060">
            <w:pPr>
              <w:spacing w:line="360" w:lineRule="auto"/>
              <w:ind w:firstLine="105"/>
              <w:jc w:val="center"/>
              <w:rPr>
                <w:rFonts w:ascii="宋体" w:hAnsi="宋体" w:cs="宋体"/>
                <w:color w:val="auto"/>
                <w:szCs w:val="21"/>
                <w:highlight w:val="none"/>
              </w:rPr>
            </w:pPr>
            <w:r>
              <w:rPr>
                <w:rFonts w:hint="eastAsia" w:ascii="宋体" w:hAnsi="宋体" w:cs="宋体"/>
                <w:color w:val="auto"/>
                <w:szCs w:val="21"/>
                <w:highlight w:val="none"/>
              </w:rPr>
              <w:t>货物类</w:t>
            </w:r>
          </w:p>
        </w:tc>
        <w:tc>
          <w:tcPr>
            <w:tcW w:w="1532" w:type="dxa"/>
            <w:tcBorders>
              <w:top w:val="single" w:color="auto" w:sz="4" w:space="0"/>
              <w:left w:val="single" w:color="auto" w:sz="4" w:space="0"/>
              <w:bottom w:val="single" w:color="auto" w:sz="4" w:space="0"/>
              <w:right w:val="single" w:color="auto" w:sz="4" w:space="0"/>
            </w:tcBorders>
            <w:vAlign w:val="center"/>
          </w:tcPr>
          <w:p w14:paraId="24778C7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服务类</w:t>
            </w:r>
          </w:p>
        </w:tc>
        <w:tc>
          <w:tcPr>
            <w:tcW w:w="1546" w:type="dxa"/>
            <w:tcBorders>
              <w:top w:val="single" w:color="auto" w:sz="4" w:space="0"/>
              <w:left w:val="single" w:color="auto" w:sz="4" w:space="0"/>
              <w:bottom w:val="single" w:color="auto" w:sz="4" w:space="0"/>
              <w:right w:val="single" w:color="auto" w:sz="4" w:space="0"/>
            </w:tcBorders>
            <w:vAlign w:val="center"/>
          </w:tcPr>
          <w:p w14:paraId="1954263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工程类</w:t>
            </w:r>
          </w:p>
        </w:tc>
      </w:tr>
      <w:tr w14:paraId="27DF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217472C">
            <w:pPr>
              <w:spacing w:line="360" w:lineRule="auto"/>
              <w:rPr>
                <w:rFonts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Borders>
              <w:top w:val="single" w:color="auto" w:sz="4" w:space="0"/>
              <w:left w:val="single" w:color="auto" w:sz="4" w:space="0"/>
              <w:bottom w:val="single" w:color="auto" w:sz="4" w:space="0"/>
              <w:right w:val="single" w:color="auto" w:sz="4" w:space="0"/>
            </w:tcBorders>
          </w:tcPr>
          <w:p w14:paraId="02125208">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1.5%                </w:t>
            </w:r>
          </w:p>
        </w:tc>
        <w:tc>
          <w:tcPr>
            <w:tcW w:w="1532" w:type="dxa"/>
            <w:tcBorders>
              <w:top w:val="single" w:color="auto" w:sz="4" w:space="0"/>
              <w:left w:val="single" w:color="auto" w:sz="4" w:space="0"/>
              <w:bottom w:val="single" w:color="auto" w:sz="4" w:space="0"/>
              <w:right w:val="single" w:color="auto" w:sz="4" w:space="0"/>
            </w:tcBorders>
          </w:tcPr>
          <w:p w14:paraId="13E1B7E1">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1.5%</w:t>
            </w:r>
          </w:p>
        </w:tc>
        <w:tc>
          <w:tcPr>
            <w:tcW w:w="1546" w:type="dxa"/>
            <w:tcBorders>
              <w:top w:val="single" w:color="auto" w:sz="4" w:space="0"/>
              <w:left w:val="single" w:color="auto" w:sz="4" w:space="0"/>
              <w:bottom w:val="single" w:color="auto" w:sz="4" w:space="0"/>
              <w:right w:val="single" w:color="auto" w:sz="4" w:space="0"/>
            </w:tcBorders>
          </w:tcPr>
          <w:p w14:paraId="5557E458">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 xml:space="preserve">1.0% </w:t>
            </w:r>
          </w:p>
        </w:tc>
      </w:tr>
      <w:tr w14:paraId="28A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16A0A16">
            <w:pPr>
              <w:spacing w:line="360" w:lineRule="auto"/>
              <w:rPr>
                <w:rFonts w:ascii="宋体" w:hAnsi="宋体" w:cs="宋体"/>
                <w:color w:val="auto"/>
                <w:szCs w:val="21"/>
                <w:highlight w:val="none"/>
              </w:rPr>
            </w:pPr>
            <w:r>
              <w:rPr>
                <w:rFonts w:hint="eastAsia" w:ascii="宋体" w:hAnsi="宋体" w:cs="宋体"/>
                <w:color w:val="auto"/>
                <w:szCs w:val="21"/>
                <w:highlight w:val="none"/>
              </w:rPr>
              <w:t>100万～500万元</w:t>
            </w:r>
          </w:p>
        </w:tc>
        <w:tc>
          <w:tcPr>
            <w:tcW w:w="1659" w:type="dxa"/>
            <w:tcBorders>
              <w:top w:val="single" w:color="auto" w:sz="4" w:space="0"/>
              <w:left w:val="single" w:color="auto" w:sz="4" w:space="0"/>
              <w:bottom w:val="single" w:color="auto" w:sz="4" w:space="0"/>
              <w:right w:val="single" w:color="auto" w:sz="4" w:space="0"/>
            </w:tcBorders>
          </w:tcPr>
          <w:p w14:paraId="6C11DA09">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 xml:space="preserve">1.1%                 </w:t>
            </w:r>
          </w:p>
        </w:tc>
        <w:tc>
          <w:tcPr>
            <w:tcW w:w="1532" w:type="dxa"/>
            <w:tcBorders>
              <w:top w:val="single" w:color="auto" w:sz="4" w:space="0"/>
              <w:left w:val="single" w:color="auto" w:sz="4" w:space="0"/>
              <w:bottom w:val="single" w:color="auto" w:sz="4" w:space="0"/>
              <w:right w:val="single" w:color="auto" w:sz="4" w:space="0"/>
            </w:tcBorders>
          </w:tcPr>
          <w:p w14:paraId="03E688A1">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0.8%</w:t>
            </w:r>
          </w:p>
        </w:tc>
        <w:tc>
          <w:tcPr>
            <w:tcW w:w="1546" w:type="dxa"/>
            <w:tcBorders>
              <w:top w:val="single" w:color="auto" w:sz="4" w:space="0"/>
              <w:left w:val="single" w:color="auto" w:sz="4" w:space="0"/>
              <w:bottom w:val="single" w:color="auto" w:sz="4" w:space="0"/>
              <w:right w:val="single" w:color="auto" w:sz="4" w:space="0"/>
            </w:tcBorders>
          </w:tcPr>
          <w:p w14:paraId="3E14379E">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 xml:space="preserve">0.7% </w:t>
            </w:r>
          </w:p>
        </w:tc>
      </w:tr>
      <w:tr w14:paraId="4525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1851FF27">
            <w:pPr>
              <w:spacing w:line="360" w:lineRule="auto"/>
              <w:rPr>
                <w:rFonts w:ascii="宋体" w:hAnsi="宋体" w:cs="宋体"/>
                <w:color w:val="auto"/>
                <w:szCs w:val="21"/>
                <w:highlight w:val="none"/>
              </w:rPr>
            </w:pPr>
            <w:r>
              <w:rPr>
                <w:rFonts w:hint="eastAsia" w:ascii="宋体" w:hAnsi="宋体" w:cs="宋体"/>
                <w:color w:val="auto"/>
                <w:szCs w:val="21"/>
                <w:highlight w:val="none"/>
              </w:rPr>
              <w:t>500万～1000万元</w:t>
            </w:r>
          </w:p>
        </w:tc>
        <w:tc>
          <w:tcPr>
            <w:tcW w:w="1659" w:type="dxa"/>
            <w:tcBorders>
              <w:top w:val="single" w:color="auto" w:sz="4" w:space="0"/>
              <w:left w:val="single" w:color="auto" w:sz="4" w:space="0"/>
              <w:bottom w:val="single" w:color="auto" w:sz="4" w:space="0"/>
              <w:right w:val="single" w:color="auto" w:sz="4" w:space="0"/>
            </w:tcBorders>
          </w:tcPr>
          <w:p w14:paraId="1CB633AB">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0.8%                </w:t>
            </w:r>
          </w:p>
        </w:tc>
        <w:tc>
          <w:tcPr>
            <w:tcW w:w="1532" w:type="dxa"/>
            <w:tcBorders>
              <w:top w:val="single" w:color="auto" w:sz="4" w:space="0"/>
              <w:left w:val="single" w:color="auto" w:sz="4" w:space="0"/>
              <w:bottom w:val="single" w:color="auto" w:sz="4" w:space="0"/>
              <w:right w:val="single" w:color="auto" w:sz="4" w:space="0"/>
            </w:tcBorders>
          </w:tcPr>
          <w:p w14:paraId="14E8D8F4">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0.45%</w:t>
            </w:r>
          </w:p>
        </w:tc>
        <w:tc>
          <w:tcPr>
            <w:tcW w:w="1546" w:type="dxa"/>
            <w:tcBorders>
              <w:top w:val="single" w:color="auto" w:sz="4" w:space="0"/>
              <w:left w:val="single" w:color="auto" w:sz="4" w:space="0"/>
              <w:bottom w:val="single" w:color="auto" w:sz="4" w:space="0"/>
              <w:right w:val="single" w:color="auto" w:sz="4" w:space="0"/>
            </w:tcBorders>
          </w:tcPr>
          <w:p w14:paraId="43D7B419">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0.55%</w:t>
            </w:r>
          </w:p>
        </w:tc>
      </w:tr>
      <w:tr w14:paraId="46A6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390D2421">
            <w:pPr>
              <w:spacing w:line="360" w:lineRule="auto"/>
              <w:rPr>
                <w:rFonts w:ascii="宋体" w:hAnsi="宋体" w:cs="宋体"/>
                <w:color w:val="auto"/>
                <w:szCs w:val="21"/>
                <w:highlight w:val="none"/>
              </w:rPr>
            </w:pPr>
            <w:r>
              <w:rPr>
                <w:rFonts w:hint="eastAsia" w:ascii="宋体" w:hAnsi="宋体" w:cs="宋体"/>
                <w:color w:val="auto"/>
                <w:szCs w:val="21"/>
                <w:highlight w:val="none"/>
              </w:rPr>
              <w:t>1000万～5000万元</w:t>
            </w:r>
          </w:p>
        </w:tc>
        <w:tc>
          <w:tcPr>
            <w:tcW w:w="1659" w:type="dxa"/>
            <w:tcBorders>
              <w:top w:val="single" w:color="auto" w:sz="4" w:space="0"/>
              <w:left w:val="single" w:color="auto" w:sz="4" w:space="0"/>
              <w:bottom w:val="single" w:color="auto" w:sz="4" w:space="0"/>
              <w:right w:val="single" w:color="auto" w:sz="4" w:space="0"/>
            </w:tcBorders>
          </w:tcPr>
          <w:p w14:paraId="482FD27D">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 xml:space="preserve">0.5%                </w:t>
            </w:r>
          </w:p>
        </w:tc>
        <w:tc>
          <w:tcPr>
            <w:tcW w:w="1532" w:type="dxa"/>
            <w:tcBorders>
              <w:top w:val="single" w:color="auto" w:sz="4" w:space="0"/>
              <w:left w:val="single" w:color="auto" w:sz="4" w:space="0"/>
              <w:bottom w:val="single" w:color="auto" w:sz="4" w:space="0"/>
              <w:right w:val="single" w:color="auto" w:sz="4" w:space="0"/>
            </w:tcBorders>
          </w:tcPr>
          <w:p w14:paraId="6DAAF0B4">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0.25%</w:t>
            </w:r>
          </w:p>
        </w:tc>
        <w:tc>
          <w:tcPr>
            <w:tcW w:w="1546" w:type="dxa"/>
            <w:tcBorders>
              <w:top w:val="single" w:color="auto" w:sz="4" w:space="0"/>
              <w:left w:val="single" w:color="auto" w:sz="4" w:space="0"/>
              <w:bottom w:val="single" w:color="auto" w:sz="4" w:space="0"/>
              <w:right w:val="single" w:color="auto" w:sz="4" w:space="0"/>
            </w:tcBorders>
          </w:tcPr>
          <w:p w14:paraId="51E12DCA">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 xml:space="preserve">0.35% </w:t>
            </w:r>
          </w:p>
        </w:tc>
      </w:tr>
      <w:tr w14:paraId="7BCA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B2576F6">
            <w:pPr>
              <w:spacing w:line="360" w:lineRule="auto"/>
              <w:rPr>
                <w:rFonts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Borders>
              <w:top w:val="single" w:color="auto" w:sz="4" w:space="0"/>
              <w:left w:val="single" w:color="auto" w:sz="4" w:space="0"/>
              <w:bottom w:val="single" w:color="auto" w:sz="4" w:space="0"/>
              <w:right w:val="single" w:color="auto" w:sz="4" w:space="0"/>
            </w:tcBorders>
          </w:tcPr>
          <w:p w14:paraId="6751C0D0">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 xml:space="preserve">0.25%                 </w:t>
            </w:r>
          </w:p>
        </w:tc>
        <w:tc>
          <w:tcPr>
            <w:tcW w:w="1532" w:type="dxa"/>
            <w:tcBorders>
              <w:top w:val="single" w:color="auto" w:sz="4" w:space="0"/>
              <w:left w:val="single" w:color="auto" w:sz="4" w:space="0"/>
              <w:bottom w:val="single" w:color="auto" w:sz="4" w:space="0"/>
              <w:right w:val="single" w:color="auto" w:sz="4" w:space="0"/>
            </w:tcBorders>
          </w:tcPr>
          <w:p w14:paraId="465ED8BC">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0.1%</w:t>
            </w:r>
          </w:p>
        </w:tc>
        <w:tc>
          <w:tcPr>
            <w:tcW w:w="1546" w:type="dxa"/>
            <w:tcBorders>
              <w:top w:val="single" w:color="auto" w:sz="4" w:space="0"/>
              <w:left w:val="single" w:color="auto" w:sz="4" w:space="0"/>
              <w:bottom w:val="single" w:color="auto" w:sz="4" w:space="0"/>
              <w:right w:val="single" w:color="auto" w:sz="4" w:space="0"/>
            </w:tcBorders>
          </w:tcPr>
          <w:p w14:paraId="3FAD70B9">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0.2%</w:t>
            </w:r>
          </w:p>
        </w:tc>
      </w:tr>
      <w:tr w14:paraId="3D8B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1B0D62EE">
            <w:pPr>
              <w:spacing w:line="360" w:lineRule="auto"/>
              <w:rPr>
                <w:rFonts w:ascii="宋体" w:hAnsi="宋体" w:cs="宋体"/>
                <w:color w:val="auto"/>
                <w:szCs w:val="21"/>
                <w:highlight w:val="none"/>
              </w:rPr>
            </w:pPr>
            <w:r>
              <w:rPr>
                <w:rFonts w:hint="eastAsia" w:ascii="宋体" w:hAnsi="宋体" w:cs="宋体"/>
                <w:color w:val="auto"/>
                <w:szCs w:val="21"/>
                <w:highlight w:val="none"/>
              </w:rPr>
              <w:t>1亿～5亿元</w:t>
            </w:r>
          </w:p>
        </w:tc>
        <w:tc>
          <w:tcPr>
            <w:tcW w:w="1659" w:type="dxa"/>
            <w:tcBorders>
              <w:top w:val="single" w:color="auto" w:sz="4" w:space="0"/>
              <w:left w:val="single" w:color="auto" w:sz="4" w:space="0"/>
              <w:bottom w:val="single" w:color="auto" w:sz="4" w:space="0"/>
              <w:right w:val="single" w:color="auto" w:sz="4" w:space="0"/>
            </w:tcBorders>
          </w:tcPr>
          <w:p w14:paraId="6B98F623">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0.05%</w:t>
            </w:r>
          </w:p>
        </w:tc>
        <w:tc>
          <w:tcPr>
            <w:tcW w:w="1532" w:type="dxa"/>
            <w:tcBorders>
              <w:top w:val="single" w:color="auto" w:sz="4" w:space="0"/>
              <w:left w:val="single" w:color="auto" w:sz="4" w:space="0"/>
              <w:bottom w:val="single" w:color="auto" w:sz="4" w:space="0"/>
              <w:right w:val="single" w:color="auto" w:sz="4" w:space="0"/>
            </w:tcBorders>
          </w:tcPr>
          <w:p w14:paraId="662786F6">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tcBorders>
              <w:top w:val="single" w:color="auto" w:sz="4" w:space="0"/>
              <w:left w:val="single" w:color="auto" w:sz="4" w:space="0"/>
              <w:bottom w:val="single" w:color="auto" w:sz="4" w:space="0"/>
              <w:right w:val="single" w:color="auto" w:sz="4" w:space="0"/>
            </w:tcBorders>
          </w:tcPr>
          <w:p w14:paraId="15717B17">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0.05%</w:t>
            </w:r>
          </w:p>
        </w:tc>
      </w:tr>
      <w:tr w14:paraId="1A55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3770EC90">
            <w:pPr>
              <w:spacing w:line="360" w:lineRule="auto"/>
              <w:rPr>
                <w:rFonts w:ascii="宋体" w:hAnsi="宋体" w:cs="宋体"/>
                <w:color w:val="auto"/>
                <w:szCs w:val="21"/>
                <w:highlight w:val="none"/>
              </w:rPr>
            </w:pPr>
            <w:r>
              <w:rPr>
                <w:rFonts w:hint="eastAsia" w:ascii="宋体" w:hAnsi="宋体" w:cs="宋体"/>
                <w:color w:val="auto"/>
                <w:szCs w:val="21"/>
                <w:highlight w:val="none"/>
              </w:rPr>
              <w:t>5亿～10亿元</w:t>
            </w:r>
          </w:p>
        </w:tc>
        <w:tc>
          <w:tcPr>
            <w:tcW w:w="1659" w:type="dxa"/>
            <w:tcBorders>
              <w:top w:val="single" w:color="auto" w:sz="4" w:space="0"/>
              <w:left w:val="single" w:color="auto" w:sz="4" w:space="0"/>
              <w:bottom w:val="single" w:color="auto" w:sz="4" w:space="0"/>
              <w:right w:val="single" w:color="auto" w:sz="4" w:space="0"/>
            </w:tcBorders>
          </w:tcPr>
          <w:p w14:paraId="023018D9">
            <w:pPr>
              <w:spacing w:line="360" w:lineRule="auto"/>
              <w:ind w:firstLine="105"/>
              <w:rPr>
                <w:rFonts w:ascii="宋体" w:hAnsi="宋体" w:cs="宋体"/>
                <w:color w:val="auto"/>
                <w:szCs w:val="21"/>
                <w:highlight w:val="none"/>
              </w:rPr>
            </w:pPr>
            <w:r>
              <w:rPr>
                <w:rFonts w:hint="eastAsia" w:ascii="宋体" w:hAnsi="宋体" w:cs="宋体"/>
                <w:color w:val="auto"/>
                <w:szCs w:val="21"/>
                <w:highlight w:val="none"/>
              </w:rPr>
              <w:t>0.035%</w:t>
            </w:r>
          </w:p>
        </w:tc>
        <w:tc>
          <w:tcPr>
            <w:tcW w:w="1532" w:type="dxa"/>
            <w:tcBorders>
              <w:top w:val="single" w:color="auto" w:sz="4" w:space="0"/>
              <w:left w:val="single" w:color="auto" w:sz="4" w:space="0"/>
              <w:bottom w:val="single" w:color="auto" w:sz="4" w:space="0"/>
              <w:right w:val="single" w:color="auto" w:sz="4" w:space="0"/>
            </w:tcBorders>
          </w:tcPr>
          <w:p w14:paraId="0A35E9B8">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tcBorders>
              <w:top w:val="single" w:color="auto" w:sz="4" w:space="0"/>
              <w:left w:val="single" w:color="auto" w:sz="4" w:space="0"/>
              <w:bottom w:val="single" w:color="auto" w:sz="4" w:space="0"/>
              <w:right w:val="single" w:color="auto" w:sz="4" w:space="0"/>
            </w:tcBorders>
          </w:tcPr>
          <w:p w14:paraId="5153E3C1">
            <w:pPr>
              <w:spacing w:line="360" w:lineRule="auto"/>
              <w:ind w:firstLine="105"/>
              <w:rPr>
                <w:rFonts w:ascii="宋体" w:hAnsi="宋体" w:cs="宋体"/>
                <w:color w:val="auto"/>
                <w:szCs w:val="21"/>
                <w:highlight w:val="none"/>
              </w:rPr>
            </w:pPr>
            <w:r>
              <w:rPr>
                <w:rFonts w:hint="eastAsia" w:ascii="宋体" w:hAnsi="宋体" w:cs="宋体"/>
                <w:color w:val="auto"/>
                <w:szCs w:val="21"/>
                <w:highlight w:val="none"/>
              </w:rPr>
              <w:t>0.035%</w:t>
            </w:r>
          </w:p>
        </w:tc>
      </w:tr>
      <w:tr w14:paraId="5DBA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34C2F95">
            <w:pPr>
              <w:spacing w:line="360" w:lineRule="auto"/>
              <w:rPr>
                <w:rFonts w:ascii="宋体" w:hAnsi="宋体" w:cs="宋体"/>
                <w:color w:val="auto"/>
                <w:szCs w:val="21"/>
                <w:highlight w:val="none"/>
              </w:rPr>
            </w:pPr>
            <w:r>
              <w:rPr>
                <w:rFonts w:hint="eastAsia" w:ascii="宋体" w:hAnsi="宋体" w:cs="宋体"/>
                <w:color w:val="auto"/>
                <w:szCs w:val="21"/>
                <w:highlight w:val="none"/>
              </w:rPr>
              <w:t>10亿～50亿元</w:t>
            </w:r>
          </w:p>
        </w:tc>
        <w:tc>
          <w:tcPr>
            <w:tcW w:w="1659" w:type="dxa"/>
            <w:tcBorders>
              <w:top w:val="single" w:color="auto" w:sz="4" w:space="0"/>
              <w:left w:val="single" w:color="auto" w:sz="4" w:space="0"/>
              <w:bottom w:val="single" w:color="auto" w:sz="4" w:space="0"/>
              <w:right w:val="single" w:color="auto" w:sz="4" w:space="0"/>
            </w:tcBorders>
          </w:tcPr>
          <w:p w14:paraId="2CCA5AF8">
            <w:pPr>
              <w:spacing w:line="360" w:lineRule="auto"/>
              <w:ind w:firstLine="105"/>
              <w:rPr>
                <w:rFonts w:ascii="宋体" w:hAnsi="宋体" w:cs="宋体"/>
                <w:color w:val="auto"/>
                <w:szCs w:val="21"/>
                <w:highlight w:val="none"/>
              </w:rPr>
            </w:pPr>
            <w:r>
              <w:rPr>
                <w:rFonts w:hint="eastAsia" w:ascii="宋体" w:hAnsi="宋体" w:cs="宋体"/>
                <w:color w:val="auto"/>
                <w:szCs w:val="21"/>
                <w:highlight w:val="none"/>
              </w:rPr>
              <w:t>0.008%</w:t>
            </w:r>
          </w:p>
        </w:tc>
        <w:tc>
          <w:tcPr>
            <w:tcW w:w="1532" w:type="dxa"/>
            <w:tcBorders>
              <w:top w:val="single" w:color="auto" w:sz="4" w:space="0"/>
              <w:left w:val="single" w:color="auto" w:sz="4" w:space="0"/>
              <w:bottom w:val="single" w:color="auto" w:sz="4" w:space="0"/>
              <w:right w:val="single" w:color="auto" w:sz="4" w:space="0"/>
            </w:tcBorders>
          </w:tcPr>
          <w:p w14:paraId="6A10AEE3">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0.008%</w:t>
            </w:r>
          </w:p>
        </w:tc>
        <w:tc>
          <w:tcPr>
            <w:tcW w:w="1546" w:type="dxa"/>
            <w:tcBorders>
              <w:top w:val="single" w:color="auto" w:sz="4" w:space="0"/>
              <w:left w:val="single" w:color="auto" w:sz="4" w:space="0"/>
              <w:bottom w:val="single" w:color="auto" w:sz="4" w:space="0"/>
              <w:right w:val="single" w:color="auto" w:sz="4" w:space="0"/>
            </w:tcBorders>
          </w:tcPr>
          <w:p w14:paraId="1D122FA8">
            <w:pPr>
              <w:spacing w:line="360" w:lineRule="auto"/>
              <w:ind w:firstLine="105"/>
              <w:rPr>
                <w:rFonts w:ascii="宋体" w:hAnsi="宋体" w:cs="宋体"/>
                <w:color w:val="auto"/>
                <w:szCs w:val="21"/>
                <w:highlight w:val="none"/>
              </w:rPr>
            </w:pPr>
            <w:r>
              <w:rPr>
                <w:rFonts w:hint="eastAsia" w:ascii="宋体" w:hAnsi="宋体" w:cs="宋体"/>
                <w:color w:val="auto"/>
                <w:szCs w:val="21"/>
                <w:highlight w:val="none"/>
              </w:rPr>
              <w:t>0.008%</w:t>
            </w:r>
          </w:p>
        </w:tc>
      </w:tr>
      <w:tr w14:paraId="6432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689B0E35">
            <w:pPr>
              <w:spacing w:line="360" w:lineRule="auto"/>
              <w:rPr>
                <w:rFonts w:ascii="宋体" w:hAnsi="宋体" w:cs="宋体"/>
                <w:color w:val="auto"/>
                <w:szCs w:val="21"/>
                <w:highlight w:val="none"/>
              </w:rPr>
            </w:pPr>
            <w:r>
              <w:rPr>
                <w:rFonts w:hint="eastAsia" w:ascii="宋体" w:hAnsi="宋体" w:cs="宋体"/>
                <w:color w:val="auto"/>
                <w:szCs w:val="21"/>
                <w:highlight w:val="none"/>
              </w:rPr>
              <w:t>50亿～100亿元</w:t>
            </w:r>
          </w:p>
        </w:tc>
        <w:tc>
          <w:tcPr>
            <w:tcW w:w="1659" w:type="dxa"/>
            <w:tcBorders>
              <w:top w:val="single" w:color="auto" w:sz="4" w:space="0"/>
              <w:left w:val="single" w:color="auto" w:sz="4" w:space="0"/>
              <w:bottom w:val="single" w:color="auto" w:sz="4" w:space="0"/>
              <w:right w:val="single" w:color="auto" w:sz="4" w:space="0"/>
            </w:tcBorders>
          </w:tcPr>
          <w:p w14:paraId="1F7CEB23">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tcBorders>
              <w:top w:val="single" w:color="auto" w:sz="4" w:space="0"/>
              <w:left w:val="single" w:color="auto" w:sz="4" w:space="0"/>
              <w:bottom w:val="single" w:color="auto" w:sz="4" w:space="0"/>
              <w:right w:val="single" w:color="auto" w:sz="4" w:space="0"/>
            </w:tcBorders>
          </w:tcPr>
          <w:p w14:paraId="16555610">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0.006%</w:t>
            </w:r>
          </w:p>
        </w:tc>
        <w:tc>
          <w:tcPr>
            <w:tcW w:w="1546" w:type="dxa"/>
            <w:tcBorders>
              <w:top w:val="single" w:color="auto" w:sz="4" w:space="0"/>
              <w:left w:val="single" w:color="auto" w:sz="4" w:space="0"/>
              <w:bottom w:val="single" w:color="auto" w:sz="4" w:space="0"/>
              <w:right w:val="single" w:color="auto" w:sz="4" w:space="0"/>
            </w:tcBorders>
          </w:tcPr>
          <w:p w14:paraId="62D36E11">
            <w:pPr>
              <w:spacing w:line="360" w:lineRule="auto"/>
              <w:ind w:firstLine="105"/>
              <w:rPr>
                <w:rFonts w:ascii="宋体" w:hAnsi="宋体" w:cs="宋体"/>
                <w:color w:val="auto"/>
                <w:szCs w:val="21"/>
                <w:highlight w:val="none"/>
              </w:rPr>
            </w:pPr>
            <w:r>
              <w:rPr>
                <w:rFonts w:hint="eastAsia" w:ascii="宋体" w:hAnsi="宋体" w:cs="宋体"/>
                <w:color w:val="auto"/>
                <w:szCs w:val="21"/>
                <w:highlight w:val="none"/>
              </w:rPr>
              <w:t>0.006%</w:t>
            </w:r>
          </w:p>
        </w:tc>
      </w:tr>
      <w:tr w14:paraId="0378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B0976BC">
            <w:pPr>
              <w:spacing w:line="360" w:lineRule="auto"/>
              <w:rPr>
                <w:rFonts w:ascii="宋体" w:hAnsi="宋体" w:cs="宋体"/>
                <w:color w:val="auto"/>
                <w:szCs w:val="21"/>
                <w:highlight w:val="none"/>
              </w:rPr>
            </w:pPr>
            <w:r>
              <w:rPr>
                <w:rFonts w:hint="eastAsia" w:ascii="宋体" w:hAnsi="宋体" w:cs="宋体"/>
                <w:color w:val="auto"/>
                <w:szCs w:val="21"/>
                <w:highlight w:val="none"/>
              </w:rPr>
              <w:t>100亿元以上</w:t>
            </w:r>
          </w:p>
        </w:tc>
        <w:tc>
          <w:tcPr>
            <w:tcW w:w="1659" w:type="dxa"/>
            <w:tcBorders>
              <w:top w:val="single" w:color="auto" w:sz="4" w:space="0"/>
              <w:left w:val="single" w:color="auto" w:sz="4" w:space="0"/>
              <w:bottom w:val="single" w:color="auto" w:sz="4" w:space="0"/>
              <w:right w:val="single" w:color="auto" w:sz="4" w:space="0"/>
            </w:tcBorders>
          </w:tcPr>
          <w:p w14:paraId="351CFDB0">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tcBorders>
              <w:top w:val="single" w:color="auto" w:sz="4" w:space="0"/>
              <w:left w:val="single" w:color="auto" w:sz="4" w:space="0"/>
              <w:bottom w:val="single" w:color="auto" w:sz="4" w:space="0"/>
              <w:right w:val="single" w:color="auto" w:sz="4" w:space="0"/>
            </w:tcBorders>
          </w:tcPr>
          <w:p w14:paraId="343D184A">
            <w:pPr>
              <w:spacing w:line="360" w:lineRule="auto"/>
              <w:ind w:firstLine="210"/>
              <w:rPr>
                <w:rFonts w:ascii="宋体" w:hAnsi="宋体" w:cs="宋体"/>
                <w:color w:val="auto"/>
                <w:szCs w:val="21"/>
                <w:highlight w:val="none"/>
              </w:rPr>
            </w:pPr>
            <w:r>
              <w:rPr>
                <w:rFonts w:hint="eastAsia" w:ascii="宋体" w:hAnsi="宋体" w:cs="宋体"/>
                <w:color w:val="auto"/>
                <w:szCs w:val="21"/>
                <w:highlight w:val="none"/>
              </w:rPr>
              <w:t>0.004%</w:t>
            </w:r>
          </w:p>
        </w:tc>
        <w:tc>
          <w:tcPr>
            <w:tcW w:w="1546" w:type="dxa"/>
            <w:tcBorders>
              <w:top w:val="single" w:color="auto" w:sz="4" w:space="0"/>
              <w:left w:val="single" w:color="auto" w:sz="4" w:space="0"/>
              <w:bottom w:val="single" w:color="auto" w:sz="4" w:space="0"/>
              <w:right w:val="single" w:color="auto" w:sz="4" w:space="0"/>
            </w:tcBorders>
          </w:tcPr>
          <w:p w14:paraId="26D99013">
            <w:pPr>
              <w:spacing w:line="360" w:lineRule="auto"/>
              <w:ind w:firstLine="105"/>
              <w:rPr>
                <w:rFonts w:ascii="宋体" w:hAnsi="宋体" w:cs="宋体"/>
                <w:color w:val="auto"/>
                <w:szCs w:val="21"/>
                <w:highlight w:val="none"/>
              </w:rPr>
            </w:pPr>
            <w:r>
              <w:rPr>
                <w:rFonts w:hint="eastAsia" w:ascii="宋体" w:hAnsi="宋体" w:cs="宋体"/>
                <w:color w:val="auto"/>
                <w:szCs w:val="21"/>
                <w:highlight w:val="none"/>
              </w:rPr>
              <w:t>0.004%</w:t>
            </w:r>
          </w:p>
        </w:tc>
      </w:tr>
    </w:tbl>
    <w:p w14:paraId="4ED38519">
      <w:pPr>
        <w:spacing w:line="360" w:lineRule="auto"/>
        <w:ind w:firstLine="420"/>
        <w:contextualSpacing/>
        <w:rPr>
          <w:rFonts w:ascii="宋体" w:hAnsi="宋体" w:cs="宋体"/>
          <w:color w:val="auto"/>
          <w:highlight w:val="none"/>
        </w:rPr>
      </w:pPr>
      <w:r>
        <w:rPr>
          <w:rFonts w:ascii="宋体" w:hAnsi="宋体" w:cs="宋体"/>
          <w:color w:val="auto"/>
          <w:highlight w:val="none"/>
        </w:rPr>
        <w:t xml:space="preserve">注： </w:t>
      </w:r>
    </w:p>
    <w:p w14:paraId="23A5FC81">
      <w:pPr>
        <w:spacing w:line="360" w:lineRule="auto"/>
        <w:ind w:firstLine="420"/>
        <w:contextualSpacing/>
        <w:rPr>
          <w:rFonts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14:paraId="31D4B456">
      <w:pPr>
        <w:spacing w:line="360" w:lineRule="auto"/>
        <w:ind w:firstLine="420"/>
        <w:contextualSpacing/>
        <w:rPr>
          <w:rFonts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14:paraId="4817080E">
      <w:pPr>
        <w:spacing w:line="360" w:lineRule="auto"/>
        <w:ind w:firstLine="420"/>
        <w:contextualSpacing/>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货物采购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w:t>
      </w:r>
      <w:r>
        <w:rPr>
          <w:rFonts w:hint="eastAsia" w:ascii="宋体" w:hAnsi="宋体" w:cs="宋体"/>
          <w:color w:val="auto"/>
          <w:highlight w:val="none"/>
        </w:rPr>
        <w:t>或者暂定价</w:t>
      </w:r>
      <w:r>
        <w:rPr>
          <w:rFonts w:ascii="宋体" w:hAnsi="宋体" w:cs="宋体"/>
          <w:color w:val="auto"/>
          <w:highlight w:val="none"/>
        </w:rPr>
        <w:t>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369CDF7F">
      <w:pPr>
        <w:spacing w:line="360" w:lineRule="auto"/>
        <w:ind w:firstLine="420"/>
        <w:contextualSpacing/>
        <w:rPr>
          <w:rFonts w:ascii="宋体" w:hAnsi="宋体" w:cs="宋体"/>
          <w:color w:val="auto"/>
          <w:highlight w:val="none"/>
        </w:rPr>
      </w:pPr>
      <w:r>
        <w:rPr>
          <w:rFonts w:ascii="宋体" w:hAnsi="宋体" w:cs="宋体"/>
          <w:color w:val="auto"/>
          <w:highlight w:val="none"/>
        </w:rPr>
        <w:t>100 万元 ×l.5 %＝ 1.5 万元</w:t>
      </w:r>
    </w:p>
    <w:p w14:paraId="3B36DFE2">
      <w:pPr>
        <w:spacing w:line="360" w:lineRule="auto"/>
        <w:ind w:firstLine="420"/>
        <w:contextualSpacing/>
        <w:rPr>
          <w:rFonts w:ascii="宋体" w:hAnsi="宋体" w:cs="宋体"/>
          <w:color w:val="auto"/>
          <w:highlight w:val="none"/>
        </w:rPr>
      </w:pPr>
      <w:r>
        <w:rPr>
          <w:rFonts w:ascii="宋体" w:hAnsi="宋体" w:cs="宋体"/>
          <w:color w:val="auto"/>
          <w:highlight w:val="none"/>
        </w:rPr>
        <w:t>（ 150 － 100 ）万元 ×1.1%＝ 0.55 万元</w:t>
      </w:r>
    </w:p>
    <w:p w14:paraId="4337A549">
      <w:pPr>
        <w:spacing w:line="360" w:lineRule="auto"/>
        <w:ind w:firstLine="420"/>
        <w:contextualSpacing/>
        <w:rPr>
          <w:rFonts w:ascii="宋体" w:hAnsi="宋体" w:cs="宋体"/>
          <w:color w:val="auto"/>
          <w:highlight w:val="none"/>
        </w:rPr>
      </w:pPr>
      <w:r>
        <w:rPr>
          <w:rFonts w:ascii="宋体" w:hAnsi="宋体" w:cs="宋体"/>
          <w:color w:val="auto"/>
          <w:highlight w:val="none"/>
        </w:rPr>
        <w:t>合计收费＝ 1.5 ＋ 0.55＝ 2.05 （万元）</w:t>
      </w:r>
    </w:p>
    <w:p w14:paraId="48CCC699">
      <w:pPr>
        <w:spacing w:line="360" w:lineRule="auto"/>
        <w:ind w:firstLine="482"/>
        <w:contextualSpacing/>
        <w:rPr>
          <w:rFonts w:ascii="黑体" w:hAnsi="黑体" w:eastAsia="黑体" w:cs="宋体"/>
          <w:b/>
          <w:bCs/>
          <w:color w:val="auto"/>
          <w:sz w:val="24"/>
          <w:highlight w:val="none"/>
        </w:rPr>
      </w:pPr>
      <w:r>
        <w:rPr>
          <w:rFonts w:ascii="黑体" w:hAnsi="黑体" w:eastAsia="黑体" w:cs="宋体"/>
          <w:b/>
          <w:bCs/>
          <w:color w:val="auto"/>
          <w:sz w:val="24"/>
          <w:highlight w:val="none"/>
        </w:rPr>
        <w:t>33. 需要补充的其他内容</w:t>
      </w:r>
    </w:p>
    <w:p w14:paraId="72EBB6B1">
      <w:pPr>
        <w:pStyle w:val="244"/>
        <w:spacing w:line="360" w:lineRule="auto"/>
        <w:ind w:firstLine="420"/>
        <w:contextualSpacing/>
        <w:rPr>
          <w:rFonts w:hAnsi="宋体"/>
          <w:color w:val="auto"/>
          <w:sz w:val="21"/>
          <w:highlight w:val="none"/>
        </w:rPr>
      </w:pPr>
      <w:r>
        <w:rPr>
          <w:rFonts w:hAnsi="宋体"/>
          <w:color w:val="auto"/>
          <w:sz w:val="21"/>
          <w:highlight w:val="none"/>
        </w:rPr>
        <w:t>33.1</w:t>
      </w:r>
      <w:r>
        <w:rPr>
          <w:rFonts w:hint="eastAsia" w:hAnsi="宋体" w:cs="宋体"/>
          <w:color w:val="auto"/>
          <w:sz w:val="21"/>
          <w:highlight w:val="none"/>
        </w:rPr>
        <w:t>本谈判文件解释规则详见</w:t>
      </w:r>
      <w:r>
        <w:rPr>
          <w:rFonts w:hint="eastAsia" w:hAnsi="宋体"/>
          <w:color w:val="auto"/>
          <w:sz w:val="21"/>
          <w:highlight w:val="none"/>
        </w:rPr>
        <w:t>“供应商须知前附表”。</w:t>
      </w:r>
    </w:p>
    <w:p w14:paraId="57CC9FB5">
      <w:pPr>
        <w:spacing w:line="360" w:lineRule="auto"/>
        <w:ind w:firstLine="420"/>
        <w:contextualSpacing/>
        <w:rPr>
          <w:rFonts w:hAnsi="宋体"/>
          <w:color w:val="auto"/>
          <w:highlight w:val="none"/>
        </w:rPr>
      </w:pPr>
      <w:r>
        <w:rPr>
          <w:rFonts w:ascii="宋体" w:hAnsi="宋体" w:cs="宋体"/>
          <w:color w:val="auto"/>
          <w:szCs w:val="21"/>
          <w:highlight w:val="none"/>
        </w:rPr>
        <w:t>33.2</w:t>
      </w:r>
      <w:r>
        <w:rPr>
          <w:rFonts w:hint="eastAsia" w:ascii="宋体" w:hAnsi="宋体" w:cs="宋体"/>
          <w:color w:val="auto"/>
          <w:szCs w:val="21"/>
          <w:highlight w:val="none"/>
        </w:rPr>
        <w:t xml:space="preserve"> 其他事</w:t>
      </w:r>
      <w:r>
        <w:rPr>
          <w:rFonts w:hint="eastAsia" w:hAnsi="宋体"/>
          <w:color w:val="auto"/>
          <w:highlight w:val="none"/>
        </w:rPr>
        <w:t>项详见“供应商须知前附表”。</w:t>
      </w:r>
    </w:p>
    <w:p w14:paraId="6017C2E3">
      <w:pPr>
        <w:pStyle w:val="244"/>
        <w:spacing w:line="360" w:lineRule="auto"/>
        <w:ind w:firstLine="400"/>
        <w:contextualSpacing/>
        <w:rPr>
          <w:rFonts w:hAnsi="宋体"/>
          <w:color w:val="auto"/>
          <w:sz w:val="21"/>
          <w:highlight w:val="none"/>
        </w:rPr>
      </w:pPr>
      <w:r>
        <w:rPr>
          <w:rFonts w:hint="eastAsia" w:hAnsi="宋体"/>
          <w:color w:val="auto"/>
          <w:highlight w:val="none"/>
        </w:rPr>
        <w:t>3</w:t>
      </w:r>
      <w:r>
        <w:rPr>
          <w:rFonts w:hAnsi="宋体"/>
          <w:color w:val="auto"/>
          <w:highlight w:val="none"/>
        </w:rPr>
        <w:t>3.3</w:t>
      </w:r>
      <w:r>
        <w:rPr>
          <w:rFonts w:hint="eastAsia" w:hAnsi="宋体"/>
          <w:color w:val="auto"/>
          <w:sz w:val="21"/>
          <w:highlight w:val="none"/>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0A9C5A08">
      <w:pPr>
        <w:pStyle w:val="244"/>
        <w:spacing w:line="360" w:lineRule="auto"/>
        <w:ind w:firstLine="420"/>
        <w:contextualSpacing/>
        <w:rPr>
          <w:rFonts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2B369709">
      <w:pPr>
        <w:pStyle w:val="244"/>
        <w:spacing w:line="360" w:lineRule="auto"/>
        <w:ind w:firstLine="420"/>
        <w:contextualSpacing/>
        <w:rPr>
          <w:rFonts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684CFB99">
      <w:pPr>
        <w:pStyle w:val="244"/>
        <w:spacing w:line="360" w:lineRule="auto"/>
        <w:ind w:firstLine="420"/>
        <w:contextualSpacing/>
        <w:rPr>
          <w:rFonts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6C5D19C9">
      <w:pPr>
        <w:pStyle w:val="244"/>
        <w:spacing w:line="360" w:lineRule="auto"/>
        <w:ind w:firstLine="420"/>
        <w:contextualSpacing/>
        <w:rPr>
          <w:rFonts w:hAnsi="宋体"/>
          <w:color w:val="auto"/>
          <w:sz w:val="21"/>
          <w:highlight w:val="none"/>
        </w:rPr>
      </w:pPr>
      <w:r>
        <w:rPr>
          <w:rFonts w:hint="eastAsia" w:hAnsi="宋体"/>
          <w:color w:val="auto"/>
          <w:sz w:val="21"/>
          <w:highlight w:val="none"/>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4AB321DD">
      <w:pPr>
        <w:spacing w:line="360" w:lineRule="auto"/>
        <w:ind w:firstLine="420"/>
        <w:contextualSpacing/>
        <w:rPr>
          <w:rFonts w:ascii="宋体" w:hAnsi="宋体" w:cs="宋体"/>
          <w:color w:val="auto"/>
          <w:highlight w:val="none"/>
        </w:rPr>
      </w:pPr>
      <w:r>
        <w:rPr>
          <w:rFonts w:hint="eastAsia" w:hAnsi="宋体"/>
          <w:color w:val="auto"/>
          <w:highlight w:val="none"/>
        </w:rPr>
        <w:t>依据本谈判文件规定享受扶持政策获得政府采购合同的，小微企业不得将合同分包给大中型企业，中型企业不得将合同分包给大型企业。</w:t>
      </w:r>
    </w:p>
    <w:p w14:paraId="55270036">
      <w:pPr>
        <w:pStyle w:val="237"/>
        <w:ind w:left="1" w:firstLine="3"/>
        <w:rPr>
          <w:rFonts w:hAnsi="宋体"/>
          <w:color w:val="auto"/>
          <w:highlight w:val="none"/>
        </w:rPr>
      </w:pPr>
      <w:r>
        <w:rPr>
          <w:rFonts w:ascii="黑体" w:hAnsi="黑体" w:eastAsia="黑体" w:cs="黑体"/>
          <w:bCs/>
          <w:color w:val="auto"/>
          <w:sz w:val="32"/>
          <w:szCs w:val="32"/>
          <w:highlight w:val="none"/>
        </w:rPr>
        <w:br w:type="page" w:clear="all"/>
      </w:r>
    </w:p>
    <w:p w14:paraId="54400B28">
      <w:pPr>
        <w:pStyle w:val="222"/>
        <w:jc w:val="center"/>
        <w:rPr>
          <w:color w:val="auto"/>
          <w:highlight w:val="none"/>
        </w:rPr>
      </w:pPr>
      <w:bookmarkStart w:id="65" w:name="_Toc6462"/>
      <w:r>
        <w:rPr>
          <w:rFonts w:hint="eastAsia"/>
          <w:color w:val="auto"/>
          <w:highlight w:val="none"/>
        </w:rPr>
        <w:t>第三章 采购需求</w:t>
      </w:r>
      <w:bookmarkEnd w:id="65"/>
    </w:p>
    <w:p w14:paraId="37F8DAD1">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说明：</w:t>
      </w:r>
    </w:p>
    <w:p w14:paraId="60EF633C">
      <w:pPr>
        <w:spacing w:line="500" w:lineRule="exact"/>
        <w:ind w:firstLine="420"/>
        <w:jc w:val="left"/>
        <w:rPr>
          <w:rFonts w:ascii="宋体" w:hAnsi="宋体" w:cs="宋体"/>
          <w:color w:val="auto"/>
          <w:szCs w:val="21"/>
          <w:highlight w:val="none"/>
        </w:rPr>
      </w:pPr>
      <w:r>
        <w:rPr>
          <w:rFonts w:hint="eastAsia"/>
          <w:color w:val="auto"/>
          <w:highlight w:val="none"/>
        </w:rPr>
        <w:t>1.为落实政府采购政策需满足的要求</w:t>
      </w:r>
    </w:p>
    <w:p w14:paraId="5ABED06F">
      <w:pPr>
        <w:spacing w:line="500" w:lineRule="exact"/>
        <w:ind w:firstLine="420"/>
        <w:jc w:val="left"/>
        <w:rPr>
          <w:rFonts w:ascii="宋体" w:hAnsi="宋体" w:cs="宋体"/>
          <w:color w:val="auto"/>
          <w:szCs w:val="21"/>
          <w:highlight w:val="none"/>
        </w:rPr>
      </w:pPr>
      <w:r>
        <w:rPr>
          <w:rFonts w:hint="eastAsia" w:ascii="宋体" w:hAnsi="宋体" w:cs="宋体"/>
          <w:color w:val="auto"/>
          <w:szCs w:val="21"/>
          <w:highlight w:val="none"/>
        </w:rPr>
        <w:t>（1）本竞争性谈判采购文件所称中小企业必须符合《政府采购促进中小企业发展管理办法》（财库〔2020〕46号）的规定。</w:t>
      </w:r>
    </w:p>
    <w:p w14:paraId="654F11C8">
      <w:pPr>
        <w:spacing w:line="500" w:lineRule="exact"/>
        <w:ind w:firstLine="420"/>
        <w:jc w:val="left"/>
        <w:rPr>
          <w:rFonts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否则响应文件按无效处理。如本项目包含的货物属于品目清单内非标注“★”的产品时，应优先采购，具体详见“第四章 评审程序和评定成交的标准”。</w:t>
      </w:r>
    </w:p>
    <w:p w14:paraId="256A0F3B">
      <w:pPr>
        <w:spacing w:line="500" w:lineRule="exact"/>
        <w:ind w:firstLine="424"/>
        <w:jc w:val="left"/>
        <w:rPr>
          <w:rFonts w:hint="eastAsia"/>
          <w:color w:val="auto"/>
          <w:highlight w:val="none"/>
        </w:rPr>
      </w:pPr>
      <w:r>
        <w:rPr>
          <w:rFonts w:hint="eastAsia" w:ascii="宋体" w:hAnsi="宋体" w:cs="宋体"/>
          <w:color w:val="auto"/>
          <w:szCs w:val="21"/>
          <w:highlight w:val="none"/>
        </w:rPr>
        <w:t>（3）</w:t>
      </w:r>
      <w:r>
        <w:rPr>
          <w:rFonts w:hint="eastAsia"/>
          <w:color w:val="auto"/>
          <w:highlight w:val="none"/>
        </w:rPr>
        <w:t>根据《关于调整网络安全专用产品安全管理有关事项的公告》（2023年第1号）规定，本项目采购需求中的产品如果包括《网络关键设备和网络安全专用产品目录》的网络安全专用产品，供应商在响应文件中应主动列明供货范围中属于网络安全专用产品的响应产品，并在响应文件（商务及技术文件）中提供由中国网信网（</w:t>
      </w:r>
      <w:r>
        <w:rPr>
          <w:color w:val="auto"/>
          <w:highlight w:val="none"/>
        </w:rPr>
        <w:t>http://www.cac.gov.cn/index.htm</w:t>
      </w:r>
      <w:r>
        <w:rPr>
          <w:rFonts w:hint="eastAsia"/>
          <w:color w:val="auto"/>
          <w:highlight w:val="none"/>
        </w:rPr>
        <w:t>）最新发布的《网络关键设备和网络安全专用产品安全认证和安全检测结果》截图证明材料，不在《网络关键设备和网络安全专用产品安全认证和安全检测结果》中或“所投网络安全专用产品如列入《网络关键设备和网络安全专用产品目录》，须提供由具备资格的机构出具的安全认证合格或安全检测符合要求的证明；对于2023年7月1日前已获得的销售许可证，在有效期内可继续使用。”如属于《网络关键设备和网络安全专用产品目录》中</w:t>
      </w:r>
      <w:r>
        <w:rPr>
          <w:color w:val="auto"/>
          <w:highlight w:val="none"/>
        </w:rPr>
        <w:t>“</w:t>
      </w:r>
      <w:r>
        <w:rPr>
          <w:rFonts w:hint="eastAsia"/>
          <w:color w:val="auto"/>
          <w:highlight w:val="none"/>
        </w:rPr>
        <w:t>二、网络安全专用产品</w:t>
      </w:r>
      <w:r>
        <w:rPr>
          <w:color w:val="auto"/>
          <w:highlight w:val="none"/>
        </w:rPr>
        <w:t>”</w:t>
      </w:r>
      <w:r>
        <w:rPr>
          <w:rFonts w:hint="eastAsia"/>
          <w:color w:val="auto"/>
          <w:highlight w:val="none"/>
        </w:rPr>
        <w:t>内</w:t>
      </w:r>
      <w:r>
        <w:rPr>
          <w:color w:val="auto"/>
          <w:highlight w:val="none"/>
        </w:rPr>
        <w:t>“</w:t>
      </w:r>
      <w:r>
        <w:rPr>
          <w:rFonts w:hint="eastAsia"/>
          <w:color w:val="auto"/>
          <w:highlight w:val="none"/>
        </w:rPr>
        <w:t>产品类别”中的所描述的产品，但不属于所列“产品描述”情形的，应提供相应的说明及证明材料。</w:t>
      </w:r>
    </w:p>
    <w:p w14:paraId="70D721A6">
      <w:pPr>
        <w:spacing w:line="500" w:lineRule="exact"/>
        <w:ind w:firstLine="424"/>
        <w:jc w:val="left"/>
        <w:rPr>
          <w:rFonts w:hint="eastAsia"/>
          <w:color w:val="auto"/>
          <w:highlight w:val="none"/>
        </w:rPr>
      </w:pPr>
      <w:r>
        <w:rPr>
          <w:rFonts w:hint="eastAsia"/>
          <w:color w:val="auto"/>
          <w:highlight w:val="none"/>
        </w:rPr>
        <w:t>（4）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84D7F0D">
      <w:pPr>
        <w:spacing w:line="500" w:lineRule="exact"/>
        <w:ind w:firstLine="424"/>
        <w:jc w:val="left"/>
        <w:rPr>
          <w:rFonts w:hint="eastAsia" w:ascii="宋体" w:hAnsi="宋体" w:eastAsia="宋体" w:cs="宋体"/>
          <w:color w:val="auto"/>
          <w:szCs w:val="21"/>
          <w:highlight w:val="none"/>
          <w:lang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color w:val="auto"/>
          <w:highlight w:val="none"/>
        </w:rPr>
        <w:t>根据《关于在政府采购活动中对有关美国企业采取相关措施的通知》（财库〔2026〕10号）的规定，供应商提供的产品不得为财库〔2026〕10号文件附件规定的46家美国企业（不包括在华美资企业）生产的产品。</w:t>
      </w:r>
    </w:p>
    <w:p w14:paraId="0832C7A2">
      <w:pPr>
        <w:spacing w:line="500" w:lineRule="exact"/>
        <w:ind w:firstLine="424"/>
        <w:jc w:val="left"/>
        <w:rPr>
          <w:rFonts w:hint="eastAsia"/>
          <w:color w:val="auto"/>
          <w:highlight w:val="none"/>
        </w:rPr>
      </w:pPr>
      <w:r>
        <w:rPr>
          <w:rFonts w:hint="eastAsia"/>
          <w:color w:val="auto"/>
          <w:highlight w:val="none"/>
        </w:rPr>
        <w:t>2. “实质性要求”是指采购需求中带“▲”的条款或者不能负偏离的条款或者已经指明不满足响应文件按无效处理的条款。</w:t>
      </w:r>
    </w:p>
    <w:p w14:paraId="1F213BBD">
      <w:pPr>
        <w:spacing w:line="500" w:lineRule="exact"/>
        <w:ind w:firstLine="424"/>
        <w:jc w:val="left"/>
        <w:rPr>
          <w:rFonts w:hint="eastAsia"/>
          <w:color w:val="auto"/>
          <w:highlight w:val="none"/>
        </w:rPr>
      </w:pPr>
      <w:r>
        <w:rPr>
          <w:rFonts w:hint="eastAsia"/>
          <w:color w:val="auto"/>
          <w:highlight w:val="none"/>
        </w:rPr>
        <w:t>3. 供应商应根据自身实际情况如实响应谈判文件，对谈判文件提出的要求和条件作出明确响应，否则将作无效响应处理。对于重要技术条款或技术参数应当在响应文件中提供技术支持资料，技术支持资料以谈判文件中规定的形式为准，否则将视为无效技术支持资料。</w:t>
      </w:r>
    </w:p>
    <w:p w14:paraId="58FD89BD">
      <w:pPr>
        <w:spacing w:line="500" w:lineRule="exact"/>
        <w:ind w:firstLine="424"/>
        <w:jc w:val="left"/>
        <w:rPr>
          <w:rFonts w:hint="eastAsia"/>
          <w:color w:val="auto"/>
          <w:highlight w:val="none"/>
        </w:rPr>
      </w:pPr>
      <w:r>
        <w:rPr>
          <w:rFonts w:hint="eastAsia"/>
          <w:color w:val="auto"/>
          <w:highlight w:val="none"/>
        </w:rPr>
        <w:t>4.供应商必须自行为其竞标产品侵犯他人的知识产权或者专利成果的行为承担相应法律责任。</w:t>
      </w:r>
    </w:p>
    <w:p w14:paraId="119A0DD3">
      <w:pPr>
        <w:spacing w:line="360" w:lineRule="auto"/>
        <w:ind w:firstLine="426"/>
        <w:jc w:val="left"/>
        <w:rPr>
          <w:rFonts w:ascii="宋体" w:hAnsi="宋体" w:cs="Arial"/>
          <w:bCs/>
          <w:color w:val="auto"/>
          <w:szCs w:val="21"/>
          <w:highlight w:val="none"/>
          <w:u w:val="single"/>
        </w:rPr>
      </w:pPr>
      <w:r>
        <w:rPr>
          <w:rFonts w:hint="eastAsia"/>
          <w:b/>
          <w:bCs/>
          <w:color w:val="auto"/>
          <w:highlight w:val="none"/>
        </w:rPr>
        <w:t>5</w:t>
      </w:r>
      <w:r>
        <w:rPr>
          <w:rFonts w:hint="eastAsia" w:ascii="宋体" w:hAnsi="宋体" w:cs="宋体"/>
          <w:b/>
          <w:bCs/>
          <w:color w:val="auto"/>
          <w:szCs w:val="21"/>
          <w:highlight w:val="none"/>
        </w:rPr>
        <w:t>.</w:t>
      </w:r>
      <w:r>
        <w:rPr>
          <w:rFonts w:hint="eastAsia" w:ascii="宋体" w:hAnsi="宋体"/>
          <w:b/>
          <w:color w:val="auto"/>
          <w:szCs w:val="21"/>
          <w:highlight w:val="none"/>
        </w:rPr>
        <w:t>本项目采购预算：</w:t>
      </w:r>
      <w:r>
        <w:rPr>
          <w:rFonts w:hint="eastAsia" w:ascii="宋体" w:hAnsi="宋体"/>
          <w:b/>
          <w:color w:val="auto"/>
          <w:szCs w:val="21"/>
          <w:highlight w:val="none"/>
          <w:u w:val="single"/>
        </w:rPr>
        <w:t>1000000元</w:t>
      </w:r>
    </w:p>
    <w:p w14:paraId="5E111C49">
      <w:pPr>
        <w:spacing w:line="360" w:lineRule="auto"/>
        <w:ind w:firstLine="426"/>
        <w:jc w:val="left"/>
        <w:rPr>
          <w:b/>
          <w:bCs/>
          <w:color w:val="auto"/>
          <w:highlight w:val="none"/>
        </w:rPr>
      </w:pPr>
      <w:r>
        <w:rPr>
          <w:rFonts w:hint="eastAsia"/>
          <w:b/>
          <w:bCs/>
          <w:color w:val="auto"/>
          <w:highlight w:val="none"/>
        </w:rPr>
        <w:t>6.本项目为专门面向中小企业采购的项目，中小企业划分标准所属行业及划分见本章附件2。</w:t>
      </w:r>
    </w:p>
    <w:p w14:paraId="5177050B">
      <w:pPr>
        <w:spacing w:line="360" w:lineRule="auto"/>
        <w:ind w:firstLine="426"/>
        <w:jc w:val="left"/>
        <w:rPr>
          <w:rFonts w:ascii="宋体" w:hAnsi="宋体"/>
          <w:b/>
          <w:color w:val="auto"/>
          <w:szCs w:val="21"/>
          <w:highlight w:val="none"/>
          <w:u w:val="single"/>
        </w:rPr>
      </w:pPr>
      <w:r>
        <w:rPr>
          <w:rFonts w:hint="eastAsia"/>
          <w:b/>
          <w:bCs/>
          <w:color w:val="auto"/>
          <w:highlight w:val="none"/>
        </w:rPr>
        <w:t>7.核心产品：</w:t>
      </w:r>
      <w:r>
        <w:rPr>
          <w:rFonts w:hint="eastAsia" w:ascii="宋体" w:hAnsi="宋体"/>
          <w:b/>
          <w:color w:val="auto"/>
          <w:szCs w:val="21"/>
          <w:highlight w:val="none"/>
          <w:u w:val="single"/>
        </w:rPr>
        <w:t>标的1血液透析机</w:t>
      </w:r>
    </w:p>
    <w:tbl>
      <w:tblPr>
        <w:tblStyle w:val="40"/>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0"/>
        <w:gridCol w:w="992"/>
        <w:gridCol w:w="73"/>
        <w:gridCol w:w="777"/>
        <w:gridCol w:w="709"/>
        <w:gridCol w:w="5035"/>
        <w:gridCol w:w="1346"/>
      </w:tblGrid>
      <w:tr w14:paraId="20B92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850" w:type="dxa"/>
            <w:vAlign w:val="center"/>
          </w:tcPr>
          <w:p w14:paraId="5E095FBF">
            <w:pPr>
              <w:tabs>
                <w:tab w:val="left" w:pos="180"/>
                <w:tab w:val="left" w:pos="1620"/>
              </w:tabs>
              <w:spacing w:line="380" w:lineRule="exact"/>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992" w:type="dxa"/>
            <w:vAlign w:val="center"/>
          </w:tcPr>
          <w:p w14:paraId="28AAF9AE">
            <w:pPr>
              <w:tabs>
                <w:tab w:val="left" w:pos="180"/>
                <w:tab w:val="left" w:pos="1620"/>
              </w:tabs>
              <w:spacing w:line="380" w:lineRule="exact"/>
              <w:jc w:val="center"/>
              <w:rPr>
                <w:rFonts w:ascii="宋体" w:hAnsi="宋体" w:cs="宋体"/>
                <w:b/>
                <w:bCs/>
                <w:color w:val="auto"/>
                <w:szCs w:val="21"/>
                <w:highlight w:val="none"/>
              </w:rPr>
            </w:pPr>
            <w:r>
              <w:rPr>
                <w:rFonts w:hint="eastAsia" w:ascii="宋体" w:hAnsi="宋体" w:cs="宋体"/>
                <w:b/>
                <w:bCs/>
                <w:color w:val="auto"/>
                <w:szCs w:val="21"/>
                <w:highlight w:val="none"/>
              </w:rPr>
              <w:t>标的的名称</w:t>
            </w:r>
          </w:p>
        </w:tc>
        <w:tc>
          <w:tcPr>
            <w:tcW w:w="850" w:type="dxa"/>
            <w:gridSpan w:val="2"/>
            <w:vAlign w:val="center"/>
          </w:tcPr>
          <w:p w14:paraId="42395324">
            <w:pPr>
              <w:tabs>
                <w:tab w:val="left" w:pos="180"/>
                <w:tab w:val="left" w:pos="1620"/>
              </w:tabs>
              <w:spacing w:line="380" w:lineRule="exact"/>
              <w:jc w:val="center"/>
              <w:rPr>
                <w:rFonts w:ascii="宋体" w:hAnsi="宋体" w:cs="宋体"/>
                <w:b/>
                <w:bCs/>
                <w:color w:val="auto"/>
                <w:szCs w:val="21"/>
                <w:highlight w:val="none"/>
              </w:rPr>
            </w:pPr>
            <w:r>
              <w:rPr>
                <w:rFonts w:hint="eastAsia" w:ascii="宋体" w:hAnsi="宋体" w:cs="宋体"/>
                <w:b/>
                <w:bCs/>
                <w:color w:val="auto"/>
                <w:szCs w:val="21"/>
                <w:highlight w:val="none"/>
              </w:rPr>
              <w:t>数量及单位</w:t>
            </w:r>
          </w:p>
        </w:tc>
        <w:tc>
          <w:tcPr>
            <w:tcW w:w="709" w:type="dxa"/>
            <w:vAlign w:val="center"/>
          </w:tcPr>
          <w:p w14:paraId="2C375822">
            <w:pPr>
              <w:tabs>
                <w:tab w:val="left" w:pos="180"/>
                <w:tab w:val="left" w:pos="1620"/>
              </w:tabs>
              <w:spacing w:line="380" w:lineRule="exact"/>
              <w:jc w:val="center"/>
              <w:rPr>
                <w:rFonts w:ascii="宋体" w:hAnsi="宋体" w:cs="宋体"/>
                <w:b/>
                <w:bCs/>
                <w:color w:val="auto"/>
                <w:szCs w:val="21"/>
                <w:highlight w:val="none"/>
              </w:rPr>
            </w:pPr>
            <w:r>
              <w:rPr>
                <w:rFonts w:hint="eastAsia" w:ascii="宋体" w:hAnsi="宋体" w:cs="Arial"/>
                <w:b/>
                <w:bCs/>
                <w:color w:val="auto"/>
                <w:szCs w:val="21"/>
                <w:highlight w:val="none"/>
              </w:rPr>
              <w:t>所属行业</w:t>
            </w:r>
          </w:p>
        </w:tc>
        <w:tc>
          <w:tcPr>
            <w:tcW w:w="5035" w:type="dxa"/>
            <w:tcBorders>
              <w:right w:val="single" w:color="auto" w:sz="4" w:space="0"/>
            </w:tcBorders>
            <w:vAlign w:val="center"/>
          </w:tcPr>
          <w:p w14:paraId="623CD1D6">
            <w:pPr>
              <w:tabs>
                <w:tab w:val="left" w:pos="180"/>
                <w:tab w:val="left" w:pos="1620"/>
              </w:tabs>
              <w:spacing w:line="380" w:lineRule="exact"/>
              <w:jc w:val="center"/>
              <w:rPr>
                <w:rFonts w:ascii="宋体" w:hAnsi="宋体" w:cs="宋体"/>
                <w:b/>
                <w:bCs/>
                <w:color w:val="auto"/>
                <w:szCs w:val="21"/>
                <w:highlight w:val="none"/>
              </w:rPr>
            </w:pPr>
            <w:r>
              <w:rPr>
                <w:rFonts w:hint="eastAsia" w:ascii="宋体" w:hAnsi="宋体" w:cs="宋体"/>
                <w:b/>
                <w:bCs/>
                <w:color w:val="auto"/>
                <w:szCs w:val="21"/>
                <w:highlight w:val="none"/>
              </w:rPr>
              <w:t>技术要求</w:t>
            </w:r>
          </w:p>
        </w:tc>
        <w:tc>
          <w:tcPr>
            <w:tcW w:w="1346" w:type="dxa"/>
            <w:tcBorders>
              <w:left w:val="single" w:color="auto" w:sz="4" w:space="0"/>
            </w:tcBorders>
            <w:vAlign w:val="center"/>
          </w:tcPr>
          <w:p w14:paraId="524AF581">
            <w:pPr>
              <w:tabs>
                <w:tab w:val="left" w:pos="180"/>
                <w:tab w:val="left" w:pos="1620"/>
              </w:tabs>
              <w:spacing w:line="380" w:lineRule="exact"/>
              <w:jc w:val="center"/>
              <w:rPr>
                <w:rFonts w:ascii="宋体" w:hAnsi="宋体" w:cs="宋体"/>
                <w:b/>
                <w:bCs/>
                <w:color w:val="auto"/>
                <w:szCs w:val="21"/>
                <w:highlight w:val="none"/>
              </w:rPr>
            </w:pPr>
            <w:r>
              <w:rPr>
                <w:rFonts w:hint="eastAsia" w:ascii="宋体" w:hAnsi="宋体" w:cs="宋体"/>
                <w:b/>
                <w:bCs/>
                <w:color w:val="auto"/>
                <w:szCs w:val="21"/>
                <w:highlight w:val="none"/>
              </w:rPr>
              <w:t>预算单价（元）</w:t>
            </w:r>
          </w:p>
        </w:tc>
      </w:tr>
      <w:tr w14:paraId="40890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7" w:hRule="atLeast"/>
          <w:jc w:val="center"/>
        </w:trPr>
        <w:tc>
          <w:tcPr>
            <w:tcW w:w="850" w:type="dxa"/>
            <w:vAlign w:val="center"/>
          </w:tcPr>
          <w:p w14:paraId="7AD544A8">
            <w:pPr>
              <w:tabs>
                <w:tab w:val="left" w:pos="180"/>
                <w:tab w:val="left" w:pos="1620"/>
              </w:tabs>
              <w:spacing w:line="38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992" w:type="dxa"/>
            <w:vAlign w:val="center"/>
          </w:tcPr>
          <w:p w14:paraId="62B7CCC7">
            <w:pPr>
              <w:spacing w:line="380" w:lineRule="exact"/>
              <w:jc w:val="center"/>
              <w:rPr>
                <w:rFonts w:ascii="宋体" w:hAnsi="宋体"/>
                <w:color w:val="auto"/>
                <w:szCs w:val="21"/>
                <w:highlight w:val="none"/>
              </w:rPr>
            </w:pPr>
            <w:r>
              <w:rPr>
                <w:rFonts w:hint="eastAsia" w:ascii="宋体" w:hAnsi="宋体"/>
                <w:color w:val="auto"/>
                <w:szCs w:val="21"/>
                <w:highlight w:val="none"/>
              </w:rPr>
              <w:t>血液透析机</w:t>
            </w:r>
          </w:p>
        </w:tc>
        <w:tc>
          <w:tcPr>
            <w:tcW w:w="850" w:type="dxa"/>
            <w:gridSpan w:val="2"/>
            <w:vAlign w:val="center"/>
          </w:tcPr>
          <w:p w14:paraId="4037CFED">
            <w:pPr>
              <w:spacing w:line="380" w:lineRule="exact"/>
              <w:jc w:val="center"/>
              <w:rPr>
                <w:rFonts w:ascii="宋体" w:hAnsi="宋体"/>
                <w:color w:val="auto"/>
                <w:szCs w:val="21"/>
                <w:highlight w:val="none"/>
              </w:rPr>
            </w:pPr>
            <w:r>
              <w:rPr>
                <w:rFonts w:hint="eastAsia" w:ascii="宋体" w:hAnsi="宋体"/>
                <w:color w:val="auto"/>
                <w:szCs w:val="21"/>
                <w:highlight w:val="none"/>
              </w:rPr>
              <w:t>5台</w:t>
            </w:r>
          </w:p>
        </w:tc>
        <w:tc>
          <w:tcPr>
            <w:tcW w:w="709" w:type="dxa"/>
            <w:vAlign w:val="center"/>
          </w:tcPr>
          <w:p w14:paraId="38308493">
            <w:pPr>
              <w:spacing w:line="380" w:lineRule="exact"/>
              <w:jc w:val="center"/>
              <w:rPr>
                <w:rFonts w:ascii="宋体" w:hAnsi="宋体"/>
                <w:color w:val="auto"/>
                <w:szCs w:val="21"/>
                <w:highlight w:val="none"/>
              </w:rPr>
            </w:pPr>
            <w:r>
              <w:rPr>
                <w:rFonts w:hint="eastAsia" w:ascii="宋体" w:hAnsi="宋体"/>
                <w:color w:val="auto"/>
                <w:szCs w:val="21"/>
                <w:highlight w:val="none"/>
              </w:rPr>
              <w:t>工业</w:t>
            </w:r>
          </w:p>
        </w:tc>
        <w:tc>
          <w:tcPr>
            <w:tcW w:w="5035" w:type="dxa"/>
            <w:tcBorders>
              <w:right w:val="single" w:color="auto" w:sz="4" w:space="0"/>
            </w:tcBorders>
            <w:vAlign w:val="center"/>
          </w:tcPr>
          <w:p w14:paraId="385ACE33">
            <w:pPr>
              <w:rPr>
                <w:color w:val="auto"/>
                <w:highlight w:val="none"/>
              </w:rPr>
            </w:pPr>
            <w:r>
              <w:rPr>
                <w:rFonts w:hint="eastAsia"/>
                <w:color w:val="auto"/>
                <w:highlight w:val="none"/>
              </w:rPr>
              <w:t>1.配备彩色液晶屏，中文操作界面</w:t>
            </w:r>
          </w:p>
          <w:p w14:paraId="0EA5495B">
            <w:pPr>
              <w:rPr>
                <w:color w:val="auto"/>
                <w:highlight w:val="none"/>
              </w:rPr>
            </w:pPr>
            <w:r>
              <w:rPr>
                <w:rFonts w:hint="eastAsia" w:ascii="宋体" w:hAnsi="宋体" w:cs="宋体"/>
                <w:color w:val="auto"/>
                <w:szCs w:val="21"/>
                <w:highlight w:val="none"/>
              </w:rPr>
              <w:t>▲</w:t>
            </w:r>
            <w:r>
              <w:rPr>
                <w:rFonts w:hint="eastAsia"/>
                <w:color w:val="auto"/>
                <w:highlight w:val="none"/>
              </w:rPr>
              <w:t>2.设备开机强制自检，不可跳过，确保患者治疗安全。</w:t>
            </w:r>
          </w:p>
          <w:p w14:paraId="75FBDED4">
            <w:pPr>
              <w:rPr>
                <w:color w:val="auto"/>
                <w:highlight w:val="none"/>
              </w:rPr>
            </w:pPr>
            <w:r>
              <w:rPr>
                <w:rFonts w:hint="eastAsia"/>
                <w:color w:val="auto"/>
                <w:highlight w:val="none"/>
              </w:rPr>
              <w:t>3.设备完全水电上下分离设计，单独水路控制系统，增加安全性</w:t>
            </w:r>
          </w:p>
          <w:p w14:paraId="5AA062C0">
            <w:pPr>
              <w:rPr>
                <w:color w:val="auto"/>
                <w:highlight w:val="none"/>
              </w:rPr>
            </w:pPr>
            <w:r>
              <w:rPr>
                <w:rFonts w:hint="eastAsia" w:ascii="宋体" w:hAnsi="宋体" w:cs="宋体"/>
                <w:color w:val="auto"/>
                <w:szCs w:val="21"/>
                <w:highlight w:val="none"/>
              </w:rPr>
              <w:t>▲</w:t>
            </w:r>
            <w:r>
              <w:rPr>
                <w:rFonts w:hint="eastAsia"/>
                <w:color w:val="auto"/>
                <w:highlight w:val="none"/>
              </w:rPr>
              <w:t>4.密闭式双容量平衡腔控制的超滤系统 – 脱水速度调定范围为0.00L/h～4.00l/h</w:t>
            </w:r>
            <w:r>
              <w:rPr>
                <w:color w:val="auto"/>
                <w:highlight w:val="none"/>
              </w:rPr>
              <w:t>，</w:t>
            </w:r>
            <w:r>
              <w:rPr>
                <w:rFonts w:hint="eastAsia"/>
                <w:color w:val="auto"/>
                <w:highlight w:val="none"/>
              </w:rPr>
              <w:t>连续可调</w:t>
            </w:r>
          </w:p>
          <w:p w14:paraId="55F943C7">
            <w:pPr>
              <w:rPr>
                <w:color w:val="auto"/>
                <w:highlight w:val="none"/>
              </w:rPr>
            </w:pPr>
            <w:r>
              <w:rPr>
                <w:rFonts w:hint="eastAsia"/>
                <w:color w:val="auto"/>
                <w:highlight w:val="none"/>
              </w:rPr>
              <w:t>5.超滤泵精度为超滤量±1%</w:t>
            </w:r>
          </w:p>
          <w:p w14:paraId="56AA15F0">
            <w:pPr>
              <w:rPr>
                <w:color w:val="auto"/>
                <w:highlight w:val="none"/>
              </w:rPr>
            </w:pPr>
            <w:r>
              <w:rPr>
                <w:rFonts w:hint="eastAsia"/>
                <w:color w:val="auto"/>
                <w:highlight w:val="none"/>
              </w:rPr>
              <w:t>6.平衡精确度为透析液总量的±0.1%</w:t>
            </w:r>
          </w:p>
          <w:p w14:paraId="56188090">
            <w:pPr>
              <w:rPr>
                <w:color w:val="auto"/>
                <w:highlight w:val="none"/>
              </w:rPr>
            </w:pPr>
            <w:r>
              <w:rPr>
                <w:rFonts w:hint="eastAsia" w:ascii="宋体" w:hAnsi="宋体" w:cs="宋体"/>
                <w:color w:val="auto"/>
                <w:szCs w:val="21"/>
                <w:highlight w:val="none"/>
              </w:rPr>
              <w:t>▲</w:t>
            </w:r>
            <w:r>
              <w:rPr>
                <w:rFonts w:hint="eastAsia"/>
                <w:color w:val="auto"/>
                <w:highlight w:val="none"/>
              </w:rPr>
              <w:t>7.压力衡定测试：治疗时每12.5分钟进行一次压力密闭平衡测试，检查水路系统密闭性，保证超滤精度和治疗安全</w:t>
            </w:r>
          </w:p>
          <w:p w14:paraId="0508EF21">
            <w:pPr>
              <w:rPr>
                <w:color w:val="auto"/>
                <w:highlight w:val="none"/>
              </w:rPr>
            </w:pPr>
            <w:r>
              <w:rPr>
                <w:rFonts w:hint="eastAsia" w:ascii="宋体" w:hAnsi="宋体" w:cs="宋体"/>
                <w:color w:val="auto"/>
                <w:szCs w:val="21"/>
                <w:highlight w:val="none"/>
              </w:rPr>
              <w:t>▲</w:t>
            </w:r>
            <w:r>
              <w:rPr>
                <w:rFonts w:hint="eastAsia"/>
                <w:color w:val="auto"/>
                <w:highlight w:val="none"/>
              </w:rPr>
              <w:t>8.体外循环监控：监测动脉压（指示范围不超过该区间-300mmHg~+280mmHg）、静脉压（指示范围不超过该区间-60 mmHg~+520mmHg）、气泡及液位监测功能，漏血防护监测功能，以及静脉管路夹。</w:t>
            </w:r>
          </w:p>
          <w:p w14:paraId="42CA7E29">
            <w:pPr>
              <w:rPr>
                <w:color w:val="auto"/>
                <w:highlight w:val="none"/>
              </w:rPr>
            </w:pPr>
            <w:r>
              <w:rPr>
                <w:rFonts w:hint="eastAsia"/>
                <w:color w:val="auto"/>
                <w:highlight w:val="none"/>
              </w:rPr>
              <w:t>9.跨膜压（指示范围-60</w:t>
            </w:r>
            <w:r>
              <w:rPr>
                <w:color w:val="auto"/>
                <w:highlight w:val="none"/>
              </w:rPr>
              <w:t>～</w:t>
            </w:r>
            <w:r>
              <w:rPr>
                <w:rFonts w:hint="eastAsia"/>
                <w:color w:val="auto"/>
                <w:highlight w:val="none"/>
              </w:rPr>
              <w:t>+520mmHg</w:t>
            </w:r>
            <w:r>
              <w:rPr>
                <w:color w:val="auto"/>
                <w:highlight w:val="none"/>
              </w:rPr>
              <w:t>，</w:t>
            </w:r>
            <w:r>
              <w:rPr>
                <w:rFonts w:hint="eastAsia"/>
                <w:color w:val="auto"/>
                <w:highlight w:val="none"/>
              </w:rPr>
              <w:t>分辨率：20 mmHg）。</w:t>
            </w:r>
          </w:p>
          <w:p w14:paraId="6D56B512">
            <w:pPr>
              <w:rPr>
                <w:color w:val="auto"/>
                <w:highlight w:val="none"/>
              </w:rPr>
            </w:pPr>
            <w:r>
              <w:rPr>
                <w:rFonts w:hint="eastAsia" w:ascii="宋体" w:hAnsi="宋体" w:cs="宋体"/>
                <w:color w:val="auto"/>
                <w:szCs w:val="21"/>
                <w:highlight w:val="none"/>
              </w:rPr>
              <w:t>▲</w:t>
            </w:r>
            <w:r>
              <w:rPr>
                <w:rFonts w:hint="eastAsia"/>
                <w:color w:val="auto"/>
                <w:highlight w:val="none"/>
              </w:rPr>
              <w:t>10.血流量设定范围：15</w:t>
            </w:r>
            <w:r>
              <w:rPr>
                <w:color w:val="auto"/>
                <w:highlight w:val="none"/>
              </w:rPr>
              <w:t>～</w:t>
            </w:r>
            <w:r>
              <w:rPr>
                <w:rFonts w:hint="eastAsia"/>
                <w:color w:val="auto"/>
                <w:highlight w:val="none"/>
              </w:rPr>
              <w:t>600ml/min，有效血流速：0</w:t>
            </w:r>
            <w:r>
              <w:rPr>
                <w:color w:val="auto"/>
                <w:highlight w:val="none"/>
              </w:rPr>
              <w:t>～</w:t>
            </w:r>
            <w:r>
              <w:rPr>
                <w:rFonts w:hint="eastAsia"/>
                <w:color w:val="auto"/>
                <w:highlight w:val="none"/>
              </w:rPr>
              <w:t>600ml/min，精确度：±10 %分辨率：1ml/min可实时显示有效血流量</w:t>
            </w:r>
          </w:p>
          <w:p w14:paraId="326D6D00">
            <w:pPr>
              <w:rPr>
                <w:color w:val="auto"/>
                <w:highlight w:val="none"/>
              </w:rPr>
            </w:pPr>
            <w:r>
              <w:rPr>
                <w:rFonts w:hint="eastAsia"/>
                <w:color w:val="auto"/>
                <w:highlight w:val="none"/>
              </w:rPr>
              <w:t>11.肝素注入速度设定范围：0.1～10ml/h，允差范围在设定值的±5%</w:t>
            </w:r>
          </w:p>
          <w:p w14:paraId="2AFB5D69">
            <w:pPr>
              <w:rPr>
                <w:color w:val="auto"/>
                <w:highlight w:val="none"/>
              </w:rPr>
            </w:pPr>
            <w:r>
              <w:rPr>
                <w:rFonts w:hint="eastAsia"/>
                <w:color w:val="auto"/>
                <w:highlight w:val="none"/>
              </w:rPr>
              <w:t>12.透析液温度监控（具备超温报警）：温度设定35℃</w:t>
            </w:r>
            <w:r>
              <w:rPr>
                <w:color w:val="auto"/>
                <w:highlight w:val="none"/>
              </w:rPr>
              <w:t>～</w:t>
            </w:r>
            <w:r>
              <w:rPr>
                <w:rFonts w:hint="eastAsia"/>
                <w:color w:val="auto"/>
                <w:highlight w:val="none"/>
              </w:rPr>
              <w:t>39℃，报警限值33℃</w:t>
            </w:r>
            <w:r>
              <w:rPr>
                <w:color w:val="auto"/>
                <w:highlight w:val="none"/>
              </w:rPr>
              <w:t>～</w:t>
            </w:r>
            <w:r>
              <w:rPr>
                <w:rFonts w:hint="eastAsia"/>
                <w:color w:val="auto"/>
                <w:highlight w:val="none"/>
              </w:rPr>
              <w:t>40℃，连续可调，精度±0.5℃</w:t>
            </w:r>
          </w:p>
          <w:p w14:paraId="083B58C5">
            <w:pPr>
              <w:rPr>
                <w:color w:val="auto"/>
                <w:highlight w:val="none"/>
              </w:rPr>
            </w:pPr>
            <w:r>
              <w:rPr>
                <w:rFonts w:hint="eastAsia"/>
                <w:color w:val="auto"/>
                <w:highlight w:val="none"/>
              </w:rPr>
              <w:t>13.透析液流量精度为±10%</w:t>
            </w:r>
          </w:p>
          <w:p w14:paraId="67C925F3">
            <w:pPr>
              <w:rPr>
                <w:color w:val="auto"/>
                <w:highlight w:val="none"/>
              </w:rPr>
            </w:pPr>
            <w:r>
              <w:rPr>
                <w:rFonts w:hint="eastAsia" w:ascii="宋体" w:hAnsi="宋体" w:cs="宋体"/>
                <w:color w:val="auto"/>
                <w:szCs w:val="21"/>
                <w:highlight w:val="none"/>
              </w:rPr>
              <w:t>▲</w:t>
            </w:r>
            <w:r>
              <w:rPr>
                <w:rFonts w:hint="eastAsia"/>
                <w:color w:val="auto"/>
                <w:highlight w:val="none"/>
              </w:rPr>
              <w:t>14.透析液流速：标准模式设定范围为300 ml/min，500 ml/min、800ml/min</w:t>
            </w:r>
            <w:r>
              <w:rPr>
                <w:color w:val="auto"/>
                <w:highlight w:val="none"/>
              </w:rPr>
              <w:t>，</w:t>
            </w:r>
            <w:r>
              <w:rPr>
                <w:rFonts w:hint="eastAsia"/>
                <w:color w:val="auto"/>
                <w:highlight w:val="none"/>
              </w:rPr>
              <w:t>配备自动透析液模式，可根据有效血流量实时调整透析液流速。</w:t>
            </w:r>
          </w:p>
          <w:p w14:paraId="2AC1D7CF">
            <w:pPr>
              <w:rPr>
                <w:color w:val="auto"/>
                <w:highlight w:val="none"/>
              </w:rPr>
            </w:pPr>
            <w:r>
              <w:rPr>
                <w:rFonts w:hint="eastAsia"/>
                <w:color w:val="auto"/>
                <w:highlight w:val="none"/>
              </w:rPr>
              <w:t>15.血泵管直径2mm~10mm</w:t>
            </w:r>
          </w:p>
          <w:p w14:paraId="6980F5B1">
            <w:pPr>
              <w:rPr>
                <w:color w:val="auto"/>
                <w:highlight w:val="none"/>
              </w:rPr>
            </w:pPr>
            <w:r>
              <w:rPr>
                <w:rFonts w:hint="eastAsia"/>
                <w:color w:val="auto"/>
                <w:highlight w:val="none"/>
              </w:rPr>
              <w:t>16.具备透析液浓度控制功能和浓度监测功能：按照浓缩液配方及稀释比例计算目标电导率，具备两个或以上在线的透析液电导率测量设备。透析液电导率标尺显示范围12.8 - 15.7mS/cm，精度：±0.1 mS/cm， 具备防止A/B放错的措施</w:t>
            </w:r>
          </w:p>
          <w:p w14:paraId="135E6ACF">
            <w:pPr>
              <w:rPr>
                <w:color w:val="auto"/>
                <w:highlight w:val="none"/>
              </w:rPr>
            </w:pPr>
            <w:r>
              <w:rPr>
                <w:rFonts w:hint="eastAsia"/>
                <w:color w:val="auto"/>
                <w:highlight w:val="none"/>
              </w:rPr>
              <w:t>17.具有碳酸盐/醋酸盐/单超透析多种透析模式，可预设多种透析液配方</w:t>
            </w:r>
          </w:p>
          <w:p w14:paraId="28344312">
            <w:pPr>
              <w:rPr>
                <w:color w:val="auto"/>
                <w:highlight w:val="none"/>
              </w:rPr>
            </w:pPr>
            <w:r>
              <w:rPr>
                <w:rFonts w:hint="eastAsia" w:ascii="宋体" w:hAnsi="宋体" w:cs="宋体"/>
                <w:color w:val="auto"/>
                <w:szCs w:val="21"/>
                <w:highlight w:val="none"/>
              </w:rPr>
              <w:t>▲</w:t>
            </w:r>
            <w:r>
              <w:rPr>
                <w:rFonts w:hint="eastAsia"/>
                <w:color w:val="auto"/>
                <w:highlight w:val="none"/>
              </w:rPr>
              <w:t>18.标配原厂同品牌细菌过滤器，确保透析液品质，同时设备具备监测滤器使用寿命并显示更换提示</w:t>
            </w:r>
          </w:p>
          <w:p w14:paraId="77FDC208">
            <w:pPr>
              <w:rPr>
                <w:color w:val="auto"/>
                <w:highlight w:val="none"/>
              </w:rPr>
            </w:pPr>
            <w:r>
              <w:rPr>
                <w:rFonts w:hint="eastAsia"/>
                <w:color w:val="auto"/>
                <w:highlight w:val="none"/>
              </w:rPr>
              <w:t>19.全自动的清洗，脱脂，化学加热消毒可加热到84±3℃，连同浓缩液管一体化清洗消毒</w:t>
            </w:r>
          </w:p>
          <w:p w14:paraId="5D09AB75">
            <w:pPr>
              <w:rPr>
                <w:color w:val="auto"/>
                <w:highlight w:val="none"/>
              </w:rPr>
            </w:pPr>
            <w:r>
              <w:rPr>
                <w:rFonts w:hint="eastAsia"/>
                <w:color w:val="auto"/>
                <w:highlight w:val="none"/>
              </w:rPr>
              <w:t>20.设备具备后备电池紧急情况下确保患者安全下机回血</w:t>
            </w:r>
          </w:p>
          <w:p w14:paraId="57039FC3">
            <w:pPr>
              <w:rPr>
                <w:color w:val="auto"/>
                <w:highlight w:val="none"/>
              </w:rPr>
            </w:pPr>
            <w:r>
              <w:rPr>
                <w:rFonts w:hint="eastAsia"/>
                <w:color w:val="auto"/>
                <w:highlight w:val="none"/>
              </w:rPr>
              <w:t>21.标配数据软件接口实现网络安全功能，具备数据接口进行传输协议</w:t>
            </w:r>
          </w:p>
          <w:p w14:paraId="4114EA22">
            <w:pPr>
              <w:rPr>
                <w:color w:val="auto"/>
                <w:highlight w:val="none"/>
              </w:rPr>
            </w:pPr>
            <w:r>
              <w:rPr>
                <w:rFonts w:hint="eastAsia"/>
                <w:color w:val="auto"/>
                <w:highlight w:val="none"/>
              </w:rPr>
              <w:t>22.空气探测器检测方法超声波传输，静脉夹中另有光学检测器，敏感度 0</w:t>
            </w:r>
            <w:r>
              <w:rPr>
                <w:color w:val="auto"/>
                <w:highlight w:val="none"/>
              </w:rPr>
              <w:t>～</w:t>
            </w:r>
            <w:r>
              <w:rPr>
                <w:rFonts w:hint="eastAsia"/>
                <w:color w:val="auto"/>
                <w:highlight w:val="none"/>
              </w:rPr>
              <w:t>600ml/min</w:t>
            </w:r>
          </w:p>
          <w:p w14:paraId="5A670293">
            <w:pPr>
              <w:rPr>
                <w:color w:val="auto"/>
                <w:highlight w:val="none"/>
              </w:rPr>
            </w:pPr>
            <w:r>
              <w:rPr>
                <w:rFonts w:hint="eastAsia"/>
                <w:color w:val="auto"/>
                <w:highlight w:val="none"/>
              </w:rPr>
              <w:t>23.漏血探测器敏感度3000ml/min-800ml/min时Hct为0.32时≤0.35ml/min</w:t>
            </w:r>
          </w:p>
          <w:p w14:paraId="3CDAB4A4">
            <w:pPr>
              <w:rPr>
                <w:color w:val="auto"/>
                <w:highlight w:val="none"/>
              </w:rPr>
            </w:pPr>
            <w:r>
              <w:rPr>
                <w:rFonts w:hint="eastAsia"/>
                <w:color w:val="auto"/>
                <w:highlight w:val="none"/>
              </w:rPr>
              <w:t>24.清洗消毒流程：冲洗37℃/600mL/min，热清洗(再循环)  ：84℃/450mL/min，化学消毒(再循环，37℃/600mL/min</w:t>
            </w:r>
          </w:p>
          <w:p w14:paraId="2D50DF5B">
            <w:pPr>
              <w:rPr>
                <w:color w:val="auto"/>
                <w:highlight w:val="none"/>
              </w:rPr>
            </w:pPr>
            <w:r>
              <w:rPr>
                <w:rFonts w:hint="eastAsia" w:ascii="宋体" w:hAnsi="宋体" w:cs="宋体"/>
                <w:color w:val="auto"/>
                <w:szCs w:val="21"/>
                <w:highlight w:val="none"/>
              </w:rPr>
              <w:t>▲</w:t>
            </w:r>
            <w:r>
              <w:rPr>
                <w:rFonts w:hint="eastAsia"/>
                <w:color w:val="auto"/>
                <w:highlight w:val="none"/>
              </w:rPr>
              <w:t>25.具有水/热/化学等多种化学消毒程式可供选择，消毒、脱钙一次完成不超过35分钟</w:t>
            </w:r>
          </w:p>
          <w:p w14:paraId="12956F7E">
            <w:pPr>
              <w:rPr>
                <w:color w:val="auto"/>
                <w:highlight w:val="none"/>
              </w:rPr>
            </w:pPr>
            <w:r>
              <w:rPr>
                <w:rFonts w:hint="eastAsia"/>
                <w:color w:val="auto"/>
                <w:highlight w:val="none"/>
              </w:rPr>
              <w:t>26.要求工作寿命为初次启动后≥10年</w:t>
            </w:r>
          </w:p>
          <w:p w14:paraId="09E2E88D">
            <w:pPr>
              <w:rPr>
                <w:color w:val="auto"/>
                <w:highlight w:val="none"/>
              </w:rPr>
            </w:pPr>
            <w:r>
              <w:rPr>
                <w:rFonts w:hint="eastAsia" w:ascii="宋体" w:hAnsi="宋体" w:cs="宋体"/>
                <w:color w:val="auto"/>
                <w:szCs w:val="21"/>
                <w:highlight w:val="none"/>
              </w:rPr>
              <w:t>▲</w:t>
            </w:r>
            <w:r>
              <w:rPr>
                <w:rFonts w:hint="eastAsia"/>
                <w:color w:val="auto"/>
                <w:highlight w:val="none"/>
              </w:rPr>
              <w:t>27.标配在线清除率监测模块，在治疗过程可显示血浆钠浓度。</w:t>
            </w:r>
          </w:p>
          <w:p w14:paraId="61003067">
            <w:pPr>
              <w:rPr>
                <w:color w:val="auto"/>
                <w:highlight w:val="none"/>
              </w:rPr>
            </w:pPr>
            <w:r>
              <w:rPr>
                <w:rFonts w:hint="eastAsia"/>
                <w:color w:val="auto"/>
                <w:highlight w:val="none"/>
              </w:rPr>
              <w:t>其他要求</w:t>
            </w:r>
          </w:p>
          <w:p w14:paraId="5F4DCEAF">
            <w:pPr>
              <w:pStyle w:val="14"/>
              <w:rPr>
                <w:rFonts w:ascii="宋体" w:hAnsi="宋体"/>
                <w:color w:val="auto"/>
                <w:szCs w:val="21"/>
                <w:highlight w:val="none"/>
              </w:rPr>
            </w:pPr>
            <w:r>
              <w:rPr>
                <w:rFonts w:hint="eastAsia" w:ascii="宋体" w:hAnsi="宋体" w:cs="宋体"/>
                <w:color w:val="auto"/>
                <w:szCs w:val="21"/>
                <w:highlight w:val="none"/>
              </w:rPr>
              <w:t>▲</w:t>
            </w:r>
            <w:r>
              <w:rPr>
                <w:rFonts w:hint="eastAsia"/>
                <w:color w:val="auto"/>
                <w:highlight w:val="none"/>
              </w:rPr>
              <w:t>1.标配5张血透床，长度≥2000mm、宽度≥900mm、高度≥500mm。病床可灵活调节背部及腿部折起功能，背部折起80°±5°；腿部折起40°±5°。护栏为全覆式，具有防夹手功能，总长1500±50mm；D型铝合金扶手，表面硬化处理；六支不锈钢护栏支柱，耐磨、不变形，可收缩平放，收缩时略高出床垫，可防止床垫移位。颜色与床头尾板配套。</w:t>
            </w:r>
          </w:p>
        </w:tc>
        <w:tc>
          <w:tcPr>
            <w:tcW w:w="1346" w:type="dxa"/>
            <w:tcBorders>
              <w:left w:val="single" w:color="auto" w:sz="4" w:space="0"/>
            </w:tcBorders>
            <w:vAlign w:val="center"/>
          </w:tcPr>
          <w:p w14:paraId="46FF05A9">
            <w:pPr>
              <w:spacing w:line="380" w:lineRule="exact"/>
              <w:jc w:val="center"/>
              <w:rPr>
                <w:rFonts w:ascii="宋体" w:hAnsi="宋体"/>
                <w:color w:val="auto"/>
                <w:szCs w:val="21"/>
                <w:highlight w:val="none"/>
              </w:rPr>
            </w:pPr>
            <w:r>
              <w:rPr>
                <w:rFonts w:hint="eastAsia" w:ascii="宋体" w:hAnsi="宋体"/>
                <w:color w:val="auto"/>
                <w:szCs w:val="21"/>
                <w:highlight w:val="none"/>
              </w:rPr>
              <w:t>150000</w:t>
            </w:r>
          </w:p>
        </w:tc>
      </w:tr>
      <w:tr w14:paraId="6DA62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850" w:type="dxa"/>
            <w:vAlign w:val="center"/>
          </w:tcPr>
          <w:p w14:paraId="641503E1">
            <w:pPr>
              <w:tabs>
                <w:tab w:val="left" w:pos="180"/>
                <w:tab w:val="left" w:pos="1620"/>
              </w:tabs>
              <w:spacing w:line="380" w:lineRule="exact"/>
              <w:jc w:val="center"/>
              <w:rPr>
                <w:rFonts w:ascii="宋体" w:hAnsi="宋体" w:cs="宋体"/>
                <w:color w:val="auto"/>
                <w:szCs w:val="21"/>
                <w:highlight w:val="none"/>
              </w:rPr>
            </w:pPr>
            <w:r>
              <w:rPr>
                <w:rFonts w:hint="eastAsia" w:ascii="宋体" w:hAnsi="宋体" w:cs="宋体"/>
                <w:color w:val="auto"/>
                <w:szCs w:val="21"/>
                <w:highlight w:val="none"/>
              </w:rPr>
              <w:t>2</w:t>
            </w:r>
          </w:p>
        </w:tc>
        <w:tc>
          <w:tcPr>
            <w:tcW w:w="992" w:type="dxa"/>
            <w:vAlign w:val="center"/>
          </w:tcPr>
          <w:p w14:paraId="1542B71E">
            <w:pPr>
              <w:spacing w:line="380" w:lineRule="exact"/>
              <w:jc w:val="center"/>
              <w:rPr>
                <w:rFonts w:ascii="宋体" w:hAnsi="宋体"/>
                <w:color w:val="auto"/>
                <w:szCs w:val="21"/>
                <w:highlight w:val="none"/>
              </w:rPr>
            </w:pPr>
            <w:r>
              <w:rPr>
                <w:rFonts w:hint="eastAsia" w:ascii="宋体" w:hAnsi="宋体"/>
                <w:color w:val="auto"/>
                <w:szCs w:val="21"/>
                <w:highlight w:val="none"/>
              </w:rPr>
              <w:t>血液透析滤过机</w:t>
            </w:r>
          </w:p>
        </w:tc>
        <w:tc>
          <w:tcPr>
            <w:tcW w:w="850" w:type="dxa"/>
            <w:gridSpan w:val="2"/>
            <w:vAlign w:val="center"/>
          </w:tcPr>
          <w:p w14:paraId="3B77AE59">
            <w:pPr>
              <w:spacing w:line="380" w:lineRule="exact"/>
              <w:jc w:val="center"/>
              <w:rPr>
                <w:rFonts w:ascii="宋体" w:hAnsi="宋体"/>
                <w:color w:val="auto"/>
                <w:szCs w:val="21"/>
                <w:highlight w:val="none"/>
              </w:rPr>
            </w:pPr>
            <w:r>
              <w:rPr>
                <w:rFonts w:hint="eastAsia" w:ascii="宋体" w:hAnsi="宋体"/>
                <w:color w:val="auto"/>
                <w:szCs w:val="21"/>
                <w:highlight w:val="none"/>
              </w:rPr>
              <w:t>1台</w:t>
            </w:r>
          </w:p>
        </w:tc>
        <w:tc>
          <w:tcPr>
            <w:tcW w:w="709" w:type="dxa"/>
            <w:vAlign w:val="center"/>
          </w:tcPr>
          <w:p w14:paraId="79686BDD">
            <w:pPr>
              <w:spacing w:line="380" w:lineRule="exact"/>
              <w:jc w:val="center"/>
              <w:rPr>
                <w:rFonts w:ascii="宋体" w:hAnsi="宋体"/>
                <w:color w:val="auto"/>
                <w:szCs w:val="21"/>
                <w:highlight w:val="none"/>
              </w:rPr>
            </w:pPr>
            <w:r>
              <w:rPr>
                <w:rFonts w:hint="eastAsia" w:ascii="宋体" w:hAnsi="宋体"/>
                <w:color w:val="auto"/>
                <w:szCs w:val="21"/>
                <w:highlight w:val="none"/>
              </w:rPr>
              <w:t>工业</w:t>
            </w:r>
          </w:p>
        </w:tc>
        <w:tc>
          <w:tcPr>
            <w:tcW w:w="5035" w:type="dxa"/>
            <w:tcBorders>
              <w:right w:val="single" w:color="auto" w:sz="4" w:space="0"/>
            </w:tcBorders>
            <w:vAlign w:val="center"/>
          </w:tcPr>
          <w:p w14:paraId="35FEEDD4">
            <w:pPr>
              <w:tabs>
                <w:tab w:val="left" w:pos="1518"/>
              </w:tabs>
              <w:jc w:val="left"/>
              <w:rPr>
                <w:color w:val="auto"/>
                <w:highlight w:val="none"/>
              </w:rPr>
            </w:pPr>
            <w:r>
              <w:rPr>
                <w:rFonts w:hint="eastAsia"/>
                <w:color w:val="auto"/>
                <w:highlight w:val="none"/>
              </w:rPr>
              <w:t>一、设备用途：</w:t>
            </w:r>
          </w:p>
          <w:p w14:paraId="0FF6B144">
            <w:pPr>
              <w:tabs>
                <w:tab w:val="left" w:pos="1518"/>
              </w:tabs>
              <w:jc w:val="left"/>
              <w:rPr>
                <w:color w:val="auto"/>
                <w:highlight w:val="none"/>
              </w:rPr>
            </w:pPr>
            <w:r>
              <w:rPr>
                <w:rFonts w:hint="eastAsia"/>
                <w:color w:val="auto"/>
                <w:highlight w:val="none"/>
              </w:rPr>
              <w:t>1.用于血液透析、血液滤过、血液透析滤过治疗。</w:t>
            </w:r>
          </w:p>
          <w:p w14:paraId="05FB299D">
            <w:pPr>
              <w:tabs>
                <w:tab w:val="left" w:pos="1518"/>
              </w:tabs>
              <w:jc w:val="left"/>
              <w:rPr>
                <w:color w:val="auto"/>
                <w:highlight w:val="none"/>
              </w:rPr>
            </w:pPr>
            <w:r>
              <w:rPr>
                <w:rFonts w:hint="eastAsia"/>
                <w:color w:val="auto"/>
                <w:highlight w:val="none"/>
              </w:rPr>
              <w:t>二、功能及配置：</w:t>
            </w:r>
          </w:p>
          <w:p w14:paraId="0F783073">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2.1 具有多种治疗功能：血液透析（HD），血液滤过（HF），血液透析滤过 （on-line HDF ），可进行全天24小时的缓慢持续的治疗，可应用于急性肾脏替代治疗</w:t>
            </w:r>
          </w:p>
          <w:p w14:paraId="10E7590A">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2.2 机器有紧急按钮功能，可一键终止超滤，自动测量血压，自动追加置换液，自动降低血流量50ml/min（参数可调）</w:t>
            </w:r>
          </w:p>
          <w:p w14:paraId="164F7D06">
            <w:pPr>
              <w:tabs>
                <w:tab w:val="left" w:pos="1518"/>
              </w:tabs>
              <w:jc w:val="left"/>
              <w:rPr>
                <w:color w:val="auto"/>
                <w:highlight w:val="none"/>
              </w:rPr>
            </w:pPr>
            <w:r>
              <w:rPr>
                <w:rFonts w:hint="eastAsia"/>
                <w:color w:val="auto"/>
                <w:highlight w:val="none"/>
              </w:rPr>
              <w:t>2.3 机器辅助自动管路安装和拆除</w:t>
            </w:r>
          </w:p>
          <w:p w14:paraId="027BFEFD">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2.4 具备静脉脱针报警功能，检测到静脉脱针时，应触发声光报警，停止血泵、置换液泵，关闭静脉管路钳夹及动脉管路钳夹。最大失血量小于200ml</w:t>
            </w:r>
          </w:p>
          <w:p w14:paraId="69F1DF0A">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2.5 配置原厂同品牌透析液滤过器，能进行至少11次次氯酸钠消毒，有效去除水路中的脂质和蛋白沉积。</w:t>
            </w:r>
          </w:p>
          <w:p w14:paraId="7F066623">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2.6 配置B干粉装置</w:t>
            </w:r>
          </w:p>
          <w:p w14:paraId="338945F3">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2.7 配置血压监测仪，可显示血压图表趋势，自动或预先设定测量间隔5-15-30-60分钟以及快速测量，可测量收缩压，舒张压，平均动脉压和脉搏。</w:t>
            </w:r>
          </w:p>
          <w:p w14:paraId="344D5139">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2.8 配置联机清除率监测装置：可实时持续监测体内尿素清除率（K），透析剂量（Kt/V）</w:t>
            </w:r>
            <w:r>
              <w:rPr>
                <w:color w:val="auto"/>
                <w:highlight w:val="none"/>
              </w:rPr>
              <w:t>，</w:t>
            </w:r>
            <w:r>
              <w:rPr>
                <w:rFonts w:hint="eastAsia"/>
                <w:color w:val="auto"/>
                <w:highlight w:val="none"/>
              </w:rPr>
              <w:t>血浆钠浓度</w:t>
            </w:r>
          </w:p>
          <w:p w14:paraId="1531B84C">
            <w:pPr>
              <w:tabs>
                <w:tab w:val="left" w:pos="1518"/>
              </w:tabs>
              <w:jc w:val="left"/>
              <w:rPr>
                <w:color w:val="auto"/>
                <w:highlight w:val="none"/>
              </w:rPr>
            </w:pPr>
            <w:r>
              <w:rPr>
                <w:rFonts w:hint="eastAsia"/>
                <w:color w:val="auto"/>
                <w:highlight w:val="none"/>
              </w:rPr>
              <w:t>三、透析液控制</w:t>
            </w:r>
          </w:p>
          <w:p w14:paraId="2F78051E">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3.1 采用密闭式平衡腔超滤控制系统，双容量平衡腔控制</w:t>
            </w:r>
            <w:r>
              <w:rPr>
                <w:color w:val="auto"/>
                <w:highlight w:val="none"/>
              </w:rPr>
              <w:t>，</w:t>
            </w:r>
            <w:r>
              <w:rPr>
                <w:rFonts w:hint="eastAsia"/>
                <w:color w:val="auto"/>
                <w:highlight w:val="none"/>
              </w:rPr>
              <w:t>治疗过程中进行水路密闭性自检，确保治疗安全</w:t>
            </w:r>
          </w:p>
          <w:p w14:paraId="2A690AA5">
            <w:pPr>
              <w:tabs>
                <w:tab w:val="left" w:pos="1518"/>
              </w:tabs>
              <w:jc w:val="left"/>
              <w:rPr>
                <w:color w:val="auto"/>
                <w:highlight w:val="none"/>
              </w:rPr>
            </w:pPr>
            <w:r>
              <w:rPr>
                <w:rFonts w:hint="eastAsia"/>
                <w:color w:val="auto"/>
                <w:highlight w:val="none"/>
              </w:rPr>
              <w:t>3.2 超滤率0～4000mL/h可调</w:t>
            </w:r>
            <w:r>
              <w:rPr>
                <w:color w:val="auto"/>
                <w:highlight w:val="none"/>
              </w:rPr>
              <w:t>，</w:t>
            </w:r>
            <w:r>
              <w:rPr>
                <w:rFonts w:hint="eastAsia"/>
                <w:color w:val="auto"/>
                <w:highlight w:val="none"/>
              </w:rPr>
              <w:t xml:space="preserve"> 超滤误差≤±1%</w:t>
            </w:r>
          </w:p>
          <w:p w14:paraId="1ACA1F01">
            <w:pPr>
              <w:tabs>
                <w:tab w:val="left" w:pos="1518"/>
              </w:tabs>
              <w:jc w:val="left"/>
              <w:rPr>
                <w:color w:val="auto"/>
                <w:highlight w:val="none"/>
              </w:rPr>
            </w:pPr>
            <w:r>
              <w:rPr>
                <w:rFonts w:hint="eastAsia"/>
                <w:color w:val="auto"/>
                <w:highlight w:val="none"/>
              </w:rPr>
              <w:t>3.3 透析液自动加热，温度可调34.0ºC~39.0ºC。</w:t>
            </w:r>
          </w:p>
          <w:p w14:paraId="571432A4">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3.4 透析液流量：0mL/min</w:t>
            </w:r>
            <w:r>
              <w:rPr>
                <w:color w:val="auto"/>
                <w:highlight w:val="none"/>
              </w:rPr>
              <w:t>，</w:t>
            </w:r>
            <w:r>
              <w:rPr>
                <w:rFonts w:hint="eastAsia"/>
                <w:color w:val="auto"/>
                <w:highlight w:val="none"/>
              </w:rPr>
              <w:t>100</w:t>
            </w:r>
            <w:r>
              <w:rPr>
                <w:color w:val="auto"/>
                <w:highlight w:val="none"/>
              </w:rPr>
              <w:t>～</w:t>
            </w:r>
            <w:r>
              <w:rPr>
                <w:rFonts w:hint="eastAsia"/>
                <w:color w:val="auto"/>
                <w:highlight w:val="none"/>
              </w:rPr>
              <w:t>1000mL/min(每100ml/min可调)，透析液流量随血流量自动调节</w:t>
            </w:r>
          </w:p>
          <w:p w14:paraId="3CE7B025">
            <w:pPr>
              <w:tabs>
                <w:tab w:val="left" w:pos="1518"/>
              </w:tabs>
              <w:jc w:val="left"/>
              <w:rPr>
                <w:color w:val="auto"/>
                <w:highlight w:val="none"/>
              </w:rPr>
            </w:pPr>
            <w:r>
              <w:rPr>
                <w:rFonts w:hint="eastAsia"/>
                <w:color w:val="auto"/>
                <w:highlight w:val="none"/>
              </w:rPr>
              <w:t>3.5 待机情况下透析液流量100ml/min</w:t>
            </w:r>
          </w:p>
          <w:p w14:paraId="1F5D4ADE">
            <w:pPr>
              <w:tabs>
                <w:tab w:val="left" w:pos="1518"/>
              </w:tabs>
              <w:jc w:val="left"/>
              <w:rPr>
                <w:color w:val="auto"/>
                <w:highlight w:val="none"/>
              </w:rPr>
            </w:pPr>
            <w:r>
              <w:rPr>
                <w:rFonts w:hint="eastAsia"/>
                <w:color w:val="auto"/>
                <w:highlight w:val="none"/>
              </w:rPr>
              <w:t>3.6 定容式透析液配比程序，保证透析液成分的精确性，从而确保患者安全。电导率精度：±0.1ms/cm</w:t>
            </w:r>
          </w:p>
          <w:p w14:paraId="590DEECE">
            <w:pPr>
              <w:tabs>
                <w:tab w:val="left" w:pos="1518"/>
              </w:tabs>
              <w:jc w:val="left"/>
              <w:rPr>
                <w:color w:val="auto"/>
                <w:highlight w:val="none"/>
              </w:rPr>
            </w:pPr>
            <w:r>
              <w:rPr>
                <w:rFonts w:hint="eastAsia"/>
                <w:color w:val="auto"/>
                <w:highlight w:val="none"/>
              </w:rPr>
              <w:t>3.7 水与各浓缩液的比例可在面板调节，兼容多种透析液配方。</w:t>
            </w:r>
          </w:p>
          <w:p w14:paraId="068F2B9B">
            <w:pPr>
              <w:tabs>
                <w:tab w:val="left" w:pos="1518"/>
              </w:tabs>
              <w:jc w:val="left"/>
              <w:rPr>
                <w:color w:val="auto"/>
                <w:highlight w:val="none"/>
              </w:rPr>
            </w:pPr>
            <w:r>
              <w:rPr>
                <w:rFonts w:hint="eastAsia"/>
                <w:color w:val="auto"/>
                <w:highlight w:val="none"/>
              </w:rPr>
              <w:t>3.8 满足三种透析液供给方式：小桶浓缩液供给；中央浓缩液供给；联机浓缩干粉自动配液系统。</w:t>
            </w:r>
          </w:p>
          <w:p w14:paraId="3D8899D3">
            <w:pPr>
              <w:tabs>
                <w:tab w:val="left" w:pos="1518"/>
              </w:tabs>
              <w:jc w:val="left"/>
              <w:rPr>
                <w:color w:val="auto"/>
                <w:highlight w:val="none"/>
              </w:rPr>
            </w:pPr>
            <w:r>
              <w:rPr>
                <w:rFonts w:hint="eastAsia"/>
                <w:color w:val="auto"/>
                <w:highlight w:val="none"/>
              </w:rPr>
              <w:t>四、置换液控制</w:t>
            </w:r>
          </w:p>
          <w:p w14:paraId="3C81F630">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4.1 置换液流量：25-600ml/min</w:t>
            </w:r>
            <w:r>
              <w:rPr>
                <w:color w:val="auto"/>
                <w:highlight w:val="none"/>
              </w:rPr>
              <w:t>，</w:t>
            </w:r>
            <w:r>
              <w:rPr>
                <w:rFonts w:hint="eastAsia"/>
                <w:color w:val="auto"/>
                <w:highlight w:val="none"/>
              </w:rPr>
              <w:t>精确度 ±10%。采用自动置换液追加（自动置换程序）时根据持续监测的透析器利用率来管理置换液。</w:t>
            </w:r>
          </w:p>
          <w:p w14:paraId="60CE74AA">
            <w:pPr>
              <w:tabs>
                <w:tab w:val="left" w:pos="1518"/>
              </w:tabs>
              <w:jc w:val="left"/>
              <w:rPr>
                <w:color w:val="auto"/>
                <w:highlight w:val="none"/>
              </w:rPr>
            </w:pPr>
            <w:r>
              <w:rPr>
                <w:rFonts w:hint="eastAsia"/>
                <w:color w:val="auto"/>
                <w:highlight w:val="none"/>
              </w:rPr>
              <w:t>五、清洗/消毒</w:t>
            </w:r>
          </w:p>
          <w:p w14:paraId="6B5E86CE">
            <w:pPr>
              <w:tabs>
                <w:tab w:val="left" w:pos="1518"/>
              </w:tabs>
              <w:jc w:val="left"/>
              <w:rPr>
                <w:color w:val="auto"/>
                <w:highlight w:val="none"/>
              </w:rPr>
            </w:pPr>
            <w:r>
              <w:rPr>
                <w:rFonts w:hint="eastAsia"/>
                <w:color w:val="auto"/>
                <w:highlight w:val="none"/>
              </w:rPr>
              <w:t>5.1 程式化设置多种消毒和清洗模式，具有化学消毒及加热消毒功能；热消毒温度</w:t>
            </w:r>
            <w:r>
              <w:rPr>
                <w:rFonts w:hint="eastAsia"/>
                <w:color w:val="auto"/>
                <w:highlight w:val="none"/>
                <w:lang w:eastAsia="zh-CN"/>
              </w:rPr>
              <w:t>不低于</w:t>
            </w:r>
            <w:r>
              <w:rPr>
                <w:rFonts w:hint="eastAsia"/>
                <w:color w:val="auto"/>
                <w:highlight w:val="none"/>
              </w:rPr>
              <w:t>85度</w:t>
            </w:r>
          </w:p>
          <w:p w14:paraId="24668001">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5.2 透析液AB液吸管自动消毒。</w:t>
            </w:r>
          </w:p>
          <w:p w14:paraId="0B4960E3">
            <w:pPr>
              <w:tabs>
                <w:tab w:val="left" w:pos="1518"/>
              </w:tabs>
              <w:jc w:val="left"/>
              <w:rPr>
                <w:color w:val="auto"/>
                <w:highlight w:val="none"/>
              </w:rPr>
            </w:pPr>
            <w:r>
              <w:rPr>
                <w:rFonts w:hint="eastAsia"/>
                <w:color w:val="auto"/>
                <w:highlight w:val="none"/>
              </w:rPr>
              <w:t>六、后备电源配置</w:t>
            </w:r>
          </w:p>
          <w:p w14:paraId="191692A0">
            <w:pPr>
              <w:tabs>
                <w:tab w:val="left" w:pos="1518"/>
              </w:tabs>
              <w:jc w:val="left"/>
              <w:rPr>
                <w:color w:val="auto"/>
                <w:highlight w:val="none"/>
              </w:rPr>
            </w:pPr>
            <w:r>
              <w:rPr>
                <w:rFonts w:hint="eastAsia"/>
                <w:color w:val="auto"/>
                <w:highlight w:val="none"/>
              </w:rPr>
              <w:t>6.1内置的后备电池可支持血泵连续工作不小于15min</w:t>
            </w:r>
            <w:r>
              <w:rPr>
                <w:color w:val="auto"/>
                <w:highlight w:val="none"/>
              </w:rPr>
              <w:t>，</w:t>
            </w:r>
            <w:r>
              <w:rPr>
                <w:rFonts w:hint="eastAsia"/>
                <w:color w:val="auto"/>
                <w:highlight w:val="none"/>
              </w:rPr>
              <w:t>并且血路系统应继续保持工作状态</w:t>
            </w:r>
          </w:p>
          <w:p w14:paraId="1203B368">
            <w:pPr>
              <w:tabs>
                <w:tab w:val="left" w:pos="1518"/>
              </w:tabs>
              <w:jc w:val="left"/>
              <w:rPr>
                <w:color w:val="auto"/>
                <w:highlight w:val="none"/>
              </w:rPr>
            </w:pPr>
            <w:r>
              <w:rPr>
                <w:rFonts w:hint="eastAsia"/>
                <w:color w:val="auto"/>
                <w:highlight w:val="none"/>
              </w:rPr>
              <w:t>6.2 电池供电情况下监测功能正常运作，治疗数据不丢失</w:t>
            </w:r>
          </w:p>
          <w:p w14:paraId="330667DC">
            <w:pPr>
              <w:tabs>
                <w:tab w:val="left" w:pos="1518"/>
              </w:tabs>
              <w:jc w:val="left"/>
              <w:rPr>
                <w:color w:val="auto"/>
                <w:highlight w:val="none"/>
              </w:rPr>
            </w:pPr>
            <w:r>
              <w:rPr>
                <w:rFonts w:hint="eastAsia"/>
                <w:color w:val="auto"/>
                <w:highlight w:val="none"/>
              </w:rPr>
              <w:t>七、体外循环通路及安全监测</w:t>
            </w:r>
          </w:p>
          <w:p w14:paraId="17CB3CEA">
            <w:pPr>
              <w:tabs>
                <w:tab w:val="left" w:pos="1518"/>
              </w:tabs>
              <w:jc w:val="left"/>
              <w:rPr>
                <w:color w:val="auto"/>
                <w:highlight w:val="none"/>
              </w:rPr>
            </w:pPr>
            <w:r>
              <w:rPr>
                <w:rFonts w:hint="eastAsia"/>
                <w:color w:val="auto"/>
                <w:highlight w:val="none"/>
              </w:rPr>
              <w:t>7.1 漏血监测：红细胞比容0.32时，响应阈值是每分钟≥0.35ml的失血流入透析液，流速100ml/min-1000ml/min</w:t>
            </w:r>
          </w:p>
          <w:p w14:paraId="6AEC9640">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7.2 动脉压监测</w:t>
            </w:r>
          </w:p>
          <w:p w14:paraId="114D0CC4">
            <w:pPr>
              <w:tabs>
                <w:tab w:val="left" w:pos="1518"/>
              </w:tabs>
              <w:jc w:val="left"/>
              <w:rPr>
                <w:color w:val="auto"/>
                <w:highlight w:val="none"/>
              </w:rPr>
            </w:pPr>
            <w:r>
              <w:rPr>
                <w:rFonts w:hint="eastAsia"/>
                <w:color w:val="auto"/>
                <w:highlight w:val="none"/>
              </w:rPr>
              <w:t>显示范围不超过-300mmHg～+300mmHg；精确度7mmHg；分辨率：5mmHg</w:t>
            </w:r>
          </w:p>
          <w:p w14:paraId="53EF63E3">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7.3 静脉压监测</w:t>
            </w:r>
          </w:p>
          <w:p w14:paraId="21D7ED82">
            <w:pPr>
              <w:tabs>
                <w:tab w:val="left" w:pos="1518"/>
              </w:tabs>
              <w:jc w:val="left"/>
              <w:rPr>
                <w:color w:val="auto"/>
                <w:highlight w:val="none"/>
              </w:rPr>
            </w:pPr>
            <w:r>
              <w:rPr>
                <w:rFonts w:hint="eastAsia"/>
                <w:color w:val="auto"/>
                <w:highlight w:val="none"/>
              </w:rPr>
              <w:t>显示范围不超过-100mmHg～+500mmHg；精确度7mmHg；分辨率：5mmHg</w:t>
            </w:r>
          </w:p>
          <w:p w14:paraId="73BF593C">
            <w:pPr>
              <w:tabs>
                <w:tab w:val="left" w:pos="1518"/>
              </w:tabs>
              <w:jc w:val="left"/>
              <w:rPr>
                <w:color w:val="auto"/>
                <w:highlight w:val="none"/>
              </w:rPr>
            </w:pPr>
            <w:r>
              <w:rPr>
                <w:rFonts w:hint="eastAsia" w:ascii="宋体" w:hAnsi="宋体" w:cs="宋体"/>
                <w:color w:val="auto"/>
                <w:szCs w:val="21"/>
                <w:highlight w:val="none"/>
              </w:rPr>
              <w:t>▲</w:t>
            </w:r>
            <w:r>
              <w:rPr>
                <w:rFonts w:hint="eastAsia"/>
                <w:color w:val="auto"/>
                <w:highlight w:val="none"/>
              </w:rPr>
              <w:t>7.4 跨膜压监测：</w:t>
            </w:r>
          </w:p>
          <w:p w14:paraId="0ECF37CE">
            <w:pPr>
              <w:tabs>
                <w:tab w:val="left" w:pos="1518"/>
              </w:tabs>
              <w:jc w:val="left"/>
              <w:rPr>
                <w:color w:val="auto"/>
                <w:highlight w:val="none"/>
              </w:rPr>
            </w:pPr>
            <w:r>
              <w:rPr>
                <w:rFonts w:hint="eastAsia"/>
                <w:color w:val="auto"/>
                <w:highlight w:val="none"/>
              </w:rPr>
              <w:t>显示范围不超过-100mmHg～+400mmHg；分辨率：5mmHg</w:t>
            </w:r>
          </w:p>
          <w:p w14:paraId="3E9C879E">
            <w:pPr>
              <w:tabs>
                <w:tab w:val="left" w:pos="1518"/>
              </w:tabs>
              <w:jc w:val="left"/>
              <w:rPr>
                <w:color w:val="auto"/>
                <w:highlight w:val="none"/>
              </w:rPr>
            </w:pPr>
            <w:r>
              <w:rPr>
                <w:rFonts w:hint="eastAsia"/>
                <w:color w:val="auto"/>
                <w:highlight w:val="none"/>
              </w:rPr>
              <w:t>7.5 血流量</w:t>
            </w:r>
          </w:p>
          <w:p w14:paraId="160B9191">
            <w:pPr>
              <w:tabs>
                <w:tab w:val="left" w:pos="1518"/>
              </w:tabs>
              <w:jc w:val="left"/>
              <w:rPr>
                <w:color w:val="auto"/>
                <w:highlight w:val="none"/>
              </w:rPr>
            </w:pPr>
            <w:r>
              <w:rPr>
                <w:rFonts w:hint="eastAsia"/>
                <w:color w:val="auto"/>
                <w:highlight w:val="none"/>
              </w:rPr>
              <w:t>血流量范围 30～600ml/min；分辨率10ml/min</w:t>
            </w:r>
          </w:p>
          <w:p w14:paraId="54DC20FF">
            <w:pPr>
              <w:tabs>
                <w:tab w:val="left" w:pos="1518"/>
              </w:tabs>
              <w:jc w:val="left"/>
              <w:rPr>
                <w:color w:val="auto"/>
                <w:highlight w:val="none"/>
              </w:rPr>
            </w:pPr>
            <w:r>
              <w:rPr>
                <w:rFonts w:hint="eastAsia"/>
                <w:color w:val="auto"/>
                <w:highlight w:val="none"/>
              </w:rPr>
              <w:t>7.6 空气监测器：</w:t>
            </w:r>
          </w:p>
          <w:p w14:paraId="1BEAAEC1">
            <w:pPr>
              <w:tabs>
                <w:tab w:val="left" w:pos="1518"/>
              </w:tabs>
              <w:jc w:val="left"/>
              <w:rPr>
                <w:color w:val="auto"/>
                <w:highlight w:val="none"/>
              </w:rPr>
            </w:pPr>
            <w:r>
              <w:rPr>
                <w:rFonts w:hint="eastAsia"/>
                <w:color w:val="auto"/>
                <w:highlight w:val="none"/>
              </w:rPr>
              <w:t>液平面探测器、光学探测器、气泡探测器</w:t>
            </w:r>
          </w:p>
          <w:p w14:paraId="153EECF8">
            <w:pPr>
              <w:tabs>
                <w:tab w:val="left" w:pos="1518"/>
              </w:tabs>
              <w:jc w:val="left"/>
              <w:rPr>
                <w:color w:val="auto"/>
                <w:highlight w:val="none"/>
              </w:rPr>
            </w:pPr>
            <w:r>
              <w:rPr>
                <w:rFonts w:hint="eastAsia"/>
                <w:color w:val="auto"/>
                <w:highlight w:val="none"/>
              </w:rPr>
              <w:t>7.7 肝素泵：可编定停止时间，读取累计肝素容量。</w:t>
            </w:r>
          </w:p>
          <w:p w14:paraId="2A15AB2E">
            <w:pPr>
              <w:tabs>
                <w:tab w:val="left" w:pos="1518"/>
              </w:tabs>
              <w:jc w:val="left"/>
              <w:rPr>
                <w:color w:val="auto"/>
                <w:highlight w:val="none"/>
              </w:rPr>
            </w:pPr>
            <w:r>
              <w:rPr>
                <w:rFonts w:hint="eastAsia"/>
                <w:color w:val="auto"/>
                <w:highlight w:val="none"/>
              </w:rPr>
              <w:t>流速 0.5～10ml/h；单次追加剂量0.1～5ml，注射器尺寸 20ml，30ml</w:t>
            </w:r>
          </w:p>
          <w:p w14:paraId="1C54C952">
            <w:pPr>
              <w:tabs>
                <w:tab w:val="left" w:pos="1518"/>
              </w:tabs>
              <w:jc w:val="left"/>
              <w:rPr>
                <w:color w:val="auto"/>
                <w:highlight w:val="none"/>
              </w:rPr>
            </w:pPr>
            <w:r>
              <w:rPr>
                <w:rFonts w:hint="eastAsia"/>
                <w:color w:val="auto"/>
                <w:highlight w:val="none"/>
              </w:rPr>
              <w:t>八、其他</w:t>
            </w:r>
          </w:p>
          <w:p w14:paraId="7BBC1ECF">
            <w:pPr>
              <w:pStyle w:val="14"/>
              <w:rPr>
                <w:rFonts w:ascii="宋体" w:hAnsi="宋体"/>
                <w:color w:val="auto"/>
                <w:szCs w:val="21"/>
                <w:highlight w:val="none"/>
              </w:rPr>
            </w:pPr>
            <w:r>
              <w:rPr>
                <w:rFonts w:hint="eastAsia" w:ascii="宋体" w:hAnsi="宋体" w:cs="宋体"/>
                <w:color w:val="auto"/>
                <w:szCs w:val="21"/>
                <w:highlight w:val="none"/>
              </w:rPr>
              <w:t>▲</w:t>
            </w:r>
            <w:r>
              <w:rPr>
                <w:rFonts w:hint="eastAsia"/>
                <w:color w:val="auto"/>
                <w:highlight w:val="none"/>
              </w:rPr>
              <w:t>8.1 标配1张血透床，长度≥2000mm、宽度≥900mm、高度≥500mm。病床可灵活调节背部及腿部折起功能，背部折起80°±5°；腿部折起40°±5°。护栏为全覆式，具有防夹手功能，总长1500±50mm；D型铝合金扶手，表面硬化处理；六支不锈钢护栏支柱，耐磨、不变形，可收缩平放，收缩时略高出床垫，可防止床垫移位。颜色与床头尾板配套。</w:t>
            </w:r>
          </w:p>
        </w:tc>
        <w:tc>
          <w:tcPr>
            <w:tcW w:w="1346" w:type="dxa"/>
            <w:tcBorders>
              <w:left w:val="single" w:color="auto" w:sz="4" w:space="0"/>
            </w:tcBorders>
            <w:vAlign w:val="center"/>
          </w:tcPr>
          <w:p w14:paraId="7AF6EB19">
            <w:pPr>
              <w:spacing w:line="380" w:lineRule="exact"/>
              <w:jc w:val="center"/>
              <w:rPr>
                <w:rFonts w:ascii="宋体" w:hAnsi="宋体"/>
                <w:color w:val="auto"/>
                <w:szCs w:val="21"/>
                <w:highlight w:val="none"/>
              </w:rPr>
            </w:pPr>
            <w:r>
              <w:rPr>
                <w:rFonts w:hint="eastAsia" w:ascii="宋体" w:hAnsi="宋体"/>
                <w:color w:val="auto"/>
                <w:szCs w:val="21"/>
                <w:highlight w:val="none"/>
              </w:rPr>
              <w:t>250000</w:t>
            </w:r>
          </w:p>
        </w:tc>
      </w:tr>
      <w:tr w14:paraId="5FE55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9782" w:type="dxa"/>
            <w:gridSpan w:val="7"/>
            <w:tcBorders>
              <w:top w:val="single" w:color="auto" w:sz="4" w:space="0"/>
              <w:left w:val="single" w:color="auto" w:sz="4" w:space="0"/>
              <w:bottom w:val="single" w:color="auto" w:sz="4" w:space="0"/>
              <w:right w:val="single" w:color="auto" w:sz="4" w:space="0"/>
            </w:tcBorders>
          </w:tcPr>
          <w:p w14:paraId="1940A421">
            <w:pPr>
              <w:suppressLineNumbers/>
              <w:spacing w:line="380" w:lineRule="exact"/>
              <w:rPr>
                <w:rFonts w:ascii="宋体" w:hAnsi="宋体"/>
                <w:color w:val="auto"/>
                <w:szCs w:val="21"/>
                <w:highlight w:val="none"/>
              </w:rPr>
            </w:pPr>
            <w:r>
              <w:rPr>
                <w:rFonts w:hint="eastAsia" w:ascii="宋体" w:hAnsi="宋体" w:cs="宋体"/>
                <w:color w:val="auto"/>
                <w:szCs w:val="21"/>
                <w:highlight w:val="none"/>
              </w:rPr>
              <w:t>▲</w:t>
            </w:r>
            <w:r>
              <w:rPr>
                <w:rFonts w:hint="eastAsia" w:ascii="宋体" w:hAnsi="宋体"/>
                <w:b/>
                <w:color w:val="auto"/>
                <w:szCs w:val="21"/>
                <w:highlight w:val="none"/>
              </w:rPr>
              <w:t>一、商务要求</w:t>
            </w:r>
          </w:p>
        </w:tc>
      </w:tr>
      <w:tr w14:paraId="73364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0"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7C132B46">
            <w:pPr>
              <w:spacing w:line="380" w:lineRule="exact"/>
              <w:jc w:val="center"/>
              <w:rPr>
                <w:rFonts w:ascii="宋体" w:hAnsi="宋体"/>
                <w:b/>
                <w:color w:val="auto"/>
                <w:szCs w:val="21"/>
                <w:highlight w:val="none"/>
              </w:rPr>
            </w:pPr>
            <w:r>
              <w:rPr>
                <w:rFonts w:hint="eastAsia" w:ascii="宋体" w:hAnsi="宋体" w:cs="宋体"/>
                <w:b/>
                <w:color w:val="auto"/>
                <w:szCs w:val="21"/>
                <w:highlight w:val="none"/>
              </w:rPr>
              <w:t>交货时间和地点</w:t>
            </w:r>
          </w:p>
        </w:tc>
        <w:tc>
          <w:tcPr>
            <w:tcW w:w="7867" w:type="dxa"/>
            <w:gridSpan w:val="4"/>
            <w:tcBorders>
              <w:top w:val="single" w:color="auto" w:sz="4" w:space="0"/>
              <w:left w:val="single" w:color="auto" w:sz="4" w:space="0"/>
              <w:bottom w:val="single" w:color="auto" w:sz="4" w:space="0"/>
              <w:right w:val="single" w:color="auto" w:sz="4" w:space="0"/>
            </w:tcBorders>
          </w:tcPr>
          <w:p w14:paraId="06700D33">
            <w:pPr>
              <w:suppressLineNumbers/>
              <w:spacing w:line="380" w:lineRule="exact"/>
              <w:jc w:val="left"/>
              <w:rPr>
                <w:rFonts w:ascii="宋体" w:hAnsi="宋体" w:cs="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交货时间：自签订合同之日起</w:t>
            </w:r>
            <w:r>
              <w:rPr>
                <w:rFonts w:ascii="宋体" w:hAnsi="宋体" w:cs="宋体"/>
                <w:color w:val="auto"/>
                <w:szCs w:val="21"/>
                <w:highlight w:val="none"/>
              </w:rPr>
              <w:t>30</w:t>
            </w:r>
            <w:r>
              <w:rPr>
                <w:rFonts w:hint="eastAsia" w:ascii="宋体" w:hAnsi="宋体" w:cs="宋体"/>
                <w:color w:val="auto"/>
                <w:szCs w:val="21"/>
                <w:highlight w:val="none"/>
              </w:rPr>
              <w:t>天内交货安装调试完毕并交付使用。</w:t>
            </w:r>
          </w:p>
          <w:p w14:paraId="13B71F3E">
            <w:pPr>
              <w:suppressLineNumbers/>
              <w:spacing w:line="380" w:lineRule="exact"/>
              <w:jc w:val="left"/>
              <w:rPr>
                <w:rFonts w:ascii="宋体" w:hAnsi="宋体" w:cs="宋体"/>
                <w:color w:val="auto"/>
                <w:szCs w:val="21"/>
                <w:highlight w:val="none"/>
              </w:rPr>
            </w:pPr>
            <w:r>
              <w:rPr>
                <w:rFonts w:hint="eastAsia" w:ascii="宋体" w:hAnsi="宋体" w:cs="宋体"/>
                <w:color w:val="auto"/>
                <w:szCs w:val="21"/>
                <w:highlight w:val="none"/>
              </w:rPr>
              <w:t>2.交付地点：宁明县海渊镇中心卫生院</w:t>
            </w:r>
            <w:r>
              <w:rPr>
                <w:rFonts w:hint="eastAsia" w:ascii="宋体" w:hAnsi="宋体"/>
                <w:color w:val="auto"/>
                <w:szCs w:val="21"/>
                <w:highlight w:val="none"/>
              </w:rPr>
              <w:t>内</w:t>
            </w:r>
            <w:r>
              <w:rPr>
                <w:rFonts w:hint="eastAsia" w:ascii="宋体" w:hAnsi="宋体" w:cs="宋体"/>
                <w:color w:val="auto"/>
                <w:szCs w:val="21"/>
                <w:highlight w:val="none"/>
              </w:rPr>
              <w:t>，采购人指定地点</w:t>
            </w:r>
            <w:r>
              <w:rPr>
                <w:rFonts w:hint="eastAsia" w:ascii="宋体" w:hAnsi="宋体"/>
                <w:color w:val="auto"/>
                <w:szCs w:val="21"/>
                <w:highlight w:val="none"/>
              </w:rPr>
              <w:t>。</w:t>
            </w:r>
          </w:p>
        </w:tc>
      </w:tr>
      <w:tr w14:paraId="04A34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05203AE4">
            <w:pPr>
              <w:spacing w:line="380" w:lineRule="exact"/>
              <w:jc w:val="center"/>
              <w:rPr>
                <w:rFonts w:ascii="宋体" w:hAnsi="宋体"/>
                <w:b/>
                <w:color w:val="auto"/>
                <w:szCs w:val="21"/>
                <w:highlight w:val="none"/>
              </w:rPr>
            </w:pPr>
            <w:r>
              <w:rPr>
                <w:rFonts w:hint="eastAsia" w:ascii="宋体" w:hAnsi="宋体"/>
                <w:b/>
                <w:color w:val="auto"/>
                <w:szCs w:val="21"/>
                <w:highlight w:val="none"/>
              </w:rPr>
              <w:t>合同签订时间</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407FDF38">
            <w:pPr>
              <w:suppressLineNumbers/>
              <w:spacing w:line="380" w:lineRule="exact"/>
              <w:rPr>
                <w:rFonts w:ascii="宋体" w:hAnsi="宋体"/>
                <w:color w:val="auto"/>
                <w:szCs w:val="21"/>
                <w:highlight w:val="none"/>
              </w:rPr>
            </w:pPr>
            <w:r>
              <w:rPr>
                <w:rFonts w:hint="eastAsia" w:ascii="宋体" w:hAnsi="宋体" w:cs="宋体"/>
                <w:color w:val="auto"/>
                <w:szCs w:val="21"/>
                <w:highlight w:val="none"/>
              </w:rPr>
              <w:t>自成交通知书发出之日起15日内，因不可抗力原因延迟签订合同的，自不可抗力事由消除之日起5个工作日内完成合同签订事宜。</w:t>
            </w:r>
          </w:p>
        </w:tc>
      </w:tr>
      <w:tr w14:paraId="30371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2"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082D810C">
            <w:pPr>
              <w:spacing w:line="380" w:lineRule="exact"/>
              <w:jc w:val="center"/>
              <w:rPr>
                <w:rFonts w:ascii="宋体" w:hAnsi="宋体"/>
                <w:b/>
                <w:color w:val="auto"/>
                <w:szCs w:val="21"/>
                <w:highlight w:val="none"/>
              </w:rPr>
            </w:pPr>
            <w:r>
              <w:rPr>
                <w:rFonts w:hint="eastAsia" w:ascii="宋体" w:hAnsi="宋体"/>
                <w:b/>
                <w:color w:val="auto"/>
                <w:szCs w:val="21"/>
                <w:highlight w:val="none"/>
              </w:rPr>
              <w:t>付款方式</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54BC6EE4">
            <w:pPr>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合同签订后，10个工作日内按合同总价款的30%支付，成交供应商交货并经现场安装调试，采购人验收合格后，由成交供应商开具正式有效发票，采购人收到发票后</w:t>
            </w:r>
            <w:r>
              <w:rPr>
                <w:rFonts w:hint="eastAsia" w:ascii="宋体" w:hAnsi="宋体" w:cs="宋体"/>
                <w:bCs/>
                <w:color w:val="auto"/>
                <w:szCs w:val="21"/>
                <w:highlight w:val="none"/>
                <w:lang w:val="en-US" w:eastAsia="zh-CN"/>
              </w:rPr>
              <w:t>1</w:t>
            </w:r>
            <w:r>
              <w:rPr>
                <w:rFonts w:ascii="宋体" w:hAnsi="宋体" w:cs="宋体"/>
                <w:bCs/>
                <w:color w:val="auto"/>
                <w:szCs w:val="21"/>
                <w:highlight w:val="none"/>
              </w:rPr>
              <w:t>0</w:t>
            </w:r>
            <w:r>
              <w:rPr>
                <w:rFonts w:hint="eastAsia" w:ascii="宋体" w:hAnsi="宋体" w:cs="宋体"/>
                <w:bCs/>
                <w:color w:val="auto"/>
                <w:szCs w:val="21"/>
                <w:highlight w:val="none"/>
              </w:rPr>
              <w:t>个工作日内按合同总价款</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 xml:space="preserve">0%支付。 </w:t>
            </w:r>
          </w:p>
          <w:p w14:paraId="5BF7103F">
            <w:pPr>
              <w:suppressLineNumbers/>
              <w:spacing w:line="380" w:lineRule="exact"/>
              <w:rPr>
                <w:rFonts w:ascii="宋体" w:hAnsi="宋体"/>
                <w:color w:val="auto"/>
                <w:szCs w:val="21"/>
                <w:highlight w:val="none"/>
              </w:rPr>
            </w:pPr>
            <w:r>
              <w:rPr>
                <w:rFonts w:hint="eastAsia" w:ascii="宋体" w:hAnsi="宋体" w:cs="宋体"/>
                <w:b/>
                <w:color w:val="auto"/>
                <w:szCs w:val="21"/>
                <w:highlight w:val="none"/>
              </w:rPr>
              <w:t>注：以上的支付款项不计息。</w:t>
            </w:r>
          </w:p>
        </w:tc>
      </w:tr>
      <w:tr w14:paraId="1F5CD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5"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4D9BBCA5">
            <w:pPr>
              <w:spacing w:line="380" w:lineRule="exact"/>
              <w:jc w:val="center"/>
              <w:rPr>
                <w:rFonts w:ascii="宋体" w:hAnsi="宋体"/>
                <w:b/>
                <w:color w:val="auto"/>
                <w:szCs w:val="21"/>
                <w:highlight w:val="none"/>
              </w:rPr>
            </w:pPr>
            <w:r>
              <w:rPr>
                <w:rFonts w:hint="eastAsia" w:ascii="宋体" w:hAnsi="宋体"/>
                <w:b/>
                <w:color w:val="auto"/>
                <w:szCs w:val="21"/>
                <w:highlight w:val="none"/>
              </w:rPr>
              <w:t>报价要求</w:t>
            </w:r>
          </w:p>
        </w:tc>
        <w:tc>
          <w:tcPr>
            <w:tcW w:w="7867" w:type="dxa"/>
            <w:gridSpan w:val="4"/>
            <w:tcBorders>
              <w:top w:val="single" w:color="auto" w:sz="4" w:space="0"/>
              <w:left w:val="single" w:color="auto" w:sz="4" w:space="0"/>
              <w:bottom w:val="single" w:color="auto" w:sz="4" w:space="0"/>
              <w:right w:val="single" w:color="auto" w:sz="4" w:space="0"/>
            </w:tcBorders>
          </w:tcPr>
          <w:p w14:paraId="6AA0F356">
            <w:pPr>
              <w:suppressLineNumbers/>
              <w:spacing w:line="380" w:lineRule="exact"/>
              <w:ind w:firstLine="420"/>
              <w:rPr>
                <w:rFonts w:ascii="宋体" w:hAnsi="宋体"/>
                <w:color w:val="auto"/>
                <w:szCs w:val="21"/>
                <w:highlight w:val="none"/>
              </w:rPr>
            </w:pPr>
            <w:r>
              <w:rPr>
                <w:rFonts w:hint="eastAsia" w:ascii="宋体" w:hAnsi="宋体"/>
                <w:color w:val="auto"/>
                <w:szCs w:val="21"/>
                <w:highlight w:val="none"/>
              </w:rPr>
              <w:t>1.竞标报价包含货物、货物标准附件、备品备件、专用工具、设备安装辅材、施工辅材、包装、运输、装卸、保险、货到就位的各种费用以及安装、调试、产品质保期内维护等本竞争性谈判文件所列设备材料、功能配置需进行补充完善才能完成本项目的或实际采购中产品材料、功能配置有任何遗漏的费用（含本项目需要但本文件中未列出的设备材料、功能配置）、税金、售后服务、技术培训及其他所有成本费用，以及合同明示或暗示的所有责任、义务和一般风险等一切费用。合同履行过程中，采购人不再支付合同以外的其他费用。</w:t>
            </w:r>
          </w:p>
          <w:p w14:paraId="3BA40B93">
            <w:pPr>
              <w:suppressLineNumbers/>
              <w:spacing w:line="380" w:lineRule="exact"/>
              <w:ind w:firstLine="422"/>
              <w:rPr>
                <w:rFonts w:ascii="宋体" w:hAnsi="宋体"/>
                <w:color w:val="auto"/>
                <w:szCs w:val="21"/>
                <w:highlight w:val="none"/>
              </w:rPr>
            </w:pPr>
            <w:r>
              <w:rPr>
                <w:rFonts w:hint="eastAsia" w:ascii="宋体" w:hAnsi="宋体"/>
                <w:b/>
                <w:bCs/>
                <w:color w:val="auto"/>
                <w:szCs w:val="21"/>
                <w:highlight w:val="none"/>
              </w:rPr>
              <w:t>2.每项货物报价金额不能超过预算单价，超预算报价按无效处理。</w:t>
            </w:r>
          </w:p>
        </w:tc>
      </w:tr>
      <w:tr w14:paraId="6AD43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48CB9F6E">
            <w:pPr>
              <w:spacing w:line="380" w:lineRule="exact"/>
              <w:jc w:val="center"/>
              <w:rPr>
                <w:rFonts w:ascii="宋体" w:hAnsi="宋体"/>
                <w:b/>
                <w:color w:val="auto"/>
                <w:szCs w:val="21"/>
                <w:highlight w:val="none"/>
              </w:rPr>
            </w:pPr>
            <w:r>
              <w:rPr>
                <w:rFonts w:hint="eastAsia" w:ascii="宋体" w:hAnsi="宋体"/>
                <w:b/>
                <w:color w:val="auto"/>
                <w:szCs w:val="21"/>
                <w:highlight w:val="none"/>
              </w:rPr>
              <w:t>质保期</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46B00C49">
            <w:pPr>
              <w:suppressLineNumbers/>
              <w:spacing w:line="380" w:lineRule="exact"/>
              <w:ind w:firstLine="420"/>
              <w:rPr>
                <w:rFonts w:ascii="宋体" w:hAnsi="宋体"/>
                <w:color w:val="auto"/>
                <w:szCs w:val="21"/>
                <w:highlight w:val="none"/>
              </w:rPr>
            </w:pPr>
            <w:r>
              <w:rPr>
                <w:rFonts w:hint="eastAsia" w:ascii="宋体" w:hAnsi="宋体" w:cs="宋体"/>
                <w:bCs/>
                <w:color w:val="auto"/>
                <w:szCs w:val="21"/>
                <w:highlight w:val="none"/>
              </w:rPr>
              <w:t>质保期至少</w:t>
            </w:r>
            <w:r>
              <w:rPr>
                <w:rFonts w:hint="eastAsia" w:ascii="宋体" w:hAnsi="宋体"/>
                <w:color w:val="auto"/>
                <w:szCs w:val="21"/>
                <w:highlight w:val="none"/>
              </w:rPr>
              <w:t>1年；质保期内负责上门维修及更换配件。终身维修（质保期后维修只收配件费）；若厂家提供的免费质保期更长的，按厂家规定质保。</w:t>
            </w:r>
          </w:p>
        </w:tc>
      </w:tr>
      <w:tr w14:paraId="154C4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1"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6A6B4B16">
            <w:pPr>
              <w:spacing w:line="380" w:lineRule="exact"/>
              <w:jc w:val="center"/>
              <w:rPr>
                <w:rFonts w:ascii="宋体" w:hAnsi="宋体" w:cs="宋体"/>
                <w:b/>
                <w:color w:val="auto"/>
                <w:szCs w:val="21"/>
                <w:highlight w:val="none"/>
              </w:rPr>
            </w:pPr>
            <w:r>
              <w:rPr>
                <w:rFonts w:hint="eastAsia" w:ascii="宋体" w:hAnsi="宋体" w:cs="宋体"/>
                <w:b/>
                <w:color w:val="auto"/>
                <w:szCs w:val="21"/>
                <w:highlight w:val="none"/>
              </w:rPr>
              <w:t>产品质量要求</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312C8DE5">
            <w:pPr>
              <w:suppressLineNumbers/>
              <w:spacing w:line="380" w:lineRule="exact"/>
              <w:ind w:firstLine="420"/>
              <w:rPr>
                <w:rFonts w:ascii="宋体" w:hAnsi="宋体" w:cs="宋体"/>
                <w:b/>
                <w:color w:val="auto"/>
                <w:szCs w:val="21"/>
                <w:highlight w:val="none"/>
              </w:rPr>
            </w:pPr>
            <w:r>
              <w:rPr>
                <w:rFonts w:hint="eastAsia" w:ascii="宋体" w:hAnsi="宋体" w:cs="宋体"/>
                <w:color w:val="auto"/>
                <w:szCs w:val="21"/>
                <w:highlight w:val="none"/>
              </w:rPr>
              <w:t>要求竞标货物及其所有零部件必须是符合国家有关质量和安全强制要求和标准的产品。</w:t>
            </w:r>
          </w:p>
        </w:tc>
      </w:tr>
      <w:tr w14:paraId="4AC05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9"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2AC6A532">
            <w:pPr>
              <w:spacing w:line="380" w:lineRule="exact"/>
              <w:jc w:val="center"/>
              <w:rPr>
                <w:rFonts w:ascii="宋体" w:hAnsi="宋体" w:cs="宋体"/>
                <w:b/>
                <w:color w:val="auto"/>
                <w:szCs w:val="21"/>
                <w:highlight w:val="none"/>
              </w:rPr>
            </w:pPr>
            <w:r>
              <w:rPr>
                <w:rFonts w:hint="eastAsia" w:ascii="宋体" w:hAnsi="宋体"/>
                <w:b/>
                <w:color w:val="auto"/>
                <w:szCs w:val="21"/>
                <w:highlight w:val="none"/>
              </w:rPr>
              <w:t>售后服务</w:t>
            </w:r>
          </w:p>
        </w:tc>
        <w:tc>
          <w:tcPr>
            <w:tcW w:w="7867" w:type="dxa"/>
            <w:gridSpan w:val="4"/>
            <w:tcBorders>
              <w:top w:val="single" w:color="auto" w:sz="4" w:space="0"/>
              <w:left w:val="single" w:color="auto" w:sz="4" w:space="0"/>
              <w:bottom w:val="single" w:color="auto" w:sz="4" w:space="0"/>
              <w:right w:val="single" w:color="auto" w:sz="4" w:space="0"/>
            </w:tcBorders>
          </w:tcPr>
          <w:p w14:paraId="21BC4AE1">
            <w:pPr>
              <w:suppressLineNumbers/>
              <w:spacing w:line="380" w:lineRule="exact"/>
              <w:rPr>
                <w:rFonts w:ascii="宋体" w:hAnsi="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供应商提供的医学装备出厂日期不得早于合同签订日期12个月，</w:t>
            </w:r>
            <w:r>
              <w:rPr>
                <w:rFonts w:hint="eastAsia" w:ascii="宋体" w:hAnsi="宋体"/>
                <w:color w:val="auto"/>
                <w:szCs w:val="21"/>
                <w:highlight w:val="none"/>
              </w:rPr>
              <w:t>提供全部设备必须是具备厂家合法销售渠道的全新合格正品，产品符合国家有关认证标准及安全规定。所有设备必须满足采购文件所述性能配置要求，若产品在运输过程中损坏或擦伤须调换相同产品。产品质量须符合国家相关标准及安全规范。</w:t>
            </w:r>
          </w:p>
          <w:p w14:paraId="4F9159CD">
            <w:pPr>
              <w:suppressLineNumbers/>
              <w:spacing w:line="380" w:lineRule="exact"/>
              <w:rPr>
                <w:rFonts w:ascii="宋体" w:hAnsi="宋体"/>
                <w:color w:val="auto"/>
                <w:szCs w:val="21"/>
                <w:highlight w:val="none"/>
              </w:rPr>
            </w:pPr>
            <w:r>
              <w:rPr>
                <w:rFonts w:hint="eastAsia" w:ascii="宋体" w:hAnsi="宋体"/>
                <w:color w:val="auto"/>
                <w:szCs w:val="21"/>
                <w:highlight w:val="none"/>
              </w:rPr>
              <w:t>2.成交供应商负责送货上门、进行安装调试。质保期自装机验收合格之日起算，质保期内成交供应商负责维修；质保期内成交供应商负责提供售后服务，不收取维修、差旅、零配件等一切费用。质保期满后，提供终身维修服务，只收取零配件费，配件以厂家最优惠价格提供。</w:t>
            </w:r>
          </w:p>
          <w:p w14:paraId="162EF2EE">
            <w:pPr>
              <w:suppressLineNumbers/>
              <w:spacing w:line="380" w:lineRule="exac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提供24小时专业技术咨询及服务，成交供应商负责医院操作人员的技术培训和工程人员的维修培训。现场培训操作人员，教会为止，保证使用者能够熟练操作。对工程人员进行日常保养培训，使其能进行日常维护。</w:t>
            </w:r>
          </w:p>
          <w:p w14:paraId="222A45B1">
            <w:pPr>
              <w:suppressLineNumbers/>
              <w:spacing w:line="380" w:lineRule="exact"/>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.接到故障电话后须在</w:t>
            </w:r>
            <w:r>
              <w:rPr>
                <w:rFonts w:ascii="宋体" w:hAnsi="宋体"/>
                <w:color w:val="auto"/>
                <w:szCs w:val="21"/>
                <w:highlight w:val="none"/>
              </w:rPr>
              <w:t>2</w:t>
            </w:r>
            <w:r>
              <w:rPr>
                <w:rFonts w:hint="eastAsia" w:ascii="宋体" w:hAnsi="宋体"/>
                <w:color w:val="auto"/>
                <w:szCs w:val="21"/>
                <w:highlight w:val="none"/>
              </w:rPr>
              <w:t>小时内做出响应，</w:t>
            </w:r>
            <w:r>
              <w:rPr>
                <w:rFonts w:ascii="宋体" w:hAnsi="宋体"/>
                <w:color w:val="auto"/>
                <w:szCs w:val="21"/>
                <w:highlight w:val="none"/>
              </w:rPr>
              <w:t>6</w:t>
            </w:r>
            <w:r>
              <w:rPr>
                <w:rFonts w:hint="eastAsia" w:ascii="宋体" w:hAnsi="宋体"/>
                <w:color w:val="auto"/>
                <w:szCs w:val="21"/>
                <w:highlight w:val="none"/>
              </w:rPr>
              <w:t>小时内到达现场维修。质保期内，48小时内解决问题，确保医院能正常开展工作。</w:t>
            </w:r>
          </w:p>
        </w:tc>
      </w:tr>
      <w:tr w14:paraId="3112B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jc w:val="center"/>
        </w:trPr>
        <w:tc>
          <w:tcPr>
            <w:tcW w:w="9782" w:type="dxa"/>
            <w:gridSpan w:val="7"/>
            <w:tcBorders>
              <w:top w:val="single" w:color="auto" w:sz="4" w:space="0"/>
              <w:left w:val="single" w:color="auto" w:sz="4" w:space="0"/>
              <w:bottom w:val="single" w:color="auto" w:sz="4" w:space="0"/>
              <w:right w:val="single" w:color="auto" w:sz="4" w:space="0"/>
            </w:tcBorders>
            <w:vAlign w:val="center"/>
          </w:tcPr>
          <w:p w14:paraId="4FF2CF97">
            <w:pPr>
              <w:suppressLineNumbers/>
              <w:spacing w:line="380" w:lineRule="exact"/>
              <w:rPr>
                <w:rFonts w:ascii="宋体" w:hAnsi="宋体"/>
                <w:color w:val="auto"/>
                <w:szCs w:val="21"/>
                <w:highlight w:val="none"/>
              </w:rPr>
            </w:pPr>
            <w:r>
              <w:rPr>
                <w:rFonts w:hint="eastAsia" w:ascii="宋体" w:hAnsi="宋体"/>
                <w:b/>
                <w:bCs/>
                <w:color w:val="auto"/>
                <w:szCs w:val="21"/>
                <w:highlight w:val="none"/>
              </w:rPr>
              <w:t>二、与实现项目目标相关的其他要求</w:t>
            </w:r>
          </w:p>
        </w:tc>
      </w:tr>
      <w:tr w14:paraId="0FA88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3"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36F15C91">
            <w:pPr>
              <w:tabs>
                <w:tab w:val="left" w:pos="180"/>
                <w:tab w:val="left" w:pos="1620"/>
              </w:tabs>
              <w:spacing w:line="380" w:lineRule="exact"/>
              <w:ind w:firstLine="422"/>
              <w:rPr>
                <w:rFonts w:ascii="宋体" w:hAnsi="宋体"/>
                <w:b/>
                <w:bCs/>
                <w:color w:val="auto"/>
                <w:szCs w:val="21"/>
                <w:highlight w:val="none"/>
              </w:rPr>
            </w:pPr>
            <w:r>
              <w:rPr>
                <w:rFonts w:ascii="宋体" w:hAnsi="宋体"/>
                <w:b/>
                <w:bCs/>
                <w:color w:val="auto"/>
                <w:szCs w:val="21"/>
                <w:highlight w:val="none"/>
              </w:rPr>
              <w:t>知识产权</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6478F6FF">
            <w:pPr>
              <w:suppressLineNumbers/>
              <w:tabs>
                <w:tab w:val="left" w:pos="180"/>
                <w:tab w:val="left" w:pos="1620"/>
              </w:tabs>
              <w:spacing w:line="380" w:lineRule="exact"/>
              <w:ind w:firstLine="420"/>
              <w:rPr>
                <w:rFonts w:ascii="宋体" w:hAnsi="宋体"/>
                <w:color w:val="auto"/>
                <w:szCs w:val="21"/>
                <w:highlight w:val="none"/>
              </w:rPr>
            </w:pPr>
            <w:r>
              <w:rPr>
                <w:rFonts w:hint="eastAsia" w:ascii="宋体" w:hAnsi="宋体" w:cs="宋体"/>
                <w:color w:val="auto"/>
                <w:szCs w:val="21"/>
                <w:highlight w:val="none"/>
              </w:rPr>
              <w:t>采购人在中华人民共和国境内使用供应商提供的服务时免受第三方提出的侵犯其专利权或其他知识产权的起诉。如果第三方提出侵权指控，成交供应商应承担由此而引起的一切法律责任和费用。</w:t>
            </w:r>
          </w:p>
        </w:tc>
      </w:tr>
      <w:tr w14:paraId="18238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4FC4E066">
            <w:pPr>
              <w:tabs>
                <w:tab w:val="left" w:pos="180"/>
                <w:tab w:val="left" w:pos="1620"/>
              </w:tabs>
              <w:spacing w:line="380" w:lineRule="exact"/>
              <w:jc w:val="center"/>
              <w:rPr>
                <w:rFonts w:ascii="宋体" w:hAnsi="宋体"/>
                <w:b/>
                <w:bCs/>
                <w:color w:val="auto"/>
                <w:szCs w:val="21"/>
                <w:highlight w:val="none"/>
              </w:rPr>
            </w:pPr>
            <w:r>
              <w:rPr>
                <w:rFonts w:hint="eastAsia" w:ascii="宋体" w:hAnsi="宋体"/>
                <w:b/>
                <w:bCs/>
                <w:color w:val="auto"/>
                <w:szCs w:val="21"/>
                <w:highlight w:val="none"/>
              </w:rPr>
              <w:t>验收标准</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4EE1946D">
            <w:pPr>
              <w:suppressLineNumbers/>
              <w:spacing w:line="380" w:lineRule="exact"/>
              <w:rPr>
                <w:rFonts w:ascii="宋体" w:hAnsi="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成交人所提供的设备是全新、完整、未使用过的产品，否则视为不合格产品，不予签收，由此产生的所有费用由成交人承担，其产品符合国家、行业有关规定。产品到达现场后，成交人应在采购人在场情况下当面开箱，共同清点、检查外观，并做好开箱记录，双方签字确认。成交人应保证货物到达采购人所在地完好无损，如有缺漏、损坏，由成交人负责调换、补齐或赔偿。</w:t>
            </w:r>
          </w:p>
          <w:p w14:paraId="3F07FE9A">
            <w:pPr>
              <w:suppressLineNumbers/>
              <w:spacing w:line="380" w:lineRule="exact"/>
              <w:rPr>
                <w:rFonts w:ascii="宋体" w:hAnsi="宋体"/>
                <w:color w:val="auto"/>
                <w:szCs w:val="21"/>
                <w:highlight w:val="none"/>
              </w:rPr>
            </w:pPr>
            <w:r>
              <w:rPr>
                <w:rFonts w:hint="eastAsia" w:ascii="宋体" w:hAnsi="宋体"/>
                <w:color w:val="auto"/>
                <w:szCs w:val="21"/>
                <w:highlight w:val="none"/>
              </w:rPr>
              <w:t>2.成交人交货前应对产品作出全面检查和对验收文件进行整理，并列出清单，作为采购人收货验收和使用的技术条件依据，检验的结果应随货物交采购人。成交人不能完整交付货物及本款规定的单证和工具的，必须负责补齐，否则视为未按合同约定交货。</w:t>
            </w:r>
          </w:p>
          <w:p w14:paraId="30BF2E17">
            <w:pPr>
              <w:suppressLineNumbers/>
              <w:spacing w:line="380" w:lineRule="exact"/>
              <w:rPr>
                <w:rFonts w:ascii="宋体" w:hAnsi="宋体"/>
                <w:color w:val="auto"/>
                <w:szCs w:val="21"/>
                <w:highlight w:val="none"/>
              </w:rPr>
            </w:pPr>
            <w:r>
              <w:rPr>
                <w:rFonts w:hint="eastAsia" w:ascii="宋体" w:hAnsi="宋体"/>
                <w:color w:val="auto"/>
                <w:szCs w:val="21"/>
                <w:highlight w:val="none"/>
              </w:rPr>
              <w:t>3.成交人需负责安装、调试（测试），并培训采购人的使用操作人员，直到设备、软件运行符合技术要求，采购人方可验收。</w:t>
            </w:r>
          </w:p>
          <w:p w14:paraId="31580185">
            <w:pPr>
              <w:suppressLineNumbers/>
              <w:spacing w:line="380" w:lineRule="exact"/>
              <w:rPr>
                <w:rFonts w:ascii="宋体" w:hAnsi="宋体"/>
                <w:color w:val="auto"/>
                <w:szCs w:val="21"/>
                <w:highlight w:val="none"/>
              </w:rPr>
            </w:pPr>
            <w:r>
              <w:rPr>
                <w:rFonts w:hint="eastAsia" w:ascii="宋体" w:hAnsi="宋体"/>
                <w:color w:val="auto"/>
                <w:szCs w:val="21"/>
                <w:highlight w:val="none"/>
              </w:rPr>
              <w:t>4.采购人组织验收，成交人必须到场配合，验收合格后双方签署验收。</w:t>
            </w:r>
          </w:p>
          <w:p w14:paraId="183F2B01">
            <w:pPr>
              <w:suppressLineNumbers/>
              <w:spacing w:line="380" w:lineRule="exact"/>
              <w:rPr>
                <w:rFonts w:ascii="宋体" w:hAnsi="宋体"/>
                <w:color w:val="auto"/>
                <w:szCs w:val="21"/>
                <w:highlight w:val="none"/>
              </w:rPr>
            </w:pPr>
            <w:r>
              <w:rPr>
                <w:rFonts w:hint="eastAsia" w:ascii="宋体" w:hAnsi="宋体"/>
                <w:color w:val="auto"/>
                <w:szCs w:val="21"/>
                <w:highlight w:val="none"/>
              </w:rPr>
              <w:t>5.其他未尽事宜可参照相关法律规定执行。</w:t>
            </w:r>
          </w:p>
          <w:p w14:paraId="4A61771E">
            <w:pPr>
              <w:suppressLineNumbers/>
              <w:spacing w:line="380" w:lineRule="exact"/>
              <w:rPr>
                <w:rFonts w:ascii="宋体" w:hAnsi="宋体"/>
                <w:color w:val="auto"/>
                <w:szCs w:val="21"/>
                <w:highlight w:val="none"/>
              </w:rPr>
            </w:pPr>
            <w:r>
              <w:rPr>
                <w:rFonts w:hint="eastAsia" w:ascii="宋体" w:hAnsi="宋体"/>
                <w:color w:val="auto"/>
                <w:szCs w:val="21"/>
                <w:highlight w:val="none"/>
              </w:rPr>
              <w:t>6.验收产生的费用成交人负责。</w:t>
            </w:r>
          </w:p>
        </w:tc>
      </w:tr>
      <w:tr w14:paraId="0648B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7"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25A8A533">
            <w:pPr>
              <w:tabs>
                <w:tab w:val="left" w:pos="180"/>
                <w:tab w:val="left" w:pos="1620"/>
              </w:tabs>
              <w:spacing w:line="380" w:lineRule="exact"/>
              <w:jc w:val="center"/>
              <w:rPr>
                <w:rFonts w:ascii="宋体" w:hAnsi="宋体"/>
                <w:b/>
                <w:bCs/>
                <w:color w:val="auto"/>
                <w:szCs w:val="21"/>
                <w:highlight w:val="none"/>
              </w:rPr>
            </w:pPr>
            <w:r>
              <w:rPr>
                <w:rFonts w:hint="eastAsia" w:ascii="宋体" w:hAnsi="宋体"/>
                <w:b/>
                <w:bCs/>
                <w:color w:val="auto"/>
                <w:szCs w:val="21"/>
                <w:highlight w:val="none"/>
              </w:rPr>
              <w:t>其他要求</w:t>
            </w:r>
          </w:p>
        </w:tc>
        <w:tc>
          <w:tcPr>
            <w:tcW w:w="7867" w:type="dxa"/>
            <w:gridSpan w:val="4"/>
            <w:tcBorders>
              <w:top w:val="single" w:color="auto" w:sz="4" w:space="0"/>
              <w:left w:val="single" w:color="auto" w:sz="4" w:space="0"/>
              <w:bottom w:val="single" w:color="auto" w:sz="4" w:space="0"/>
              <w:right w:val="single" w:color="auto" w:sz="4" w:space="0"/>
            </w:tcBorders>
          </w:tcPr>
          <w:p w14:paraId="51D65B23">
            <w:pPr>
              <w:suppressLineNumbers/>
              <w:spacing w:line="380" w:lineRule="exact"/>
              <w:rPr>
                <w:rFonts w:ascii="宋体" w:hAnsi="宋体"/>
                <w:color w:val="auto"/>
                <w:szCs w:val="21"/>
                <w:highlight w:val="none"/>
              </w:rPr>
            </w:pPr>
            <w:r>
              <w:rPr>
                <w:rFonts w:hint="eastAsia" w:ascii="宋体" w:hAnsi="宋体"/>
                <w:color w:val="auto"/>
                <w:szCs w:val="21"/>
                <w:highlight w:val="none"/>
              </w:rPr>
              <w:t>1.本表未明确的技术要求和规范，按国家、行业的相关标准执行。</w:t>
            </w:r>
          </w:p>
          <w:p w14:paraId="27731DBD">
            <w:pPr>
              <w:suppressLineNumbers/>
              <w:spacing w:line="380" w:lineRule="exact"/>
              <w:rPr>
                <w:rFonts w:ascii="宋体" w:hAnsi="宋体"/>
                <w:color w:val="auto"/>
                <w:szCs w:val="21"/>
                <w:highlight w:val="none"/>
              </w:rPr>
            </w:pPr>
            <w:r>
              <w:rPr>
                <w:rFonts w:hint="eastAsia" w:ascii="宋体" w:hAnsi="宋体"/>
                <w:color w:val="auto"/>
                <w:szCs w:val="21"/>
                <w:highlight w:val="none"/>
              </w:rPr>
              <w:t>2.采购人保留对所采购的货物的成果检验的权利。如成交人不具备实施本项目的技术能力和服务能力，虚假应标的，采购单位有权不予验收，可解除双方的供货合同，并且保留追究成交人虚假应标的法律责任。</w:t>
            </w:r>
          </w:p>
        </w:tc>
      </w:tr>
      <w:tr w14:paraId="4EB38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5" w:hRule="atLeast"/>
          <w:jc w:val="center"/>
        </w:trPr>
        <w:tc>
          <w:tcPr>
            <w:tcW w:w="1915" w:type="dxa"/>
            <w:gridSpan w:val="3"/>
            <w:tcBorders>
              <w:top w:val="single" w:color="auto" w:sz="4" w:space="0"/>
              <w:left w:val="single" w:color="auto" w:sz="4" w:space="0"/>
              <w:bottom w:val="single" w:color="auto" w:sz="4" w:space="0"/>
              <w:right w:val="single" w:color="auto" w:sz="4" w:space="0"/>
            </w:tcBorders>
            <w:vAlign w:val="center"/>
          </w:tcPr>
          <w:p w14:paraId="2E5C41B1">
            <w:pPr>
              <w:spacing w:line="380" w:lineRule="exact"/>
              <w:jc w:val="center"/>
              <w:rPr>
                <w:rFonts w:ascii="宋体" w:hAnsi="宋体"/>
                <w:b/>
                <w:bCs/>
                <w:color w:val="auto"/>
                <w:szCs w:val="21"/>
                <w:highlight w:val="none"/>
              </w:rPr>
            </w:pPr>
            <w:r>
              <w:rPr>
                <w:rFonts w:hint="eastAsia" w:ascii="宋体" w:hAnsi="宋体"/>
                <w:b/>
                <w:bCs/>
                <w:color w:val="auto"/>
                <w:szCs w:val="21"/>
                <w:highlight w:val="none"/>
              </w:rPr>
              <w:t>进口产品说明</w:t>
            </w:r>
          </w:p>
        </w:tc>
        <w:tc>
          <w:tcPr>
            <w:tcW w:w="7867" w:type="dxa"/>
            <w:gridSpan w:val="4"/>
            <w:tcBorders>
              <w:top w:val="single" w:color="auto" w:sz="4" w:space="0"/>
              <w:left w:val="single" w:color="auto" w:sz="4" w:space="0"/>
              <w:bottom w:val="single" w:color="auto" w:sz="4" w:space="0"/>
              <w:right w:val="single" w:color="auto" w:sz="4" w:space="0"/>
            </w:tcBorders>
            <w:vAlign w:val="center"/>
          </w:tcPr>
          <w:p w14:paraId="2450E6D0">
            <w:pPr>
              <w:suppressLineNumbers/>
              <w:spacing w:line="380" w:lineRule="exact"/>
              <w:rPr>
                <w:rFonts w:ascii="宋体" w:hAnsi="宋体"/>
                <w:color w:val="auto"/>
                <w:szCs w:val="21"/>
                <w:highlight w:val="none"/>
              </w:rPr>
            </w:pPr>
            <w:r>
              <w:rPr>
                <w:rFonts w:hint="eastAsia" w:ascii="宋体" w:hAnsi="宋体"/>
                <w:color w:val="auto"/>
                <w:szCs w:val="21"/>
                <w:highlight w:val="none"/>
              </w:rPr>
              <w:t>本项目货物不接受进口产品（即通过中国海关报关验放进入中国境内且产自关境外的产品）参与竞标，</w:t>
            </w:r>
            <w:r>
              <w:rPr>
                <w:rFonts w:hint="eastAsia" w:ascii="宋体" w:hAnsi="宋体"/>
                <w:b/>
                <w:color w:val="auto"/>
                <w:szCs w:val="21"/>
                <w:highlight w:val="none"/>
              </w:rPr>
              <w:t>如有进口产品参与竞标的，其响应文件按无效处理</w:t>
            </w:r>
            <w:r>
              <w:rPr>
                <w:rFonts w:hint="eastAsia" w:ascii="宋体" w:hAnsi="宋体"/>
                <w:color w:val="auto"/>
                <w:szCs w:val="21"/>
                <w:highlight w:val="none"/>
              </w:rPr>
              <w:t>。</w:t>
            </w:r>
          </w:p>
        </w:tc>
      </w:tr>
    </w:tbl>
    <w:p w14:paraId="58339EB8">
      <w:pPr>
        <w:spacing w:line="428" w:lineRule="exact"/>
        <w:ind w:left="119"/>
        <w:rPr>
          <w:rFonts w:ascii="黑体" w:hAnsi="黑体" w:eastAsia="黑体" w:cs="黑体"/>
          <w:color w:val="auto"/>
          <w:sz w:val="32"/>
          <w:szCs w:val="32"/>
          <w:highlight w:val="none"/>
        </w:rPr>
      </w:pPr>
    </w:p>
    <w:p w14:paraId="4F5CF0E1">
      <w:pPr>
        <w:spacing w:line="428" w:lineRule="exact"/>
        <w:ind w:left="119"/>
        <w:rPr>
          <w:rFonts w:ascii="黑体" w:hAnsi="黑体" w:eastAsia="黑体" w:cs="黑体"/>
          <w:color w:val="auto"/>
          <w:sz w:val="32"/>
          <w:szCs w:val="32"/>
          <w:highlight w:val="none"/>
        </w:rPr>
      </w:pPr>
    </w:p>
    <w:p w14:paraId="3B91C121">
      <w:pPr>
        <w:spacing w:line="428" w:lineRule="exact"/>
        <w:ind w:left="119"/>
        <w:rPr>
          <w:rFonts w:ascii="黑体" w:hAnsi="黑体" w:eastAsia="黑体" w:cs="黑体"/>
          <w:color w:val="auto"/>
          <w:sz w:val="32"/>
          <w:szCs w:val="32"/>
          <w:highlight w:val="none"/>
        </w:rPr>
      </w:pPr>
    </w:p>
    <w:p w14:paraId="61AADD36">
      <w:pPr>
        <w:spacing w:line="428" w:lineRule="exact"/>
        <w:ind w:left="119"/>
        <w:rPr>
          <w:rFonts w:ascii="黑体" w:hAnsi="黑体" w:eastAsia="黑体" w:cs="黑体"/>
          <w:color w:val="auto"/>
          <w:sz w:val="32"/>
          <w:szCs w:val="32"/>
          <w:highlight w:val="none"/>
        </w:rPr>
      </w:pPr>
    </w:p>
    <w:p w14:paraId="72F552BB">
      <w:pPr>
        <w:spacing w:line="428" w:lineRule="exact"/>
        <w:rPr>
          <w:rFonts w:ascii="黑体" w:hAnsi="黑体" w:eastAsia="黑体" w:cs="黑体"/>
          <w:color w:val="auto"/>
          <w:sz w:val="32"/>
          <w:szCs w:val="32"/>
          <w:highlight w:val="none"/>
        </w:rPr>
      </w:pPr>
    </w:p>
    <w:p w14:paraId="4873C246">
      <w:pPr>
        <w:spacing w:line="428" w:lineRule="exact"/>
        <w:ind w:left="119"/>
        <w:rPr>
          <w:rFonts w:ascii="Arial Unicode MS" w:hAnsi="Arial Unicode MS" w:eastAsia="Arial Unicode MS" w:cs="Arial Unicode MS"/>
          <w:color w:val="auto"/>
          <w:sz w:val="17"/>
          <w:szCs w:val="17"/>
          <w:highlight w:val="none"/>
        </w:rPr>
      </w:pPr>
      <w:r>
        <w:rPr>
          <w:rFonts w:hint="eastAsia" w:ascii="黑体" w:hAnsi="黑体" w:eastAsia="黑体" w:cs="黑体"/>
          <w:color w:val="auto"/>
          <w:sz w:val="32"/>
          <w:szCs w:val="32"/>
          <w:highlight w:val="none"/>
        </w:rPr>
        <w:t>附件：1</w:t>
      </w:r>
    </w:p>
    <w:p w14:paraId="1BF0D877">
      <w:pPr>
        <w:spacing w:line="528" w:lineRule="exact"/>
        <w:ind w:left="1871"/>
        <w:rPr>
          <w:rFonts w:ascii="Arial Unicode MS" w:hAnsi="Arial Unicode MS" w:eastAsia="Arial Unicode MS" w:cs="Arial Unicode MS"/>
          <w:color w:val="auto"/>
          <w:sz w:val="40"/>
          <w:szCs w:val="40"/>
          <w:highlight w:val="none"/>
        </w:rPr>
      </w:pPr>
      <w:r>
        <w:rPr>
          <w:rFonts w:hint="eastAsia" w:ascii="方正小标宋简体" w:hAnsi="方正小标宋简体" w:eastAsia="方正小标宋简体" w:cs="方正小标宋简体"/>
          <w:color w:val="auto"/>
          <w:sz w:val="44"/>
          <w:szCs w:val="44"/>
          <w:highlight w:val="none"/>
        </w:rPr>
        <w:t>节能产品政府采购品目清单</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422"/>
        <w:gridCol w:w="1496"/>
        <w:gridCol w:w="1481"/>
        <w:gridCol w:w="4110"/>
      </w:tblGrid>
      <w:tr w14:paraId="1392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1AD0954">
            <w:pPr>
              <w:jc w:val="center"/>
              <w:rPr>
                <w:rFonts w:ascii="Calibri" w:hAnsi="Calibri"/>
                <w:color w:val="auto"/>
                <w:szCs w:val="22"/>
                <w:highlight w:val="none"/>
              </w:rPr>
            </w:pPr>
            <w:r>
              <w:rPr>
                <w:rFonts w:hint="eastAsia" w:ascii="宋体" w:hAnsi="宋体" w:cs="宋体"/>
                <w:b/>
                <w:bCs/>
                <w:color w:val="auto"/>
                <w:highlight w:val="none"/>
              </w:rPr>
              <w:t>品目序号</w:t>
            </w:r>
          </w:p>
        </w:tc>
        <w:tc>
          <w:tcPr>
            <w:tcW w:w="4399" w:type="dxa"/>
            <w:gridSpan w:val="3"/>
            <w:tcBorders>
              <w:top w:val="single" w:color="000000" w:sz="4" w:space="0"/>
              <w:left w:val="single" w:color="000000" w:sz="4" w:space="0"/>
              <w:bottom w:val="single" w:color="000000" w:sz="4" w:space="0"/>
              <w:right w:val="single" w:color="000000" w:sz="4" w:space="0"/>
            </w:tcBorders>
            <w:vAlign w:val="center"/>
          </w:tcPr>
          <w:p w14:paraId="664B828D">
            <w:pPr>
              <w:jc w:val="center"/>
              <w:rPr>
                <w:rFonts w:ascii="Calibri" w:hAnsi="Calibri"/>
                <w:color w:val="auto"/>
                <w:szCs w:val="22"/>
                <w:highlight w:val="none"/>
              </w:rPr>
            </w:pPr>
            <w:r>
              <w:rPr>
                <w:rFonts w:hint="eastAsia" w:ascii="宋体" w:hAnsi="宋体" w:cs="宋体"/>
                <w:b/>
                <w:bCs/>
                <w:color w:val="auto"/>
                <w:highlight w:val="none"/>
              </w:rPr>
              <w:t>名称</w:t>
            </w:r>
          </w:p>
        </w:tc>
        <w:tc>
          <w:tcPr>
            <w:tcW w:w="4110" w:type="dxa"/>
            <w:tcBorders>
              <w:top w:val="single" w:color="000000" w:sz="4" w:space="0"/>
              <w:left w:val="single" w:color="000000" w:sz="4" w:space="0"/>
              <w:bottom w:val="single" w:color="000000" w:sz="4" w:space="0"/>
              <w:right w:val="single" w:color="000000" w:sz="4" w:space="0"/>
            </w:tcBorders>
            <w:vAlign w:val="center"/>
          </w:tcPr>
          <w:p w14:paraId="79DC4D6A">
            <w:pPr>
              <w:jc w:val="center"/>
              <w:rPr>
                <w:rFonts w:ascii="Calibri" w:hAnsi="Calibri"/>
                <w:color w:val="auto"/>
                <w:szCs w:val="22"/>
                <w:highlight w:val="none"/>
              </w:rPr>
            </w:pPr>
            <w:r>
              <w:rPr>
                <w:rFonts w:hint="eastAsia" w:ascii="宋体" w:hAnsi="宋体" w:cs="宋体"/>
                <w:b/>
                <w:bCs/>
                <w:color w:val="auto"/>
                <w:highlight w:val="none"/>
              </w:rPr>
              <w:t>依据的标准</w:t>
            </w:r>
          </w:p>
        </w:tc>
      </w:tr>
      <w:tr w14:paraId="7A2E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00ADED5A">
            <w:pPr>
              <w:jc w:val="center"/>
              <w:rPr>
                <w:rFonts w:ascii="宋体" w:hAnsi="宋体"/>
                <w:color w:val="auto"/>
                <w:szCs w:val="21"/>
                <w:highlight w:val="none"/>
              </w:rPr>
            </w:pPr>
            <w:r>
              <w:rPr>
                <w:rFonts w:hint="eastAsia" w:ascii="宋体" w:hAnsi="宋体"/>
                <w:color w:val="auto"/>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2B7752FD">
            <w:pPr>
              <w:jc w:val="center"/>
              <w:rPr>
                <w:rFonts w:ascii="宋体" w:hAnsi="宋体"/>
                <w:color w:val="auto"/>
                <w:szCs w:val="21"/>
                <w:highlight w:val="none"/>
              </w:rPr>
            </w:pPr>
            <w:r>
              <w:rPr>
                <w:rFonts w:hint="eastAsia" w:ascii="宋体" w:hAnsi="宋体" w:cs="仿宋_GB2312"/>
                <w:color w:val="auto"/>
                <w:szCs w:val="21"/>
                <w:highlight w:val="none"/>
              </w:rPr>
              <w:t>A02010100</w:t>
            </w:r>
            <w:r>
              <w:rPr>
                <w:rFonts w:hint="eastAsia" w:ascii="宋体" w:hAnsi="宋体" w:cs="宋体"/>
                <w:color w:val="auto"/>
                <w:szCs w:val="21"/>
                <w:highlight w:val="none"/>
              </w:rPr>
              <w:t>计算机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1BB77DB8">
            <w:pPr>
              <w:pStyle w:val="303"/>
              <w:spacing w:before="93"/>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A02010105</w:t>
            </w:r>
            <w:r>
              <w:rPr>
                <w:rFonts w:hint="eastAsia" w:ascii="宋体" w:hAnsi="宋体" w:cs="宋体"/>
                <w:color w:val="auto"/>
                <w:sz w:val="21"/>
                <w:szCs w:val="21"/>
                <w:highlight w:val="none"/>
              </w:rPr>
              <w:t>台式计算机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95EB799">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71B6502B">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404D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306C68A">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15FB99F1">
            <w:pPr>
              <w:widowControl/>
              <w:jc w:val="left"/>
              <w:rPr>
                <w:rFonts w:ascii="宋体" w:hAnsi="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04D650D">
            <w:pPr>
              <w:pStyle w:val="303"/>
              <w:spacing w:before="44"/>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A02010108</w:t>
            </w:r>
            <w:r>
              <w:rPr>
                <w:rFonts w:hint="eastAsia" w:ascii="宋体" w:hAnsi="宋体" w:cs="宋体"/>
                <w:color w:val="auto"/>
                <w:sz w:val="21"/>
                <w:szCs w:val="21"/>
                <w:highlight w:val="none"/>
              </w:rPr>
              <w:t>便携式计算机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42A8DE5">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4F9272DE">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6E89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80CE581">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1CD77E8">
            <w:pPr>
              <w:widowControl/>
              <w:jc w:val="left"/>
              <w:rPr>
                <w:rFonts w:ascii="宋体" w:hAnsi="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627DC470">
            <w:pPr>
              <w:pStyle w:val="303"/>
              <w:spacing w:before="64"/>
              <w:ind w:left="7" w:right="5"/>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仿宋_GB2312"/>
                <w:color w:val="auto"/>
                <w:sz w:val="21"/>
                <w:szCs w:val="21"/>
                <w:highlight w:val="none"/>
                <w:lang w:eastAsia="zh-CN"/>
              </w:rPr>
              <w:t>A02010109平板式计算机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0DE5EFA2">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4926BF64">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6EB9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2165D82A">
            <w:pPr>
              <w:jc w:val="center"/>
              <w:rPr>
                <w:rFonts w:ascii="宋体" w:hAnsi="宋体"/>
                <w:color w:val="auto"/>
                <w:szCs w:val="21"/>
                <w:highlight w:val="none"/>
              </w:rPr>
            </w:pPr>
            <w:r>
              <w:rPr>
                <w:rFonts w:hint="eastAsia" w:ascii="宋体" w:hAnsi="宋体"/>
                <w:color w:val="auto"/>
                <w:szCs w:val="21"/>
                <w:highlight w:val="none"/>
              </w:rPr>
              <w:t>2</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5B22989A">
            <w:pPr>
              <w:pStyle w:val="303"/>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A02020000</w:t>
            </w:r>
            <w:r>
              <w:rPr>
                <w:rFonts w:hint="eastAsia" w:ascii="宋体" w:hAnsi="宋体" w:cs="宋体"/>
                <w:color w:val="auto"/>
                <w:sz w:val="21"/>
                <w:szCs w:val="21"/>
                <w:highlight w:val="none"/>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59452183">
            <w:pPr>
              <w:jc w:val="center"/>
              <w:rPr>
                <w:rFonts w:ascii="宋体" w:hAnsi="宋体"/>
                <w:color w:val="auto"/>
                <w:szCs w:val="21"/>
                <w:highlight w:val="none"/>
              </w:rPr>
            </w:pPr>
            <w:r>
              <w:rPr>
                <w:rFonts w:hint="eastAsia" w:ascii="宋体" w:hAnsi="宋体" w:cs="宋体"/>
                <w:color w:val="auto"/>
                <w:spacing w:val="1"/>
                <w:szCs w:val="21"/>
                <w:highlight w:val="none"/>
              </w:rPr>
              <w:t>A02021000</w:t>
            </w:r>
            <w:r>
              <w:rPr>
                <w:rFonts w:hint="eastAsia" w:ascii="宋体" w:hAnsi="宋体" w:cs="Arial"/>
                <w:color w:val="auto"/>
                <w:szCs w:val="21"/>
                <w:highlight w:val="none"/>
                <w:shd w:val="clear" w:color="auto" w:fill="FFFFFF"/>
              </w:rPr>
              <w:t>打印机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C238910">
            <w:pPr>
              <w:jc w:val="center"/>
              <w:rPr>
                <w:rFonts w:ascii="宋体" w:hAnsi="宋体"/>
                <w:color w:val="auto"/>
                <w:szCs w:val="21"/>
                <w:highlight w:val="none"/>
              </w:rPr>
            </w:pPr>
            <w:r>
              <w:rPr>
                <w:rFonts w:hint="eastAsia" w:ascii="宋体" w:hAnsi="宋体"/>
                <w:color w:val="auto"/>
                <w:szCs w:val="21"/>
                <w:highlight w:val="none"/>
              </w:rPr>
              <w:t>A02021001 A3黑白打印机</w:t>
            </w:r>
          </w:p>
        </w:tc>
        <w:tc>
          <w:tcPr>
            <w:tcW w:w="4110" w:type="dxa"/>
            <w:tcBorders>
              <w:top w:val="single" w:color="000000" w:sz="4" w:space="0"/>
              <w:left w:val="single" w:color="000000" w:sz="4" w:space="0"/>
              <w:bottom w:val="single" w:color="000000" w:sz="4" w:space="0"/>
              <w:right w:val="single" w:color="000000" w:sz="4" w:space="0"/>
            </w:tcBorders>
          </w:tcPr>
          <w:p w14:paraId="0A4E08ED">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1C08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FCC12C3">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62F8A691">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781AFFCF">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ED4A10F">
            <w:pPr>
              <w:jc w:val="center"/>
              <w:rPr>
                <w:rFonts w:ascii="宋体" w:hAnsi="宋体"/>
                <w:color w:val="auto"/>
                <w:szCs w:val="21"/>
                <w:highlight w:val="none"/>
              </w:rPr>
            </w:pPr>
            <w:r>
              <w:rPr>
                <w:rFonts w:hint="eastAsia" w:ascii="宋体" w:hAnsi="宋体"/>
                <w:color w:val="auto"/>
                <w:szCs w:val="21"/>
                <w:highlight w:val="none"/>
              </w:rPr>
              <w:t>A02021002 A3彩色打印机</w:t>
            </w:r>
          </w:p>
        </w:tc>
        <w:tc>
          <w:tcPr>
            <w:tcW w:w="4110" w:type="dxa"/>
            <w:tcBorders>
              <w:top w:val="single" w:color="000000" w:sz="4" w:space="0"/>
              <w:left w:val="single" w:color="000000" w:sz="4" w:space="0"/>
              <w:bottom w:val="single" w:color="000000" w:sz="4" w:space="0"/>
              <w:right w:val="single" w:color="000000" w:sz="4" w:space="0"/>
            </w:tcBorders>
          </w:tcPr>
          <w:p w14:paraId="7E3395D6">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62C6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FD9B3A1">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5DCD19D4">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2064BB0D">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3689DD0">
            <w:pPr>
              <w:jc w:val="center"/>
              <w:rPr>
                <w:rFonts w:ascii="宋体" w:hAnsi="宋体"/>
                <w:color w:val="auto"/>
                <w:szCs w:val="21"/>
                <w:highlight w:val="none"/>
              </w:rPr>
            </w:pPr>
            <w:r>
              <w:rPr>
                <w:rFonts w:hint="eastAsia" w:ascii="宋体" w:hAnsi="宋体"/>
                <w:color w:val="auto"/>
                <w:szCs w:val="21"/>
                <w:highlight w:val="none"/>
              </w:rPr>
              <w:t>A02021003 A4黑白打印机</w:t>
            </w:r>
          </w:p>
        </w:tc>
        <w:tc>
          <w:tcPr>
            <w:tcW w:w="4110" w:type="dxa"/>
            <w:tcBorders>
              <w:top w:val="single" w:color="000000" w:sz="4" w:space="0"/>
              <w:left w:val="single" w:color="000000" w:sz="4" w:space="0"/>
              <w:bottom w:val="single" w:color="000000" w:sz="4" w:space="0"/>
              <w:right w:val="single" w:color="000000" w:sz="4" w:space="0"/>
            </w:tcBorders>
          </w:tcPr>
          <w:p w14:paraId="6F7B2853">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1E29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41904EB">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4EDE61C5">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44599776">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C145BFD">
            <w:pPr>
              <w:jc w:val="center"/>
              <w:rPr>
                <w:rFonts w:ascii="宋体" w:hAnsi="宋体"/>
                <w:color w:val="auto"/>
                <w:szCs w:val="21"/>
                <w:highlight w:val="none"/>
              </w:rPr>
            </w:pPr>
            <w:r>
              <w:rPr>
                <w:rFonts w:hint="eastAsia" w:ascii="宋体" w:hAnsi="宋体"/>
                <w:color w:val="auto"/>
                <w:szCs w:val="21"/>
                <w:highlight w:val="none"/>
              </w:rPr>
              <w:t>A02021004 A4彩色打印机</w:t>
            </w:r>
          </w:p>
        </w:tc>
        <w:tc>
          <w:tcPr>
            <w:tcW w:w="4110" w:type="dxa"/>
            <w:tcBorders>
              <w:top w:val="single" w:color="000000" w:sz="4" w:space="0"/>
              <w:left w:val="single" w:color="000000" w:sz="4" w:space="0"/>
              <w:bottom w:val="single" w:color="000000" w:sz="4" w:space="0"/>
              <w:right w:val="single" w:color="000000" w:sz="4" w:space="0"/>
            </w:tcBorders>
          </w:tcPr>
          <w:p w14:paraId="7419D5BE">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31A0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6F35166">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7F86A133">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6AE317FD">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51C257F">
            <w:pPr>
              <w:jc w:val="center"/>
              <w:rPr>
                <w:rFonts w:ascii="宋体" w:hAnsi="宋体"/>
                <w:color w:val="auto"/>
                <w:szCs w:val="21"/>
                <w:highlight w:val="none"/>
              </w:rPr>
            </w:pPr>
            <w:r>
              <w:rPr>
                <w:rFonts w:hint="eastAsia" w:ascii="宋体" w:hAnsi="宋体"/>
                <w:color w:val="auto"/>
                <w:szCs w:val="21"/>
                <w:highlight w:val="none"/>
              </w:rPr>
              <w:t>A02021005 3D打印机</w:t>
            </w:r>
          </w:p>
        </w:tc>
        <w:tc>
          <w:tcPr>
            <w:tcW w:w="4110" w:type="dxa"/>
            <w:tcBorders>
              <w:top w:val="single" w:color="000000" w:sz="4" w:space="0"/>
              <w:left w:val="single" w:color="000000" w:sz="4" w:space="0"/>
              <w:bottom w:val="single" w:color="000000" w:sz="4" w:space="0"/>
              <w:right w:val="single" w:color="000000" w:sz="4" w:space="0"/>
            </w:tcBorders>
          </w:tcPr>
          <w:p w14:paraId="43D731DC">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51BD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71A717D">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4C80B0DC">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000DC9DB">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C05998C">
            <w:pPr>
              <w:jc w:val="center"/>
              <w:rPr>
                <w:rFonts w:ascii="宋体" w:hAnsi="宋体"/>
                <w:color w:val="auto"/>
                <w:szCs w:val="21"/>
                <w:highlight w:val="none"/>
              </w:rPr>
            </w:pPr>
            <w:r>
              <w:rPr>
                <w:rFonts w:hint="eastAsia" w:ascii="宋体" w:hAnsi="宋体"/>
                <w:color w:val="auto"/>
                <w:szCs w:val="21"/>
                <w:highlight w:val="none"/>
              </w:rPr>
              <w:t>A02021006票据打印机</w:t>
            </w:r>
          </w:p>
        </w:tc>
        <w:tc>
          <w:tcPr>
            <w:tcW w:w="4110" w:type="dxa"/>
            <w:tcBorders>
              <w:top w:val="single" w:color="000000" w:sz="4" w:space="0"/>
              <w:left w:val="single" w:color="000000" w:sz="4" w:space="0"/>
              <w:bottom w:val="single" w:color="000000" w:sz="4" w:space="0"/>
              <w:right w:val="single" w:color="000000" w:sz="4" w:space="0"/>
            </w:tcBorders>
          </w:tcPr>
          <w:p w14:paraId="6DE0522B">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22CA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44AF85C">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B26CC45">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0A774DA9">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DEAF0AA">
            <w:pPr>
              <w:jc w:val="center"/>
              <w:rPr>
                <w:rFonts w:ascii="宋体" w:hAnsi="宋体"/>
                <w:color w:val="auto"/>
                <w:szCs w:val="21"/>
                <w:highlight w:val="none"/>
              </w:rPr>
            </w:pPr>
            <w:r>
              <w:rPr>
                <w:rFonts w:hint="eastAsia" w:ascii="宋体" w:hAnsi="宋体"/>
                <w:color w:val="auto"/>
                <w:szCs w:val="21"/>
                <w:highlight w:val="none"/>
              </w:rPr>
              <w:t>A02021007条码打印机</w:t>
            </w:r>
          </w:p>
        </w:tc>
        <w:tc>
          <w:tcPr>
            <w:tcW w:w="4110" w:type="dxa"/>
            <w:tcBorders>
              <w:top w:val="single" w:color="000000" w:sz="4" w:space="0"/>
              <w:left w:val="single" w:color="000000" w:sz="4" w:space="0"/>
              <w:bottom w:val="single" w:color="000000" w:sz="4" w:space="0"/>
              <w:right w:val="single" w:color="000000" w:sz="4" w:space="0"/>
            </w:tcBorders>
          </w:tcPr>
          <w:p w14:paraId="591F59EF">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2A96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3EF3D9CB">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BF724DA">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434D8C72">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111D5AC">
            <w:pPr>
              <w:jc w:val="center"/>
              <w:rPr>
                <w:rFonts w:ascii="宋体" w:hAnsi="宋体"/>
                <w:color w:val="auto"/>
                <w:szCs w:val="21"/>
                <w:highlight w:val="none"/>
              </w:rPr>
            </w:pPr>
            <w:r>
              <w:rPr>
                <w:rFonts w:hint="eastAsia" w:ascii="宋体" w:hAnsi="宋体"/>
                <w:color w:val="auto"/>
                <w:szCs w:val="21"/>
                <w:highlight w:val="none"/>
              </w:rPr>
              <w:t>A02021008地址打印机</w:t>
            </w:r>
          </w:p>
        </w:tc>
        <w:tc>
          <w:tcPr>
            <w:tcW w:w="4110" w:type="dxa"/>
            <w:tcBorders>
              <w:top w:val="single" w:color="000000" w:sz="4" w:space="0"/>
              <w:left w:val="single" w:color="000000" w:sz="4" w:space="0"/>
              <w:bottom w:val="single" w:color="000000" w:sz="4" w:space="0"/>
              <w:right w:val="single" w:color="000000" w:sz="4" w:space="0"/>
            </w:tcBorders>
          </w:tcPr>
          <w:p w14:paraId="743EDC4E">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65A3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F53880D">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7297560D">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32CD3054">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4C3C6E2">
            <w:pPr>
              <w:jc w:val="center"/>
              <w:rPr>
                <w:rFonts w:ascii="宋体" w:hAnsi="宋体"/>
                <w:color w:val="auto"/>
                <w:szCs w:val="21"/>
                <w:highlight w:val="none"/>
              </w:rPr>
            </w:pPr>
            <w:r>
              <w:rPr>
                <w:rFonts w:hint="eastAsia" w:ascii="宋体" w:hAnsi="宋体"/>
                <w:color w:val="auto"/>
                <w:szCs w:val="21"/>
                <w:highlight w:val="none"/>
              </w:rPr>
              <w:t>A02021099其他打印机</w:t>
            </w:r>
          </w:p>
        </w:tc>
        <w:tc>
          <w:tcPr>
            <w:tcW w:w="4110" w:type="dxa"/>
            <w:tcBorders>
              <w:top w:val="single" w:color="000000" w:sz="4" w:space="0"/>
              <w:left w:val="single" w:color="000000" w:sz="4" w:space="0"/>
              <w:bottom w:val="single" w:color="000000" w:sz="4" w:space="0"/>
              <w:right w:val="single" w:color="000000" w:sz="4" w:space="0"/>
            </w:tcBorders>
          </w:tcPr>
          <w:p w14:paraId="65B180B3">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5BC9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2EE3070">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46C50C88">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07EA110">
            <w:pPr>
              <w:jc w:val="center"/>
              <w:rPr>
                <w:rFonts w:ascii="宋体" w:hAnsi="宋体"/>
                <w:color w:val="auto"/>
                <w:szCs w:val="21"/>
                <w:highlight w:val="none"/>
              </w:rPr>
            </w:pPr>
            <w:r>
              <w:rPr>
                <w:rFonts w:hint="eastAsia" w:ascii="宋体" w:hAnsi="宋体"/>
                <w:color w:val="auto"/>
                <w:szCs w:val="21"/>
                <w:highlight w:val="none"/>
              </w:rPr>
              <w:t>A02021100输入输出设备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64F5AC9D">
            <w:pPr>
              <w:jc w:val="center"/>
              <w:rPr>
                <w:rFonts w:ascii="宋体" w:hAnsi="宋体"/>
                <w:color w:val="auto"/>
                <w:szCs w:val="21"/>
                <w:highlight w:val="none"/>
              </w:rPr>
            </w:pPr>
            <w:r>
              <w:rPr>
                <w:rFonts w:hint="eastAsia" w:ascii="宋体" w:hAnsi="宋体" w:cs="宋体"/>
                <w:color w:val="auto"/>
                <w:szCs w:val="21"/>
                <w:highlight w:val="none"/>
              </w:rPr>
              <w:t>★</w:t>
            </w:r>
            <w:r>
              <w:rPr>
                <w:rFonts w:hint="eastAsia" w:ascii="宋体" w:hAnsi="宋体"/>
                <w:color w:val="auto"/>
                <w:szCs w:val="21"/>
                <w:highlight w:val="none"/>
              </w:rPr>
              <w:t>A02021104液晶显示器</w:t>
            </w:r>
          </w:p>
        </w:tc>
        <w:tc>
          <w:tcPr>
            <w:tcW w:w="4110" w:type="dxa"/>
            <w:tcBorders>
              <w:top w:val="single" w:color="000000" w:sz="4" w:space="0"/>
              <w:left w:val="single" w:color="000000" w:sz="4" w:space="0"/>
              <w:bottom w:val="single" w:color="000000" w:sz="4" w:space="0"/>
              <w:right w:val="single" w:color="000000" w:sz="4" w:space="0"/>
            </w:tcBorders>
            <w:vAlign w:val="center"/>
          </w:tcPr>
          <w:p w14:paraId="3FEC0004">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《计算机显示器能效限定值及能效等级》（GB21520）</w:t>
            </w:r>
          </w:p>
        </w:tc>
      </w:tr>
      <w:tr w14:paraId="352A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5A365778">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71C67B12">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666C51A1">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4848380">
            <w:pPr>
              <w:jc w:val="center"/>
              <w:rPr>
                <w:rFonts w:ascii="宋体" w:hAnsi="宋体"/>
                <w:color w:val="auto"/>
                <w:szCs w:val="21"/>
                <w:highlight w:val="none"/>
              </w:rPr>
            </w:pPr>
            <w:r>
              <w:rPr>
                <w:rFonts w:hint="eastAsia" w:ascii="宋体" w:hAnsi="宋体"/>
                <w:color w:val="auto"/>
                <w:szCs w:val="21"/>
                <w:highlight w:val="none"/>
              </w:rPr>
              <w:t>A02021118扫描仪</w:t>
            </w:r>
          </w:p>
        </w:tc>
        <w:tc>
          <w:tcPr>
            <w:tcW w:w="4110" w:type="dxa"/>
            <w:tcBorders>
              <w:top w:val="single" w:color="000000" w:sz="4" w:space="0"/>
              <w:left w:val="single" w:color="000000" w:sz="4" w:space="0"/>
              <w:bottom w:val="single" w:color="000000" w:sz="4" w:space="0"/>
              <w:right w:val="single" w:color="000000" w:sz="4" w:space="0"/>
            </w:tcBorders>
            <w:vAlign w:val="center"/>
          </w:tcPr>
          <w:p w14:paraId="4AB5A290">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参照《复印机、打印机和传真机能效限定值及能效等级》（GB21521）中打印速度为15页/分的针式打印机相关要求</w:t>
            </w:r>
          </w:p>
        </w:tc>
      </w:tr>
      <w:tr w14:paraId="3D24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FCEAC7B">
            <w:pPr>
              <w:jc w:val="center"/>
              <w:rPr>
                <w:rFonts w:ascii="宋体" w:hAnsi="宋体"/>
                <w:color w:val="auto"/>
                <w:szCs w:val="21"/>
                <w:highlight w:val="none"/>
              </w:rPr>
            </w:pPr>
            <w:r>
              <w:rPr>
                <w:rFonts w:hint="eastAsia" w:ascii="宋体" w:hAnsi="宋体"/>
                <w:color w:val="auto"/>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26BBC905">
            <w:pPr>
              <w:jc w:val="center"/>
              <w:rPr>
                <w:rFonts w:ascii="宋体" w:hAnsi="宋体"/>
                <w:color w:val="auto"/>
                <w:szCs w:val="21"/>
                <w:highlight w:val="none"/>
              </w:rPr>
            </w:pPr>
            <w:r>
              <w:rPr>
                <w:rFonts w:hint="eastAsia" w:ascii="宋体" w:hAnsi="宋体"/>
                <w:color w:val="auto"/>
                <w:szCs w:val="21"/>
                <w:highlight w:val="none"/>
              </w:rPr>
              <w:t>A02020200投影仪</w:t>
            </w:r>
          </w:p>
        </w:tc>
        <w:tc>
          <w:tcPr>
            <w:tcW w:w="1496" w:type="dxa"/>
            <w:tcBorders>
              <w:top w:val="single" w:color="000000" w:sz="4" w:space="0"/>
              <w:left w:val="single" w:color="000000" w:sz="4" w:space="0"/>
              <w:bottom w:val="single" w:color="000000" w:sz="4" w:space="0"/>
              <w:right w:val="single" w:color="000000" w:sz="4" w:space="0"/>
            </w:tcBorders>
            <w:vAlign w:val="center"/>
          </w:tcPr>
          <w:p w14:paraId="0D1B9298">
            <w:pPr>
              <w:jc w:val="center"/>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5D39986">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51B58E62">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《投影机能效限定值及能效等级》（GB32028）</w:t>
            </w:r>
          </w:p>
        </w:tc>
      </w:tr>
      <w:tr w14:paraId="24C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E8EFB72">
            <w:pPr>
              <w:jc w:val="center"/>
              <w:rPr>
                <w:rFonts w:ascii="宋体" w:hAnsi="宋体"/>
                <w:color w:val="auto"/>
                <w:szCs w:val="21"/>
                <w:highlight w:val="none"/>
              </w:rPr>
            </w:pPr>
            <w:r>
              <w:rPr>
                <w:rFonts w:hint="eastAsia" w:ascii="宋体" w:hAnsi="宋体"/>
                <w:color w:val="auto"/>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3E512299">
            <w:pPr>
              <w:pStyle w:val="303"/>
              <w:spacing w:before="6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A02020400</w:t>
            </w:r>
            <w:r>
              <w:rPr>
                <w:rFonts w:hint="eastAsia" w:ascii="宋体" w:hAnsi="宋体" w:cs="宋体"/>
                <w:color w:val="auto"/>
                <w:sz w:val="21"/>
                <w:szCs w:val="21"/>
                <w:highlight w:val="none"/>
              </w:rPr>
              <w:t>多功能一体机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49A92DC9">
            <w:pPr>
              <w:jc w:val="center"/>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A4E4890">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2842C6A2">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3104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90B9B7F">
            <w:pPr>
              <w:pStyle w:val="303"/>
              <w:spacing w:before="160"/>
              <w:ind w:right="1"/>
              <w:jc w:val="center"/>
              <w:rPr>
                <w:rFonts w:ascii="宋体" w:hAnsi="宋体" w:cs="宋体"/>
                <w:color w:val="auto"/>
                <w:sz w:val="21"/>
                <w:szCs w:val="21"/>
                <w:highlight w:val="none"/>
              </w:rPr>
            </w:pPr>
            <w:r>
              <w:rPr>
                <w:rFonts w:hint="eastAsia" w:ascii="宋体" w:hAnsi="宋体"/>
                <w:color w:val="auto"/>
                <w:sz w:val="21"/>
                <w:szCs w:val="21"/>
                <w:highlight w:val="none"/>
              </w:rPr>
              <w:t>5</w:t>
            </w:r>
          </w:p>
        </w:tc>
        <w:tc>
          <w:tcPr>
            <w:tcW w:w="1422" w:type="dxa"/>
            <w:tcBorders>
              <w:top w:val="single" w:color="000000" w:sz="4" w:space="0"/>
              <w:left w:val="single" w:color="000000" w:sz="4" w:space="0"/>
              <w:bottom w:val="single" w:color="000000" w:sz="4" w:space="0"/>
              <w:right w:val="single" w:color="000000" w:sz="4" w:space="0"/>
            </w:tcBorders>
            <w:vAlign w:val="center"/>
          </w:tcPr>
          <w:p w14:paraId="6D592955">
            <w:pPr>
              <w:pStyle w:val="303"/>
              <w:spacing w:before="16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A02051900</w:t>
            </w:r>
            <w:r>
              <w:rPr>
                <w:rFonts w:hint="eastAsia" w:ascii="宋体" w:hAnsi="宋体" w:cs="宋体"/>
                <w:color w:val="auto"/>
                <w:sz w:val="21"/>
                <w:szCs w:val="21"/>
                <w:highlight w:val="none"/>
              </w:rPr>
              <w:t>泵</w:t>
            </w:r>
          </w:p>
        </w:tc>
        <w:tc>
          <w:tcPr>
            <w:tcW w:w="1496" w:type="dxa"/>
            <w:tcBorders>
              <w:top w:val="single" w:color="000000" w:sz="4" w:space="0"/>
              <w:left w:val="single" w:color="000000" w:sz="4" w:space="0"/>
              <w:bottom w:val="single" w:color="000000" w:sz="4" w:space="0"/>
              <w:right w:val="single" w:color="000000" w:sz="4" w:space="0"/>
            </w:tcBorders>
            <w:vAlign w:val="center"/>
          </w:tcPr>
          <w:p w14:paraId="109385B0">
            <w:pPr>
              <w:pStyle w:val="303"/>
              <w:spacing w:before="160"/>
              <w:ind w:left="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05</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901离心泵</w:t>
            </w:r>
          </w:p>
        </w:tc>
        <w:tc>
          <w:tcPr>
            <w:tcW w:w="1481" w:type="dxa"/>
            <w:tcBorders>
              <w:top w:val="single" w:color="000000" w:sz="4" w:space="0"/>
              <w:left w:val="single" w:color="000000" w:sz="4" w:space="0"/>
              <w:bottom w:val="single" w:color="000000" w:sz="4" w:space="0"/>
              <w:right w:val="single" w:color="000000" w:sz="4" w:space="0"/>
            </w:tcBorders>
            <w:vAlign w:val="center"/>
          </w:tcPr>
          <w:p w14:paraId="067C6252">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6CD48BCC">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《清水离心泵能效限定值及节能评价值》（GB19762）</w:t>
            </w:r>
          </w:p>
        </w:tc>
      </w:tr>
      <w:tr w14:paraId="425C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04133C12">
            <w:pPr>
              <w:jc w:val="center"/>
              <w:rPr>
                <w:rFonts w:ascii="宋体" w:hAnsi="宋体"/>
                <w:color w:val="auto"/>
                <w:szCs w:val="21"/>
                <w:highlight w:val="none"/>
              </w:rPr>
            </w:pPr>
            <w:r>
              <w:rPr>
                <w:rFonts w:hint="eastAsia" w:ascii="宋体" w:hAnsi="宋体"/>
                <w:color w:val="auto"/>
                <w:szCs w:val="21"/>
                <w:highlight w:val="none"/>
              </w:rPr>
              <w:t>6</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70F440C6">
            <w:pPr>
              <w:pStyle w:val="303"/>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A02052300</w:t>
            </w:r>
            <w:r>
              <w:rPr>
                <w:rFonts w:hint="eastAsia" w:ascii="宋体" w:hAnsi="宋体" w:cs="宋体"/>
                <w:color w:val="auto"/>
                <w:sz w:val="21"/>
                <w:szCs w:val="21"/>
                <w:highlight w:val="none"/>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6565DBA5">
            <w:pPr>
              <w:pStyle w:val="303"/>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52</w:t>
            </w:r>
            <w:r>
              <w:rPr>
                <w:rFonts w:hint="eastAsia" w:ascii="宋体" w:hAnsi="宋体" w:cs="宋体"/>
                <w:color w:val="auto"/>
                <w:spacing w:val="1"/>
                <w:sz w:val="21"/>
                <w:szCs w:val="21"/>
                <w:highlight w:val="none"/>
              </w:rPr>
              <w:t>3</w:t>
            </w:r>
            <w:r>
              <w:rPr>
                <w:rFonts w:hint="eastAsia" w:ascii="宋体" w:hAnsi="宋体" w:cs="宋体"/>
                <w:color w:val="auto"/>
                <w:sz w:val="21"/>
                <w:szCs w:val="21"/>
                <w:highlight w:val="none"/>
              </w:rPr>
              <w:t>01制冷压缩机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0FA8428E">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冷水机组</w:t>
            </w:r>
          </w:p>
        </w:tc>
        <w:tc>
          <w:tcPr>
            <w:tcW w:w="4110" w:type="dxa"/>
            <w:tcBorders>
              <w:top w:val="single" w:color="000000" w:sz="4" w:space="0"/>
              <w:left w:val="single" w:color="000000" w:sz="4" w:space="0"/>
              <w:bottom w:val="single" w:color="000000" w:sz="4" w:space="0"/>
              <w:right w:val="single" w:color="000000" w:sz="4" w:space="0"/>
            </w:tcBorders>
          </w:tcPr>
          <w:p w14:paraId="450DED7E">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《冷水机组能效限定值及能效等级》（GB19577），《低环境温度空气源热泵（冷水）机组能效限定值及能效等级》（GB37480）</w:t>
            </w:r>
          </w:p>
        </w:tc>
      </w:tr>
      <w:tr w14:paraId="65E0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0DEFF7C">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05FBE070">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2ADDD87F">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BC73AC4">
            <w:pPr>
              <w:jc w:val="center"/>
              <w:rPr>
                <w:rFonts w:ascii="宋体" w:hAnsi="宋体"/>
                <w:color w:val="auto"/>
                <w:szCs w:val="21"/>
                <w:highlight w:val="none"/>
              </w:rPr>
            </w:pPr>
            <w:r>
              <w:rPr>
                <w:rFonts w:hint="eastAsia" w:ascii="宋体" w:hAnsi="宋体"/>
                <w:color w:val="auto"/>
                <w:szCs w:val="21"/>
                <w:highlight w:val="none"/>
              </w:rPr>
              <w:t>溴化锂吸收式冷水机组</w:t>
            </w:r>
          </w:p>
        </w:tc>
        <w:tc>
          <w:tcPr>
            <w:tcW w:w="4110" w:type="dxa"/>
            <w:tcBorders>
              <w:top w:val="single" w:color="000000" w:sz="4" w:space="0"/>
              <w:left w:val="single" w:color="000000" w:sz="4" w:space="0"/>
              <w:bottom w:val="single" w:color="000000" w:sz="4" w:space="0"/>
              <w:right w:val="single" w:color="000000" w:sz="4" w:space="0"/>
            </w:tcBorders>
            <w:vAlign w:val="center"/>
          </w:tcPr>
          <w:p w14:paraId="4526355A">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《溴化锂吸收式冷水机组能效限</w:t>
            </w:r>
          </w:p>
          <w:p w14:paraId="65D98C1B">
            <w:pPr>
              <w:spacing w:before="131" w:line="276" w:lineRule="auto"/>
              <w:ind w:right="4"/>
              <w:rPr>
                <w:rFonts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14:paraId="5D59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DD3080C">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3E8A74D">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2F670107">
            <w:pPr>
              <w:pStyle w:val="303"/>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★A02052305空调机组</w:t>
            </w:r>
          </w:p>
        </w:tc>
        <w:tc>
          <w:tcPr>
            <w:tcW w:w="1481" w:type="dxa"/>
            <w:tcBorders>
              <w:top w:val="single" w:color="000000" w:sz="4" w:space="0"/>
              <w:left w:val="single" w:color="000000" w:sz="4" w:space="0"/>
              <w:bottom w:val="single" w:color="000000" w:sz="4" w:space="0"/>
              <w:right w:val="single" w:color="000000" w:sz="4" w:space="0"/>
            </w:tcBorders>
            <w:vAlign w:val="center"/>
          </w:tcPr>
          <w:p w14:paraId="1D9F2B08">
            <w:pPr>
              <w:pStyle w:val="303"/>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多联式空调（热泵）机组（制冷量&gt;14000W）</w:t>
            </w:r>
          </w:p>
        </w:tc>
        <w:tc>
          <w:tcPr>
            <w:tcW w:w="4110" w:type="dxa"/>
            <w:tcBorders>
              <w:top w:val="single" w:color="000000" w:sz="4" w:space="0"/>
              <w:left w:val="single" w:color="000000" w:sz="4" w:space="0"/>
              <w:bottom w:val="single" w:color="000000" w:sz="4" w:space="0"/>
              <w:right w:val="single" w:color="000000" w:sz="4" w:space="0"/>
            </w:tcBorders>
          </w:tcPr>
          <w:p w14:paraId="7E42A24D">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14:paraId="4D31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8D24A9D">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468554C8">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04125E24">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FB24A9E">
            <w:pPr>
              <w:jc w:val="center"/>
              <w:rPr>
                <w:rFonts w:ascii="宋体" w:hAnsi="宋体"/>
                <w:color w:val="auto"/>
                <w:szCs w:val="21"/>
                <w:highlight w:val="none"/>
              </w:rPr>
            </w:pPr>
            <w:r>
              <w:rPr>
                <w:rFonts w:hint="eastAsia" w:ascii="宋体" w:hAnsi="宋体" w:cs="宋体"/>
                <w:color w:val="auto"/>
                <w:szCs w:val="21"/>
                <w:highlight w:val="none"/>
              </w:rPr>
              <w:t>单元式空气调节机</w:t>
            </w:r>
          </w:p>
        </w:tc>
        <w:tc>
          <w:tcPr>
            <w:tcW w:w="4110" w:type="dxa"/>
            <w:tcBorders>
              <w:top w:val="single" w:color="000000" w:sz="4" w:space="0"/>
              <w:left w:val="single" w:color="000000" w:sz="4" w:space="0"/>
              <w:bottom w:val="single" w:color="000000" w:sz="4" w:space="0"/>
              <w:right w:val="single" w:color="000000" w:sz="4" w:space="0"/>
            </w:tcBorders>
          </w:tcPr>
          <w:p w14:paraId="05E56A71">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《单元式空气调节机能效限定值及能效等级》（GB19576）《风管送风式空调机组能效限定值及能效等级》（GB37479）</w:t>
            </w:r>
          </w:p>
        </w:tc>
      </w:tr>
      <w:tr w14:paraId="366D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F8FD504">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7BEBF508">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26243A68">
            <w:pPr>
              <w:pStyle w:val="303"/>
              <w:spacing w:before="83"/>
              <w:ind w:lef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56E15D0E">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机房空调</w:t>
            </w:r>
          </w:p>
        </w:tc>
        <w:tc>
          <w:tcPr>
            <w:tcW w:w="4110" w:type="dxa"/>
            <w:tcBorders>
              <w:top w:val="single" w:color="000000" w:sz="4" w:space="0"/>
              <w:left w:val="single" w:color="000000" w:sz="4" w:space="0"/>
              <w:bottom w:val="single" w:color="000000" w:sz="4" w:space="0"/>
              <w:right w:val="single" w:color="000000" w:sz="4" w:space="0"/>
            </w:tcBorders>
          </w:tcPr>
          <w:p w14:paraId="1EBBC18C">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w:t>
            </w:r>
          </w:p>
          <w:p w14:paraId="23FCDB12">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及能效等级》（GB19576）</w:t>
            </w:r>
          </w:p>
        </w:tc>
      </w:tr>
      <w:tr w14:paraId="26C8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125B8E71">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5D742EDC">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4D369566">
            <w:pPr>
              <w:pStyle w:val="303"/>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A02052399其他制冷</w:t>
            </w:r>
          </w:p>
          <w:p w14:paraId="420E3DF9">
            <w:pPr>
              <w:pStyle w:val="303"/>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76C6415">
            <w:pPr>
              <w:widowControl/>
              <w:jc w:val="center"/>
              <w:rPr>
                <w:rFonts w:ascii="宋体" w:hAnsi="宋体" w:cs="宋体"/>
                <w:color w:val="auto"/>
                <w:szCs w:val="21"/>
                <w:highlight w:val="none"/>
                <w:lang w:eastAsia="en-US"/>
              </w:rPr>
            </w:pPr>
            <w:r>
              <w:rPr>
                <w:rFonts w:hint="eastAsia" w:ascii="宋体" w:hAnsi="宋体" w:cs="宋体"/>
                <w:color w:val="auto"/>
                <w:szCs w:val="21"/>
                <w:highlight w:val="none"/>
              </w:rPr>
              <w:t>冷却塔</w:t>
            </w:r>
          </w:p>
        </w:tc>
        <w:tc>
          <w:tcPr>
            <w:tcW w:w="4110" w:type="dxa"/>
            <w:tcBorders>
              <w:top w:val="single" w:color="000000" w:sz="4" w:space="0"/>
              <w:left w:val="single" w:color="000000" w:sz="4" w:space="0"/>
              <w:bottom w:val="single" w:color="000000" w:sz="4" w:space="0"/>
              <w:right w:val="single" w:color="000000" w:sz="4" w:space="0"/>
            </w:tcBorders>
          </w:tcPr>
          <w:p w14:paraId="54483F50">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《机械通风冷却塔第1部分：中小型开式冷却塔》（GB/T7190.1）</w:t>
            </w:r>
          </w:p>
          <w:p w14:paraId="72B1B70D">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《机械通风冷却塔第2部分：大型开式冷却塔》（GB/T7190.2）</w:t>
            </w:r>
          </w:p>
        </w:tc>
      </w:tr>
      <w:tr w14:paraId="5DEE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1845666">
            <w:pPr>
              <w:pStyle w:val="303"/>
              <w:ind w:right="1"/>
              <w:jc w:val="center"/>
              <w:rPr>
                <w:rFonts w:ascii="宋体" w:hAnsi="宋体" w:cs="宋体"/>
                <w:color w:val="auto"/>
                <w:sz w:val="21"/>
                <w:szCs w:val="21"/>
                <w:highlight w:val="none"/>
              </w:rPr>
            </w:pPr>
            <w:r>
              <w:rPr>
                <w:rFonts w:hint="eastAsia" w:ascii="宋体" w:hAnsi="宋体"/>
                <w:color w:val="auto"/>
                <w:sz w:val="21"/>
                <w:szCs w:val="21"/>
                <w:highlight w:val="none"/>
              </w:rPr>
              <w:t>7</w:t>
            </w:r>
          </w:p>
        </w:tc>
        <w:tc>
          <w:tcPr>
            <w:tcW w:w="1422" w:type="dxa"/>
            <w:tcBorders>
              <w:top w:val="single" w:color="000000" w:sz="4" w:space="0"/>
              <w:left w:val="single" w:color="000000" w:sz="4" w:space="0"/>
              <w:bottom w:val="single" w:color="000000" w:sz="4" w:space="0"/>
              <w:right w:val="single" w:color="000000" w:sz="4" w:space="0"/>
            </w:tcBorders>
            <w:vAlign w:val="center"/>
          </w:tcPr>
          <w:p w14:paraId="7CF36D67">
            <w:pPr>
              <w:pStyle w:val="303"/>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A02060100</w:t>
            </w:r>
            <w:r>
              <w:rPr>
                <w:rFonts w:hint="eastAsia" w:ascii="宋体" w:hAnsi="宋体" w:cs="宋体"/>
                <w:color w:val="auto"/>
                <w:sz w:val="21"/>
                <w:szCs w:val="21"/>
                <w:highlight w:val="none"/>
              </w:rPr>
              <w:t>电机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21B90D6B">
            <w:pPr>
              <w:jc w:val="center"/>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344853B">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06B80D97">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《中小型三相异步电动机能效限定值及能效等级》（GB18613）</w:t>
            </w:r>
          </w:p>
        </w:tc>
      </w:tr>
      <w:tr w14:paraId="4EFA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1BE7954">
            <w:pPr>
              <w:pStyle w:val="303"/>
              <w:ind w:right="1"/>
              <w:jc w:val="center"/>
              <w:rPr>
                <w:rFonts w:ascii="宋体" w:hAnsi="宋体" w:cs="宋体"/>
                <w:color w:val="auto"/>
                <w:sz w:val="21"/>
                <w:szCs w:val="21"/>
                <w:highlight w:val="none"/>
              </w:rPr>
            </w:pPr>
            <w:r>
              <w:rPr>
                <w:rFonts w:hint="eastAsia" w:ascii="宋体" w:hAnsi="宋体"/>
                <w:color w:val="auto"/>
                <w:sz w:val="21"/>
                <w:szCs w:val="21"/>
                <w:highlight w:val="none"/>
              </w:rPr>
              <w:t>8</w:t>
            </w:r>
          </w:p>
        </w:tc>
        <w:tc>
          <w:tcPr>
            <w:tcW w:w="1422" w:type="dxa"/>
            <w:tcBorders>
              <w:top w:val="single" w:color="000000" w:sz="4" w:space="0"/>
              <w:left w:val="single" w:color="000000" w:sz="4" w:space="0"/>
              <w:bottom w:val="single" w:color="000000" w:sz="4" w:space="0"/>
              <w:right w:val="single" w:color="000000" w:sz="4" w:space="0"/>
            </w:tcBorders>
            <w:vAlign w:val="center"/>
          </w:tcPr>
          <w:p w14:paraId="53414596">
            <w:pPr>
              <w:pStyle w:val="303"/>
              <w:spacing w:before="3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A02060200</w:t>
            </w:r>
            <w:r>
              <w:rPr>
                <w:rFonts w:hint="eastAsia" w:ascii="宋体" w:hAnsi="宋体" w:cs="宋体"/>
                <w:color w:val="auto"/>
                <w:sz w:val="21"/>
                <w:szCs w:val="21"/>
                <w:highlight w:val="none"/>
              </w:rPr>
              <w:t>变压</w:t>
            </w:r>
          </w:p>
        </w:tc>
        <w:tc>
          <w:tcPr>
            <w:tcW w:w="1496" w:type="dxa"/>
            <w:tcBorders>
              <w:top w:val="single" w:color="000000" w:sz="4" w:space="0"/>
              <w:left w:val="single" w:color="000000" w:sz="4" w:space="0"/>
              <w:bottom w:val="single" w:color="000000" w:sz="4" w:space="0"/>
              <w:right w:val="single" w:color="000000" w:sz="4" w:space="0"/>
            </w:tcBorders>
            <w:vAlign w:val="center"/>
          </w:tcPr>
          <w:p w14:paraId="0A175C91">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配电变压器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3D46EEAF">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653F7867">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《三相配电变压器能效限定值及能效等级》（GB 20052）</w:t>
            </w:r>
          </w:p>
        </w:tc>
      </w:tr>
      <w:tr w14:paraId="63A7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CD0CDEC">
            <w:pPr>
              <w:pStyle w:val="303"/>
              <w:ind w:right="1"/>
              <w:jc w:val="center"/>
              <w:rPr>
                <w:rFonts w:ascii="宋体" w:hAnsi="宋体" w:cs="宋体"/>
                <w:color w:val="auto"/>
                <w:sz w:val="21"/>
                <w:szCs w:val="21"/>
                <w:highlight w:val="none"/>
              </w:rPr>
            </w:pPr>
            <w:r>
              <w:rPr>
                <w:rFonts w:hint="eastAsia" w:ascii="宋体" w:hAnsi="宋体"/>
                <w:color w:val="auto"/>
                <w:sz w:val="21"/>
                <w:szCs w:val="21"/>
                <w:highlight w:val="none"/>
              </w:rPr>
              <w:t>9</w:t>
            </w:r>
          </w:p>
        </w:tc>
        <w:tc>
          <w:tcPr>
            <w:tcW w:w="1422" w:type="dxa"/>
            <w:tcBorders>
              <w:top w:val="single" w:color="000000" w:sz="4" w:space="0"/>
              <w:left w:val="single" w:color="000000" w:sz="4" w:space="0"/>
              <w:bottom w:val="single" w:color="000000" w:sz="4" w:space="0"/>
              <w:right w:val="single" w:color="000000" w:sz="4" w:space="0"/>
            </w:tcBorders>
            <w:vAlign w:val="center"/>
          </w:tcPr>
          <w:p w14:paraId="41789CA5">
            <w:pPr>
              <w:pStyle w:val="303"/>
              <w:spacing w:before="126"/>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★A02060900镇流器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4B1E2B79">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管型荧光灯镇流器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F76B060">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67593089">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《管形荧光灯镇流器能效限定值及能效等级》（GB17896）</w:t>
            </w:r>
          </w:p>
        </w:tc>
      </w:tr>
      <w:tr w14:paraId="77AC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386BDBFB">
            <w:pPr>
              <w:pStyle w:val="303"/>
              <w:jc w:val="center"/>
              <w:rPr>
                <w:rFonts w:ascii="宋体" w:hAnsi="宋体" w:cs="宋体"/>
                <w:color w:val="auto"/>
                <w:sz w:val="21"/>
                <w:szCs w:val="21"/>
                <w:highlight w:val="none"/>
              </w:rPr>
            </w:pPr>
            <w:r>
              <w:rPr>
                <w:rFonts w:hint="eastAsia" w:ascii="宋体" w:hAnsi="宋体"/>
                <w:color w:val="auto"/>
                <w:sz w:val="21"/>
                <w:szCs w:val="21"/>
                <w:highlight w:val="none"/>
              </w:rPr>
              <w:t>10</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1CE30D85">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A02061800生活用电器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4D8A58EB">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A02061801电冰箱</w:t>
            </w:r>
          </w:p>
        </w:tc>
        <w:tc>
          <w:tcPr>
            <w:tcW w:w="1481" w:type="dxa"/>
            <w:tcBorders>
              <w:top w:val="single" w:color="000000" w:sz="4" w:space="0"/>
              <w:left w:val="single" w:color="000000" w:sz="4" w:space="0"/>
              <w:bottom w:val="single" w:color="000000" w:sz="4" w:space="0"/>
              <w:right w:val="single" w:color="000000" w:sz="4" w:space="0"/>
            </w:tcBorders>
            <w:vAlign w:val="center"/>
          </w:tcPr>
          <w:p w14:paraId="4F8212A7">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4C125DFE">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《家用电冰箱耗电量限定值及能效等级》（GB12021.2）</w:t>
            </w:r>
          </w:p>
        </w:tc>
      </w:tr>
      <w:tr w14:paraId="4BE5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39FB1334">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701C8E6D">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290D1F4">
            <w:pPr>
              <w:pStyle w:val="303"/>
              <w:spacing w:before="171"/>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A02061804</w:t>
            </w:r>
            <w:r>
              <w:rPr>
                <w:rFonts w:hint="eastAsia" w:ascii="宋体" w:hAnsi="宋体" w:cs="宋体"/>
                <w:color w:val="auto"/>
                <w:sz w:val="21"/>
                <w:szCs w:val="21"/>
                <w:highlight w:val="none"/>
              </w:rPr>
              <w:t>空调机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58D335E9">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房间空气调节器</w:t>
            </w:r>
          </w:p>
        </w:tc>
        <w:tc>
          <w:tcPr>
            <w:tcW w:w="4110" w:type="dxa"/>
            <w:tcBorders>
              <w:top w:val="single" w:color="000000" w:sz="4" w:space="0"/>
              <w:left w:val="single" w:color="000000" w:sz="4" w:space="0"/>
              <w:bottom w:val="single" w:color="000000" w:sz="4" w:space="0"/>
              <w:right w:val="single" w:color="000000" w:sz="4" w:space="0"/>
            </w:tcBorders>
          </w:tcPr>
          <w:p w14:paraId="39C8154B">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《房间空气调节器能效限定值及能效等级》（GB21455-2019）</w:t>
            </w:r>
          </w:p>
        </w:tc>
      </w:tr>
      <w:tr w14:paraId="48F5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77AAE2A">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487851CE">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4AE72FCA">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2213E10">
            <w:pPr>
              <w:pStyle w:val="303"/>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 14000W）</w:t>
            </w:r>
          </w:p>
        </w:tc>
        <w:tc>
          <w:tcPr>
            <w:tcW w:w="4110" w:type="dxa"/>
            <w:tcBorders>
              <w:top w:val="single" w:color="000000" w:sz="4" w:space="0"/>
              <w:left w:val="single" w:color="000000" w:sz="4" w:space="0"/>
              <w:bottom w:val="single" w:color="000000" w:sz="4" w:space="0"/>
              <w:right w:val="single" w:color="000000" w:sz="4" w:space="0"/>
            </w:tcBorders>
          </w:tcPr>
          <w:p w14:paraId="7056B1F1">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14:paraId="15D8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A243ED4">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B8B0A68">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101B04E3">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797286A">
            <w:pPr>
              <w:pStyle w:val="303"/>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单元式空气调节机（制冷量≤ 14000W）</w:t>
            </w:r>
          </w:p>
        </w:tc>
        <w:tc>
          <w:tcPr>
            <w:tcW w:w="4110" w:type="dxa"/>
            <w:tcBorders>
              <w:top w:val="single" w:color="000000" w:sz="4" w:space="0"/>
              <w:left w:val="single" w:color="000000" w:sz="4" w:space="0"/>
              <w:bottom w:val="single" w:color="000000" w:sz="4" w:space="0"/>
              <w:right w:val="single" w:color="000000" w:sz="4" w:space="0"/>
            </w:tcBorders>
          </w:tcPr>
          <w:p w14:paraId="7CF6744C">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《单元式空气调节机能效限定值及能源效率等级》（GB19576）《风管送风式空调机组能效限定值及能效等级》（GB37479）</w:t>
            </w:r>
          </w:p>
        </w:tc>
      </w:tr>
      <w:tr w14:paraId="7166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2F1885B9">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5ACEE4DE">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4E2F109C">
            <w:pPr>
              <w:pStyle w:val="303"/>
              <w:spacing w:before="16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A02061810</w:t>
            </w:r>
            <w:r>
              <w:rPr>
                <w:rFonts w:hint="eastAsia" w:ascii="宋体" w:hAnsi="宋体" w:cs="宋体"/>
                <w:color w:val="auto"/>
                <w:sz w:val="21"/>
                <w:szCs w:val="21"/>
                <w:highlight w:val="none"/>
              </w:rPr>
              <w:t>洗衣机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7E9D0317">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688C8210">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《电动洗衣机能效水效限定值及等级》（GB12021.4）</w:t>
            </w:r>
          </w:p>
        </w:tc>
      </w:tr>
      <w:tr w14:paraId="30A1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6EDA3F6">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65B7B928">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5447147D">
            <w:pPr>
              <w:pStyle w:val="303"/>
              <w:spacing w:before="161"/>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A02061819</w:t>
            </w:r>
            <w:r>
              <w:rPr>
                <w:rFonts w:hint="eastAsia" w:ascii="宋体" w:hAnsi="宋体" w:cs="宋体"/>
                <w:color w:val="auto"/>
                <w:sz w:val="21"/>
                <w:szCs w:val="21"/>
                <w:highlight w:val="none"/>
              </w:rPr>
              <w:t>热水器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45E9DAE6">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4110" w:type="dxa"/>
            <w:tcBorders>
              <w:top w:val="single" w:color="000000" w:sz="4" w:space="0"/>
              <w:left w:val="single" w:color="000000" w:sz="4" w:space="0"/>
              <w:bottom w:val="single" w:color="000000" w:sz="4" w:space="0"/>
              <w:right w:val="single" w:color="000000" w:sz="4" w:space="0"/>
            </w:tcBorders>
          </w:tcPr>
          <w:p w14:paraId="377F7B14">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《储水式电热水器能效限定值及能效等级》（GB21519）</w:t>
            </w:r>
          </w:p>
        </w:tc>
      </w:tr>
      <w:tr w14:paraId="14A9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3DC75E50">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479EE11">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74AED532">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235C2E4">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燃气热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4110" w:type="dxa"/>
            <w:tcBorders>
              <w:top w:val="single" w:color="000000" w:sz="4" w:space="0"/>
              <w:left w:val="single" w:color="000000" w:sz="4" w:space="0"/>
              <w:bottom w:val="single" w:color="000000" w:sz="4" w:space="0"/>
              <w:right w:val="single" w:color="000000" w:sz="4" w:space="0"/>
            </w:tcBorders>
          </w:tcPr>
          <w:p w14:paraId="13829C0B">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《家用燃气快速热水器和燃气采暖热水炉能效限定值及能效等级》（GB20665）</w:t>
            </w:r>
          </w:p>
        </w:tc>
      </w:tr>
      <w:tr w14:paraId="5C53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33384526">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10C18651">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6B4A9E26">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8A21802">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热泵热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4110" w:type="dxa"/>
            <w:tcBorders>
              <w:top w:val="single" w:color="000000" w:sz="4" w:space="0"/>
              <w:left w:val="single" w:color="000000" w:sz="4" w:space="0"/>
              <w:bottom w:val="single" w:color="000000" w:sz="4" w:space="0"/>
              <w:right w:val="single" w:color="000000" w:sz="4" w:space="0"/>
            </w:tcBorders>
          </w:tcPr>
          <w:p w14:paraId="6D7FD679">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《热泵热水机（器）能效限定值及能效等级》（GB29541）</w:t>
            </w:r>
          </w:p>
        </w:tc>
      </w:tr>
      <w:tr w14:paraId="32CB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1405ADAF">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38E4C647">
            <w:pPr>
              <w:widowControl/>
              <w:jc w:val="left"/>
              <w:rPr>
                <w:rFonts w:ascii="宋体" w:hAnsi="宋体" w:cs="宋体"/>
                <w:color w:val="auto"/>
                <w:szCs w:val="21"/>
                <w:highlight w:val="none"/>
              </w:rPr>
            </w:pP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3B975202">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731E3C1">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太阳能</w:t>
            </w:r>
            <w:r>
              <w:rPr>
                <w:rFonts w:hint="eastAsia" w:ascii="宋体" w:hAnsi="宋体" w:cs="宋体"/>
                <w:color w:val="auto"/>
                <w:spacing w:val="2"/>
                <w:sz w:val="21"/>
                <w:szCs w:val="21"/>
                <w:highlight w:val="none"/>
              </w:rPr>
              <w:t>热</w:t>
            </w:r>
            <w:r>
              <w:rPr>
                <w:rFonts w:hint="eastAsia" w:ascii="宋体" w:hAnsi="宋体" w:cs="宋体"/>
                <w:color w:val="auto"/>
                <w:sz w:val="21"/>
                <w:szCs w:val="21"/>
                <w:highlight w:val="none"/>
              </w:rPr>
              <w:t>水系统</w:t>
            </w:r>
          </w:p>
        </w:tc>
        <w:tc>
          <w:tcPr>
            <w:tcW w:w="4110" w:type="dxa"/>
            <w:tcBorders>
              <w:top w:val="single" w:color="000000" w:sz="4" w:space="0"/>
              <w:left w:val="single" w:color="000000" w:sz="4" w:space="0"/>
              <w:bottom w:val="single" w:color="000000" w:sz="4" w:space="0"/>
              <w:right w:val="single" w:color="000000" w:sz="4" w:space="0"/>
            </w:tcBorders>
          </w:tcPr>
          <w:p w14:paraId="0FFB3277">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《家用太阳能热水系统能效限定值及能效等级》（GB26969）</w:t>
            </w:r>
          </w:p>
        </w:tc>
      </w:tr>
      <w:tr w14:paraId="32C8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4DA1A3C2">
            <w:pPr>
              <w:pStyle w:val="303"/>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4D142FFA">
            <w:pPr>
              <w:pStyle w:val="303"/>
              <w:spacing w:before="15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06</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900照明设备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1A81763F">
            <w:pPr>
              <w:pStyle w:val="303"/>
              <w:spacing w:before="133"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★普通照明用双端荧光灯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73A1FBFE">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284D2674">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《普通照明用双端荧光灯能效限定值及能效等级》（GB19043）</w:t>
            </w:r>
          </w:p>
        </w:tc>
      </w:tr>
      <w:tr w14:paraId="527E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0832E0D">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38A8F27">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5A28A43">
            <w:pPr>
              <w:pStyle w:val="303"/>
              <w:spacing w:before="92" w:line="276" w:lineRule="auto"/>
              <w:ind w:left="7" w:right="2"/>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w:t>
            </w:r>
            <w:r>
              <w:rPr>
                <w:rFonts w:hint="eastAsia" w:ascii="宋体" w:hAnsi="宋体" w:cs="宋体"/>
                <w:color w:val="auto"/>
                <w:spacing w:val="12"/>
                <w:sz w:val="21"/>
                <w:szCs w:val="21"/>
                <w:highlight w:val="none"/>
              </w:rPr>
              <w:t>道</w:t>
            </w:r>
            <w:r>
              <w:rPr>
                <w:rFonts w:hint="eastAsia" w:ascii="宋体" w:hAnsi="宋体" w:cs="宋体"/>
                <w:color w:val="auto"/>
                <w:spacing w:val="9"/>
                <w:sz w:val="21"/>
                <w:szCs w:val="21"/>
                <w:highlight w:val="none"/>
              </w:rPr>
              <w:t>路</w:t>
            </w:r>
            <w:r>
              <w:rPr>
                <w:rFonts w:hint="eastAsia" w:ascii="宋体" w:hAnsi="宋体" w:cs="宋体"/>
                <w:color w:val="auto"/>
                <w:spacing w:val="13"/>
                <w:sz w:val="21"/>
                <w:szCs w:val="21"/>
                <w:highlight w:val="none"/>
              </w:rPr>
              <w:t>/</w:t>
            </w:r>
            <w:r>
              <w:rPr>
                <w:rFonts w:hint="eastAsia" w:ascii="宋体" w:hAnsi="宋体" w:cs="宋体"/>
                <w:color w:val="auto"/>
                <w:spacing w:val="12"/>
                <w:sz w:val="21"/>
                <w:szCs w:val="21"/>
                <w:highlight w:val="none"/>
              </w:rPr>
              <w:t>隧道照</w:t>
            </w:r>
            <w:r>
              <w:rPr>
                <w:rFonts w:hint="eastAsia" w:ascii="宋体" w:hAnsi="宋体" w:cs="宋体"/>
                <w:color w:val="auto"/>
                <w:sz w:val="21"/>
                <w:szCs w:val="21"/>
                <w:highlight w:val="none"/>
              </w:rPr>
              <w:t>明产品</w:t>
            </w:r>
          </w:p>
        </w:tc>
        <w:tc>
          <w:tcPr>
            <w:tcW w:w="1481" w:type="dxa"/>
            <w:tcBorders>
              <w:top w:val="single" w:color="000000" w:sz="4" w:space="0"/>
              <w:left w:val="single" w:color="000000" w:sz="4" w:space="0"/>
              <w:bottom w:val="single" w:color="000000" w:sz="4" w:space="0"/>
              <w:right w:val="single" w:color="000000" w:sz="4" w:space="0"/>
            </w:tcBorders>
            <w:vAlign w:val="center"/>
          </w:tcPr>
          <w:p w14:paraId="179EDD92">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44A6EA7A">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《道路和隧道照明用LED灯具能效限定值及能效等级》（GB37478）</w:t>
            </w:r>
          </w:p>
        </w:tc>
      </w:tr>
      <w:tr w14:paraId="1993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D747C99">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08DCE243">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CE0CE4D">
            <w:pPr>
              <w:pStyle w:val="303"/>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D筒灯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77572F05">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66B3C4DB">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14:paraId="1FE5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5B947F34">
            <w:pPr>
              <w:widowControl/>
              <w:jc w:val="left"/>
              <w:rPr>
                <w:rFonts w:ascii="宋体" w:hAnsi="宋体" w:cs="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6AE0E027">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50043872">
            <w:pPr>
              <w:pStyle w:val="303"/>
              <w:spacing w:line="276" w:lineRule="auto"/>
              <w:ind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w:t>
            </w:r>
            <w:r>
              <w:rPr>
                <w:rFonts w:hint="eastAsia" w:ascii="宋体" w:hAnsi="宋体" w:cs="宋体"/>
                <w:color w:val="auto"/>
                <w:spacing w:val="24"/>
                <w:sz w:val="21"/>
                <w:szCs w:val="21"/>
                <w:highlight w:val="none"/>
                <w:lang w:eastAsia="zh-CN"/>
              </w:rPr>
              <w:t>通</w:t>
            </w:r>
            <w:r>
              <w:rPr>
                <w:rFonts w:hint="eastAsia" w:ascii="宋体" w:hAnsi="宋体" w:cs="宋体"/>
                <w:color w:val="auto"/>
                <w:sz w:val="21"/>
                <w:szCs w:val="21"/>
                <w:highlight w:val="none"/>
                <w:lang w:eastAsia="zh-CN"/>
              </w:rPr>
              <w:t>照明用非</w:t>
            </w:r>
            <w:r>
              <w:rPr>
                <w:rFonts w:hint="eastAsia" w:ascii="宋体" w:hAnsi="宋体" w:cs="宋体"/>
                <w:color w:val="auto"/>
                <w:spacing w:val="24"/>
                <w:sz w:val="21"/>
                <w:szCs w:val="21"/>
                <w:highlight w:val="none"/>
                <w:lang w:eastAsia="zh-CN"/>
              </w:rPr>
              <w:t>定</w:t>
            </w:r>
            <w:r>
              <w:rPr>
                <w:rFonts w:hint="eastAsia" w:ascii="宋体" w:hAnsi="宋体" w:cs="宋体"/>
                <w:color w:val="auto"/>
                <w:sz w:val="21"/>
                <w:szCs w:val="21"/>
                <w:highlight w:val="none"/>
                <w:lang w:eastAsia="zh-CN"/>
              </w:rPr>
              <w:t>向自镇流</w:t>
            </w:r>
            <w:r>
              <w:rPr>
                <w:rFonts w:hint="eastAsia" w:ascii="宋体" w:hAnsi="宋体" w:cs="宋体"/>
                <w:color w:val="auto"/>
                <w:spacing w:val="1"/>
                <w:sz w:val="21"/>
                <w:szCs w:val="21"/>
                <w:highlight w:val="none"/>
                <w:lang w:eastAsia="zh-CN"/>
              </w:rPr>
              <w:t>LE</w:t>
            </w:r>
            <w:r>
              <w:rPr>
                <w:rFonts w:hint="eastAsia" w:ascii="宋体" w:hAnsi="宋体" w:cs="宋体"/>
                <w:color w:val="auto"/>
                <w:sz w:val="21"/>
                <w:szCs w:val="21"/>
                <w:highlight w:val="none"/>
                <w:lang w:eastAsia="zh-CN"/>
              </w:rPr>
              <w:t>D灯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4CF6460E">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1EEA5C5B">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14:paraId="3FD7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07564A0">
            <w:pPr>
              <w:pStyle w:val="303"/>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2</w:t>
            </w:r>
          </w:p>
        </w:tc>
        <w:tc>
          <w:tcPr>
            <w:tcW w:w="1422" w:type="dxa"/>
            <w:tcBorders>
              <w:top w:val="single" w:color="000000" w:sz="4" w:space="0"/>
              <w:left w:val="single" w:color="000000" w:sz="4" w:space="0"/>
              <w:bottom w:val="single" w:color="000000" w:sz="4" w:space="0"/>
              <w:right w:val="single" w:color="000000" w:sz="4" w:space="0"/>
            </w:tcBorders>
            <w:vAlign w:val="center"/>
          </w:tcPr>
          <w:p w14:paraId="42A22BDC">
            <w:pPr>
              <w:pStyle w:val="303"/>
              <w:spacing w:before="81"/>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91000电视设备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627979AD">
            <w:pPr>
              <w:pStyle w:val="303"/>
              <w:spacing w:before="81" w:line="276" w:lineRule="auto"/>
              <w:ind w:left="7" w:right="5"/>
              <w:jc w:val="center"/>
              <w:rPr>
                <w:rFonts w:ascii="宋体" w:hAnsi="宋体" w:cs="宋体"/>
                <w:color w:val="auto"/>
                <w:sz w:val="21"/>
                <w:szCs w:val="21"/>
                <w:highlight w:val="none"/>
                <w:lang w:eastAsia="zh-CN"/>
              </w:rPr>
            </w:pPr>
            <w:r>
              <w:rPr>
                <w:rFonts w:hint="eastAsia" w:ascii="宋体" w:hAnsi="宋体" w:cs="宋体"/>
                <w:color w:val="auto"/>
                <w:spacing w:val="1"/>
                <w:sz w:val="21"/>
                <w:szCs w:val="21"/>
                <w:highlight w:val="none"/>
                <w:lang w:eastAsia="zh-CN"/>
              </w:rPr>
              <w:t>A02</w:t>
            </w:r>
            <w:r>
              <w:rPr>
                <w:rFonts w:hint="eastAsia" w:ascii="宋体" w:hAnsi="宋体" w:cs="宋体"/>
                <w:color w:val="auto"/>
                <w:sz w:val="21"/>
                <w:szCs w:val="21"/>
                <w:highlight w:val="none"/>
                <w:lang w:eastAsia="zh-CN"/>
              </w:rPr>
              <w:t>09</w:t>
            </w:r>
            <w:r>
              <w:rPr>
                <w:rFonts w:hint="eastAsia" w:ascii="宋体" w:hAnsi="宋体" w:cs="宋体"/>
                <w:color w:val="auto"/>
                <w:spacing w:val="1"/>
                <w:sz w:val="21"/>
                <w:szCs w:val="21"/>
                <w:highlight w:val="none"/>
                <w:lang w:eastAsia="zh-CN"/>
              </w:rPr>
              <w:t>1</w:t>
            </w:r>
            <w:r>
              <w:rPr>
                <w:rFonts w:hint="eastAsia" w:ascii="宋体" w:hAnsi="宋体" w:cs="宋体"/>
                <w:color w:val="auto"/>
                <w:sz w:val="21"/>
                <w:szCs w:val="21"/>
                <w:highlight w:val="none"/>
                <w:lang w:eastAsia="zh-CN"/>
              </w:rPr>
              <w:t>001普通电视设备（</w:t>
            </w:r>
            <w:r>
              <w:rPr>
                <w:rFonts w:hint="eastAsia" w:ascii="宋体" w:hAnsi="宋体" w:cs="宋体"/>
                <w:color w:val="auto"/>
                <w:spacing w:val="2"/>
                <w:sz w:val="21"/>
                <w:szCs w:val="21"/>
                <w:highlight w:val="none"/>
                <w:lang w:eastAsia="zh-CN"/>
              </w:rPr>
              <w:t>电</w:t>
            </w:r>
            <w:r>
              <w:rPr>
                <w:rFonts w:hint="eastAsia" w:ascii="宋体" w:hAnsi="宋体" w:cs="宋体"/>
                <w:color w:val="auto"/>
                <w:sz w:val="21"/>
                <w:szCs w:val="21"/>
                <w:highlight w:val="none"/>
                <w:lang w:eastAsia="zh-CN"/>
              </w:rPr>
              <w:t>视机）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93DCB1F">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02A645F9">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《平板电视能效限定值及能效等级》（GB24850）</w:t>
            </w:r>
          </w:p>
        </w:tc>
      </w:tr>
      <w:tr w14:paraId="520D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87BEFD0">
            <w:pPr>
              <w:pStyle w:val="303"/>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05ABBE68">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91100视频设备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28B445F8">
            <w:pPr>
              <w:pStyle w:val="303"/>
              <w:spacing w:line="276" w:lineRule="auto"/>
              <w:ind w:right="5"/>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09</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107视频监控设备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26ECF8B0">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监视器</w:t>
            </w:r>
          </w:p>
        </w:tc>
        <w:tc>
          <w:tcPr>
            <w:tcW w:w="4110" w:type="dxa"/>
            <w:tcBorders>
              <w:top w:val="single" w:color="000000" w:sz="4" w:space="0"/>
              <w:left w:val="single" w:color="000000" w:sz="4" w:space="0"/>
              <w:bottom w:val="single" w:color="000000" w:sz="4" w:space="0"/>
              <w:right w:val="single" w:color="000000" w:sz="4" w:space="0"/>
            </w:tcBorders>
          </w:tcPr>
          <w:p w14:paraId="6C0D3740">
            <w:pPr>
              <w:pStyle w:val="303"/>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14:paraId="4A17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AC43FD3">
            <w:pPr>
              <w:pStyle w:val="303"/>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05D164B6">
            <w:pPr>
              <w:pStyle w:val="303"/>
              <w:spacing w:before="7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A02241000</w:t>
            </w:r>
            <w:r>
              <w:rPr>
                <w:rFonts w:hint="eastAsia" w:ascii="宋体" w:hAnsi="宋体" w:cs="宋体"/>
                <w:color w:val="auto"/>
                <w:sz w:val="21"/>
                <w:szCs w:val="21"/>
                <w:highlight w:val="none"/>
              </w:rPr>
              <w:t>饮食炊事机械</w:t>
            </w:r>
          </w:p>
        </w:tc>
        <w:tc>
          <w:tcPr>
            <w:tcW w:w="1496" w:type="dxa"/>
            <w:tcBorders>
              <w:top w:val="single" w:color="000000" w:sz="4" w:space="0"/>
              <w:left w:val="single" w:color="000000" w:sz="4" w:space="0"/>
              <w:bottom w:val="single" w:color="000000" w:sz="4" w:space="0"/>
              <w:right w:val="single" w:color="000000" w:sz="4" w:space="0"/>
            </w:tcBorders>
            <w:vAlign w:val="center"/>
          </w:tcPr>
          <w:p w14:paraId="4D11528A">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商用燃</w:t>
            </w:r>
            <w:r>
              <w:rPr>
                <w:rFonts w:hint="eastAsia" w:ascii="宋体" w:hAnsi="宋体" w:cs="宋体"/>
                <w:color w:val="auto"/>
                <w:spacing w:val="2"/>
                <w:sz w:val="21"/>
                <w:szCs w:val="21"/>
                <w:highlight w:val="none"/>
              </w:rPr>
              <w:t>气</w:t>
            </w:r>
            <w:r>
              <w:rPr>
                <w:rFonts w:hint="eastAsia" w:ascii="宋体" w:hAnsi="宋体" w:cs="宋体"/>
                <w:color w:val="auto"/>
                <w:sz w:val="21"/>
                <w:szCs w:val="21"/>
                <w:highlight w:val="none"/>
              </w:rPr>
              <w:t>灶具</w:t>
            </w:r>
          </w:p>
        </w:tc>
        <w:tc>
          <w:tcPr>
            <w:tcW w:w="1481" w:type="dxa"/>
            <w:tcBorders>
              <w:top w:val="single" w:color="000000" w:sz="4" w:space="0"/>
              <w:left w:val="single" w:color="000000" w:sz="4" w:space="0"/>
              <w:bottom w:val="single" w:color="000000" w:sz="4" w:space="0"/>
              <w:right w:val="single" w:color="000000" w:sz="4" w:space="0"/>
            </w:tcBorders>
            <w:vAlign w:val="center"/>
          </w:tcPr>
          <w:p w14:paraId="2C98495B">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6942FE00">
            <w:pPr>
              <w:pStyle w:val="303"/>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《商用燃气灶具能效限定值及能效等级》（GB30531）</w:t>
            </w:r>
          </w:p>
        </w:tc>
      </w:tr>
      <w:tr w14:paraId="2C73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6245624">
            <w:pPr>
              <w:jc w:val="center"/>
              <w:rPr>
                <w:rFonts w:ascii="宋体" w:hAnsi="宋体"/>
                <w:color w:val="auto"/>
                <w:szCs w:val="21"/>
                <w:highlight w:val="none"/>
              </w:rPr>
            </w:pPr>
            <w:r>
              <w:rPr>
                <w:rFonts w:hint="eastAsia" w:ascii="宋体" w:hAnsi="宋体"/>
                <w:color w:val="auto"/>
                <w:szCs w:val="21"/>
                <w:highlight w:val="none"/>
              </w:rPr>
              <w:t>15</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6B09AA8C">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A05020105</w:t>
            </w:r>
            <w:r>
              <w:rPr>
                <w:rFonts w:hint="eastAsia" w:ascii="宋体" w:hAnsi="宋体" w:cs="宋体"/>
                <w:color w:val="auto"/>
                <w:sz w:val="21"/>
                <w:szCs w:val="21"/>
                <w:highlight w:val="none"/>
              </w:rPr>
              <w:t>便器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6CE0A648">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坐便器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015807E1">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2932EF9F">
            <w:pPr>
              <w:pStyle w:val="303"/>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《坐便器水效限定值及水效等级》</w:t>
            </w:r>
          </w:p>
          <w:p w14:paraId="221F7909">
            <w:pPr>
              <w:pStyle w:val="303"/>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（GB25502）</w:t>
            </w:r>
          </w:p>
        </w:tc>
      </w:tr>
      <w:tr w14:paraId="479D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5759ACFA">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264DE859">
            <w:pPr>
              <w:widowControl/>
              <w:jc w:val="left"/>
              <w:rPr>
                <w:rFonts w:ascii="宋体" w:hAnsi="宋体" w:cs="宋体"/>
                <w:color w:val="auto"/>
                <w:szCs w:val="21"/>
                <w:highlight w:val="none"/>
                <w:lang w:eastAsia="en-US"/>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5D76152">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蹲便器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02BD491B">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32AA3AC5">
            <w:pPr>
              <w:pStyle w:val="303"/>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《蹲便器用水效率限定值及用水效率等级》（GB30717）</w:t>
            </w:r>
          </w:p>
        </w:tc>
      </w:tr>
      <w:tr w14:paraId="669F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C769E13">
            <w:pPr>
              <w:widowControl/>
              <w:jc w:val="left"/>
              <w:rPr>
                <w:rFonts w:ascii="宋体" w:hAnsi="宋体"/>
                <w:color w:val="auto"/>
                <w:szCs w:val="21"/>
                <w:highlight w:val="none"/>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14:paraId="6D9B4792">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91591DD">
            <w:pPr>
              <w:pStyle w:val="303"/>
              <w:jc w:val="center"/>
              <w:rPr>
                <w:rFonts w:ascii="宋体" w:hAnsi="宋体" w:cs="宋体"/>
                <w:color w:val="auto"/>
                <w:sz w:val="21"/>
                <w:szCs w:val="21"/>
                <w:highlight w:val="none"/>
              </w:rPr>
            </w:pPr>
            <w:r>
              <w:rPr>
                <w:rFonts w:hint="eastAsia" w:ascii="宋体" w:hAnsi="宋体" w:cs="宋体"/>
                <w:color w:val="auto"/>
                <w:sz w:val="21"/>
                <w:szCs w:val="21"/>
                <w:highlight w:val="none"/>
              </w:rPr>
              <w:t>小便器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4B89C5CB">
            <w:pPr>
              <w:jc w:val="center"/>
              <w:rPr>
                <w:rFonts w:ascii="宋体" w:hAnsi="宋体"/>
                <w:color w:val="auto"/>
                <w:szCs w:val="21"/>
                <w:highlight w:val="none"/>
              </w:rPr>
            </w:pPr>
          </w:p>
        </w:tc>
        <w:tc>
          <w:tcPr>
            <w:tcW w:w="4110" w:type="dxa"/>
            <w:tcBorders>
              <w:top w:val="single" w:color="000000" w:sz="4" w:space="0"/>
              <w:left w:val="single" w:color="000000" w:sz="4" w:space="0"/>
              <w:bottom w:val="single" w:color="000000" w:sz="4" w:space="0"/>
              <w:right w:val="single" w:color="000000" w:sz="4" w:space="0"/>
            </w:tcBorders>
          </w:tcPr>
          <w:p w14:paraId="7F75D5FB">
            <w:pPr>
              <w:pStyle w:val="303"/>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《小便器用水效率限定值及用水效率等级》（GB28377）</w:t>
            </w:r>
          </w:p>
        </w:tc>
      </w:tr>
      <w:tr w14:paraId="3BC0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E7D77AB">
            <w:pPr>
              <w:pStyle w:val="303"/>
              <w:jc w:val="center"/>
              <w:rPr>
                <w:rFonts w:ascii="宋体" w:hAnsi="宋体" w:cs="宋体"/>
                <w:color w:val="auto"/>
                <w:sz w:val="21"/>
                <w:szCs w:val="21"/>
                <w:highlight w:val="none"/>
              </w:rPr>
            </w:pPr>
            <w:r>
              <w:rPr>
                <w:rFonts w:hint="eastAsia" w:ascii="宋体" w:hAnsi="宋体"/>
                <w:color w:val="auto"/>
                <w:sz w:val="21"/>
                <w:szCs w:val="21"/>
                <w:highlight w:val="none"/>
              </w:rPr>
              <w:t>16</w:t>
            </w:r>
          </w:p>
        </w:tc>
        <w:tc>
          <w:tcPr>
            <w:tcW w:w="1422" w:type="dxa"/>
            <w:tcBorders>
              <w:top w:val="single" w:color="000000" w:sz="4" w:space="0"/>
              <w:left w:val="single" w:color="000000" w:sz="4" w:space="0"/>
              <w:bottom w:val="single" w:color="000000" w:sz="4" w:space="0"/>
              <w:right w:val="single" w:color="000000" w:sz="4" w:space="0"/>
            </w:tcBorders>
            <w:vAlign w:val="center"/>
          </w:tcPr>
          <w:p w14:paraId="2E64DAA7">
            <w:pPr>
              <w:pStyle w:val="303"/>
              <w:spacing w:before="153"/>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A05020106</w:t>
            </w:r>
            <w:r>
              <w:rPr>
                <w:rFonts w:hint="eastAsia" w:ascii="宋体" w:hAnsi="宋体" w:cs="宋体"/>
                <w:color w:val="auto"/>
                <w:sz w:val="21"/>
                <w:szCs w:val="21"/>
                <w:highlight w:val="none"/>
              </w:rPr>
              <w:t>水嘴</w:t>
            </w:r>
          </w:p>
        </w:tc>
        <w:tc>
          <w:tcPr>
            <w:tcW w:w="1496" w:type="dxa"/>
            <w:tcBorders>
              <w:top w:val="single" w:color="000000" w:sz="4" w:space="0"/>
              <w:left w:val="single" w:color="000000" w:sz="4" w:space="0"/>
              <w:bottom w:val="single" w:color="000000" w:sz="4" w:space="0"/>
              <w:right w:val="single" w:color="000000" w:sz="4" w:space="0"/>
            </w:tcBorders>
            <w:vAlign w:val="center"/>
          </w:tcPr>
          <w:p w14:paraId="6E24F223">
            <w:pPr>
              <w:jc w:val="center"/>
              <w:rPr>
                <w:rFonts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A6A0EC5">
            <w:pPr>
              <w:jc w:val="center"/>
              <w:rPr>
                <w:rFonts w:ascii="宋体" w:hAnsi="宋体"/>
                <w:color w:val="auto"/>
                <w:szCs w:val="21"/>
                <w:highlight w:val="none"/>
                <w:lang w:eastAsia="en-US"/>
              </w:rPr>
            </w:pPr>
          </w:p>
        </w:tc>
        <w:tc>
          <w:tcPr>
            <w:tcW w:w="4110" w:type="dxa"/>
            <w:tcBorders>
              <w:top w:val="single" w:color="000000" w:sz="4" w:space="0"/>
              <w:left w:val="single" w:color="000000" w:sz="4" w:space="0"/>
              <w:bottom w:val="single" w:color="000000" w:sz="4" w:space="0"/>
              <w:right w:val="single" w:color="000000" w:sz="4" w:space="0"/>
            </w:tcBorders>
          </w:tcPr>
          <w:p w14:paraId="71C55E53">
            <w:pPr>
              <w:pStyle w:val="303"/>
              <w:spacing w:before="153"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《水嘴用水效率限定值及用水效</w:t>
            </w:r>
            <w:r>
              <w:rPr>
                <w:rFonts w:hint="eastAsia" w:ascii="宋体" w:hAnsi="宋体" w:cs="宋体"/>
                <w:color w:val="auto"/>
                <w:sz w:val="21"/>
                <w:szCs w:val="21"/>
                <w:highlight w:val="none"/>
                <w:lang w:eastAsia="zh-CN"/>
              </w:rPr>
              <w:t>率等级》（GB 25501）</w:t>
            </w:r>
          </w:p>
        </w:tc>
      </w:tr>
      <w:tr w14:paraId="2A97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56C1D5B">
            <w:pPr>
              <w:pStyle w:val="303"/>
              <w:jc w:val="center"/>
              <w:rPr>
                <w:rFonts w:ascii="宋体" w:hAnsi="宋体" w:cs="宋体"/>
                <w:color w:val="auto"/>
                <w:sz w:val="21"/>
                <w:szCs w:val="21"/>
                <w:highlight w:val="none"/>
              </w:rPr>
            </w:pPr>
            <w:r>
              <w:rPr>
                <w:rFonts w:hint="eastAsia" w:ascii="宋体" w:hAnsi="宋体"/>
                <w:color w:val="auto"/>
                <w:sz w:val="21"/>
                <w:szCs w:val="21"/>
                <w:highlight w:val="none"/>
              </w:rPr>
              <w:t>17</w:t>
            </w:r>
          </w:p>
        </w:tc>
        <w:tc>
          <w:tcPr>
            <w:tcW w:w="1422" w:type="dxa"/>
            <w:tcBorders>
              <w:top w:val="single" w:color="000000" w:sz="4" w:space="0"/>
              <w:left w:val="single" w:color="000000" w:sz="4" w:space="0"/>
              <w:bottom w:val="single" w:color="000000" w:sz="4" w:space="0"/>
              <w:right w:val="single" w:color="000000" w:sz="4" w:space="0"/>
            </w:tcBorders>
            <w:vAlign w:val="center"/>
          </w:tcPr>
          <w:p w14:paraId="7FAF07EB">
            <w:pPr>
              <w:pStyle w:val="303"/>
              <w:spacing w:before="11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A05020107</w:t>
            </w:r>
            <w:r>
              <w:rPr>
                <w:rFonts w:hint="eastAsia" w:ascii="宋体" w:hAnsi="宋体" w:cs="宋体"/>
                <w:color w:val="auto"/>
                <w:sz w:val="21"/>
                <w:szCs w:val="21"/>
                <w:highlight w:val="none"/>
              </w:rPr>
              <w:t>便器冲洗阀</w:t>
            </w:r>
          </w:p>
        </w:tc>
        <w:tc>
          <w:tcPr>
            <w:tcW w:w="1496" w:type="dxa"/>
            <w:tcBorders>
              <w:top w:val="single" w:color="000000" w:sz="4" w:space="0"/>
              <w:left w:val="single" w:color="000000" w:sz="4" w:space="0"/>
              <w:bottom w:val="single" w:color="000000" w:sz="4" w:space="0"/>
              <w:right w:val="single" w:color="000000" w:sz="4" w:space="0"/>
            </w:tcBorders>
            <w:vAlign w:val="center"/>
          </w:tcPr>
          <w:p w14:paraId="78CFB6BB">
            <w:pPr>
              <w:jc w:val="center"/>
              <w:rPr>
                <w:rFonts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3A22795">
            <w:pPr>
              <w:jc w:val="center"/>
              <w:rPr>
                <w:rFonts w:ascii="宋体" w:hAnsi="宋体"/>
                <w:color w:val="auto"/>
                <w:szCs w:val="21"/>
                <w:highlight w:val="none"/>
                <w:lang w:eastAsia="en-US"/>
              </w:rPr>
            </w:pPr>
          </w:p>
        </w:tc>
        <w:tc>
          <w:tcPr>
            <w:tcW w:w="4110" w:type="dxa"/>
            <w:tcBorders>
              <w:top w:val="single" w:color="000000" w:sz="4" w:space="0"/>
              <w:left w:val="single" w:color="000000" w:sz="4" w:space="0"/>
              <w:bottom w:val="single" w:color="000000" w:sz="4" w:space="0"/>
              <w:right w:val="single" w:color="000000" w:sz="4" w:space="0"/>
            </w:tcBorders>
          </w:tcPr>
          <w:p w14:paraId="0ED55E84">
            <w:pPr>
              <w:pStyle w:val="303"/>
              <w:spacing w:before="112"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《便器冲洗阀用水效率限定值及</w:t>
            </w:r>
            <w:r>
              <w:rPr>
                <w:rFonts w:hint="eastAsia" w:ascii="宋体" w:hAnsi="宋体" w:cs="宋体"/>
                <w:color w:val="auto"/>
                <w:sz w:val="21"/>
                <w:szCs w:val="21"/>
                <w:highlight w:val="none"/>
                <w:lang w:eastAsia="zh-CN"/>
              </w:rPr>
              <w:t>用水效率等级》（GB28379）</w:t>
            </w:r>
          </w:p>
        </w:tc>
      </w:tr>
      <w:tr w14:paraId="4E6C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7691B81">
            <w:pPr>
              <w:pStyle w:val="303"/>
              <w:jc w:val="center"/>
              <w:rPr>
                <w:rFonts w:ascii="宋体" w:hAnsi="宋体" w:cs="宋体"/>
                <w:color w:val="auto"/>
                <w:sz w:val="21"/>
                <w:szCs w:val="21"/>
                <w:highlight w:val="none"/>
              </w:rPr>
            </w:pPr>
            <w:r>
              <w:rPr>
                <w:rFonts w:hint="eastAsia" w:ascii="宋体" w:hAnsi="宋体"/>
                <w:color w:val="auto"/>
                <w:sz w:val="21"/>
                <w:szCs w:val="21"/>
                <w:highlight w:val="none"/>
              </w:rPr>
              <w:t>18</w:t>
            </w:r>
          </w:p>
        </w:tc>
        <w:tc>
          <w:tcPr>
            <w:tcW w:w="1422" w:type="dxa"/>
            <w:tcBorders>
              <w:top w:val="single" w:color="000000" w:sz="4" w:space="0"/>
              <w:left w:val="single" w:color="000000" w:sz="4" w:space="0"/>
              <w:bottom w:val="single" w:color="000000" w:sz="4" w:space="0"/>
              <w:right w:val="single" w:color="000000" w:sz="4" w:space="0"/>
            </w:tcBorders>
            <w:vAlign w:val="center"/>
          </w:tcPr>
          <w:p w14:paraId="3650E773">
            <w:pPr>
              <w:pStyle w:val="303"/>
              <w:spacing w:before="131"/>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A05020110</w:t>
            </w:r>
            <w:r>
              <w:rPr>
                <w:rFonts w:hint="eastAsia" w:ascii="宋体" w:hAnsi="宋体" w:cs="宋体"/>
                <w:color w:val="auto"/>
                <w:sz w:val="21"/>
                <w:szCs w:val="21"/>
                <w:highlight w:val="none"/>
              </w:rPr>
              <w:t>淋浴器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58CBFA79">
            <w:pPr>
              <w:jc w:val="center"/>
              <w:rPr>
                <w:rFonts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454C9AD">
            <w:pPr>
              <w:jc w:val="center"/>
              <w:rPr>
                <w:rFonts w:ascii="宋体" w:hAnsi="宋体"/>
                <w:color w:val="auto"/>
                <w:szCs w:val="21"/>
                <w:highlight w:val="none"/>
                <w:lang w:eastAsia="en-US"/>
              </w:rPr>
            </w:pPr>
          </w:p>
        </w:tc>
        <w:tc>
          <w:tcPr>
            <w:tcW w:w="4110" w:type="dxa"/>
            <w:tcBorders>
              <w:top w:val="single" w:color="000000" w:sz="4" w:space="0"/>
              <w:left w:val="single" w:color="000000" w:sz="4" w:space="0"/>
              <w:bottom w:val="single" w:color="000000" w:sz="4" w:space="0"/>
              <w:right w:val="single" w:color="000000" w:sz="4" w:space="0"/>
            </w:tcBorders>
          </w:tcPr>
          <w:p w14:paraId="63C9C3E4">
            <w:pPr>
              <w:pStyle w:val="303"/>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《淋浴器用水效率限定值及用水</w:t>
            </w:r>
            <w:r>
              <w:rPr>
                <w:rFonts w:hint="eastAsia" w:ascii="宋体" w:hAnsi="宋体" w:cs="宋体"/>
                <w:color w:val="auto"/>
                <w:sz w:val="21"/>
                <w:szCs w:val="21"/>
                <w:highlight w:val="none"/>
                <w:lang w:eastAsia="zh-CN"/>
              </w:rPr>
              <w:t>效率等级》（GB28378）</w:t>
            </w:r>
          </w:p>
        </w:tc>
      </w:tr>
    </w:tbl>
    <w:p w14:paraId="465B656F">
      <w:pPr>
        <w:pStyle w:val="17"/>
        <w:spacing w:line="360" w:lineRule="auto"/>
        <w:rPr>
          <w:rFonts w:ascii="宋体" w:hAnsi="宋体"/>
          <w:color w:val="auto"/>
          <w:szCs w:val="21"/>
          <w:highlight w:val="none"/>
        </w:rPr>
      </w:pPr>
      <w:r>
        <w:rPr>
          <w:rFonts w:hint="eastAsia" w:ascii="宋体" w:hAnsi="宋体"/>
          <w:color w:val="auto"/>
          <w:spacing w:val="-3"/>
          <w:szCs w:val="21"/>
          <w:highlight w:val="none"/>
        </w:rPr>
        <w:t>注：1.节能产品认证应依据相关国家标准的最新版本，依据国家标准中二级能效（水效）</w:t>
      </w:r>
      <w:r>
        <w:rPr>
          <w:rFonts w:hint="eastAsia" w:ascii="宋体" w:hAnsi="宋体"/>
          <w:color w:val="auto"/>
          <w:szCs w:val="21"/>
          <w:highlight w:val="none"/>
        </w:rPr>
        <w:t>指标。</w:t>
      </w:r>
    </w:p>
    <w:p w14:paraId="3B4F20F3">
      <w:pPr>
        <w:pStyle w:val="17"/>
        <w:spacing w:line="360" w:lineRule="auto"/>
        <w:ind w:firstLine="465"/>
        <w:rPr>
          <w:rFonts w:ascii="宋体" w:hAnsi="宋体"/>
          <w:color w:val="auto"/>
          <w:szCs w:val="21"/>
          <w:highlight w:val="none"/>
        </w:rPr>
      </w:pPr>
      <w:r>
        <w:rPr>
          <w:rFonts w:hint="eastAsia" w:ascii="宋体" w:hAnsi="宋体"/>
          <w:color w:val="auto"/>
          <w:szCs w:val="21"/>
          <w:highlight w:val="none"/>
        </w:rPr>
        <w:t>2.以“★”标注的为政府强制采购产品。</w:t>
      </w:r>
    </w:p>
    <w:p w14:paraId="65AFEB02">
      <w:pPr>
        <w:pStyle w:val="17"/>
        <w:spacing w:line="360" w:lineRule="auto"/>
        <w:ind w:firstLine="465"/>
        <w:rPr>
          <w:rFonts w:ascii="宋体" w:hAnsi="宋体"/>
          <w:color w:val="auto"/>
          <w:szCs w:val="21"/>
          <w:highlight w:val="none"/>
        </w:rPr>
      </w:pPr>
      <w:r>
        <w:rPr>
          <w:rFonts w:hint="eastAsia" w:ascii="宋体" w:hAnsi="宋体"/>
          <w:color w:val="auto"/>
          <w:szCs w:val="21"/>
          <w:highlight w:val="none"/>
        </w:rPr>
        <w:t>3.本表格原为《关于印发节能产品政府采购品目清单的通知》（财库〔2019〕19号）规定的表格附件，其中名称及编码已根据《财政部关于印发〈政府采购品目分类目录〉的通知》（财库〔2022〕31号）修改。</w:t>
      </w:r>
    </w:p>
    <w:p w14:paraId="28D798AD">
      <w:pPr>
        <w:widowControl/>
        <w:jc w:val="left"/>
        <w:rPr>
          <w:rFonts w:ascii="宋体" w:hAnsi="宋体" w:cs="宋体"/>
          <w:color w:val="auto"/>
          <w:sz w:val="20"/>
          <w:szCs w:val="20"/>
          <w:highlight w:val="none"/>
        </w:rPr>
      </w:pPr>
    </w:p>
    <w:p w14:paraId="7208DC5E">
      <w:pPr>
        <w:widowControl/>
        <w:jc w:val="left"/>
        <w:rPr>
          <w:rFonts w:ascii="宋体" w:hAnsi="宋体" w:cs="宋体"/>
          <w:color w:val="auto"/>
          <w:sz w:val="20"/>
          <w:szCs w:val="20"/>
          <w:highlight w:val="none"/>
        </w:rPr>
      </w:pPr>
    </w:p>
    <w:p w14:paraId="58FAF2D7">
      <w:pPr>
        <w:widowControl/>
        <w:jc w:val="left"/>
        <w:rPr>
          <w:rFonts w:ascii="黑体" w:hAnsi="黑体" w:eastAsia="黑体" w:cs="黑体"/>
          <w:color w:val="auto"/>
          <w:sz w:val="32"/>
          <w:szCs w:val="32"/>
          <w:highlight w:val="none"/>
        </w:rPr>
      </w:pPr>
      <w:r>
        <w:rPr>
          <w:rFonts w:hint="eastAsia" w:ascii="宋体" w:hAnsi="宋体" w:cs="宋体"/>
          <w:color w:val="auto"/>
          <w:sz w:val="20"/>
          <w:szCs w:val="20"/>
          <w:highlight w:val="none"/>
        </w:rPr>
        <w:br w:type="page" w:clear="all"/>
      </w:r>
      <w:r>
        <w:rPr>
          <w:rFonts w:hint="eastAsia" w:ascii="黑体" w:hAnsi="黑体" w:eastAsia="黑体" w:cs="黑体"/>
          <w:color w:val="auto"/>
          <w:sz w:val="32"/>
          <w:szCs w:val="32"/>
          <w:highlight w:val="none"/>
        </w:rPr>
        <w:t>附件2：</w:t>
      </w:r>
    </w:p>
    <w:p w14:paraId="2E430324">
      <w:pPr>
        <w:pStyle w:val="17"/>
        <w:jc w:val="center"/>
        <w:rPr>
          <w:b/>
          <w:color w:val="auto"/>
          <w:sz w:val="28"/>
          <w:szCs w:val="28"/>
          <w:highlight w:val="none"/>
        </w:rPr>
      </w:pPr>
      <w:r>
        <w:rPr>
          <w:rFonts w:hint="eastAsia"/>
          <w:b/>
          <w:color w:val="auto"/>
          <w:sz w:val="28"/>
          <w:szCs w:val="28"/>
          <w:highlight w:val="none"/>
        </w:rPr>
        <w:t>中小企业划型标准规定</w:t>
      </w:r>
    </w:p>
    <w:p w14:paraId="5BDC382B">
      <w:pPr>
        <w:pStyle w:val="17"/>
        <w:jc w:val="center"/>
        <w:rPr>
          <w:rFonts w:ascii="宋体" w:hAnsi="宋体"/>
          <w:color w:val="auto"/>
          <w:szCs w:val="21"/>
          <w:highlight w:val="none"/>
        </w:rPr>
      </w:pPr>
      <w:r>
        <w:rPr>
          <w:rFonts w:hint="eastAsia" w:ascii="宋体" w:hAnsi="宋体"/>
          <w:color w:val="auto"/>
          <w:szCs w:val="21"/>
          <w:highlight w:val="none"/>
        </w:rPr>
        <w:t>工信部联企业〔2011〕300号</w:t>
      </w:r>
    </w:p>
    <w:p w14:paraId="2A63BD63">
      <w:pPr>
        <w:pStyle w:val="17"/>
        <w:rPr>
          <w:color w:val="auto"/>
          <w:szCs w:val="21"/>
          <w:highlight w:val="none"/>
        </w:rPr>
      </w:pPr>
    </w:p>
    <w:p w14:paraId="4F654ACB">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一、根据《中华人民共和国中小企业促进法》和《国务院关于进一步促进中小企业发展的若干意见》</w:t>
      </w:r>
      <w:r>
        <w:rPr>
          <w:rFonts w:ascii="宋体" w:hAnsi="宋体"/>
          <w:color w:val="auto"/>
          <w:szCs w:val="21"/>
          <w:highlight w:val="none"/>
        </w:rPr>
        <w:t>(</w:t>
      </w:r>
      <w:r>
        <w:rPr>
          <w:rFonts w:hint="eastAsia" w:ascii="宋体" w:hAnsi="宋体"/>
          <w:color w:val="auto"/>
          <w:szCs w:val="21"/>
          <w:highlight w:val="none"/>
        </w:rPr>
        <w:t>国发〔2009〕36号</w:t>
      </w:r>
      <w:r>
        <w:rPr>
          <w:rFonts w:ascii="宋体" w:hAnsi="宋体"/>
          <w:color w:val="auto"/>
          <w:szCs w:val="21"/>
          <w:highlight w:val="none"/>
        </w:rPr>
        <w:t>)</w:t>
      </w:r>
      <w:r>
        <w:rPr>
          <w:rFonts w:hint="eastAsia" w:ascii="宋体" w:hAnsi="宋体"/>
          <w:color w:val="auto"/>
          <w:szCs w:val="21"/>
          <w:highlight w:val="none"/>
        </w:rPr>
        <w:t>，制定本规定。</w:t>
      </w:r>
    </w:p>
    <w:p w14:paraId="7BF320B0">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二、中小企业划分为中型、小型、微型三种类型，具体标准根据企业从业人员、营业收入、资产总额等指标，结合行业特点制定。</w:t>
      </w:r>
    </w:p>
    <w:p w14:paraId="393A0310">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19451DC">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四、各行业划型标准为：</w:t>
      </w:r>
    </w:p>
    <w:p w14:paraId="32151E9E">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（一）农、林、牧、渔业。营业收入</w:t>
      </w:r>
      <w:r>
        <w:rPr>
          <w:rFonts w:ascii="宋体" w:hAnsi="宋体"/>
          <w:color w:val="auto"/>
          <w:szCs w:val="21"/>
          <w:highlight w:val="none"/>
        </w:rPr>
        <w:t>20000</w:t>
      </w:r>
      <w:r>
        <w:rPr>
          <w:rFonts w:hint="eastAsia" w:ascii="宋体" w:hAnsi="宋体"/>
          <w:color w:val="auto"/>
          <w:szCs w:val="21"/>
          <w:highlight w:val="none"/>
        </w:rPr>
        <w:t>万元以下的为中小微型企业。其中，营业收入</w:t>
      </w:r>
      <w:r>
        <w:rPr>
          <w:rFonts w:ascii="宋体" w:hAnsi="宋体"/>
          <w:color w:val="auto"/>
          <w:szCs w:val="21"/>
          <w:highlight w:val="none"/>
        </w:rPr>
        <w:t>500</w:t>
      </w:r>
      <w:r>
        <w:rPr>
          <w:rFonts w:hint="eastAsia" w:ascii="宋体" w:hAnsi="宋体"/>
          <w:color w:val="auto"/>
          <w:szCs w:val="21"/>
          <w:highlight w:val="none"/>
        </w:rPr>
        <w:t>万元及以上的为中型企业，营业收入</w:t>
      </w:r>
      <w:r>
        <w:rPr>
          <w:rFonts w:ascii="宋体" w:hAnsi="宋体"/>
          <w:color w:val="auto"/>
          <w:szCs w:val="21"/>
          <w:highlight w:val="none"/>
        </w:rPr>
        <w:t>50</w:t>
      </w:r>
      <w:r>
        <w:rPr>
          <w:rFonts w:hint="eastAsia" w:ascii="宋体" w:hAnsi="宋体"/>
          <w:color w:val="auto"/>
          <w:szCs w:val="21"/>
          <w:highlight w:val="none"/>
        </w:rPr>
        <w:t>万元及以上的为小型企业，营业收入</w:t>
      </w:r>
      <w:r>
        <w:rPr>
          <w:rFonts w:ascii="宋体" w:hAnsi="宋体"/>
          <w:color w:val="auto"/>
          <w:szCs w:val="21"/>
          <w:highlight w:val="none"/>
        </w:rPr>
        <w:t>50</w:t>
      </w:r>
      <w:r>
        <w:rPr>
          <w:rFonts w:hint="eastAsia" w:ascii="宋体" w:hAnsi="宋体"/>
          <w:color w:val="auto"/>
          <w:szCs w:val="21"/>
          <w:highlight w:val="none"/>
        </w:rPr>
        <w:t>万元以下的为微型企业。</w:t>
      </w:r>
    </w:p>
    <w:p w14:paraId="6F4467FE">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（二）工业。从业人员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40000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300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300</w:t>
      </w:r>
      <w:r>
        <w:rPr>
          <w:rFonts w:hint="eastAsia" w:ascii="宋体" w:hAnsi="宋体"/>
          <w:color w:val="auto"/>
          <w:szCs w:val="21"/>
          <w:highlight w:val="none"/>
        </w:rPr>
        <w:t>万元以下的为微型企业。</w:t>
      </w:r>
    </w:p>
    <w:p w14:paraId="2E566363">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（三）建筑业。营业收入</w:t>
      </w:r>
      <w:r>
        <w:rPr>
          <w:rFonts w:ascii="宋体" w:hAnsi="宋体"/>
          <w:color w:val="auto"/>
          <w:szCs w:val="21"/>
          <w:highlight w:val="none"/>
        </w:rPr>
        <w:t>80000</w:t>
      </w:r>
      <w:r>
        <w:rPr>
          <w:rFonts w:hint="eastAsia" w:ascii="宋体" w:hAnsi="宋体"/>
          <w:color w:val="auto"/>
          <w:szCs w:val="21"/>
          <w:highlight w:val="none"/>
        </w:rPr>
        <w:t>万元以下或资产总额</w:t>
      </w:r>
      <w:r>
        <w:rPr>
          <w:rFonts w:ascii="宋体" w:hAnsi="宋体"/>
          <w:color w:val="auto"/>
          <w:szCs w:val="21"/>
          <w:highlight w:val="none"/>
        </w:rPr>
        <w:t>80000</w:t>
      </w:r>
      <w:r>
        <w:rPr>
          <w:rFonts w:hint="eastAsia" w:ascii="宋体" w:hAnsi="宋体"/>
          <w:color w:val="auto"/>
          <w:szCs w:val="21"/>
          <w:highlight w:val="none"/>
        </w:rPr>
        <w:t>万元以下的为中小微型企业。其中，营业收入</w:t>
      </w:r>
      <w:r>
        <w:rPr>
          <w:rFonts w:ascii="宋体" w:hAnsi="宋体"/>
          <w:color w:val="auto"/>
          <w:szCs w:val="21"/>
          <w:highlight w:val="none"/>
        </w:rPr>
        <w:t>6000</w:t>
      </w:r>
      <w:r>
        <w:rPr>
          <w:rFonts w:hint="eastAsia" w:ascii="宋体" w:hAnsi="宋体"/>
          <w:color w:val="auto"/>
          <w:szCs w:val="21"/>
          <w:highlight w:val="none"/>
        </w:rPr>
        <w:t>万元及以上，且资产总额</w:t>
      </w:r>
      <w:r>
        <w:rPr>
          <w:rFonts w:ascii="宋体" w:hAnsi="宋体"/>
          <w:color w:val="auto"/>
          <w:szCs w:val="21"/>
          <w:highlight w:val="none"/>
        </w:rPr>
        <w:t>5000</w:t>
      </w:r>
      <w:r>
        <w:rPr>
          <w:rFonts w:hint="eastAsia" w:ascii="宋体" w:hAnsi="宋体"/>
          <w:color w:val="auto"/>
          <w:szCs w:val="21"/>
          <w:highlight w:val="none"/>
        </w:rPr>
        <w:t>万元及以上的为中型企业；营业收入</w:t>
      </w:r>
      <w:r>
        <w:rPr>
          <w:rFonts w:ascii="宋体" w:hAnsi="宋体"/>
          <w:color w:val="auto"/>
          <w:szCs w:val="21"/>
          <w:highlight w:val="none"/>
        </w:rPr>
        <w:t>300</w:t>
      </w:r>
      <w:r>
        <w:rPr>
          <w:rFonts w:hint="eastAsia" w:ascii="宋体" w:hAnsi="宋体"/>
          <w:color w:val="auto"/>
          <w:szCs w:val="21"/>
          <w:highlight w:val="none"/>
        </w:rPr>
        <w:t>万元及以上，且资产总额</w:t>
      </w:r>
      <w:r>
        <w:rPr>
          <w:rFonts w:ascii="宋体" w:hAnsi="宋体"/>
          <w:color w:val="auto"/>
          <w:szCs w:val="21"/>
          <w:highlight w:val="none"/>
        </w:rPr>
        <w:t>300</w:t>
      </w:r>
      <w:r>
        <w:rPr>
          <w:rFonts w:hint="eastAsia" w:ascii="宋体" w:hAnsi="宋体"/>
          <w:color w:val="auto"/>
          <w:szCs w:val="21"/>
          <w:highlight w:val="none"/>
        </w:rPr>
        <w:t>万元及以上的为小型企业；营业收入</w:t>
      </w:r>
      <w:r>
        <w:rPr>
          <w:rFonts w:ascii="宋体" w:hAnsi="宋体"/>
          <w:color w:val="auto"/>
          <w:szCs w:val="21"/>
          <w:highlight w:val="none"/>
        </w:rPr>
        <w:t>300</w:t>
      </w:r>
      <w:r>
        <w:rPr>
          <w:rFonts w:hint="eastAsia" w:ascii="宋体" w:hAnsi="宋体"/>
          <w:color w:val="auto"/>
          <w:szCs w:val="21"/>
          <w:highlight w:val="none"/>
        </w:rPr>
        <w:t>万元以下或资产总额</w:t>
      </w:r>
      <w:r>
        <w:rPr>
          <w:rFonts w:ascii="宋体" w:hAnsi="宋体"/>
          <w:color w:val="auto"/>
          <w:szCs w:val="21"/>
          <w:highlight w:val="none"/>
        </w:rPr>
        <w:t>300</w:t>
      </w:r>
      <w:r>
        <w:rPr>
          <w:rFonts w:hint="eastAsia" w:ascii="宋体" w:hAnsi="宋体"/>
          <w:color w:val="auto"/>
          <w:szCs w:val="21"/>
          <w:highlight w:val="none"/>
        </w:rPr>
        <w:t>万元以下的为微型企业。</w:t>
      </w:r>
    </w:p>
    <w:p w14:paraId="432FA29C">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（四）批发业。从业人员</w:t>
      </w:r>
      <w:r>
        <w:rPr>
          <w:rFonts w:ascii="宋体" w:hAnsi="宋体"/>
          <w:color w:val="auto"/>
          <w:szCs w:val="21"/>
          <w:highlight w:val="none"/>
        </w:rPr>
        <w:t>200</w:t>
      </w:r>
      <w:r>
        <w:rPr>
          <w:rFonts w:hint="eastAsia" w:ascii="宋体" w:hAnsi="宋体"/>
          <w:color w:val="auto"/>
          <w:szCs w:val="21"/>
          <w:highlight w:val="none"/>
        </w:rPr>
        <w:t>人以下或营业收入</w:t>
      </w:r>
      <w:r>
        <w:rPr>
          <w:rFonts w:ascii="宋体" w:hAnsi="宋体"/>
          <w:color w:val="auto"/>
          <w:szCs w:val="21"/>
          <w:highlight w:val="none"/>
        </w:rPr>
        <w:t>40000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5000</w:t>
      </w:r>
      <w:r>
        <w:rPr>
          <w:rFonts w:hint="eastAsia" w:ascii="宋体" w:hAnsi="宋体"/>
          <w:color w:val="auto"/>
          <w:szCs w:val="21"/>
          <w:highlight w:val="none"/>
        </w:rPr>
        <w:t>万元及以上的为中型企业；从业人员</w:t>
      </w:r>
      <w:r>
        <w:rPr>
          <w:rFonts w:ascii="宋体" w:hAnsi="宋体"/>
          <w:color w:val="auto"/>
          <w:szCs w:val="21"/>
          <w:highlight w:val="none"/>
        </w:rPr>
        <w:t>5</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万元及以上的为小型企业；从业人员</w:t>
      </w:r>
      <w:r>
        <w:rPr>
          <w:rFonts w:ascii="宋体" w:hAnsi="宋体"/>
          <w:color w:val="auto"/>
          <w:szCs w:val="21"/>
          <w:highlight w:val="none"/>
        </w:rPr>
        <w:t>5</w:t>
      </w:r>
      <w:r>
        <w:rPr>
          <w:rFonts w:hint="eastAsia" w:ascii="宋体" w:hAnsi="宋体"/>
          <w:color w:val="auto"/>
          <w:szCs w:val="21"/>
          <w:highlight w:val="none"/>
        </w:rPr>
        <w:t>人以下或营业收入</w:t>
      </w:r>
      <w:r>
        <w:rPr>
          <w:rFonts w:ascii="宋体" w:hAnsi="宋体"/>
          <w:color w:val="auto"/>
          <w:szCs w:val="21"/>
          <w:highlight w:val="none"/>
        </w:rPr>
        <w:t>1000</w:t>
      </w:r>
      <w:r>
        <w:rPr>
          <w:rFonts w:hint="eastAsia" w:ascii="宋体" w:hAnsi="宋体"/>
          <w:color w:val="auto"/>
          <w:szCs w:val="21"/>
          <w:highlight w:val="none"/>
        </w:rPr>
        <w:t>万元以下的为微型企业。</w:t>
      </w:r>
    </w:p>
    <w:p w14:paraId="157E05C1">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（五）零售业。从业人员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20000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50</w:t>
      </w:r>
      <w:r>
        <w:rPr>
          <w:rFonts w:hint="eastAsia" w:ascii="宋体" w:hAnsi="宋体"/>
          <w:color w:val="auto"/>
          <w:szCs w:val="21"/>
          <w:highlight w:val="none"/>
        </w:rPr>
        <w:t>人及以上，且营业收入</w:t>
      </w:r>
      <w:r>
        <w:rPr>
          <w:rFonts w:ascii="宋体" w:hAnsi="宋体"/>
          <w:color w:val="auto"/>
          <w:szCs w:val="21"/>
          <w:highlight w:val="none"/>
        </w:rPr>
        <w:t>500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1EAF70BE">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（六）交通运输业。从业人员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30000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3000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200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200</w:t>
      </w:r>
      <w:r>
        <w:rPr>
          <w:rFonts w:hint="eastAsia" w:ascii="宋体" w:hAnsi="宋体"/>
          <w:color w:val="auto"/>
          <w:szCs w:val="21"/>
          <w:highlight w:val="none"/>
        </w:rPr>
        <w:t>万元以下的为微型企业。</w:t>
      </w:r>
    </w:p>
    <w:p w14:paraId="4B84E245">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（七）仓储业。从业人员</w:t>
      </w:r>
      <w:r>
        <w:rPr>
          <w:rFonts w:ascii="宋体" w:hAnsi="宋体"/>
          <w:color w:val="auto"/>
          <w:szCs w:val="21"/>
          <w:highlight w:val="none"/>
        </w:rPr>
        <w:t>200</w:t>
      </w:r>
      <w:r>
        <w:rPr>
          <w:rFonts w:hint="eastAsia" w:ascii="宋体" w:hAnsi="宋体"/>
          <w:color w:val="auto"/>
          <w:szCs w:val="21"/>
          <w:highlight w:val="none"/>
        </w:rPr>
        <w:t>人以下或营业收入</w:t>
      </w:r>
      <w:r>
        <w:rPr>
          <w:rFonts w:ascii="宋体" w:hAnsi="宋体"/>
          <w:color w:val="auto"/>
          <w:szCs w:val="21"/>
          <w:highlight w:val="none"/>
        </w:rPr>
        <w:t>30000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43E94237">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（八）邮政业。从业人员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30000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669E06F4">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（九）住宿业。从业人员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10000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577DA9B6">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（十）餐饮业。从业人员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10000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0AE49A9D">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（十一）信息传输业。从业人员</w:t>
      </w:r>
      <w:r>
        <w:rPr>
          <w:rFonts w:ascii="宋体" w:hAnsi="宋体"/>
          <w:color w:val="auto"/>
          <w:szCs w:val="21"/>
          <w:highlight w:val="none"/>
        </w:rPr>
        <w:t>2000</w:t>
      </w:r>
      <w:r>
        <w:rPr>
          <w:rFonts w:hint="eastAsia" w:ascii="宋体" w:hAnsi="宋体"/>
          <w:color w:val="auto"/>
          <w:szCs w:val="21"/>
          <w:highlight w:val="none"/>
        </w:rPr>
        <w:t>人以下或营业收入</w:t>
      </w:r>
      <w:r>
        <w:rPr>
          <w:rFonts w:ascii="宋体" w:hAnsi="宋体"/>
          <w:color w:val="auto"/>
          <w:szCs w:val="21"/>
          <w:highlight w:val="none"/>
        </w:rPr>
        <w:t>100000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7F0C374C">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（十二）软件和信息技术服务业。从业人员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10000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50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50</w:t>
      </w:r>
      <w:r>
        <w:rPr>
          <w:rFonts w:hint="eastAsia" w:ascii="宋体" w:hAnsi="宋体"/>
          <w:color w:val="auto"/>
          <w:szCs w:val="21"/>
          <w:highlight w:val="none"/>
        </w:rPr>
        <w:t>万元以下的为微型企业。</w:t>
      </w:r>
    </w:p>
    <w:p w14:paraId="12B25CA4">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（十三）房地产开发经营。营业收入</w:t>
      </w:r>
      <w:r>
        <w:rPr>
          <w:rFonts w:ascii="宋体" w:hAnsi="宋体"/>
          <w:color w:val="auto"/>
          <w:szCs w:val="21"/>
          <w:highlight w:val="none"/>
        </w:rPr>
        <w:t>200000</w:t>
      </w:r>
      <w:r>
        <w:rPr>
          <w:rFonts w:hint="eastAsia" w:ascii="宋体" w:hAnsi="宋体"/>
          <w:color w:val="auto"/>
          <w:szCs w:val="21"/>
          <w:highlight w:val="none"/>
        </w:rPr>
        <w:t>万元以下或资产总额</w:t>
      </w:r>
      <w:r>
        <w:rPr>
          <w:rFonts w:ascii="宋体" w:hAnsi="宋体"/>
          <w:color w:val="auto"/>
          <w:szCs w:val="21"/>
          <w:highlight w:val="none"/>
        </w:rPr>
        <w:t>10000</w:t>
      </w:r>
      <w:r>
        <w:rPr>
          <w:rFonts w:hint="eastAsia" w:ascii="宋体" w:hAnsi="宋体"/>
          <w:color w:val="auto"/>
          <w:szCs w:val="21"/>
          <w:highlight w:val="none"/>
        </w:rPr>
        <w:t>万元以下的为中小微型企业。其中，营业收入</w:t>
      </w:r>
      <w:r>
        <w:rPr>
          <w:rFonts w:ascii="宋体" w:hAnsi="宋体"/>
          <w:color w:val="auto"/>
          <w:szCs w:val="21"/>
          <w:highlight w:val="none"/>
        </w:rPr>
        <w:t>1000</w:t>
      </w:r>
      <w:r>
        <w:rPr>
          <w:rFonts w:hint="eastAsia" w:ascii="宋体" w:hAnsi="宋体"/>
          <w:color w:val="auto"/>
          <w:szCs w:val="21"/>
          <w:highlight w:val="none"/>
        </w:rPr>
        <w:t>万元及以上，且资产总额</w:t>
      </w:r>
      <w:r>
        <w:rPr>
          <w:rFonts w:ascii="宋体" w:hAnsi="宋体"/>
          <w:color w:val="auto"/>
          <w:szCs w:val="21"/>
          <w:highlight w:val="none"/>
        </w:rPr>
        <w:t>5000</w:t>
      </w:r>
      <w:r>
        <w:rPr>
          <w:rFonts w:hint="eastAsia" w:ascii="宋体" w:hAnsi="宋体"/>
          <w:color w:val="auto"/>
          <w:szCs w:val="21"/>
          <w:highlight w:val="none"/>
        </w:rPr>
        <w:t>万元及以上的为中型企业；营业收入</w:t>
      </w:r>
      <w:r>
        <w:rPr>
          <w:rFonts w:ascii="宋体" w:hAnsi="宋体"/>
          <w:color w:val="auto"/>
          <w:szCs w:val="21"/>
          <w:highlight w:val="none"/>
        </w:rPr>
        <w:t>100</w:t>
      </w:r>
      <w:r>
        <w:rPr>
          <w:rFonts w:hint="eastAsia" w:ascii="宋体" w:hAnsi="宋体"/>
          <w:color w:val="auto"/>
          <w:szCs w:val="21"/>
          <w:highlight w:val="none"/>
        </w:rPr>
        <w:t>万元及以上，且资产总额</w:t>
      </w:r>
      <w:r>
        <w:rPr>
          <w:rFonts w:ascii="宋体" w:hAnsi="宋体"/>
          <w:color w:val="auto"/>
          <w:szCs w:val="21"/>
          <w:highlight w:val="none"/>
        </w:rPr>
        <w:t>2000</w:t>
      </w:r>
      <w:r>
        <w:rPr>
          <w:rFonts w:hint="eastAsia" w:ascii="宋体" w:hAnsi="宋体"/>
          <w:color w:val="auto"/>
          <w:szCs w:val="21"/>
          <w:highlight w:val="none"/>
        </w:rPr>
        <w:t>万元及以上的为小型企业；营业收入</w:t>
      </w:r>
      <w:r>
        <w:rPr>
          <w:rFonts w:ascii="宋体" w:hAnsi="宋体"/>
          <w:color w:val="auto"/>
          <w:szCs w:val="21"/>
          <w:highlight w:val="none"/>
        </w:rPr>
        <w:t>100</w:t>
      </w:r>
      <w:r>
        <w:rPr>
          <w:rFonts w:hint="eastAsia" w:ascii="宋体" w:hAnsi="宋体"/>
          <w:color w:val="auto"/>
          <w:szCs w:val="21"/>
          <w:highlight w:val="none"/>
        </w:rPr>
        <w:t>万元以下或资产总额</w:t>
      </w:r>
      <w:r>
        <w:rPr>
          <w:rFonts w:ascii="宋体" w:hAnsi="宋体"/>
          <w:color w:val="auto"/>
          <w:szCs w:val="21"/>
          <w:highlight w:val="none"/>
        </w:rPr>
        <w:t>2000</w:t>
      </w:r>
      <w:r>
        <w:rPr>
          <w:rFonts w:hint="eastAsia" w:ascii="宋体" w:hAnsi="宋体"/>
          <w:color w:val="auto"/>
          <w:szCs w:val="21"/>
          <w:highlight w:val="none"/>
        </w:rPr>
        <w:t>万元以下的为微型企业。</w:t>
      </w:r>
    </w:p>
    <w:p w14:paraId="5F98C722">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（十四）物业管理。从业人员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5000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500</w:t>
      </w:r>
      <w:r>
        <w:rPr>
          <w:rFonts w:hint="eastAsia" w:ascii="宋体" w:hAnsi="宋体"/>
          <w:color w:val="auto"/>
          <w:szCs w:val="21"/>
          <w:highlight w:val="none"/>
        </w:rPr>
        <w:t>万元及以上的为小型企业；从业人员</w:t>
      </w:r>
      <w:r>
        <w:rPr>
          <w:rFonts w:ascii="宋体" w:hAnsi="宋体"/>
          <w:color w:val="auto"/>
          <w:szCs w:val="21"/>
          <w:highlight w:val="none"/>
        </w:rPr>
        <w:t>100</w:t>
      </w:r>
      <w:r>
        <w:rPr>
          <w:rFonts w:hint="eastAsia" w:ascii="宋体" w:hAnsi="宋体"/>
          <w:color w:val="auto"/>
          <w:szCs w:val="21"/>
          <w:highlight w:val="none"/>
        </w:rPr>
        <w:t>人以下或营业收入</w:t>
      </w:r>
      <w:r>
        <w:rPr>
          <w:rFonts w:ascii="宋体" w:hAnsi="宋体"/>
          <w:color w:val="auto"/>
          <w:szCs w:val="21"/>
          <w:highlight w:val="none"/>
        </w:rPr>
        <w:t>500</w:t>
      </w:r>
      <w:r>
        <w:rPr>
          <w:rFonts w:hint="eastAsia" w:ascii="宋体" w:hAnsi="宋体"/>
          <w:color w:val="auto"/>
          <w:szCs w:val="21"/>
          <w:highlight w:val="none"/>
        </w:rPr>
        <w:t>万元以下的为微型企业。</w:t>
      </w:r>
    </w:p>
    <w:p w14:paraId="031C4F1A">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（十五）租赁和商务服务业。从业人员</w:t>
      </w:r>
      <w:r>
        <w:rPr>
          <w:rFonts w:ascii="宋体" w:hAnsi="宋体"/>
          <w:color w:val="auto"/>
          <w:szCs w:val="21"/>
          <w:highlight w:val="none"/>
        </w:rPr>
        <w:t>300</w:t>
      </w:r>
      <w:r>
        <w:rPr>
          <w:rFonts w:hint="eastAsia" w:ascii="宋体" w:hAnsi="宋体"/>
          <w:color w:val="auto"/>
          <w:szCs w:val="21"/>
          <w:highlight w:val="none"/>
        </w:rPr>
        <w:t>人以下或资产总额</w:t>
      </w:r>
      <w:r>
        <w:rPr>
          <w:rFonts w:ascii="宋体" w:hAnsi="宋体"/>
          <w:color w:val="auto"/>
          <w:szCs w:val="21"/>
          <w:highlight w:val="none"/>
        </w:rPr>
        <w:t>120000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人及以上，且资产总额</w:t>
      </w:r>
      <w:r>
        <w:rPr>
          <w:rFonts w:ascii="宋体" w:hAnsi="宋体"/>
          <w:color w:val="auto"/>
          <w:szCs w:val="21"/>
          <w:highlight w:val="none"/>
        </w:rPr>
        <w:t>8000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人及以上，且资产总额</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人以下或资产总额</w:t>
      </w:r>
      <w:r>
        <w:rPr>
          <w:rFonts w:ascii="宋体" w:hAnsi="宋体"/>
          <w:color w:val="auto"/>
          <w:szCs w:val="21"/>
          <w:highlight w:val="none"/>
        </w:rPr>
        <w:t>100</w:t>
      </w:r>
      <w:r>
        <w:rPr>
          <w:rFonts w:hint="eastAsia" w:ascii="宋体" w:hAnsi="宋体"/>
          <w:color w:val="auto"/>
          <w:szCs w:val="21"/>
          <w:highlight w:val="none"/>
        </w:rPr>
        <w:t>万元以下的为微型企业。</w:t>
      </w:r>
    </w:p>
    <w:p w14:paraId="70135390">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（十六）其他未列明行业。从业人员</w:t>
      </w:r>
      <w:r>
        <w:rPr>
          <w:rFonts w:ascii="宋体" w:hAnsi="宋体"/>
          <w:color w:val="auto"/>
          <w:szCs w:val="21"/>
          <w:highlight w:val="none"/>
        </w:rPr>
        <w:t>300</w:t>
      </w:r>
      <w:r>
        <w:rPr>
          <w:rFonts w:hint="eastAsia" w:ascii="宋体" w:hAnsi="宋体"/>
          <w:color w:val="auto"/>
          <w:szCs w:val="21"/>
          <w:highlight w:val="none"/>
        </w:rPr>
        <w:t>人以下的为中小微型企业。其中，从业人员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人及以上的为中型企业；从业人员</w:t>
      </w:r>
      <w:r>
        <w:rPr>
          <w:rFonts w:ascii="宋体" w:hAnsi="宋体"/>
          <w:color w:val="auto"/>
          <w:szCs w:val="21"/>
          <w:highlight w:val="none"/>
        </w:rPr>
        <w:t>10</w:t>
      </w:r>
      <w:r>
        <w:rPr>
          <w:rFonts w:hint="eastAsia" w:ascii="宋体" w:hAnsi="宋体"/>
          <w:color w:val="auto"/>
          <w:szCs w:val="21"/>
          <w:highlight w:val="none"/>
        </w:rPr>
        <w:t>人及以上的为小型企业；从业人员</w:t>
      </w:r>
      <w:r>
        <w:rPr>
          <w:rFonts w:ascii="宋体" w:hAnsi="宋体"/>
          <w:color w:val="auto"/>
          <w:szCs w:val="21"/>
          <w:highlight w:val="none"/>
        </w:rPr>
        <w:t>10</w:t>
      </w:r>
      <w:r>
        <w:rPr>
          <w:rFonts w:hint="eastAsia" w:ascii="宋体" w:hAnsi="宋体"/>
          <w:color w:val="auto"/>
          <w:szCs w:val="21"/>
          <w:highlight w:val="none"/>
        </w:rPr>
        <w:t>人以下的为微型企业。</w:t>
      </w:r>
    </w:p>
    <w:p w14:paraId="3079A138">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五、企业类型的划分以统计部门的统计数据为依据。</w:t>
      </w:r>
    </w:p>
    <w:p w14:paraId="452AAD19">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六、本规定适用于在中华人民共和国境内依法设立的各类所有制和各种组织形式的企业。个体工商户和本规定以外的行业，参照本规定进行划型。</w:t>
      </w:r>
    </w:p>
    <w:p w14:paraId="113F6410">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47EE7455">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八、本规定由工业和信息化部、国家统计局会同有关部门根据《国民经济行业分类》修订情况和企业发展变化情况适时修订。</w:t>
      </w:r>
    </w:p>
    <w:p w14:paraId="21F1B566">
      <w:pPr>
        <w:pStyle w:val="17"/>
        <w:spacing w:after="0" w:line="540" w:lineRule="exact"/>
        <w:ind w:firstLine="420"/>
        <w:rPr>
          <w:rFonts w:ascii="宋体" w:hAnsi="宋体"/>
          <w:color w:val="auto"/>
          <w:szCs w:val="21"/>
          <w:highlight w:val="none"/>
        </w:rPr>
      </w:pPr>
      <w:r>
        <w:rPr>
          <w:rFonts w:hint="eastAsia" w:ascii="宋体" w:hAnsi="宋体"/>
          <w:color w:val="auto"/>
          <w:szCs w:val="21"/>
          <w:highlight w:val="none"/>
        </w:rPr>
        <w:t>九、本规定由工业和信息化部、国家统计局会同有关部门负责解释。</w:t>
      </w:r>
    </w:p>
    <w:p w14:paraId="50C8DFB2">
      <w:pPr>
        <w:pStyle w:val="17"/>
        <w:spacing w:after="0" w:line="540" w:lineRule="exact"/>
        <w:ind w:firstLine="420"/>
        <w:rPr>
          <w:color w:val="auto"/>
          <w:szCs w:val="21"/>
          <w:highlight w:val="none"/>
        </w:rPr>
      </w:pPr>
      <w:r>
        <w:rPr>
          <w:rFonts w:hint="eastAsia" w:ascii="宋体" w:hAnsi="宋体"/>
          <w:color w:val="auto"/>
          <w:szCs w:val="21"/>
          <w:highlight w:val="none"/>
        </w:rPr>
        <w:t>十、本规定自发布之日起执行，原国家经贸委、原国家计委、财政部和国家统计局</w:t>
      </w:r>
      <w:r>
        <w:rPr>
          <w:rFonts w:ascii="宋体" w:hAnsi="宋体"/>
          <w:color w:val="auto"/>
          <w:szCs w:val="21"/>
          <w:highlight w:val="none"/>
        </w:rPr>
        <w:t>2003</w:t>
      </w:r>
      <w:r>
        <w:rPr>
          <w:rFonts w:hint="eastAsia" w:ascii="宋体" w:hAnsi="宋体"/>
          <w:color w:val="auto"/>
          <w:szCs w:val="21"/>
          <w:highlight w:val="none"/>
        </w:rPr>
        <w:t>年颁布的《中小企业标准暂行规定》同时废止。</w:t>
      </w:r>
    </w:p>
    <w:p w14:paraId="453AA11B">
      <w:pPr>
        <w:widowControl/>
        <w:jc w:val="left"/>
        <w:rPr>
          <w:rFonts w:ascii="宋体" w:hAnsi="宋体" w:cs="宋体"/>
          <w:color w:val="auto"/>
          <w:sz w:val="20"/>
          <w:szCs w:val="20"/>
          <w:highlight w:val="none"/>
        </w:rPr>
      </w:pPr>
    </w:p>
    <w:p w14:paraId="754362CB">
      <w:pPr>
        <w:pStyle w:val="222"/>
        <w:rPr>
          <w:rFonts w:ascii="宋体" w:hAnsi="宋体" w:cs="宋体"/>
          <w:color w:val="auto"/>
          <w:sz w:val="20"/>
          <w:szCs w:val="20"/>
          <w:highlight w:val="none"/>
        </w:rPr>
      </w:pPr>
      <w:r>
        <w:rPr>
          <w:rFonts w:ascii="宋体" w:hAnsi="宋体" w:cs="宋体"/>
          <w:color w:val="auto"/>
          <w:sz w:val="20"/>
          <w:szCs w:val="20"/>
          <w:highlight w:val="none"/>
        </w:rPr>
        <w:br w:type="page" w:clear="all"/>
      </w:r>
    </w:p>
    <w:p w14:paraId="35320BB8">
      <w:pPr>
        <w:spacing w:line="360" w:lineRule="auto"/>
        <w:jc w:val="center"/>
        <w:rPr>
          <w:b/>
          <w:bCs/>
          <w:color w:val="auto"/>
          <w:sz w:val="44"/>
          <w:szCs w:val="44"/>
          <w:highlight w:val="none"/>
        </w:rPr>
      </w:pPr>
      <w:bookmarkStart w:id="66" w:name="_Toc13387"/>
      <w:r>
        <w:rPr>
          <w:rFonts w:hint="eastAsia"/>
          <w:b/>
          <w:bCs/>
          <w:color w:val="auto"/>
          <w:sz w:val="44"/>
          <w:szCs w:val="44"/>
          <w:highlight w:val="none"/>
        </w:rPr>
        <w:t>第四章  评审程序和评定成交的标准</w:t>
      </w:r>
      <w:bookmarkEnd w:id="66"/>
    </w:p>
    <w:p w14:paraId="5BF862FD">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一、评审程序</w:t>
      </w:r>
    </w:p>
    <w:p w14:paraId="62FA793F">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.确认谈判文件</w:t>
      </w:r>
    </w:p>
    <w:p w14:paraId="3E0A50F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由谈判小组确认谈判文件。</w:t>
      </w:r>
    </w:p>
    <w:p w14:paraId="2CD0B680">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.资格审查</w:t>
      </w:r>
    </w:p>
    <w:p w14:paraId="5DF60AC4">
      <w:pPr>
        <w:spacing w:line="360" w:lineRule="auto"/>
        <w:ind w:firstLine="42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.1响应文件开启后，谈判小组依法对供应商的资格证明文件进行审查。</w:t>
      </w:r>
    </w:p>
    <w:p w14:paraId="4307D8D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谈判小组</w:t>
      </w:r>
      <w:r>
        <w:rPr>
          <w:rFonts w:hint="eastAsia" w:ascii="宋体" w:hAnsi="宋体" w:cs="宋体"/>
          <w:color w:val="auto"/>
          <w:szCs w:val="21"/>
          <w:highlight w:val="none"/>
        </w:rPr>
        <w:t>在资格审查结束前，对供应商进行信用查询。</w:t>
      </w:r>
    </w:p>
    <w:p w14:paraId="1F17AA6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（1）查询渠道：广西政府采购云平台“信用中国”网站(www.creditchina.gov.cn)、中国政府采购网(www.ccgp.gov.cn)。</w:t>
      </w:r>
    </w:p>
    <w:p w14:paraId="69F1A8A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76E104E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318729F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29623E0E">
      <w:pPr>
        <w:spacing w:line="360" w:lineRule="auto"/>
        <w:ind w:firstLine="42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.2资格审查标准为本谈判文件中载明对供应商资格要求的条件。本项目资格审查采用合格制，凡符合谈判文件规定的供应商资格要求的供应商均通过资格审查。</w:t>
      </w:r>
    </w:p>
    <w:p w14:paraId="38F35795">
      <w:pPr>
        <w:spacing w:line="360" w:lineRule="auto"/>
        <w:ind w:firstLine="42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.3 供应商有下列情形之一的，资格审查不通过，其响应文件按无效处理：</w:t>
      </w:r>
    </w:p>
    <w:p w14:paraId="6A73C75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）不具备谈判文件中规定的资格要求的；</w:t>
      </w:r>
    </w:p>
    <w:p w14:paraId="76B2669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（2）未按谈判文件规定的方式获取本谈判文件的供应商；</w:t>
      </w:r>
    </w:p>
    <w:p w14:paraId="35175600">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）响应文件中的资格证明文件缺少任一项“供应商须知前附表”资格证明文件规定的“必须提供”的文件资料的；</w:t>
      </w:r>
    </w:p>
    <w:p w14:paraId="5B4B040E">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67E786E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382FCC8C">
      <w:pPr>
        <w:spacing w:line="360" w:lineRule="auto"/>
        <w:ind w:firstLine="42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.4通过资格审查的合格供应商不足3家（本章</w:t>
      </w:r>
      <w:r>
        <w:rPr>
          <w:rFonts w:ascii="宋体" w:hAnsi="宋体" w:cs="宋体"/>
          <w:color w:val="auto"/>
          <w:szCs w:val="21"/>
          <w:highlight w:val="none"/>
        </w:rPr>
        <w:t>3.7</w:t>
      </w:r>
      <w:r>
        <w:rPr>
          <w:rFonts w:hint="eastAsia" w:ascii="宋体" w:hAnsi="宋体" w:cs="宋体"/>
          <w:color w:val="auto"/>
          <w:szCs w:val="21"/>
          <w:highlight w:val="none"/>
        </w:rPr>
        <w:t>条规定除外）的，不得进入符合性审查环节，应当重新开展采购活动。</w:t>
      </w:r>
    </w:p>
    <w:p w14:paraId="1CC6F546">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.符合性审查</w:t>
      </w:r>
    </w:p>
    <w:p w14:paraId="17BC2CD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谈判小组应当对符合资格的供应商的响应文件进行竞标报价、商务、技术等实质性要求符合性审查，以确定其是否满足谈判文件的实质性要求。</w:t>
      </w:r>
    </w:p>
    <w:p w14:paraId="290FEBC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r>
        <w:rPr>
          <w:rFonts w:hint="eastAsia" w:ascii="宋体" w:hAnsi="宋体" w:cs="宋体"/>
          <w:color w:val="auto"/>
          <w:szCs w:val="21"/>
          <w:highlight w:val="none"/>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2D3E377">
      <w:pPr>
        <w:spacing w:line="360" w:lineRule="auto"/>
        <w:ind w:firstLine="420"/>
        <w:rPr>
          <w:rFonts w:ascii="宋体" w:hAnsi="宋体" w:cs="宋体"/>
          <w:color w:val="auto"/>
          <w:spacing w:val="-6"/>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75CA2757">
      <w:pPr>
        <w:spacing w:line="360" w:lineRule="auto"/>
        <w:ind w:firstLine="420"/>
        <w:rPr>
          <w:rFonts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谈判小组以书面形式要求供应商在规定时间内作出必要的澄清、说明或者补正。供应商的澄清、说明或者补正必须采用书面形式，并加盖公章，或者由法定代表人或者其授权的代表签字。</w:t>
      </w:r>
    </w:p>
    <w:p w14:paraId="67543003">
      <w:pPr>
        <w:spacing w:line="360" w:lineRule="auto"/>
        <w:ind w:firstLine="396"/>
        <w:rPr>
          <w:rFonts w:ascii="宋体" w:hAnsi="宋体" w:cs="宋体"/>
          <w:color w:val="auto"/>
          <w:szCs w:val="21"/>
          <w:highlight w:val="none"/>
        </w:rPr>
      </w:pPr>
      <w:r>
        <w:rPr>
          <w:rFonts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23C2C33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01C83D4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79E3588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21C92D4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3DDB111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182AF1A7">
      <w:pPr>
        <w:spacing w:line="360" w:lineRule="auto"/>
        <w:ind w:firstLine="42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42854EC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0F2C5AE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（1）商务技术评审</w:t>
      </w:r>
    </w:p>
    <w:p w14:paraId="33A8EAC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1）响应文件未按谈判文件要求签署、盖章的；</w:t>
      </w:r>
    </w:p>
    <w:p w14:paraId="72437C0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21F9168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3）提交的竞标保证金无效的或者未按照谈判文件的规定提交竞标保证金；</w:t>
      </w:r>
    </w:p>
    <w:p w14:paraId="6BE2A6C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71257A7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5）商务要求允许负偏离的条款数超过“供应商须知前附表”规定项数的；</w:t>
      </w:r>
    </w:p>
    <w:p w14:paraId="45D8BE7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6）未对竞标有效期作出响应或者响应文件承诺的竞标有效期不满足谈判文件要求；</w:t>
      </w:r>
    </w:p>
    <w:p w14:paraId="27109A5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7）响应文件的实质性内容未使用中文表述、使用计量单位不符合谈判文件要求的；</w:t>
      </w:r>
    </w:p>
    <w:p w14:paraId="42FE397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8）响应文件中的文件资料因填写不齐全或者内容虚假或者出现其他情形而导致被谈判小组认定无效的；</w:t>
      </w:r>
    </w:p>
    <w:p w14:paraId="2DEFBB7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9）响应文件含有采购人不能接受的附加条件的；</w:t>
      </w:r>
    </w:p>
    <w:p w14:paraId="60F6816A">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0）属于“供应商须知正文”第7.</w:t>
      </w:r>
      <w:r>
        <w:rPr>
          <w:rFonts w:ascii="宋体" w:hAnsi="宋体" w:cs="宋体"/>
          <w:color w:val="auto"/>
          <w:szCs w:val="21"/>
          <w:highlight w:val="none"/>
        </w:rPr>
        <w:t>5</w:t>
      </w:r>
      <w:r>
        <w:rPr>
          <w:rFonts w:hint="eastAsia" w:ascii="宋体" w:hAnsi="宋体" w:cs="宋体"/>
          <w:color w:val="auto"/>
          <w:szCs w:val="21"/>
          <w:highlight w:val="none"/>
        </w:rPr>
        <w:t>条的情形的；</w:t>
      </w:r>
    </w:p>
    <w:p w14:paraId="6BCFB58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11）技术评审允许负偏离的条款数超过“供应商须知前附表”规定项数的；</w:t>
      </w:r>
    </w:p>
    <w:p w14:paraId="1A738C61">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2）虚假竞标，或者出现其他情形而导致被谈判小组认定无效的；</w:t>
      </w:r>
    </w:p>
    <w:p w14:paraId="5DDD2FCA">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3）谈判文件未载明允许提供备选（替代）竞标方案或明确不允许提供备选（替代）竞标方案时，供应商提供了备选（替代）竞标方案的；</w:t>
      </w:r>
    </w:p>
    <w:p w14:paraId="097F4E53">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4）响应文件标注的项目名称或者项目编号与谈判文件标注的项目名称或者项目编号不一致的；</w:t>
      </w:r>
    </w:p>
    <w:p w14:paraId="73EC75E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olor w:val="auto"/>
          <w:szCs w:val="21"/>
          <w:highlight w:val="none"/>
        </w:rPr>
        <w:t>谈判文件明确不允许分包，响应文件拟分包的；</w:t>
      </w:r>
    </w:p>
    <w:p w14:paraId="51732DA0">
      <w:pPr>
        <w:spacing w:line="360" w:lineRule="auto"/>
        <w:ind w:firstLine="42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6）未响应谈判文件实质性要求；</w:t>
      </w:r>
    </w:p>
    <w:p w14:paraId="4AAA3AC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17）法律、法规和谈判文件规定的其他无效情形。</w:t>
      </w:r>
    </w:p>
    <w:p w14:paraId="7F9CB99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2）报</w:t>
      </w:r>
      <w:r>
        <w:rPr>
          <w:rFonts w:hint="eastAsia" w:ascii="宋体" w:hAnsi="宋体" w:cs="宋体"/>
          <w:color w:val="auto"/>
          <w:szCs w:val="21"/>
          <w:highlight w:val="none"/>
        </w:rPr>
        <w:t>价评审</w:t>
      </w:r>
    </w:p>
    <w:p w14:paraId="3A8951B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1）响应文件未提供“供应商须知前附表”报价文件中规定的“竞标报价表”的；</w:t>
      </w:r>
    </w:p>
    <w:p w14:paraId="410FB9C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2）未采用人民币报价或者未按照谈判文件标明的币种报价的；</w:t>
      </w:r>
    </w:p>
    <w:p w14:paraId="1358111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谈判文件允许有备选方案或者其他约定的除外）；</w:t>
      </w:r>
    </w:p>
    <w:p w14:paraId="34957A5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竞标报价（包含首次报价、最后报价）超过所竞标分标规定的采购预算金额或者最高限价的（如本项目公布了最高限价）；竞标报价（包含首次报价、最后报价）超过谈判文件分项采购预算金额或者最高限价的（如本项目公布了最高限价）；</w:t>
      </w:r>
    </w:p>
    <w:p w14:paraId="658388F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谈判文件分项采购预算金额或者最高限价的（如本项目公布了最高限价）。</w:t>
      </w:r>
    </w:p>
    <w:p w14:paraId="022B37E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响应文件响应的标的数量及单位与竞争性谈判采购文件要求实质性不一致的。</w:t>
      </w:r>
    </w:p>
    <w:p w14:paraId="4F0BE178">
      <w:pPr>
        <w:spacing w:line="360" w:lineRule="auto"/>
        <w:ind w:firstLine="42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15D5A8EB">
      <w:pPr>
        <w:spacing w:line="360" w:lineRule="auto"/>
        <w:ind w:firstLine="42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7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40BDEE34">
      <w:pPr>
        <w:spacing w:line="360" w:lineRule="auto"/>
        <w:ind w:firstLine="42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.8除本章3.7条规定的情形外，通过符合性审查的合格供应商不足3家的，不得进入谈判环节，应当重新开展采购活动。</w:t>
      </w:r>
    </w:p>
    <w:p w14:paraId="51680885">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4</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谈判程序</w:t>
      </w:r>
    </w:p>
    <w:p w14:paraId="1F1BC90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谈判小组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处理。</w:t>
      </w:r>
    </w:p>
    <w:p w14:paraId="07FC154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6CC8B7FA">
      <w:pPr>
        <w:spacing w:line="360" w:lineRule="auto"/>
        <w:ind w:firstLine="420"/>
        <w:rPr>
          <w:rFonts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对谈判文件作出的实质性变动是谈判文件的有效组成部分，由谈判小组及时以电子澄清函形式同时通知所有参加谈判的供应商。</w:t>
      </w:r>
    </w:p>
    <w:p w14:paraId="6B46EFB3">
      <w:pPr>
        <w:spacing w:line="360" w:lineRule="auto"/>
        <w:ind w:firstLine="420"/>
        <w:rPr>
          <w:rFonts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供应商必须按照谈判文件的变动情况和谈判小组的要求以回函的形式重新提交响应文件，并加盖电子签章。参加谈判的供应商未在规定时间内重新提交响应文件的，视同退出谈判，其响应文件按无效处理。</w:t>
      </w:r>
    </w:p>
    <w:p w14:paraId="1B6685DD">
      <w:pPr>
        <w:spacing w:line="360" w:lineRule="auto"/>
        <w:ind w:firstLine="420"/>
        <w:rPr>
          <w:rFonts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谈判中，谈判的任何一方不得透露与谈判有关的其他供应商的技术资料、价格和其他信息。</w:t>
      </w:r>
    </w:p>
    <w:p w14:paraId="472A2F0D">
      <w:pPr>
        <w:widowControl/>
        <w:tabs>
          <w:tab w:val="left" w:pos="540"/>
        </w:tabs>
        <w:spacing w:line="360" w:lineRule="auto"/>
        <w:ind w:firstLine="420"/>
        <w:jc w:val="left"/>
        <w:rPr>
          <w:rFonts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谈判小组应对谈判过程和谈判内容进行记录。</w:t>
      </w:r>
    </w:p>
    <w:p w14:paraId="385BCF4E">
      <w:pPr>
        <w:tabs>
          <w:tab w:val="left" w:pos="2835"/>
        </w:tabs>
        <w:spacing w:line="360" w:lineRule="auto"/>
        <w:ind w:firstLine="42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7除本章第3.7条外，</w:t>
      </w:r>
      <w:r>
        <w:rPr>
          <w:rFonts w:hint="eastAsia" w:ascii="宋体" w:hAnsi="宋体"/>
          <w:color w:val="auto"/>
          <w:szCs w:val="21"/>
          <w:highlight w:val="none"/>
        </w:rPr>
        <w:t>对谈判过程提交的响应文件进行有效性、完整性和响应程度审查，通过审查的合格供应商不足3家的，采购人或者采购代理机构应当重新开展采购活动</w:t>
      </w:r>
      <w:r>
        <w:rPr>
          <w:rFonts w:hint="eastAsia" w:ascii="宋体" w:hAnsi="宋体" w:cs="宋体"/>
          <w:color w:val="auto"/>
          <w:szCs w:val="21"/>
          <w:highlight w:val="none"/>
        </w:rPr>
        <w:t>。</w:t>
      </w:r>
    </w:p>
    <w:p w14:paraId="352CA50D">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 xml:space="preserve"> 最后报价</w:t>
      </w:r>
    </w:p>
    <w:p w14:paraId="0CC4A2A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.1</w:t>
      </w:r>
      <w:r>
        <w:rPr>
          <w:rFonts w:hint="eastAsia" w:ascii="宋体" w:hAnsi="宋体" w:cs="宋体"/>
          <w:color w:val="auto"/>
          <w:szCs w:val="21"/>
          <w:highlight w:val="none"/>
        </w:rPr>
        <w:t>谈判文件能够详细列明采购标的的技术、服务要求的，谈判结束后，谈判小组应当要求所有继续参加谈判的供应商在规定时间内在广西政府采购云平台开标大厅提交最后报价，除本章第3.7条外，提交最后报价的供应商不得少于3家，否则应当重新采购。</w:t>
      </w:r>
    </w:p>
    <w:p w14:paraId="6EA11D69">
      <w:pPr>
        <w:spacing w:line="360" w:lineRule="auto"/>
        <w:ind w:firstLine="420"/>
        <w:rPr>
          <w:rFonts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在广西政府采购云平台开标大厅提交最后报价。</w:t>
      </w:r>
    </w:p>
    <w:p w14:paraId="35F23430">
      <w:pPr>
        <w:spacing w:line="360" w:lineRule="auto"/>
        <w:ind w:firstLine="420"/>
        <w:rPr>
          <w:rFonts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最后报价是供应商响应文件的有效组成部分。</w:t>
      </w:r>
    </w:p>
    <w:p w14:paraId="27C8F6C5">
      <w:pPr>
        <w:spacing w:line="360" w:lineRule="auto"/>
        <w:ind w:firstLine="420"/>
        <w:rPr>
          <w:rFonts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已经提交响应文件的供应商，在提交最后报价之前，可以根据谈判情况退出谈判，退出谈判的供应商的响应文件按无效响应处理。采购人、采购代理机构将退还退出谈判的供应商的保证金。</w:t>
      </w:r>
    </w:p>
    <w:p w14:paraId="63AFBB88">
      <w:pPr>
        <w:spacing w:line="360" w:lineRule="auto"/>
        <w:ind w:firstLine="420"/>
        <w:rPr>
          <w:rFonts w:ascii="宋体" w:hAnsi="宋体" w:cs="宋体"/>
          <w:color w:val="auto"/>
          <w:szCs w:val="21"/>
          <w:highlight w:val="none"/>
        </w:rPr>
      </w:pPr>
      <w:r>
        <w:rPr>
          <w:rFonts w:ascii="宋体" w:hAnsi="宋体" w:cs="宋体"/>
          <w:color w:val="auto"/>
          <w:szCs w:val="21"/>
          <w:highlight w:val="none"/>
        </w:rPr>
        <w:t>5.5</w:t>
      </w:r>
      <w:r>
        <w:rPr>
          <w:rFonts w:hint="eastAsia" w:ascii="宋体" w:hAnsi="宋体" w:cs="宋体"/>
          <w:color w:val="auto"/>
          <w:szCs w:val="21"/>
          <w:highlight w:val="none"/>
        </w:rPr>
        <w:t>供应商未在规定时间内提交最后报价的，视为退出谈判，其响应文件按无效处理。</w:t>
      </w:r>
    </w:p>
    <w:p w14:paraId="67BA33A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.6</w:t>
      </w:r>
      <w:r>
        <w:rPr>
          <w:rFonts w:hint="eastAsia" w:ascii="宋体" w:hAnsi="宋体" w:cs="宋体"/>
          <w:color w:val="auto"/>
          <w:szCs w:val="21"/>
          <w:highlight w:val="none"/>
        </w:rPr>
        <w:t>最后报价统一开启后，谈判小组对最后报价进行有效性、完整性和响应程度的审查。</w:t>
      </w:r>
    </w:p>
    <w:p w14:paraId="6D5DB443">
      <w:pPr>
        <w:spacing w:line="360" w:lineRule="auto"/>
        <w:ind w:firstLine="420"/>
        <w:rPr>
          <w:rFonts w:ascii="宋体" w:hAnsi="宋体" w:cs="宋体"/>
          <w:color w:val="auto"/>
          <w:szCs w:val="21"/>
          <w:highlight w:val="none"/>
        </w:rPr>
      </w:pPr>
      <w:r>
        <w:rPr>
          <w:rFonts w:ascii="宋体" w:hAnsi="宋体" w:cs="宋体"/>
          <w:color w:val="auto"/>
          <w:szCs w:val="21"/>
          <w:highlight w:val="none"/>
        </w:rPr>
        <w:t>5.7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3.4</w:t>
      </w:r>
      <w:r>
        <w:rPr>
          <w:rFonts w:hint="eastAsia" w:ascii="宋体" w:hAnsi="宋体" w:cs="宋体"/>
          <w:color w:val="auto"/>
          <w:szCs w:val="21"/>
          <w:highlight w:val="none"/>
        </w:rPr>
        <w:t xml:space="preserve">条的规定修正。 </w:t>
      </w:r>
    </w:p>
    <w:p w14:paraId="3ED95990">
      <w:pPr>
        <w:spacing w:line="360" w:lineRule="auto"/>
        <w:ind w:firstLine="420"/>
        <w:rPr>
          <w:rFonts w:ascii="宋体" w:hAnsi="宋体" w:cs="宋体"/>
          <w:color w:val="auto"/>
          <w:szCs w:val="21"/>
          <w:highlight w:val="none"/>
        </w:rPr>
      </w:pPr>
      <w:r>
        <w:rPr>
          <w:rFonts w:ascii="宋体" w:hAnsi="宋体" w:cs="宋体"/>
          <w:color w:val="auto"/>
          <w:szCs w:val="21"/>
          <w:highlight w:val="none"/>
        </w:rPr>
        <w:t>5.8</w:t>
      </w:r>
      <w:r>
        <w:rPr>
          <w:rFonts w:hint="eastAsia" w:ascii="宋体" w:hAnsi="宋体" w:cs="宋体"/>
          <w:color w:val="auto"/>
          <w:szCs w:val="21"/>
          <w:highlight w:val="none"/>
        </w:rPr>
        <w:t>修正后的报价出现下列情形的，按无效响应处理：</w:t>
      </w:r>
    </w:p>
    <w:p w14:paraId="334DC07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48DD057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6228AD6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4D923C10">
      <w:pPr>
        <w:spacing w:line="360" w:lineRule="auto"/>
        <w:ind w:firstLine="420"/>
        <w:rPr>
          <w:rFonts w:ascii="宋体" w:hAnsi="宋体" w:cs="宋体"/>
          <w:color w:val="auto"/>
          <w:szCs w:val="21"/>
          <w:highlight w:val="none"/>
        </w:rPr>
      </w:pPr>
      <w:r>
        <w:rPr>
          <w:rFonts w:ascii="宋体" w:hAnsi="宋体" w:cs="宋体"/>
          <w:color w:val="auto"/>
          <w:szCs w:val="21"/>
          <w:highlight w:val="none"/>
        </w:rPr>
        <w:t>5.9</w:t>
      </w:r>
      <w:r>
        <w:rPr>
          <w:rFonts w:hint="eastAsia" w:ascii="宋体" w:hAnsi="宋体" w:cs="宋体"/>
          <w:color w:val="auto"/>
          <w:szCs w:val="21"/>
          <w:highlight w:val="none"/>
        </w:rPr>
        <w:t>经供应商确认修正后的最后报价作为评审及签订合同的依据。</w:t>
      </w:r>
    </w:p>
    <w:p w14:paraId="7E17094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，谈判小组应当告知有关供应商</w:t>
      </w:r>
      <w:r>
        <w:rPr>
          <w:rFonts w:hint="eastAsia" w:ascii="宋体" w:hAnsi="宋体" w:cs="宋体"/>
          <w:color w:val="auto"/>
          <w:szCs w:val="21"/>
          <w:highlight w:val="none"/>
        </w:rPr>
        <w:t>。</w:t>
      </w:r>
    </w:p>
    <w:p w14:paraId="54CADB7A">
      <w:pPr>
        <w:spacing w:line="360" w:lineRule="auto"/>
        <w:ind w:firstLine="420"/>
        <w:rPr>
          <w:rFonts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1最后报价结束后，谈判小组不得再与供应商进行任何形式的商谈。</w:t>
      </w:r>
    </w:p>
    <w:p w14:paraId="0552C1A6">
      <w:pPr>
        <w:spacing w:line="360" w:lineRule="auto"/>
        <w:ind w:firstLine="472"/>
        <w:rPr>
          <w:rFonts w:ascii="黑体" w:hAnsi="黑体" w:eastAsia="黑体" w:cs="宋体"/>
          <w:b/>
          <w:bCs/>
          <w:color w:val="auto"/>
          <w:sz w:val="24"/>
          <w:highlight w:val="none"/>
        </w:rPr>
      </w:pPr>
      <w:r>
        <w:rPr>
          <w:rFonts w:ascii="黑体" w:hAnsi="黑体" w:eastAsia="黑体" w:cs="宋体"/>
          <w:b/>
          <w:bCs/>
          <w:color w:val="auto"/>
          <w:sz w:val="24"/>
          <w:highlight w:val="none"/>
        </w:rPr>
        <w:t>6.</w:t>
      </w:r>
      <w:r>
        <w:rPr>
          <w:rFonts w:hint="eastAsia" w:ascii="黑体" w:hAnsi="黑体" w:eastAsia="黑体" w:cs="宋体"/>
          <w:b/>
          <w:bCs/>
          <w:color w:val="auto"/>
          <w:sz w:val="24"/>
          <w:highlight w:val="none"/>
        </w:rPr>
        <w:t xml:space="preserve"> 最后报价及政府采购政策性扣除</w:t>
      </w:r>
    </w:p>
    <w:p w14:paraId="52DBA71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.1</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4FA6EB03">
      <w:pPr>
        <w:spacing w:line="360" w:lineRule="auto"/>
        <w:ind w:firstLine="424"/>
        <w:jc w:val="left"/>
        <w:rPr>
          <w:rFonts w:ascii="宋体" w:hAnsi="宋体"/>
          <w:color w:val="auto"/>
          <w:spacing w:val="-6"/>
          <w:szCs w:val="21"/>
          <w:highlight w:val="none"/>
        </w:rPr>
      </w:pPr>
      <w:r>
        <w:rPr>
          <w:rFonts w:ascii="宋体" w:hAnsi="宋体" w:cs="宋体"/>
          <w:color w:val="auto"/>
          <w:szCs w:val="21"/>
          <w:highlight w:val="none"/>
        </w:rPr>
        <w:t>6.2</w:t>
      </w:r>
      <w:r>
        <w:rPr>
          <w:rFonts w:hint="eastAsia" w:ascii="宋体" w:hAnsi="宋体"/>
          <w:color w:val="auto"/>
          <w:szCs w:val="21"/>
          <w:highlight w:val="none"/>
        </w:rPr>
        <w:t>异常低价响应审查</w:t>
      </w:r>
    </w:p>
    <w:p w14:paraId="5192A602">
      <w:pPr>
        <w:spacing w:line="360" w:lineRule="auto"/>
        <w:ind w:firstLine="420"/>
        <w:rPr>
          <w:rFonts w:ascii="宋体" w:hAnsi="宋体"/>
          <w:color w:val="auto"/>
          <w:szCs w:val="21"/>
          <w:highlight w:val="none"/>
        </w:rPr>
      </w:pPr>
      <w:r>
        <w:rPr>
          <w:rFonts w:hint="eastAsia" w:ascii="宋体" w:hAnsi="宋体"/>
          <w:color w:val="auto"/>
          <w:szCs w:val="21"/>
          <w:highlight w:val="none"/>
        </w:rPr>
        <w:t>（1）谈判小组在评审中发现下列情形之一的，应当启动异常低价响应审查程序：</w:t>
      </w:r>
    </w:p>
    <w:p w14:paraId="01F7855B">
      <w:pPr>
        <w:spacing w:line="360" w:lineRule="auto"/>
        <w:ind w:firstLine="420"/>
        <w:rPr>
          <w:rFonts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hint="eastAsia" w:ascii="宋体" w:hAnsi="宋体"/>
          <w:color w:val="auto"/>
          <w:szCs w:val="21"/>
          <w:highlight w:val="none"/>
          <w:u w:val="single"/>
        </w:rPr>
        <w:t>50%</w:t>
      </w:r>
      <w:r>
        <w:rPr>
          <w:rFonts w:hint="eastAsia" w:ascii="宋体" w:hAnsi="宋体"/>
          <w:color w:val="auto"/>
          <w:szCs w:val="21"/>
          <w:highlight w:val="none"/>
        </w:rPr>
        <w:t>的，即响应报价＜全部通过符合性审查供应商响应报价平均值×</w:t>
      </w:r>
      <w:r>
        <w:rPr>
          <w:rFonts w:hint="eastAsia" w:ascii="宋体" w:hAnsi="宋体"/>
          <w:color w:val="auto"/>
          <w:szCs w:val="21"/>
          <w:highlight w:val="none"/>
          <w:u w:val="single"/>
        </w:rPr>
        <w:t>50%</w:t>
      </w:r>
      <w:r>
        <w:rPr>
          <w:rFonts w:hint="eastAsia" w:ascii="宋体" w:hAnsi="宋体"/>
          <w:color w:val="auto"/>
          <w:szCs w:val="21"/>
          <w:highlight w:val="none"/>
        </w:rPr>
        <w:t>；②响应报价低于通过符合性审查的次低报价供应商响应报价</w:t>
      </w:r>
      <w:r>
        <w:rPr>
          <w:rFonts w:hint="eastAsia" w:ascii="宋体" w:hAnsi="宋体"/>
          <w:color w:val="auto"/>
          <w:szCs w:val="21"/>
          <w:highlight w:val="none"/>
          <w:u w:val="single"/>
        </w:rPr>
        <w:t>50%</w:t>
      </w:r>
      <w:r>
        <w:rPr>
          <w:rFonts w:hint="eastAsia" w:ascii="宋体" w:hAnsi="宋体"/>
          <w:color w:val="auto"/>
          <w:szCs w:val="21"/>
          <w:highlight w:val="none"/>
        </w:rPr>
        <w:t>的，即响应报价＜通过符合性审查的次低报价供应商响应报价×50</w:t>
      </w:r>
      <w:r>
        <w:rPr>
          <w:rFonts w:hint="eastAsia" w:ascii="宋体" w:hAnsi="宋体"/>
          <w:color w:val="auto"/>
          <w:szCs w:val="21"/>
          <w:highlight w:val="none"/>
          <w:u w:val="single"/>
        </w:rPr>
        <w:t>%</w:t>
      </w:r>
      <w:r>
        <w:rPr>
          <w:rFonts w:hint="eastAsia" w:ascii="宋体" w:hAnsi="宋体"/>
          <w:color w:val="auto"/>
          <w:szCs w:val="21"/>
          <w:highlight w:val="none"/>
        </w:rPr>
        <w:t>；③响应报价低于采购项目最高限价</w:t>
      </w:r>
      <w:r>
        <w:rPr>
          <w:rFonts w:hint="eastAsia" w:ascii="宋体" w:hAnsi="宋体"/>
          <w:color w:val="auto"/>
          <w:szCs w:val="21"/>
          <w:highlight w:val="none"/>
          <w:u w:val="single"/>
        </w:rPr>
        <w:t>45%</w:t>
      </w:r>
      <w:r>
        <w:rPr>
          <w:rFonts w:hint="eastAsia" w:ascii="宋体" w:hAnsi="宋体"/>
          <w:color w:val="auto"/>
          <w:szCs w:val="21"/>
          <w:highlight w:val="none"/>
        </w:rPr>
        <w:t>的，即响应报价＜采购项目最高限价×</w:t>
      </w:r>
      <w:r>
        <w:rPr>
          <w:rFonts w:hint="eastAsia" w:ascii="宋体" w:hAnsi="宋体"/>
          <w:color w:val="auto"/>
          <w:szCs w:val="21"/>
          <w:highlight w:val="none"/>
          <w:u w:val="single"/>
        </w:rPr>
        <w:t>45%</w:t>
      </w:r>
      <w:r>
        <w:rPr>
          <w:rFonts w:hint="eastAsia" w:ascii="宋体" w:hAnsi="宋体"/>
          <w:color w:val="auto"/>
          <w:szCs w:val="21"/>
          <w:highlight w:val="none"/>
        </w:rPr>
        <w:t>；④谈判小组基于专业判断，认为供应商报价过低，有可能影响产品质量或者不能诚信履约的其他情形。</w:t>
      </w:r>
    </w:p>
    <w:p w14:paraId="0FC39362">
      <w:pPr>
        <w:spacing w:line="360" w:lineRule="auto"/>
        <w:ind w:firstLine="420"/>
        <w:rPr>
          <w:rFonts w:ascii="宋体" w:hAnsi="宋体"/>
          <w:color w:val="auto"/>
          <w:szCs w:val="21"/>
          <w:highlight w:val="none"/>
        </w:rPr>
      </w:pPr>
      <w:r>
        <w:rPr>
          <w:rFonts w:hint="eastAsia" w:ascii="宋体" w:hAnsi="宋体"/>
          <w:color w:val="auto"/>
          <w:szCs w:val="21"/>
          <w:highlight w:val="none"/>
        </w:rPr>
        <w:t>（2）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5CF9C73B">
      <w:pPr>
        <w:spacing w:line="360" w:lineRule="auto"/>
        <w:ind w:firstLine="420"/>
        <w:rPr>
          <w:rFonts w:ascii="宋体" w:hAnsi="宋体"/>
          <w:color w:val="auto"/>
          <w:szCs w:val="21"/>
          <w:highlight w:val="none"/>
        </w:rPr>
      </w:pPr>
      <w:r>
        <w:rPr>
          <w:rFonts w:hint="eastAsia" w:ascii="宋体" w:hAnsi="宋体"/>
          <w:color w:val="auto"/>
          <w:szCs w:val="21"/>
          <w:highlight w:val="none"/>
        </w:rPr>
        <w:t>谈判小组依据专业经验，参考同类项目中标（成交）价格、类似产品市场价格水平、行业人工费用标准、国家有关部门指导行业协会发布的行业平均成本等情况，对报价合理性进行判断。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相关供应商不能提供书面说明、证明材料，或者提供的书面说明、证明材料不能证明其报价合理性的，谈判小组应当将其作为无效响应处理。</w:t>
      </w:r>
    </w:p>
    <w:p w14:paraId="755D0EDA">
      <w:pPr>
        <w:spacing w:line="360" w:lineRule="auto"/>
        <w:ind w:firstLine="420"/>
        <w:rPr>
          <w:rFonts w:ascii="宋体" w:hAnsi="宋体"/>
          <w:color w:val="auto"/>
          <w:szCs w:val="21"/>
          <w:highlight w:val="none"/>
        </w:rPr>
      </w:pPr>
      <w:r>
        <w:rPr>
          <w:rFonts w:hint="eastAsia" w:ascii="宋体" w:hAnsi="宋体"/>
          <w:color w:val="auto"/>
          <w:szCs w:val="21"/>
          <w:highlight w:val="none"/>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0E0FBB08">
      <w:pPr>
        <w:spacing w:line="360" w:lineRule="auto"/>
        <w:ind w:firstLine="420"/>
        <w:rPr>
          <w:rFonts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异常低价响应审查的启动原因、审查意见和审查结果应当在评审报告中记录，并随供应商提供的相关书面说明及证明材料，以及谈判小组有关互联网浏览、查询历史一并归档。</w:t>
      </w:r>
    </w:p>
    <w:p w14:paraId="0C86E2DF">
      <w:pPr>
        <w:spacing w:line="360" w:lineRule="auto"/>
        <w:ind w:firstLine="420"/>
        <w:rPr>
          <w:rFonts w:ascii="宋体" w:hAnsi="宋体" w:cs="宋体"/>
          <w:color w:val="auto"/>
          <w:highlight w:val="none"/>
        </w:rPr>
      </w:pPr>
      <w:r>
        <w:rPr>
          <w:rFonts w:hint="eastAsia" w:hAnsi="宋体" w:cs="Courier New"/>
          <w:bCs/>
          <w:color w:val="auto"/>
          <w:highlight w:val="none"/>
        </w:rPr>
        <w:t>6</w:t>
      </w:r>
      <w:r>
        <w:rPr>
          <w:rFonts w:hAnsi="宋体" w:cs="Courier New"/>
          <w:bCs/>
          <w:color w:val="auto"/>
          <w:highlight w:val="none"/>
        </w:rPr>
        <w:t>.3</w:t>
      </w:r>
      <w:r>
        <w:rPr>
          <w:rFonts w:hint="eastAsia" w:hAnsi="宋体" w:cs="Courier New"/>
          <w:bCs/>
          <w:color w:val="auto"/>
          <w:highlight w:val="none"/>
        </w:rPr>
        <w:t>中小企业政策性扣除计算方法</w:t>
      </w:r>
    </w:p>
    <w:p w14:paraId="2DBA4AFF">
      <w:pPr>
        <w:spacing w:line="360" w:lineRule="auto"/>
        <w:ind w:firstLine="369"/>
        <w:rPr>
          <w:rFonts w:ascii="宋体" w:hAnsi="宋体" w:cs="宋体"/>
          <w:color w:val="auto"/>
          <w:highlight w:val="none"/>
        </w:rPr>
      </w:pPr>
      <w:r>
        <w:rPr>
          <w:rFonts w:hint="eastAsia" w:ascii="宋体" w:hAnsi="宋体" w:cs="宋体"/>
          <w:color w:val="auto"/>
          <w:szCs w:val="21"/>
          <w:highlight w:val="none"/>
        </w:rPr>
        <w:t>根据《政府采购促进中小企业发展管理办法》（财库〔2020〕46号）</w:t>
      </w:r>
      <w:r>
        <w:rPr>
          <w:rFonts w:hint="eastAsia" w:ascii="宋体" w:hAnsi="宋体"/>
          <w:bCs/>
          <w:color w:val="auto"/>
          <w:szCs w:val="21"/>
          <w:highlight w:val="none"/>
        </w:rPr>
        <w:t>及《广西壮族自治区财政厅关于持续优化政府采购营商环境推动高质量发展的通知》（桂财采〔2024〕55号）的规定，供应商在其响应文件中提供《中小企业声明函》，且响应货物全部由小微企业制造，对供应商的竞标报价给予</w:t>
      </w:r>
      <w:r>
        <w:rPr>
          <w:rFonts w:hint="eastAsia" w:ascii="宋体" w:hAnsi="宋体"/>
          <w:bCs/>
          <w:color w:val="auto"/>
          <w:szCs w:val="21"/>
          <w:highlight w:val="none"/>
          <w:u w:val="single"/>
        </w:rPr>
        <w:t>20%</w:t>
      </w:r>
      <w:r>
        <w:rPr>
          <w:rFonts w:hint="eastAsia" w:ascii="宋体" w:hAnsi="宋体"/>
          <w:bCs/>
          <w:color w:val="auto"/>
          <w:szCs w:val="21"/>
          <w:highlight w:val="none"/>
        </w:rPr>
        <w:t>（范围为10%-20%）的扣除，扣除后的价格为评审价，即中小企业政策性折扣=竞标报价×</w:t>
      </w:r>
      <w:r>
        <w:rPr>
          <w:rFonts w:hint="eastAsia" w:ascii="宋体" w:hAnsi="宋体"/>
          <w:bCs/>
          <w:color w:val="auto"/>
          <w:szCs w:val="21"/>
          <w:highlight w:val="none"/>
          <w:u w:val="single"/>
        </w:rPr>
        <w:t>20%</w:t>
      </w:r>
      <w:r>
        <w:rPr>
          <w:rFonts w:hint="eastAsia" w:ascii="宋体" w:hAnsi="宋体"/>
          <w:bCs/>
          <w:color w:val="auto"/>
          <w:szCs w:val="21"/>
          <w:highlight w:val="none"/>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bCs/>
          <w:color w:val="auto"/>
          <w:szCs w:val="21"/>
          <w:highlight w:val="none"/>
          <w:u w:val="single"/>
        </w:rPr>
        <w:t>6%</w:t>
      </w:r>
      <w:r>
        <w:rPr>
          <w:rFonts w:hint="eastAsia" w:ascii="宋体" w:hAnsi="宋体"/>
          <w:bCs/>
          <w:color w:val="auto"/>
          <w:szCs w:val="21"/>
          <w:highlight w:val="none"/>
        </w:rPr>
        <w:t>（范围为4%-6%）的扣除，用扣除后的价格参加评审，扣除后的价格为评审价，即中小企业</w:t>
      </w:r>
      <w:r>
        <w:rPr>
          <w:rFonts w:hint="eastAsia" w:hAnsi="宋体" w:cs="Courier New"/>
          <w:bCs/>
          <w:color w:val="auto"/>
          <w:highlight w:val="none"/>
        </w:rPr>
        <w:t>政策性</w:t>
      </w:r>
      <w:r>
        <w:rPr>
          <w:rFonts w:hint="eastAsia" w:ascii="宋体" w:hAnsi="宋体"/>
          <w:bCs/>
          <w:color w:val="auto"/>
          <w:szCs w:val="21"/>
          <w:highlight w:val="none"/>
        </w:rPr>
        <w:t>折扣=竞标报价×</w:t>
      </w:r>
      <w:r>
        <w:rPr>
          <w:rFonts w:hint="eastAsia" w:ascii="宋体" w:hAnsi="宋体"/>
          <w:bCs/>
          <w:color w:val="auto"/>
          <w:szCs w:val="21"/>
          <w:highlight w:val="none"/>
          <w:u w:val="single"/>
        </w:rPr>
        <w:t>6%</w:t>
      </w:r>
      <w:r>
        <w:rPr>
          <w:rFonts w:hint="eastAsia" w:ascii="宋体" w:hAnsi="宋体"/>
          <w:bCs/>
          <w:color w:val="auto"/>
          <w:szCs w:val="21"/>
          <w:highlight w:val="none"/>
        </w:rPr>
        <w:t>。除上述情况外，评审价=竞标报价。</w:t>
      </w:r>
    </w:p>
    <w:p w14:paraId="5EDBE523">
      <w:pPr>
        <w:spacing w:line="360" w:lineRule="auto"/>
        <w:ind w:firstLine="420"/>
        <w:rPr>
          <w:rFonts w:ascii="宋体" w:hAnsi="宋体" w:cs="宋体"/>
          <w:color w:val="auto"/>
          <w:szCs w:val="21"/>
          <w:highlight w:val="none"/>
        </w:rPr>
      </w:pPr>
      <w:r>
        <w:rPr>
          <w:rFonts w:ascii="宋体" w:hAnsi="宋体" w:cs="宋体"/>
          <w:color w:val="auto"/>
          <w:szCs w:val="21"/>
          <w:highlight w:val="none"/>
        </w:rPr>
        <w:t>6.4</w:t>
      </w:r>
      <w:r>
        <w:rPr>
          <w:rFonts w:hint="eastAsia" w:ascii="宋体" w:hAnsi="宋体" w:cs="宋体"/>
          <w:color w:val="auto"/>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Pr>
          <w:rFonts w:hint="eastAsia" w:ascii="宋体" w:hAnsi="宋体"/>
          <w:bCs/>
          <w:color w:val="auto"/>
          <w:szCs w:val="21"/>
          <w:highlight w:val="none"/>
        </w:rPr>
        <w:t>监狱企业属于小型、微型企业的，</w:t>
      </w:r>
      <w:r>
        <w:rPr>
          <w:rFonts w:hint="eastAsia" w:ascii="宋体" w:hAnsi="宋体" w:cs="宋体"/>
          <w:color w:val="auto"/>
          <w:szCs w:val="21"/>
          <w:highlight w:val="none"/>
        </w:rPr>
        <w:t>不重复享受政策。</w:t>
      </w:r>
    </w:p>
    <w:p w14:paraId="34F25B03">
      <w:pPr>
        <w:spacing w:line="360" w:lineRule="auto"/>
        <w:ind w:firstLine="420"/>
        <w:rPr>
          <w:rFonts w:ascii="宋体" w:hAnsi="宋体" w:cs="宋体"/>
          <w:color w:val="auto"/>
          <w:highlight w:val="none"/>
        </w:rPr>
      </w:pPr>
      <w:r>
        <w:rPr>
          <w:rFonts w:ascii="宋体" w:hAnsi="宋体" w:cs="宋体"/>
          <w:color w:val="auto"/>
          <w:szCs w:val="21"/>
          <w:highlight w:val="none"/>
        </w:rPr>
        <w:t>6.5</w:t>
      </w:r>
      <w:r>
        <w:rPr>
          <w:rFonts w:hint="eastAsia" w:ascii="宋体" w:hAnsi="宋体" w:cs="宋体"/>
          <w:color w:val="auto"/>
          <w:szCs w:val="21"/>
          <w:highlight w:val="none"/>
        </w:rPr>
        <w:t>按照《关于促进残疾人就业政府采购政策的通知》（财库〔2017〕141号）的规定，残疾人福利性单位视同小型、微型企业，享受预留份额、评审中价格扣除等</w:t>
      </w:r>
      <w:r>
        <w:rPr>
          <w:rFonts w:hint="eastAsia" w:ascii="宋体" w:hAnsi="宋体" w:cs="宋体"/>
          <w:color w:val="auto"/>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09A6020">
      <w:pPr>
        <w:spacing w:line="360" w:lineRule="auto"/>
        <w:ind w:firstLine="420"/>
        <w:rPr>
          <w:rFonts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.6</w:t>
      </w:r>
      <w:r>
        <w:rPr>
          <w:rFonts w:hint="eastAsia" w:ascii="宋体" w:hAnsi="宋体"/>
          <w:color w:val="auto"/>
          <w:szCs w:val="21"/>
          <w:highlight w:val="none"/>
        </w:rPr>
        <w:t>本国产品政策性扣除计算方法。</w:t>
      </w:r>
    </w:p>
    <w:p w14:paraId="4D6683E4">
      <w:pPr>
        <w:spacing w:line="360" w:lineRule="auto"/>
        <w:ind w:firstLine="420"/>
        <w:rPr>
          <w:rFonts w:ascii="宋体" w:hAnsi="宋体"/>
          <w:color w:val="auto"/>
          <w:szCs w:val="21"/>
          <w:highlight w:val="none"/>
        </w:rPr>
      </w:pPr>
      <w:r>
        <w:rPr>
          <w:rFonts w:hint="eastAsia" w:ascii="宋体" w:hAnsi="宋体"/>
          <w:color w:val="auto"/>
          <w:szCs w:val="21"/>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70DE9A9E">
      <w:pPr>
        <w:spacing w:line="360" w:lineRule="auto"/>
        <w:ind w:firstLine="420"/>
        <w:rPr>
          <w:rFonts w:ascii="宋体" w:hAnsi="宋体"/>
          <w:color w:val="auto"/>
          <w:szCs w:val="21"/>
          <w:highlight w:val="none"/>
        </w:rPr>
      </w:pPr>
      <w:r>
        <w:rPr>
          <w:rFonts w:hint="eastAsia" w:ascii="宋体" w:hAnsi="宋体"/>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hAnsi="宋体"/>
          <w:color w:val="auto"/>
          <w:highlight w:val="none"/>
        </w:rPr>
        <w:t>未达到80%，不享受价格评审优惠。</w:t>
      </w:r>
    </w:p>
    <w:p w14:paraId="26DE829B">
      <w:pPr>
        <w:spacing w:line="360" w:lineRule="auto"/>
        <w:ind w:firstLine="420"/>
        <w:rPr>
          <w:rFonts w:ascii="宋体" w:hAnsi="宋体"/>
          <w:color w:val="auto"/>
          <w:szCs w:val="21"/>
          <w:highlight w:val="none"/>
        </w:rPr>
      </w:pPr>
      <w:r>
        <w:rPr>
          <w:rFonts w:hint="eastAsia" w:hAnsi="宋体"/>
          <w:color w:val="auto"/>
          <w:highlight w:val="none"/>
        </w:rPr>
        <w:t>如果所有参与竞争的供应商均可享受本国产品价格评审优惠，则统一不进行价格扣除。</w:t>
      </w:r>
    </w:p>
    <w:p w14:paraId="41453AAB">
      <w:pPr>
        <w:spacing w:line="360" w:lineRule="auto"/>
        <w:ind w:firstLine="420"/>
        <w:rPr>
          <w:rFonts w:ascii="宋体" w:hAnsi="宋体"/>
          <w:color w:val="auto"/>
          <w:szCs w:val="21"/>
          <w:highlight w:val="none"/>
        </w:rPr>
      </w:pPr>
      <w:r>
        <w:rPr>
          <w:rFonts w:hint="eastAsia" w:ascii="宋体" w:hAnsi="宋体"/>
          <w:color w:val="auto"/>
          <w:szCs w:val="21"/>
          <w:highlight w:val="none"/>
        </w:rPr>
        <w:t>供应商在其响应文件中提供《关于符合本国产品标准的声明函》或财政部会同有关部门规定的有关证明文件，出具符合要求的《声明函》或有关证明文件的，该产品视为本国产品。</w:t>
      </w:r>
    </w:p>
    <w:p w14:paraId="17E87B1B">
      <w:pPr>
        <w:spacing w:line="360" w:lineRule="auto"/>
        <w:ind w:firstLine="420"/>
        <w:rPr>
          <w:rFonts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.7</w:t>
      </w:r>
      <w:r>
        <w:rPr>
          <w:rFonts w:hint="eastAsia" w:ascii="宋体" w:hAnsi="宋体"/>
          <w:color w:val="auto"/>
          <w:szCs w:val="21"/>
          <w:highlight w:val="none"/>
        </w:rPr>
        <w:t>中小企业政策性折扣与本国产品政策性折扣进行叠加计算，用扣除后的价格参加评审。即评审价=竞标报价-</w:t>
      </w:r>
      <w:r>
        <w:rPr>
          <w:rFonts w:hint="eastAsia" w:hAnsi="宋体" w:cs="Courier New"/>
          <w:bCs/>
          <w:color w:val="auto"/>
          <w:highlight w:val="none"/>
        </w:rPr>
        <w:t>中小企业政策性</w:t>
      </w:r>
      <w:r>
        <w:rPr>
          <w:rFonts w:hint="eastAsia" w:ascii="宋体" w:hAnsi="宋体"/>
          <w:color w:val="auto"/>
          <w:szCs w:val="21"/>
          <w:highlight w:val="none"/>
        </w:rPr>
        <w:t>折扣-本国产品政策性折扣，除上述情况外，评审价=竞标报价。</w:t>
      </w:r>
    </w:p>
    <w:p w14:paraId="4CC76B23">
      <w:pPr>
        <w:spacing w:line="360" w:lineRule="auto"/>
        <w:ind w:firstLine="420"/>
        <w:rPr>
          <w:rFonts w:ascii="宋体" w:hAnsi="宋体" w:cs="宋体"/>
          <w:color w:val="auto"/>
          <w:highlight w:val="none"/>
        </w:rPr>
      </w:pPr>
    </w:p>
    <w:p w14:paraId="1965FDA0">
      <w:pPr>
        <w:spacing w:line="360" w:lineRule="auto"/>
        <w:jc w:val="center"/>
        <w:rPr>
          <w:rFonts w:ascii="宋体" w:hAnsi="宋体"/>
          <w:b/>
          <w:color w:val="auto"/>
          <w:sz w:val="32"/>
          <w:szCs w:val="32"/>
          <w:highlight w:val="none"/>
        </w:rPr>
      </w:pPr>
    </w:p>
    <w:p w14:paraId="78BFA9C7">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二、评定成交的标准</w:t>
      </w:r>
    </w:p>
    <w:p w14:paraId="6BE14282">
      <w:pPr>
        <w:spacing w:line="360" w:lineRule="auto"/>
        <w:ind w:firstLine="482"/>
        <w:rPr>
          <w:rFonts w:ascii="黑体" w:hAnsi="黑体" w:eastAsia="黑体" w:cs="宋体"/>
          <w:b/>
          <w:bCs/>
          <w:color w:val="auto"/>
          <w:sz w:val="24"/>
          <w:highlight w:val="none"/>
        </w:rPr>
      </w:pPr>
      <w:r>
        <w:rPr>
          <w:rFonts w:ascii="黑体" w:hAnsi="黑体" w:eastAsia="黑体" w:cs="宋体"/>
          <w:b/>
          <w:bCs/>
          <w:color w:val="auto"/>
          <w:sz w:val="24"/>
          <w:highlight w:val="none"/>
        </w:rPr>
        <w:t>7.</w:t>
      </w:r>
      <w:r>
        <w:rPr>
          <w:rFonts w:hint="eastAsia" w:ascii="黑体" w:hAnsi="黑体" w:eastAsia="黑体" w:cs="宋体"/>
          <w:b/>
          <w:bCs/>
          <w:color w:val="auto"/>
          <w:sz w:val="24"/>
          <w:highlight w:val="none"/>
        </w:rPr>
        <w:t xml:space="preserve"> 成交候选人推荐</w:t>
      </w:r>
    </w:p>
    <w:p w14:paraId="3BC161F3">
      <w:pPr>
        <w:spacing w:line="400" w:lineRule="exact"/>
        <w:ind w:firstLine="420"/>
        <w:contextualSpacing/>
        <w:rPr>
          <w:color w:val="auto"/>
          <w:highlight w:val="none"/>
        </w:rPr>
      </w:pPr>
      <w:r>
        <w:rPr>
          <w:rFonts w:hint="eastAsia" w:ascii="宋体" w:hAnsi="宋体" w:cs="宋体"/>
          <w:color w:val="auto"/>
          <w:highlight w:val="none"/>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w:t>
      </w:r>
      <w:r>
        <w:rPr>
          <w:rFonts w:ascii="宋体" w:hAnsi="宋体" w:cs="宋体"/>
          <w:color w:val="auto"/>
          <w:highlight w:val="none"/>
        </w:rPr>
        <w:t>6</w:t>
      </w:r>
      <w:r>
        <w:rPr>
          <w:rFonts w:hint="eastAsia" w:ascii="宋体" w:hAnsi="宋体" w:cs="宋体"/>
          <w:color w:val="auto"/>
          <w:highlight w:val="none"/>
        </w:rPr>
        <w:t>条规定的顺序推荐），并编写评审报告，评审报告</w:t>
      </w:r>
      <w:r>
        <w:rPr>
          <w:rFonts w:hint="eastAsia" w:hAnsi="宋体"/>
          <w:color w:val="auto"/>
          <w:highlight w:val="none"/>
        </w:rPr>
        <w:t>通过电子交易平台向采购人、采购代理机构提交。</w:t>
      </w:r>
    </w:p>
    <w:p w14:paraId="04D77056">
      <w:pPr>
        <w:rPr>
          <w:color w:val="auto"/>
          <w:highlight w:val="none"/>
        </w:rPr>
      </w:pPr>
    </w:p>
    <w:p w14:paraId="57FD4A8A">
      <w:pPr>
        <w:rPr>
          <w:color w:val="auto"/>
          <w:highlight w:val="none"/>
        </w:rPr>
      </w:pPr>
    </w:p>
    <w:p w14:paraId="2B216BEC">
      <w:pPr>
        <w:pStyle w:val="299"/>
        <w:rPr>
          <w:color w:val="auto"/>
          <w:highlight w:val="none"/>
        </w:rPr>
      </w:pPr>
    </w:p>
    <w:p w14:paraId="3C3603C4">
      <w:pPr>
        <w:pStyle w:val="299"/>
        <w:rPr>
          <w:color w:val="auto"/>
          <w:highlight w:val="none"/>
        </w:rPr>
      </w:pPr>
    </w:p>
    <w:p w14:paraId="7F3B5788">
      <w:pPr>
        <w:pStyle w:val="299"/>
        <w:rPr>
          <w:color w:val="auto"/>
          <w:highlight w:val="none"/>
        </w:rPr>
      </w:pPr>
    </w:p>
    <w:p w14:paraId="2299FABD">
      <w:pPr>
        <w:pStyle w:val="299"/>
        <w:rPr>
          <w:color w:val="auto"/>
          <w:highlight w:val="none"/>
        </w:rPr>
      </w:pPr>
    </w:p>
    <w:p w14:paraId="0834E1BB">
      <w:pPr>
        <w:pStyle w:val="299"/>
        <w:rPr>
          <w:color w:val="auto"/>
          <w:highlight w:val="none"/>
        </w:rPr>
      </w:pPr>
    </w:p>
    <w:p w14:paraId="6FC477D5">
      <w:pPr>
        <w:pStyle w:val="299"/>
        <w:rPr>
          <w:color w:val="auto"/>
          <w:highlight w:val="none"/>
        </w:rPr>
      </w:pPr>
    </w:p>
    <w:p w14:paraId="5F36095C">
      <w:pPr>
        <w:pStyle w:val="299"/>
        <w:rPr>
          <w:color w:val="auto"/>
          <w:highlight w:val="none"/>
        </w:rPr>
      </w:pPr>
    </w:p>
    <w:p w14:paraId="3711E650">
      <w:pPr>
        <w:pStyle w:val="299"/>
        <w:rPr>
          <w:color w:val="auto"/>
          <w:highlight w:val="none"/>
        </w:rPr>
      </w:pPr>
    </w:p>
    <w:p w14:paraId="44BD6760">
      <w:pPr>
        <w:pStyle w:val="299"/>
        <w:rPr>
          <w:color w:val="auto"/>
          <w:highlight w:val="none"/>
        </w:rPr>
      </w:pPr>
    </w:p>
    <w:p w14:paraId="31339F53">
      <w:pPr>
        <w:pStyle w:val="299"/>
        <w:rPr>
          <w:color w:val="auto"/>
          <w:highlight w:val="none"/>
        </w:rPr>
      </w:pPr>
    </w:p>
    <w:p w14:paraId="2473F7A4">
      <w:pPr>
        <w:rPr>
          <w:color w:val="auto"/>
          <w:highlight w:val="none"/>
        </w:rPr>
      </w:pPr>
    </w:p>
    <w:p w14:paraId="0FF002CE">
      <w:pPr>
        <w:rPr>
          <w:color w:val="auto"/>
          <w:highlight w:val="none"/>
        </w:rPr>
      </w:pPr>
    </w:p>
    <w:p w14:paraId="05A86378">
      <w:pPr>
        <w:rPr>
          <w:color w:val="auto"/>
          <w:highlight w:val="none"/>
        </w:rPr>
      </w:pPr>
    </w:p>
    <w:p w14:paraId="27FCA2C6">
      <w:pPr>
        <w:rPr>
          <w:color w:val="auto"/>
          <w:highlight w:val="none"/>
        </w:rPr>
      </w:pPr>
    </w:p>
    <w:p w14:paraId="21FD57E7">
      <w:pPr>
        <w:rPr>
          <w:color w:val="auto"/>
          <w:highlight w:val="none"/>
        </w:rPr>
      </w:pPr>
    </w:p>
    <w:p w14:paraId="0F2207D2">
      <w:pPr>
        <w:rPr>
          <w:color w:val="auto"/>
          <w:highlight w:val="none"/>
        </w:rPr>
      </w:pPr>
    </w:p>
    <w:p w14:paraId="2792C108">
      <w:pPr>
        <w:rPr>
          <w:color w:val="auto"/>
          <w:highlight w:val="none"/>
        </w:rPr>
      </w:pPr>
    </w:p>
    <w:p w14:paraId="44041D28">
      <w:pPr>
        <w:pStyle w:val="222"/>
        <w:jc w:val="center"/>
        <w:rPr>
          <w:color w:val="auto"/>
          <w:highlight w:val="none"/>
        </w:rPr>
      </w:pPr>
    </w:p>
    <w:p w14:paraId="6CDF6BC8">
      <w:pPr>
        <w:pStyle w:val="222"/>
        <w:rPr>
          <w:color w:val="auto"/>
          <w:highlight w:val="none"/>
        </w:rPr>
      </w:pPr>
    </w:p>
    <w:p w14:paraId="5236D935">
      <w:pPr>
        <w:rPr>
          <w:color w:val="auto"/>
          <w:highlight w:val="none"/>
        </w:rPr>
      </w:pPr>
    </w:p>
    <w:p w14:paraId="1D37A258">
      <w:pPr>
        <w:rPr>
          <w:color w:val="auto"/>
          <w:highlight w:val="none"/>
        </w:rPr>
      </w:pPr>
    </w:p>
    <w:p w14:paraId="7A5BC682">
      <w:pPr>
        <w:rPr>
          <w:color w:val="auto"/>
          <w:highlight w:val="none"/>
        </w:rPr>
      </w:pPr>
    </w:p>
    <w:p w14:paraId="2DDB6070">
      <w:pPr>
        <w:rPr>
          <w:color w:val="auto"/>
          <w:highlight w:val="none"/>
        </w:rPr>
      </w:pPr>
    </w:p>
    <w:p w14:paraId="540F823A">
      <w:pPr>
        <w:rPr>
          <w:color w:val="auto"/>
          <w:highlight w:val="none"/>
        </w:rPr>
      </w:pPr>
    </w:p>
    <w:p w14:paraId="7203C73B">
      <w:pPr>
        <w:rPr>
          <w:color w:val="auto"/>
          <w:highlight w:val="none"/>
        </w:rPr>
      </w:pPr>
    </w:p>
    <w:p w14:paraId="15FF0C4F">
      <w:pPr>
        <w:rPr>
          <w:color w:val="auto"/>
          <w:highlight w:val="none"/>
        </w:rPr>
      </w:pPr>
    </w:p>
    <w:p w14:paraId="7487FF7F">
      <w:pPr>
        <w:rPr>
          <w:color w:val="auto"/>
          <w:highlight w:val="none"/>
        </w:rPr>
      </w:pPr>
    </w:p>
    <w:p w14:paraId="2061B24F">
      <w:pPr>
        <w:rPr>
          <w:color w:val="auto"/>
          <w:highlight w:val="none"/>
        </w:rPr>
      </w:pPr>
    </w:p>
    <w:p w14:paraId="5F024E40">
      <w:pPr>
        <w:rPr>
          <w:color w:val="auto"/>
          <w:highlight w:val="none"/>
        </w:rPr>
      </w:pPr>
    </w:p>
    <w:p w14:paraId="7680C703">
      <w:pPr>
        <w:pStyle w:val="222"/>
        <w:jc w:val="center"/>
        <w:rPr>
          <w:color w:val="auto"/>
          <w:highlight w:val="none"/>
        </w:rPr>
      </w:pPr>
      <w:bookmarkStart w:id="67" w:name="_Toc25260"/>
      <w:r>
        <w:rPr>
          <w:rFonts w:hint="eastAsia"/>
          <w:color w:val="auto"/>
          <w:highlight w:val="none"/>
        </w:rPr>
        <w:t>第五章 响应文件格式</w:t>
      </w:r>
      <w:bookmarkEnd w:id="67"/>
    </w:p>
    <w:p w14:paraId="455FAF28">
      <w:pPr>
        <w:spacing w:line="240" w:lineRule="atLeast"/>
        <w:rPr>
          <w:rFonts w:ascii="宋体" w:hAnsi="宋体"/>
          <w:b/>
          <w:color w:val="auto"/>
          <w:sz w:val="32"/>
          <w:szCs w:val="32"/>
          <w:highlight w:val="none"/>
        </w:rPr>
      </w:pPr>
    </w:p>
    <w:p w14:paraId="02CF6F1F">
      <w:pPr>
        <w:spacing w:line="240" w:lineRule="atLeast"/>
        <w:rPr>
          <w:rFonts w:ascii="宋体" w:hAnsi="宋体"/>
          <w:b/>
          <w:color w:val="auto"/>
          <w:sz w:val="32"/>
          <w:szCs w:val="32"/>
          <w:highlight w:val="none"/>
        </w:rPr>
      </w:pPr>
    </w:p>
    <w:p w14:paraId="6AE6A6B7">
      <w:pPr>
        <w:spacing w:line="240" w:lineRule="atLeast"/>
        <w:rPr>
          <w:rFonts w:ascii="宋体" w:hAnsi="宋体"/>
          <w:b/>
          <w:color w:val="auto"/>
          <w:sz w:val="32"/>
          <w:szCs w:val="32"/>
          <w:highlight w:val="none"/>
        </w:rPr>
      </w:pPr>
    </w:p>
    <w:p w14:paraId="2D96AC00">
      <w:pPr>
        <w:spacing w:line="240" w:lineRule="atLeast"/>
        <w:rPr>
          <w:rFonts w:ascii="宋体" w:hAnsi="宋体"/>
          <w:b/>
          <w:color w:val="auto"/>
          <w:sz w:val="32"/>
          <w:szCs w:val="32"/>
          <w:highlight w:val="none"/>
        </w:rPr>
      </w:pPr>
    </w:p>
    <w:p w14:paraId="08514D9A">
      <w:pPr>
        <w:spacing w:line="240" w:lineRule="atLeast"/>
        <w:rPr>
          <w:rFonts w:ascii="宋体" w:hAnsi="宋体"/>
          <w:b/>
          <w:color w:val="auto"/>
          <w:sz w:val="32"/>
          <w:szCs w:val="32"/>
          <w:highlight w:val="none"/>
        </w:rPr>
      </w:pPr>
    </w:p>
    <w:p w14:paraId="321AB901">
      <w:pPr>
        <w:spacing w:line="240" w:lineRule="atLeast"/>
        <w:rPr>
          <w:rFonts w:ascii="宋体" w:hAnsi="宋体"/>
          <w:b/>
          <w:color w:val="auto"/>
          <w:sz w:val="32"/>
          <w:szCs w:val="32"/>
          <w:highlight w:val="none"/>
        </w:rPr>
      </w:pPr>
    </w:p>
    <w:p w14:paraId="46382DB6">
      <w:pPr>
        <w:spacing w:line="240" w:lineRule="atLeast"/>
        <w:rPr>
          <w:rFonts w:ascii="宋体" w:hAnsi="宋体"/>
          <w:b/>
          <w:color w:val="auto"/>
          <w:sz w:val="32"/>
          <w:szCs w:val="32"/>
          <w:highlight w:val="none"/>
        </w:rPr>
      </w:pPr>
    </w:p>
    <w:p w14:paraId="743E6A7E">
      <w:pPr>
        <w:spacing w:line="240" w:lineRule="atLeast"/>
        <w:rPr>
          <w:rFonts w:ascii="宋体" w:hAnsi="宋体"/>
          <w:b/>
          <w:color w:val="auto"/>
          <w:sz w:val="32"/>
          <w:szCs w:val="32"/>
          <w:highlight w:val="none"/>
        </w:rPr>
      </w:pPr>
    </w:p>
    <w:p w14:paraId="198859A3">
      <w:pPr>
        <w:spacing w:line="240" w:lineRule="atLeast"/>
        <w:rPr>
          <w:rFonts w:ascii="宋体" w:hAnsi="宋体"/>
          <w:b/>
          <w:color w:val="auto"/>
          <w:sz w:val="32"/>
          <w:szCs w:val="32"/>
          <w:highlight w:val="none"/>
        </w:rPr>
      </w:pPr>
    </w:p>
    <w:p w14:paraId="1EE3916B">
      <w:pPr>
        <w:spacing w:line="240" w:lineRule="atLeast"/>
        <w:rPr>
          <w:rFonts w:ascii="宋体" w:hAnsi="宋体"/>
          <w:b/>
          <w:color w:val="auto"/>
          <w:sz w:val="32"/>
          <w:szCs w:val="32"/>
          <w:highlight w:val="none"/>
        </w:rPr>
      </w:pPr>
    </w:p>
    <w:p w14:paraId="1B4E6920">
      <w:pPr>
        <w:spacing w:line="240" w:lineRule="atLeast"/>
        <w:rPr>
          <w:rFonts w:ascii="宋体" w:hAnsi="宋体"/>
          <w:b/>
          <w:color w:val="auto"/>
          <w:sz w:val="32"/>
          <w:szCs w:val="32"/>
          <w:highlight w:val="none"/>
        </w:rPr>
      </w:pPr>
    </w:p>
    <w:p w14:paraId="2A23AD65">
      <w:pPr>
        <w:spacing w:line="240" w:lineRule="atLeast"/>
        <w:rPr>
          <w:rFonts w:ascii="宋体" w:hAnsi="宋体"/>
          <w:b/>
          <w:color w:val="auto"/>
          <w:sz w:val="32"/>
          <w:szCs w:val="32"/>
          <w:highlight w:val="none"/>
        </w:rPr>
      </w:pPr>
    </w:p>
    <w:p w14:paraId="35BFBB15">
      <w:pPr>
        <w:spacing w:line="240" w:lineRule="atLeast"/>
        <w:rPr>
          <w:rFonts w:ascii="宋体" w:hAnsi="宋体"/>
          <w:b/>
          <w:color w:val="auto"/>
          <w:sz w:val="32"/>
          <w:szCs w:val="32"/>
          <w:highlight w:val="none"/>
        </w:rPr>
      </w:pPr>
    </w:p>
    <w:p w14:paraId="1778E1BC">
      <w:pPr>
        <w:spacing w:line="240" w:lineRule="atLeast"/>
        <w:rPr>
          <w:rFonts w:ascii="宋体" w:hAnsi="宋体"/>
          <w:b/>
          <w:color w:val="auto"/>
          <w:sz w:val="32"/>
          <w:szCs w:val="32"/>
          <w:highlight w:val="none"/>
        </w:rPr>
      </w:pPr>
    </w:p>
    <w:p w14:paraId="13789941">
      <w:pPr>
        <w:spacing w:before="50" w:after="50"/>
        <w:outlineLvl w:val="1"/>
        <w:rPr>
          <w:rFonts w:ascii="宋体" w:hAnsi="宋体"/>
          <w:b/>
          <w:bCs/>
          <w:color w:val="auto"/>
          <w:sz w:val="24"/>
          <w:highlight w:val="none"/>
        </w:rPr>
      </w:pPr>
    </w:p>
    <w:p w14:paraId="149C0FAF">
      <w:pPr>
        <w:rPr>
          <w:b/>
          <w:color w:val="auto"/>
          <w:sz w:val="32"/>
          <w:szCs w:val="32"/>
          <w:highlight w:val="none"/>
        </w:rPr>
      </w:pPr>
    </w:p>
    <w:p w14:paraId="42126179">
      <w:pPr>
        <w:rPr>
          <w:b/>
          <w:color w:val="auto"/>
          <w:sz w:val="32"/>
          <w:szCs w:val="32"/>
          <w:highlight w:val="none"/>
        </w:rPr>
      </w:pPr>
    </w:p>
    <w:p w14:paraId="563241F0">
      <w:pPr>
        <w:rPr>
          <w:b/>
          <w:color w:val="auto"/>
          <w:sz w:val="32"/>
          <w:szCs w:val="32"/>
          <w:highlight w:val="none"/>
        </w:rPr>
      </w:pPr>
    </w:p>
    <w:p w14:paraId="61186C00">
      <w:pPr>
        <w:rPr>
          <w:b/>
          <w:color w:val="auto"/>
          <w:sz w:val="32"/>
          <w:szCs w:val="32"/>
          <w:highlight w:val="none"/>
        </w:rPr>
      </w:pPr>
    </w:p>
    <w:p w14:paraId="00F437B6">
      <w:pPr>
        <w:rPr>
          <w:b/>
          <w:color w:val="auto"/>
          <w:sz w:val="32"/>
          <w:szCs w:val="32"/>
          <w:highlight w:val="none"/>
        </w:rPr>
      </w:pPr>
    </w:p>
    <w:p w14:paraId="3409F053">
      <w:pPr>
        <w:rPr>
          <w:b/>
          <w:color w:val="auto"/>
          <w:sz w:val="32"/>
          <w:szCs w:val="32"/>
          <w:highlight w:val="none"/>
        </w:rPr>
      </w:pPr>
    </w:p>
    <w:p w14:paraId="7C556443">
      <w:pPr>
        <w:rPr>
          <w:b/>
          <w:color w:val="auto"/>
          <w:sz w:val="32"/>
          <w:szCs w:val="32"/>
          <w:highlight w:val="none"/>
        </w:rPr>
      </w:pPr>
    </w:p>
    <w:p w14:paraId="72F447F3">
      <w:pPr>
        <w:rPr>
          <w:b/>
          <w:color w:val="auto"/>
          <w:sz w:val="32"/>
          <w:szCs w:val="32"/>
          <w:highlight w:val="none"/>
        </w:rPr>
      </w:pPr>
    </w:p>
    <w:p w14:paraId="20792333">
      <w:pPr>
        <w:rPr>
          <w:b/>
          <w:color w:val="auto"/>
          <w:sz w:val="32"/>
          <w:szCs w:val="32"/>
          <w:highlight w:val="none"/>
        </w:rPr>
      </w:pPr>
    </w:p>
    <w:p w14:paraId="624820FC">
      <w:pPr>
        <w:rPr>
          <w:b/>
          <w:color w:val="auto"/>
          <w:sz w:val="32"/>
          <w:szCs w:val="32"/>
          <w:highlight w:val="none"/>
        </w:rPr>
      </w:pPr>
    </w:p>
    <w:p w14:paraId="04264C00">
      <w:pPr>
        <w:rPr>
          <w:b/>
          <w:color w:val="auto"/>
          <w:sz w:val="32"/>
          <w:szCs w:val="32"/>
          <w:highlight w:val="none"/>
        </w:rPr>
      </w:pPr>
    </w:p>
    <w:p w14:paraId="4C3E576B">
      <w:pPr>
        <w:rPr>
          <w:b/>
          <w:color w:val="auto"/>
          <w:sz w:val="32"/>
          <w:szCs w:val="32"/>
          <w:highlight w:val="none"/>
        </w:rPr>
      </w:pPr>
    </w:p>
    <w:p w14:paraId="0EAC7F49">
      <w:pPr>
        <w:rPr>
          <w:b/>
          <w:color w:val="auto"/>
          <w:sz w:val="32"/>
          <w:szCs w:val="32"/>
          <w:highlight w:val="none"/>
        </w:rPr>
      </w:pPr>
    </w:p>
    <w:p w14:paraId="0A9BDE14">
      <w:pPr>
        <w:rPr>
          <w:b/>
          <w:color w:val="auto"/>
          <w:sz w:val="32"/>
          <w:szCs w:val="32"/>
          <w:highlight w:val="none"/>
        </w:rPr>
      </w:pPr>
    </w:p>
    <w:p w14:paraId="18A34E7B">
      <w:pPr>
        <w:rPr>
          <w:b/>
          <w:color w:val="auto"/>
          <w:sz w:val="32"/>
          <w:szCs w:val="32"/>
          <w:highlight w:val="none"/>
        </w:rPr>
      </w:pPr>
    </w:p>
    <w:p w14:paraId="4C06746A">
      <w:pPr>
        <w:rPr>
          <w:b/>
          <w:color w:val="auto"/>
          <w:sz w:val="32"/>
          <w:szCs w:val="32"/>
          <w:highlight w:val="none"/>
        </w:rPr>
      </w:pPr>
    </w:p>
    <w:p w14:paraId="2EACD509">
      <w:pPr>
        <w:rPr>
          <w:b/>
          <w:color w:val="auto"/>
          <w:sz w:val="32"/>
          <w:szCs w:val="32"/>
          <w:highlight w:val="none"/>
        </w:rPr>
      </w:pPr>
    </w:p>
    <w:p w14:paraId="37757B88">
      <w:pPr>
        <w:rPr>
          <w:b/>
          <w:color w:val="auto"/>
          <w:sz w:val="32"/>
          <w:szCs w:val="32"/>
          <w:highlight w:val="none"/>
        </w:rPr>
      </w:pPr>
      <w:r>
        <w:rPr>
          <w:rFonts w:hint="eastAsia"/>
          <w:b/>
          <w:color w:val="auto"/>
          <w:sz w:val="32"/>
          <w:szCs w:val="32"/>
          <w:highlight w:val="none"/>
        </w:rPr>
        <w:t>一、资格证明文件格式</w:t>
      </w:r>
    </w:p>
    <w:p w14:paraId="3110F244">
      <w:pPr>
        <w:spacing w:before="120" w:after="50" w:line="360" w:lineRule="auto"/>
        <w:jc w:val="left"/>
        <w:rPr>
          <w:rFonts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722AD6B8">
      <w:pPr>
        <w:spacing w:before="120" w:after="50"/>
        <w:rPr>
          <w:rFonts w:ascii="宋体" w:hAnsi="宋体"/>
          <w:bCs/>
          <w:color w:val="auto"/>
          <w:sz w:val="32"/>
          <w:szCs w:val="20"/>
          <w:highlight w:val="none"/>
        </w:rPr>
      </w:pPr>
      <w:r>
        <w:rPr>
          <w:rFonts w:hint="eastAsia" w:ascii="宋体" w:hAnsi="宋体"/>
          <w:color w:val="auto"/>
          <w:sz w:val="24"/>
          <w:highlight w:val="none"/>
        </w:rPr>
        <w:t xml:space="preserve">                                                    </w:t>
      </w:r>
      <w:r>
        <w:rPr>
          <w:rFonts w:ascii="宋体" w:hAnsi="宋体" w:cs="宋体"/>
          <w:color w:val="auto"/>
          <w:sz w:val="24"/>
          <w:highlight w:val="none"/>
        </w:rPr>
        <w:t>全流程电子文件</w:t>
      </w:r>
    </w:p>
    <w:p w14:paraId="707C3DA3">
      <w:pPr>
        <w:spacing w:before="120" w:after="50"/>
        <w:jc w:val="center"/>
        <w:rPr>
          <w:rFonts w:ascii="宋体" w:hAnsi="宋体"/>
          <w:color w:val="auto"/>
          <w:sz w:val="44"/>
          <w:szCs w:val="44"/>
          <w:highlight w:val="none"/>
        </w:rPr>
      </w:pPr>
    </w:p>
    <w:p w14:paraId="69558C86">
      <w:pPr>
        <w:spacing w:before="120" w:after="50"/>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11FCE9B1">
      <w:pPr>
        <w:spacing w:before="120" w:after="50"/>
        <w:rPr>
          <w:rFonts w:ascii="宋体" w:hAnsi="宋体"/>
          <w:color w:val="auto"/>
          <w:sz w:val="24"/>
          <w:szCs w:val="20"/>
          <w:highlight w:val="none"/>
        </w:rPr>
      </w:pPr>
    </w:p>
    <w:p w14:paraId="2E9DEC31">
      <w:pPr>
        <w:spacing w:before="120" w:after="50"/>
        <w:jc w:val="center"/>
        <w:rPr>
          <w:rFonts w:ascii="Arial Unicode MS" w:hAnsi="Arial Unicode MS" w:eastAsia="Arial Unicode MS" w:cs="Arial Unicode MS"/>
          <w:bCs/>
          <w:color w:val="auto"/>
          <w:sz w:val="44"/>
          <w:szCs w:val="44"/>
          <w:highlight w:val="none"/>
        </w:rPr>
      </w:pPr>
      <w:r>
        <w:rPr>
          <w:rFonts w:hint="eastAsia" w:ascii="Arial Unicode MS" w:hAnsi="Arial Unicode MS" w:eastAsia="Arial Unicode MS" w:cs="Arial Unicode MS"/>
          <w:bCs/>
          <w:color w:val="auto"/>
          <w:sz w:val="44"/>
          <w:szCs w:val="44"/>
          <w:highlight w:val="none"/>
        </w:rPr>
        <w:t>资  格  证  明  文  件</w:t>
      </w:r>
    </w:p>
    <w:p w14:paraId="7B7AD2D0">
      <w:pPr>
        <w:spacing w:before="120" w:after="50"/>
        <w:rPr>
          <w:rFonts w:ascii="宋体" w:hAnsi="宋体"/>
          <w:bCs/>
          <w:color w:val="auto"/>
          <w:sz w:val="24"/>
          <w:szCs w:val="20"/>
          <w:highlight w:val="none"/>
        </w:rPr>
      </w:pPr>
    </w:p>
    <w:p w14:paraId="31F66C8D">
      <w:pPr>
        <w:spacing w:before="120" w:after="50"/>
        <w:rPr>
          <w:rFonts w:ascii="宋体" w:hAnsi="宋体"/>
          <w:bCs/>
          <w:color w:val="auto"/>
          <w:sz w:val="24"/>
          <w:szCs w:val="20"/>
          <w:highlight w:val="none"/>
        </w:rPr>
      </w:pPr>
    </w:p>
    <w:p w14:paraId="55AF21C8">
      <w:pPr>
        <w:spacing w:before="120" w:after="50"/>
        <w:rPr>
          <w:rFonts w:ascii="宋体" w:hAnsi="宋体"/>
          <w:bCs/>
          <w:color w:val="auto"/>
          <w:sz w:val="24"/>
          <w:szCs w:val="20"/>
          <w:highlight w:val="none"/>
        </w:rPr>
      </w:pPr>
    </w:p>
    <w:p w14:paraId="3AAFD737">
      <w:pPr>
        <w:spacing w:before="120" w:after="50"/>
        <w:rPr>
          <w:rFonts w:ascii="宋体" w:hAnsi="宋体"/>
          <w:bCs/>
          <w:color w:val="auto"/>
          <w:sz w:val="24"/>
          <w:szCs w:val="20"/>
          <w:highlight w:val="none"/>
        </w:rPr>
      </w:pPr>
    </w:p>
    <w:p w14:paraId="06E01F7E">
      <w:pPr>
        <w:spacing w:before="120" w:after="50"/>
        <w:rPr>
          <w:rFonts w:ascii="宋体" w:hAnsi="宋体"/>
          <w:bCs/>
          <w:color w:val="auto"/>
          <w:sz w:val="24"/>
          <w:szCs w:val="20"/>
          <w:highlight w:val="none"/>
        </w:rPr>
      </w:pPr>
    </w:p>
    <w:p w14:paraId="5F24D553">
      <w:pPr>
        <w:spacing w:before="120" w:after="5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项目名称：宁明县海渊镇中心卫生院血液透析设备采购</w:t>
      </w:r>
    </w:p>
    <w:p w14:paraId="2318C5F8">
      <w:pPr>
        <w:spacing w:before="120" w:after="50"/>
        <w:rPr>
          <w:rFonts w:ascii="宋体" w:hAnsi="宋体" w:cs="仿宋_GB2312"/>
          <w:bCs/>
          <w:color w:val="auto"/>
          <w:sz w:val="32"/>
          <w:szCs w:val="32"/>
          <w:highlight w:val="none"/>
        </w:rPr>
      </w:pPr>
    </w:p>
    <w:p w14:paraId="086F7564">
      <w:pPr>
        <w:spacing w:before="120" w:after="5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6F73CF1">
      <w:pPr>
        <w:spacing w:before="120" w:after="50"/>
        <w:ind w:firstLine="720"/>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45E9CB8F">
      <w:pPr>
        <w:spacing w:before="120" w:after="5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532F6E8">
      <w:pPr>
        <w:pStyle w:val="12"/>
        <w:spacing w:before="50" w:after="50"/>
        <w:ind w:firstLine="0"/>
        <w:rPr>
          <w:rFonts w:ascii="宋体" w:hAnsi="宋体" w:cs="仿宋_GB2312"/>
          <w:bCs/>
          <w:color w:val="auto"/>
          <w:sz w:val="32"/>
          <w:szCs w:val="32"/>
          <w:highlight w:val="none"/>
        </w:rPr>
      </w:pPr>
    </w:p>
    <w:p w14:paraId="7F36E078">
      <w:pPr>
        <w:pStyle w:val="12"/>
        <w:spacing w:before="50" w:after="50"/>
        <w:ind w:firstLine="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774E52A7">
      <w:pPr>
        <w:spacing w:before="120" w:after="50"/>
        <w:ind w:firstLine="640"/>
        <w:rPr>
          <w:rFonts w:ascii="宋体" w:hAnsi="宋体" w:cs="仿宋_GB2312"/>
          <w:bCs/>
          <w:color w:val="auto"/>
          <w:sz w:val="32"/>
          <w:szCs w:val="32"/>
          <w:highlight w:val="none"/>
        </w:rPr>
      </w:pPr>
    </w:p>
    <w:p w14:paraId="12C5C2A3">
      <w:pPr>
        <w:pStyle w:val="12"/>
        <w:spacing w:before="50" w:after="50"/>
        <w:ind w:firstLine="720"/>
        <w:rPr>
          <w:rFonts w:ascii="宋体" w:hAnsi="宋体" w:cs="仿宋_GB2312"/>
          <w:bCs/>
          <w:color w:val="auto"/>
          <w:sz w:val="32"/>
          <w:szCs w:val="32"/>
          <w:highlight w:val="none"/>
        </w:rPr>
      </w:pPr>
    </w:p>
    <w:p w14:paraId="47C8A555">
      <w:pPr>
        <w:pStyle w:val="12"/>
        <w:spacing w:before="50" w:after="50"/>
        <w:ind w:firstLine="720"/>
        <w:rPr>
          <w:rFonts w:ascii="宋体" w:hAnsi="宋体" w:cs="仿宋_GB2312"/>
          <w:bCs/>
          <w:color w:val="auto"/>
          <w:sz w:val="32"/>
          <w:szCs w:val="32"/>
          <w:highlight w:val="none"/>
        </w:rPr>
      </w:pPr>
    </w:p>
    <w:p w14:paraId="777B779B">
      <w:pPr>
        <w:pStyle w:val="12"/>
        <w:spacing w:before="50" w:after="50"/>
        <w:ind w:firstLine="1280"/>
        <w:rPr>
          <w:rFonts w:ascii="宋体" w:hAnsi="宋体" w:cs="仿宋_GB2312"/>
          <w:bCs/>
          <w:color w:val="auto"/>
          <w:sz w:val="32"/>
          <w:szCs w:val="32"/>
          <w:highlight w:val="none"/>
        </w:rPr>
      </w:pPr>
    </w:p>
    <w:p w14:paraId="56A86B52">
      <w:pPr>
        <w:spacing w:before="12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2026年    月    日</w:t>
      </w:r>
    </w:p>
    <w:p w14:paraId="162A05EE">
      <w:pPr>
        <w:spacing w:before="120" w:after="50" w:line="360" w:lineRule="auto"/>
        <w:ind w:left="142"/>
        <w:jc w:val="center"/>
        <w:rPr>
          <w:rFonts w:ascii="宋体" w:hAnsi="宋体"/>
          <w:b/>
          <w:bCs/>
          <w:color w:val="auto"/>
          <w:sz w:val="32"/>
          <w:szCs w:val="32"/>
          <w:highlight w:val="none"/>
        </w:rPr>
      </w:pPr>
      <w:r>
        <w:rPr>
          <w:rFonts w:ascii="宋体" w:hAnsi="宋体"/>
          <w:color w:val="auto"/>
          <w:sz w:val="24"/>
          <w:highlight w:val="none"/>
        </w:rPr>
        <w:br w:type="page" w:clear="all"/>
      </w:r>
      <w:r>
        <w:rPr>
          <w:rFonts w:hint="eastAsia" w:ascii="宋体" w:hAnsi="宋体"/>
          <w:b/>
          <w:bCs/>
          <w:color w:val="auto"/>
          <w:sz w:val="32"/>
          <w:szCs w:val="32"/>
          <w:highlight w:val="none"/>
        </w:rPr>
        <w:t>2.资格证明文件目录</w:t>
      </w:r>
    </w:p>
    <w:p w14:paraId="65322678">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1.崇左市政府采购供应商信用承诺函（格式后附，供应商应对其承诺内容的真实性、合法性、有效性负责）；（</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）…………………………（页码）</w:t>
      </w:r>
    </w:p>
    <w:p w14:paraId="4FFAAD79">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2.供应商直接控股信息表（格式后附）；（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）（页码）</w:t>
      </w:r>
    </w:p>
    <w:p w14:paraId="5EDDD9AA">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3.供应商直接管理关系信息表（格式后附）；（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FF43F5F">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）…………………（页码）</w:t>
      </w:r>
    </w:p>
    <w:p w14:paraId="58301FF0">
      <w:pPr>
        <w:spacing w:line="400" w:lineRule="exact"/>
        <w:jc w:val="left"/>
        <w:rPr>
          <w:rFonts w:ascii="宋体" w:hAnsi="宋体"/>
          <w:color w:val="auto"/>
          <w:szCs w:val="21"/>
          <w:highlight w:val="none"/>
        </w:rPr>
      </w:pPr>
      <w:r>
        <w:rPr>
          <w:rFonts w:hint="eastAsia" w:ascii="宋体" w:hAnsi="宋体" w:cs="宋体"/>
          <w:color w:val="auto"/>
          <w:szCs w:val="21"/>
          <w:highlight w:val="none"/>
        </w:rPr>
        <w:t>5.</w:t>
      </w:r>
      <w:r>
        <w:rPr>
          <w:rFonts w:hint="eastAsia" w:ascii="宋体" w:hAnsi="宋体"/>
          <w:color w:val="auto"/>
          <w:szCs w:val="21"/>
          <w:highlight w:val="none"/>
        </w:rPr>
        <w:t>供应商按以下要求提供医疗器械的有关证明材料复印件：</w:t>
      </w:r>
      <w:r>
        <w:rPr>
          <w:rFonts w:hint="eastAsia" w:ascii="宋体" w:hAnsi="宋体" w:cs="宋体"/>
          <w:color w:val="auto"/>
          <w:szCs w:val="21"/>
          <w:highlight w:val="none"/>
        </w:rPr>
        <w:t>……………………………（页码）</w:t>
      </w:r>
    </w:p>
    <w:p w14:paraId="494620EA">
      <w:pPr>
        <w:spacing w:line="400" w:lineRule="exact"/>
        <w:jc w:val="left"/>
        <w:rPr>
          <w:rFonts w:ascii="宋体" w:hAnsi="宋体"/>
          <w:color w:val="auto"/>
          <w:szCs w:val="21"/>
          <w:highlight w:val="none"/>
        </w:rPr>
      </w:pPr>
      <w:r>
        <w:rPr>
          <w:rFonts w:hint="eastAsia" w:ascii="宋体" w:hAnsi="宋体"/>
          <w:color w:val="auto"/>
          <w:szCs w:val="21"/>
          <w:highlight w:val="none"/>
        </w:rPr>
        <w:t>（1）有第二类医疗器械的，应提供有效的医疗器械经营备案凭证（经营范围包含采购的第二类医疗器械），符合《医疗器械监督管理条例》（国务院令第739号）第四十一条第二款规定的除外；如供应商符合《医疗器械监督管理条例》第四十三条“医疗器械注册人、备案人经营其注册、备案的医疗器械，无需办理医疗器械经营许可或者备案，但应当符合本条例规定的经营条件”规定的，仅需提供该医疗器械注册证（另附表格列明所竞标对应产品的名称和规格型号）（格式自拟）；</w:t>
      </w:r>
    </w:p>
    <w:p w14:paraId="22698BF9">
      <w:pPr>
        <w:spacing w:line="400" w:lineRule="exact"/>
        <w:jc w:val="left"/>
        <w:rPr>
          <w:rFonts w:ascii="宋体" w:hAnsi="宋体"/>
          <w:color w:val="auto"/>
          <w:szCs w:val="21"/>
          <w:highlight w:val="none"/>
        </w:rPr>
      </w:pPr>
      <w:r>
        <w:rPr>
          <w:rFonts w:hint="eastAsia" w:ascii="宋体" w:hAnsi="宋体"/>
          <w:color w:val="auto"/>
          <w:szCs w:val="21"/>
          <w:highlight w:val="none"/>
        </w:rPr>
        <w:t>（2）有第三类医疗器械的，应提供有效的医疗器械经营许可证（经营范围包含采购的第三类医疗器械）；如供应商符合《医疗器械监督管理条例》第四十三条“医疗器械注册人、备案人经营其注册、备案的医疗器械，无需办理医疗器械经营许可或者备案，但应当符合本条例规定的经营条件”规定的，仅需提供该医疗器械注册证（另附表格列明所竞标对应产品的名称和规格型号</w:t>
      </w:r>
      <w:r>
        <w:rPr>
          <w:rStyle w:val="48"/>
          <w:rFonts w:hint="eastAsia"/>
          <w:color w:val="auto"/>
          <w:highlight w:val="none"/>
        </w:rPr>
        <w:t>）</w:t>
      </w:r>
      <w:r>
        <w:rPr>
          <w:rFonts w:hint="eastAsia" w:ascii="宋体" w:hAnsi="宋体"/>
          <w:color w:val="auto"/>
          <w:szCs w:val="21"/>
          <w:highlight w:val="none"/>
        </w:rPr>
        <w:t>（格式自拟）；</w:t>
      </w:r>
    </w:p>
    <w:p w14:paraId="462B9690">
      <w:pPr>
        <w:spacing w:line="400" w:lineRule="exact"/>
        <w:jc w:val="left"/>
        <w:rPr>
          <w:rFonts w:ascii="宋体" w:hAnsi="宋体"/>
          <w:color w:val="auto"/>
          <w:szCs w:val="21"/>
          <w:highlight w:val="none"/>
        </w:rPr>
      </w:pPr>
      <w:r>
        <w:rPr>
          <w:rFonts w:hint="eastAsia" w:ascii="宋体" w:hAnsi="宋体"/>
          <w:color w:val="auto"/>
          <w:szCs w:val="21"/>
          <w:highlight w:val="none"/>
        </w:rPr>
        <w:t>（3）有第二类和第三类医疗器械的，应按上述（1）（2）要求提供；</w:t>
      </w:r>
      <w:r>
        <w:rPr>
          <w:rFonts w:hint="eastAsia" w:ascii="宋体" w:hAnsi="宋体"/>
          <w:bCs/>
          <w:color w:val="auto"/>
          <w:szCs w:val="21"/>
          <w:highlight w:val="none"/>
        </w:rPr>
        <w:t>（</w:t>
      </w:r>
      <w:r>
        <w:rPr>
          <w:rFonts w:hint="eastAsia" w:ascii="宋体" w:hAnsi="宋体"/>
          <w:b/>
          <w:bCs/>
          <w:color w:val="auto"/>
          <w:szCs w:val="21"/>
          <w:highlight w:val="none"/>
        </w:rPr>
        <w:t>必须提供，否则响应文件按无效响应处理</w:t>
      </w:r>
      <w:r>
        <w:rPr>
          <w:rFonts w:hint="eastAsia" w:ascii="宋体" w:hAnsi="宋体"/>
          <w:bCs/>
          <w:color w:val="auto"/>
          <w:szCs w:val="21"/>
          <w:highlight w:val="none"/>
        </w:rPr>
        <w:t>）</w:t>
      </w:r>
      <w:r>
        <w:rPr>
          <w:rFonts w:hint="eastAsia" w:ascii="宋体" w:hAnsi="宋体"/>
          <w:b/>
          <w:bCs/>
          <w:color w:val="auto"/>
          <w:szCs w:val="21"/>
          <w:highlight w:val="none"/>
        </w:rPr>
        <w:t>；</w:t>
      </w:r>
      <w:r>
        <w:rPr>
          <w:rFonts w:hint="eastAsia" w:ascii="宋体" w:hAnsi="宋体"/>
          <w:color w:val="auto"/>
          <w:szCs w:val="21"/>
          <w:highlight w:val="none"/>
        </w:rPr>
        <w:t xml:space="preserve"> </w:t>
      </w:r>
    </w:p>
    <w:p w14:paraId="113BFA9E">
      <w:pPr>
        <w:spacing w:line="400" w:lineRule="exact"/>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cs="宋体"/>
          <w:color w:val="auto"/>
          <w:szCs w:val="21"/>
          <w:highlight w:val="none"/>
        </w:rPr>
        <w:t>货物制造商为中小企业或监狱企业或残疾人福利性单位的资格证明材料【为中小微企业的应当提供《中小企业声明函》；为残疾人福利性单位的应当提供《残疾人福利性单位声明函》；为监狱企业的应当提供由省级以上监狱管理局、戒毒管理局（含新疆生产建设兵团）出具的属于监狱企业的证明文件】</w:t>
      </w:r>
      <w:r>
        <w:rPr>
          <w:rFonts w:hint="eastAsia" w:ascii="宋体" w:hAnsi="宋体"/>
          <w:color w:val="auto"/>
          <w:szCs w:val="21"/>
          <w:highlight w:val="none"/>
        </w:rPr>
        <w:t>；（</w:t>
      </w:r>
      <w:r>
        <w:rPr>
          <w:rFonts w:hint="eastAsia" w:ascii="宋体" w:hAnsi="宋体"/>
          <w:b/>
          <w:color w:val="auto"/>
          <w:szCs w:val="21"/>
          <w:highlight w:val="none"/>
        </w:rPr>
        <w:t>必须提供，否则响应文件按无效处理</w:t>
      </w:r>
      <w:r>
        <w:rPr>
          <w:rFonts w:hint="eastAsia" w:ascii="宋体" w:hAnsi="宋体"/>
          <w:color w:val="auto"/>
          <w:szCs w:val="21"/>
          <w:highlight w:val="none"/>
        </w:rPr>
        <w:t>）</w:t>
      </w:r>
      <w:r>
        <w:rPr>
          <w:rFonts w:hint="eastAsia" w:ascii="宋体" w:hAnsi="宋体" w:cs="宋体"/>
          <w:color w:val="auto"/>
          <w:szCs w:val="21"/>
          <w:highlight w:val="none"/>
        </w:rPr>
        <w:t>…………………（页码）</w:t>
      </w:r>
    </w:p>
    <w:p w14:paraId="450A2CE1">
      <w:pPr>
        <w:spacing w:line="400" w:lineRule="exact"/>
        <w:jc w:val="left"/>
        <w:rPr>
          <w:rFonts w:ascii="宋体" w:hAnsi="宋体"/>
          <w:color w:val="auto"/>
          <w:szCs w:val="21"/>
          <w:highlight w:val="none"/>
        </w:rPr>
      </w:pPr>
      <w:r>
        <w:rPr>
          <w:rFonts w:hint="eastAsia" w:ascii="宋体" w:hAnsi="宋体" w:cs="宋体"/>
          <w:color w:val="auto"/>
          <w:szCs w:val="21"/>
          <w:highlight w:val="none"/>
        </w:rPr>
        <w:t>7.除谈判文件规定必须提供以外，供应商认为需要提供的其他证明材料；……………（页码）</w:t>
      </w:r>
    </w:p>
    <w:p w14:paraId="32689765">
      <w:pPr>
        <w:spacing w:line="360" w:lineRule="auto"/>
        <w:jc w:val="left"/>
        <w:rPr>
          <w:rFonts w:ascii="宋体" w:hAnsi="宋体"/>
          <w:i/>
          <w:color w:val="auto"/>
          <w:szCs w:val="21"/>
          <w:highlight w:val="none"/>
        </w:rPr>
      </w:pPr>
    </w:p>
    <w:p w14:paraId="7184C77E">
      <w:pPr>
        <w:pStyle w:val="299"/>
        <w:rPr>
          <w:rFonts w:ascii="宋体" w:hAnsi="宋体" w:cs="宋体"/>
          <w:color w:val="auto"/>
          <w:sz w:val="21"/>
          <w:szCs w:val="21"/>
          <w:highlight w:val="none"/>
        </w:rPr>
      </w:pPr>
      <w:r>
        <w:rPr>
          <w:rFonts w:hint="eastAsia" w:ascii="宋体" w:hAnsi="宋体" w:cs="宋体"/>
          <w:color w:val="auto"/>
          <w:sz w:val="21"/>
          <w:szCs w:val="21"/>
          <w:highlight w:val="none"/>
        </w:rPr>
        <w:t>注：以上目录是编制供应商响应文件的基本格式要求，各供应商可根据自身情况进一步细化</w:t>
      </w:r>
    </w:p>
    <w:p w14:paraId="0DE629C2">
      <w:pPr>
        <w:pStyle w:val="299"/>
        <w:rPr>
          <w:rFonts w:ascii="宋体" w:hAnsi="宋体"/>
          <w:color w:val="auto"/>
          <w:sz w:val="32"/>
          <w:szCs w:val="32"/>
          <w:highlight w:val="none"/>
        </w:rPr>
      </w:pPr>
    </w:p>
    <w:p w14:paraId="51DCAA0D">
      <w:pPr>
        <w:pStyle w:val="299"/>
        <w:rPr>
          <w:rFonts w:ascii="宋体" w:hAnsi="宋体"/>
          <w:color w:val="auto"/>
          <w:sz w:val="32"/>
          <w:szCs w:val="32"/>
          <w:highlight w:val="none"/>
        </w:rPr>
      </w:pPr>
    </w:p>
    <w:p w14:paraId="1974A5DE">
      <w:pPr>
        <w:pStyle w:val="299"/>
        <w:rPr>
          <w:rFonts w:ascii="宋体" w:hAnsi="宋体"/>
          <w:color w:val="auto"/>
          <w:sz w:val="32"/>
          <w:szCs w:val="32"/>
          <w:highlight w:val="none"/>
        </w:rPr>
      </w:pPr>
    </w:p>
    <w:p w14:paraId="2B0BF3C4">
      <w:pPr>
        <w:pStyle w:val="299"/>
        <w:rPr>
          <w:rFonts w:ascii="宋体" w:hAnsi="宋体"/>
          <w:color w:val="auto"/>
          <w:sz w:val="32"/>
          <w:szCs w:val="32"/>
          <w:highlight w:val="none"/>
        </w:rPr>
      </w:pPr>
    </w:p>
    <w:p w14:paraId="04936FF0">
      <w:pPr>
        <w:pStyle w:val="299"/>
        <w:rPr>
          <w:rFonts w:ascii="宋体" w:hAnsi="宋体"/>
          <w:color w:val="auto"/>
          <w:sz w:val="32"/>
          <w:szCs w:val="32"/>
          <w:highlight w:val="none"/>
        </w:rPr>
      </w:pPr>
    </w:p>
    <w:p w14:paraId="2739F37A">
      <w:pPr>
        <w:widowControl/>
        <w:spacing w:line="440" w:lineRule="exact"/>
        <w:rPr>
          <w:rFonts w:ascii="宋体" w:hAnsi="宋体"/>
          <w:b/>
          <w:color w:val="auto"/>
          <w:sz w:val="32"/>
          <w:szCs w:val="32"/>
          <w:highlight w:val="none"/>
        </w:rPr>
      </w:pPr>
    </w:p>
    <w:p w14:paraId="753E4604">
      <w:pPr>
        <w:widowControl/>
        <w:spacing w:line="440" w:lineRule="exact"/>
        <w:rPr>
          <w:rFonts w:ascii="宋体" w:hAnsi="宋体"/>
          <w:b/>
          <w:color w:val="auto"/>
          <w:sz w:val="32"/>
          <w:szCs w:val="32"/>
          <w:highlight w:val="none"/>
        </w:rPr>
      </w:pPr>
    </w:p>
    <w:p w14:paraId="7110F838">
      <w:pPr>
        <w:widowControl/>
        <w:spacing w:line="440" w:lineRule="exact"/>
        <w:jc w:val="center"/>
        <w:rPr>
          <w:color w:val="auto"/>
          <w:sz w:val="32"/>
          <w:szCs w:val="32"/>
          <w:highlight w:val="none"/>
        </w:rPr>
      </w:pPr>
      <w:r>
        <w:rPr>
          <w:rFonts w:hint="eastAsia" w:ascii="宋体" w:hAnsi="宋体"/>
          <w:b/>
          <w:color w:val="auto"/>
          <w:sz w:val="32"/>
          <w:szCs w:val="32"/>
          <w:highlight w:val="none"/>
        </w:rPr>
        <w:t>1.崇左市政府采购供应商信用承诺函（格式）</w:t>
      </w:r>
    </w:p>
    <w:p w14:paraId="330F646C">
      <w:pPr>
        <w:widowControl/>
        <w:spacing w:line="440" w:lineRule="exact"/>
        <w:jc w:val="left"/>
        <w:rPr>
          <w:rFonts w:ascii="仿宋_GB2312" w:hAnsi="仿宋_GB2312" w:eastAsia="仿宋_GB2312" w:cs="仿宋_GB2312"/>
          <w:color w:val="auto"/>
          <w:sz w:val="32"/>
          <w:szCs w:val="32"/>
          <w:highlight w:val="none"/>
          <w:lang w:bidi="ar"/>
        </w:rPr>
      </w:pPr>
    </w:p>
    <w:p w14:paraId="708C423F">
      <w:pPr>
        <w:widowControl/>
        <w:spacing w:line="440" w:lineRule="exact"/>
        <w:rPr>
          <w:rFonts w:ascii="宋体" w:hAnsi="宋体" w:cs="宋体"/>
          <w:color w:val="auto"/>
          <w:sz w:val="24"/>
          <w:highlight w:val="none"/>
          <w:u w:val="single"/>
        </w:rPr>
      </w:pPr>
      <w:r>
        <w:rPr>
          <w:rFonts w:hint="eastAsia" w:ascii="宋体" w:hAnsi="宋体" w:cs="宋体"/>
          <w:color w:val="auto"/>
          <w:sz w:val="24"/>
          <w:highlight w:val="none"/>
          <w:lang w:bidi="ar"/>
        </w:rPr>
        <w:t>致</w:t>
      </w:r>
      <w:r>
        <w:rPr>
          <w:rFonts w:hint="eastAsia" w:ascii="宋体" w:hAnsi="宋体" w:cs="宋体"/>
          <w:color w:val="auto"/>
          <w:sz w:val="24"/>
          <w:highlight w:val="none"/>
          <w:u w:val="single"/>
          <w:lang w:bidi="ar"/>
        </w:rPr>
        <w:t>（采购代理机构名称）：</w:t>
      </w:r>
    </w:p>
    <w:p w14:paraId="4FD661DF">
      <w:pPr>
        <w:widowControl/>
        <w:spacing w:line="440" w:lineRule="exact"/>
        <w:ind w:firstLine="480"/>
        <w:rPr>
          <w:rFonts w:ascii="宋体" w:hAnsi="宋体" w:cs="宋体"/>
          <w:color w:val="auto"/>
          <w:spacing w:val="-6"/>
          <w:sz w:val="24"/>
          <w:highlight w:val="none"/>
        </w:rPr>
      </w:pPr>
      <w:r>
        <w:rPr>
          <w:rFonts w:hint="eastAsia" w:ascii="宋体" w:hAnsi="宋体" w:cs="宋体"/>
          <w:color w:val="auto"/>
          <w:sz w:val="24"/>
          <w:highlight w:val="none"/>
          <w:lang w:bidi="ar"/>
        </w:rPr>
        <w:t>我方自愿参加</w:t>
      </w:r>
      <w:r>
        <w:rPr>
          <w:rFonts w:hint="eastAsia" w:ascii="宋体" w:hAnsi="宋体" w:cs="宋体"/>
          <w:color w:val="auto"/>
          <w:sz w:val="24"/>
          <w:highlight w:val="none"/>
          <w:u w:val="single"/>
          <w:lang w:bidi="ar"/>
        </w:rPr>
        <w:t xml:space="preserve"> （项目名称） </w:t>
      </w:r>
      <w:r>
        <w:rPr>
          <w:rFonts w:hint="eastAsia" w:ascii="宋体" w:hAnsi="宋体" w:cs="宋体"/>
          <w:color w:val="auto"/>
          <w:sz w:val="24"/>
          <w:highlight w:val="none"/>
          <w:lang w:bidi="ar"/>
        </w:rPr>
        <w:t>项目</w:t>
      </w:r>
      <w:r>
        <w:rPr>
          <w:rFonts w:hint="eastAsia" w:ascii="宋体" w:hAnsi="宋体" w:cs="宋体"/>
          <w:color w:val="auto"/>
          <w:spacing w:val="6"/>
          <w:sz w:val="24"/>
          <w:highlight w:val="none"/>
        </w:rPr>
        <w:t>（项目编号：</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w:t>
      </w:r>
      <w:r>
        <w:rPr>
          <w:rFonts w:hint="eastAsia" w:ascii="宋体" w:hAnsi="宋体" w:cs="宋体"/>
          <w:color w:val="auto"/>
          <w:sz w:val="24"/>
          <w:highlight w:val="none"/>
          <w:lang w:bidi="ar"/>
        </w:rPr>
        <w:t>的政府采购活动，严格遵守《中华人民共和国政府采购法》及相关法律法规，依法诚信经营，无条件遵守本次政府采购活动的各项规定，并郑重承诺</w:t>
      </w:r>
      <w:r>
        <w:rPr>
          <w:rFonts w:hint="eastAsia" w:ascii="宋体" w:hAnsi="宋体" w:cs="宋体"/>
          <w:color w:val="auto"/>
          <w:spacing w:val="-6"/>
          <w:sz w:val="24"/>
          <w:highlight w:val="none"/>
          <w:lang w:bidi="ar"/>
        </w:rPr>
        <w:t xml:space="preserve">： </w:t>
      </w:r>
    </w:p>
    <w:p w14:paraId="6E7592EF">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1.我方</w:t>
      </w:r>
      <w:r>
        <w:rPr>
          <w:rFonts w:hint="eastAsia" w:ascii="宋体" w:hAnsi="宋体" w:cs="宋体"/>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2F92BC62">
      <w:pPr>
        <w:widowControl/>
        <w:spacing w:line="440" w:lineRule="exact"/>
        <w:ind w:firstLine="480"/>
        <w:rPr>
          <w:rFonts w:ascii="宋体" w:hAnsi="宋体" w:cs="宋体"/>
          <w:color w:val="auto"/>
          <w:sz w:val="24"/>
          <w:highlight w:val="none"/>
        </w:rPr>
      </w:pPr>
      <w:r>
        <w:rPr>
          <w:rFonts w:hint="eastAsia" w:ascii="宋体" w:hAnsi="宋体" w:cs="宋体"/>
          <w:color w:val="auto"/>
          <w:sz w:val="24"/>
          <w:highlight w:val="none"/>
          <w:lang w:bidi="ar"/>
        </w:rPr>
        <w:t xml:space="preserve">2.我方具有符合采购文件资格要求的财务状况报告。 </w:t>
      </w:r>
    </w:p>
    <w:p w14:paraId="2B51C243">
      <w:pPr>
        <w:widowControl/>
        <w:spacing w:line="440" w:lineRule="exact"/>
        <w:ind w:firstLine="456"/>
        <w:rPr>
          <w:rFonts w:ascii="宋体" w:hAnsi="宋体" w:cs="宋体"/>
          <w:color w:val="auto"/>
          <w:spacing w:val="-17"/>
          <w:sz w:val="24"/>
          <w:highlight w:val="none"/>
        </w:rPr>
      </w:pPr>
      <w:r>
        <w:rPr>
          <w:rFonts w:hint="eastAsia" w:ascii="宋体" w:hAnsi="宋体" w:cs="宋体"/>
          <w:color w:val="auto"/>
          <w:spacing w:val="-6"/>
          <w:sz w:val="24"/>
          <w:highlight w:val="none"/>
          <w:lang w:bidi="ar"/>
        </w:rPr>
        <w:t>3.我方具有符合采购文件资格要求的依法缴纳税收和社会保障资金的良好记录。</w:t>
      </w:r>
      <w:r>
        <w:rPr>
          <w:rFonts w:hint="eastAsia" w:ascii="宋体" w:hAnsi="宋体" w:cs="宋体"/>
          <w:color w:val="auto"/>
          <w:spacing w:val="-17"/>
          <w:sz w:val="24"/>
          <w:highlight w:val="none"/>
          <w:lang w:bidi="ar"/>
        </w:rPr>
        <w:t xml:space="preserve"> </w:t>
      </w:r>
    </w:p>
    <w:p w14:paraId="7A9642D4">
      <w:pPr>
        <w:widowControl/>
        <w:spacing w:line="440" w:lineRule="exact"/>
        <w:ind w:firstLine="480"/>
        <w:rPr>
          <w:rFonts w:ascii="宋体" w:hAnsi="宋体" w:cs="宋体"/>
          <w:color w:val="auto"/>
          <w:sz w:val="24"/>
          <w:highlight w:val="none"/>
        </w:rPr>
      </w:pPr>
      <w:r>
        <w:rPr>
          <w:rFonts w:hint="eastAsia" w:ascii="宋体" w:hAnsi="宋体" w:cs="宋体"/>
          <w:color w:val="auto"/>
          <w:sz w:val="24"/>
          <w:highlight w:val="none"/>
          <w:lang w:bidi="ar"/>
        </w:rPr>
        <w:t xml:space="preserve">4.我方具有符合采购文件资格要求履行合同所必需的设备和专业技术能力。 </w:t>
      </w:r>
    </w:p>
    <w:p w14:paraId="718EAB96">
      <w:pPr>
        <w:widowControl/>
        <w:spacing w:line="440" w:lineRule="exact"/>
        <w:ind w:firstLine="480"/>
        <w:rPr>
          <w:rFonts w:ascii="宋体" w:hAnsi="宋体" w:cs="宋体"/>
          <w:color w:val="auto"/>
          <w:sz w:val="24"/>
          <w:highlight w:val="none"/>
        </w:rPr>
      </w:pPr>
      <w:r>
        <w:rPr>
          <w:rFonts w:hint="eastAsia" w:ascii="宋体" w:hAnsi="宋体" w:cs="宋体"/>
          <w:color w:val="auto"/>
          <w:sz w:val="24"/>
          <w:highlight w:val="none"/>
          <w:lang w:bidi="ar"/>
        </w:rPr>
        <w:t xml:space="preserve">5.我方参加政府采购活动前3年内在经营活动中没有重大违法记录。 </w:t>
      </w:r>
    </w:p>
    <w:p w14:paraId="09597AFA">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我方对以上承诺内容的真实性负责。如有虚假，将依法承担相应责任。</w:t>
      </w:r>
    </w:p>
    <w:p w14:paraId="48CF886F">
      <w:pPr>
        <w:widowControl/>
        <w:spacing w:line="440" w:lineRule="exact"/>
        <w:ind w:firstLine="480"/>
        <w:rPr>
          <w:rFonts w:ascii="宋体" w:hAnsi="宋体" w:cs="宋体"/>
          <w:color w:val="auto"/>
          <w:sz w:val="24"/>
          <w:highlight w:val="none"/>
          <w:lang w:bidi="ar"/>
        </w:rPr>
      </w:pPr>
    </w:p>
    <w:p w14:paraId="5CB1EC54">
      <w:pPr>
        <w:widowControl/>
        <w:spacing w:line="440" w:lineRule="exact"/>
        <w:ind w:firstLine="480"/>
        <w:rPr>
          <w:rFonts w:ascii="宋体" w:hAnsi="宋体" w:cs="宋体"/>
          <w:color w:val="auto"/>
          <w:sz w:val="24"/>
          <w:highlight w:val="none"/>
          <w:lang w:bidi="ar"/>
        </w:rPr>
      </w:pPr>
    </w:p>
    <w:p w14:paraId="30C442D6">
      <w:pPr>
        <w:widowControl/>
        <w:spacing w:line="440" w:lineRule="exact"/>
        <w:ind w:firstLine="3600"/>
        <w:jc w:val="left"/>
        <w:rPr>
          <w:rFonts w:ascii="宋体" w:hAnsi="宋体" w:cs="宋体"/>
          <w:color w:val="auto"/>
          <w:sz w:val="24"/>
          <w:highlight w:val="none"/>
        </w:rPr>
      </w:pPr>
      <w:r>
        <w:rPr>
          <w:rFonts w:hint="eastAsia" w:ascii="宋体" w:hAnsi="宋体" w:cs="宋体"/>
          <w:color w:val="auto"/>
          <w:sz w:val="24"/>
          <w:highlight w:val="none"/>
          <w:lang w:bidi="ar"/>
        </w:rPr>
        <w:t xml:space="preserve">供应商名称（盖章）： </w:t>
      </w:r>
    </w:p>
    <w:p w14:paraId="7444C9EE">
      <w:pPr>
        <w:tabs>
          <w:tab w:val="left" w:pos="7560"/>
        </w:tabs>
        <w:spacing w:line="440" w:lineRule="exact"/>
        <w:ind w:firstLine="3600"/>
        <w:jc w:val="left"/>
        <w:rPr>
          <w:rFonts w:ascii="宋体" w:hAnsi="宋体" w:cs="宋体"/>
          <w:color w:val="auto"/>
          <w:sz w:val="24"/>
          <w:highlight w:val="none"/>
          <w:lang w:bidi="ar"/>
        </w:rPr>
      </w:pPr>
      <w:r>
        <w:rPr>
          <w:rFonts w:hint="eastAsia" w:ascii="宋体" w:hAnsi="宋体" w:cs="宋体"/>
          <w:color w:val="auto"/>
          <w:sz w:val="24"/>
          <w:highlight w:val="none"/>
          <w:lang w:bidi="ar"/>
        </w:rPr>
        <w:t>日期：</w:t>
      </w:r>
    </w:p>
    <w:p w14:paraId="0E03A686">
      <w:pPr>
        <w:pStyle w:val="36"/>
        <w:widowControl/>
        <w:spacing w:line="560" w:lineRule="exact"/>
        <w:rPr>
          <w:rFonts w:ascii="宋体" w:hAnsi="宋体" w:cs="宋体"/>
          <w:color w:val="auto"/>
          <w:highlight w:val="none"/>
          <w:lang w:bidi="ar"/>
        </w:rPr>
      </w:pPr>
    </w:p>
    <w:p w14:paraId="3D182E48">
      <w:pPr>
        <w:pStyle w:val="36"/>
        <w:widowControl/>
        <w:spacing w:line="400" w:lineRule="exact"/>
        <w:rPr>
          <w:rFonts w:ascii="宋体" w:hAnsi="宋体" w:cs="宋体"/>
          <w:color w:val="auto"/>
          <w:highlight w:val="none"/>
        </w:rPr>
      </w:pPr>
      <w:r>
        <w:rPr>
          <w:rFonts w:hint="eastAsia" w:ascii="宋体" w:hAnsi="宋体" w:cs="宋体"/>
          <w:color w:val="auto"/>
          <w:highlight w:val="none"/>
          <w:lang w:bidi="ar"/>
        </w:rPr>
        <w:t>注：1.</w:t>
      </w:r>
      <w:r>
        <w:rPr>
          <w:rFonts w:hint="eastAsia" w:ascii="宋体" w:hAnsi="宋体" w:cs="宋体"/>
          <w:color w:val="auto"/>
          <w:highlight w:val="none"/>
        </w:rPr>
        <w:t>参与政府采购活动的供应商可按第1点的内容：“</w:t>
      </w:r>
      <w:r>
        <w:rPr>
          <w:rFonts w:hint="eastAsia" w:ascii="宋体" w:hAnsi="宋体" w:cs="宋体"/>
          <w:color w:val="auto"/>
          <w:highlight w:val="none"/>
          <w:lang w:bidi="ar"/>
        </w:rPr>
        <w:t>我方</w:t>
      </w:r>
      <w:r>
        <w:rPr>
          <w:rFonts w:hint="eastAsia" w:ascii="宋体" w:hAnsi="宋体" w:cs="宋体"/>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cs="宋体"/>
          <w:color w:val="auto"/>
          <w:highlight w:val="none"/>
          <w:lang w:bidi="ar"/>
        </w:rPr>
        <w:t>我方</w:t>
      </w:r>
      <w:r>
        <w:rPr>
          <w:rFonts w:hint="eastAsia" w:ascii="宋体" w:hAnsi="宋体" w:cs="宋体"/>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63B4648F">
      <w:pPr>
        <w:spacing w:line="300" w:lineRule="auto"/>
        <w:rPr>
          <w:rFonts w:ascii="宋体" w:hAnsi="宋体"/>
          <w:color w:val="auto"/>
          <w:szCs w:val="21"/>
          <w:highlight w:val="none"/>
        </w:rPr>
      </w:pPr>
    </w:p>
    <w:p w14:paraId="1A82AB14">
      <w:pPr>
        <w:spacing w:line="300" w:lineRule="auto"/>
        <w:rPr>
          <w:rFonts w:ascii="宋体" w:hAnsi="宋体"/>
          <w:color w:val="auto"/>
          <w:szCs w:val="21"/>
          <w:highlight w:val="none"/>
        </w:rPr>
      </w:pPr>
    </w:p>
    <w:p w14:paraId="21E9CBAD">
      <w:pPr>
        <w:spacing w:line="300" w:lineRule="auto"/>
        <w:rPr>
          <w:rFonts w:ascii="宋体" w:hAnsi="宋体"/>
          <w:color w:val="auto"/>
          <w:szCs w:val="21"/>
          <w:highlight w:val="none"/>
        </w:rPr>
      </w:pPr>
    </w:p>
    <w:p w14:paraId="2137622C">
      <w:pPr>
        <w:spacing w:line="300" w:lineRule="auto"/>
        <w:jc w:val="center"/>
        <w:rPr>
          <w:rFonts w:ascii="宋体" w:hAnsi="宋体"/>
          <w:color w:val="auto"/>
          <w:szCs w:val="21"/>
          <w:highlight w:val="none"/>
        </w:rPr>
      </w:pPr>
    </w:p>
    <w:p w14:paraId="64BDFFE8">
      <w:pPr>
        <w:spacing w:before="50" w:after="120"/>
        <w:jc w:val="center"/>
        <w:rPr>
          <w:rFonts w:ascii="宋体" w:hAnsi="宋体"/>
          <w:b/>
          <w:color w:val="auto"/>
          <w:sz w:val="32"/>
          <w:szCs w:val="32"/>
          <w:highlight w:val="none"/>
        </w:rPr>
      </w:pPr>
      <w:r>
        <w:rPr>
          <w:rFonts w:hint="eastAsia" w:ascii="宋体" w:hAnsi="宋体"/>
          <w:b/>
          <w:color w:val="auto"/>
          <w:sz w:val="32"/>
          <w:szCs w:val="32"/>
          <w:highlight w:val="none"/>
        </w:rPr>
        <w:t>2.供应商直接控股信息表</w:t>
      </w:r>
    </w:p>
    <w:tbl>
      <w:tblPr>
        <w:tblStyle w:val="4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2B9474B">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80F63E3">
            <w:pPr>
              <w:widowControl/>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177D7ED">
            <w:pPr>
              <w:widowControl/>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DA37E7B">
            <w:pPr>
              <w:widowControl/>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38174A">
            <w:pPr>
              <w:widowControl/>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6E24D38">
            <w:pPr>
              <w:widowControl/>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备注</w:t>
            </w:r>
          </w:p>
        </w:tc>
      </w:tr>
      <w:tr w14:paraId="2A97FD0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F0DBF1">
            <w:pPr>
              <w:widowControl/>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328245">
            <w:pPr>
              <w:widowControl/>
              <w:spacing w:line="360" w:lineRule="auto"/>
              <w:jc w:val="center"/>
              <w:rPr>
                <w:rFonts w:ascii="宋体" w:hAnsi="宋体" w:cs="宋体"/>
                <w:color w:val="auto"/>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BC631D">
            <w:pPr>
              <w:widowControl/>
              <w:spacing w:line="360" w:lineRule="auto"/>
              <w:jc w:val="center"/>
              <w:rPr>
                <w:rFonts w:ascii="宋体" w:hAnsi="宋体" w:cs="宋体"/>
                <w:color w:val="auto"/>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332568">
            <w:pPr>
              <w:widowControl/>
              <w:spacing w:line="360" w:lineRule="auto"/>
              <w:jc w:val="center"/>
              <w:rPr>
                <w:rFonts w:ascii="宋体" w:hAnsi="宋体" w:cs="宋体"/>
                <w:color w:val="auto"/>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2EC066">
            <w:pPr>
              <w:widowControl/>
              <w:spacing w:line="360" w:lineRule="auto"/>
              <w:jc w:val="center"/>
              <w:rPr>
                <w:rFonts w:ascii="宋体" w:hAnsi="宋体" w:cs="宋体"/>
                <w:color w:val="auto"/>
                <w:sz w:val="28"/>
                <w:szCs w:val="28"/>
                <w:highlight w:val="none"/>
              </w:rPr>
            </w:pPr>
          </w:p>
        </w:tc>
      </w:tr>
      <w:tr w14:paraId="66FE72B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D36FBB">
            <w:pPr>
              <w:widowControl/>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721F85">
            <w:pPr>
              <w:widowControl/>
              <w:spacing w:line="360" w:lineRule="auto"/>
              <w:jc w:val="center"/>
              <w:rPr>
                <w:rFonts w:ascii="宋体" w:hAnsi="宋体" w:cs="宋体"/>
                <w:color w:val="auto"/>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2FE8D7">
            <w:pPr>
              <w:widowControl/>
              <w:spacing w:line="360" w:lineRule="auto"/>
              <w:jc w:val="center"/>
              <w:rPr>
                <w:rFonts w:ascii="宋体" w:hAnsi="宋体" w:cs="宋体"/>
                <w:color w:val="auto"/>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044A6F">
            <w:pPr>
              <w:widowControl/>
              <w:spacing w:line="360" w:lineRule="auto"/>
              <w:jc w:val="center"/>
              <w:rPr>
                <w:rFonts w:ascii="宋体" w:hAnsi="宋体" w:cs="宋体"/>
                <w:color w:val="auto"/>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A870DB">
            <w:pPr>
              <w:widowControl/>
              <w:spacing w:line="360" w:lineRule="auto"/>
              <w:jc w:val="center"/>
              <w:rPr>
                <w:rFonts w:ascii="宋体" w:hAnsi="宋体" w:cs="宋体"/>
                <w:color w:val="auto"/>
                <w:sz w:val="28"/>
                <w:szCs w:val="28"/>
                <w:highlight w:val="none"/>
              </w:rPr>
            </w:pPr>
          </w:p>
        </w:tc>
      </w:tr>
      <w:tr w14:paraId="2F20453E">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832182">
            <w:pPr>
              <w:widowControl/>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A941F5">
            <w:pPr>
              <w:widowControl/>
              <w:spacing w:line="360" w:lineRule="auto"/>
              <w:jc w:val="center"/>
              <w:rPr>
                <w:rFonts w:ascii="宋体" w:hAnsi="宋体" w:cs="宋体"/>
                <w:color w:val="auto"/>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5423A7">
            <w:pPr>
              <w:widowControl/>
              <w:spacing w:line="360" w:lineRule="auto"/>
              <w:jc w:val="center"/>
              <w:rPr>
                <w:rFonts w:ascii="宋体" w:hAnsi="宋体" w:cs="宋体"/>
                <w:color w:val="auto"/>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E89ABB">
            <w:pPr>
              <w:widowControl/>
              <w:spacing w:line="360" w:lineRule="auto"/>
              <w:jc w:val="center"/>
              <w:rPr>
                <w:rFonts w:ascii="宋体" w:hAnsi="宋体" w:cs="宋体"/>
                <w:color w:val="auto"/>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84C256">
            <w:pPr>
              <w:widowControl/>
              <w:spacing w:line="360" w:lineRule="auto"/>
              <w:jc w:val="center"/>
              <w:rPr>
                <w:rFonts w:ascii="宋体" w:hAnsi="宋体" w:cs="宋体"/>
                <w:color w:val="auto"/>
                <w:sz w:val="28"/>
                <w:szCs w:val="28"/>
                <w:highlight w:val="none"/>
              </w:rPr>
            </w:pPr>
          </w:p>
        </w:tc>
      </w:tr>
      <w:tr w14:paraId="2AF4567E">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0D39DD">
            <w:pPr>
              <w:widowControl/>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717AB3">
            <w:pPr>
              <w:widowControl/>
              <w:spacing w:line="360" w:lineRule="auto"/>
              <w:jc w:val="center"/>
              <w:rPr>
                <w:rFonts w:ascii="宋体" w:hAnsi="宋体" w:cs="宋体"/>
                <w:color w:val="auto"/>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7CED55">
            <w:pPr>
              <w:widowControl/>
              <w:spacing w:line="360" w:lineRule="auto"/>
              <w:jc w:val="center"/>
              <w:rPr>
                <w:rFonts w:ascii="宋体" w:hAnsi="宋体" w:cs="宋体"/>
                <w:color w:val="auto"/>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A9BA95">
            <w:pPr>
              <w:widowControl/>
              <w:spacing w:line="360" w:lineRule="auto"/>
              <w:jc w:val="center"/>
              <w:rPr>
                <w:rFonts w:ascii="宋体" w:hAnsi="宋体" w:cs="宋体"/>
                <w:color w:val="auto"/>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67C4C3">
            <w:pPr>
              <w:widowControl/>
              <w:spacing w:line="360" w:lineRule="auto"/>
              <w:jc w:val="center"/>
              <w:rPr>
                <w:rFonts w:ascii="宋体" w:hAnsi="宋体" w:cs="宋体"/>
                <w:color w:val="auto"/>
                <w:sz w:val="28"/>
                <w:szCs w:val="28"/>
                <w:highlight w:val="none"/>
              </w:rPr>
            </w:pPr>
          </w:p>
        </w:tc>
      </w:tr>
    </w:tbl>
    <w:p w14:paraId="7AA6D797">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w:t>
      </w:r>
    </w:p>
    <w:p w14:paraId="6DA9C86B">
      <w:pPr>
        <w:spacing w:line="360" w:lineRule="auto"/>
        <w:ind w:firstLine="480"/>
        <w:contextualSpacing/>
        <w:jc w:val="left"/>
        <w:rPr>
          <w:rFonts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50%以上或者其持有的股份占股份有限公司股份总额50%以上的股东；出资额或者持有股份的比例虽然不足50%，但依其出资额或者持有的股份所享有的表决权已足以对股东会、股东大会的决议产生重大影响的股东。</w:t>
      </w:r>
    </w:p>
    <w:p w14:paraId="257AA7C9">
      <w:pPr>
        <w:spacing w:line="360" w:lineRule="auto"/>
        <w:ind w:firstLine="480"/>
        <w:contextualSpacing/>
        <w:jc w:val="left"/>
        <w:rPr>
          <w:rFonts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6D8387AF">
      <w:pPr>
        <w:spacing w:line="360" w:lineRule="auto"/>
        <w:ind w:firstLine="480"/>
        <w:contextualSpacing/>
        <w:jc w:val="left"/>
        <w:rPr>
          <w:rFonts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69F93138">
      <w:pPr>
        <w:spacing w:line="360" w:lineRule="auto"/>
        <w:ind w:firstLine="420"/>
        <w:contextualSpacing/>
        <w:jc w:val="left"/>
        <w:rPr>
          <w:rFonts w:ascii="宋体" w:hAnsi="宋体" w:cs="宋体"/>
          <w:color w:val="auto"/>
          <w:szCs w:val="21"/>
          <w:highlight w:val="none"/>
        </w:rPr>
      </w:pPr>
    </w:p>
    <w:p w14:paraId="17E219DF">
      <w:pPr>
        <w:spacing w:line="360" w:lineRule="auto"/>
        <w:ind w:firstLine="560"/>
        <w:contextualSpacing/>
        <w:jc w:val="left"/>
        <w:rPr>
          <w:rFonts w:ascii="宋体" w:hAnsi="宋体" w:cs="宋体"/>
          <w:color w:val="auto"/>
          <w:sz w:val="28"/>
          <w:szCs w:val="28"/>
          <w:highlight w:val="none"/>
        </w:rPr>
      </w:pPr>
    </w:p>
    <w:p w14:paraId="58074266">
      <w:pPr>
        <w:spacing w:line="360" w:lineRule="auto"/>
        <w:ind w:right="480"/>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298B1A59">
      <w:pPr>
        <w:spacing w:line="360" w:lineRule="auto"/>
        <w:ind w:right="480" w:firstLine="3000"/>
        <w:contextualSpacing/>
        <w:rPr>
          <w:rFonts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p>
    <w:p w14:paraId="587E9342">
      <w:pPr>
        <w:spacing w:line="360" w:lineRule="auto"/>
        <w:ind w:right="480" w:firstLine="5280"/>
        <w:contextualSpacing/>
        <w:rPr>
          <w:rFonts w:ascii="宋体" w:hAnsi="宋体" w:cs="宋体"/>
          <w:color w:val="auto"/>
          <w:sz w:val="28"/>
          <w:szCs w:val="28"/>
          <w:highlight w:val="none"/>
        </w:rPr>
      </w:pPr>
      <w:r>
        <w:rPr>
          <w:rFonts w:hint="eastAsia" w:ascii="宋体" w:hAnsi="宋体" w:cs="宋体"/>
          <w:color w:val="auto"/>
          <w:sz w:val="24"/>
          <w:highlight w:val="none"/>
        </w:rPr>
        <w:t>年    月    日</w:t>
      </w:r>
    </w:p>
    <w:p w14:paraId="0AE43D65">
      <w:pPr>
        <w:jc w:val="center"/>
        <w:rPr>
          <w:rFonts w:ascii="宋体" w:hAnsi="宋体"/>
          <w:b/>
          <w:color w:val="auto"/>
          <w:sz w:val="28"/>
          <w:szCs w:val="28"/>
          <w:highlight w:val="none"/>
        </w:rPr>
      </w:pPr>
      <w:r>
        <w:rPr>
          <w:rFonts w:ascii="宋体" w:hAnsi="宋体"/>
          <w:b/>
          <w:color w:val="auto"/>
          <w:sz w:val="28"/>
          <w:szCs w:val="28"/>
          <w:highlight w:val="none"/>
        </w:rPr>
        <w:br w:type="page" w:clear="all"/>
      </w:r>
    </w:p>
    <w:p w14:paraId="71140D2D">
      <w:pPr>
        <w:jc w:val="center"/>
        <w:rPr>
          <w:rFonts w:ascii="宋体" w:hAnsi="宋体"/>
          <w:b/>
          <w:color w:val="auto"/>
          <w:sz w:val="32"/>
          <w:szCs w:val="32"/>
          <w:highlight w:val="none"/>
        </w:rPr>
      </w:pPr>
      <w:r>
        <w:rPr>
          <w:rFonts w:hint="eastAsia" w:ascii="宋体" w:hAnsi="宋体"/>
          <w:b/>
          <w:color w:val="auto"/>
          <w:sz w:val="32"/>
          <w:szCs w:val="32"/>
          <w:highlight w:val="none"/>
        </w:rPr>
        <w:t>3供应商直接管理关系信息表</w:t>
      </w:r>
    </w:p>
    <w:p w14:paraId="294A6E1C">
      <w:pPr>
        <w:jc w:val="center"/>
        <w:rPr>
          <w:rFonts w:ascii="宋体" w:hAnsi="宋体"/>
          <w:b/>
          <w:color w:val="auto"/>
          <w:sz w:val="32"/>
          <w:szCs w:val="32"/>
          <w:highlight w:val="none"/>
        </w:rPr>
      </w:pPr>
    </w:p>
    <w:tbl>
      <w:tblPr>
        <w:tblStyle w:val="4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3A3A17B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76EFE44">
            <w:pPr>
              <w:widowControl/>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81D453A">
            <w:pPr>
              <w:widowControl/>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5F5A9B2">
            <w:pPr>
              <w:widowControl/>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C7BF384">
            <w:pPr>
              <w:widowControl/>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备注</w:t>
            </w:r>
          </w:p>
        </w:tc>
      </w:tr>
      <w:tr w14:paraId="2197FFB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ABF488">
            <w:pPr>
              <w:widowControl/>
              <w:spacing w:line="200" w:lineRule="atLeast"/>
              <w:jc w:val="center"/>
              <w:rPr>
                <w:rFonts w:ascii="宋体" w:hAnsi="宋体" w:cs="宋体"/>
                <w:color w:val="auto"/>
                <w:sz w:val="28"/>
                <w:szCs w:val="28"/>
                <w:highlight w:val="none"/>
              </w:rPr>
            </w:pPr>
            <w:r>
              <w:rPr>
                <w:rFonts w:hint="eastAsia" w:ascii="宋体" w:hAnsi="宋体" w:cs="宋体"/>
                <w:color w:val="auto"/>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D102B0">
            <w:pPr>
              <w:widowControl/>
              <w:spacing w:line="200" w:lineRule="atLeast"/>
              <w:jc w:val="center"/>
              <w:rPr>
                <w:rFonts w:ascii="宋体" w:hAnsi="宋体" w:cs="宋体"/>
                <w:color w:val="auto"/>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60E864">
            <w:pPr>
              <w:widowControl/>
              <w:spacing w:line="200" w:lineRule="atLeast"/>
              <w:jc w:val="center"/>
              <w:rPr>
                <w:rFonts w:ascii="宋体" w:hAnsi="宋体" w:cs="宋体"/>
                <w:color w:val="auto"/>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BFFEA0">
            <w:pPr>
              <w:widowControl/>
              <w:spacing w:line="200" w:lineRule="atLeast"/>
              <w:jc w:val="center"/>
              <w:rPr>
                <w:rFonts w:ascii="宋体" w:hAnsi="宋体" w:cs="宋体"/>
                <w:color w:val="auto"/>
                <w:sz w:val="28"/>
                <w:szCs w:val="28"/>
                <w:highlight w:val="none"/>
              </w:rPr>
            </w:pPr>
          </w:p>
        </w:tc>
      </w:tr>
      <w:tr w14:paraId="0B55A92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3AD7AA">
            <w:pPr>
              <w:widowControl/>
              <w:spacing w:line="200" w:lineRule="atLeast"/>
              <w:jc w:val="center"/>
              <w:rPr>
                <w:rFonts w:ascii="宋体" w:hAnsi="宋体" w:cs="宋体"/>
                <w:color w:val="auto"/>
                <w:sz w:val="28"/>
                <w:szCs w:val="28"/>
                <w:highlight w:val="none"/>
              </w:rPr>
            </w:pPr>
            <w:r>
              <w:rPr>
                <w:rFonts w:hint="eastAsia" w:ascii="宋体" w:hAnsi="宋体" w:cs="宋体"/>
                <w:color w:val="auto"/>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708513">
            <w:pPr>
              <w:widowControl/>
              <w:spacing w:line="200" w:lineRule="atLeast"/>
              <w:jc w:val="center"/>
              <w:rPr>
                <w:rFonts w:ascii="宋体" w:hAnsi="宋体" w:cs="宋体"/>
                <w:color w:val="auto"/>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AE0E75">
            <w:pPr>
              <w:widowControl/>
              <w:spacing w:line="200" w:lineRule="atLeast"/>
              <w:jc w:val="center"/>
              <w:rPr>
                <w:rFonts w:ascii="宋体" w:hAnsi="宋体" w:cs="宋体"/>
                <w:color w:val="auto"/>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6D6F5B">
            <w:pPr>
              <w:widowControl/>
              <w:spacing w:line="200" w:lineRule="atLeast"/>
              <w:jc w:val="center"/>
              <w:rPr>
                <w:rFonts w:ascii="宋体" w:hAnsi="宋体" w:cs="宋体"/>
                <w:color w:val="auto"/>
                <w:sz w:val="28"/>
                <w:szCs w:val="28"/>
                <w:highlight w:val="none"/>
              </w:rPr>
            </w:pPr>
          </w:p>
        </w:tc>
      </w:tr>
      <w:tr w14:paraId="5E4C162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475F16">
            <w:pPr>
              <w:widowControl/>
              <w:spacing w:line="200" w:lineRule="atLeast"/>
              <w:jc w:val="center"/>
              <w:rPr>
                <w:rFonts w:ascii="宋体" w:hAnsi="宋体" w:cs="宋体"/>
                <w:color w:val="auto"/>
                <w:sz w:val="28"/>
                <w:szCs w:val="28"/>
                <w:highlight w:val="none"/>
              </w:rPr>
            </w:pPr>
            <w:r>
              <w:rPr>
                <w:rFonts w:hint="eastAsia" w:ascii="宋体" w:hAnsi="宋体" w:cs="宋体"/>
                <w:color w:val="auto"/>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17BCFC">
            <w:pPr>
              <w:widowControl/>
              <w:spacing w:line="200" w:lineRule="atLeast"/>
              <w:jc w:val="center"/>
              <w:rPr>
                <w:rFonts w:ascii="宋体" w:hAnsi="宋体" w:cs="宋体"/>
                <w:color w:val="auto"/>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BA0244">
            <w:pPr>
              <w:widowControl/>
              <w:spacing w:line="200" w:lineRule="atLeast"/>
              <w:jc w:val="center"/>
              <w:rPr>
                <w:rFonts w:ascii="宋体" w:hAnsi="宋体" w:cs="宋体"/>
                <w:color w:val="auto"/>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F5A1C8">
            <w:pPr>
              <w:widowControl/>
              <w:spacing w:line="200" w:lineRule="atLeast"/>
              <w:jc w:val="center"/>
              <w:rPr>
                <w:rFonts w:ascii="宋体" w:hAnsi="宋体" w:cs="宋体"/>
                <w:color w:val="auto"/>
                <w:sz w:val="28"/>
                <w:szCs w:val="28"/>
                <w:highlight w:val="none"/>
              </w:rPr>
            </w:pPr>
          </w:p>
        </w:tc>
      </w:tr>
      <w:tr w14:paraId="2221C20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FB8FBF">
            <w:pPr>
              <w:widowControl/>
              <w:spacing w:line="200" w:lineRule="atLeast"/>
              <w:jc w:val="center"/>
              <w:rPr>
                <w:rFonts w:ascii="宋体" w:hAnsi="宋体" w:cs="宋体"/>
                <w:color w:val="auto"/>
                <w:sz w:val="28"/>
                <w:szCs w:val="28"/>
                <w:highlight w:val="none"/>
              </w:rPr>
            </w:pPr>
            <w:r>
              <w:rPr>
                <w:rFonts w:hint="eastAsia" w:ascii="宋体" w:hAnsi="宋体" w:cs="宋体"/>
                <w:color w:val="auto"/>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C64C3A">
            <w:pPr>
              <w:widowControl/>
              <w:spacing w:line="200" w:lineRule="atLeast"/>
              <w:jc w:val="center"/>
              <w:rPr>
                <w:rFonts w:ascii="宋体" w:hAnsi="宋体" w:cs="宋体"/>
                <w:color w:val="auto"/>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6755F6">
            <w:pPr>
              <w:widowControl/>
              <w:spacing w:line="200" w:lineRule="atLeast"/>
              <w:jc w:val="center"/>
              <w:rPr>
                <w:rFonts w:ascii="宋体" w:hAnsi="宋体" w:cs="宋体"/>
                <w:color w:val="auto"/>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59B92D">
            <w:pPr>
              <w:widowControl/>
              <w:spacing w:line="200" w:lineRule="atLeast"/>
              <w:jc w:val="center"/>
              <w:rPr>
                <w:rFonts w:ascii="宋体" w:hAnsi="宋体" w:cs="宋体"/>
                <w:color w:val="auto"/>
                <w:sz w:val="28"/>
                <w:szCs w:val="28"/>
                <w:highlight w:val="none"/>
              </w:rPr>
            </w:pPr>
          </w:p>
        </w:tc>
      </w:tr>
    </w:tbl>
    <w:p w14:paraId="041D2F62">
      <w:pPr>
        <w:spacing w:line="360" w:lineRule="auto"/>
        <w:contextualSpacing/>
        <w:jc w:val="left"/>
        <w:rPr>
          <w:rFonts w:ascii="宋体" w:hAnsi="宋体"/>
          <w:color w:val="auto"/>
          <w:sz w:val="24"/>
          <w:highlight w:val="none"/>
        </w:rPr>
      </w:pPr>
      <w:r>
        <w:rPr>
          <w:rFonts w:hint="eastAsia" w:ascii="宋体" w:hAnsi="宋体"/>
          <w:color w:val="auto"/>
          <w:sz w:val="24"/>
          <w:highlight w:val="none"/>
        </w:rPr>
        <w:t>注：</w:t>
      </w:r>
    </w:p>
    <w:p w14:paraId="6EAF75DA">
      <w:pPr>
        <w:spacing w:line="360" w:lineRule="auto"/>
        <w:ind w:firstLine="480"/>
        <w:contextualSpacing/>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5C490F53">
      <w:pPr>
        <w:spacing w:line="360" w:lineRule="auto"/>
        <w:ind w:firstLine="480"/>
        <w:contextualSpacing/>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79DDC8FA">
      <w:pPr>
        <w:spacing w:line="360" w:lineRule="auto"/>
        <w:ind w:firstLine="480"/>
        <w:contextualSpacing/>
        <w:jc w:val="left"/>
        <w:rPr>
          <w:rFonts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4C741941">
      <w:pPr>
        <w:spacing w:line="360" w:lineRule="auto"/>
        <w:contextualSpacing/>
        <w:jc w:val="left"/>
        <w:rPr>
          <w:rFonts w:ascii="宋体" w:hAnsi="宋体"/>
          <w:color w:val="auto"/>
          <w:sz w:val="28"/>
          <w:szCs w:val="28"/>
          <w:highlight w:val="none"/>
        </w:rPr>
      </w:pPr>
    </w:p>
    <w:p w14:paraId="1CF9A4F6">
      <w:pPr>
        <w:spacing w:line="360" w:lineRule="auto"/>
        <w:contextualSpacing/>
        <w:jc w:val="left"/>
        <w:rPr>
          <w:rFonts w:ascii="宋体" w:hAnsi="宋体"/>
          <w:color w:val="auto"/>
          <w:sz w:val="28"/>
          <w:szCs w:val="28"/>
          <w:highlight w:val="none"/>
        </w:rPr>
      </w:pPr>
    </w:p>
    <w:p w14:paraId="303A3CBF">
      <w:pPr>
        <w:spacing w:line="360" w:lineRule="auto"/>
        <w:contextualSpacing/>
        <w:jc w:val="left"/>
        <w:rPr>
          <w:color w:val="auto"/>
          <w:sz w:val="28"/>
          <w:szCs w:val="28"/>
          <w:highlight w:val="none"/>
        </w:rPr>
      </w:pPr>
    </w:p>
    <w:p w14:paraId="45393AE3">
      <w:pPr>
        <w:spacing w:line="360" w:lineRule="auto"/>
        <w:contextualSpacing/>
        <w:jc w:val="left"/>
        <w:rPr>
          <w:color w:val="auto"/>
          <w:sz w:val="28"/>
          <w:szCs w:val="28"/>
          <w:highlight w:val="none"/>
        </w:rPr>
      </w:pPr>
    </w:p>
    <w:p w14:paraId="3F94E597">
      <w:pPr>
        <w:spacing w:line="360" w:lineRule="auto"/>
        <w:contextualSpacing/>
        <w:jc w:val="left"/>
        <w:rPr>
          <w:color w:val="auto"/>
          <w:sz w:val="28"/>
          <w:szCs w:val="28"/>
          <w:highlight w:val="none"/>
        </w:rPr>
      </w:pPr>
    </w:p>
    <w:p w14:paraId="4E38A480">
      <w:pPr>
        <w:spacing w:line="360" w:lineRule="auto"/>
        <w:contextualSpacing/>
        <w:jc w:val="left"/>
        <w:rPr>
          <w:rFonts w:ascii="宋体" w:hAnsi="宋体"/>
          <w:color w:val="auto"/>
          <w:sz w:val="28"/>
          <w:szCs w:val="28"/>
          <w:highlight w:val="none"/>
        </w:rPr>
      </w:pPr>
    </w:p>
    <w:p w14:paraId="6E0BA9C0">
      <w:pPr>
        <w:spacing w:line="360" w:lineRule="auto"/>
        <w:ind w:right="480"/>
        <w:contextualSpacing/>
        <w:jc w:val="center"/>
        <w:rPr>
          <w:rFonts w:ascii="宋体" w:hAnsi="宋体"/>
          <w:color w:val="auto"/>
          <w:sz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法定代表人或者委托代理人（签字或者电子签名）：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507C1021">
      <w:pPr>
        <w:spacing w:line="360" w:lineRule="auto"/>
        <w:ind w:right="480" w:firstLine="3360"/>
        <w:contextualSpacing/>
        <w:rPr>
          <w:rFonts w:ascii="宋体" w:hAnsi="宋体"/>
          <w:color w:val="auto"/>
          <w:sz w:val="24"/>
          <w:highlight w:val="none"/>
        </w:rPr>
      </w:pPr>
      <w:r>
        <w:rPr>
          <w:rFonts w:hint="eastAsia" w:ascii="宋体" w:hAnsi="宋体"/>
          <w:color w:val="auto"/>
          <w:sz w:val="24"/>
          <w:highlight w:val="none"/>
        </w:rPr>
        <w:t>供应商（电子签章）：</w:t>
      </w:r>
      <w:r>
        <w:rPr>
          <w:rFonts w:hint="eastAsia" w:ascii="宋体" w:hAnsi="宋体"/>
          <w:color w:val="auto"/>
          <w:sz w:val="24"/>
          <w:highlight w:val="none"/>
          <w:u w:val="single"/>
        </w:rPr>
        <w:t xml:space="preserve">                </w:t>
      </w:r>
    </w:p>
    <w:p w14:paraId="428392B0">
      <w:pPr>
        <w:spacing w:line="360" w:lineRule="auto"/>
        <w:ind w:right="480" w:firstLine="240"/>
        <w:contextualSpacing/>
        <w:jc w:val="center"/>
        <w:rPr>
          <w:rFonts w:ascii="宋体" w:hAnsi="宋体"/>
          <w:color w:val="auto"/>
          <w:sz w:val="28"/>
          <w:szCs w:val="28"/>
          <w:highlight w:val="none"/>
        </w:rPr>
      </w:pPr>
      <w:r>
        <w:rPr>
          <w:rFonts w:hint="eastAsia" w:ascii="宋体" w:hAnsi="宋体"/>
          <w:color w:val="auto"/>
          <w:sz w:val="24"/>
          <w:highlight w:val="none"/>
        </w:rPr>
        <w:t xml:space="preserve">                                        年    月    日</w:t>
      </w:r>
    </w:p>
    <w:p w14:paraId="4C9F3577">
      <w:pPr>
        <w:spacing w:line="320" w:lineRule="exact"/>
        <w:jc w:val="center"/>
        <w:rPr>
          <w:rFonts w:ascii="Arial Unicode MS" w:hAnsi="宋体" w:eastAsia="Arial Unicode MS"/>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32"/>
          <w:szCs w:val="32"/>
          <w:highlight w:val="none"/>
        </w:rPr>
        <w:t>4.</w:t>
      </w:r>
      <w:r>
        <w:rPr>
          <w:rFonts w:hint="eastAsia" w:ascii="Arial Unicode MS" w:hAnsi="宋体" w:eastAsia="Arial Unicode MS"/>
          <w:b/>
          <w:color w:val="auto"/>
          <w:sz w:val="32"/>
          <w:szCs w:val="32"/>
          <w:highlight w:val="none"/>
        </w:rPr>
        <w:t>竞标声明</w:t>
      </w:r>
    </w:p>
    <w:p w14:paraId="12D2F3AB">
      <w:pPr>
        <w:spacing w:line="320" w:lineRule="exact"/>
        <w:jc w:val="center"/>
        <w:rPr>
          <w:rFonts w:ascii="宋体" w:hAnsi="宋体"/>
          <w:color w:val="auto"/>
          <w:sz w:val="24"/>
          <w:szCs w:val="20"/>
          <w:highlight w:val="none"/>
        </w:rPr>
      </w:pPr>
    </w:p>
    <w:p w14:paraId="41DAAE01">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D522FC1">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4FF05AF">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5689ED1B">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459F92F">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0AB9216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14:paraId="7B43D930">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（1）将按照谈判文件的约定履行合同责任和义务；</w:t>
      </w:r>
    </w:p>
    <w:p w14:paraId="74F0060A">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（2）已详细审查全部谈判文件，包括补遗文件（如有）；</w:t>
      </w:r>
    </w:p>
    <w:p w14:paraId="3724945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（3）同意提供按照贵方可能要求的与谈判有关的一切数据或者资料；</w:t>
      </w:r>
    </w:p>
    <w:p w14:paraId="115C6877">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（4）响应谈判文件规定的竞标有效期。</w:t>
      </w:r>
    </w:p>
    <w:p w14:paraId="212044F2">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6E01B5BA">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52A59B27">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363E074D">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04AAF08A">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2CDA9043">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57DD21A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59619A53">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06A5000">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98BCE6A">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□我方本次响应文件内容中未涉及商业秘密；</w:t>
      </w:r>
    </w:p>
    <w:p w14:paraId="637A9E1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□我方本次响应文件涉及商业秘密的内容有：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2107DB2">
      <w:pPr>
        <w:pStyle w:val="19"/>
        <w:spacing w:line="360" w:lineRule="auto"/>
        <w:ind w:firstLine="480"/>
        <w:contextualSpacing/>
        <w:rPr>
          <w:rFonts w:hAnsi="宋体" w:cs="宋体"/>
          <w:color w:val="auto"/>
          <w:sz w:val="24"/>
          <w:szCs w:val="24"/>
          <w:highlight w:val="none"/>
          <w:u w:val="single"/>
        </w:rPr>
      </w:pPr>
      <w:r>
        <w:rPr>
          <w:rFonts w:hint="eastAsia" w:hAnsi="宋体" w:cs="宋体"/>
          <w:color w:val="auto"/>
          <w:sz w:val="24"/>
          <w:szCs w:val="24"/>
          <w:highlight w:val="none"/>
        </w:rPr>
        <w:t>7.与本谈判有关的一切正式往来信函请寄：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7DB31A95">
      <w:pPr>
        <w:pStyle w:val="19"/>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5B0FCF52">
      <w:pPr>
        <w:pStyle w:val="20"/>
        <w:tabs>
          <w:tab w:val="left" w:pos="939"/>
        </w:tabs>
        <w:spacing w:line="360" w:lineRule="auto"/>
        <w:ind w:left="141" w:firstLine="360"/>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账号/行号：</w:t>
      </w:r>
      <w:r>
        <w:rPr>
          <w:rFonts w:hint="eastAsia" w:ascii="宋体" w:hAnsi="宋体" w:cs="宋体"/>
          <w:color w:val="auto"/>
          <w:sz w:val="24"/>
          <w:highlight w:val="none"/>
          <w:u w:val="single"/>
        </w:rPr>
        <w:t xml:space="preserve">           </w:t>
      </w:r>
    </w:p>
    <w:p w14:paraId="08916D1C">
      <w:pPr>
        <w:pStyle w:val="20"/>
        <w:tabs>
          <w:tab w:val="left" w:pos="939"/>
        </w:tabs>
        <w:spacing w:line="360" w:lineRule="auto"/>
        <w:ind w:left="141" w:firstLine="36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4E13895D">
      <w:pPr>
        <w:pStyle w:val="20"/>
        <w:tabs>
          <w:tab w:val="left" w:pos="939"/>
        </w:tabs>
        <w:spacing w:line="360" w:lineRule="auto"/>
        <w:ind w:left="141" w:firstLine="360"/>
        <w:rPr>
          <w:rFonts w:ascii="宋体" w:hAnsi="宋体" w:cs="宋体"/>
          <w:color w:val="auto"/>
          <w:szCs w:val="21"/>
          <w:highlight w:val="none"/>
        </w:rPr>
      </w:pPr>
      <w:r>
        <w:rPr>
          <w:rFonts w:hint="eastAsia" w:ascii="宋体" w:hAnsi="宋体" w:cs="宋体"/>
          <w:color w:val="auto"/>
          <w:sz w:val="24"/>
          <w:highlight w:val="none"/>
        </w:rPr>
        <w:t>特此承诺。</w:t>
      </w:r>
    </w:p>
    <w:p w14:paraId="5E89857B">
      <w:pPr>
        <w:spacing w:line="360" w:lineRule="auto"/>
        <w:contextualSpacing/>
        <w:jc w:val="left"/>
        <w:rPr>
          <w:rFonts w:ascii="宋体" w:hAnsi="宋体"/>
          <w:b/>
          <w:color w:val="auto"/>
          <w:sz w:val="24"/>
          <w:highlight w:val="none"/>
        </w:rPr>
      </w:pPr>
      <w:r>
        <w:rPr>
          <w:rFonts w:hint="eastAsia" w:ascii="宋体" w:hAnsi="宋体"/>
          <w:b/>
          <w:color w:val="auto"/>
          <w:sz w:val="24"/>
          <w:highlight w:val="none"/>
        </w:rPr>
        <w:t xml:space="preserve">    注：如为联合体竞标，盖章处须加盖联合体各方公章并由联合体各方法定代表人分别签署，否则响应文件按无效处理。</w:t>
      </w:r>
    </w:p>
    <w:p w14:paraId="5CD2B193">
      <w:pPr>
        <w:spacing w:line="360" w:lineRule="auto"/>
        <w:contextualSpacing/>
        <w:jc w:val="left"/>
        <w:rPr>
          <w:rFonts w:ascii="宋体" w:hAnsi="宋体" w:cs="宋体"/>
          <w:color w:val="auto"/>
          <w:szCs w:val="21"/>
          <w:highlight w:val="none"/>
        </w:rPr>
      </w:pPr>
    </w:p>
    <w:p w14:paraId="19F331D7">
      <w:pPr>
        <w:spacing w:line="360" w:lineRule="auto"/>
        <w:ind w:firstLine="1575"/>
        <w:contextualSpacing/>
        <w:rPr>
          <w:color w:val="auto"/>
          <w:highlight w:val="none"/>
        </w:rPr>
      </w:pPr>
      <w:r>
        <w:rPr>
          <w:rFonts w:hint="eastAsia"/>
          <w:color w:val="auto"/>
          <w:highlight w:val="none"/>
        </w:rPr>
        <w:t>法定代表人（</w:t>
      </w:r>
      <w:r>
        <w:rPr>
          <w:rFonts w:hint="eastAsia" w:ascii="宋体" w:hAnsi="宋体"/>
          <w:color w:val="auto"/>
          <w:sz w:val="24"/>
          <w:highlight w:val="none"/>
        </w:rPr>
        <w:t>签字或者盖章或者电子签名</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p>
    <w:p w14:paraId="21CBCBFD">
      <w:pPr>
        <w:spacing w:line="360" w:lineRule="auto"/>
        <w:ind w:firstLine="3780"/>
        <w:contextualSpacing/>
        <w:rPr>
          <w:rFonts w:ascii="宋体" w:hAnsi="宋体" w:cs="宋体"/>
          <w:color w:val="auto"/>
          <w:szCs w:val="21"/>
          <w:highlight w:val="none"/>
          <w:u w:val="single"/>
        </w:rPr>
      </w:pPr>
      <w:r>
        <w:rPr>
          <w:rFonts w:hint="eastAsia"/>
          <w:color w:val="auto"/>
          <w:highlight w:val="none"/>
        </w:rPr>
        <w:t>供应商（电子签章）：</w:t>
      </w:r>
      <w:r>
        <w:rPr>
          <w:rFonts w:hint="eastAsia"/>
          <w:color w:val="auto"/>
          <w:highlight w:val="none"/>
          <w:u w:val="single"/>
        </w:rPr>
        <w:t xml:space="preserve">                               </w:t>
      </w:r>
      <w:r>
        <w:rPr>
          <w:rFonts w:hint="eastAsia"/>
          <w:color w:val="auto"/>
          <w:highlight w:val="none"/>
        </w:rPr>
        <w:t xml:space="preserve">       </w:t>
      </w:r>
      <w:r>
        <w:rPr>
          <w:rFonts w:hint="eastAsia" w:ascii="宋体" w:hAnsi="宋体" w:cs="宋体"/>
          <w:color w:val="auto"/>
          <w:szCs w:val="21"/>
          <w:highlight w:val="none"/>
        </w:rPr>
        <w:t xml:space="preserve">    </w:t>
      </w:r>
    </w:p>
    <w:p w14:paraId="225D7C4F">
      <w:pPr>
        <w:spacing w:line="360" w:lineRule="auto"/>
        <w:ind w:right="482" w:firstLine="210"/>
        <w:contextualSpacing/>
        <w:jc w:val="center"/>
        <w:rPr>
          <w:rFonts w:ascii="宋体" w:hAnsi="宋体"/>
          <w:color w:val="auto"/>
          <w:szCs w:val="21"/>
          <w:highlight w:val="none"/>
        </w:rPr>
      </w:pPr>
      <w:r>
        <w:rPr>
          <w:rFonts w:hint="eastAsia" w:ascii="宋体" w:hAnsi="宋体" w:cs="宋体"/>
          <w:color w:val="auto"/>
          <w:szCs w:val="21"/>
          <w:highlight w:val="none"/>
        </w:rPr>
        <w:t xml:space="preserve">                                                        </w:t>
      </w:r>
      <w:r>
        <w:rPr>
          <w:rFonts w:hint="eastAsia"/>
          <w:color w:val="auto"/>
          <w:highlight w:val="none"/>
        </w:rPr>
        <w:t xml:space="preserve"> 年    月    日 </w:t>
      </w:r>
    </w:p>
    <w:p w14:paraId="77769C8A">
      <w:pPr>
        <w:spacing w:line="400" w:lineRule="exact"/>
        <w:jc w:val="left"/>
        <w:rPr>
          <w:rFonts w:ascii="宋体" w:hAnsi="宋体"/>
          <w:b/>
          <w:color w:val="auto"/>
          <w:sz w:val="44"/>
          <w:szCs w:val="44"/>
          <w:highlight w:val="none"/>
        </w:rPr>
      </w:pPr>
      <w:r>
        <w:rPr>
          <w:rFonts w:ascii="宋体" w:hAnsi="宋体"/>
          <w:color w:val="auto"/>
          <w:szCs w:val="21"/>
          <w:highlight w:val="none"/>
        </w:rPr>
        <w:br w:type="page" w:clear="all"/>
      </w:r>
      <w:r>
        <w:rPr>
          <w:rFonts w:hint="eastAsia" w:ascii="Arial Unicode MS" w:hAnsi="Arial Unicode MS" w:eastAsia="Arial Unicode MS" w:cs="Arial Unicode MS"/>
          <w:bCs/>
          <w:color w:val="auto"/>
          <w:sz w:val="44"/>
          <w:szCs w:val="44"/>
          <w:highlight w:val="none"/>
        </w:rPr>
        <w:t>5.供应商按以下要求提供医疗器械的有关证明材料复印件：</w:t>
      </w:r>
    </w:p>
    <w:p w14:paraId="1C606308">
      <w:pPr>
        <w:spacing w:line="360" w:lineRule="auto"/>
        <w:ind w:firstLine="480"/>
        <w:contextualSpacing/>
        <w:rPr>
          <w:rFonts w:ascii="宋体" w:hAnsi="宋体"/>
          <w:color w:val="auto"/>
          <w:sz w:val="24"/>
          <w:highlight w:val="none"/>
        </w:rPr>
      </w:pPr>
    </w:p>
    <w:p w14:paraId="38C3D7FD">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1）有第二类医疗器械的，应提供有效的医疗器械经营备案凭证（经营范围包含采购的第二类医疗器械），符合《医疗器械监督管理条例》（国务院令第739号）第四十一条第二款规定的除外；如供应商符合《医疗器械监督管理条例》第四十三条“医疗器械注册人、备案人经营其注册、备案的医疗器械，无需办理医疗器械经营许可或者备案，但应当符合本条例规定的经营条件”规定的，仅需提供该医疗器械注册证（另附表格列明所竞标对应产品的名称和规格型号）（格式自拟）；</w:t>
      </w:r>
    </w:p>
    <w:p w14:paraId="4C41D396">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2）有第三类医疗器械的，应提供有效的医疗器械经营许可证（经营范围包含采购的第三类医疗器械）；如供应商符合《医疗器械监督管理条例》第四十三条“医疗器械注册人、备案人经营其注册、备案的医疗器械，无需办理医疗器械经营许可或者备案，但应当符合本条例规定的经营条件”规定的，仅需提供该医疗器械注册证（另附表格列明所竞标对应产品的名称和规格型号（格式自拟）；</w:t>
      </w:r>
    </w:p>
    <w:p w14:paraId="145EF0B2">
      <w:pPr>
        <w:spacing w:line="360" w:lineRule="auto"/>
        <w:ind w:firstLine="480"/>
        <w:contextualSpacing/>
        <w:rPr>
          <w:rFonts w:ascii="宋体" w:hAnsi="宋体"/>
          <w:b/>
          <w:bCs/>
          <w:color w:val="auto"/>
          <w:sz w:val="24"/>
          <w:highlight w:val="none"/>
        </w:rPr>
      </w:pPr>
      <w:r>
        <w:rPr>
          <w:rFonts w:hint="eastAsia" w:ascii="宋体" w:hAnsi="宋体"/>
          <w:color w:val="auto"/>
          <w:sz w:val="24"/>
          <w:highlight w:val="none"/>
        </w:rPr>
        <w:t>（3）有第二类和第三类医疗器械的，应按上述（1）（2）要求提供；</w:t>
      </w:r>
      <w:r>
        <w:rPr>
          <w:rFonts w:hint="eastAsia" w:ascii="宋体" w:hAnsi="宋体"/>
          <w:b/>
          <w:bCs/>
          <w:color w:val="auto"/>
          <w:sz w:val="24"/>
          <w:highlight w:val="none"/>
        </w:rPr>
        <w:t xml:space="preserve">（必须提供，否则响应文件按无效响应处理）； </w:t>
      </w:r>
    </w:p>
    <w:p w14:paraId="19448FEB">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br w:type="textWrapping"/>
      </w:r>
    </w:p>
    <w:p w14:paraId="7651E723">
      <w:pPr>
        <w:spacing w:line="360" w:lineRule="auto"/>
        <w:ind w:firstLine="480"/>
        <w:contextualSpacing/>
        <w:rPr>
          <w:rFonts w:ascii="宋体" w:hAnsi="宋体"/>
          <w:color w:val="auto"/>
          <w:sz w:val="24"/>
          <w:highlight w:val="none"/>
        </w:rPr>
      </w:pPr>
    </w:p>
    <w:p w14:paraId="3F1D0F78">
      <w:pPr>
        <w:spacing w:line="360" w:lineRule="auto"/>
        <w:ind w:firstLine="480"/>
        <w:contextualSpacing/>
        <w:rPr>
          <w:rFonts w:ascii="宋体" w:hAnsi="宋体"/>
          <w:color w:val="auto"/>
          <w:sz w:val="24"/>
          <w:highlight w:val="none"/>
        </w:rPr>
      </w:pPr>
    </w:p>
    <w:p w14:paraId="58E73BD8">
      <w:pPr>
        <w:spacing w:line="360" w:lineRule="auto"/>
        <w:ind w:firstLine="480"/>
        <w:contextualSpacing/>
        <w:rPr>
          <w:rFonts w:ascii="宋体" w:hAnsi="宋体"/>
          <w:color w:val="auto"/>
          <w:sz w:val="24"/>
          <w:highlight w:val="none"/>
        </w:rPr>
      </w:pPr>
    </w:p>
    <w:p w14:paraId="39EFB1B9">
      <w:pPr>
        <w:spacing w:line="360" w:lineRule="auto"/>
        <w:ind w:firstLine="480"/>
        <w:contextualSpacing/>
        <w:rPr>
          <w:rFonts w:ascii="宋体" w:hAnsi="宋体"/>
          <w:color w:val="auto"/>
          <w:sz w:val="24"/>
          <w:highlight w:val="none"/>
        </w:rPr>
      </w:pPr>
    </w:p>
    <w:p w14:paraId="3B81E165">
      <w:pPr>
        <w:spacing w:line="360" w:lineRule="auto"/>
        <w:ind w:firstLine="480"/>
        <w:contextualSpacing/>
        <w:rPr>
          <w:rFonts w:ascii="宋体" w:hAnsi="宋体"/>
          <w:color w:val="auto"/>
          <w:sz w:val="24"/>
          <w:highlight w:val="none"/>
        </w:rPr>
      </w:pPr>
    </w:p>
    <w:p w14:paraId="00B0BBB5">
      <w:pPr>
        <w:spacing w:line="360" w:lineRule="auto"/>
        <w:ind w:firstLine="480"/>
        <w:contextualSpacing/>
        <w:rPr>
          <w:rFonts w:ascii="宋体" w:hAnsi="宋体"/>
          <w:color w:val="auto"/>
          <w:sz w:val="24"/>
          <w:highlight w:val="none"/>
        </w:rPr>
      </w:pPr>
    </w:p>
    <w:p w14:paraId="171DC455">
      <w:pPr>
        <w:spacing w:line="360" w:lineRule="auto"/>
        <w:ind w:firstLine="480"/>
        <w:contextualSpacing/>
        <w:rPr>
          <w:rFonts w:ascii="宋体" w:hAnsi="宋体"/>
          <w:color w:val="auto"/>
          <w:sz w:val="24"/>
          <w:highlight w:val="none"/>
        </w:rPr>
      </w:pPr>
    </w:p>
    <w:p w14:paraId="6C019F7C">
      <w:pPr>
        <w:spacing w:line="360" w:lineRule="auto"/>
        <w:ind w:firstLine="480"/>
        <w:contextualSpacing/>
        <w:rPr>
          <w:rFonts w:ascii="宋体" w:hAnsi="宋体"/>
          <w:color w:val="auto"/>
          <w:sz w:val="24"/>
          <w:highlight w:val="none"/>
        </w:rPr>
      </w:pPr>
    </w:p>
    <w:p w14:paraId="15503CA4">
      <w:pPr>
        <w:spacing w:line="360" w:lineRule="auto"/>
        <w:ind w:firstLine="480"/>
        <w:contextualSpacing/>
        <w:rPr>
          <w:rFonts w:ascii="宋体" w:hAnsi="宋体"/>
          <w:color w:val="auto"/>
          <w:sz w:val="24"/>
          <w:highlight w:val="none"/>
        </w:rPr>
      </w:pPr>
    </w:p>
    <w:p w14:paraId="423320B1">
      <w:pPr>
        <w:spacing w:line="360" w:lineRule="auto"/>
        <w:ind w:firstLine="480"/>
        <w:contextualSpacing/>
        <w:rPr>
          <w:rFonts w:ascii="宋体" w:hAnsi="宋体"/>
          <w:color w:val="auto"/>
          <w:sz w:val="24"/>
          <w:highlight w:val="none"/>
        </w:rPr>
      </w:pPr>
    </w:p>
    <w:p w14:paraId="3E79FA39">
      <w:pPr>
        <w:spacing w:line="360" w:lineRule="auto"/>
        <w:ind w:firstLine="480"/>
        <w:contextualSpacing/>
        <w:rPr>
          <w:rFonts w:ascii="宋体" w:hAnsi="宋体"/>
          <w:color w:val="auto"/>
          <w:sz w:val="24"/>
          <w:highlight w:val="none"/>
        </w:rPr>
      </w:pPr>
    </w:p>
    <w:p w14:paraId="688120F7">
      <w:pPr>
        <w:spacing w:line="360" w:lineRule="auto"/>
        <w:ind w:firstLine="480"/>
        <w:contextualSpacing/>
        <w:rPr>
          <w:rFonts w:ascii="宋体" w:hAnsi="宋体"/>
          <w:color w:val="auto"/>
          <w:sz w:val="24"/>
          <w:highlight w:val="none"/>
        </w:rPr>
      </w:pPr>
    </w:p>
    <w:p w14:paraId="3CDA8FC7">
      <w:pPr>
        <w:spacing w:line="360" w:lineRule="auto"/>
        <w:ind w:firstLine="480"/>
        <w:contextualSpacing/>
        <w:rPr>
          <w:rFonts w:ascii="宋体" w:hAnsi="宋体"/>
          <w:color w:val="auto"/>
          <w:sz w:val="24"/>
          <w:highlight w:val="none"/>
        </w:rPr>
      </w:pPr>
    </w:p>
    <w:p w14:paraId="27CA9C49">
      <w:pPr>
        <w:spacing w:line="300" w:lineRule="auto"/>
        <w:jc w:val="center"/>
        <w:rPr>
          <w:rFonts w:ascii="Arial Unicode MS" w:hAnsi="Arial Unicode MS" w:eastAsia="Arial Unicode MS" w:cs="Arial Unicode MS"/>
          <w:bCs/>
          <w:color w:val="auto"/>
          <w:sz w:val="44"/>
          <w:szCs w:val="44"/>
          <w:highlight w:val="none"/>
        </w:rPr>
      </w:pPr>
      <w:r>
        <w:rPr>
          <w:rFonts w:hint="eastAsia" w:ascii="Arial Unicode MS" w:hAnsi="Arial Unicode MS" w:eastAsia="Arial Unicode MS" w:cs="Arial Unicode MS"/>
          <w:bCs/>
          <w:color w:val="auto"/>
          <w:sz w:val="44"/>
          <w:szCs w:val="44"/>
          <w:highlight w:val="none"/>
        </w:rPr>
        <w:t>6.中小企业声明函（货物）</w:t>
      </w:r>
    </w:p>
    <w:p w14:paraId="22DA71F1">
      <w:pPr>
        <w:rPr>
          <w:color w:val="auto"/>
          <w:highlight w:val="none"/>
        </w:rPr>
      </w:pPr>
    </w:p>
    <w:p w14:paraId="3151E0BA">
      <w:pPr>
        <w:pStyle w:val="17"/>
        <w:spacing w:after="0" w:line="360" w:lineRule="auto"/>
        <w:ind w:left="-426" w:right="142" w:firstLine="640"/>
        <w:contextualSpacing/>
        <w:rPr>
          <w:rFonts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采购活动，提供的货物全部由符合政策要求的中小企业制造。相关企业（含联合体中的中小企业、签订分包意向协议的中小企业）的具体情况如下：</w:t>
      </w:r>
    </w:p>
    <w:p w14:paraId="2D26FF90">
      <w:pPr>
        <w:tabs>
          <w:tab w:val="left" w:pos="1384"/>
          <w:tab w:val="left" w:pos="4562"/>
          <w:tab w:val="left" w:pos="6803"/>
        </w:tabs>
        <w:spacing w:line="360" w:lineRule="auto"/>
        <w:ind w:left="-426" w:right="-58" w:firstLine="655"/>
        <w:contextualSpacing/>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ascii="宋体" w:hAnsi="宋体"/>
          <w:color w:val="auto"/>
          <w:sz w:val="24"/>
          <w:highlight w:val="none"/>
        </w:rPr>
        <w:t>；</w:t>
      </w:r>
    </w:p>
    <w:p w14:paraId="4C26EF6F">
      <w:pPr>
        <w:tabs>
          <w:tab w:val="left" w:pos="1065"/>
          <w:tab w:val="left" w:pos="6477"/>
        </w:tabs>
        <w:spacing w:line="360" w:lineRule="auto"/>
        <w:ind w:left="-426" w:right="-58" w:firstLine="655"/>
        <w:contextualSpacing/>
        <w:rPr>
          <w:rFonts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ascii="宋体" w:hAnsi="宋体"/>
          <w:color w:val="auto"/>
          <w:sz w:val="24"/>
          <w:highlight w:val="none"/>
        </w:rPr>
        <w:t>；</w:t>
      </w:r>
    </w:p>
    <w:p w14:paraId="0CBC510A">
      <w:pPr>
        <w:pStyle w:val="17"/>
        <w:spacing w:after="0" w:line="360" w:lineRule="auto"/>
        <w:ind w:left="142" w:right="142"/>
        <w:contextualSpacing/>
        <w:rPr>
          <w:rFonts w:ascii="宋体" w:hAnsi="宋体"/>
          <w:color w:val="auto"/>
          <w:sz w:val="24"/>
          <w:highlight w:val="none"/>
        </w:rPr>
      </w:pPr>
      <w:r>
        <w:rPr>
          <w:rFonts w:ascii="宋体" w:hAnsi="宋体"/>
          <w:color w:val="auto"/>
          <w:sz w:val="24"/>
          <w:highlight w:val="none"/>
        </w:rPr>
        <w:t xml:space="preserve">…… </w:t>
      </w:r>
    </w:p>
    <w:p w14:paraId="2F7DACB3">
      <w:pPr>
        <w:pStyle w:val="17"/>
        <w:spacing w:after="0" w:line="360" w:lineRule="auto"/>
        <w:ind w:left="-405" w:right="142" w:firstLine="453"/>
        <w:contextualSpacing/>
        <w:rPr>
          <w:rFonts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03570E1F">
      <w:pPr>
        <w:pStyle w:val="17"/>
        <w:spacing w:after="0" w:line="360" w:lineRule="auto"/>
        <w:ind w:left="-426" w:right="142" w:firstLine="567"/>
        <w:contextualSpacing/>
        <w:rPr>
          <w:rFonts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3DC56C7D">
      <w:pPr>
        <w:pStyle w:val="17"/>
        <w:spacing w:after="0" w:line="360" w:lineRule="auto"/>
        <w:ind w:left="3960" w:right="1808"/>
        <w:contextualSpacing/>
        <w:rPr>
          <w:rFonts w:ascii="宋体" w:hAnsi="宋体"/>
          <w:color w:val="auto"/>
          <w:sz w:val="24"/>
          <w:highlight w:val="none"/>
        </w:rPr>
      </w:pPr>
    </w:p>
    <w:p w14:paraId="59DFDE36">
      <w:pPr>
        <w:pStyle w:val="17"/>
        <w:spacing w:after="0" w:line="360" w:lineRule="auto"/>
        <w:ind w:left="3960" w:right="1808"/>
        <w:contextualSpacing/>
        <w:rPr>
          <w:rFonts w:ascii="宋体" w:hAnsi="宋体"/>
          <w:color w:val="auto"/>
          <w:sz w:val="24"/>
          <w:highlight w:val="none"/>
        </w:rPr>
      </w:pPr>
      <w:r>
        <w:rPr>
          <w:rFonts w:ascii="宋体" w:hAnsi="宋体"/>
          <w:color w:val="auto"/>
          <w:sz w:val="24"/>
          <w:highlight w:val="none"/>
        </w:rPr>
        <w:t xml:space="preserve">企业名称（章）： </w:t>
      </w:r>
    </w:p>
    <w:p w14:paraId="7C5C9F8C">
      <w:pPr>
        <w:pStyle w:val="17"/>
        <w:spacing w:after="0" w:line="360" w:lineRule="auto"/>
        <w:ind w:left="3960" w:right="1808"/>
        <w:contextualSpacing/>
        <w:rPr>
          <w:rFonts w:ascii="宋体" w:hAnsi="宋体"/>
          <w:color w:val="auto"/>
          <w:sz w:val="24"/>
          <w:highlight w:val="none"/>
        </w:rPr>
      </w:pPr>
      <w:r>
        <w:rPr>
          <w:rFonts w:ascii="宋体" w:hAnsi="宋体"/>
          <w:color w:val="auto"/>
          <w:sz w:val="24"/>
          <w:highlight w:val="none"/>
        </w:rPr>
        <w:t>日</w:t>
      </w:r>
      <w:r>
        <w:rPr>
          <w:rFonts w:hint="eastAsia" w:ascii="宋体" w:hAnsi="宋体"/>
          <w:color w:val="auto"/>
          <w:sz w:val="24"/>
          <w:highlight w:val="none"/>
        </w:rPr>
        <w:t xml:space="preserve"> </w:t>
      </w:r>
      <w:r>
        <w:rPr>
          <w:rFonts w:ascii="宋体" w:hAnsi="宋体"/>
          <w:color w:val="auto"/>
          <w:sz w:val="24"/>
          <w:highlight w:val="none"/>
        </w:rPr>
        <w:t>期：</w:t>
      </w:r>
    </w:p>
    <w:p w14:paraId="0861A736">
      <w:pPr>
        <w:pStyle w:val="17"/>
        <w:spacing w:after="0" w:line="360" w:lineRule="auto"/>
        <w:ind w:left="3960" w:right="1808"/>
        <w:contextualSpacing/>
        <w:rPr>
          <w:color w:val="auto"/>
          <w:highlight w:val="none"/>
        </w:rPr>
      </w:pPr>
    </w:p>
    <w:p w14:paraId="25588515">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FF62E86">
      <w:pPr>
        <w:spacing w:line="360" w:lineRule="auto"/>
        <w:contextualSpacing/>
        <w:jc w:val="center"/>
        <w:rPr>
          <w:rFonts w:ascii="仿宋_GB2312" w:hAnsi="仿宋_GB2312" w:eastAsia="仿宋_GB2312" w:cs="仿宋_GB2312"/>
          <w:color w:val="auto"/>
          <w:sz w:val="32"/>
          <w:szCs w:val="32"/>
          <w:highlight w:val="none"/>
        </w:rPr>
      </w:pPr>
      <w:r>
        <w:rPr>
          <w:rFonts w:ascii="宋体" w:hAnsi="宋体"/>
          <w:color w:val="auto"/>
          <w:sz w:val="24"/>
          <w:highlight w:val="none"/>
        </w:rPr>
        <w:br w:type="page" w:clear="all"/>
      </w:r>
      <w:r>
        <w:rPr>
          <w:rFonts w:hint="eastAsia" w:ascii="Arial Unicode MS" w:hAnsi="Arial Unicode MS" w:eastAsia="Arial Unicode MS" w:cs="Arial Unicode MS"/>
          <w:color w:val="auto"/>
          <w:sz w:val="44"/>
          <w:szCs w:val="44"/>
          <w:highlight w:val="none"/>
        </w:rPr>
        <w:t>残疾人福利性单位声明函</w:t>
      </w:r>
    </w:p>
    <w:p w14:paraId="3263B7DA">
      <w:pPr>
        <w:spacing w:line="520" w:lineRule="exact"/>
        <w:rPr>
          <w:rFonts w:ascii="仿宋_GB2312" w:hAnsi="仿宋_GB2312" w:eastAsia="仿宋_GB2312" w:cs="仿宋_GB2312"/>
          <w:color w:val="auto"/>
          <w:sz w:val="32"/>
          <w:szCs w:val="32"/>
          <w:highlight w:val="none"/>
        </w:rPr>
      </w:pPr>
    </w:p>
    <w:p w14:paraId="3690F2A0">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71B8A217">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532F2E83">
      <w:pPr>
        <w:spacing w:line="360" w:lineRule="auto"/>
        <w:contextualSpacing/>
        <w:rPr>
          <w:rFonts w:ascii="宋体" w:hAnsi="宋体" w:cs="仿宋_GB2312"/>
          <w:color w:val="auto"/>
          <w:sz w:val="24"/>
          <w:highlight w:val="none"/>
        </w:rPr>
      </w:pPr>
    </w:p>
    <w:p w14:paraId="54182FA1">
      <w:pPr>
        <w:spacing w:line="360" w:lineRule="auto"/>
        <w:contextualSpacing/>
        <w:rPr>
          <w:rFonts w:ascii="宋体" w:hAnsi="宋体" w:cs="仿宋_GB2312"/>
          <w:color w:val="auto"/>
          <w:sz w:val="24"/>
          <w:highlight w:val="none"/>
        </w:rPr>
      </w:pPr>
    </w:p>
    <w:p w14:paraId="3EE81DBD">
      <w:pPr>
        <w:spacing w:line="360" w:lineRule="auto"/>
        <w:contextualSpacing/>
        <w:rPr>
          <w:rFonts w:ascii="宋体" w:hAnsi="宋体" w:cs="仿宋_GB2312"/>
          <w:color w:val="auto"/>
          <w:sz w:val="24"/>
          <w:highlight w:val="none"/>
        </w:rPr>
      </w:pPr>
    </w:p>
    <w:p w14:paraId="69C9A4DD">
      <w:pPr>
        <w:spacing w:line="360" w:lineRule="auto"/>
        <w:ind w:firstLine="2400"/>
        <w:contextualSpacing/>
        <w:rPr>
          <w:rFonts w:ascii="宋体" w:hAnsi="宋体" w:cs="仿宋_GB2312"/>
          <w:color w:val="auto"/>
          <w:sz w:val="24"/>
          <w:highlight w:val="none"/>
        </w:rPr>
      </w:pPr>
      <w:r>
        <w:rPr>
          <w:rFonts w:hint="eastAsia" w:ascii="宋体" w:hAnsi="宋体" w:cs="仿宋_GB2312"/>
          <w:color w:val="auto"/>
          <w:sz w:val="24"/>
          <w:highlight w:val="none"/>
        </w:rPr>
        <w:t>单位名称（盖章）：</w:t>
      </w:r>
    </w:p>
    <w:p w14:paraId="77C69DE1">
      <w:pPr>
        <w:spacing w:line="360" w:lineRule="auto"/>
        <w:ind w:firstLine="3600"/>
        <w:contextualSpacing/>
        <w:rPr>
          <w:rFonts w:ascii="宋体" w:hAnsi="宋体" w:cs="仿宋_GB2312"/>
          <w:color w:val="auto"/>
          <w:sz w:val="24"/>
          <w:highlight w:val="none"/>
        </w:rPr>
      </w:pPr>
      <w:r>
        <w:rPr>
          <w:rFonts w:hint="eastAsia" w:ascii="宋体" w:hAnsi="宋体" w:cs="仿宋_GB2312"/>
          <w:color w:val="auto"/>
          <w:sz w:val="24"/>
          <w:highlight w:val="none"/>
        </w:rPr>
        <w:t>日  期：</w:t>
      </w:r>
    </w:p>
    <w:p w14:paraId="19A3BAA6">
      <w:pPr>
        <w:spacing w:line="360" w:lineRule="auto"/>
        <w:contextualSpacing/>
        <w:rPr>
          <w:rFonts w:ascii="宋体" w:hAnsi="宋体" w:cs="仿宋_GB2312"/>
          <w:color w:val="auto"/>
          <w:sz w:val="24"/>
          <w:highlight w:val="none"/>
        </w:rPr>
      </w:pPr>
    </w:p>
    <w:p w14:paraId="393C3A29">
      <w:pPr>
        <w:spacing w:line="360" w:lineRule="auto"/>
        <w:contextualSpacing/>
        <w:rPr>
          <w:rFonts w:ascii="宋体" w:hAnsi="宋体" w:cs="仿宋_GB2312"/>
          <w:color w:val="auto"/>
          <w:sz w:val="24"/>
          <w:highlight w:val="none"/>
        </w:rPr>
      </w:pPr>
    </w:p>
    <w:p w14:paraId="56901827">
      <w:pPr>
        <w:spacing w:line="360" w:lineRule="auto"/>
        <w:contextualSpacing/>
        <w:rPr>
          <w:rFonts w:ascii="宋体" w:hAnsi="宋体" w:cs="仿宋_GB2312"/>
          <w:color w:val="auto"/>
          <w:sz w:val="24"/>
          <w:highlight w:val="none"/>
        </w:rPr>
      </w:pPr>
    </w:p>
    <w:p w14:paraId="70FB612A">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76CB6FA8">
      <w:pPr>
        <w:pStyle w:val="2"/>
        <w:rPr>
          <w:color w:val="auto"/>
          <w:highlight w:val="none"/>
        </w:rPr>
      </w:pPr>
    </w:p>
    <w:p w14:paraId="75877358">
      <w:pPr>
        <w:rPr>
          <w:color w:val="auto"/>
          <w:highlight w:val="none"/>
        </w:rPr>
      </w:pPr>
    </w:p>
    <w:p w14:paraId="6860E5C9">
      <w:pPr>
        <w:rPr>
          <w:color w:val="auto"/>
          <w:highlight w:val="none"/>
        </w:rPr>
      </w:pPr>
    </w:p>
    <w:p w14:paraId="685C42BC">
      <w:pPr>
        <w:rPr>
          <w:color w:val="auto"/>
          <w:highlight w:val="none"/>
        </w:rPr>
      </w:pPr>
    </w:p>
    <w:p w14:paraId="367903A9">
      <w:pPr>
        <w:rPr>
          <w:color w:val="auto"/>
          <w:highlight w:val="none"/>
        </w:rPr>
      </w:pPr>
    </w:p>
    <w:p w14:paraId="5B8E2A4F">
      <w:pPr>
        <w:rPr>
          <w:color w:val="auto"/>
          <w:highlight w:val="none"/>
        </w:rPr>
      </w:pPr>
    </w:p>
    <w:p w14:paraId="77F9F036">
      <w:pPr>
        <w:rPr>
          <w:color w:val="auto"/>
          <w:highlight w:val="none"/>
        </w:rPr>
      </w:pPr>
    </w:p>
    <w:p w14:paraId="4A814DD0">
      <w:pPr>
        <w:rPr>
          <w:color w:val="auto"/>
          <w:highlight w:val="none"/>
        </w:rPr>
      </w:pPr>
    </w:p>
    <w:p w14:paraId="5D930AB0">
      <w:pPr>
        <w:rPr>
          <w:color w:val="auto"/>
          <w:highlight w:val="none"/>
        </w:rPr>
      </w:pPr>
    </w:p>
    <w:p w14:paraId="6D0DF1E1">
      <w:pPr>
        <w:rPr>
          <w:color w:val="auto"/>
          <w:highlight w:val="none"/>
        </w:rPr>
      </w:pPr>
    </w:p>
    <w:p w14:paraId="4B052CD0">
      <w:pPr>
        <w:rPr>
          <w:color w:val="auto"/>
          <w:highlight w:val="none"/>
        </w:rPr>
      </w:pPr>
    </w:p>
    <w:p w14:paraId="20950CF1">
      <w:pPr>
        <w:widowControl/>
        <w:shd w:val="clear" w:color="auto" w:fill="FFFFFF"/>
        <w:rPr>
          <w:rFonts w:ascii="宋体" w:hAnsi="宋体"/>
          <w:b/>
          <w:color w:val="auto"/>
          <w:sz w:val="44"/>
          <w:szCs w:val="44"/>
          <w:highlight w:val="none"/>
        </w:rPr>
      </w:pPr>
      <w:r>
        <w:rPr>
          <w:rFonts w:hint="eastAsia" w:ascii="宋体" w:hAnsi="宋体"/>
          <w:b/>
          <w:color w:val="auto"/>
          <w:sz w:val="44"/>
          <w:szCs w:val="44"/>
          <w:highlight w:val="none"/>
        </w:rPr>
        <w:t>7.除谈判文件规定必须提供以外，供应商认为需要提供的其他证明材料</w:t>
      </w:r>
    </w:p>
    <w:p w14:paraId="111E4A2D">
      <w:pPr>
        <w:widowControl/>
        <w:shd w:val="clear" w:color="auto" w:fill="FFFFFF"/>
        <w:ind w:firstLine="2880"/>
        <w:rPr>
          <w:rFonts w:ascii="宋体" w:hAnsi="宋体" w:cs="宋体"/>
          <w:color w:val="auto"/>
          <w:sz w:val="24"/>
          <w:highlight w:val="none"/>
        </w:rPr>
      </w:pPr>
    </w:p>
    <w:p w14:paraId="521064E8">
      <w:pPr>
        <w:widowControl/>
        <w:shd w:val="clear" w:color="auto" w:fill="FFFFFF"/>
        <w:ind w:firstLine="2880"/>
        <w:rPr>
          <w:rFonts w:ascii="宋体" w:hAnsi="宋体" w:cs="宋体"/>
          <w:color w:val="auto"/>
          <w:sz w:val="24"/>
          <w:highlight w:val="none"/>
        </w:rPr>
      </w:pPr>
    </w:p>
    <w:p w14:paraId="59FBF9D6">
      <w:pPr>
        <w:widowControl/>
        <w:shd w:val="clear" w:color="auto" w:fill="FFFFFF"/>
        <w:ind w:firstLine="2880"/>
        <w:rPr>
          <w:rFonts w:ascii="宋体" w:hAnsi="宋体" w:cs="宋体"/>
          <w:color w:val="auto"/>
          <w:sz w:val="24"/>
          <w:highlight w:val="none"/>
        </w:rPr>
      </w:pPr>
    </w:p>
    <w:p w14:paraId="32AC739D">
      <w:pPr>
        <w:widowControl/>
        <w:shd w:val="clear" w:color="auto" w:fill="FFFFFF"/>
        <w:ind w:firstLine="2880"/>
        <w:rPr>
          <w:rFonts w:ascii="宋体" w:hAnsi="宋体" w:cs="宋体"/>
          <w:color w:val="auto"/>
          <w:sz w:val="24"/>
          <w:highlight w:val="none"/>
        </w:rPr>
      </w:pPr>
    </w:p>
    <w:p w14:paraId="1CDC24F4">
      <w:pPr>
        <w:spacing w:line="360" w:lineRule="auto"/>
        <w:contextualSpacing/>
        <w:rPr>
          <w:rFonts w:ascii="宋体" w:hAnsi="宋体" w:cs="仿宋_GB2312"/>
          <w:color w:val="auto"/>
          <w:sz w:val="24"/>
          <w:highlight w:val="none"/>
        </w:rPr>
      </w:pPr>
    </w:p>
    <w:p w14:paraId="44827317">
      <w:pPr>
        <w:spacing w:line="360" w:lineRule="auto"/>
        <w:ind w:firstLine="2400"/>
        <w:contextualSpacing/>
        <w:rPr>
          <w:rFonts w:ascii="宋体" w:hAnsi="宋体" w:cs="仿宋_GB2312"/>
          <w:color w:val="auto"/>
          <w:sz w:val="24"/>
          <w:highlight w:val="none"/>
        </w:rPr>
      </w:pPr>
      <w:r>
        <w:rPr>
          <w:rFonts w:hint="eastAsia" w:ascii="宋体" w:hAnsi="宋体" w:cs="仿宋_GB2312"/>
          <w:color w:val="auto"/>
          <w:sz w:val="24"/>
          <w:highlight w:val="none"/>
        </w:rPr>
        <w:t>单位名称（盖章）：</w:t>
      </w:r>
    </w:p>
    <w:p w14:paraId="5B861A03">
      <w:pPr>
        <w:spacing w:line="360" w:lineRule="auto"/>
        <w:ind w:firstLine="3600"/>
        <w:contextualSpacing/>
        <w:rPr>
          <w:rFonts w:ascii="宋体" w:hAnsi="宋体" w:cs="仿宋_GB2312"/>
          <w:color w:val="auto"/>
          <w:sz w:val="24"/>
          <w:highlight w:val="none"/>
        </w:rPr>
      </w:pPr>
      <w:r>
        <w:rPr>
          <w:rFonts w:hint="eastAsia" w:ascii="宋体" w:hAnsi="宋体" w:cs="仿宋_GB2312"/>
          <w:color w:val="auto"/>
          <w:sz w:val="24"/>
          <w:highlight w:val="none"/>
        </w:rPr>
        <w:t>日  期：</w:t>
      </w:r>
    </w:p>
    <w:p w14:paraId="42A0CB11">
      <w:pPr>
        <w:widowControl/>
        <w:shd w:val="clear" w:color="auto" w:fill="FFFFFF"/>
        <w:ind w:firstLine="2880"/>
        <w:rPr>
          <w:rFonts w:ascii="宋体" w:hAnsi="宋体" w:cs="宋体"/>
          <w:color w:val="auto"/>
          <w:sz w:val="24"/>
          <w:highlight w:val="none"/>
        </w:rPr>
      </w:pPr>
    </w:p>
    <w:p w14:paraId="2D9B2D2F">
      <w:pPr>
        <w:widowControl/>
        <w:shd w:val="clear" w:color="auto" w:fill="FFFFFF"/>
        <w:ind w:firstLine="2880"/>
        <w:rPr>
          <w:rFonts w:ascii="宋体" w:hAnsi="宋体" w:cs="宋体"/>
          <w:color w:val="auto"/>
          <w:sz w:val="24"/>
          <w:highlight w:val="none"/>
        </w:rPr>
      </w:pPr>
    </w:p>
    <w:p w14:paraId="35212E08">
      <w:pPr>
        <w:widowControl/>
        <w:shd w:val="clear" w:color="auto" w:fill="FFFFFF"/>
        <w:ind w:firstLine="2880"/>
        <w:rPr>
          <w:rFonts w:ascii="宋体" w:hAnsi="宋体" w:cs="宋体"/>
          <w:color w:val="auto"/>
          <w:sz w:val="24"/>
          <w:highlight w:val="none"/>
        </w:rPr>
      </w:pPr>
    </w:p>
    <w:p w14:paraId="54EFA719">
      <w:pPr>
        <w:widowControl/>
        <w:shd w:val="clear" w:color="auto" w:fill="FFFFFF"/>
        <w:ind w:firstLine="2880"/>
        <w:rPr>
          <w:rFonts w:ascii="宋体" w:hAnsi="宋体" w:cs="宋体"/>
          <w:color w:val="auto"/>
          <w:sz w:val="24"/>
          <w:highlight w:val="none"/>
        </w:rPr>
      </w:pPr>
    </w:p>
    <w:p w14:paraId="08EA3AC9">
      <w:pPr>
        <w:widowControl/>
        <w:shd w:val="clear" w:color="auto" w:fill="FFFFFF"/>
        <w:ind w:firstLine="2880"/>
        <w:rPr>
          <w:rFonts w:ascii="宋体" w:hAnsi="宋体" w:cs="宋体"/>
          <w:color w:val="auto"/>
          <w:sz w:val="24"/>
          <w:highlight w:val="none"/>
        </w:rPr>
      </w:pPr>
    </w:p>
    <w:p w14:paraId="1CDDD630">
      <w:pPr>
        <w:widowControl/>
        <w:shd w:val="clear" w:color="auto" w:fill="FFFFFF"/>
        <w:ind w:firstLine="2880"/>
        <w:rPr>
          <w:rFonts w:ascii="宋体" w:hAnsi="宋体" w:cs="宋体"/>
          <w:color w:val="auto"/>
          <w:sz w:val="24"/>
          <w:highlight w:val="none"/>
        </w:rPr>
      </w:pPr>
    </w:p>
    <w:p w14:paraId="056EA684">
      <w:pPr>
        <w:widowControl/>
        <w:shd w:val="clear" w:color="auto" w:fill="FFFFFF"/>
        <w:ind w:firstLine="2880"/>
        <w:rPr>
          <w:rFonts w:ascii="宋体" w:hAnsi="宋体" w:cs="宋体"/>
          <w:color w:val="auto"/>
          <w:sz w:val="24"/>
          <w:highlight w:val="none"/>
        </w:rPr>
      </w:pPr>
    </w:p>
    <w:p w14:paraId="00F6B67A">
      <w:pPr>
        <w:widowControl/>
        <w:shd w:val="clear" w:color="auto" w:fill="FFFFFF"/>
        <w:ind w:firstLine="2880"/>
        <w:rPr>
          <w:rFonts w:ascii="宋体" w:hAnsi="宋体" w:cs="宋体"/>
          <w:color w:val="auto"/>
          <w:sz w:val="24"/>
          <w:highlight w:val="none"/>
        </w:rPr>
      </w:pPr>
    </w:p>
    <w:p w14:paraId="13C3135B">
      <w:pPr>
        <w:widowControl/>
        <w:shd w:val="clear" w:color="auto" w:fill="FFFFFF"/>
        <w:ind w:firstLine="2880"/>
        <w:rPr>
          <w:rFonts w:ascii="宋体" w:hAnsi="宋体" w:cs="宋体"/>
          <w:color w:val="auto"/>
          <w:sz w:val="24"/>
          <w:highlight w:val="none"/>
        </w:rPr>
      </w:pPr>
    </w:p>
    <w:p w14:paraId="3DCA43E8">
      <w:pPr>
        <w:widowControl/>
        <w:shd w:val="clear" w:color="auto" w:fill="FFFFFF"/>
        <w:ind w:firstLine="2880"/>
        <w:rPr>
          <w:rFonts w:ascii="宋体" w:hAnsi="宋体" w:cs="宋体"/>
          <w:color w:val="auto"/>
          <w:sz w:val="24"/>
          <w:highlight w:val="none"/>
        </w:rPr>
      </w:pPr>
    </w:p>
    <w:p w14:paraId="139BE2F4">
      <w:pPr>
        <w:widowControl/>
        <w:shd w:val="clear" w:color="auto" w:fill="FFFFFF"/>
        <w:ind w:firstLine="2880"/>
        <w:rPr>
          <w:rFonts w:ascii="宋体" w:hAnsi="宋体" w:cs="宋体"/>
          <w:color w:val="auto"/>
          <w:sz w:val="24"/>
          <w:highlight w:val="none"/>
        </w:rPr>
      </w:pPr>
    </w:p>
    <w:p w14:paraId="5E5E6755">
      <w:pPr>
        <w:widowControl/>
        <w:shd w:val="clear" w:color="auto" w:fill="FFFFFF"/>
        <w:ind w:firstLine="2880"/>
        <w:rPr>
          <w:rFonts w:ascii="宋体" w:hAnsi="宋体" w:cs="宋体"/>
          <w:color w:val="auto"/>
          <w:sz w:val="24"/>
          <w:highlight w:val="none"/>
        </w:rPr>
      </w:pPr>
    </w:p>
    <w:p w14:paraId="66AF06A9">
      <w:pPr>
        <w:widowControl/>
        <w:shd w:val="clear" w:color="auto" w:fill="FFFFFF"/>
        <w:ind w:firstLine="2880"/>
        <w:rPr>
          <w:rFonts w:ascii="宋体" w:hAnsi="宋体" w:cs="宋体"/>
          <w:color w:val="auto"/>
          <w:sz w:val="24"/>
          <w:highlight w:val="none"/>
        </w:rPr>
      </w:pPr>
    </w:p>
    <w:p w14:paraId="639F78FA">
      <w:pPr>
        <w:widowControl/>
        <w:shd w:val="clear" w:color="auto" w:fill="FFFFFF"/>
        <w:ind w:firstLine="2880"/>
        <w:rPr>
          <w:rFonts w:ascii="宋体" w:hAnsi="宋体" w:cs="宋体"/>
          <w:color w:val="auto"/>
          <w:sz w:val="24"/>
          <w:highlight w:val="none"/>
        </w:rPr>
      </w:pPr>
    </w:p>
    <w:p w14:paraId="77F10B20">
      <w:pPr>
        <w:widowControl/>
        <w:shd w:val="clear" w:color="auto" w:fill="FFFFFF"/>
        <w:ind w:firstLine="2880"/>
        <w:rPr>
          <w:rFonts w:ascii="宋体" w:hAnsi="宋体" w:cs="宋体"/>
          <w:color w:val="auto"/>
          <w:sz w:val="24"/>
          <w:highlight w:val="none"/>
        </w:rPr>
      </w:pPr>
    </w:p>
    <w:p w14:paraId="7544B193">
      <w:pPr>
        <w:widowControl/>
        <w:shd w:val="clear" w:color="auto" w:fill="FFFFFF"/>
        <w:ind w:firstLine="2880"/>
        <w:rPr>
          <w:rFonts w:ascii="宋体" w:hAnsi="宋体" w:cs="宋体"/>
          <w:color w:val="auto"/>
          <w:sz w:val="24"/>
          <w:highlight w:val="none"/>
        </w:rPr>
      </w:pPr>
    </w:p>
    <w:p w14:paraId="675D446B">
      <w:pPr>
        <w:widowControl/>
        <w:shd w:val="clear" w:color="auto" w:fill="FFFFFF"/>
        <w:ind w:firstLine="2880"/>
        <w:rPr>
          <w:rFonts w:ascii="宋体" w:hAnsi="宋体" w:cs="宋体"/>
          <w:color w:val="auto"/>
          <w:sz w:val="24"/>
          <w:highlight w:val="none"/>
        </w:rPr>
      </w:pPr>
    </w:p>
    <w:p w14:paraId="0016ABFE">
      <w:pPr>
        <w:widowControl/>
        <w:shd w:val="clear" w:color="auto" w:fill="FFFFFF"/>
        <w:ind w:firstLine="2880"/>
        <w:rPr>
          <w:rFonts w:ascii="宋体" w:hAnsi="宋体" w:cs="宋体"/>
          <w:color w:val="auto"/>
          <w:sz w:val="24"/>
          <w:highlight w:val="none"/>
        </w:rPr>
      </w:pPr>
    </w:p>
    <w:p w14:paraId="00D0F111">
      <w:pPr>
        <w:widowControl/>
        <w:shd w:val="clear" w:color="auto" w:fill="FFFFFF"/>
        <w:ind w:firstLine="2880"/>
        <w:rPr>
          <w:rFonts w:ascii="宋体" w:hAnsi="宋体" w:cs="宋体"/>
          <w:color w:val="auto"/>
          <w:sz w:val="24"/>
          <w:highlight w:val="none"/>
        </w:rPr>
      </w:pPr>
    </w:p>
    <w:p w14:paraId="6ABCB8B8">
      <w:pPr>
        <w:widowControl/>
        <w:shd w:val="clear" w:color="auto" w:fill="FFFFFF"/>
        <w:ind w:firstLine="2880"/>
        <w:rPr>
          <w:rFonts w:ascii="宋体" w:hAnsi="宋体" w:cs="宋体"/>
          <w:color w:val="auto"/>
          <w:sz w:val="24"/>
          <w:highlight w:val="none"/>
        </w:rPr>
      </w:pPr>
    </w:p>
    <w:p w14:paraId="65076465">
      <w:pPr>
        <w:widowControl/>
        <w:shd w:val="clear" w:color="auto" w:fill="FFFFFF"/>
        <w:ind w:firstLine="2880"/>
        <w:rPr>
          <w:rFonts w:ascii="宋体" w:hAnsi="宋体" w:cs="宋体"/>
          <w:color w:val="auto"/>
          <w:sz w:val="24"/>
          <w:highlight w:val="none"/>
        </w:rPr>
      </w:pPr>
    </w:p>
    <w:p w14:paraId="67A35ACB">
      <w:pPr>
        <w:widowControl/>
        <w:shd w:val="clear" w:color="auto" w:fill="FFFFFF"/>
        <w:ind w:firstLine="2880"/>
        <w:rPr>
          <w:rFonts w:ascii="宋体" w:hAnsi="宋体" w:cs="宋体"/>
          <w:color w:val="auto"/>
          <w:sz w:val="24"/>
          <w:highlight w:val="none"/>
        </w:rPr>
      </w:pPr>
    </w:p>
    <w:p w14:paraId="00DF115D">
      <w:pPr>
        <w:widowControl/>
        <w:shd w:val="clear" w:color="auto" w:fill="FFFFFF"/>
        <w:ind w:firstLine="2880"/>
        <w:rPr>
          <w:rFonts w:ascii="宋体" w:hAnsi="宋体" w:cs="宋体"/>
          <w:color w:val="auto"/>
          <w:sz w:val="24"/>
          <w:highlight w:val="none"/>
        </w:rPr>
      </w:pPr>
    </w:p>
    <w:p w14:paraId="08A9DAAE">
      <w:pPr>
        <w:widowControl/>
        <w:shd w:val="clear" w:color="auto" w:fill="FFFFFF"/>
        <w:ind w:firstLine="2880"/>
        <w:rPr>
          <w:rFonts w:ascii="宋体" w:hAnsi="宋体" w:cs="宋体"/>
          <w:color w:val="auto"/>
          <w:sz w:val="24"/>
          <w:highlight w:val="none"/>
        </w:rPr>
      </w:pPr>
    </w:p>
    <w:p w14:paraId="7736FA09">
      <w:pPr>
        <w:widowControl/>
        <w:shd w:val="clear" w:color="auto" w:fill="FFFFFF"/>
        <w:ind w:firstLine="2880"/>
        <w:rPr>
          <w:rFonts w:ascii="宋体" w:hAnsi="宋体" w:cs="宋体"/>
          <w:color w:val="auto"/>
          <w:sz w:val="24"/>
          <w:highlight w:val="none"/>
        </w:rPr>
      </w:pPr>
    </w:p>
    <w:p w14:paraId="132312C9">
      <w:pPr>
        <w:widowControl/>
        <w:shd w:val="clear" w:color="auto" w:fill="FFFFFF"/>
        <w:ind w:firstLine="2880"/>
        <w:rPr>
          <w:rFonts w:ascii="宋体" w:hAnsi="宋体" w:cs="宋体"/>
          <w:color w:val="auto"/>
          <w:sz w:val="24"/>
          <w:highlight w:val="none"/>
        </w:rPr>
      </w:pPr>
    </w:p>
    <w:p w14:paraId="43946D48">
      <w:pPr>
        <w:widowControl/>
        <w:shd w:val="clear" w:color="auto" w:fill="FFFFFF"/>
        <w:ind w:firstLine="2880"/>
        <w:rPr>
          <w:rFonts w:ascii="宋体" w:hAnsi="宋体" w:cs="宋体"/>
          <w:color w:val="auto"/>
          <w:sz w:val="24"/>
          <w:highlight w:val="none"/>
        </w:rPr>
      </w:pPr>
    </w:p>
    <w:p w14:paraId="303128D7">
      <w:pPr>
        <w:widowControl/>
        <w:shd w:val="clear" w:color="auto" w:fill="FFFFFF"/>
        <w:ind w:firstLine="2880"/>
        <w:rPr>
          <w:rFonts w:ascii="宋体" w:hAnsi="宋体" w:cs="宋体"/>
          <w:color w:val="auto"/>
          <w:sz w:val="24"/>
          <w:highlight w:val="none"/>
        </w:rPr>
      </w:pPr>
    </w:p>
    <w:p w14:paraId="68F89718">
      <w:pPr>
        <w:widowControl/>
        <w:shd w:val="clear" w:color="auto" w:fill="FFFFFF"/>
        <w:ind w:firstLine="2880"/>
        <w:rPr>
          <w:rFonts w:ascii="宋体" w:hAnsi="宋体" w:cs="宋体"/>
          <w:color w:val="auto"/>
          <w:sz w:val="24"/>
          <w:highlight w:val="none"/>
        </w:rPr>
      </w:pPr>
    </w:p>
    <w:p w14:paraId="23C96F81">
      <w:pPr>
        <w:widowControl/>
        <w:shd w:val="clear" w:color="auto" w:fill="FFFFFF"/>
        <w:ind w:firstLine="2880"/>
        <w:rPr>
          <w:rFonts w:ascii="宋体" w:hAnsi="宋体" w:cs="宋体"/>
          <w:color w:val="auto"/>
          <w:sz w:val="24"/>
          <w:highlight w:val="none"/>
        </w:rPr>
      </w:pPr>
    </w:p>
    <w:p w14:paraId="01C75E0A">
      <w:pPr>
        <w:widowControl/>
        <w:shd w:val="clear" w:color="auto" w:fill="FFFFFF"/>
        <w:ind w:firstLine="2880"/>
        <w:rPr>
          <w:rFonts w:ascii="宋体" w:hAnsi="宋体" w:cs="宋体"/>
          <w:color w:val="auto"/>
          <w:sz w:val="24"/>
          <w:highlight w:val="none"/>
        </w:rPr>
      </w:pPr>
    </w:p>
    <w:p w14:paraId="586F659F">
      <w:pPr>
        <w:widowControl/>
        <w:shd w:val="clear" w:color="auto" w:fill="FFFFFF"/>
        <w:ind w:firstLine="2880"/>
        <w:rPr>
          <w:rFonts w:ascii="宋体" w:hAnsi="宋体" w:cs="宋体"/>
          <w:color w:val="auto"/>
          <w:sz w:val="24"/>
          <w:highlight w:val="none"/>
        </w:rPr>
      </w:pPr>
    </w:p>
    <w:p w14:paraId="449A6340">
      <w:pPr>
        <w:widowControl/>
        <w:shd w:val="clear" w:color="auto" w:fill="FFFFFF"/>
        <w:ind w:firstLine="2880"/>
        <w:rPr>
          <w:rFonts w:ascii="宋体" w:hAnsi="宋体" w:cs="宋体"/>
          <w:color w:val="auto"/>
          <w:sz w:val="24"/>
          <w:highlight w:val="none"/>
        </w:rPr>
      </w:pPr>
    </w:p>
    <w:p w14:paraId="71DE5A99">
      <w:pPr>
        <w:spacing w:line="360" w:lineRule="auto"/>
        <w:ind w:right="420"/>
        <w:contextualSpacing/>
        <w:jc w:val="left"/>
        <w:rPr>
          <w:rFonts w:ascii="宋体" w:hAnsi="宋体"/>
          <w:b/>
          <w:color w:val="auto"/>
          <w:sz w:val="32"/>
          <w:szCs w:val="32"/>
          <w:highlight w:val="none"/>
        </w:rPr>
      </w:pP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报价商务技术文件格式 </w:t>
      </w:r>
    </w:p>
    <w:p w14:paraId="7A46A34E">
      <w:pPr>
        <w:spacing w:before="120" w:after="50" w:line="360" w:lineRule="auto"/>
        <w:jc w:val="left"/>
        <w:rPr>
          <w:rFonts w:ascii="宋体" w:hAnsi="宋体"/>
          <w:b/>
          <w:color w:val="auto"/>
          <w:sz w:val="32"/>
          <w:szCs w:val="32"/>
          <w:highlight w:val="none"/>
        </w:rPr>
      </w:pPr>
      <w:r>
        <w:rPr>
          <w:rFonts w:hint="eastAsia" w:ascii="宋体" w:hAnsi="宋体"/>
          <w:b/>
          <w:color w:val="auto"/>
          <w:sz w:val="32"/>
          <w:szCs w:val="32"/>
          <w:highlight w:val="none"/>
        </w:rPr>
        <w:t>1.报价商务技术文件封面格式</w:t>
      </w:r>
    </w:p>
    <w:p w14:paraId="02F3CDC4">
      <w:pPr>
        <w:spacing w:before="120" w:after="50"/>
        <w:rPr>
          <w:rFonts w:ascii="宋体" w:hAnsi="宋体"/>
          <w:bCs/>
          <w:color w:val="auto"/>
          <w:sz w:val="32"/>
          <w:szCs w:val="20"/>
          <w:highlight w:val="none"/>
        </w:rPr>
      </w:pPr>
      <w:r>
        <w:rPr>
          <w:rFonts w:hint="eastAsia" w:ascii="宋体" w:hAnsi="宋体"/>
          <w:color w:val="auto"/>
          <w:sz w:val="24"/>
          <w:highlight w:val="none"/>
        </w:rPr>
        <w:t xml:space="preserve">                                                    </w:t>
      </w:r>
      <w:r>
        <w:rPr>
          <w:rFonts w:ascii="宋体" w:hAnsi="宋体" w:cs="宋体"/>
          <w:color w:val="auto"/>
          <w:sz w:val="24"/>
          <w:highlight w:val="none"/>
        </w:rPr>
        <w:t>全流程电子文件</w:t>
      </w:r>
    </w:p>
    <w:p w14:paraId="5E29975E">
      <w:pPr>
        <w:spacing w:before="120" w:after="50"/>
        <w:jc w:val="center"/>
        <w:rPr>
          <w:rFonts w:ascii="宋体" w:hAnsi="宋体"/>
          <w:color w:val="auto"/>
          <w:sz w:val="24"/>
          <w:szCs w:val="20"/>
          <w:highlight w:val="none"/>
        </w:rPr>
      </w:pPr>
      <w:r>
        <w:rPr>
          <w:rFonts w:hint="eastAsia" w:ascii="宋体" w:hAnsi="宋体"/>
          <w:color w:val="auto"/>
          <w:sz w:val="44"/>
          <w:szCs w:val="44"/>
          <w:highlight w:val="none"/>
        </w:rPr>
        <w:t>电 子 响 应 文 件</w:t>
      </w:r>
    </w:p>
    <w:p w14:paraId="7CA0CFB5">
      <w:pPr>
        <w:spacing w:before="120" w:after="50"/>
        <w:rPr>
          <w:rFonts w:ascii="宋体" w:hAnsi="宋体"/>
          <w:color w:val="auto"/>
          <w:sz w:val="24"/>
          <w:szCs w:val="20"/>
          <w:highlight w:val="none"/>
        </w:rPr>
      </w:pPr>
    </w:p>
    <w:p w14:paraId="404D4C70">
      <w:pPr>
        <w:spacing w:before="120" w:after="50"/>
        <w:rPr>
          <w:rFonts w:ascii="宋体" w:hAnsi="宋体"/>
          <w:color w:val="auto"/>
          <w:sz w:val="24"/>
          <w:szCs w:val="20"/>
          <w:highlight w:val="none"/>
        </w:rPr>
      </w:pPr>
    </w:p>
    <w:p w14:paraId="707A3DED">
      <w:pPr>
        <w:spacing w:before="120" w:after="50"/>
        <w:jc w:val="center"/>
        <w:rPr>
          <w:rFonts w:ascii="Arial Unicode MS" w:hAnsi="Arial Unicode MS" w:eastAsia="Arial Unicode MS" w:cs="Arial Unicode MS"/>
          <w:bCs/>
          <w:color w:val="auto"/>
          <w:sz w:val="44"/>
          <w:szCs w:val="44"/>
          <w:highlight w:val="none"/>
        </w:rPr>
      </w:pPr>
      <w:r>
        <w:rPr>
          <w:rFonts w:hint="eastAsia" w:ascii="Arial Unicode MS" w:hAnsi="Arial Unicode MS" w:eastAsia="Arial Unicode MS" w:cs="Arial Unicode MS"/>
          <w:bCs/>
          <w:color w:val="auto"/>
          <w:sz w:val="44"/>
          <w:szCs w:val="44"/>
          <w:highlight w:val="none"/>
        </w:rPr>
        <w:t>报  价  商  务  技  术  文  件</w:t>
      </w:r>
    </w:p>
    <w:p w14:paraId="1CA693C0">
      <w:pPr>
        <w:spacing w:before="120" w:after="50"/>
        <w:rPr>
          <w:rFonts w:ascii="宋体" w:hAnsi="宋体"/>
          <w:bCs/>
          <w:color w:val="auto"/>
          <w:sz w:val="24"/>
          <w:szCs w:val="20"/>
          <w:highlight w:val="none"/>
        </w:rPr>
      </w:pPr>
    </w:p>
    <w:p w14:paraId="3D7F00E5">
      <w:pPr>
        <w:spacing w:before="120" w:after="50"/>
        <w:rPr>
          <w:rFonts w:ascii="宋体" w:hAnsi="宋体"/>
          <w:bCs/>
          <w:color w:val="auto"/>
          <w:sz w:val="24"/>
          <w:szCs w:val="20"/>
          <w:highlight w:val="none"/>
        </w:rPr>
      </w:pPr>
    </w:p>
    <w:p w14:paraId="4C522A5B">
      <w:pPr>
        <w:spacing w:before="120" w:after="50"/>
        <w:rPr>
          <w:rFonts w:ascii="宋体" w:hAnsi="宋体"/>
          <w:bCs/>
          <w:color w:val="auto"/>
          <w:sz w:val="24"/>
          <w:szCs w:val="20"/>
          <w:highlight w:val="none"/>
        </w:rPr>
      </w:pPr>
    </w:p>
    <w:p w14:paraId="072FC4BF">
      <w:pPr>
        <w:spacing w:before="120" w:after="50"/>
        <w:rPr>
          <w:rFonts w:ascii="宋体" w:hAnsi="宋体"/>
          <w:bCs/>
          <w:color w:val="auto"/>
          <w:sz w:val="24"/>
          <w:szCs w:val="20"/>
          <w:highlight w:val="none"/>
        </w:rPr>
      </w:pPr>
    </w:p>
    <w:p w14:paraId="4E9B8523">
      <w:pPr>
        <w:spacing w:before="120" w:after="50"/>
        <w:rPr>
          <w:rFonts w:ascii="宋体" w:hAnsi="宋体"/>
          <w:bCs/>
          <w:color w:val="auto"/>
          <w:sz w:val="24"/>
          <w:szCs w:val="20"/>
          <w:highlight w:val="none"/>
        </w:rPr>
      </w:pPr>
    </w:p>
    <w:p w14:paraId="3F4F80EF">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81215E8">
      <w:pPr>
        <w:spacing w:before="120" w:after="50"/>
        <w:ind w:firstLine="720"/>
        <w:rPr>
          <w:rFonts w:ascii="宋体" w:hAnsi="宋体" w:cs="仿宋_GB2312"/>
          <w:bCs/>
          <w:color w:val="auto"/>
          <w:sz w:val="32"/>
          <w:szCs w:val="32"/>
          <w:highlight w:val="none"/>
        </w:rPr>
      </w:pPr>
    </w:p>
    <w:p w14:paraId="18DF5141">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4A3CFAA3">
      <w:pPr>
        <w:spacing w:before="120" w:after="50"/>
        <w:ind w:firstLine="720"/>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206818C2">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548A8046">
      <w:pPr>
        <w:spacing w:before="120" w:after="50"/>
        <w:ind w:firstLine="720"/>
        <w:rPr>
          <w:rFonts w:ascii="宋体" w:hAnsi="宋体" w:cs="仿宋_GB2312"/>
          <w:bCs/>
          <w:color w:val="auto"/>
          <w:sz w:val="32"/>
          <w:szCs w:val="32"/>
          <w:highlight w:val="none"/>
        </w:rPr>
      </w:pPr>
    </w:p>
    <w:p w14:paraId="6067E74D">
      <w:pPr>
        <w:pStyle w:val="12"/>
        <w:spacing w:before="5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D216811">
      <w:pPr>
        <w:pStyle w:val="12"/>
        <w:spacing w:before="50" w:after="50"/>
        <w:ind w:firstLine="640"/>
        <w:rPr>
          <w:rFonts w:ascii="宋体" w:hAnsi="宋体" w:cs="仿宋_GB2312"/>
          <w:bCs/>
          <w:color w:val="auto"/>
          <w:sz w:val="32"/>
          <w:szCs w:val="32"/>
          <w:highlight w:val="none"/>
        </w:rPr>
      </w:pPr>
    </w:p>
    <w:p w14:paraId="55A207A7">
      <w:pPr>
        <w:pStyle w:val="12"/>
        <w:spacing w:before="50" w:after="50"/>
        <w:ind w:firstLine="720"/>
        <w:rPr>
          <w:rFonts w:ascii="宋体" w:hAnsi="宋体" w:cs="仿宋_GB2312"/>
          <w:bCs/>
          <w:color w:val="auto"/>
          <w:sz w:val="32"/>
          <w:szCs w:val="32"/>
          <w:highlight w:val="none"/>
        </w:rPr>
      </w:pPr>
    </w:p>
    <w:p w14:paraId="440C6357">
      <w:pPr>
        <w:pStyle w:val="12"/>
        <w:spacing w:before="50" w:after="50"/>
        <w:ind w:firstLine="0"/>
        <w:rPr>
          <w:rFonts w:ascii="宋体" w:hAnsi="宋体" w:cs="仿宋_GB2312"/>
          <w:bCs/>
          <w:color w:val="auto"/>
          <w:sz w:val="32"/>
          <w:szCs w:val="32"/>
          <w:highlight w:val="none"/>
        </w:rPr>
      </w:pPr>
    </w:p>
    <w:p w14:paraId="2A4BD9FF">
      <w:pPr>
        <w:pStyle w:val="12"/>
        <w:spacing w:before="50" w:after="50"/>
        <w:ind w:firstLine="1280"/>
        <w:rPr>
          <w:rFonts w:ascii="宋体" w:hAnsi="宋体" w:cs="仿宋_GB2312"/>
          <w:bCs/>
          <w:color w:val="auto"/>
          <w:sz w:val="32"/>
          <w:szCs w:val="32"/>
          <w:highlight w:val="none"/>
        </w:rPr>
      </w:pPr>
    </w:p>
    <w:p w14:paraId="3AF6D9DD">
      <w:pPr>
        <w:spacing w:before="12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2B10BF0A">
      <w:pPr>
        <w:numPr>
          <w:ilvl w:val="0"/>
          <w:numId w:val="2"/>
        </w:numPr>
        <w:spacing w:before="120" w:after="50" w:line="360" w:lineRule="auto"/>
        <w:ind w:left="142"/>
        <w:jc w:val="center"/>
        <w:rPr>
          <w:rFonts w:ascii="宋体" w:hAnsi="宋体"/>
          <w:b/>
          <w:bCs/>
          <w:color w:val="auto"/>
          <w:sz w:val="32"/>
          <w:szCs w:val="32"/>
          <w:highlight w:val="none"/>
        </w:rPr>
      </w:pPr>
      <w:r>
        <w:rPr>
          <w:rFonts w:ascii="宋体" w:hAnsi="宋体"/>
          <w:color w:val="auto"/>
          <w:sz w:val="24"/>
          <w:highlight w:val="none"/>
        </w:rPr>
        <w:br w:type="page" w:clear="all"/>
      </w:r>
      <w:r>
        <w:rPr>
          <w:rFonts w:hint="eastAsia" w:ascii="宋体" w:hAnsi="宋体"/>
          <w:b/>
          <w:bCs/>
          <w:color w:val="auto"/>
          <w:sz w:val="32"/>
          <w:szCs w:val="32"/>
          <w:highlight w:val="none"/>
        </w:rPr>
        <w:t>报价商务技术文件目录</w:t>
      </w:r>
    </w:p>
    <w:p w14:paraId="3C7DAE9C">
      <w:pPr>
        <w:spacing w:before="120" w:after="50" w:line="360" w:lineRule="auto"/>
        <w:rPr>
          <w:rFonts w:ascii="宋体" w:hAnsi="宋体"/>
          <w:b/>
          <w:bCs/>
          <w:color w:val="auto"/>
          <w:sz w:val="32"/>
          <w:szCs w:val="32"/>
          <w:highlight w:val="none"/>
        </w:rPr>
      </w:pPr>
      <w:r>
        <w:rPr>
          <w:rFonts w:hint="eastAsia" w:ascii="宋体" w:hAnsi="宋体"/>
          <w:b/>
          <w:bCs/>
          <w:color w:val="auto"/>
          <w:sz w:val="32"/>
          <w:szCs w:val="32"/>
          <w:highlight w:val="none"/>
        </w:rPr>
        <w:t>报价文件</w:t>
      </w:r>
    </w:p>
    <w:p w14:paraId="3CA0778E">
      <w:pPr>
        <w:spacing w:line="360" w:lineRule="auto"/>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rPr>
        <w:t>竞标报价表；（</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 …（页码）</w:t>
      </w:r>
    </w:p>
    <w:p w14:paraId="7317571A">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rPr>
        <w:t>供应商认为需要提供的其他有关资料</w:t>
      </w:r>
      <w:r>
        <w:rPr>
          <w:rFonts w:hint="eastAsia" w:ascii="宋体" w:hAnsi="宋体" w:cs="宋体"/>
          <w:bCs/>
          <w:color w:val="auto"/>
          <w:spacing w:val="10"/>
          <w:szCs w:val="21"/>
          <w:highlight w:val="none"/>
        </w:rPr>
        <w:t>……………………………………… ………（页码）</w:t>
      </w:r>
    </w:p>
    <w:p w14:paraId="61757C73">
      <w:pPr>
        <w:spacing w:line="360" w:lineRule="auto"/>
        <w:rPr>
          <w:rFonts w:ascii="宋体" w:hAnsi="宋体"/>
          <w:b/>
          <w:bCs/>
          <w:color w:val="auto"/>
          <w:sz w:val="32"/>
          <w:szCs w:val="32"/>
          <w:highlight w:val="none"/>
        </w:rPr>
      </w:pPr>
      <w:r>
        <w:rPr>
          <w:rFonts w:hint="eastAsia" w:ascii="宋体" w:hAnsi="宋体"/>
          <w:b/>
          <w:bCs/>
          <w:color w:val="auto"/>
          <w:sz w:val="32"/>
          <w:szCs w:val="32"/>
          <w:highlight w:val="none"/>
        </w:rPr>
        <w:t>商务技术文件</w:t>
      </w:r>
    </w:p>
    <w:p w14:paraId="7334394A">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………………（页码）</w:t>
      </w:r>
    </w:p>
    <w:p w14:paraId="3586D334">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 ………（页码）</w:t>
      </w:r>
    </w:p>
    <w:p w14:paraId="10614D88">
      <w:pPr>
        <w:spacing w:line="360" w:lineRule="auto"/>
        <w:rPr>
          <w:rFonts w:ascii="宋体" w:hAnsi="宋体" w:cs="宋体"/>
          <w:color w:val="auto"/>
          <w:szCs w:val="21"/>
          <w:highlight w:val="none"/>
        </w:rPr>
      </w:pPr>
      <w:r>
        <w:rPr>
          <w:rFonts w:hint="eastAsia" w:ascii="宋体" w:hAnsi="宋体" w:cs="宋体"/>
          <w:color w:val="auto"/>
          <w:szCs w:val="21"/>
          <w:highlight w:val="none"/>
        </w:rPr>
        <w:t>3.授权委托书及委托代理人有效身份证正反面复印件；（</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…………………………………………………………………………………（页码）</w:t>
      </w:r>
    </w:p>
    <w:p w14:paraId="7FE8137F">
      <w:pPr>
        <w:spacing w:line="400" w:lineRule="exact"/>
        <w:rPr>
          <w:rFonts w:ascii="宋体" w:hAnsi="宋体" w:cs="宋体"/>
          <w:color w:val="auto"/>
          <w:szCs w:val="21"/>
          <w:highlight w:val="none"/>
        </w:rPr>
      </w:pPr>
      <w:r>
        <w:rPr>
          <w:rFonts w:hint="eastAsia" w:ascii="宋体" w:hAnsi="宋体" w:cs="宋体"/>
          <w:color w:val="auto"/>
          <w:szCs w:val="21"/>
          <w:highlight w:val="none"/>
        </w:rPr>
        <w:t>4.商务要求偏离表；（</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…………………………（页码）</w:t>
      </w:r>
    </w:p>
    <w:p w14:paraId="0540FF14">
      <w:pPr>
        <w:spacing w:line="400" w:lineRule="exact"/>
        <w:rPr>
          <w:rFonts w:ascii="宋体" w:hAnsi="宋体" w:cs="宋体"/>
          <w:color w:val="auto"/>
          <w:szCs w:val="21"/>
          <w:highlight w:val="none"/>
        </w:rPr>
      </w:pPr>
      <w:r>
        <w:rPr>
          <w:rFonts w:hint="eastAsia" w:ascii="宋体" w:hAnsi="宋体" w:cs="宋体"/>
          <w:color w:val="auto"/>
          <w:szCs w:val="21"/>
          <w:highlight w:val="none"/>
        </w:rPr>
        <w:t>5.售后服务承诺；（</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……………………………（页码</w:t>
      </w:r>
    </w:p>
    <w:p w14:paraId="29865332">
      <w:pPr>
        <w:spacing w:line="400" w:lineRule="exact"/>
        <w:rPr>
          <w:rFonts w:ascii="宋体" w:hAnsi="宋体" w:cs="宋体"/>
          <w:color w:val="auto"/>
          <w:szCs w:val="21"/>
          <w:highlight w:val="none"/>
        </w:rPr>
      </w:pPr>
      <w:r>
        <w:rPr>
          <w:rFonts w:hint="eastAsia" w:ascii="宋体" w:hAnsi="宋体" w:cs="宋体"/>
          <w:color w:val="auto"/>
          <w:szCs w:val="21"/>
          <w:highlight w:val="none"/>
        </w:rPr>
        <w:t>6.货物配置清单（均不含报价）；（</w:t>
      </w:r>
      <w:r>
        <w:rPr>
          <w:rFonts w:hint="eastAsia" w:ascii="宋体" w:hAnsi="宋体" w:cs="宋体"/>
          <w:b/>
          <w:color w:val="auto"/>
          <w:szCs w:val="21"/>
          <w:highlight w:val="none"/>
        </w:rPr>
        <w:t>必须提供，否则响应文件按无效处理</w:t>
      </w:r>
      <w:r>
        <w:rPr>
          <w:rFonts w:hint="eastAsia" w:ascii="宋体" w:hAnsi="宋体" w:cs="宋体"/>
          <w:bCs/>
          <w:color w:val="auto"/>
          <w:spacing w:val="10"/>
          <w:szCs w:val="21"/>
          <w:highlight w:val="none"/>
        </w:rPr>
        <w:t>……………（页码）</w:t>
      </w:r>
    </w:p>
    <w:p w14:paraId="21327018">
      <w:pPr>
        <w:spacing w:line="400" w:lineRule="exact"/>
        <w:rPr>
          <w:rFonts w:ascii="宋体" w:hAnsi="宋体" w:cs="宋体"/>
          <w:color w:val="auto"/>
          <w:szCs w:val="21"/>
          <w:highlight w:val="none"/>
        </w:rPr>
      </w:pPr>
      <w:r>
        <w:rPr>
          <w:rFonts w:hint="eastAsia" w:ascii="宋体" w:hAnsi="宋体" w:cs="宋体"/>
          <w:color w:val="auto"/>
          <w:szCs w:val="21"/>
          <w:highlight w:val="none"/>
        </w:rPr>
        <w:t>7.技术要求偏离表（格式后附）；（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r>
        <w:rPr>
          <w:rFonts w:hint="eastAsia" w:ascii="宋体" w:hAnsi="宋体" w:cs="宋体"/>
          <w:bCs/>
          <w:color w:val="auto"/>
          <w:spacing w:val="10"/>
          <w:szCs w:val="21"/>
          <w:highlight w:val="none"/>
        </w:rPr>
        <w:t>…………（页码）</w:t>
      </w:r>
    </w:p>
    <w:p w14:paraId="270314C6">
      <w:pPr>
        <w:spacing w:line="360" w:lineRule="auto"/>
        <w:rPr>
          <w:rFonts w:ascii="宋体" w:hAnsi="宋体"/>
          <w:color w:val="auto"/>
          <w:szCs w:val="21"/>
          <w:highlight w:val="none"/>
        </w:rPr>
      </w:pPr>
      <w:r>
        <w:rPr>
          <w:rFonts w:hint="eastAsia" w:ascii="宋体" w:hAnsi="宋体"/>
          <w:color w:val="auto"/>
          <w:szCs w:val="21"/>
          <w:highlight w:val="none"/>
        </w:rPr>
        <w:t>8.《关于符合本国产品标准的声明函》或者财政部会同有关部门规定的有关证明文件；（供应商根据自身响应情况出具）</w:t>
      </w:r>
      <w:r>
        <w:rPr>
          <w:rFonts w:hint="eastAsia" w:ascii="宋体" w:hAnsi="宋体" w:cs="宋体"/>
          <w:bCs/>
          <w:color w:val="auto"/>
          <w:spacing w:val="10"/>
          <w:szCs w:val="21"/>
          <w:highlight w:val="none"/>
        </w:rPr>
        <w:t>……………………………………………………………（页码）</w:t>
      </w:r>
    </w:p>
    <w:p w14:paraId="3C40B16B">
      <w:pPr>
        <w:spacing w:line="360" w:lineRule="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bCs/>
          <w:color w:val="auto"/>
          <w:szCs w:val="21"/>
          <w:highlight w:val="none"/>
        </w:rPr>
        <w:t>代理服务费承诺书</w:t>
      </w:r>
      <w:r>
        <w:rPr>
          <w:rFonts w:hint="eastAsia" w:ascii="宋体" w:hAnsi="宋体" w:cs="宋体"/>
          <w:color w:val="auto"/>
          <w:szCs w:val="21"/>
          <w:highlight w:val="none"/>
        </w:rPr>
        <w:t>；</w:t>
      </w:r>
      <w:r>
        <w:rPr>
          <w:rFonts w:hint="eastAsia" w:ascii="宋体" w:hAnsi="宋体" w:cs="宋体"/>
          <w:bCs/>
          <w:color w:val="auto"/>
          <w:spacing w:val="10"/>
          <w:szCs w:val="21"/>
          <w:highlight w:val="none"/>
        </w:rPr>
        <w:t>………………………………………………………………（页码）</w:t>
      </w:r>
    </w:p>
    <w:p w14:paraId="18E32646">
      <w:pPr>
        <w:spacing w:line="360" w:lineRule="auto"/>
        <w:rPr>
          <w:rFonts w:ascii="宋体" w:hAnsi="宋体" w:cs="宋体"/>
          <w:bCs/>
          <w:color w:val="auto"/>
          <w:szCs w:val="21"/>
          <w:highlight w:val="none"/>
        </w:rPr>
      </w:pPr>
      <w:r>
        <w:rPr>
          <w:rFonts w:hint="eastAsia" w:ascii="宋体" w:hAnsi="宋体" w:cs="宋体"/>
          <w:color w:val="auto"/>
          <w:szCs w:val="21"/>
          <w:highlight w:val="none"/>
        </w:rPr>
        <w:t>10.对应采购需求的技术要求、商务要求提供的其他文件资料；</w:t>
      </w:r>
      <w:r>
        <w:rPr>
          <w:rFonts w:hint="eastAsia" w:ascii="宋体" w:hAnsi="宋体" w:cs="宋体"/>
          <w:bCs/>
          <w:color w:val="auto"/>
          <w:spacing w:val="10"/>
          <w:szCs w:val="21"/>
          <w:highlight w:val="none"/>
        </w:rPr>
        <w:t>………………………（页码）</w:t>
      </w:r>
    </w:p>
    <w:p w14:paraId="5D3FFB15">
      <w:pPr>
        <w:spacing w:line="400" w:lineRule="exact"/>
        <w:rPr>
          <w:rFonts w:ascii="宋体" w:hAnsi="宋体" w:cs="宋体"/>
          <w:color w:val="auto"/>
          <w:szCs w:val="21"/>
          <w:highlight w:val="none"/>
        </w:rPr>
      </w:pPr>
      <w:r>
        <w:rPr>
          <w:rFonts w:hint="eastAsia" w:ascii="宋体" w:hAnsi="宋体" w:cs="宋体"/>
          <w:color w:val="auto"/>
          <w:szCs w:val="21"/>
          <w:highlight w:val="none"/>
        </w:rPr>
        <w:t>11.供应商认为需要提供的其他有关资料。</w:t>
      </w:r>
      <w:r>
        <w:rPr>
          <w:rFonts w:hint="eastAsia" w:ascii="宋体" w:hAnsi="宋体" w:cs="宋体"/>
          <w:bCs/>
          <w:color w:val="auto"/>
          <w:spacing w:val="10"/>
          <w:szCs w:val="21"/>
          <w:highlight w:val="none"/>
        </w:rPr>
        <w:t>………………………………………………（页码）</w:t>
      </w:r>
    </w:p>
    <w:p w14:paraId="7A90428C">
      <w:pPr>
        <w:spacing w:line="400" w:lineRule="exact"/>
        <w:rPr>
          <w:rFonts w:ascii="仿宋_GB2312" w:hAnsi="仿宋_GB2312" w:eastAsia="仿宋_GB2312" w:cs="仿宋_GB2312"/>
          <w:color w:val="auto"/>
          <w:sz w:val="32"/>
          <w:szCs w:val="32"/>
          <w:highlight w:val="none"/>
        </w:rPr>
      </w:pPr>
      <w:r>
        <w:rPr>
          <w:rFonts w:ascii="宋体" w:hAnsi="宋体" w:cs="宋体"/>
          <w:color w:val="auto"/>
          <w:sz w:val="24"/>
          <w:highlight w:val="none"/>
        </w:rPr>
        <w:t>注：以上目录是基本格式要求，各供应商可根据自身情况进一步向下增加内容或细化。</w:t>
      </w:r>
    </w:p>
    <w:p w14:paraId="0B55E09C">
      <w:pPr>
        <w:tabs>
          <w:tab w:val="left" w:pos="3479"/>
        </w:tabs>
        <w:spacing w:line="520" w:lineRule="exact"/>
        <w:jc w:val="center"/>
        <w:rPr>
          <w:rFonts w:ascii="Arial Unicode MS" w:hAnsi="Arial Unicode MS" w:eastAsia="Arial Unicode MS" w:cs="Arial Unicode MS"/>
          <w:bCs/>
          <w:color w:val="auto"/>
          <w:sz w:val="32"/>
          <w:szCs w:val="32"/>
          <w:highlight w:val="none"/>
        </w:rPr>
      </w:pPr>
      <w:r>
        <w:rPr>
          <w:rFonts w:hint="eastAsia" w:ascii="Arial Unicode MS" w:hAnsi="Arial Unicode MS" w:eastAsia="Arial Unicode MS" w:cs="Arial Unicode MS"/>
          <w:color w:val="auto"/>
          <w:sz w:val="44"/>
          <w:szCs w:val="44"/>
          <w:highlight w:val="none"/>
        </w:rPr>
        <w:br w:type="page" w:clear="all"/>
      </w:r>
      <w:r>
        <w:rPr>
          <w:rFonts w:hint="eastAsia" w:ascii="Arial Unicode MS" w:hAnsi="Arial Unicode MS" w:eastAsia="Arial Unicode MS" w:cs="Arial Unicode MS"/>
          <w:bCs/>
          <w:color w:val="auto"/>
          <w:sz w:val="44"/>
          <w:szCs w:val="44"/>
          <w:highlight w:val="none"/>
        </w:rPr>
        <w:t>竞  标  报  价  表</w:t>
      </w:r>
    </w:p>
    <w:p w14:paraId="78967BF0">
      <w:pPr>
        <w:spacing w:line="520" w:lineRule="exact"/>
        <w:jc w:val="center"/>
        <w:rPr>
          <w:rFonts w:ascii="Arial Unicode MS" w:hAnsi="Arial Unicode MS" w:eastAsia="Arial Unicode MS" w:cs="Arial Unicode MS"/>
          <w:bCs/>
          <w:color w:val="auto"/>
          <w:sz w:val="32"/>
          <w:szCs w:val="32"/>
          <w:highlight w:val="none"/>
        </w:rPr>
      </w:pPr>
    </w:p>
    <w:p w14:paraId="401D9A07">
      <w:pPr>
        <w:spacing w:before="50" w:after="50" w:line="360" w:lineRule="auto"/>
        <w:rPr>
          <w:rFonts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分标（如有）：</w:t>
      </w:r>
      <w:r>
        <w:rPr>
          <w:rFonts w:hint="eastAsia" w:ascii="宋体" w:hAnsi="宋体" w:cs="仿宋_GB2312"/>
          <w:color w:val="auto"/>
          <w:sz w:val="24"/>
          <w:highlight w:val="none"/>
          <w:u w:val="single"/>
        </w:rPr>
        <w:t xml:space="preserve">            </w:t>
      </w:r>
    </w:p>
    <w:p w14:paraId="4AAAD17D">
      <w:pPr>
        <w:spacing w:before="50" w:after="50" w:line="360" w:lineRule="auto"/>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单位：元</w:t>
      </w:r>
    </w:p>
    <w:tbl>
      <w:tblPr>
        <w:tblStyle w:val="40"/>
        <w:tblW w:w="102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7"/>
        <w:gridCol w:w="1065"/>
        <w:gridCol w:w="1005"/>
        <w:gridCol w:w="870"/>
        <w:gridCol w:w="1065"/>
        <w:gridCol w:w="1200"/>
        <w:gridCol w:w="1095"/>
        <w:gridCol w:w="1095"/>
        <w:gridCol w:w="1395"/>
        <w:gridCol w:w="860"/>
      </w:tblGrid>
      <w:tr w14:paraId="449D9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14:paraId="1633852D">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项号</w:t>
            </w:r>
          </w:p>
        </w:tc>
        <w:tc>
          <w:tcPr>
            <w:tcW w:w="1065" w:type="dxa"/>
            <w:tcBorders>
              <w:top w:val="single" w:color="auto" w:sz="4" w:space="0"/>
              <w:left w:val="single" w:color="auto" w:sz="4" w:space="0"/>
              <w:bottom w:val="single" w:color="auto" w:sz="4" w:space="0"/>
              <w:right w:val="single" w:color="auto" w:sz="4" w:space="0"/>
            </w:tcBorders>
            <w:vAlign w:val="center"/>
          </w:tcPr>
          <w:p w14:paraId="5188BDE1">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标的名称</w:t>
            </w:r>
          </w:p>
        </w:tc>
        <w:tc>
          <w:tcPr>
            <w:tcW w:w="1005" w:type="dxa"/>
            <w:tcBorders>
              <w:top w:val="single" w:color="auto" w:sz="4" w:space="0"/>
              <w:left w:val="single" w:color="auto" w:sz="4" w:space="0"/>
              <w:bottom w:val="single" w:color="auto" w:sz="4" w:space="0"/>
              <w:right w:val="single" w:color="auto" w:sz="4" w:space="0"/>
            </w:tcBorders>
            <w:vAlign w:val="center"/>
          </w:tcPr>
          <w:p w14:paraId="05E932DD">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数量及单位</w:t>
            </w:r>
          </w:p>
          <w:p w14:paraId="5E50FEC2">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①</w:t>
            </w:r>
          </w:p>
        </w:tc>
        <w:tc>
          <w:tcPr>
            <w:tcW w:w="870" w:type="dxa"/>
            <w:tcBorders>
              <w:top w:val="single" w:color="auto" w:sz="4" w:space="0"/>
              <w:left w:val="single" w:color="auto" w:sz="4" w:space="0"/>
              <w:bottom w:val="single" w:color="auto" w:sz="4" w:space="0"/>
              <w:right w:val="single" w:color="auto" w:sz="4" w:space="0"/>
            </w:tcBorders>
            <w:vAlign w:val="center"/>
          </w:tcPr>
          <w:p w14:paraId="644A3456">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品牌</w:t>
            </w:r>
          </w:p>
        </w:tc>
        <w:tc>
          <w:tcPr>
            <w:tcW w:w="1065" w:type="dxa"/>
            <w:tcBorders>
              <w:top w:val="single" w:color="auto" w:sz="4" w:space="0"/>
              <w:left w:val="single" w:color="auto" w:sz="4" w:space="0"/>
              <w:bottom w:val="single" w:color="auto" w:sz="4" w:space="0"/>
              <w:right w:val="single" w:color="auto" w:sz="4" w:space="0"/>
            </w:tcBorders>
            <w:vAlign w:val="center"/>
          </w:tcPr>
          <w:p w14:paraId="0DC6BB9C">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规格</w:t>
            </w:r>
          </w:p>
          <w:p w14:paraId="1C180686">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型号</w:t>
            </w:r>
          </w:p>
        </w:tc>
        <w:tc>
          <w:tcPr>
            <w:tcW w:w="1200" w:type="dxa"/>
            <w:tcBorders>
              <w:top w:val="single" w:color="auto" w:sz="4" w:space="0"/>
              <w:left w:val="single" w:color="auto" w:sz="4" w:space="0"/>
              <w:bottom w:val="single" w:color="auto" w:sz="4" w:space="0"/>
              <w:right w:val="single" w:color="auto" w:sz="4" w:space="0"/>
            </w:tcBorders>
            <w:vAlign w:val="center"/>
          </w:tcPr>
          <w:p w14:paraId="60BEF4A8">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制造商</w:t>
            </w:r>
          </w:p>
        </w:tc>
        <w:tc>
          <w:tcPr>
            <w:tcW w:w="1095" w:type="dxa"/>
            <w:tcBorders>
              <w:top w:val="single" w:color="auto" w:sz="4" w:space="0"/>
              <w:left w:val="single" w:color="auto" w:sz="4" w:space="0"/>
              <w:bottom w:val="single" w:color="auto" w:sz="4" w:space="0"/>
              <w:right w:val="single" w:color="auto" w:sz="4" w:space="0"/>
            </w:tcBorders>
            <w:vAlign w:val="center"/>
          </w:tcPr>
          <w:p w14:paraId="18BCB0CB">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原产地</w:t>
            </w:r>
          </w:p>
        </w:tc>
        <w:tc>
          <w:tcPr>
            <w:tcW w:w="1095" w:type="dxa"/>
            <w:tcBorders>
              <w:top w:val="single" w:color="auto" w:sz="4" w:space="0"/>
              <w:left w:val="single" w:color="auto" w:sz="4" w:space="0"/>
              <w:bottom w:val="single" w:color="auto" w:sz="4" w:space="0"/>
              <w:right w:val="single" w:color="auto" w:sz="4" w:space="0"/>
            </w:tcBorders>
            <w:vAlign w:val="center"/>
          </w:tcPr>
          <w:p w14:paraId="19D71478">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单价</w:t>
            </w:r>
          </w:p>
          <w:p w14:paraId="6B390653">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②</w:t>
            </w:r>
          </w:p>
        </w:tc>
        <w:tc>
          <w:tcPr>
            <w:tcW w:w="1395" w:type="dxa"/>
            <w:tcBorders>
              <w:top w:val="single" w:color="auto" w:sz="4" w:space="0"/>
              <w:left w:val="single" w:color="auto" w:sz="4" w:space="0"/>
              <w:bottom w:val="single" w:color="auto" w:sz="4" w:space="0"/>
              <w:right w:val="single" w:color="auto" w:sz="4" w:space="0"/>
            </w:tcBorders>
            <w:vAlign w:val="center"/>
          </w:tcPr>
          <w:p w14:paraId="05B489FA">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竞标报价</w:t>
            </w:r>
          </w:p>
          <w:p w14:paraId="7A1DFDFB">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③=①×②</w:t>
            </w:r>
          </w:p>
        </w:tc>
        <w:tc>
          <w:tcPr>
            <w:tcW w:w="860" w:type="dxa"/>
            <w:tcBorders>
              <w:top w:val="single" w:color="auto" w:sz="4" w:space="0"/>
              <w:left w:val="single" w:color="auto" w:sz="4" w:space="0"/>
              <w:bottom w:val="single" w:color="auto" w:sz="4" w:space="0"/>
              <w:right w:val="single" w:color="auto" w:sz="4" w:space="0"/>
            </w:tcBorders>
            <w:vAlign w:val="center"/>
          </w:tcPr>
          <w:p w14:paraId="6BA56EEE">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备注</w:t>
            </w:r>
          </w:p>
        </w:tc>
      </w:tr>
      <w:tr w14:paraId="3CA3B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14:paraId="6DCD6FA4">
            <w:pPr>
              <w:spacing w:line="360" w:lineRule="auto"/>
              <w:jc w:val="center"/>
              <w:rPr>
                <w:rFonts w:ascii="宋体" w:hAnsi="宋体" w:cs="仿宋_GB2312"/>
                <w:color w:val="auto"/>
                <w:sz w:val="24"/>
                <w:highlight w:val="none"/>
              </w:rPr>
            </w:pPr>
            <w:r>
              <w:rPr>
                <w:rFonts w:hint="eastAsia" w:ascii="宋体" w:hAnsi="宋体" w:cs="仿宋_GB2312"/>
                <w:color w:val="auto"/>
                <w:sz w:val="24"/>
                <w:highlight w:val="none"/>
              </w:rPr>
              <w:t>1</w:t>
            </w:r>
          </w:p>
        </w:tc>
        <w:tc>
          <w:tcPr>
            <w:tcW w:w="1065" w:type="dxa"/>
            <w:tcBorders>
              <w:top w:val="single" w:color="auto" w:sz="4" w:space="0"/>
              <w:left w:val="single" w:color="auto" w:sz="4" w:space="0"/>
              <w:bottom w:val="single" w:color="auto" w:sz="4" w:space="0"/>
              <w:right w:val="single" w:color="auto" w:sz="4" w:space="0"/>
            </w:tcBorders>
            <w:vAlign w:val="center"/>
          </w:tcPr>
          <w:p w14:paraId="7D40D7B7">
            <w:pPr>
              <w:spacing w:line="360" w:lineRule="auto"/>
              <w:jc w:val="center"/>
              <w:rPr>
                <w:rFonts w:ascii="宋体" w:hAnsi="宋体" w:cs="仿宋_GB2312"/>
                <w:color w:val="auto"/>
                <w:sz w:val="24"/>
                <w:highlight w:val="none"/>
              </w:rPr>
            </w:pPr>
          </w:p>
        </w:tc>
        <w:tc>
          <w:tcPr>
            <w:tcW w:w="1005" w:type="dxa"/>
            <w:tcBorders>
              <w:top w:val="single" w:color="auto" w:sz="4" w:space="0"/>
              <w:left w:val="single" w:color="auto" w:sz="4" w:space="0"/>
              <w:bottom w:val="single" w:color="auto" w:sz="4" w:space="0"/>
              <w:right w:val="single" w:color="auto" w:sz="4" w:space="0"/>
            </w:tcBorders>
            <w:vAlign w:val="center"/>
          </w:tcPr>
          <w:p w14:paraId="3BA09279">
            <w:pPr>
              <w:spacing w:line="360" w:lineRule="auto"/>
              <w:jc w:val="center"/>
              <w:rPr>
                <w:rFonts w:ascii="宋体" w:hAnsi="宋体" w:cs="仿宋_GB2312"/>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vAlign w:val="center"/>
          </w:tcPr>
          <w:p w14:paraId="1A2003B3">
            <w:pPr>
              <w:spacing w:line="360" w:lineRule="auto"/>
              <w:jc w:val="center"/>
              <w:rPr>
                <w:rFonts w:ascii="宋体" w:hAnsi="宋体" w:cs="仿宋_GB2312"/>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14:paraId="593AB867">
            <w:pPr>
              <w:spacing w:line="360" w:lineRule="auto"/>
              <w:jc w:val="center"/>
              <w:rPr>
                <w:rFonts w:ascii="宋体" w:hAnsi="宋体" w:cs="仿宋_GB2312"/>
                <w:color w:val="auto"/>
                <w:sz w:val="24"/>
                <w:highlight w:val="none"/>
              </w:rPr>
            </w:pPr>
          </w:p>
        </w:tc>
        <w:tc>
          <w:tcPr>
            <w:tcW w:w="1200" w:type="dxa"/>
            <w:tcBorders>
              <w:top w:val="single" w:color="auto" w:sz="4" w:space="0"/>
              <w:left w:val="single" w:color="auto" w:sz="4" w:space="0"/>
              <w:bottom w:val="single" w:color="auto" w:sz="4" w:space="0"/>
              <w:right w:val="single" w:color="auto" w:sz="4" w:space="0"/>
            </w:tcBorders>
            <w:vAlign w:val="center"/>
          </w:tcPr>
          <w:p w14:paraId="3CC1211C">
            <w:pPr>
              <w:spacing w:line="360" w:lineRule="auto"/>
              <w:jc w:val="center"/>
              <w:rPr>
                <w:rFonts w:ascii="宋体" w:hAnsi="宋体"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581FF2E8">
            <w:pPr>
              <w:spacing w:line="360" w:lineRule="auto"/>
              <w:jc w:val="center"/>
              <w:rPr>
                <w:rFonts w:ascii="宋体" w:hAnsi="宋体"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5CB68FE9">
            <w:pPr>
              <w:spacing w:line="360" w:lineRule="auto"/>
              <w:jc w:val="center"/>
              <w:rPr>
                <w:rFonts w:ascii="宋体" w:hAnsi="宋体" w:cs="仿宋_GB2312"/>
                <w:color w:val="auto"/>
                <w:sz w:val="24"/>
                <w:highlight w:val="none"/>
              </w:rPr>
            </w:pPr>
          </w:p>
        </w:tc>
        <w:tc>
          <w:tcPr>
            <w:tcW w:w="1395" w:type="dxa"/>
            <w:tcBorders>
              <w:top w:val="single" w:color="auto" w:sz="4" w:space="0"/>
              <w:left w:val="single" w:color="auto" w:sz="4" w:space="0"/>
              <w:bottom w:val="single" w:color="auto" w:sz="4" w:space="0"/>
              <w:right w:val="single" w:color="auto" w:sz="4" w:space="0"/>
            </w:tcBorders>
            <w:vAlign w:val="center"/>
          </w:tcPr>
          <w:p w14:paraId="62BBD17B">
            <w:pPr>
              <w:spacing w:line="360" w:lineRule="auto"/>
              <w:jc w:val="center"/>
              <w:rPr>
                <w:rFonts w:ascii="宋体" w:hAnsi="宋体" w:cs="仿宋_GB2312"/>
                <w:color w:val="auto"/>
                <w:sz w:val="24"/>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5A6054D7">
            <w:pPr>
              <w:spacing w:line="360" w:lineRule="auto"/>
              <w:jc w:val="center"/>
              <w:rPr>
                <w:rFonts w:ascii="宋体" w:hAnsi="宋体" w:cs="仿宋_GB2312"/>
                <w:color w:val="auto"/>
                <w:sz w:val="24"/>
                <w:highlight w:val="none"/>
              </w:rPr>
            </w:pPr>
          </w:p>
        </w:tc>
      </w:tr>
      <w:tr w14:paraId="6AF0D2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14:paraId="6ED56761">
            <w:pPr>
              <w:spacing w:line="360" w:lineRule="auto"/>
              <w:jc w:val="center"/>
              <w:rPr>
                <w:rFonts w:ascii="宋体" w:hAnsi="宋体" w:cs="仿宋_GB2312"/>
                <w:color w:val="auto"/>
                <w:sz w:val="24"/>
                <w:highlight w:val="none"/>
              </w:rPr>
            </w:pPr>
            <w:r>
              <w:rPr>
                <w:rFonts w:hint="eastAsia" w:ascii="宋体" w:hAnsi="宋体" w:cs="仿宋_GB2312"/>
                <w:color w:val="auto"/>
                <w:sz w:val="24"/>
                <w:highlight w:val="none"/>
              </w:rPr>
              <w:t>2</w:t>
            </w:r>
          </w:p>
        </w:tc>
        <w:tc>
          <w:tcPr>
            <w:tcW w:w="1065" w:type="dxa"/>
            <w:tcBorders>
              <w:top w:val="single" w:color="auto" w:sz="4" w:space="0"/>
              <w:left w:val="single" w:color="auto" w:sz="4" w:space="0"/>
              <w:bottom w:val="single" w:color="auto" w:sz="4" w:space="0"/>
              <w:right w:val="single" w:color="auto" w:sz="4" w:space="0"/>
            </w:tcBorders>
            <w:vAlign w:val="center"/>
          </w:tcPr>
          <w:p w14:paraId="0BEBEBFA">
            <w:pPr>
              <w:spacing w:line="360" w:lineRule="auto"/>
              <w:jc w:val="center"/>
              <w:rPr>
                <w:rFonts w:ascii="宋体" w:hAnsi="宋体" w:cs="仿宋_GB2312"/>
                <w:color w:val="auto"/>
                <w:sz w:val="24"/>
                <w:highlight w:val="none"/>
              </w:rPr>
            </w:pPr>
          </w:p>
        </w:tc>
        <w:tc>
          <w:tcPr>
            <w:tcW w:w="1005" w:type="dxa"/>
            <w:tcBorders>
              <w:top w:val="single" w:color="auto" w:sz="4" w:space="0"/>
              <w:left w:val="single" w:color="auto" w:sz="4" w:space="0"/>
              <w:bottom w:val="single" w:color="auto" w:sz="4" w:space="0"/>
              <w:right w:val="single" w:color="auto" w:sz="4" w:space="0"/>
            </w:tcBorders>
            <w:vAlign w:val="center"/>
          </w:tcPr>
          <w:p w14:paraId="74C8937C">
            <w:pPr>
              <w:spacing w:line="360" w:lineRule="auto"/>
              <w:jc w:val="center"/>
              <w:rPr>
                <w:rFonts w:ascii="宋体" w:hAnsi="宋体" w:cs="仿宋_GB2312"/>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vAlign w:val="center"/>
          </w:tcPr>
          <w:p w14:paraId="4DCEE8B1">
            <w:pPr>
              <w:spacing w:line="360" w:lineRule="auto"/>
              <w:jc w:val="center"/>
              <w:rPr>
                <w:rFonts w:ascii="宋体" w:hAnsi="宋体" w:cs="仿宋_GB2312"/>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14:paraId="15C1B6D4">
            <w:pPr>
              <w:spacing w:line="360" w:lineRule="auto"/>
              <w:jc w:val="center"/>
              <w:rPr>
                <w:rFonts w:ascii="宋体" w:hAnsi="宋体" w:cs="仿宋_GB2312"/>
                <w:color w:val="auto"/>
                <w:sz w:val="24"/>
                <w:highlight w:val="none"/>
              </w:rPr>
            </w:pPr>
          </w:p>
        </w:tc>
        <w:tc>
          <w:tcPr>
            <w:tcW w:w="1200" w:type="dxa"/>
            <w:tcBorders>
              <w:top w:val="single" w:color="auto" w:sz="4" w:space="0"/>
              <w:left w:val="single" w:color="auto" w:sz="4" w:space="0"/>
              <w:bottom w:val="single" w:color="auto" w:sz="4" w:space="0"/>
              <w:right w:val="single" w:color="auto" w:sz="4" w:space="0"/>
            </w:tcBorders>
            <w:vAlign w:val="center"/>
          </w:tcPr>
          <w:p w14:paraId="438FA567">
            <w:pPr>
              <w:spacing w:line="360" w:lineRule="auto"/>
              <w:jc w:val="center"/>
              <w:rPr>
                <w:rFonts w:ascii="宋体" w:hAnsi="宋体"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78C937B5">
            <w:pPr>
              <w:spacing w:line="360" w:lineRule="auto"/>
              <w:jc w:val="center"/>
              <w:rPr>
                <w:rFonts w:ascii="宋体" w:hAnsi="宋体"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5A6B0C0B">
            <w:pPr>
              <w:spacing w:line="360" w:lineRule="auto"/>
              <w:jc w:val="center"/>
              <w:rPr>
                <w:rFonts w:ascii="宋体" w:hAnsi="宋体" w:cs="仿宋_GB2312"/>
                <w:color w:val="auto"/>
                <w:sz w:val="24"/>
                <w:highlight w:val="none"/>
              </w:rPr>
            </w:pPr>
          </w:p>
        </w:tc>
        <w:tc>
          <w:tcPr>
            <w:tcW w:w="1395" w:type="dxa"/>
            <w:tcBorders>
              <w:top w:val="single" w:color="auto" w:sz="4" w:space="0"/>
              <w:left w:val="single" w:color="auto" w:sz="4" w:space="0"/>
              <w:bottom w:val="single" w:color="auto" w:sz="4" w:space="0"/>
              <w:right w:val="single" w:color="auto" w:sz="4" w:space="0"/>
            </w:tcBorders>
            <w:vAlign w:val="center"/>
          </w:tcPr>
          <w:p w14:paraId="57B9F469">
            <w:pPr>
              <w:spacing w:line="360" w:lineRule="auto"/>
              <w:jc w:val="center"/>
              <w:rPr>
                <w:rFonts w:ascii="宋体" w:hAnsi="宋体" w:cs="仿宋_GB2312"/>
                <w:color w:val="auto"/>
                <w:sz w:val="24"/>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13E24800">
            <w:pPr>
              <w:spacing w:line="360" w:lineRule="auto"/>
              <w:jc w:val="center"/>
              <w:rPr>
                <w:rFonts w:ascii="宋体" w:hAnsi="宋体" w:cs="仿宋_GB2312"/>
                <w:color w:val="auto"/>
                <w:sz w:val="24"/>
                <w:highlight w:val="none"/>
              </w:rPr>
            </w:pPr>
          </w:p>
        </w:tc>
      </w:tr>
      <w:tr w14:paraId="5EC2C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14:paraId="33B6794A">
            <w:pPr>
              <w:spacing w:line="360" w:lineRule="auto"/>
              <w:jc w:val="center"/>
              <w:rPr>
                <w:rFonts w:ascii="宋体" w:hAnsi="宋体" w:cs="仿宋_GB2312"/>
                <w:color w:val="auto"/>
                <w:sz w:val="24"/>
                <w:highlight w:val="none"/>
              </w:rPr>
            </w:pPr>
            <w:r>
              <w:rPr>
                <w:rFonts w:hint="eastAsia" w:ascii="宋体" w:hAnsi="宋体" w:cs="仿宋_GB2312"/>
                <w:color w:val="auto"/>
                <w:sz w:val="24"/>
                <w:highlight w:val="none"/>
              </w:rPr>
              <w:t>…</w:t>
            </w:r>
          </w:p>
        </w:tc>
        <w:tc>
          <w:tcPr>
            <w:tcW w:w="1065" w:type="dxa"/>
            <w:tcBorders>
              <w:top w:val="single" w:color="auto" w:sz="4" w:space="0"/>
              <w:left w:val="single" w:color="auto" w:sz="4" w:space="0"/>
              <w:bottom w:val="single" w:color="auto" w:sz="4" w:space="0"/>
              <w:right w:val="single" w:color="auto" w:sz="4" w:space="0"/>
            </w:tcBorders>
            <w:vAlign w:val="center"/>
          </w:tcPr>
          <w:p w14:paraId="7A57D370">
            <w:pPr>
              <w:spacing w:line="360" w:lineRule="auto"/>
              <w:jc w:val="center"/>
              <w:rPr>
                <w:rFonts w:ascii="宋体" w:hAnsi="宋体" w:cs="仿宋_GB2312"/>
                <w:color w:val="auto"/>
                <w:sz w:val="24"/>
                <w:highlight w:val="none"/>
              </w:rPr>
            </w:pPr>
            <w:r>
              <w:rPr>
                <w:rFonts w:hint="eastAsia" w:ascii="宋体" w:hAnsi="宋体" w:cs="仿宋_GB2312"/>
                <w:color w:val="auto"/>
                <w:sz w:val="24"/>
                <w:highlight w:val="none"/>
              </w:rPr>
              <w:t>……</w:t>
            </w:r>
          </w:p>
        </w:tc>
        <w:tc>
          <w:tcPr>
            <w:tcW w:w="1005" w:type="dxa"/>
            <w:tcBorders>
              <w:top w:val="single" w:color="auto" w:sz="4" w:space="0"/>
              <w:left w:val="single" w:color="auto" w:sz="4" w:space="0"/>
              <w:bottom w:val="single" w:color="auto" w:sz="4" w:space="0"/>
              <w:right w:val="single" w:color="auto" w:sz="4" w:space="0"/>
            </w:tcBorders>
            <w:vAlign w:val="center"/>
          </w:tcPr>
          <w:p w14:paraId="16575B70">
            <w:pPr>
              <w:spacing w:line="360" w:lineRule="auto"/>
              <w:jc w:val="center"/>
              <w:rPr>
                <w:rFonts w:ascii="宋体" w:hAnsi="宋体" w:cs="仿宋_GB2312"/>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vAlign w:val="center"/>
          </w:tcPr>
          <w:p w14:paraId="305B92F5">
            <w:pPr>
              <w:spacing w:line="360" w:lineRule="auto"/>
              <w:jc w:val="center"/>
              <w:rPr>
                <w:rFonts w:ascii="宋体" w:hAnsi="宋体" w:cs="仿宋_GB2312"/>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14:paraId="44218E7B">
            <w:pPr>
              <w:spacing w:line="360" w:lineRule="auto"/>
              <w:jc w:val="center"/>
              <w:rPr>
                <w:rFonts w:ascii="宋体" w:hAnsi="宋体" w:cs="仿宋_GB2312"/>
                <w:color w:val="auto"/>
                <w:sz w:val="24"/>
                <w:highlight w:val="none"/>
              </w:rPr>
            </w:pPr>
          </w:p>
        </w:tc>
        <w:tc>
          <w:tcPr>
            <w:tcW w:w="1200" w:type="dxa"/>
            <w:tcBorders>
              <w:top w:val="single" w:color="auto" w:sz="4" w:space="0"/>
              <w:left w:val="single" w:color="auto" w:sz="4" w:space="0"/>
              <w:bottom w:val="single" w:color="auto" w:sz="4" w:space="0"/>
              <w:right w:val="single" w:color="auto" w:sz="4" w:space="0"/>
            </w:tcBorders>
            <w:vAlign w:val="center"/>
          </w:tcPr>
          <w:p w14:paraId="5663D77A">
            <w:pPr>
              <w:spacing w:line="360" w:lineRule="auto"/>
              <w:jc w:val="center"/>
              <w:rPr>
                <w:rFonts w:ascii="宋体" w:hAnsi="宋体"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4F4E5882">
            <w:pPr>
              <w:spacing w:line="360" w:lineRule="auto"/>
              <w:jc w:val="center"/>
              <w:rPr>
                <w:rFonts w:ascii="宋体" w:hAnsi="宋体"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0BA6505E">
            <w:pPr>
              <w:spacing w:line="360" w:lineRule="auto"/>
              <w:jc w:val="center"/>
              <w:rPr>
                <w:rFonts w:ascii="宋体" w:hAnsi="宋体" w:cs="仿宋_GB2312"/>
                <w:color w:val="auto"/>
                <w:sz w:val="24"/>
                <w:highlight w:val="none"/>
              </w:rPr>
            </w:pPr>
          </w:p>
        </w:tc>
        <w:tc>
          <w:tcPr>
            <w:tcW w:w="1395" w:type="dxa"/>
            <w:tcBorders>
              <w:top w:val="single" w:color="auto" w:sz="4" w:space="0"/>
              <w:left w:val="single" w:color="auto" w:sz="4" w:space="0"/>
              <w:bottom w:val="single" w:color="auto" w:sz="4" w:space="0"/>
              <w:right w:val="single" w:color="auto" w:sz="4" w:space="0"/>
            </w:tcBorders>
            <w:vAlign w:val="center"/>
          </w:tcPr>
          <w:p w14:paraId="0665D129">
            <w:pPr>
              <w:spacing w:line="360" w:lineRule="auto"/>
              <w:jc w:val="center"/>
              <w:rPr>
                <w:rFonts w:ascii="宋体" w:hAnsi="宋体" w:cs="仿宋_GB2312"/>
                <w:color w:val="auto"/>
                <w:sz w:val="24"/>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0B15CF6A">
            <w:pPr>
              <w:spacing w:line="360" w:lineRule="auto"/>
              <w:jc w:val="center"/>
              <w:rPr>
                <w:rFonts w:ascii="宋体" w:hAnsi="宋体" w:cs="仿宋_GB2312"/>
                <w:color w:val="auto"/>
                <w:sz w:val="24"/>
                <w:highlight w:val="none"/>
              </w:rPr>
            </w:pPr>
          </w:p>
        </w:tc>
      </w:tr>
      <w:tr w14:paraId="2B146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257" w:type="dxa"/>
            <w:gridSpan w:val="10"/>
            <w:tcBorders>
              <w:top w:val="single" w:color="auto" w:sz="4" w:space="0"/>
              <w:left w:val="single" w:color="auto" w:sz="4" w:space="0"/>
              <w:bottom w:val="single" w:color="auto" w:sz="4" w:space="0"/>
              <w:right w:val="single" w:color="auto" w:sz="4" w:space="0"/>
            </w:tcBorders>
          </w:tcPr>
          <w:p w14:paraId="726014CF">
            <w:pPr>
              <w:spacing w:before="50" w:after="50" w:line="360" w:lineRule="auto"/>
              <w:rPr>
                <w:rFonts w:ascii="宋体" w:hAnsi="宋体" w:cs="仿宋_GB2312"/>
                <w:color w:val="auto"/>
                <w:sz w:val="24"/>
                <w:highlight w:val="none"/>
              </w:rPr>
            </w:pPr>
            <w:r>
              <w:rPr>
                <w:rFonts w:hint="eastAsia" w:ascii="宋体" w:hAnsi="宋体" w:cs="仿宋_GB2312"/>
                <w:color w:val="auto"/>
                <w:sz w:val="24"/>
                <w:highlight w:val="none"/>
              </w:rPr>
              <w:t>合计金额大写：人民币</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p w14:paraId="6B0B49A0">
            <w:pPr>
              <w:spacing w:before="50" w:after="50" w:line="360" w:lineRule="auto"/>
              <w:rPr>
                <w:rFonts w:ascii="宋体" w:hAnsi="宋体" w:cs="仿宋_GB2312"/>
                <w:color w:val="auto"/>
                <w:sz w:val="24"/>
                <w:highlight w:val="none"/>
                <w:u w:val="single"/>
              </w:rPr>
            </w:pPr>
            <w:r>
              <w:rPr>
                <w:rFonts w:hint="eastAsia" w:ascii="宋体" w:hAnsi="宋体" w:cs="仿宋_GB2312"/>
                <w:color w:val="auto"/>
                <w:sz w:val="24"/>
                <w:highlight w:val="none"/>
                <w:u w:val="single"/>
              </w:rPr>
              <w:t>竞标货物中，属于优先采购节能产品总值为￥       （具体明细详见附表，附表格式自拟），占本竞标报价的比例为    %；属于优先采购环境标志产品总值为￥          （具体明细详见附表，附表格式自拟），占本竞标报价的比例为   %。</w:t>
            </w:r>
          </w:p>
        </w:tc>
      </w:tr>
    </w:tbl>
    <w:p w14:paraId="4894373C">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 xml:space="preserve">注： </w:t>
      </w:r>
    </w:p>
    <w:p w14:paraId="7917C6DE">
      <w:pPr>
        <w:spacing w:line="360" w:lineRule="auto"/>
        <w:ind w:firstLine="480"/>
        <w:contextualSpacing/>
        <w:jc w:val="left"/>
        <w:rPr>
          <w:rFonts w:ascii="宋体" w:hAnsi="宋体" w:cs="仿宋_GB2312"/>
          <w:color w:val="auto"/>
          <w:sz w:val="24"/>
          <w:highlight w:val="none"/>
        </w:rPr>
      </w:pPr>
      <w:r>
        <w:rPr>
          <w:rFonts w:hint="eastAsia" w:ascii="宋体" w:hAnsi="宋体" w:cs="仿宋_GB2312"/>
          <w:color w:val="auto"/>
          <w:sz w:val="24"/>
          <w:highlight w:val="none"/>
        </w:rPr>
        <w:t>1</w:t>
      </w:r>
      <w:r>
        <w:rPr>
          <w:rFonts w:ascii="宋体" w:hAnsi="宋体" w:cs="仿宋_GB2312"/>
          <w:color w:val="auto"/>
          <w:sz w:val="24"/>
          <w:highlight w:val="none"/>
        </w:rPr>
        <w:t>.</w:t>
      </w:r>
      <w:r>
        <w:rPr>
          <w:rFonts w:hint="eastAsia" w:ascii="宋体" w:hAnsi="宋体"/>
          <w:color w:val="auto"/>
          <w:sz w:val="24"/>
          <w:highlight w:val="none"/>
        </w:rPr>
        <w:t xml:space="preserve"> 以上竞标报价表中“标的名称、数量及单位、品牌、规格型号、制造商、原产地”必须如实填写完整，品牌、规格型号没有则填无，填写有缺漏</w:t>
      </w:r>
      <w:r>
        <w:rPr>
          <w:rFonts w:hint="eastAsia" w:ascii="宋体" w:hAnsi="宋体"/>
          <w:bCs/>
          <w:color w:val="auto"/>
          <w:sz w:val="24"/>
          <w:highlight w:val="none"/>
        </w:rPr>
        <w:t>的，</w:t>
      </w:r>
      <w:r>
        <w:rPr>
          <w:rFonts w:hint="eastAsia" w:ascii="宋体" w:hAnsi="宋体" w:cs="仿宋_GB2312"/>
          <w:b/>
          <w:color w:val="auto"/>
          <w:sz w:val="24"/>
          <w:highlight w:val="none"/>
        </w:rPr>
        <w:t>其响应文件按无效处理</w:t>
      </w:r>
      <w:r>
        <w:rPr>
          <w:rFonts w:hint="eastAsia" w:ascii="宋体" w:hAnsi="宋体"/>
          <w:b/>
          <w:color w:val="auto"/>
          <w:sz w:val="24"/>
          <w:highlight w:val="none"/>
        </w:rPr>
        <w:t>。</w:t>
      </w:r>
    </w:p>
    <w:p w14:paraId="20353D31">
      <w:pPr>
        <w:spacing w:line="360" w:lineRule="auto"/>
        <w:ind w:firstLine="480"/>
        <w:contextualSpacing/>
        <w:jc w:val="left"/>
        <w:rPr>
          <w:rFonts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35795519">
      <w:pPr>
        <w:spacing w:line="360" w:lineRule="auto"/>
        <w:ind w:firstLine="480"/>
        <w:contextualSpacing/>
        <w:jc w:val="left"/>
        <w:rPr>
          <w:rFonts w:ascii="宋体" w:hAnsi="宋体" w:cs="仿宋_GB2312"/>
          <w:b/>
          <w:color w:val="auto"/>
          <w:sz w:val="24"/>
          <w:highlight w:val="none"/>
        </w:rPr>
      </w:pPr>
      <w:r>
        <w:rPr>
          <w:rFonts w:ascii="宋体" w:hAnsi="宋体" w:cs="仿宋_GB2312"/>
          <w:bCs/>
          <w:color w:val="auto"/>
          <w:sz w:val="24"/>
          <w:highlight w:val="none"/>
        </w:rPr>
        <w:t>3</w:t>
      </w:r>
      <w:r>
        <w:rPr>
          <w:rFonts w:hint="eastAsia" w:ascii="宋体" w:hAnsi="宋体" w:cs="仿宋_GB2312"/>
          <w:bCs/>
          <w:color w:val="auto"/>
          <w:sz w:val="24"/>
          <w:highlight w:val="none"/>
        </w:rPr>
        <w:t>.</w:t>
      </w:r>
      <w:r>
        <w:rPr>
          <w:rFonts w:hint="eastAsia" w:ascii="宋体" w:hAnsi="宋体" w:cs="仿宋_GB2312"/>
          <w:color w:val="auto"/>
          <w:sz w:val="24"/>
          <w:highlight w:val="none"/>
        </w:rPr>
        <w:t>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0AC260D3">
      <w:pPr>
        <w:spacing w:line="360" w:lineRule="auto"/>
        <w:ind w:firstLine="480"/>
        <w:contextualSpacing/>
        <w:jc w:val="left"/>
        <w:rPr>
          <w:rFonts w:ascii="宋体" w:hAnsi="宋体" w:cs="仿宋_GB2312"/>
          <w:color w:val="auto"/>
          <w:sz w:val="24"/>
          <w:highlight w:val="none"/>
        </w:rPr>
      </w:pPr>
      <w:r>
        <w:rPr>
          <w:rFonts w:hint="eastAsia" w:ascii="宋体" w:hAnsi="宋体" w:cs="仿宋_GB2312"/>
          <w:color w:val="auto"/>
          <w:sz w:val="24"/>
          <w:highlight w:val="none"/>
        </w:rPr>
        <w:t>4.谈判文件中列明采购专用耗材的，应按谈判文件规定的耗材量或者按耗材的常规使用量提供报价。</w:t>
      </w:r>
    </w:p>
    <w:p w14:paraId="5E092FBB">
      <w:pPr>
        <w:spacing w:line="360" w:lineRule="auto"/>
        <w:ind w:firstLine="480"/>
        <w:contextualSpacing/>
        <w:jc w:val="left"/>
        <w:rPr>
          <w:rFonts w:ascii="宋体" w:hAnsi="宋体" w:cs="仿宋_GB2312"/>
          <w:b/>
          <w:color w:val="auto"/>
          <w:spacing w:val="-6"/>
          <w:sz w:val="24"/>
          <w:highlight w:val="none"/>
        </w:rPr>
      </w:pPr>
      <w:r>
        <w:rPr>
          <w:rFonts w:hint="eastAsia" w:ascii="宋体" w:hAnsi="宋体" w:cs="仿宋_GB2312"/>
          <w:color w:val="auto"/>
          <w:sz w:val="24"/>
          <w:highlight w:val="none"/>
        </w:rPr>
        <w:t>5.</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否则其响应文件按无效处理。</w:t>
      </w:r>
    </w:p>
    <w:p w14:paraId="2178F1CD">
      <w:pPr>
        <w:spacing w:line="360" w:lineRule="auto"/>
        <w:ind w:firstLine="458"/>
        <w:contextualSpacing/>
        <w:jc w:val="left"/>
        <w:rPr>
          <w:rFonts w:ascii="宋体" w:hAnsi="宋体" w:cs="仿宋_GB2312"/>
          <w:b/>
          <w:color w:val="auto"/>
          <w:spacing w:val="-6"/>
          <w:sz w:val="24"/>
          <w:highlight w:val="none"/>
        </w:rPr>
      </w:pPr>
      <w:r>
        <w:rPr>
          <w:rFonts w:hint="eastAsia" w:ascii="宋体" w:hAnsi="宋体" w:cs="仿宋_GB2312"/>
          <w:b/>
          <w:color w:val="auto"/>
          <w:spacing w:val="-6"/>
          <w:sz w:val="24"/>
          <w:highlight w:val="none"/>
        </w:rPr>
        <w:t>6.供应商的最后报价与首次报价不一致的，不能只报竞标总报价，必须同时提供与最后报价相应的“竞标报价表”作为附件上传，否则做无效响应处理。</w:t>
      </w:r>
    </w:p>
    <w:p w14:paraId="37E10949">
      <w:pPr>
        <w:spacing w:line="360" w:lineRule="auto"/>
        <w:ind w:firstLine="458"/>
        <w:contextualSpacing/>
        <w:jc w:val="left"/>
        <w:rPr>
          <w:rFonts w:ascii="宋体" w:hAnsi="宋体" w:cs="仿宋_GB2312"/>
          <w:b/>
          <w:color w:val="auto"/>
          <w:spacing w:val="-6"/>
          <w:sz w:val="24"/>
          <w:highlight w:val="none"/>
        </w:rPr>
      </w:pPr>
      <w:r>
        <w:rPr>
          <w:rFonts w:hint="eastAsia" w:ascii="宋体" w:hAnsi="宋体" w:cs="仿宋_GB2312"/>
          <w:b/>
          <w:color w:val="auto"/>
          <w:spacing w:val="-6"/>
          <w:sz w:val="24"/>
          <w:highlight w:val="none"/>
        </w:rPr>
        <w:t>备注：具体报价明细供应商必须上传竞标报价附表，最后报价若改变原各单项报价，必须上传最后报价附表，否则竞标无效。</w:t>
      </w:r>
    </w:p>
    <w:p w14:paraId="4F2DF7C1">
      <w:pPr>
        <w:spacing w:line="360" w:lineRule="auto"/>
        <w:ind w:right="-817" w:firstLine="2640"/>
        <w:contextualSpacing/>
        <w:rPr>
          <w:rFonts w:ascii="宋体" w:hAnsi="宋体" w:cs="仿宋_GB2312"/>
          <w:color w:val="auto"/>
          <w:sz w:val="24"/>
          <w:highlight w:val="none"/>
        </w:rPr>
      </w:pPr>
    </w:p>
    <w:p w14:paraId="318696D5">
      <w:pPr>
        <w:spacing w:line="360" w:lineRule="auto"/>
        <w:ind w:right="-817" w:firstLine="2640"/>
        <w:contextualSpacing/>
        <w:rPr>
          <w:rFonts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13553C8D">
      <w:pPr>
        <w:spacing w:line="360" w:lineRule="auto"/>
        <w:ind w:right="-817" w:firstLine="264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4800B887">
      <w:pPr>
        <w:spacing w:line="360" w:lineRule="auto"/>
        <w:ind w:right="-817" w:firstLine="4080"/>
        <w:contextualSpacing/>
        <w:rPr>
          <w:rFonts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5EB3DB92">
      <w:pPr>
        <w:spacing w:line="520" w:lineRule="exact"/>
        <w:jc w:val="center"/>
        <w:rPr>
          <w:rFonts w:ascii="仿宋_GB2312" w:hAnsi="仿宋_GB2312" w:eastAsia="仿宋_GB2312" w:cs="仿宋_GB2312"/>
          <w:color w:val="auto"/>
          <w:sz w:val="32"/>
          <w:szCs w:val="32"/>
          <w:highlight w:val="none"/>
        </w:rPr>
      </w:pPr>
      <w:r>
        <w:rPr>
          <w:rFonts w:hint="eastAsia" w:ascii="宋体" w:hAnsi="Courier New"/>
          <w:b/>
          <w:color w:val="auto"/>
          <w:sz w:val="32"/>
          <w:szCs w:val="32"/>
          <w:highlight w:val="none"/>
        </w:rPr>
        <w:br w:type="page" w:clear="all"/>
      </w:r>
      <w:r>
        <w:rPr>
          <w:rFonts w:hint="eastAsia" w:ascii="宋体" w:hAnsi="Courier New"/>
          <w:b/>
          <w:color w:val="auto"/>
          <w:sz w:val="32"/>
          <w:szCs w:val="32"/>
          <w:highlight w:val="none"/>
        </w:rPr>
        <w:t>1.</w:t>
      </w:r>
      <w:r>
        <w:rPr>
          <w:rFonts w:hint="eastAsia" w:ascii="Arial Unicode MS" w:hAnsi="Arial Unicode MS" w:eastAsia="Arial Unicode MS" w:cs="Arial Unicode MS"/>
          <w:color w:val="auto"/>
          <w:sz w:val="44"/>
          <w:szCs w:val="44"/>
          <w:highlight w:val="none"/>
        </w:rPr>
        <w:t>无串通竞标行为的承诺函</w:t>
      </w:r>
    </w:p>
    <w:p w14:paraId="34FB69A6">
      <w:pPr>
        <w:spacing w:line="360" w:lineRule="auto"/>
        <w:ind w:firstLine="640"/>
        <w:contextualSpacing/>
        <w:rPr>
          <w:rFonts w:ascii="仿宋_GB2312" w:hAnsi="仿宋_GB2312" w:eastAsia="仿宋_GB2312" w:cs="仿宋_GB2312"/>
          <w:color w:val="auto"/>
          <w:sz w:val="32"/>
          <w:szCs w:val="32"/>
          <w:highlight w:val="none"/>
        </w:rPr>
      </w:pPr>
    </w:p>
    <w:p w14:paraId="2C10D794">
      <w:pPr>
        <w:spacing w:line="360" w:lineRule="auto"/>
        <w:ind w:firstLine="482"/>
        <w:contextualSpacing/>
        <w:rPr>
          <w:rFonts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1D2B0D2D">
      <w:pPr>
        <w:spacing w:line="360" w:lineRule="auto"/>
        <w:ind w:firstLine="480"/>
        <w:contextualSpacing/>
        <w:rPr>
          <w:rFonts w:ascii="宋体" w:hAnsi="宋体" w:cs="仿宋_GB2312"/>
          <w:color w:val="auto"/>
          <w:sz w:val="24"/>
          <w:highlight w:val="none"/>
        </w:rPr>
      </w:pPr>
      <w:r>
        <w:rPr>
          <w:rFonts w:ascii="宋体" w:hAnsi="宋体" w:cs="宋体"/>
          <w:color w:val="auto"/>
          <w:sz w:val="24"/>
          <w:highlight w:val="none"/>
        </w:rPr>
        <w:t>1.不同供应商的响应文件由同一单位或者个人编制；或者不同供应商报名的IP地址一致的；或者编制响应文件硬件设备 CPU 编号、硬盘编号、网卡地址一致的情况</w:t>
      </w:r>
      <w:r>
        <w:rPr>
          <w:rFonts w:hint="eastAsia" w:ascii="宋体" w:hAnsi="宋体" w:cs="仿宋_GB2312"/>
          <w:color w:val="auto"/>
          <w:sz w:val="24"/>
          <w:highlight w:val="none"/>
        </w:rPr>
        <w:t>；</w:t>
      </w:r>
    </w:p>
    <w:p w14:paraId="17A54AF8">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3B39DAD8">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3.不同的供应商的响应文件载明的项目管理员为同一个人；</w:t>
      </w:r>
    </w:p>
    <w:p w14:paraId="358D66A3">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0CA750B6">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09D01343">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6.不同供应商的竞标保证金从同一单位或者个人账户转出。</w:t>
      </w:r>
    </w:p>
    <w:p w14:paraId="0E7FAD36">
      <w:pPr>
        <w:spacing w:line="360" w:lineRule="auto"/>
        <w:ind w:firstLine="482"/>
        <w:contextualSpacing/>
        <w:rPr>
          <w:rFonts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5324A91D">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407895BA">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6D14D264">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52D82DA7">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4A5C4C17">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5.供应商之间事先约定一致抬高或者压低竞标报价，或者在竞争性谈判项目中事先约定轮流以高价位或者低价位成交，或者事先约定由某一特定供应商成交，然后再参加竞标；</w:t>
      </w:r>
    </w:p>
    <w:p w14:paraId="51DFE1D3">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14E742D5">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06FB9D6E">
      <w:pPr>
        <w:spacing w:line="360" w:lineRule="auto"/>
        <w:ind w:firstLine="480"/>
        <w:contextualSpacing/>
        <w:rPr>
          <w:rFonts w:ascii="宋体" w:hAnsi="宋体" w:cs="仿宋_GB2312"/>
          <w:color w:val="auto"/>
          <w:sz w:val="24"/>
          <w:highlight w:val="none"/>
        </w:rPr>
      </w:pPr>
    </w:p>
    <w:p w14:paraId="7DD33357">
      <w:pPr>
        <w:spacing w:line="360" w:lineRule="auto"/>
        <w:ind w:firstLine="482"/>
        <w:contextualSpacing/>
        <w:rPr>
          <w:rFonts w:ascii="宋体" w:hAnsi="宋体" w:cs="仿宋_GB2312"/>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2A657B28">
      <w:pPr>
        <w:spacing w:line="360" w:lineRule="auto"/>
        <w:ind w:firstLine="3600"/>
        <w:contextualSpacing/>
        <w:rPr>
          <w:rFonts w:ascii="宋体" w:hAnsi="宋体" w:cs="仿宋_GB2312"/>
          <w:color w:val="auto"/>
          <w:sz w:val="24"/>
          <w:highlight w:val="none"/>
        </w:rPr>
      </w:pPr>
      <w:r>
        <w:rPr>
          <w:rFonts w:hint="eastAsia" w:ascii="宋体" w:hAnsi="宋体" w:cs="仿宋_GB2312"/>
          <w:color w:val="auto"/>
          <w:sz w:val="24"/>
          <w:highlight w:val="none"/>
        </w:rPr>
        <w:t>供应商（电子签章）：</w:t>
      </w:r>
    </w:p>
    <w:p w14:paraId="12326C66">
      <w:pPr>
        <w:spacing w:line="360" w:lineRule="auto"/>
        <w:ind w:firstLine="480"/>
        <w:contextualSpacing/>
        <w:jc w:val="center"/>
        <w:rPr>
          <w:rFonts w:ascii="宋体" w:hAnsi="宋体" w:cs="仿宋_GB2312"/>
          <w:color w:val="auto"/>
          <w:sz w:val="24"/>
          <w:highlight w:val="none"/>
        </w:rPr>
      </w:pPr>
      <w:r>
        <w:rPr>
          <w:rFonts w:hint="eastAsia" w:ascii="宋体" w:hAnsi="宋体" w:cs="仿宋_GB2312"/>
          <w:color w:val="auto"/>
          <w:sz w:val="24"/>
          <w:highlight w:val="none"/>
        </w:rPr>
        <w:t xml:space="preserve">                               年   月   日</w:t>
      </w:r>
    </w:p>
    <w:p w14:paraId="337547BE">
      <w:pPr>
        <w:spacing w:line="360" w:lineRule="auto"/>
        <w:ind w:firstLine="640"/>
        <w:contextualSpacing/>
        <w:jc w:val="center"/>
        <w:rPr>
          <w:rFonts w:ascii="宋体" w:hAnsi="宋体" w:cs="仿宋_GB2312"/>
          <w:color w:val="auto"/>
          <w:sz w:val="32"/>
          <w:szCs w:val="32"/>
          <w:highlight w:val="none"/>
        </w:rPr>
      </w:pPr>
    </w:p>
    <w:p w14:paraId="354E10D3">
      <w:pPr>
        <w:spacing w:before="240" w:after="120" w:line="520" w:lineRule="exact"/>
        <w:ind w:left="540"/>
        <w:jc w:val="center"/>
        <w:rPr>
          <w:rFonts w:ascii="仿宋_GB2312" w:hAnsi="仿宋_GB2312" w:eastAsia="仿宋_GB2312" w:cs="仿宋_GB2312"/>
          <w:color w:val="auto"/>
          <w:sz w:val="32"/>
          <w:szCs w:val="32"/>
          <w:highlight w:val="none"/>
        </w:rPr>
      </w:pPr>
      <w:r>
        <w:rPr>
          <w:rFonts w:hint="eastAsia" w:ascii="Arial Unicode MS" w:hAnsi="Arial Unicode MS" w:eastAsia="Arial Unicode MS" w:cs="Arial Unicode MS"/>
          <w:bCs/>
          <w:color w:val="auto"/>
          <w:sz w:val="44"/>
          <w:szCs w:val="44"/>
          <w:highlight w:val="none"/>
        </w:rPr>
        <w:t>2.法定代表人证明书</w:t>
      </w:r>
    </w:p>
    <w:p w14:paraId="0EE84F77">
      <w:pPr>
        <w:spacing w:line="360" w:lineRule="auto"/>
        <w:ind w:left="540"/>
        <w:contextualSpacing/>
        <w:rPr>
          <w:rFonts w:ascii="仿宋_GB2312" w:hAnsi="仿宋_GB2312" w:eastAsia="仿宋_GB2312" w:cs="仿宋_GB2312"/>
          <w:color w:val="auto"/>
          <w:sz w:val="32"/>
          <w:szCs w:val="32"/>
          <w:highlight w:val="none"/>
        </w:rPr>
      </w:pPr>
    </w:p>
    <w:p w14:paraId="013D2F6C">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2350F5A3">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73EC38EB">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48507862">
      <w:pPr>
        <w:spacing w:line="360" w:lineRule="auto"/>
        <w:ind w:left="540"/>
        <w:contextualSpacing/>
        <w:rPr>
          <w:rFonts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52272423">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42A23911">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w:t>
      </w:r>
      <w:r>
        <w:rPr>
          <w:rFonts w:ascii="宋体" w:hAnsi="宋体" w:cs="仿宋_GB2312"/>
          <w:color w:val="auto"/>
          <w:sz w:val="24"/>
          <w:highlight w:val="none"/>
          <w:u w:val="single"/>
        </w:rPr>
        <w:t xml:space="preserve">   </w:t>
      </w:r>
      <w:r>
        <w:rPr>
          <w:rFonts w:hint="eastAsia" w:ascii="宋体" w:hAnsi="宋体" w:cs="仿宋_GB2312"/>
          <w:color w:val="auto"/>
          <w:sz w:val="24"/>
          <w:highlight w:val="none"/>
          <w:u w:val="single"/>
        </w:rPr>
        <w:t xml:space="preserve">（供应商名称） </w:t>
      </w:r>
      <w:r>
        <w:rPr>
          <w:rFonts w:ascii="宋体" w:hAnsi="宋体" w:cs="仿宋_GB2312"/>
          <w:color w:val="auto"/>
          <w:sz w:val="24"/>
          <w:highlight w:val="none"/>
          <w:u w:val="single"/>
        </w:rPr>
        <w:t xml:space="preserve">  </w:t>
      </w:r>
      <w:r>
        <w:rPr>
          <w:rFonts w:hint="eastAsia" w:ascii="宋体" w:hAnsi="宋体" w:cs="仿宋_GB2312"/>
          <w:color w:val="auto"/>
          <w:sz w:val="24"/>
          <w:highlight w:val="none"/>
        </w:rPr>
        <w:t>的法定代表人。</w:t>
      </w:r>
    </w:p>
    <w:p w14:paraId="64741FA9">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特此证明。</w:t>
      </w:r>
    </w:p>
    <w:p w14:paraId="55EF721B">
      <w:pPr>
        <w:spacing w:line="360" w:lineRule="auto"/>
        <w:ind w:left="540"/>
        <w:contextualSpacing/>
        <w:rPr>
          <w:rFonts w:ascii="宋体" w:hAnsi="宋体" w:cs="仿宋_GB2312"/>
          <w:color w:val="auto"/>
          <w:sz w:val="24"/>
          <w:highlight w:val="none"/>
        </w:rPr>
      </w:pPr>
    </w:p>
    <w:p w14:paraId="5DF95C3C">
      <w:pPr>
        <w:spacing w:line="360" w:lineRule="auto"/>
        <w:ind w:left="540"/>
        <w:contextualSpacing/>
        <w:rPr>
          <w:rFonts w:ascii="宋体" w:hAnsi="宋体" w:cs="仿宋_GB2312"/>
          <w:color w:val="auto"/>
          <w:sz w:val="24"/>
          <w:highlight w:val="none"/>
        </w:rPr>
      </w:pPr>
    </w:p>
    <w:p w14:paraId="42544F40">
      <w:pPr>
        <w:spacing w:line="360" w:lineRule="auto"/>
        <w:ind w:left="540"/>
        <w:contextualSpacing/>
        <w:rPr>
          <w:rFonts w:ascii="宋体" w:hAnsi="宋体" w:cs="仿宋_GB2312"/>
          <w:color w:val="auto"/>
          <w:sz w:val="24"/>
          <w:highlight w:val="none"/>
        </w:rPr>
      </w:pPr>
    </w:p>
    <w:p w14:paraId="377121D8">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0A2C1BE9">
      <w:pPr>
        <w:spacing w:line="360" w:lineRule="auto"/>
        <w:ind w:left="540"/>
        <w:contextualSpacing/>
        <w:rPr>
          <w:rFonts w:ascii="宋体" w:hAnsi="宋体" w:cs="仿宋_GB2312"/>
          <w:color w:val="auto"/>
          <w:sz w:val="24"/>
          <w:highlight w:val="none"/>
        </w:rPr>
      </w:pPr>
    </w:p>
    <w:p w14:paraId="59377536">
      <w:pPr>
        <w:spacing w:line="360" w:lineRule="auto"/>
        <w:ind w:left="540"/>
        <w:contextualSpacing/>
        <w:jc w:val="right"/>
        <w:rPr>
          <w:rFonts w:ascii="宋体" w:hAnsi="宋体" w:cs="仿宋_GB2312"/>
          <w:color w:val="auto"/>
          <w:sz w:val="24"/>
          <w:highlight w:val="none"/>
        </w:rPr>
      </w:pPr>
      <w:r>
        <w:rPr>
          <w:rFonts w:hint="eastAsia" w:ascii="宋体" w:hAnsi="宋体" w:cs="仿宋_GB2312"/>
          <w:color w:val="auto"/>
          <w:sz w:val="24"/>
          <w:highlight w:val="none"/>
        </w:rPr>
        <w:t>供应商（电子签章）：</w:t>
      </w:r>
      <w:r>
        <w:rPr>
          <w:rFonts w:hint="eastAsia" w:ascii="宋体" w:hAnsi="宋体" w:cs="仿宋_GB2312"/>
          <w:color w:val="auto"/>
          <w:sz w:val="24"/>
          <w:highlight w:val="none"/>
          <w:u w:val="single"/>
        </w:rPr>
        <w:t xml:space="preserve">               </w:t>
      </w:r>
    </w:p>
    <w:p w14:paraId="3F9881F7">
      <w:pPr>
        <w:spacing w:line="360" w:lineRule="auto"/>
        <w:ind w:firstLine="4080"/>
        <w:contextualSpacing/>
        <w:rPr>
          <w:rFonts w:ascii="宋体" w:hAnsi="宋体" w:cs="仿宋_GB2312"/>
          <w:color w:val="auto"/>
          <w:sz w:val="24"/>
          <w:highlight w:val="none"/>
        </w:rPr>
      </w:pP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月</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日</w:t>
      </w:r>
    </w:p>
    <w:p w14:paraId="58BEC967">
      <w:pPr>
        <w:spacing w:line="360" w:lineRule="auto"/>
        <w:contextualSpacing/>
        <w:jc w:val="center"/>
        <w:rPr>
          <w:rFonts w:ascii="宋体" w:hAnsi="宋体" w:cs="仿宋_GB2312"/>
          <w:b/>
          <w:color w:val="auto"/>
          <w:sz w:val="24"/>
          <w:highlight w:val="none"/>
        </w:rPr>
      </w:pPr>
    </w:p>
    <w:p w14:paraId="2A416B1B">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注：自然人竞标的无需提供，联合体竞标的只需牵头人出具。</w:t>
      </w:r>
    </w:p>
    <w:p w14:paraId="2AB6B9DC">
      <w:pPr>
        <w:spacing w:line="300" w:lineRule="auto"/>
        <w:jc w:val="left"/>
        <w:rPr>
          <w:rFonts w:ascii="宋体" w:hAnsi="宋体"/>
          <w:b/>
          <w:color w:val="auto"/>
          <w:szCs w:val="21"/>
          <w:highlight w:val="none"/>
        </w:rPr>
      </w:pPr>
    </w:p>
    <w:p w14:paraId="3F04F89A">
      <w:pPr>
        <w:spacing w:line="520" w:lineRule="exact"/>
        <w:jc w:val="center"/>
        <w:rPr>
          <w:rFonts w:ascii="Arial Unicode MS" w:hAnsi="Arial Unicode MS" w:eastAsia="Arial Unicode MS" w:cs="Arial Unicode MS"/>
          <w:color w:val="auto"/>
          <w:sz w:val="44"/>
          <w:szCs w:val="44"/>
          <w:highlight w:val="none"/>
        </w:rPr>
      </w:pPr>
      <w:r>
        <w:rPr>
          <w:rFonts w:hint="eastAsia" w:ascii="Arial Unicode MS" w:hAnsi="Arial Unicode MS" w:eastAsia="Arial Unicode MS" w:cs="Arial Unicode MS"/>
          <w:color w:val="auto"/>
          <w:sz w:val="44"/>
          <w:szCs w:val="44"/>
          <w:highlight w:val="none"/>
        </w:rPr>
        <w:br w:type="page" w:clear="all"/>
      </w:r>
      <w:r>
        <w:rPr>
          <w:rFonts w:hint="eastAsia" w:ascii="Arial Unicode MS" w:hAnsi="Arial Unicode MS" w:eastAsia="Arial Unicode MS" w:cs="Arial Unicode MS"/>
          <w:color w:val="auto"/>
          <w:sz w:val="44"/>
          <w:szCs w:val="44"/>
          <w:highlight w:val="none"/>
        </w:rPr>
        <w:t>3.授权委托书</w:t>
      </w:r>
    </w:p>
    <w:p w14:paraId="3CC1F0F4">
      <w:pPr>
        <w:spacing w:line="520" w:lineRule="exact"/>
        <w:jc w:val="center"/>
        <w:rPr>
          <w:rFonts w:ascii="Arial Unicode MS" w:hAnsi="Arial Unicode MS" w:eastAsia="Arial Unicode MS" w:cs="Arial Unicode MS"/>
          <w:color w:val="auto"/>
          <w:sz w:val="44"/>
          <w:szCs w:val="44"/>
          <w:highlight w:val="none"/>
        </w:rPr>
      </w:pPr>
      <w:r>
        <w:rPr>
          <w:rFonts w:hint="eastAsia" w:ascii="Arial Unicode MS" w:hAnsi="Arial Unicode MS" w:eastAsia="Arial Unicode MS" w:cs="Arial Unicode MS"/>
          <w:color w:val="auto"/>
          <w:sz w:val="44"/>
          <w:szCs w:val="44"/>
          <w:highlight w:val="none"/>
        </w:rPr>
        <w:t>（非联合体竞标格式）</w:t>
      </w:r>
    </w:p>
    <w:p w14:paraId="7745A5A4">
      <w:pPr>
        <w:spacing w:line="520" w:lineRule="exact"/>
        <w:jc w:val="center"/>
        <w:rPr>
          <w:rFonts w:ascii="Arial Unicode MS" w:hAnsi="Arial Unicode MS" w:eastAsia="Arial Unicode MS" w:cs="Arial Unicode MS"/>
          <w:color w:val="auto"/>
          <w:sz w:val="44"/>
          <w:szCs w:val="44"/>
          <w:highlight w:val="none"/>
        </w:rPr>
      </w:pPr>
      <w:r>
        <w:rPr>
          <w:rFonts w:hint="eastAsia" w:ascii="Arial Unicode MS" w:hAnsi="Arial Unicode MS" w:eastAsia="Arial Unicode MS" w:cs="Arial Unicode MS"/>
          <w:color w:val="auto"/>
          <w:sz w:val="44"/>
          <w:szCs w:val="44"/>
          <w:highlight w:val="none"/>
        </w:rPr>
        <w:t>（如有委托时）</w:t>
      </w:r>
    </w:p>
    <w:p w14:paraId="45F07F16">
      <w:pPr>
        <w:spacing w:line="360" w:lineRule="auto"/>
        <w:contextualSpacing/>
        <w:rPr>
          <w:rFonts w:ascii="仿宋_GB2312" w:hAnsi="仿宋_GB2312" w:eastAsia="仿宋_GB2312" w:cs="仿宋_GB2312"/>
          <w:color w:val="auto"/>
          <w:sz w:val="32"/>
          <w:szCs w:val="32"/>
          <w:highlight w:val="none"/>
        </w:rPr>
      </w:pPr>
    </w:p>
    <w:p w14:paraId="3648483C">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0E07E617">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ascii="Wingdings 2" w:hAnsi="Wingdings 2" w:eastAsia="Wingdings 2" w:cs="Wingdings 2"/>
          <w:color w:val="auto"/>
          <w:sz w:val="24"/>
          <w:highlight w:val="none"/>
          <w:u w:val="single"/>
        </w:rPr>
        <w:t></w:t>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6012ADFC">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47A98E23">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4EBEBCA4">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0657B6F3">
      <w:pPr>
        <w:spacing w:line="360" w:lineRule="auto"/>
        <w:ind w:firstLine="480"/>
        <w:contextualSpacing/>
        <w:rPr>
          <w:rFonts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6E1233CF">
      <w:pPr>
        <w:spacing w:line="360" w:lineRule="auto"/>
        <w:contextualSpacing/>
        <w:rPr>
          <w:rFonts w:ascii="宋体" w:hAnsi="宋体" w:cs="仿宋_GB2312"/>
          <w:color w:val="auto"/>
          <w:sz w:val="24"/>
          <w:highlight w:val="none"/>
        </w:rPr>
      </w:pPr>
    </w:p>
    <w:p w14:paraId="4B5A7A7E">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法定代表人（签字或者盖章或者电子签名）：                    </w:t>
      </w:r>
    </w:p>
    <w:p w14:paraId="691A1BFF">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29B0F8E1">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w:t>
      </w:r>
    </w:p>
    <w:p w14:paraId="05489128">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4BF54E99">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年    月    日</w:t>
      </w:r>
    </w:p>
    <w:p w14:paraId="1CD51DB9">
      <w:pPr>
        <w:spacing w:line="360" w:lineRule="auto"/>
        <w:contextualSpacing/>
        <w:rPr>
          <w:rFonts w:ascii="宋体" w:hAnsi="宋体" w:cs="仿宋_GB2312"/>
          <w:color w:val="auto"/>
          <w:sz w:val="24"/>
          <w:highlight w:val="none"/>
        </w:rPr>
      </w:pPr>
    </w:p>
    <w:p w14:paraId="36E20964">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188F0A3C">
      <w:pPr>
        <w:spacing w:line="360" w:lineRule="auto"/>
        <w:ind w:firstLine="480"/>
        <w:contextualSpacing/>
        <w:jc w:val="left"/>
        <w:rPr>
          <w:rFonts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法人、其他组织竞标时“我方”是指“我单位”，自然人竞标时“我方”是指“本人”。</w:t>
      </w:r>
    </w:p>
    <w:p w14:paraId="42886F85">
      <w:pPr>
        <w:spacing w:line="360" w:lineRule="auto"/>
        <w:ind w:firstLine="420"/>
        <w:contextualSpacing/>
        <w:jc w:val="left"/>
        <w:rPr>
          <w:rFonts w:ascii="仿宋_GB2312" w:hAnsi="仿宋_GB2312" w:eastAsia="仿宋_GB2312" w:cs="仿宋_GB2312"/>
          <w:color w:val="auto"/>
          <w:szCs w:val="21"/>
          <w:highlight w:val="none"/>
        </w:rPr>
      </w:pPr>
    </w:p>
    <w:p w14:paraId="072B2559">
      <w:pPr>
        <w:spacing w:line="500" w:lineRule="exact"/>
        <w:ind w:left="142"/>
        <w:rPr>
          <w:rFonts w:ascii="Arial Unicode MS" w:hAnsi="Arial Unicode MS" w:eastAsia="Arial Unicode MS" w:cs="Arial Unicode MS"/>
          <w:bCs/>
          <w:color w:val="auto"/>
          <w:sz w:val="44"/>
          <w:szCs w:val="44"/>
          <w:highlight w:val="none"/>
        </w:rPr>
      </w:pPr>
      <w:r>
        <w:rPr>
          <w:rFonts w:ascii="仿宋_GB2312" w:hAnsi="仿宋_GB2312" w:eastAsia="仿宋_GB2312" w:cs="仿宋_GB2312"/>
          <w:color w:val="auto"/>
          <w:szCs w:val="21"/>
          <w:highlight w:val="none"/>
        </w:rPr>
        <w:br w:type="page" w:clear="all"/>
      </w:r>
      <w:r>
        <w:rPr>
          <w:rFonts w:hint="eastAsia" w:ascii="Arial Unicode MS" w:hAnsi="Arial Unicode MS" w:eastAsia="Arial Unicode MS" w:cs="Arial Unicode MS"/>
          <w:bCs/>
          <w:color w:val="auto"/>
          <w:sz w:val="44"/>
          <w:szCs w:val="44"/>
          <w:highlight w:val="none"/>
        </w:rPr>
        <w:t>4.商务要求偏离表格式</w:t>
      </w:r>
    </w:p>
    <w:p w14:paraId="1D448D9E">
      <w:pPr>
        <w:spacing w:line="500" w:lineRule="exact"/>
        <w:jc w:val="center"/>
        <w:rPr>
          <w:rFonts w:ascii="宋体" w:hAnsi="宋体"/>
          <w:b/>
          <w:color w:val="auto"/>
          <w:sz w:val="32"/>
          <w:szCs w:val="32"/>
          <w:highlight w:val="none"/>
        </w:rPr>
      </w:pPr>
      <w:r>
        <w:rPr>
          <w:rFonts w:hint="eastAsia" w:ascii="Arial Unicode MS" w:hAnsi="Arial Unicode MS" w:eastAsia="Arial Unicode MS" w:cs="Arial Unicode MS"/>
          <w:bCs/>
          <w:color w:val="auto"/>
          <w:sz w:val="44"/>
          <w:szCs w:val="44"/>
          <w:highlight w:val="none"/>
        </w:rPr>
        <w:t>（注：按采购需求具体条款修改）</w:t>
      </w:r>
    </w:p>
    <w:p w14:paraId="69F9A868">
      <w:pPr>
        <w:spacing w:before="50"/>
        <w:jc w:val="left"/>
        <w:rPr>
          <w:rFonts w:ascii="宋体" w:hAnsi="宋体"/>
          <w:color w:val="auto"/>
          <w:sz w:val="24"/>
          <w:highlight w:val="none"/>
        </w:rPr>
      </w:pPr>
    </w:p>
    <w:p w14:paraId="29BE9EF6">
      <w:pPr>
        <w:pStyle w:val="19"/>
        <w:spacing w:line="360" w:lineRule="auto"/>
        <w:rPr>
          <w:rFonts w:hAnsi="宋体" w:cs="仿宋_GB2312"/>
          <w:color w:val="auto"/>
          <w:sz w:val="24"/>
          <w:szCs w:val="24"/>
          <w:highlight w:val="none"/>
        </w:rPr>
      </w:pPr>
      <w:r>
        <w:rPr>
          <w:rFonts w:hint="eastAsia" w:hAnsi="宋体" w:cs="仿宋_GB2312"/>
          <w:color w:val="auto"/>
          <w:sz w:val="24"/>
          <w:szCs w:val="24"/>
          <w:highlight w:val="none"/>
        </w:rPr>
        <w:t>所竞分标：</w:t>
      </w:r>
      <w:r>
        <w:rPr>
          <w:rFonts w:hint="eastAsia" w:hAnsi="宋体" w:cs="仿宋_GB2312"/>
          <w:color w:val="auto"/>
          <w:sz w:val="24"/>
          <w:szCs w:val="24"/>
          <w:highlight w:val="none"/>
          <w:u w:val="single"/>
        </w:rPr>
        <w:t xml:space="preserve">              </w:t>
      </w:r>
    </w:p>
    <w:tbl>
      <w:tblPr>
        <w:tblStyle w:val="40"/>
        <w:tblpPr w:leftFromText="180" w:rightFromText="180" w:vertAnchor="text" w:horzAnchor="margin" w:tblpY="311"/>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0952A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14:paraId="10E4FC8A">
            <w:pPr>
              <w:spacing w:before="12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3BB90450">
            <w:pPr>
              <w:spacing w:before="12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vAlign w:val="center"/>
          </w:tcPr>
          <w:p w14:paraId="43E74428">
            <w:pPr>
              <w:spacing w:before="12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vAlign w:val="center"/>
          </w:tcPr>
          <w:p w14:paraId="1A2E9D3B">
            <w:pPr>
              <w:spacing w:before="12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偏离说明</w:t>
            </w:r>
          </w:p>
        </w:tc>
      </w:tr>
      <w:tr w14:paraId="5B03D0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178" w:type="dxa"/>
            <w:tcBorders>
              <w:top w:val="single" w:color="auto" w:sz="4" w:space="0"/>
              <w:left w:val="single" w:color="auto" w:sz="4" w:space="0"/>
              <w:bottom w:val="single" w:color="auto" w:sz="4" w:space="0"/>
              <w:right w:val="single" w:color="auto" w:sz="4" w:space="0"/>
            </w:tcBorders>
            <w:vAlign w:val="center"/>
          </w:tcPr>
          <w:p w14:paraId="43C6F7DD">
            <w:pPr>
              <w:jc w:val="center"/>
              <w:rPr>
                <w:rFonts w:ascii="宋体" w:hAnsi="宋体"/>
                <w:color w:val="auto"/>
                <w:sz w:val="24"/>
                <w:highlight w:val="none"/>
              </w:rPr>
            </w:pPr>
            <w:r>
              <w:rPr>
                <w:rFonts w:hint="eastAsia" w:ascii="宋体" w:hAnsi="宋体"/>
                <w:color w:val="auto"/>
                <w:sz w:val="24"/>
                <w:highlight w:val="none"/>
              </w:rPr>
              <w:t>交付（实施）的时间（期限）和地点（范围）</w:t>
            </w:r>
          </w:p>
        </w:tc>
        <w:tc>
          <w:tcPr>
            <w:tcW w:w="2668" w:type="dxa"/>
            <w:tcBorders>
              <w:top w:val="single" w:color="auto" w:sz="4" w:space="0"/>
              <w:left w:val="single" w:color="auto" w:sz="4" w:space="0"/>
              <w:bottom w:val="single" w:color="auto" w:sz="4" w:space="0"/>
              <w:right w:val="single" w:color="auto" w:sz="4" w:space="0"/>
            </w:tcBorders>
            <w:vAlign w:val="center"/>
          </w:tcPr>
          <w:p w14:paraId="431FAF14">
            <w:pPr>
              <w:jc w:val="center"/>
              <w:rPr>
                <w:rFonts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318C6B48">
            <w:pPr>
              <w:spacing w:before="120" w:line="360" w:lineRule="auto"/>
              <w:jc w:val="center"/>
              <w:rPr>
                <w:rFonts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72FC7AE6">
            <w:pPr>
              <w:spacing w:before="120" w:line="360" w:lineRule="auto"/>
              <w:jc w:val="center"/>
              <w:rPr>
                <w:rFonts w:ascii="宋体" w:hAnsi="宋体" w:cs="仿宋_GB2312"/>
                <w:color w:val="auto"/>
                <w:sz w:val="24"/>
                <w:highlight w:val="none"/>
              </w:rPr>
            </w:pPr>
          </w:p>
        </w:tc>
      </w:tr>
      <w:tr w14:paraId="73E6A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vAlign w:val="center"/>
          </w:tcPr>
          <w:p w14:paraId="3C59FE0C">
            <w:pPr>
              <w:jc w:val="center"/>
              <w:rPr>
                <w:rFonts w:ascii="宋体" w:hAnsi="宋体"/>
                <w:color w:val="auto"/>
                <w:sz w:val="24"/>
                <w:highlight w:val="none"/>
              </w:rPr>
            </w:pPr>
            <w:r>
              <w:rPr>
                <w:rFonts w:hint="eastAsia" w:ascii="宋体" w:hAnsi="宋体"/>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vAlign w:val="center"/>
          </w:tcPr>
          <w:p w14:paraId="6373EC6C">
            <w:pPr>
              <w:jc w:val="center"/>
              <w:rPr>
                <w:rFonts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7141D1CF">
            <w:pPr>
              <w:spacing w:before="120" w:line="360" w:lineRule="auto"/>
              <w:ind w:left="43"/>
              <w:jc w:val="center"/>
              <w:rPr>
                <w:rFonts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051AE598">
            <w:pPr>
              <w:spacing w:before="120" w:line="360" w:lineRule="auto"/>
              <w:ind w:left="43"/>
              <w:jc w:val="center"/>
              <w:rPr>
                <w:rFonts w:ascii="宋体" w:hAnsi="宋体" w:cs="仿宋_GB2312"/>
                <w:color w:val="auto"/>
                <w:sz w:val="24"/>
                <w:highlight w:val="none"/>
              </w:rPr>
            </w:pPr>
          </w:p>
        </w:tc>
      </w:tr>
      <w:tr w14:paraId="51EE14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2178" w:type="dxa"/>
            <w:tcBorders>
              <w:top w:val="single" w:color="auto" w:sz="4" w:space="0"/>
              <w:left w:val="single" w:color="auto" w:sz="4" w:space="0"/>
              <w:bottom w:val="single" w:color="auto" w:sz="4" w:space="0"/>
              <w:right w:val="single" w:color="auto" w:sz="4" w:space="0"/>
            </w:tcBorders>
            <w:vAlign w:val="center"/>
          </w:tcPr>
          <w:p w14:paraId="71C32F70">
            <w:pPr>
              <w:spacing w:before="12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vAlign w:val="center"/>
          </w:tcPr>
          <w:p w14:paraId="67FFDD16">
            <w:pPr>
              <w:spacing w:before="120" w:line="360" w:lineRule="auto"/>
              <w:jc w:val="center"/>
              <w:rPr>
                <w:rFonts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5DD18981">
            <w:pPr>
              <w:spacing w:before="120" w:line="360" w:lineRule="auto"/>
              <w:jc w:val="center"/>
              <w:rPr>
                <w:rFonts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4A950503">
            <w:pPr>
              <w:spacing w:before="120" w:line="360" w:lineRule="auto"/>
              <w:jc w:val="center"/>
              <w:rPr>
                <w:rFonts w:ascii="宋体" w:hAnsi="宋体" w:cs="仿宋_GB2312"/>
                <w:color w:val="auto"/>
                <w:sz w:val="24"/>
                <w:highlight w:val="none"/>
              </w:rPr>
            </w:pPr>
          </w:p>
        </w:tc>
      </w:tr>
    </w:tbl>
    <w:p w14:paraId="358955F2">
      <w:pPr>
        <w:pStyle w:val="16"/>
        <w:spacing w:after="0" w:line="360" w:lineRule="auto"/>
        <w:contextualSpacing/>
        <w:rPr>
          <w:rFonts w:ascii="宋体" w:hAnsi="宋体"/>
          <w:color w:val="auto"/>
          <w:sz w:val="24"/>
          <w:szCs w:val="24"/>
          <w:highlight w:val="none"/>
        </w:rPr>
      </w:pPr>
      <w:r>
        <w:rPr>
          <w:rFonts w:hint="eastAsia" w:ascii="宋体" w:hAnsi="宋体"/>
          <w:color w:val="auto"/>
          <w:sz w:val="24"/>
          <w:szCs w:val="24"/>
          <w:highlight w:val="none"/>
        </w:rPr>
        <w:t>注：</w:t>
      </w:r>
    </w:p>
    <w:p w14:paraId="70B2FCF4">
      <w:pPr>
        <w:pStyle w:val="16"/>
        <w:spacing w:after="0" w:line="360" w:lineRule="auto"/>
        <w:contextualSpacing/>
        <w:rPr>
          <w:rFonts w:ascii="宋体" w:hAnsi="宋体"/>
          <w:color w:val="auto"/>
          <w:sz w:val="24"/>
          <w:szCs w:val="24"/>
          <w:highlight w:val="none"/>
        </w:rPr>
      </w:pPr>
      <w:r>
        <w:rPr>
          <w:rFonts w:hint="eastAsia" w:ascii="宋体" w:hAnsi="宋体"/>
          <w:color w:val="auto"/>
          <w:sz w:val="24"/>
          <w:szCs w:val="24"/>
          <w:highlight w:val="none"/>
        </w:rPr>
        <w:t>1. 说明：应对照谈判文件“第三章 采购需求”中的商务要求逐条明确响应，并作出偏离说明。</w:t>
      </w:r>
    </w:p>
    <w:p w14:paraId="1D9F06E4">
      <w:pPr>
        <w:pStyle w:val="16"/>
        <w:spacing w:after="0" w:line="360" w:lineRule="auto"/>
        <w:contextualSpacing/>
        <w:rPr>
          <w:rFonts w:ascii="宋体" w:hAnsi="宋体"/>
          <w:color w:val="auto"/>
          <w:sz w:val="24"/>
          <w:szCs w:val="24"/>
          <w:highlight w:val="none"/>
        </w:rPr>
      </w:pPr>
      <w:r>
        <w:rPr>
          <w:rFonts w:hint="eastAsia" w:ascii="宋体" w:hAnsi="宋体"/>
          <w:color w:val="auto"/>
          <w:sz w:val="24"/>
          <w:szCs w:val="24"/>
          <w:highlight w:val="none"/>
        </w:rPr>
        <w:t>2.供应商应根据自身的承诺，对照谈判文件要求在“偏离说明”中注明“正偏离”“负偏离”或者“无偏离”。既不属于“正偏离”也不属于“负偏离”即为“无偏离”。</w:t>
      </w:r>
    </w:p>
    <w:p w14:paraId="78D8222E">
      <w:pPr>
        <w:spacing w:line="360" w:lineRule="auto"/>
        <w:contextualSpacing/>
        <w:jc w:val="left"/>
        <w:rPr>
          <w:rFonts w:ascii="宋体" w:hAnsi="宋体" w:cs="仿宋_GB2312"/>
          <w:color w:val="auto"/>
          <w:sz w:val="24"/>
          <w:highlight w:val="none"/>
          <w:u w:val="single"/>
        </w:rPr>
      </w:pPr>
    </w:p>
    <w:p w14:paraId="16A4383F">
      <w:pPr>
        <w:spacing w:line="360" w:lineRule="auto"/>
        <w:contextualSpacing/>
        <w:jc w:val="left"/>
        <w:rPr>
          <w:rFonts w:ascii="宋体" w:hAnsi="宋体" w:cs="仿宋_GB2312"/>
          <w:color w:val="auto"/>
          <w:sz w:val="24"/>
          <w:highlight w:val="none"/>
          <w:u w:val="single"/>
        </w:rPr>
      </w:pPr>
    </w:p>
    <w:p w14:paraId="350E9457">
      <w:pPr>
        <w:spacing w:line="360" w:lineRule="auto"/>
        <w:ind w:right="-817"/>
        <w:contextualSpacing/>
        <w:rPr>
          <w:rFonts w:ascii="宋体" w:hAnsi="宋体" w:cs="仿宋_GB2312"/>
          <w:color w:val="auto"/>
          <w:sz w:val="24"/>
          <w:highlight w:val="none"/>
        </w:rPr>
      </w:pPr>
    </w:p>
    <w:p w14:paraId="0B5DA414">
      <w:pPr>
        <w:spacing w:line="360" w:lineRule="auto"/>
        <w:ind w:right="-817"/>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226C37E8">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2CA9924E">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005E77B5">
      <w:pPr>
        <w:spacing w:line="520" w:lineRule="exact"/>
        <w:ind w:firstLine="7040"/>
        <w:jc w:val="center"/>
        <w:rPr>
          <w:rFonts w:ascii="Arial Unicode MS" w:hAnsi="Arial Unicode MS" w:eastAsia="Arial Unicode MS" w:cs="Arial Unicode MS"/>
          <w:bCs/>
          <w:color w:val="auto"/>
          <w:sz w:val="44"/>
          <w:szCs w:val="44"/>
          <w:highlight w:val="none"/>
        </w:rPr>
      </w:pPr>
    </w:p>
    <w:p w14:paraId="4323052A">
      <w:pPr>
        <w:spacing w:line="520" w:lineRule="exact"/>
        <w:jc w:val="center"/>
        <w:rPr>
          <w:rFonts w:ascii="宋体" w:hAnsi="宋体" w:cs="宋体"/>
          <w:color w:val="auto"/>
          <w:sz w:val="24"/>
          <w:highlight w:val="none"/>
        </w:rPr>
      </w:pPr>
      <w:r>
        <w:rPr>
          <w:rFonts w:ascii="Arial Unicode MS" w:hAnsi="Arial Unicode MS" w:eastAsia="Arial Unicode MS" w:cs="Arial Unicode MS"/>
          <w:bCs/>
          <w:color w:val="auto"/>
          <w:sz w:val="44"/>
          <w:szCs w:val="44"/>
          <w:highlight w:val="none"/>
        </w:rPr>
        <w:br w:type="page" w:clear="all"/>
      </w:r>
      <w:r>
        <w:rPr>
          <w:rFonts w:hint="eastAsia" w:ascii="Arial Unicode MS" w:hAnsi="Arial Unicode MS" w:eastAsia="Arial Unicode MS" w:cs="Arial Unicode MS"/>
          <w:bCs/>
          <w:color w:val="auto"/>
          <w:sz w:val="44"/>
          <w:szCs w:val="44"/>
          <w:highlight w:val="none"/>
        </w:rPr>
        <w:t>5.售后服务承诺 由竞标人按本项目竞争性谈判文件第三章“采购需求”中商务条款部分的售后服务要求自行填写，其中要包含售后服务承诺书。</w:t>
      </w:r>
    </w:p>
    <w:p w14:paraId="3189EEC2">
      <w:pPr>
        <w:spacing w:line="520" w:lineRule="exact"/>
        <w:ind w:left="120"/>
        <w:rPr>
          <w:rFonts w:ascii="宋体" w:hAnsi="宋体" w:cs="宋体"/>
          <w:color w:val="auto"/>
          <w:sz w:val="24"/>
          <w:highlight w:val="none"/>
        </w:rPr>
      </w:pPr>
    </w:p>
    <w:p w14:paraId="139949D1">
      <w:pPr>
        <w:spacing w:line="520" w:lineRule="exact"/>
        <w:ind w:left="120"/>
        <w:rPr>
          <w:rFonts w:ascii="宋体" w:hAnsi="宋体" w:cs="宋体"/>
          <w:color w:val="auto"/>
          <w:sz w:val="24"/>
          <w:highlight w:val="none"/>
        </w:rPr>
      </w:pPr>
    </w:p>
    <w:p w14:paraId="7AB19962">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0A56493A">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2B43FD07">
      <w:pPr>
        <w:spacing w:line="520" w:lineRule="exact"/>
        <w:ind w:left="120"/>
        <w:rPr>
          <w:rFonts w:ascii="Arial Unicode MS" w:hAnsi="Arial Unicode MS" w:eastAsia="Arial Unicode MS" w:cs="Arial Unicode MS"/>
          <w:bCs/>
          <w:color w:val="auto"/>
          <w:sz w:val="44"/>
          <w:szCs w:val="44"/>
          <w:highlight w:val="none"/>
        </w:rPr>
      </w:pPr>
    </w:p>
    <w:p w14:paraId="6A4ECFE7">
      <w:pPr>
        <w:spacing w:line="520" w:lineRule="exact"/>
        <w:ind w:left="120"/>
        <w:rPr>
          <w:rFonts w:ascii="Arial Unicode MS" w:hAnsi="Arial Unicode MS" w:eastAsia="Arial Unicode MS" w:cs="Arial Unicode MS"/>
          <w:bCs/>
          <w:color w:val="auto"/>
          <w:sz w:val="44"/>
          <w:szCs w:val="44"/>
          <w:highlight w:val="none"/>
        </w:rPr>
      </w:pPr>
    </w:p>
    <w:p w14:paraId="6C8AD35E">
      <w:pPr>
        <w:spacing w:line="520" w:lineRule="exact"/>
        <w:ind w:left="120"/>
        <w:rPr>
          <w:rFonts w:ascii="Arial Unicode MS" w:hAnsi="Arial Unicode MS" w:eastAsia="Arial Unicode MS" w:cs="Arial Unicode MS"/>
          <w:bCs/>
          <w:color w:val="auto"/>
          <w:sz w:val="44"/>
          <w:szCs w:val="44"/>
          <w:highlight w:val="none"/>
        </w:rPr>
      </w:pPr>
    </w:p>
    <w:p w14:paraId="24DBA00E">
      <w:pPr>
        <w:spacing w:line="520" w:lineRule="exact"/>
        <w:ind w:left="120"/>
        <w:rPr>
          <w:rFonts w:ascii="Arial Unicode MS" w:hAnsi="Arial Unicode MS" w:eastAsia="Arial Unicode MS" w:cs="Arial Unicode MS"/>
          <w:bCs/>
          <w:color w:val="auto"/>
          <w:sz w:val="44"/>
          <w:szCs w:val="44"/>
          <w:highlight w:val="none"/>
        </w:rPr>
      </w:pPr>
    </w:p>
    <w:p w14:paraId="189809F0">
      <w:pPr>
        <w:spacing w:line="520" w:lineRule="exact"/>
        <w:ind w:left="120"/>
        <w:rPr>
          <w:rFonts w:ascii="Arial Unicode MS" w:hAnsi="Arial Unicode MS" w:eastAsia="Arial Unicode MS" w:cs="Arial Unicode MS"/>
          <w:bCs/>
          <w:color w:val="auto"/>
          <w:sz w:val="44"/>
          <w:szCs w:val="44"/>
          <w:highlight w:val="none"/>
        </w:rPr>
      </w:pPr>
    </w:p>
    <w:p w14:paraId="1BC1EF4B">
      <w:pPr>
        <w:spacing w:line="520" w:lineRule="exact"/>
        <w:ind w:left="120"/>
        <w:rPr>
          <w:rFonts w:ascii="Arial Unicode MS" w:hAnsi="Arial Unicode MS" w:eastAsia="Arial Unicode MS" w:cs="Arial Unicode MS"/>
          <w:bCs/>
          <w:color w:val="auto"/>
          <w:sz w:val="44"/>
          <w:szCs w:val="44"/>
          <w:highlight w:val="none"/>
        </w:rPr>
      </w:pPr>
    </w:p>
    <w:p w14:paraId="7A05BF13">
      <w:pPr>
        <w:spacing w:line="520" w:lineRule="exact"/>
        <w:ind w:left="120"/>
        <w:rPr>
          <w:rFonts w:ascii="Arial Unicode MS" w:hAnsi="Arial Unicode MS" w:eastAsia="Arial Unicode MS" w:cs="Arial Unicode MS"/>
          <w:bCs/>
          <w:color w:val="auto"/>
          <w:sz w:val="44"/>
          <w:szCs w:val="44"/>
          <w:highlight w:val="none"/>
        </w:rPr>
      </w:pPr>
    </w:p>
    <w:p w14:paraId="498029E6">
      <w:pPr>
        <w:spacing w:line="520" w:lineRule="exact"/>
        <w:ind w:left="120"/>
        <w:rPr>
          <w:rFonts w:ascii="Arial Unicode MS" w:hAnsi="Arial Unicode MS" w:eastAsia="Arial Unicode MS" w:cs="Arial Unicode MS"/>
          <w:bCs/>
          <w:color w:val="auto"/>
          <w:sz w:val="44"/>
          <w:szCs w:val="44"/>
          <w:highlight w:val="none"/>
        </w:rPr>
      </w:pPr>
    </w:p>
    <w:p w14:paraId="54D428E8">
      <w:pPr>
        <w:spacing w:line="520" w:lineRule="exact"/>
        <w:ind w:left="120"/>
        <w:rPr>
          <w:rFonts w:ascii="Arial Unicode MS" w:hAnsi="Arial Unicode MS" w:eastAsia="Arial Unicode MS" w:cs="Arial Unicode MS"/>
          <w:bCs/>
          <w:color w:val="auto"/>
          <w:sz w:val="44"/>
          <w:szCs w:val="44"/>
          <w:highlight w:val="none"/>
        </w:rPr>
      </w:pPr>
    </w:p>
    <w:p w14:paraId="6A3229A4">
      <w:pPr>
        <w:spacing w:line="520" w:lineRule="exact"/>
        <w:ind w:left="120"/>
        <w:rPr>
          <w:rFonts w:ascii="Arial Unicode MS" w:hAnsi="Arial Unicode MS" w:eastAsia="Arial Unicode MS" w:cs="Arial Unicode MS"/>
          <w:bCs/>
          <w:color w:val="auto"/>
          <w:sz w:val="44"/>
          <w:szCs w:val="44"/>
          <w:highlight w:val="none"/>
        </w:rPr>
      </w:pPr>
    </w:p>
    <w:p w14:paraId="21745EDC">
      <w:pPr>
        <w:spacing w:line="520" w:lineRule="exact"/>
        <w:ind w:left="120"/>
        <w:rPr>
          <w:rFonts w:ascii="Arial Unicode MS" w:hAnsi="Arial Unicode MS" w:eastAsia="Arial Unicode MS" w:cs="Arial Unicode MS"/>
          <w:bCs/>
          <w:color w:val="auto"/>
          <w:sz w:val="44"/>
          <w:szCs w:val="44"/>
          <w:highlight w:val="none"/>
        </w:rPr>
      </w:pPr>
    </w:p>
    <w:p w14:paraId="0867CF14">
      <w:pPr>
        <w:spacing w:line="520" w:lineRule="exact"/>
        <w:ind w:left="120"/>
        <w:rPr>
          <w:rFonts w:ascii="Arial Unicode MS" w:hAnsi="Arial Unicode MS" w:eastAsia="Arial Unicode MS" w:cs="Arial Unicode MS"/>
          <w:bCs/>
          <w:color w:val="auto"/>
          <w:sz w:val="44"/>
          <w:szCs w:val="44"/>
          <w:highlight w:val="none"/>
        </w:rPr>
      </w:pPr>
    </w:p>
    <w:p w14:paraId="117FEBBD">
      <w:pPr>
        <w:spacing w:line="520" w:lineRule="exact"/>
        <w:ind w:left="120"/>
        <w:rPr>
          <w:rFonts w:ascii="Arial Unicode MS" w:hAnsi="Arial Unicode MS" w:eastAsia="Arial Unicode MS" w:cs="Arial Unicode MS"/>
          <w:bCs/>
          <w:color w:val="auto"/>
          <w:sz w:val="44"/>
          <w:szCs w:val="44"/>
          <w:highlight w:val="none"/>
        </w:rPr>
      </w:pPr>
    </w:p>
    <w:p w14:paraId="73837159">
      <w:pPr>
        <w:spacing w:line="520" w:lineRule="exact"/>
        <w:ind w:left="120"/>
        <w:rPr>
          <w:rFonts w:ascii="Arial Unicode MS" w:hAnsi="Arial Unicode MS" w:eastAsia="Arial Unicode MS" w:cs="Arial Unicode MS"/>
          <w:bCs/>
          <w:color w:val="auto"/>
          <w:sz w:val="44"/>
          <w:szCs w:val="44"/>
          <w:highlight w:val="none"/>
        </w:rPr>
      </w:pPr>
    </w:p>
    <w:p w14:paraId="14A04C4F">
      <w:pPr>
        <w:spacing w:line="520" w:lineRule="exact"/>
        <w:ind w:left="120"/>
        <w:rPr>
          <w:rFonts w:ascii="Arial Unicode MS" w:hAnsi="Arial Unicode MS" w:eastAsia="Arial Unicode MS" w:cs="Arial Unicode MS"/>
          <w:bCs/>
          <w:color w:val="auto"/>
          <w:sz w:val="44"/>
          <w:szCs w:val="44"/>
          <w:highlight w:val="none"/>
        </w:rPr>
      </w:pPr>
    </w:p>
    <w:p w14:paraId="649C389B">
      <w:pPr>
        <w:spacing w:line="520" w:lineRule="exact"/>
        <w:ind w:left="120"/>
        <w:rPr>
          <w:rFonts w:ascii="Arial Unicode MS" w:hAnsi="Arial Unicode MS" w:eastAsia="Arial Unicode MS" w:cs="Arial Unicode MS"/>
          <w:bCs/>
          <w:color w:val="auto"/>
          <w:sz w:val="44"/>
          <w:szCs w:val="44"/>
          <w:highlight w:val="none"/>
        </w:rPr>
      </w:pPr>
    </w:p>
    <w:p w14:paraId="58347E34">
      <w:pPr>
        <w:spacing w:line="520" w:lineRule="exact"/>
        <w:ind w:left="120"/>
        <w:rPr>
          <w:rFonts w:ascii="Arial Unicode MS" w:hAnsi="Arial Unicode MS" w:eastAsia="Arial Unicode MS" w:cs="Arial Unicode MS"/>
          <w:bCs/>
          <w:color w:val="auto"/>
          <w:sz w:val="44"/>
          <w:szCs w:val="44"/>
          <w:highlight w:val="none"/>
        </w:rPr>
      </w:pPr>
    </w:p>
    <w:p w14:paraId="70DA804E">
      <w:pPr>
        <w:spacing w:line="520" w:lineRule="exact"/>
        <w:ind w:left="120"/>
        <w:rPr>
          <w:rFonts w:ascii="Arial Unicode MS" w:hAnsi="Arial Unicode MS" w:eastAsia="Arial Unicode MS" w:cs="Arial Unicode MS"/>
          <w:bCs/>
          <w:color w:val="auto"/>
          <w:sz w:val="44"/>
          <w:szCs w:val="44"/>
          <w:highlight w:val="none"/>
        </w:rPr>
      </w:pPr>
    </w:p>
    <w:p w14:paraId="0979345D">
      <w:pPr>
        <w:spacing w:line="520" w:lineRule="exact"/>
        <w:ind w:left="120"/>
        <w:rPr>
          <w:rFonts w:ascii="Arial Unicode MS" w:hAnsi="Arial Unicode MS" w:eastAsia="Arial Unicode MS" w:cs="Arial Unicode MS"/>
          <w:bCs/>
          <w:color w:val="auto"/>
          <w:sz w:val="44"/>
          <w:szCs w:val="44"/>
          <w:highlight w:val="none"/>
        </w:rPr>
      </w:pPr>
    </w:p>
    <w:p w14:paraId="09DA895D">
      <w:pPr>
        <w:spacing w:line="520" w:lineRule="exact"/>
        <w:ind w:left="120"/>
        <w:rPr>
          <w:rFonts w:ascii="Arial Unicode MS" w:hAnsi="Arial Unicode MS" w:eastAsia="Arial Unicode MS" w:cs="Arial Unicode MS"/>
          <w:bCs/>
          <w:color w:val="auto"/>
          <w:sz w:val="44"/>
          <w:szCs w:val="44"/>
          <w:highlight w:val="none"/>
        </w:rPr>
      </w:pPr>
    </w:p>
    <w:p w14:paraId="1FD46365">
      <w:pPr>
        <w:spacing w:line="520" w:lineRule="exact"/>
        <w:ind w:left="120"/>
        <w:jc w:val="center"/>
        <w:rPr>
          <w:rFonts w:ascii="宋体" w:hAnsi="宋体"/>
          <w:b/>
          <w:color w:val="auto"/>
          <w:sz w:val="32"/>
          <w:szCs w:val="32"/>
          <w:highlight w:val="none"/>
        </w:rPr>
      </w:pPr>
      <w:r>
        <w:rPr>
          <w:rFonts w:hint="eastAsia" w:ascii="Arial Unicode MS" w:hAnsi="Arial Unicode MS" w:eastAsia="Arial Unicode MS" w:cs="Arial Unicode MS"/>
          <w:bCs/>
          <w:color w:val="auto"/>
          <w:sz w:val="44"/>
          <w:szCs w:val="44"/>
          <w:highlight w:val="none"/>
        </w:rPr>
        <w:t>6.货物配置清单</w:t>
      </w:r>
    </w:p>
    <w:p w14:paraId="31F5CC6B">
      <w:pPr>
        <w:spacing w:line="300" w:lineRule="auto"/>
        <w:rPr>
          <w:rFonts w:ascii="宋体" w:hAnsi="宋体"/>
          <w:color w:val="auto"/>
          <w:szCs w:val="21"/>
          <w:highlight w:val="none"/>
        </w:rPr>
      </w:pPr>
    </w:p>
    <w:p w14:paraId="3DAFFD96">
      <w:pPr>
        <w:spacing w:line="360" w:lineRule="auto"/>
        <w:rPr>
          <w:rFonts w:ascii="宋体" w:hAnsi="宋体" w:cs="仿宋_GB2312"/>
          <w:color w:val="auto"/>
          <w:sz w:val="24"/>
          <w:highlight w:val="none"/>
        </w:rPr>
      </w:pP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23A03FBB">
      <w:pPr>
        <w:spacing w:line="360" w:lineRule="auto"/>
        <w:rPr>
          <w:rFonts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55B9B369">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所竞分标：</w:t>
      </w:r>
      <w:r>
        <w:rPr>
          <w:rFonts w:hint="eastAsia" w:ascii="宋体" w:hAnsi="宋体" w:cs="仿宋_GB2312"/>
          <w:color w:val="auto"/>
          <w:sz w:val="24"/>
          <w:highlight w:val="none"/>
          <w:u w:val="single"/>
        </w:rPr>
        <w:t xml:space="preserve">                 </w:t>
      </w:r>
    </w:p>
    <w:tbl>
      <w:tblPr>
        <w:tblStyle w:val="4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9"/>
        <w:gridCol w:w="1245"/>
        <w:gridCol w:w="803"/>
        <w:gridCol w:w="895"/>
        <w:gridCol w:w="1786"/>
        <w:gridCol w:w="1245"/>
        <w:gridCol w:w="737"/>
        <w:gridCol w:w="1496"/>
      </w:tblGrid>
      <w:tr w14:paraId="2527D9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5024B21D">
            <w:pPr>
              <w:spacing w:before="50" w:after="50"/>
              <w:jc w:val="center"/>
              <w:rPr>
                <w:rFonts w:ascii="宋体" w:hAnsi="宋体"/>
                <w:color w:val="auto"/>
                <w:sz w:val="24"/>
                <w:highlight w:val="none"/>
              </w:rPr>
            </w:pPr>
            <w:r>
              <w:rPr>
                <w:rFonts w:hint="eastAsia" w:ascii="宋体" w:hAnsi="宋体"/>
                <w:color w:val="auto"/>
                <w:sz w:val="24"/>
                <w:highlight w:val="none"/>
              </w:rPr>
              <w:t>序号</w:t>
            </w:r>
          </w:p>
        </w:tc>
        <w:tc>
          <w:tcPr>
            <w:tcW w:w="1245" w:type="dxa"/>
            <w:tcBorders>
              <w:top w:val="single" w:color="auto" w:sz="4" w:space="0"/>
              <w:left w:val="single" w:color="auto" w:sz="4" w:space="0"/>
              <w:bottom w:val="single" w:color="auto" w:sz="4" w:space="0"/>
              <w:right w:val="single" w:color="auto" w:sz="4" w:space="0"/>
            </w:tcBorders>
            <w:vAlign w:val="center"/>
          </w:tcPr>
          <w:p w14:paraId="2AD1DCC0">
            <w:pPr>
              <w:spacing w:before="50" w:after="50"/>
              <w:jc w:val="center"/>
              <w:rPr>
                <w:rFonts w:ascii="宋体" w:hAnsi="宋体"/>
                <w:color w:val="auto"/>
                <w:sz w:val="24"/>
                <w:highlight w:val="none"/>
              </w:rPr>
            </w:pPr>
            <w:r>
              <w:rPr>
                <w:rFonts w:hint="eastAsia" w:ascii="宋体" w:hAnsi="宋体"/>
                <w:color w:val="auto"/>
                <w:sz w:val="24"/>
                <w:highlight w:val="none"/>
              </w:rPr>
              <w:t>标的名称</w:t>
            </w:r>
          </w:p>
        </w:tc>
        <w:tc>
          <w:tcPr>
            <w:tcW w:w="803" w:type="dxa"/>
            <w:tcBorders>
              <w:top w:val="single" w:color="auto" w:sz="4" w:space="0"/>
              <w:left w:val="single" w:color="auto" w:sz="4" w:space="0"/>
              <w:bottom w:val="single" w:color="auto" w:sz="4" w:space="0"/>
              <w:right w:val="single" w:color="auto" w:sz="4" w:space="0"/>
            </w:tcBorders>
            <w:vAlign w:val="center"/>
          </w:tcPr>
          <w:p w14:paraId="500E7FE6">
            <w:pPr>
              <w:spacing w:before="50" w:after="50"/>
              <w:jc w:val="center"/>
              <w:rPr>
                <w:rFonts w:ascii="宋体" w:hAnsi="宋体"/>
                <w:color w:val="auto"/>
                <w:sz w:val="24"/>
                <w:highlight w:val="none"/>
              </w:rPr>
            </w:pPr>
            <w:r>
              <w:rPr>
                <w:rFonts w:hint="eastAsia" w:ascii="宋体" w:hAnsi="宋体"/>
                <w:color w:val="auto"/>
                <w:sz w:val="24"/>
                <w:highlight w:val="none"/>
              </w:rPr>
              <w:t>数量及单位</w:t>
            </w:r>
          </w:p>
        </w:tc>
        <w:tc>
          <w:tcPr>
            <w:tcW w:w="895" w:type="dxa"/>
            <w:tcBorders>
              <w:top w:val="single" w:color="auto" w:sz="4" w:space="0"/>
              <w:left w:val="single" w:color="auto" w:sz="4" w:space="0"/>
              <w:bottom w:val="single" w:color="auto" w:sz="4" w:space="0"/>
              <w:right w:val="single" w:color="auto" w:sz="4" w:space="0"/>
            </w:tcBorders>
            <w:vAlign w:val="center"/>
          </w:tcPr>
          <w:p w14:paraId="574D85B3">
            <w:pPr>
              <w:spacing w:before="50" w:after="50"/>
              <w:jc w:val="center"/>
              <w:rPr>
                <w:rFonts w:ascii="宋体" w:hAnsi="宋体"/>
                <w:color w:val="auto"/>
                <w:sz w:val="24"/>
                <w:highlight w:val="none"/>
              </w:rPr>
            </w:pPr>
            <w:r>
              <w:rPr>
                <w:rFonts w:hint="eastAsia" w:ascii="宋体" w:hAnsi="宋体"/>
                <w:color w:val="auto"/>
                <w:sz w:val="24"/>
                <w:highlight w:val="none"/>
              </w:rPr>
              <w:t>品牌</w:t>
            </w:r>
          </w:p>
        </w:tc>
        <w:tc>
          <w:tcPr>
            <w:tcW w:w="1786" w:type="dxa"/>
            <w:tcBorders>
              <w:top w:val="single" w:color="auto" w:sz="4" w:space="0"/>
              <w:left w:val="single" w:color="auto" w:sz="4" w:space="0"/>
              <w:bottom w:val="single" w:color="auto" w:sz="4" w:space="0"/>
              <w:right w:val="single" w:color="auto" w:sz="4" w:space="0"/>
            </w:tcBorders>
          </w:tcPr>
          <w:p w14:paraId="540F1A7D">
            <w:pPr>
              <w:spacing w:before="50" w:after="50"/>
              <w:jc w:val="center"/>
              <w:rPr>
                <w:rFonts w:ascii="宋体" w:hAnsi="宋体"/>
                <w:color w:val="auto"/>
                <w:sz w:val="24"/>
                <w:highlight w:val="none"/>
              </w:rPr>
            </w:pPr>
          </w:p>
          <w:p w14:paraId="62780DEB">
            <w:pPr>
              <w:spacing w:before="50" w:after="50"/>
              <w:jc w:val="center"/>
              <w:rPr>
                <w:rFonts w:ascii="宋体" w:hAnsi="宋体"/>
                <w:color w:val="auto"/>
                <w:sz w:val="24"/>
                <w:highlight w:val="none"/>
              </w:rPr>
            </w:pPr>
            <w:r>
              <w:rPr>
                <w:rFonts w:hint="eastAsia" w:ascii="宋体" w:hAnsi="宋体"/>
                <w:color w:val="auto"/>
                <w:sz w:val="24"/>
                <w:highlight w:val="none"/>
              </w:rPr>
              <w:t>规格型号</w:t>
            </w:r>
          </w:p>
        </w:tc>
        <w:tc>
          <w:tcPr>
            <w:tcW w:w="1245" w:type="dxa"/>
            <w:tcBorders>
              <w:top w:val="single" w:color="auto" w:sz="4" w:space="0"/>
              <w:left w:val="single" w:color="auto" w:sz="4" w:space="0"/>
              <w:bottom w:val="single" w:color="auto" w:sz="4" w:space="0"/>
              <w:right w:val="single" w:color="auto" w:sz="4" w:space="0"/>
            </w:tcBorders>
            <w:vAlign w:val="center"/>
          </w:tcPr>
          <w:p w14:paraId="32BAC86A">
            <w:pPr>
              <w:spacing w:before="50" w:after="50"/>
              <w:jc w:val="center"/>
              <w:rPr>
                <w:rFonts w:ascii="宋体" w:hAnsi="宋体"/>
                <w:color w:val="auto"/>
                <w:sz w:val="24"/>
                <w:highlight w:val="none"/>
              </w:rPr>
            </w:pPr>
            <w:r>
              <w:rPr>
                <w:rFonts w:hint="eastAsia" w:ascii="宋体" w:hAnsi="宋体"/>
                <w:color w:val="auto"/>
                <w:sz w:val="24"/>
                <w:highlight w:val="none"/>
              </w:rPr>
              <w:t>制造商</w:t>
            </w:r>
          </w:p>
        </w:tc>
        <w:tc>
          <w:tcPr>
            <w:tcW w:w="737" w:type="dxa"/>
            <w:tcBorders>
              <w:top w:val="single" w:color="auto" w:sz="4" w:space="0"/>
              <w:left w:val="single" w:color="auto" w:sz="4" w:space="0"/>
              <w:bottom w:val="single" w:color="auto" w:sz="4" w:space="0"/>
              <w:right w:val="single" w:color="auto" w:sz="4" w:space="0"/>
            </w:tcBorders>
            <w:vAlign w:val="center"/>
          </w:tcPr>
          <w:p w14:paraId="42A74E65">
            <w:pPr>
              <w:spacing w:before="50" w:after="50"/>
              <w:jc w:val="center"/>
              <w:rPr>
                <w:rFonts w:ascii="宋体" w:hAnsi="宋体"/>
                <w:color w:val="auto"/>
                <w:sz w:val="24"/>
                <w:highlight w:val="none"/>
              </w:rPr>
            </w:pPr>
            <w:r>
              <w:rPr>
                <w:rFonts w:hint="eastAsia" w:ascii="宋体" w:hAnsi="宋体"/>
                <w:color w:val="auto"/>
                <w:sz w:val="24"/>
                <w:highlight w:val="none"/>
              </w:rPr>
              <w:t>原产地</w:t>
            </w:r>
          </w:p>
        </w:tc>
        <w:tc>
          <w:tcPr>
            <w:tcW w:w="1496" w:type="dxa"/>
            <w:tcBorders>
              <w:top w:val="single" w:color="auto" w:sz="4" w:space="0"/>
              <w:left w:val="single" w:color="auto" w:sz="4" w:space="0"/>
              <w:bottom w:val="single" w:color="auto" w:sz="4" w:space="0"/>
              <w:right w:val="single" w:color="auto" w:sz="4" w:space="0"/>
            </w:tcBorders>
            <w:vAlign w:val="center"/>
          </w:tcPr>
          <w:p w14:paraId="277741E6">
            <w:pPr>
              <w:spacing w:before="50" w:after="50"/>
              <w:jc w:val="center"/>
              <w:rPr>
                <w:rFonts w:ascii="宋体" w:hAnsi="宋体"/>
                <w:color w:val="auto"/>
                <w:sz w:val="24"/>
                <w:highlight w:val="none"/>
              </w:rPr>
            </w:pPr>
            <w:r>
              <w:rPr>
                <w:rFonts w:hint="eastAsia" w:ascii="宋体" w:hAnsi="宋体"/>
                <w:color w:val="auto"/>
                <w:sz w:val="24"/>
                <w:highlight w:val="none"/>
              </w:rPr>
              <w:t>参数性能、指标及配置</w:t>
            </w:r>
          </w:p>
        </w:tc>
      </w:tr>
      <w:tr w14:paraId="66B0E1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04DAEDEF">
            <w:pPr>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5DE68B3E">
            <w:pPr>
              <w:spacing w:before="50" w:after="50"/>
              <w:jc w:val="center"/>
              <w:rPr>
                <w:rFonts w:ascii="宋体" w:hAnsi="宋体"/>
                <w:color w:val="auto"/>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7078A3CF">
            <w:pPr>
              <w:spacing w:before="50" w:after="50"/>
              <w:jc w:val="center"/>
              <w:rPr>
                <w:rFonts w:ascii="宋体" w:hAnsi="宋体"/>
                <w:color w:val="auto"/>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5F3137AE">
            <w:pPr>
              <w:spacing w:before="50" w:after="50"/>
              <w:jc w:val="center"/>
              <w:rPr>
                <w:rFonts w:ascii="宋体" w:hAnsi="宋体"/>
                <w:color w:val="auto"/>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7E31F53C">
            <w:pPr>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5D99F5A2">
            <w:pPr>
              <w:spacing w:before="50" w:after="50"/>
              <w:jc w:val="center"/>
              <w:rPr>
                <w:rFonts w:ascii="宋体" w:hAnsi="宋体"/>
                <w:color w:val="auto"/>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767124FC">
            <w:pPr>
              <w:spacing w:before="50" w:after="50"/>
              <w:jc w:val="center"/>
              <w:rPr>
                <w:rFonts w:ascii="宋体" w:hAnsi="宋体"/>
                <w:color w:val="auto"/>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6DA4CF48">
            <w:pPr>
              <w:spacing w:before="50" w:after="50"/>
              <w:jc w:val="center"/>
              <w:rPr>
                <w:rFonts w:ascii="宋体" w:hAnsi="宋体"/>
                <w:color w:val="auto"/>
                <w:sz w:val="24"/>
                <w:highlight w:val="none"/>
              </w:rPr>
            </w:pPr>
          </w:p>
        </w:tc>
      </w:tr>
      <w:tr w14:paraId="02DB80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2ABBB4CC">
            <w:pPr>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7E13BF16">
            <w:pPr>
              <w:spacing w:before="50" w:after="50"/>
              <w:jc w:val="center"/>
              <w:rPr>
                <w:rFonts w:ascii="宋体" w:hAnsi="宋体"/>
                <w:color w:val="auto"/>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5696AC0C">
            <w:pPr>
              <w:spacing w:before="50" w:after="50"/>
              <w:jc w:val="center"/>
              <w:rPr>
                <w:rFonts w:ascii="宋体" w:hAnsi="宋体"/>
                <w:color w:val="auto"/>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6D532857">
            <w:pPr>
              <w:spacing w:before="50" w:after="50"/>
              <w:jc w:val="center"/>
              <w:rPr>
                <w:rFonts w:ascii="宋体" w:hAnsi="宋体"/>
                <w:color w:val="auto"/>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2A3F8599">
            <w:pPr>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61F4F8F3">
            <w:pPr>
              <w:spacing w:before="50" w:after="50"/>
              <w:jc w:val="center"/>
              <w:rPr>
                <w:rFonts w:ascii="宋体" w:hAnsi="宋体"/>
                <w:color w:val="auto"/>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0DFF6F3A">
            <w:pPr>
              <w:spacing w:before="50" w:after="50"/>
              <w:jc w:val="center"/>
              <w:rPr>
                <w:rFonts w:ascii="宋体" w:hAnsi="宋体"/>
                <w:color w:val="auto"/>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1B5ABB98">
            <w:pPr>
              <w:spacing w:before="50" w:after="50"/>
              <w:jc w:val="center"/>
              <w:rPr>
                <w:rFonts w:ascii="宋体" w:hAnsi="宋体"/>
                <w:color w:val="auto"/>
                <w:sz w:val="24"/>
                <w:highlight w:val="none"/>
              </w:rPr>
            </w:pPr>
          </w:p>
        </w:tc>
      </w:tr>
      <w:tr w14:paraId="1EE9A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39DF5BE4">
            <w:pPr>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8D51C49">
            <w:pPr>
              <w:spacing w:before="50" w:after="50"/>
              <w:jc w:val="center"/>
              <w:rPr>
                <w:rFonts w:ascii="宋体" w:hAnsi="宋体"/>
                <w:color w:val="auto"/>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32AB00ED">
            <w:pPr>
              <w:spacing w:before="50" w:after="50"/>
              <w:jc w:val="center"/>
              <w:rPr>
                <w:rFonts w:ascii="宋体" w:hAnsi="宋体"/>
                <w:color w:val="auto"/>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654F46DB">
            <w:pPr>
              <w:spacing w:before="50" w:after="50"/>
              <w:jc w:val="center"/>
              <w:rPr>
                <w:rFonts w:ascii="宋体" w:hAnsi="宋体"/>
                <w:color w:val="auto"/>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2D5E39B1">
            <w:pPr>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12D817FD">
            <w:pPr>
              <w:spacing w:before="50" w:after="50"/>
              <w:jc w:val="center"/>
              <w:rPr>
                <w:rFonts w:ascii="宋体" w:hAnsi="宋体"/>
                <w:color w:val="auto"/>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071D12D7">
            <w:pPr>
              <w:spacing w:before="50" w:after="50"/>
              <w:jc w:val="center"/>
              <w:rPr>
                <w:rFonts w:ascii="宋体" w:hAnsi="宋体"/>
                <w:color w:val="auto"/>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016871FD">
            <w:pPr>
              <w:spacing w:before="50" w:after="50"/>
              <w:jc w:val="center"/>
              <w:rPr>
                <w:rFonts w:ascii="宋体" w:hAnsi="宋体"/>
                <w:color w:val="auto"/>
                <w:sz w:val="24"/>
                <w:highlight w:val="none"/>
              </w:rPr>
            </w:pPr>
          </w:p>
        </w:tc>
      </w:tr>
    </w:tbl>
    <w:p w14:paraId="059F051E">
      <w:pPr>
        <w:spacing w:line="360" w:lineRule="auto"/>
        <w:contextualSpacing/>
        <w:rPr>
          <w:rFonts w:ascii="宋体" w:hAnsi="宋体"/>
          <w:color w:val="auto"/>
          <w:sz w:val="24"/>
          <w:highlight w:val="none"/>
        </w:rPr>
      </w:pPr>
      <w:r>
        <w:rPr>
          <w:rFonts w:hint="eastAsia" w:ascii="宋体" w:hAnsi="宋体"/>
          <w:color w:val="auto"/>
          <w:sz w:val="24"/>
          <w:highlight w:val="none"/>
        </w:rPr>
        <w:t>备注：</w:t>
      </w:r>
    </w:p>
    <w:p w14:paraId="4093F147">
      <w:pPr>
        <w:tabs>
          <w:tab w:val="left" w:pos="1065"/>
        </w:tabs>
        <w:spacing w:line="360" w:lineRule="auto"/>
        <w:contextualSpacing/>
        <w:rPr>
          <w:rFonts w:ascii="宋体" w:hAnsi="宋体" w:cs="仿宋_GB2312"/>
          <w:color w:val="auto"/>
          <w:sz w:val="24"/>
          <w:highlight w:val="none"/>
        </w:rPr>
      </w:pPr>
      <w:r>
        <w:rPr>
          <w:rFonts w:hint="eastAsia" w:ascii="宋体" w:hAnsi="宋体"/>
          <w:b/>
          <w:bCs/>
          <w:color w:val="auto"/>
          <w:sz w:val="24"/>
          <w:highlight w:val="none"/>
        </w:rPr>
        <w:t>以上货物配置清单中“标的名称、数量及单位、品牌、规格型号、制造商、原产地、参数性能、指标及配置”必须如实填写完整，品牌、规格型号没有则填无，填写有缺漏的，响应文件按无效处理</w:t>
      </w:r>
      <w:r>
        <w:rPr>
          <w:rFonts w:hint="eastAsia" w:ascii="宋体" w:hAnsi="宋体"/>
          <w:b/>
          <w:color w:val="auto"/>
          <w:sz w:val="24"/>
          <w:highlight w:val="none"/>
        </w:rPr>
        <w:t>。</w:t>
      </w:r>
      <w:r>
        <w:rPr>
          <w:rFonts w:hint="eastAsia" w:ascii="宋体" w:hAnsi="宋体"/>
          <w:color w:val="auto"/>
          <w:sz w:val="24"/>
          <w:highlight w:val="none"/>
        </w:rPr>
        <w:t>标的名称、数量及单位、品牌必须与“竞标报价表”一致，</w:t>
      </w:r>
      <w:r>
        <w:rPr>
          <w:rFonts w:hint="eastAsia" w:ascii="宋体" w:hAnsi="宋体"/>
          <w:b/>
          <w:color w:val="auto"/>
          <w:sz w:val="24"/>
          <w:highlight w:val="none"/>
        </w:rPr>
        <w:t>否则响应文件按无效处理。</w:t>
      </w:r>
      <w:r>
        <w:rPr>
          <w:rFonts w:hint="eastAsia" w:ascii="宋体" w:hAnsi="宋体" w:cs="仿宋_GB2312"/>
          <w:color w:val="auto"/>
          <w:sz w:val="24"/>
          <w:highlight w:val="none"/>
        </w:rPr>
        <w:tab/>
      </w:r>
    </w:p>
    <w:p w14:paraId="069C1AC8">
      <w:pPr>
        <w:spacing w:line="360" w:lineRule="auto"/>
        <w:contextualSpacing/>
        <w:jc w:val="left"/>
        <w:rPr>
          <w:rFonts w:ascii="宋体" w:hAnsi="宋体" w:cs="仿宋_GB2312"/>
          <w:color w:val="auto"/>
          <w:sz w:val="24"/>
          <w:highlight w:val="none"/>
        </w:rPr>
      </w:pPr>
    </w:p>
    <w:p w14:paraId="2DBC2EB1">
      <w:pPr>
        <w:spacing w:line="360" w:lineRule="auto"/>
        <w:contextualSpacing/>
        <w:jc w:val="left"/>
        <w:rPr>
          <w:rFonts w:ascii="宋体" w:hAnsi="宋体" w:cs="仿宋_GB2312"/>
          <w:color w:val="auto"/>
          <w:sz w:val="24"/>
          <w:highlight w:val="none"/>
        </w:rPr>
      </w:pPr>
    </w:p>
    <w:p w14:paraId="27581372">
      <w:pPr>
        <w:spacing w:line="360" w:lineRule="auto"/>
        <w:contextualSpacing/>
        <w:jc w:val="left"/>
        <w:rPr>
          <w:rFonts w:ascii="宋体" w:hAnsi="宋体" w:cs="仿宋_GB2312"/>
          <w:color w:val="auto"/>
          <w:sz w:val="24"/>
          <w:highlight w:val="none"/>
        </w:rPr>
      </w:pPr>
    </w:p>
    <w:p w14:paraId="78EEB967">
      <w:pPr>
        <w:spacing w:line="360" w:lineRule="auto"/>
        <w:ind w:right="-817"/>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794B9F13">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65228314">
      <w:pPr>
        <w:spacing w:line="360" w:lineRule="auto"/>
        <w:ind w:right="-817" w:firstLine="2880"/>
        <w:contextualSpacing/>
        <w:rPr>
          <w:rFonts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780B74BF">
      <w:pPr>
        <w:spacing w:line="300" w:lineRule="auto"/>
        <w:rPr>
          <w:rFonts w:ascii="宋体" w:hAnsi="宋体"/>
          <w:color w:val="auto"/>
          <w:szCs w:val="21"/>
          <w:highlight w:val="none"/>
          <w:u w:val="single"/>
        </w:rPr>
      </w:pPr>
    </w:p>
    <w:p w14:paraId="6A8AC576">
      <w:pPr>
        <w:spacing w:line="300" w:lineRule="auto"/>
        <w:rPr>
          <w:rFonts w:ascii="宋体" w:hAnsi="宋体"/>
          <w:color w:val="auto"/>
          <w:szCs w:val="21"/>
          <w:highlight w:val="none"/>
          <w:u w:val="single"/>
        </w:rPr>
      </w:pPr>
    </w:p>
    <w:p w14:paraId="68C6264B">
      <w:pPr>
        <w:spacing w:line="300" w:lineRule="auto"/>
        <w:rPr>
          <w:rFonts w:ascii="宋体" w:hAnsi="宋体"/>
          <w:color w:val="auto"/>
          <w:szCs w:val="21"/>
          <w:highlight w:val="none"/>
          <w:u w:val="single"/>
        </w:rPr>
      </w:pPr>
    </w:p>
    <w:p w14:paraId="14B7F0B4">
      <w:pPr>
        <w:spacing w:line="300" w:lineRule="auto"/>
        <w:rPr>
          <w:rFonts w:ascii="宋体" w:hAnsi="宋体"/>
          <w:color w:val="auto"/>
          <w:szCs w:val="21"/>
          <w:highlight w:val="none"/>
          <w:u w:val="single"/>
        </w:rPr>
      </w:pPr>
    </w:p>
    <w:p w14:paraId="6F99DA9E">
      <w:pPr>
        <w:spacing w:line="300" w:lineRule="auto"/>
        <w:rPr>
          <w:rFonts w:ascii="宋体" w:hAnsi="宋体"/>
          <w:color w:val="auto"/>
          <w:szCs w:val="21"/>
          <w:highlight w:val="none"/>
          <w:u w:val="single"/>
        </w:rPr>
      </w:pPr>
    </w:p>
    <w:p w14:paraId="7C64C632">
      <w:pPr>
        <w:spacing w:line="300" w:lineRule="auto"/>
        <w:rPr>
          <w:rFonts w:ascii="宋体" w:hAnsi="宋体"/>
          <w:color w:val="auto"/>
          <w:szCs w:val="21"/>
          <w:highlight w:val="none"/>
          <w:u w:val="single"/>
        </w:rPr>
      </w:pPr>
    </w:p>
    <w:p w14:paraId="41147475">
      <w:pPr>
        <w:spacing w:line="300" w:lineRule="auto"/>
        <w:rPr>
          <w:rFonts w:ascii="宋体" w:hAnsi="宋体"/>
          <w:color w:val="auto"/>
          <w:szCs w:val="21"/>
          <w:highlight w:val="none"/>
          <w:u w:val="single"/>
        </w:rPr>
      </w:pPr>
    </w:p>
    <w:p w14:paraId="48C495EE">
      <w:pPr>
        <w:spacing w:line="300" w:lineRule="auto"/>
        <w:rPr>
          <w:rFonts w:ascii="宋体" w:hAnsi="宋体"/>
          <w:color w:val="auto"/>
          <w:szCs w:val="21"/>
          <w:highlight w:val="none"/>
          <w:u w:val="single"/>
        </w:rPr>
      </w:pPr>
    </w:p>
    <w:p w14:paraId="38B894BE">
      <w:pPr>
        <w:spacing w:line="300" w:lineRule="auto"/>
        <w:jc w:val="center"/>
        <w:rPr>
          <w:rFonts w:ascii="Arial Unicode MS" w:hAnsi="Arial Unicode MS" w:eastAsia="Arial Unicode MS" w:cs="Arial Unicode MS"/>
          <w:bCs/>
          <w:color w:val="auto"/>
          <w:sz w:val="44"/>
          <w:szCs w:val="44"/>
          <w:highlight w:val="none"/>
        </w:rPr>
      </w:pPr>
      <w:r>
        <w:rPr>
          <w:rFonts w:ascii="Arial Unicode MS" w:hAnsi="Arial Unicode MS" w:eastAsia="Arial Unicode MS" w:cs="Arial Unicode MS"/>
          <w:bCs/>
          <w:color w:val="auto"/>
          <w:sz w:val="44"/>
          <w:szCs w:val="44"/>
          <w:highlight w:val="none"/>
        </w:rPr>
        <w:br w:type="page" w:clear="all"/>
      </w:r>
      <w:r>
        <w:rPr>
          <w:rFonts w:hint="eastAsia" w:ascii="Arial Unicode MS" w:hAnsi="Arial Unicode MS" w:eastAsia="Arial Unicode MS" w:cs="Arial Unicode MS"/>
          <w:bCs/>
          <w:color w:val="auto"/>
          <w:sz w:val="44"/>
          <w:szCs w:val="44"/>
          <w:highlight w:val="none"/>
        </w:rPr>
        <w:t>7.技术要求偏离表</w:t>
      </w:r>
    </w:p>
    <w:p w14:paraId="1C2F093A">
      <w:pPr>
        <w:spacing w:line="520" w:lineRule="exact"/>
        <w:rPr>
          <w:rFonts w:ascii="仿宋_GB2312" w:hAnsi="仿宋_GB2312" w:eastAsia="仿宋_GB2312" w:cs="仿宋_GB2312"/>
          <w:color w:val="auto"/>
          <w:sz w:val="32"/>
          <w:szCs w:val="32"/>
          <w:highlight w:val="none"/>
        </w:rPr>
      </w:pPr>
    </w:p>
    <w:p w14:paraId="5381C57E">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p>
    <w:p w14:paraId="3482614B">
      <w:pPr>
        <w:spacing w:line="360" w:lineRule="auto"/>
        <w:rPr>
          <w:rFonts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p>
    <w:p w14:paraId="08DB5104">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分标号：</w:t>
      </w:r>
      <w:r>
        <w:rPr>
          <w:rFonts w:hint="eastAsia" w:ascii="宋体" w:hAnsi="宋体" w:cs="仿宋_GB2312"/>
          <w:color w:val="auto"/>
          <w:sz w:val="24"/>
          <w:highlight w:val="none"/>
          <w:u w:val="single"/>
        </w:rPr>
        <w:t xml:space="preserve">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0"/>
        <w:gridCol w:w="900"/>
        <w:gridCol w:w="2989"/>
        <w:gridCol w:w="2690"/>
        <w:gridCol w:w="1467"/>
      </w:tblGrid>
      <w:tr w14:paraId="3EAB58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60BFC6F7">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序号</w:t>
            </w:r>
          </w:p>
        </w:tc>
        <w:tc>
          <w:tcPr>
            <w:tcW w:w="900" w:type="dxa"/>
            <w:tcBorders>
              <w:right w:val="single" w:color="auto" w:sz="4" w:space="0"/>
            </w:tcBorders>
            <w:vAlign w:val="center"/>
          </w:tcPr>
          <w:p w14:paraId="3840DAA2">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名称</w:t>
            </w:r>
          </w:p>
        </w:tc>
        <w:tc>
          <w:tcPr>
            <w:tcW w:w="2989" w:type="dxa"/>
            <w:tcBorders>
              <w:left w:val="single" w:color="auto" w:sz="4" w:space="0"/>
            </w:tcBorders>
            <w:vAlign w:val="center"/>
          </w:tcPr>
          <w:p w14:paraId="2B1037B8">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谈判文件要求</w:t>
            </w:r>
          </w:p>
        </w:tc>
        <w:tc>
          <w:tcPr>
            <w:tcW w:w="2690" w:type="dxa"/>
            <w:vAlign w:val="center"/>
          </w:tcPr>
          <w:p w14:paraId="28365088">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竞标响应</w:t>
            </w:r>
          </w:p>
        </w:tc>
        <w:tc>
          <w:tcPr>
            <w:tcW w:w="1467" w:type="dxa"/>
            <w:vAlign w:val="center"/>
          </w:tcPr>
          <w:p w14:paraId="46BC3E35">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偏离说明</w:t>
            </w:r>
          </w:p>
        </w:tc>
      </w:tr>
      <w:tr w14:paraId="747341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4E5E2B5D">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w:t>
            </w:r>
          </w:p>
        </w:tc>
        <w:tc>
          <w:tcPr>
            <w:tcW w:w="900" w:type="dxa"/>
            <w:tcBorders>
              <w:right w:val="single" w:color="auto" w:sz="4" w:space="0"/>
            </w:tcBorders>
            <w:vAlign w:val="center"/>
          </w:tcPr>
          <w:p w14:paraId="0DB2688D">
            <w:pPr>
              <w:pStyle w:val="18"/>
              <w:spacing w:line="360" w:lineRule="auto"/>
              <w:ind w:firstLine="0"/>
              <w:jc w:val="center"/>
              <w:rPr>
                <w:rFonts w:ascii="宋体" w:hAnsi="宋体" w:eastAsia="宋体" w:cs="仿宋_GB2312"/>
                <w:color w:val="auto"/>
                <w:sz w:val="24"/>
                <w:szCs w:val="24"/>
                <w:highlight w:val="none"/>
              </w:rPr>
            </w:pPr>
          </w:p>
        </w:tc>
        <w:tc>
          <w:tcPr>
            <w:tcW w:w="2989" w:type="dxa"/>
            <w:tcBorders>
              <w:left w:val="single" w:color="auto" w:sz="4" w:space="0"/>
            </w:tcBorders>
            <w:vAlign w:val="center"/>
          </w:tcPr>
          <w:p w14:paraId="1061B3EE">
            <w:pPr>
              <w:pStyle w:val="18"/>
              <w:spacing w:line="360" w:lineRule="auto"/>
              <w:ind w:firstLine="0"/>
              <w:jc w:val="center"/>
              <w:rPr>
                <w:rFonts w:ascii="宋体" w:hAnsi="宋体" w:eastAsia="宋体" w:cs="仿宋_GB2312"/>
                <w:color w:val="auto"/>
                <w:sz w:val="24"/>
                <w:szCs w:val="24"/>
                <w:highlight w:val="none"/>
              </w:rPr>
            </w:pPr>
          </w:p>
        </w:tc>
        <w:tc>
          <w:tcPr>
            <w:tcW w:w="2690" w:type="dxa"/>
            <w:vAlign w:val="center"/>
          </w:tcPr>
          <w:p w14:paraId="0F40689D">
            <w:pPr>
              <w:pStyle w:val="18"/>
              <w:spacing w:line="360" w:lineRule="auto"/>
              <w:ind w:firstLine="0"/>
              <w:jc w:val="center"/>
              <w:rPr>
                <w:rFonts w:ascii="宋体" w:hAnsi="宋体" w:eastAsia="宋体" w:cs="仿宋_GB2312"/>
                <w:color w:val="auto"/>
                <w:sz w:val="24"/>
                <w:szCs w:val="24"/>
                <w:highlight w:val="none"/>
              </w:rPr>
            </w:pPr>
          </w:p>
        </w:tc>
        <w:tc>
          <w:tcPr>
            <w:tcW w:w="1467" w:type="dxa"/>
            <w:vAlign w:val="center"/>
          </w:tcPr>
          <w:p w14:paraId="34F9F686">
            <w:pPr>
              <w:pStyle w:val="18"/>
              <w:spacing w:line="360" w:lineRule="auto"/>
              <w:ind w:firstLine="0"/>
              <w:jc w:val="center"/>
              <w:rPr>
                <w:rFonts w:ascii="宋体" w:hAnsi="宋体" w:eastAsia="宋体" w:cs="仿宋_GB2312"/>
                <w:color w:val="auto"/>
                <w:sz w:val="24"/>
                <w:szCs w:val="24"/>
                <w:highlight w:val="none"/>
              </w:rPr>
            </w:pPr>
          </w:p>
        </w:tc>
      </w:tr>
      <w:tr w14:paraId="328D92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04B60E3A">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w:t>
            </w:r>
          </w:p>
        </w:tc>
        <w:tc>
          <w:tcPr>
            <w:tcW w:w="900" w:type="dxa"/>
            <w:tcBorders>
              <w:right w:val="single" w:color="auto" w:sz="4" w:space="0"/>
            </w:tcBorders>
            <w:vAlign w:val="center"/>
          </w:tcPr>
          <w:p w14:paraId="574C7FCA">
            <w:pPr>
              <w:pStyle w:val="18"/>
              <w:spacing w:line="360" w:lineRule="auto"/>
              <w:ind w:firstLine="0"/>
              <w:jc w:val="center"/>
              <w:rPr>
                <w:rFonts w:ascii="宋体" w:hAnsi="宋体" w:eastAsia="宋体" w:cs="仿宋_GB2312"/>
                <w:color w:val="auto"/>
                <w:sz w:val="24"/>
                <w:szCs w:val="24"/>
                <w:highlight w:val="none"/>
              </w:rPr>
            </w:pPr>
          </w:p>
        </w:tc>
        <w:tc>
          <w:tcPr>
            <w:tcW w:w="2989" w:type="dxa"/>
            <w:tcBorders>
              <w:left w:val="single" w:color="auto" w:sz="4" w:space="0"/>
            </w:tcBorders>
            <w:vAlign w:val="center"/>
          </w:tcPr>
          <w:p w14:paraId="2CCF557B">
            <w:pPr>
              <w:pStyle w:val="18"/>
              <w:spacing w:line="360" w:lineRule="auto"/>
              <w:ind w:firstLine="0"/>
              <w:jc w:val="center"/>
              <w:rPr>
                <w:rFonts w:ascii="宋体" w:hAnsi="宋体" w:eastAsia="宋体" w:cs="仿宋_GB2312"/>
                <w:color w:val="auto"/>
                <w:sz w:val="24"/>
                <w:szCs w:val="24"/>
                <w:highlight w:val="none"/>
              </w:rPr>
            </w:pPr>
          </w:p>
        </w:tc>
        <w:tc>
          <w:tcPr>
            <w:tcW w:w="2690" w:type="dxa"/>
            <w:vAlign w:val="center"/>
          </w:tcPr>
          <w:p w14:paraId="290F1525">
            <w:pPr>
              <w:pStyle w:val="18"/>
              <w:spacing w:line="360" w:lineRule="auto"/>
              <w:ind w:firstLine="0"/>
              <w:jc w:val="center"/>
              <w:rPr>
                <w:rFonts w:ascii="宋体" w:hAnsi="宋体" w:eastAsia="宋体" w:cs="仿宋_GB2312"/>
                <w:color w:val="auto"/>
                <w:sz w:val="24"/>
                <w:szCs w:val="24"/>
                <w:highlight w:val="none"/>
              </w:rPr>
            </w:pPr>
          </w:p>
        </w:tc>
        <w:tc>
          <w:tcPr>
            <w:tcW w:w="1467" w:type="dxa"/>
            <w:vAlign w:val="center"/>
          </w:tcPr>
          <w:p w14:paraId="42AAEE87">
            <w:pPr>
              <w:pStyle w:val="18"/>
              <w:spacing w:line="360" w:lineRule="auto"/>
              <w:ind w:firstLine="0"/>
              <w:jc w:val="center"/>
              <w:rPr>
                <w:rFonts w:ascii="宋体" w:hAnsi="宋体" w:eastAsia="宋体" w:cs="仿宋_GB2312"/>
                <w:color w:val="auto"/>
                <w:sz w:val="24"/>
                <w:szCs w:val="24"/>
                <w:highlight w:val="none"/>
              </w:rPr>
            </w:pPr>
          </w:p>
        </w:tc>
      </w:tr>
      <w:tr w14:paraId="55CB18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7C468410">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w:t>
            </w:r>
          </w:p>
        </w:tc>
        <w:tc>
          <w:tcPr>
            <w:tcW w:w="900" w:type="dxa"/>
            <w:tcBorders>
              <w:right w:val="single" w:color="auto" w:sz="4" w:space="0"/>
            </w:tcBorders>
            <w:vAlign w:val="center"/>
          </w:tcPr>
          <w:p w14:paraId="38454ABB">
            <w:pPr>
              <w:pStyle w:val="18"/>
              <w:spacing w:line="360" w:lineRule="auto"/>
              <w:ind w:firstLine="0"/>
              <w:jc w:val="center"/>
              <w:rPr>
                <w:rFonts w:ascii="宋体" w:hAnsi="宋体" w:eastAsia="宋体" w:cs="仿宋_GB2312"/>
                <w:color w:val="auto"/>
                <w:sz w:val="24"/>
                <w:szCs w:val="24"/>
                <w:highlight w:val="none"/>
              </w:rPr>
            </w:pPr>
          </w:p>
        </w:tc>
        <w:tc>
          <w:tcPr>
            <w:tcW w:w="2989" w:type="dxa"/>
            <w:tcBorders>
              <w:left w:val="single" w:color="auto" w:sz="4" w:space="0"/>
            </w:tcBorders>
            <w:vAlign w:val="center"/>
          </w:tcPr>
          <w:p w14:paraId="5550B795">
            <w:pPr>
              <w:pStyle w:val="18"/>
              <w:spacing w:line="360" w:lineRule="auto"/>
              <w:ind w:firstLine="0"/>
              <w:jc w:val="center"/>
              <w:rPr>
                <w:rFonts w:ascii="宋体" w:hAnsi="宋体" w:eastAsia="宋体" w:cs="仿宋_GB2312"/>
                <w:color w:val="auto"/>
                <w:sz w:val="24"/>
                <w:szCs w:val="24"/>
                <w:highlight w:val="none"/>
              </w:rPr>
            </w:pPr>
          </w:p>
        </w:tc>
        <w:tc>
          <w:tcPr>
            <w:tcW w:w="2690" w:type="dxa"/>
            <w:vAlign w:val="center"/>
          </w:tcPr>
          <w:p w14:paraId="149FAC31">
            <w:pPr>
              <w:pStyle w:val="18"/>
              <w:spacing w:line="360" w:lineRule="auto"/>
              <w:ind w:firstLine="0"/>
              <w:jc w:val="center"/>
              <w:rPr>
                <w:rFonts w:ascii="宋体" w:hAnsi="宋体" w:eastAsia="宋体" w:cs="仿宋_GB2312"/>
                <w:color w:val="auto"/>
                <w:sz w:val="24"/>
                <w:szCs w:val="24"/>
                <w:highlight w:val="none"/>
              </w:rPr>
            </w:pPr>
          </w:p>
        </w:tc>
        <w:tc>
          <w:tcPr>
            <w:tcW w:w="1467" w:type="dxa"/>
            <w:vAlign w:val="center"/>
          </w:tcPr>
          <w:p w14:paraId="4C9D9E34">
            <w:pPr>
              <w:pStyle w:val="18"/>
              <w:spacing w:line="360" w:lineRule="auto"/>
              <w:ind w:firstLine="0"/>
              <w:jc w:val="center"/>
              <w:rPr>
                <w:rFonts w:ascii="宋体" w:hAnsi="宋体" w:eastAsia="宋体" w:cs="仿宋_GB2312"/>
                <w:color w:val="auto"/>
                <w:sz w:val="24"/>
                <w:szCs w:val="24"/>
                <w:highlight w:val="none"/>
              </w:rPr>
            </w:pPr>
          </w:p>
        </w:tc>
      </w:tr>
      <w:tr w14:paraId="017082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6B86C129">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w:t>
            </w:r>
          </w:p>
        </w:tc>
        <w:tc>
          <w:tcPr>
            <w:tcW w:w="900" w:type="dxa"/>
            <w:tcBorders>
              <w:right w:val="single" w:color="auto" w:sz="4" w:space="0"/>
            </w:tcBorders>
            <w:vAlign w:val="center"/>
          </w:tcPr>
          <w:p w14:paraId="2BAD3609">
            <w:pPr>
              <w:pStyle w:val="18"/>
              <w:spacing w:line="360" w:lineRule="auto"/>
              <w:ind w:firstLine="0"/>
              <w:jc w:val="center"/>
              <w:rPr>
                <w:rFonts w:ascii="宋体" w:hAnsi="宋体" w:eastAsia="宋体" w:cs="仿宋_GB2312"/>
                <w:color w:val="auto"/>
                <w:sz w:val="24"/>
                <w:szCs w:val="24"/>
                <w:highlight w:val="none"/>
              </w:rPr>
            </w:pPr>
          </w:p>
        </w:tc>
        <w:tc>
          <w:tcPr>
            <w:tcW w:w="2989" w:type="dxa"/>
            <w:tcBorders>
              <w:left w:val="single" w:color="auto" w:sz="4" w:space="0"/>
            </w:tcBorders>
            <w:vAlign w:val="center"/>
          </w:tcPr>
          <w:p w14:paraId="2EFEBFBA">
            <w:pPr>
              <w:pStyle w:val="18"/>
              <w:spacing w:line="360" w:lineRule="auto"/>
              <w:ind w:firstLine="0"/>
              <w:jc w:val="center"/>
              <w:rPr>
                <w:rFonts w:ascii="宋体" w:hAnsi="宋体" w:eastAsia="宋体" w:cs="仿宋_GB2312"/>
                <w:color w:val="auto"/>
                <w:sz w:val="24"/>
                <w:szCs w:val="24"/>
                <w:highlight w:val="none"/>
              </w:rPr>
            </w:pPr>
          </w:p>
        </w:tc>
        <w:tc>
          <w:tcPr>
            <w:tcW w:w="2690" w:type="dxa"/>
            <w:vAlign w:val="center"/>
          </w:tcPr>
          <w:p w14:paraId="7E0E0ED8">
            <w:pPr>
              <w:pStyle w:val="18"/>
              <w:spacing w:line="360" w:lineRule="auto"/>
              <w:ind w:firstLine="0"/>
              <w:jc w:val="center"/>
              <w:rPr>
                <w:rFonts w:ascii="宋体" w:hAnsi="宋体" w:eastAsia="宋体" w:cs="仿宋_GB2312"/>
                <w:color w:val="auto"/>
                <w:sz w:val="24"/>
                <w:szCs w:val="24"/>
                <w:highlight w:val="none"/>
              </w:rPr>
            </w:pPr>
          </w:p>
        </w:tc>
        <w:tc>
          <w:tcPr>
            <w:tcW w:w="1467" w:type="dxa"/>
            <w:vAlign w:val="center"/>
          </w:tcPr>
          <w:p w14:paraId="7C5C7139">
            <w:pPr>
              <w:pStyle w:val="18"/>
              <w:spacing w:line="360" w:lineRule="auto"/>
              <w:ind w:firstLine="0"/>
              <w:jc w:val="center"/>
              <w:rPr>
                <w:rFonts w:ascii="宋体" w:hAnsi="宋体" w:eastAsia="宋体" w:cs="仿宋_GB2312"/>
                <w:color w:val="auto"/>
                <w:sz w:val="24"/>
                <w:szCs w:val="24"/>
                <w:highlight w:val="none"/>
              </w:rPr>
            </w:pPr>
          </w:p>
        </w:tc>
      </w:tr>
      <w:tr w14:paraId="36CCB3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543EFCE5">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5</w:t>
            </w:r>
          </w:p>
        </w:tc>
        <w:tc>
          <w:tcPr>
            <w:tcW w:w="900" w:type="dxa"/>
            <w:tcBorders>
              <w:right w:val="single" w:color="auto" w:sz="4" w:space="0"/>
            </w:tcBorders>
            <w:vAlign w:val="center"/>
          </w:tcPr>
          <w:p w14:paraId="0F78C366">
            <w:pPr>
              <w:pStyle w:val="18"/>
              <w:spacing w:line="360" w:lineRule="auto"/>
              <w:ind w:firstLine="0"/>
              <w:jc w:val="center"/>
              <w:rPr>
                <w:rFonts w:ascii="宋体" w:hAnsi="宋体" w:eastAsia="宋体" w:cs="仿宋_GB2312"/>
                <w:color w:val="auto"/>
                <w:sz w:val="24"/>
                <w:szCs w:val="24"/>
                <w:highlight w:val="none"/>
              </w:rPr>
            </w:pPr>
          </w:p>
        </w:tc>
        <w:tc>
          <w:tcPr>
            <w:tcW w:w="2989" w:type="dxa"/>
            <w:tcBorders>
              <w:left w:val="single" w:color="auto" w:sz="4" w:space="0"/>
            </w:tcBorders>
            <w:vAlign w:val="center"/>
          </w:tcPr>
          <w:p w14:paraId="26ECD5B5">
            <w:pPr>
              <w:pStyle w:val="18"/>
              <w:spacing w:line="360" w:lineRule="auto"/>
              <w:ind w:firstLine="0"/>
              <w:jc w:val="center"/>
              <w:rPr>
                <w:rFonts w:ascii="宋体" w:hAnsi="宋体" w:eastAsia="宋体" w:cs="仿宋_GB2312"/>
                <w:color w:val="auto"/>
                <w:sz w:val="24"/>
                <w:szCs w:val="24"/>
                <w:highlight w:val="none"/>
              </w:rPr>
            </w:pPr>
          </w:p>
        </w:tc>
        <w:tc>
          <w:tcPr>
            <w:tcW w:w="2690" w:type="dxa"/>
            <w:vAlign w:val="center"/>
          </w:tcPr>
          <w:p w14:paraId="66CF3653">
            <w:pPr>
              <w:pStyle w:val="18"/>
              <w:spacing w:line="360" w:lineRule="auto"/>
              <w:ind w:firstLine="0"/>
              <w:jc w:val="center"/>
              <w:rPr>
                <w:rFonts w:ascii="宋体" w:hAnsi="宋体" w:eastAsia="宋体" w:cs="仿宋_GB2312"/>
                <w:color w:val="auto"/>
                <w:sz w:val="24"/>
                <w:szCs w:val="24"/>
                <w:highlight w:val="none"/>
              </w:rPr>
            </w:pPr>
          </w:p>
        </w:tc>
        <w:tc>
          <w:tcPr>
            <w:tcW w:w="1467" w:type="dxa"/>
            <w:vAlign w:val="center"/>
          </w:tcPr>
          <w:p w14:paraId="3664097C">
            <w:pPr>
              <w:pStyle w:val="18"/>
              <w:spacing w:line="360" w:lineRule="auto"/>
              <w:ind w:firstLine="0"/>
              <w:jc w:val="center"/>
              <w:rPr>
                <w:rFonts w:ascii="宋体" w:hAnsi="宋体" w:eastAsia="宋体" w:cs="仿宋_GB2312"/>
                <w:color w:val="auto"/>
                <w:sz w:val="24"/>
                <w:szCs w:val="24"/>
                <w:highlight w:val="none"/>
              </w:rPr>
            </w:pPr>
          </w:p>
        </w:tc>
      </w:tr>
      <w:tr w14:paraId="621887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00" w:type="dxa"/>
            <w:vAlign w:val="center"/>
          </w:tcPr>
          <w:p w14:paraId="66011E6E">
            <w:pPr>
              <w:pStyle w:val="18"/>
              <w:spacing w:line="360" w:lineRule="auto"/>
              <w:ind w:firstLine="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w:t>
            </w:r>
          </w:p>
        </w:tc>
        <w:tc>
          <w:tcPr>
            <w:tcW w:w="900" w:type="dxa"/>
            <w:tcBorders>
              <w:right w:val="single" w:color="auto" w:sz="4" w:space="0"/>
            </w:tcBorders>
            <w:vAlign w:val="center"/>
          </w:tcPr>
          <w:p w14:paraId="53F93E32">
            <w:pPr>
              <w:pStyle w:val="18"/>
              <w:spacing w:line="360" w:lineRule="auto"/>
              <w:ind w:firstLine="0"/>
              <w:jc w:val="center"/>
              <w:rPr>
                <w:rFonts w:ascii="宋体" w:hAnsi="宋体" w:eastAsia="宋体" w:cs="仿宋_GB2312"/>
                <w:color w:val="auto"/>
                <w:sz w:val="24"/>
                <w:szCs w:val="24"/>
                <w:highlight w:val="none"/>
              </w:rPr>
            </w:pPr>
          </w:p>
        </w:tc>
        <w:tc>
          <w:tcPr>
            <w:tcW w:w="2989" w:type="dxa"/>
            <w:tcBorders>
              <w:left w:val="single" w:color="auto" w:sz="4" w:space="0"/>
            </w:tcBorders>
            <w:vAlign w:val="center"/>
          </w:tcPr>
          <w:p w14:paraId="1BD3F502">
            <w:pPr>
              <w:pStyle w:val="18"/>
              <w:spacing w:line="360" w:lineRule="auto"/>
              <w:ind w:firstLine="0"/>
              <w:jc w:val="center"/>
              <w:rPr>
                <w:rFonts w:ascii="宋体" w:hAnsi="宋体" w:eastAsia="宋体" w:cs="仿宋_GB2312"/>
                <w:color w:val="auto"/>
                <w:sz w:val="24"/>
                <w:szCs w:val="24"/>
                <w:highlight w:val="none"/>
              </w:rPr>
            </w:pPr>
          </w:p>
        </w:tc>
        <w:tc>
          <w:tcPr>
            <w:tcW w:w="2690" w:type="dxa"/>
            <w:vAlign w:val="center"/>
          </w:tcPr>
          <w:p w14:paraId="2D6B1655">
            <w:pPr>
              <w:pStyle w:val="18"/>
              <w:spacing w:line="360" w:lineRule="auto"/>
              <w:ind w:firstLine="0"/>
              <w:jc w:val="center"/>
              <w:rPr>
                <w:rFonts w:ascii="宋体" w:hAnsi="宋体" w:eastAsia="宋体" w:cs="仿宋_GB2312"/>
                <w:color w:val="auto"/>
                <w:sz w:val="24"/>
                <w:szCs w:val="24"/>
                <w:highlight w:val="none"/>
              </w:rPr>
            </w:pPr>
          </w:p>
        </w:tc>
        <w:tc>
          <w:tcPr>
            <w:tcW w:w="1467" w:type="dxa"/>
            <w:tcBorders>
              <w:right w:val="single" w:color="auto" w:sz="4" w:space="0"/>
            </w:tcBorders>
            <w:vAlign w:val="center"/>
          </w:tcPr>
          <w:p w14:paraId="00449519">
            <w:pPr>
              <w:pStyle w:val="18"/>
              <w:spacing w:line="360" w:lineRule="auto"/>
              <w:ind w:firstLine="0"/>
              <w:jc w:val="center"/>
              <w:rPr>
                <w:rFonts w:ascii="宋体" w:hAnsi="宋体" w:eastAsia="宋体" w:cs="仿宋_GB2312"/>
                <w:color w:val="auto"/>
                <w:sz w:val="24"/>
                <w:szCs w:val="24"/>
                <w:highlight w:val="none"/>
              </w:rPr>
            </w:pPr>
          </w:p>
        </w:tc>
      </w:tr>
    </w:tbl>
    <w:p w14:paraId="62213ACC">
      <w:pPr>
        <w:pStyle w:val="18"/>
        <w:spacing w:line="360" w:lineRule="auto"/>
        <w:ind w:firstLine="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2FD98298">
      <w:pPr>
        <w:pStyle w:val="18"/>
        <w:spacing w:line="360" w:lineRule="auto"/>
        <w:ind w:firstLine="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 说明：应对照谈判文件“第三章 采购需求”中的技术要求逐条实质性响应，并作出偏离说明。</w:t>
      </w:r>
    </w:p>
    <w:p w14:paraId="4673DCEE">
      <w:pPr>
        <w:pStyle w:val="18"/>
        <w:spacing w:line="360" w:lineRule="auto"/>
        <w:ind w:firstLine="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2.供应商应根据竞标设备的性能指标，对照谈判文件要求，在“偏离说明”中注明“正偏离”“负偏离”或者“无偏离”。既不属于“正偏离”也不属于“负偏离”即为“无偏离”。</w:t>
      </w:r>
    </w:p>
    <w:p w14:paraId="65EF7CE3">
      <w:pPr>
        <w:pStyle w:val="18"/>
        <w:spacing w:line="360" w:lineRule="auto"/>
        <w:ind w:firstLine="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3.供应商认为其竞标响应有正偏离的，请在技术要求偏离表中列明，且在响应文件中提供竞标产品的彩页或</w:t>
      </w:r>
      <w:r>
        <w:rPr>
          <w:rFonts w:ascii="宋体" w:hAnsi="宋体" w:eastAsia="宋体"/>
          <w:color w:val="auto"/>
          <w:sz w:val="24"/>
          <w:szCs w:val="24"/>
          <w:highlight w:val="none"/>
        </w:rPr>
        <w:t>国家认</w:t>
      </w:r>
      <w:r>
        <w:rPr>
          <w:rFonts w:hint="eastAsia" w:ascii="宋体" w:hAnsi="宋体" w:eastAsia="宋体"/>
          <w:color w:val="auto"/>
          <w:sz w:val="24"/>
          <w:szCs w:val="24"/>
          <w:highlight w:val="none"/>
        </w:rPr>
        <w:t>可的</w:t>
      </w:r>
      <w:r>
        <w:rPr>
          <w:rFonts w:ascii="宋体" w:hAnsi="宋体" w:eastAsia="宋体"/>
          <w:color w:val="auto"/>
          <w:sz w:val="24"/>
          <w:szCs w:val="24"/>
          <w:highlight w:val="none"/>
        </w:rPr>
        <w:t>有资质的第三方检测机构出具的检测报告复印件</w:t>
      </w:r>
      <w:r>
        <w:rPr>
          <w:rFonts w:hint="eastAsia" w:ascii="宋体" w:hAnsi="宋体" w:eastAsia="宋体"/>
          <w:color w:val="auto"/>
          <w:sz w:val="24"/>
          <w:szCs w:val="24"/>
          <w:highlight w:val="none"/>
        </w:rPr>
        <w:t>或产品生产厂家出具的技术参数说明证明作为佐证，以上佐证材料均需加盖生产厂家或代理商（附生产厂家授权资料）公章。</w:t>
      </w:r>
    </w:p>
    <w:p w14:paraId="2F96F5EB">
      <w:pPr>
        <w:pStyle w:val="18"/>
        <w:spacing w:line="360" w:lineRule="auto"/>
        <w:ind w:firstLine="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4</w:t>
      </w:r>
      <w:r>
        <w:rPr>
          <w:rFonts w:ascii="宋体" w:hAnsi="宋体" w:eastAsia="宋体"/>
          <w:color w:val="auto"/>
          <w:sz w:val="24"/>
          <w:szCs w:val="24"/>
          <w:highlight w:val="none"/>
        </w:rPr>
        <w:t>.</w:t>
      </w:r>
      <w:r>
        <w:rPr>
          <w:rFonts w:hint="eastAsia" w:ascii="宋体" w:hAnsi="宋体" w:eastAsia="宋体"/>
          <w:color w:val="auto"/>
          <w:sz w:val="24"/>
          <w:szCs w:val="24"/>
          <w:highlight w:val="none"/>
        </w:rPr>
        <w:t xml:space="preserve"> 如技术要求偏离表中的竞标响应与佐证材料不一致的，以佐证材料为准。</w:t>
      </w:r>
    </w:p>
    <w:p w14:paraId="4D650FF6">
      <w:pPr>
        <w:pStyle w:val="18"/>
        <w:spacing w:line="360" w:lineRule="auto"/>
        <w:ind w:firstLine="0"/>
        <w:contextualSpacing/>
        <w:rPr>
          <w:rFonts w:ascii="宋体" w:hAnsi="宋体" w:eastAsia="宋体" w:cs="仿宋_GB2312"/>
          <w:color w:val="auto"/>
          <w:sz w:val="24"/>
          <w:szCs w:val="24"/>
          <w:highlight w:val="none"/>
        </w:rPr>
      </w:pPr>
    </w:p>
    <w:p w14:paraId="3922372B">
      <w:pPr>
        <w:spacing w:line="360" w:lineRule="auto"/>
        <w:ind w:right="-817"/>
        <w:contextualSpacing/>
        <w:rPr>
          <w:rFonts w:ascii="宋体" w:hAnsi="宋体" w:cs="仿宋_GB2312"/>
          <w:color w:val="auto"/>
          <w:sz w:val="24"/>
          <w:highlight w:val="none"/>
        </w:rPr>
      </w:pPr>
    </w:p>
    <w:p w14:paraId="70AB4E8D">
      <w:pPr>
        <w:spacing w:line="360" w:lineRule="auto"/>
        <w:ind w:right="-817"/>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76F16092">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2512A9DE">
      <w:pPr>
        <w:spacing w:line="360" w:lineRule="auto"/>
        <w:ind w:right="-817" w:firstLine="2880"/>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580B619E">
      <w:pPr>
        <w:spacing w:line="300" w:lineRule="auto"/>
        <w:jc w:val="center"/>
        <w:rPr>
          <w:rFonts w:ascii="Arial Unicode MS" w:hAnsi="Arial Unicode MS" w:eastAsia="Arial Unicode MS" w:cs="Arial Unicode MS"/>
          <w:bCs/>
          <w:color w:val="auto"/>
          <w:sz w:val="32"/>
          <w:szCs w:val="32"/>
          <w:highlight w:val="none"/>
        </w:rPr>
      </w:pPr>
      <w:r>
        <w:rPr>
          <w:rFonts w:ascii="宋体" w:hAnsi="宋体"/>
          <w:b/>
          <w:bCs/>
          <w:color w:val="auto"/>
          <w:sz w:val="24"/>
          <w:highlight w:val="none"/>
        </w:rPr>
        <w:br w:type="page" w:clear="all"/>
      </w:r>
      <w:r>
        <w:rPr>
          <w:rFonts w:hint="eastAsia" w:ascii="Arial Unicode MS" w:hAnsi="Arial Unicode MS" w:eastAsia="Arial Unicode MS" w:cs="Arial Unicode MS"/>
          <w:bCs/>
          <w:color w:val="auto"/>
          <w:sz w:val="44"/>
          <w:szCs w:val="44"/>
          <w:highlight w:val="none"/>
        </w:rPr>
        <w:t>8.</w:t>
      </w:r>
      <w:r>
        <w:rPr>
          <w:rFonts w:hint="eastAsia" w:ascii="Arial Unicode MS" w:hAnsi="Arial Unicode MS" w:eastAsia="Arial Unicode MS" w:cs="Arial Unicode MS"/>
          <w:bCs/>
          <w:color w:val="auto"/>
          <w:sz w:val="32"/>
          <w:szCs w:val="32"/>
          <w:highlight w:val="none"/>
        </w:rPr>
        <w:t>《关于符合本国产品标准的声明函》或者财政部会同有关部门规定的有关证明文件；（供应商根据自身响应情况出具）</w:t>
      </w:r>
    </w:p>
    <w:p w14:paraId="47ACDE8A">
      <w:pPr>
        <w:spacing w:line="300" w:lineRule="auto"/>
        <w:rPr>
          <w:rFonts w:ascii="宋体" w:hAnsi="宋体"/>
          <w:b/>
          <w:bCs/>
          <w:color w:val="auto"/>
          <w:sz w:val="24"/>
          <w:highlight w:val="none"/>
        </w:rPr>
      </w:pPr>
    </w:p>
    <w:p w14:paraId="4DE21C70">
      <w:pPr>
        <w:widowControl/>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14:paraId="7669D963">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 </w:t>
      </w:r>
    </w:p>
    <w:p w14:paraId="55C5AFF6">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1BFC5A18">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i/>
          <w:iCs/>
          <w:color w:val="auto"/>
          <w:sz w:val="24"/>
          <w:highlight w:val="none"/>
        </w:rPr>
        <w:t>（产品名称1）</w:t>
      </w:r>
      <w:r>
        <w:rPr>
          <w:rFonts w:hint="eastAsia" w:ascii="宋体" w:hAnsi="宋体" w:cs="宋体"/>
          <w:i/>
          <w:iCs/>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i/>
          <w:iCs/>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i/>
          <w:iCs/>
          <w:color w:val="auto"/>
          <w:sz w:val="18"/>
          <w:szCs w:val="18"/>
          <w:highlight w:val="none"/>
          <w:vertAlign w:val="superscript"/>
        </w:rPr>
        <w:t>3</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i/>
          <w:iCs/>
          <w:color w:val="auto"/>
          <w:sz w:val="18"/>
          <w:szCs w:val="18"/>
          <w:highlight w:val="none"/>
          <w:vertAlign w:val="superscript"/>
        </w:rPr>
        <w:t>4</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i/>
          <w:iCs/>
          <w:color w:val="auto"/>
          <w:sz w:val="18"/>
          <w:szCs w:val="18"/>
          <w:highlight w:val="none"/>
          <w:vertAlign w:val="superscript"/>
        </w:rPr>
        <w:t>5</w:t>
      </w:r>
      <w:r>
        <w:rPr>
          <w:rFonts w:hint="eastAsia" w:ascii="宋体" w:hAnsi="宋体" w:cs="宋体"/>
          <w:color w:val="auto"/>
          <w:sz w:val="24"/>
          <w:highlight w:val="none"/>
        </w:rPr>
        <w:t>在中国境内完成。</w:t>
      </w:r>
    </w:p>
    <w:p w14:paraId="3B190982">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i/>
          <w:iCs/>
          <w:color w:val="auto"/>
          <w:sz w:val="24"/>
          <w:highlight w:val="none"/>
        </w:rPr>
        <w:t>（产品名称2）</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color w:val="auto"/>
          <w:sz w:val="24"/>
          <w:highlight w:val="none"/>
        </w:rPr>
        <w:t>在中国境内完成。</w:t>
      </w:r>
    </w:p>
    <w:p w14:paraId="4A8EA24F">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w:t>
      </w:r>
    </w:p>
    <w:p w14:paraId="5CF5819F">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14:paraId="517A9132">
      <w:pPr>
        <w:widowControl/>
        <w:shd w:val="clear" w:color="auto" w:fill="FFFFFF"/>
        <w:spacing w:before="30" w:after="30"/>
        <w:jc w:val="left"/>
        <w:rPr>
          <w:rFonts w:ascii="宋体" w:hAnsi="宋体" w:cs="宋体"/>
          <w:color w:val="auto"/>
          <w:sz w:val="24"/>
          <w:highlight w:val="none"/>
        </w:rPr>
      </w:pPr>
      <w:r>
        <w:rPr>
          <w:rFonts w:hint="eastAsia" w:ascii="宋体" w:hAnsi="宋体" w:cs="宋体"/>
          <w:color w:val="auto"/>
          <w:sz w:val="24"/>
          <w:highlight w:val="none"/>
        </w:rPr>
        <w:t> </w:t>
      </w:r>
    </w:p>
    <w:p w14:paraId="6620FC3C">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1A79782B">
      <w:pPr>
        <w:spacing w:line="360" w:lineRule="auto"/>
        <w:ind w:right="-817" w:firstLine="2880"/>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4103D274">
      <w:pPr>
        <w:widowControl/>
        <w:shd w:val="clear" w:color="auto" w:fill="FFFFFF"/>
        <w:jc w:val="right"/>
        <w:rPr>
          <w:rFonts w:ascii="宋体" w:hAnsi="宋体" w:cs="宋体"/>
          <w:color w:val="auto"/>
          <w:sz w:val="24"/>
          <w:highlight w:val="none"/>
        </w:rPr>
      </w:pPr>
      <w:r>
        <w:rPr>
          <w:rFonts w:hint="eastAsia" w:ascii="宋体" w:hAnsi="宋体" w:cs="宋体"/>
          <w:color w:val="auto"/>
          <w:sz w:val="24"/>
          <w:highlight w:val="none"/>
        </w:rPr>
        <w:t>        </w:t>
      </w:r>
    </w:p>
    <w:p w14:paraId="4AAD74E5">
      <w:pPr>
        <w:widowControl/>
        <w:shd w:val="clear" w:color="auto" w:fill="FFFFFF"/>
        <w:spacing w:before="30" w:after="30"/>
        <w:jc w:val="left"/>
        <w:rPr>
          <w:rFonts w:ascii="宋体" w:hAnsi="宋体" w:cs="宋体"/>
          <w:color w:val="auto"/>
          <w:sz w:val="24"/>
          <w:highlight w:val="none"/>
        </w:rPr>
      </w:pPr>
      <w:r>
        <w:rPr>
          <w:rFonts w:hint="eastAsia" w:ascii="宋体" w:hAnsi="宋体" w:cs="宋体"/>
          <w:color w:val="auto"/>
          <w:sz w:val="24"/>
          <w:highlight w:val="none"/>
        </w:rPr>
        <w:t>__________________</w:t>
      </w:r>
    </w:p>
    <w:p w14:paraId="7B6A5D57">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14:paraId="3A8BBEE1">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14:paraId="1E268359">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14:paraId="4689BD5B">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14:paraId="2D322599">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14:paraId="77D93ABE">
      <w:pPr>
        <w:spacing w:line="360" w:lineRule="auto"/>
        <w:contextualSpacing/>
        <w:rPr>
          <w:rFonts w:ascii="宋体" w:hAnsi="宋体" w:cs="仿宋_GB2312"/>
          <w:color w:val="auto"/>
          <w:sz w:val="24"/>
          <w:highlight w:val="none"/>
        </w:rPr>
      </w:pPr>
    </w:p>
    <w:p w14:paraId="63AF74E5">
      <w:pPr>
        <w:spacing w:line="300" w:lineRule="auto"/>
        <w:rPr>
          <w:rFonts w:ascii="宋体" w:hAnsi="宋体"/>
          <w:b/>
          <w:bCs/>
          <w:color w:val="auto"/>
          <w:sz w:val="24"/>
          <w:highlight w:val="none"/>
        </w:rPr>
      </w:pPr>
    </w:p>
    <w:p w14:paraId="5D24685B">
      <w:pPr>
        <w:spacing w:line="300" w:lineRule="auto"/>
        <w:rPr>
          <w:rFonts w:ascii="宋体" w:hAnsi="宋体"/>
          <w:b/>
          <w:bCs/>
          <w:color w:val="auto"/>
          <w:sz w:val="24"/>
          <w:highlight w:val="none"/>
        </w:rPr>
      </w:pPr>
    </w:p>
    <w:p w14:paraId="58C44BDD">
      <w:pPr>
        <w:spacing w:line="300" w:lineRule="auto"/>
        <w:rPr>
          <w:rFonts w:ascii="宋体" w:hAnsi="宋体"/>
          <w:b/>
          <w:bCs/>
          <w:color w:val="auto"/>
          <w:sz w:val="24"/>
          <w:highlight w:val="none"/>
        </w:rPr>
      </w:pPr>
    </w:p>
    <w:p w14:paraId="7D9F5132">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63FAEB4A">
      <w:pPr>
        <w:spacing w:line="360" w:lineRule="auto"/>
        <w:ind w:right="-817" w:firstLine="2880"/>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2C21671A">
      <w:pPr>
        <w:spacing w:line="300" w:lineRule="auto"/>
        <w:ind w:firstLine="6080"/>
        <w:rPr>
          <w:rFonts w:ascii="Arial Unicode MS" w:hAnsi="Arial Unicode MS" w:eastAsia="Arial Unicode MS" w:cs="Arial Unicode MS"/>
          <w:bCs/>
          <w:color w:val="auto"/>
          <w:sz w:val="32"/>
          <w:szCs w:val="32"/>
          <w:highlight w:val="none"/>
        </w:rPr>
      </w:pPr>
    </w:p>
    <w:p w14:paraId="187D1588">
      <w:pPr>
        <w:spacing w:line="300" w:lineRule="auto"/>
        <w:ind w:firstLine="6080"/>
        <w:rPr>
          <w:rFonts w:ascii="Arial Unicode MS" w:hAnsi="Arial Unicode MS" w:eastAsia="Arial Unicode MS" w:cs="Arial Unicode MS"/>
          <w:bCs/>
          <w:color w:val="auto"/>
          <w:sz w:val="32"/>
          <w:szCs w:val="32"/>
          <w:highlight w:val="none"/>
        </w:rPr>
      </w:pPr>
    </w:p>
    <w:p w14:paraId="11AFC805">
      <w:pPr>
        <w:spacing w:line="300" w:lineRule="auto"/>
        <w:jc w:val="center"/>
        <w:rPr>
          <w:rFonts w:ascii="Arial Unicode MS" w:hAnsi="Arial Unicode MS" w:eastAsia="Arial Unicode MS" w:cs="Arial Unicode MS"/>
          <w:bCs/>
          <w:color w:val="auto"/>
          <w:sz w:val="44"/>
          <w:szCs w:val="44"/>
          <w:highlight w:val="none"/>
        </w:rPr>
      </w:pPr>
      <w:r>
        <w:rPr>
          <w:rFonts w:hint="eastAsia" w:ascii="Arial Unicode MS" w:hAnsi="Arial Unicode MS" w:eastAsia="Arial Unicode MS" w:cs="Arial Unicode MS"/>
          <w:bCs/>
          <w:color w:val="auto"/>
          <w:sz w:val="44"/>
          <w:szCs w:val="44"/>
          <w:highlight w:val="none"/>
        </w:rPr>
        <w:t>9.</w:t>
      </w:r>
      <w:bookmarkStart w:id="68" w:name="_Toc71366061"/>
      <w:bookmarkStart w:id="69" w:name="_Toc71365383"/>
      <w:r>
        <w:rPr>
          <w:rFonts w:hint="eastAsia" w:ascii="Arial Unicode MS" w:hAnsi="Arial Unicode MS" w:eastAsia="Arial Unicode MS" w:cs="Arial Unicode MS"/>
          <w:bCs/>
          <w:color w:val="auto"/>
          <w:sz w:val="44"/>
          <w:szCs w:val="44"/>
          <w:highlight w:val="none"/>
        </w:rPr>
        <w:t>代理服务费承诺书</w:t>
      </w:r>
    </w:p>
    <w:p w14:paraId="1F99117B">
      <w:pPr>
        <w:spacing w:before="156" w:after="50"/>
        <w:jc w:val="center"/>
        <w:rPr>
          <w:rFonts w:ascii="宋体" w:hAnsi="宋体"/>
          <w:b/>
          <w:color w:val="auto"/>
          <w:sz w:val="24"/>
          <w:highlight w:val="none"/>
        </w:rPr>
      </w:pPr>
    </w:p>
    <w:p w14:paraId="4E404EDC">
      <w:pPr>
        <w:spacing w:line="360" w:lineRule="auto"/>
        <w:rPr>
          <w:rFonts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代理机构名称</w:t>
      </w:r>
      <w:r>
        <w:rPr>
          <w:rFonts w:hint="eastAsia" w:ascii="宋体" w:hAnsi="宋体"/>
          <w:color w:val="auto"/>
          <w:sz w:val="24"/>
          <w:highlight w:val="none"/>
        </w:rPr>
        <w:t>：</w:t>
      </w:r>
    </w:p>
    <w:p w14:paraId="141E2A16">
      <w:pPr>
        <w:spacing w:line="360" w:lineRule="auto"/>
        <w:ind w:firstLine="480"/>
        <w:rPr>
          <w:rFonts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64415180">
      <w:pPr>
        <w:spacing w:line="360" w:lineRule="auto"/>
        <w:ind w:firstLine="480"/>
        <w:rPr>
          <w:rFonts w:ascii="宋体" w:hAnsi="宋体"/>
          <w:color w:val="auto"/>
          <w:sz w:val="24"/>
          <w:highlight w:val="none"/>
        </w:rPr>
      </w:pPr>
      <w:r>
        <w:rPr>
          <w:rFonts w:hint="eastAsia" w:ascii="宋体" w:hAnsi="宋体"/>
          <w:color w:val="auto"/>
          <w:sz w:val="24"/>
          <w:highlight w:val="none"/>
        </w:rPr>
        <w:t>1.我方承诺，若本单位成交，保证在发出成交通知书之后，按本项目采购文件的规定标准向贵单位一次性足额支付代理服务费， 在领取成交通知书后，由于被质疑、投诉或者其他原因而导致成交结果改变，我方将放弃对已缴纳的成交服务费追还的一切权利。</w:t>
      </w:r>
    </w:p>
    <w:p w14:paraId="38E08E97">
      <w:pPr>
        <w:spacing w:line="360" w:lineRule="auto"/>
        <w:ind w:firstLine="360"/>
        <w:rPr>
          <w:rFonts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19CB10B2">
      <w:pPr>
        <w:spacing w:line="360" w:lineRule="auto"/>
        <w:ind w:firstLine="360"/>
        <w:rPr>
          <w:rFonts w:ascii="宋体" w:hAnsi="宋体"/>
          <w:color w:val="auto"/>
          <w:sz w:val="24"/>
          <w:highlight w:val="none"/>
        </w:rPr>
      </w:pPr>
      <w:r>
        <w:rPr>
          <w:rFonts w:hint="eastAsia" w:ascii="宋体" w:hAnsi="宋体"/>
          <w:color w:val="auto"/>
          <w:sz w:val="24"/>
          <w:highlight w:val="none"/>
        </w:rPr>
        <w:t>第一种方式：开具增值税普通发票。开票信息如下：</w:t>
      </w:r>
    </w:p>
    <w:p w14:paraId="1E4C4E57">
      <w:pPr>
        <w:spacing w:line="360" w:lineRule="auto"/>
        <w:ind w:firstLine="360"/>
        <w:rPr>
          <w:rFonts w:ascii="宋体" w:hAnsi="宋体"/>
          <w:color w:val="auto"/>
          <w:sz w:val="24"/>
          <w:highlight w:val="none"/>
        </w:rPr>
      </w:pPr>
      <w:r>
        <w:rPr>
          <w:rFonts w:hint="eastAsia" w:ascii="宋体" w:hAnsi="宋体"/>
          <w:color w:val="auto"/>
          <w:sz w:val="24"/>
          <w:highlight w:val="none"/>
        </w:rPr>
        <w:t>（1）公司名称_</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706612A1">
      <w:pPr>
        <w:spacing w:line="360" w:lineRule="auto"/>
        <w:ind w:firstLine="360"/>
        <w:rPr>
          <w:rFonts w:ascii="宋体" w:hAnsi="宋体"/>
          <w:color w:val="auto"/>
          <w:sz w:val="24"/>
          <w:highlight w:val="none"/>
        </w:rPr>
      </w:pPr>
      <w:r>
        <w:rPr>
          <w:rFonts w:hint="eastAsia" w:ascii="宋体" w:hAnsi="宋体"/>
          <w:color w:val="auto"/>
          <w:sz w:val="24"/>
          <w:highlight w:val="none"/>
        </w:rPr>
        <w:t>（2）纳税人识别号_</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16E59F14">
      <w:pPr>
        <w:spacing w:line="360" w:lineRule="auto"/>
        <w:ind w:firstLine="360"/>
        <w:rPr>
          <w:rFonts w:ascii="宋体" w:hAnsi="宋体"/>
          <w:color w:val="auto"/>
          <w:sz w:val="24"/>
          <w:highlight w:val="none"/>
        </w:rPr>
      </w:pPr>
      <w:r>
        <w:rPr>
          <w:rFonts w:hint="eastAsia" w:ascii="宋体" w:hAnsi="宋体"/>
          <w:color w:val="auto"/>
          <w:sz w:val="24"/>
          <w:highlight w:val="none"/>
        </w:rPr>
        <w:t>第二种方式：开具增值税专用发票，开票信息如下：</w:t>
      </w:r>
    </w:p>
    <w:p w14:paraId="02148E06">
      <w:pPr>
        <w:spacing w:line="360" w:lineRule="auto"/>
        <w:ind w:firstLine="360"/>
        <w:rPr>
          <w:rFonts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699921CB">
      <w:pPr>
        <w:spacing w:line="360" w:lineRule="auto"/>
        <w:ind w:firstLine="360"/>
        <w:rPr>
          <w:rFonts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32B249A2">
      <w:pPr>
        <w:spacing w:line="360" w:lineRule="auto"/>
        <w:ind w:firstLine="360"/>
        <w:rPr>
          <w:rFonts w:ascii="宋体" w:hAnsi="宋体"/>
          <w:color w:val="auto"/>
          <w:sz w:val="24"/>
          <w:highlight w:val="none"/>
        </w:rPr>
      </w:pPr>
      <w:r>
        <w:rPr>
          <w:rFonts w:hint="eastAsia" w:ascii="宋体" w:hAnsi="宋体"/>
          <w:color w:val="auto"/>
          <w:sz w:val="24"/>
          <w:highlight w:val="none"/>
        </w:rPr>
        <w:t>（3）在税局登记的地址</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7CBF9102">
      <w:pPr>
        <w:spacing w:line="360" w:lineRule="auto"/>
        <w:ind w:firstLine="360"/>
        <w:rPr>
          <w:rFonts w:ascii="宋体" w:hAnsi="宋体"/>
          <w:color w:val="auto"/>
          <w:sz w:val="24"/>
          <w:highlight w:val="none"/>
        </w:rPr>
      </w:pPr>
      <w:r>
        <w:rPr>
          <w:rFonts w:hint="eastAsia" w:ascii="宋体" w:hAnsi="宋体"/>
          <w:color w:val="auto"/>
          <w:sz w:val="24"/>
          <w:highlight w:val="none"/>
        </w:rPr>
        <w:t>（4）在税局登记的电话</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5C2AECAA">
      <w:pPr>
        <w:spacing w:line="360" w:lineRule="auto"/>
        <w:ind w:firstLine="360"/>
        <w:rPr>
          <w:rFonts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75C6282C">
      <w:pPr>
        <w:spacing w:line="360" w:lineRule="auto"/>
        <w:ind w:firstLine="360"/>
        <w:rPr>
          <w:rFonts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4E0007D6">
      <w:pPr>
        <w:spacing w:line="440" w:lineRule="exact"/>
        <w:rPr>
          <w:rFonts w:ascii="宋体" w:hAnsi="宋体"/>
          <w:color w:val="auto"/>
          <w:sz w:val="24"/>
          <w:highlight w:val="none"/>
        </w:rPr>
      </w:pPr>
    </w:p>
    <w:p w14:paraId="72396D4A">
      <w:pPr>
        <w:spacing w:line="440" w:lineRule="exact"/>
        <w:rPr>
          <w:rFonts w:ascii="宋体" w:hAnsi="宋体"/>
          <w:color w:val="auto"/>
          <w:sz w:val="24"/>
          <w:highlight w:val="none"/>
        </w:rPr>
      </w:pPr>
    </w:p>
    <w:p w14:paraId="202293D7">
      <w:pPr>
        <w:spacing w:line="440" w:lineRule="exact"/>
        <w:rPr>
          <w:rFonts w:ascii="宋体" w:hAnsi="宋体"/>
          <w:color w:val="auto"/>
          <w:sz w:val="24"/>
          <w:highlight w:val="none"/>
        </w:rPr>
      </w:pPr>
    </w:p>
    <w:p w14:paraId="698E5E91">
      <w:pPr>
        <w:spacing w:line="360" w:lineRule="auto"/>
        <w:ind w:left="-2" w:right="-817" w:firstLine="1920"/>
        <w:rPr>
          <w:rFonts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15CEDB1D">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供应商公章（电子签章）：</w:t>
      </w:r>
    </w:p>
    <w:p w14:paraId="3BB8935E">
      <w:pPr>
        <w:spacing w:before="50" w:after="50" w:line="360" w:lineRule="auto"/>
        <w:ind w:right="-817" w:firstLine="4080"/>
        <w:rPr>
          <w:rFonts w:ascii="仿宋_GB2312" w:hAnsi="仿宋_GB2312" w:eastAsia="仿宋_GB2312" w:cs="仿宋_GB2312"/>
          <w:b/>
          <w:color w:val="auto"/>
          <w:sz w:val="32"/>
          <w:szCs w:val="32"/>
          <w:highlight w:val="none"/>
        </w:rPr>
      </w:pPr>
      <w:r>
        <w:rPr>
          <w:rFonts w:hint="eastAsia" w:ascii="宋体" w:hAnsi="宋体"/>
          <w:color w:val="auto"/>
          <w:sz w:val="24"/>
          <w:highlight w:val="none"/>
        </w:rPr>
        <w:t xml:space="preserve">                   日期：    年   月   日</w:t>
      </w:r>
    </w:p>
    <w:p w14:paraId="32FA60F4">
      <w:pPr>
        <w:spacing w:line="360" w:lineRule="auto"/>
        <w:ind w:right="-817" w:firstLine="3840"/>
        <w:contextualSpacing/>
        <w:rPr>
          <w:rFonts w:ascii="仿宋_GB2312" w:hAnsi="仿宋_GB2312" w:eastAsia="仿宋_GB2312" w:cs="仿宋_GB2312"/>
          <w:color w:val="auto"/>
          <w:sz w:val="32"/>
          <w:szCs w:val="32"/>
          <w:highlight w:val="none"/>
        </w:rPr>
      </w:pPr>
    </w:p>
    <w:p w14:paraId="4A664862">
      <w:pPr>
        <w:spacing w:line="360" w:lineRule="auto"/>
        <w:ind w:right="-817" w:firstLine="3840"/>
        <w:contextualSpacing/>
        <w:rPr>
          <w:rFonts w:ascii="仿宋_GB2312" w:hAnsi="仿宋_GB2312" w:eastAsia="仿宋_GB2312" w:cs="仿宋_GB2312"/>
          <w:color w:val="auto"/>
          <w:sz w:val="32"/>
          <w:szCs w:val="32"/>
          <w:highlight w:val="none"/>
        </w:rPr>
      </w:pPr>
    </w:p>
    <w:p w14:paraId="50F3A5FA">
      <w:pPr>
        <w:spacing w:line="360" w:lineRule="auto"/>
        <w:ind w:right="-817" w:firstLine="3840"/>
        <w:contextualSpacing/>
        <w:rPr>
          <w:rFonts w:ascii="仿宋_GB2312" w:hAnsi="仿宋_GB2312" w:eastAsia="仿宋_GB2312" w:cs="仿宋_GB2312"/>
          <w:color w:val="auto"/>
          <w:sz w:val="32"/>
          <w:szCs w:val="32"/>
          <w:highlight w:val="none"/>
        </w:rPr>
      </w:pPr>
    </w:p>
    <w:p w14:paraId="2E334183">
      <w:pPr>
        <w:spacing w:line="300" w:lineRule="auto"/>
        <w:jc w:val="center"/>
        <w:rPr>
          <w:rFonts w:ascii="Arial Unicode MS" w:hAnsi="Arial Unicode MS" w:eastAsia="Arial Unicode MS" w:cs="Arial Unicode MS"/>
          <w:bCs/>
          <w:color w:val="auto"/>
          <w:sz w:val="44"/>
          <w:szCs w:val="44"/>
          <w:highlight w:val="none"/>
        </w:rPr>
      </w:pPr>
    </w:p>
    <w:p w14:paraId="7F650252">
      <w:pPr>
        <w:spacing w:line="300" w:lineRule="auto"/>
        <w:jc w:val="center"/>
        <w:rPr>
          <w:rFonts w:ascii="Arial Unicode MS" w:hAnsi="Arial Unicode MS" w:eastAsia="Arial Unicode MS" w:cs="Arial Unicode MS"/>
          <w:bCs/>
          <w:color w:val="auto"/>
          <w:sz w:val="44"/>
          <w:szCs w:val="44"/>
          <w:highlight w:val="none"/>
        </w:rPr>
      </w:pPr>
      <w:r>
        <w:rPr>
          <w:rFonts w:hint="eastAsia" w:ascii="Arial Unicode MS" w:hAnsi="Arial Unicode MS" w:eastAsia="Arial Unicode MS" w:cs="Arial Unicode MS"/>
          <w:bCs/>
          <w:color w:val="auto"/>
          <w:sz w:val="44"/>
          <w:szCs w:val="44"/>
          <w:highlight w:val="none"/>
        </w:rPr>
        <w:t>10.对应采购需求的技术要求、商务要求提供的其他文件资料</w:t>
      </w:r>
    </w:p>
    <w:p w14:paraId="61170BC8">
      <w:pPr>
        <w:spacing w:line="360" w:lineRule="auto"/>
        <w:ind w:left="208" w:right="-817" w:firstLine="686"/>
        <w:jc w:val="center"/>
        <w:rPr>
          <w:rFonts w:ascii="宋体" w:hAnsi="宋体"/>
          <w:color w:val="auto"/>
          <w:sz w:val="24"/>
          <w:highlight w:val="none"/>
        </w:rPr>
      </w:pPr>
    </w:p>
    <w:p w14:paraId="4C2BEB92">
      <w:pPr>
        <w:spacing w:line="360" w:lineRule="auto"/>
        <w:ind w:left="208" w:right="-817" w:firstLine="686"/>
        <w:jc w:val="center"/>
        <w:rPr>
          <w:rFonts w:ascii="宋体" w:hAnsi="宋体"/>
          <w:color w:val="auto"/>
          <w:sz w:val="24"/>
          <w:highlight w:val="none"/>
        </w:rPr>
      </w:pPr>
    </w:p>
    <w:p w14:paraId="4BF919CE">
      <w:pPr>
        <w:spacing w:line="360" w:lineRule="auto"/>
        <w:ind w:left="208" w:right="-817" w:firstLine="686"/>
        <w:jc w:val="center"/>
        <w:rPr>
          <w:rFonts w:ascii="宋体" w:hAnsi="宋体"/>
          <w:color w:val="auto"/>
          <w:sz w:val="24"/>
          <w:highlight w:val="none"/>
        </w:rPr>
      </w:pPr>
    </w:p>
    <w:p w14:paraId="2E5FBE8A">
      <w:pPr>
        <w:spacing w:line="360" w:lineRule="auto"/>
        <w:ind w:left="208" w:right="-817" w:firstLine="686"/>
        <w:jc w:val="center"/>
        <w:rPr>
          <w:rFonts w:ascii="宋体" w:hAnsi="宋体"/>
          <w:color w:val="auto"/>
          <w:sz w:val="24"/>
          <w:highlight w:val="none"/>
        </w:rPr>
      </w:pPr>
      <w:r>
        <w:rPr>
          <w:rFonts w:hint="eastAsia" w:ascii="宋体" w:hAnsi="宋体"/>
          <w:color w:val="auto"/>
          <w:sz w:val="24"/>
          <w:highlight w:val="none"/>
        </w:rPr>
        <w:t xml:space="preserve"> 供应商公章（电子签章）：</w:t>
      </w:r>
    </w:p>
    <w:p w14:paraId="2A1D91A5">
      <w:pPr>
        <w:spacing w:before="50" w:after="50" w:line="360" w:lineRule="auto"/>
        <w:ind w:right="-817" w:firstLine="960"/>
        <w:jc w:val="center"/>
        <w:rPr>
          <w:rFonts w:ascii="仿宋_GB2312" w:hAnsi="仿宋_GB2312" w:eastAsia="仿宋_GB2312" w:cs="仿宋_GB2312"/>
          <w:b/>
          <w:color w:val="auto"/>
          <w:sz w:val="32"/>
          <w:szCs w:val="32"/>
          <w:highlight w:val="none"/>
        </w:rPr>
      </w:pPr>
      <w:r>
        <w:rPr>
          <w:rFonts w:hint="eastAsia" w:ascii="宋体" w:hAnsi="宋体"/>
          <w:color w:val="auto"/>
          <w:sz w:val="24"/>
          <w:highlight w:val="none"/>
        </w:rPr>
        <w:t xml:space="preserve"> 日期：    年   月   日</w:t>
      </w:r>
    </w:p>
    <w:p w14:paraId="4B6934CB">
      <w:pPr>
        <w:spacing w:line="360" w:lineRule="auto"/>
        <w:rPr>
          <w:rFonts w:ascii="Arial Unicode MS" w:hAnsi="Arial Unicode MS" w:eastAsia="Arial Unicode MS" w:cs="Arial Unicode MS"/>
          <w:bCs/>
          <w:color w:val="auto"/>
          <w:sz w:val="32"/>
          <w:szCs w:val="32"/>
          <w:highlight w:val="none"/>
        </w:rPr>
      </w:pPr>
      <w:r>
        <w:rPr>
          <w:rFonts w:ascii="宋体" w:hAnsi="宋体"/>
          <w:b/>
          <w:bCs/>
          <w:color w:val="auto"/>
          <w:sz w:val="24"/>
          <w:highlight w:val="none"/>
        </w:rPr>
        <w:br w:type="page" w:clear="all"/>
      </w:r>
      <w:bookmarkEnd w:id="68"/>
      <w:bookmarkEnd w:id="69"/>
      <w:r>
        <w:rPr>
          <w:rFonts w:hint="eastAsia" w:ascii="Arial Unicode MS" w:hAnsi="Arial Unicode MS" w:eastAsia="Arial Unicode MS" w:cs="Arial Unicode MS"/>
          <w:bCs/>
          <w:color w:val="auto"/>
          <w:sz w:val="44"/>
          <w:szCs w:val="44"/>
          <w:highlight w:val="none"/>
        </w:rPr>
        <w:t>11.供应商认为需要提供的其他有关资料。</w:t>
      </w:r>
    </w:p>
    <w:p w14:paraId="1E1B1F06">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w:t>
      </w:r>
    </w:p>
    <w:p w14:paraId="1181E367">
      <w:pPr>
        <w:spacing w:line="360" w:lineRule="auto"/>
        <w:ind w:left="-3" w:right="-817" w:hanging="28"/>
        <w:rPr>
          <w:rFonts w:ascii="宋体" w:hAnsi="宋体"/>
          <w:color w:val="auto"/>
          <w:sz w:val="24"/>
          <w:highlight w:val="none"/>
        </w:rPr>
      </w:pPr>
    </w:p>
    <w:p w14:paraId="3EFD9F10">
      <w:pPr>
        <w:spacing w:line="360" w:lineRule="auto"/>
        <w:ind w:left="208" w:right="-817" w:firstLine="686"/>
        <w:jc w:val="center"/>
        <w:rPr>
          <w:rFonts w:ascii="宋体" w:hAnsi="宋体"/>
          <w:color w:val="auto"/>
          <w:sz w:val="24"/>
          <w:highlight w:val="none"/>
        </w:rPr>
      </w:pPr>
      <w:r>
        <w:rPr>
          <w:rFonts w:hint="eastAsia" w:ascii="宋体" w:hAnsi="宋体"/>
          <w:color w:val="auto"/>
          <w:sz w:val="24"/>
          <w:highlight w:val="none"/>
        </w:rPr>
        <w:t xml:space="preserve"> 供应商公章（电子签章）：</w:t>
      </w:r>
    </w:p>
    <w:p w14:paraId="22CC0EF1">
      <w:pPr>
        <w:spacing w:before="50" w:after="50" w:line="360" w:lineRule="auto"/>
        <w:ind w:right="-817" w:firstLine="960"/>
        <w:jc w:val="center"/>
        <w:rPr>
          <w:rFonts w:ascii="仿宋_GB2312" w:hAnsi="仿宋_GB2312" w:eastAsia="仿宋_GB2312" w:cs="仿宋_GB2312"/>
          <w:b/>
          <w:color w:val="auto"/>
          <w:sz w:val="32"/>
          <w:szCs w:val="32"/>
          <w:highlight w:val="none"/>
        </w:rPr>
      </w:pPr>
      <w:r>
        <w:rPr>
          <w:rFonts w:hint="eastAsia" w:ascii="宋体" w:hAnsi="宋体"/>
          <w:color w:val="auto"/>
          <w:sz w:val="24"/>
          <w:highlight w:val="none"/>
        </w:rPr>
        <w:t xml:space="preserve"> 日期：    年   月   日</w:t>
      </w:r>
    </w:p>
    <w:p w14:paraId="0965FD22">
      <w:pPr>
        <w:spacing w:line="360" w:lineRule="auto"/>
        <w:rPr>
          <w:rFonts w:ascii="Arial Unicode MS" w:hAnsi="Arial Unicode MS" w:eastAsia="Arial Unicode MS" w:cs="Arial Unicode MS"/>
          <w:bCs/>
          <w:color w:val="auto"/>
          <w:sz w:val="32"/>
          <w:szCs w:val="32"/>
          <w:highlight w:val="none"/>
        </w:rPr>
      </w:pPr>
    </w:p>
    <w:p w14:paraId="28ACC311">
      <w:pPr>
        <w:spacing w:line="360" w:lineRule="auto"/>
        <w:rPr>
          <w:rFonts w:ascii="宋体" w:hAnsi="宋体"/>
          <w:b/>
          <w:bCs/>
          <w:color w:val="auto"/>
          <w:sz w:val="24"/>
          <w:highlight w:val="none"/>
        </w:rPr>
      </w:pPr>
    </w:p>
    <w:p w14:paraId="06C4221F">
      <w:pPr>
        <w:spacing w:line="360" w:lineRule="auto"/>
        <w:rPr>
          <w:rFonts w:ascii="宋体" w:hAnsi="宋体"/>
          <w:b/>
          <w:bCs/>
          <w:color w:val="auto"/>
          <w:sz w:val="24"/>
          <w:highlight w:val="none"/>
        </w:rPr>
      </w:pPr>
    </w:p>
    <w:p w14:paraId="2D5DA28E">
      <w:pPr>
        <w:spacing w:line="360" w:lineRule="auto"/>
        <w:rPr>
          <w:rFonts w:ascii="宋体" w:hAnsi="宋体"/>
          <w:b/>
          <w:bCs/>
          <w:color w:val="auto"/>
          <w:sz w:val="24"/>
          <w:highlight w:val="none"/>
        </w:rPr>
      </w:pPr>
    </w:p>
    <w:p w14:paraId="7C31EA43">
      <w:pPr>
        <w:spacing w:line="360" w:lineRule="auto"/>
        <w:rPr>
          <w:rFonts w:ascii="宋体" w:hAnsi="宋体"/>
          <w:b/>
          <w:bCs/>
          <w:color w:val="auto"/>
          <w:sz w:val="24"/>
          <w:highlight w:val="none"/>
        </w:rPr>
      </w:pPr>
    </w:p>
    <w:p w14:paraId="21F513E3">
      <w:pPr>
        <w:spacing w:line="360" w:lineRule="auto"/>
        <w:rPr>
          <w:rFonts w:ascii="宋体" w:hAnsi="宋体"/>
          <w:b/>
          <w:bCs/>
          <w:color w:val="auto"/>
          <w:sz w:val="24"/>
          <w:highlight w:val="none"/>
        </w:rPr>
      </w:pPr>
    </w:p>
    <w:p w14:paraId="5208B591">
      <w:pPr>
        <w:spacing w:line="360" w:lineRule="auto"/>
        <w:rPr>
          <w:rFonts w:ascii="宋体" w:hAnsi="宋体"/>
          <w:b/>
          <w:bCs/>
          <w:color w:val="auto"/>
          <w:sz w:val="24"/>
          <w:highlight w:val="none"/>
        </w:rPr>
      </w:pPr>
    </w:p>
    <w:p w14:paraId="332A6E2B">
      <w:pPr>
        <w:spacing w:line="360" w:lineRule="auto"/>
        <w:rPr>
          <w:rFonts w:ascii="宋体" w:hAnsi="宋体"/>
          <w:b/>
          <w:bCs/>
          <w:color w:val="auto"/>
          <w:sz w:val="24"/>
          <w:highlight w:val="none"/>
        </w:rPr>
      </w:pPr>
    </w:p>
    <w:p w14:paraId="7DD13013">
      <w:pPr>
        <w:spacing w:line="360" w:lineRule="auto"/>
        <w:rPr>
          <w:rFonts w:ascii="宋体" w:hAnsi="宋体"/>
          <w:b/>
          <w:bCs/>
          <w:color w:val="auto"/>
          <w:sz w:val="24"/>
          <w:highlight w:val="none"/>
        </w:rPr>
      </w:pPr>
    </w:p>
    <w:p w14:paraId="5D2E3B8B">
      <w:pPr>
        <w:spacing w:line="360" w:lineRule="auto"/>
        <w:rPr>
          <w:rFonts w:ascii="宋体" w:hAnsi="宋体"/>
          <w:b/>
          <w:bCs/>
          <w:color w:val="auto"/>
          <w:sz w:val="24"/>
          <w:highlight w:val="none"/>
        </w:rPr>
      </w:pPr>
    </w:p>
    <w:p w14:paraId="51AF1A0A">
      <w:pPr>
        <w:spacing w:line="360" w:lineRule="auto"/>
        <w:rPr>
          <w:rFonts w:ascii="宋体" w:hAnsi="宋体"/>
          <w:b/>
          <w:bCs/>
          <w:color w:val="auto"/>
          <w:sz w:val="24"/>
          <w:highlight w:val="none"/>
        </w:rPr>
      </w:pPr>
    </w:p>
    <w:p w14:paraId="4586C39B">
      <w:pPr>
        <w:spacing w:line="360" w:lineRule="auto"/>
        <w:rPr>
          <w:rFonts w:ascii="宋体" w:hAnsi="宋体"/>
          <w:b/>
          <w:bCs/>
          <w:color w:val="auto"/>
          <w:sz w:val="24"/>
          <w:highlight w:val="none"/>
        </w:rPr>
      </w:pPr>
    </w:p>
    <w:p w14:paraId="5E0AE035">
      <w:pPr>
        <w:spacing w:line="360" w:lineRule="auto"/>
        <w:rPr>
          <w:rFonts w:ascii="宋体" w:hAnsi="宋体"/>
          <w:b/>
          <w:bCs/>
          <w:color w:val="auto"/>
          <w:sz w:val="24"/>
          <w:highlight w:val="none"/>
        </w:rPr>
      </w:pPr>
    </w:p>
    <w:p w14:paraId="6248355B">
      <w:pPr>
        <w:spacing w:line="360" w:lineRule="auto"/>
        <w:rPr>
          <w:rFonts w:ascii="宋体" w:hAnsi="宋体"/>
          <w:b/>
          <w:bCs/>
          <w:color w:val="auto"/>
          <w:sz w:val="24"/>
          <w:highlight w:val="none"/>
        </w:rPr>
      </w:pPr>
    </w:p>
    <w:p w14:paraId="0733D7AD">
      <w:pPr>
        <w:spacing w:line="360" w:lineRule="auto"/>
        <w:rPr>
          <w:rFonts w:ascii="宋体" w:hAnsi="宋体"/>
          <w:b/>
          <w:bCs/>
          <w:color w:val="auto"/>
          <w:sz w:val="24"/>
          <w:highlight w:val="none"/>
        </w:rPr>
      </w:pPr>
    </w:p>
    <w:p w14:paraId="6AE5C5BC">
      <w:pPr>
        <w:spacing w:line="360" w:lineRule="auto"/>
        <w:rPr>
          <w:rFonts w:ascii="宋体" w:hAnsi="宋体"/>
          <w:b/>
          <w:bCs/>
          <w:color w:val="auto"/>
          <w:sz w:val="24"/>
          <w:highlight w:val="none"/>
        </w:rPr>
      </w:pPr>
    </w:p>
    <w:p w14:paraId="0BDFBEDA">
      <w:pPr>
        <w:spacing w:line="360" w:lineRule="auto"/>
        <w:rPr>
          <w:rFonts w:ascii="宋体" w:hAnsi="宋体"/>
          <w:b/>
          <w:bCs/>
          <w:color w:val="auto"/>
          <w:sz w:val="24"/>
          <w:highlight w:val="none"/>
        </w:rPr>
      </w:pPr>
    </w:p>
    <w:p w14:paraId="21A966EC">
      <w:pPr>
        <w:spacing w:line="360" w:lineRule="auto"/>
        <w:rPr>
          <w:rFonts w:ascii="宋体" w:hAnsi="宋体"/>
          <w:b/>
          <w:bCs/>
          <w:color w:val="auto"/>
          <w:sz w:val="24"/>
          <w:highlight w:val="none"/>
        </w:rPr>
      </w:pPr>
    </w:p>
    <w:p w14:paraId="7ADE2846">
      <w:pPr>
        <w:spacing w:line="360" w:lineRule="auto"/>
        <w:rPr>
          <w:rFonts w:ascii="宋体" w:hAnsi="宋体"/>
          <w:b/>
          <w:bCs/>
          <w:color w:val="auto"/>
          <w:sz w:val="24"/>
          <w:highlight w:val="none"/>
        </w:rPr>
      </w:pPr>
    </w:p>
    <w:p w14:paraId="37BBFCA4">
      <w:pPr>
        <w:spacing w:line="360" w:lineRule="auto"/>
        <w:rPr>
          <w:rFonts w:ascii="宋体" w:hAnsi="宋体"/>
          <w:b/>
          <w:bCs/>
          <w:color w:val="auto"/>
          <w:sz w:val="24"/>
          <w:highlight w:val="none"/>
        </w:rPr>
      </w:pPr>
    </w:p>
    <w:p w14:paraId="41D7F91E">
      <w:pPr>
        <w:spacing w:line="360" w:lineRule="auto"/>
        <w:rPr>
          <w:rFonts w:ascii="宋体" w:hAnsi="宋体"/>
          <w:b/>
          <w:bCs/>
          <w:color w:val="auto"/>
          <w:sz w:val="24"/>
          <w:highlight w:val="none"/>
        </w:rPr>
      </w:pPr>
    </w:p>
    <w:p w14:paraId="157CD010">
      <w:pPr>
        <w:spacing w:line="360" w:lineRule="auto"/>
        <w:rPr>
          <w:rFonts w:ascii="宋体" w:hAnsi="宋体"/>
          <w:b/>
          <w:bCs/>
          <w:color w:val="auto"/>
          <w:sz w:val="24"/>
          <w:highlight w:val="none"/>
        </w:rPr>
      </w:pPr>
    </w:p>
    <w:p w14:paraId="7046B952">
      <w:pPr>
        <w:spacing w:line="360" w:lineRule="auto"/>
        <w:rPr>
          <w:rFonts w:ascii="宋体" w:hAnsi="宋体"/>
          <w:b/>
          <w:bCs/>
          <w:color w:val="auto"/>
          <w:sz w:val="24"/>
          <w:highlight w:val="none"/>
        </w:rPr>
      </w:pPr>
    </w:p>
    <w:p w14:paraId="644071E1">
      <w:pPr>
        <w:spacing w:line="360" w:lineRule="auto"/>
        <w:rPr>
          <w:rFonts w:ascii="宋体" w:hAnsi="宋体"/>
          <w:b/>
          <w:bCs/>
          <w:color w:val="auto"/>
          <w:sz w:val="24"/>
          <w:highlight w:val="none"/>
        </w:rPr>
      </w:pPr>
    </w:p>
    <w:p w14:paraId="175D9E95">
      <w:pPr>
        <w:pStyle w:val="2"/>
        <w:jc w:val="center"/>
        <w:rPr>
          <w:color w:val="auto"/>
          <w:highlight w:val="none"/>
        </w:rPr>
      </w:pPr>
      <w:bookmarkStart w:id="70" w:name="_Toc222"/>
      <w:bookmarkStart w:id="71" w:name="_Toc23871"/>
      <w:r>
        <w:rPr>
          <w:rFonts w:hint="eastAsia"/>
          <w:color w:val="auto"/>
          <w:highlight w:val="none"/>
        </w:rPr>
        <w:t>第六章 合同文本</w:t>
      </w:r>
      <w:bookmarkEnd w:id="70"/>
      <w:bookmarkEnd w:id="71"/>
    </w:p>
    <w:p w14:paraId="7D99656F">
      <w:pPr>
        <w:spacing w:line="40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《广西壮族自治区政府采购合同》</w:t>
      </w:r>
      <w:r>
        <w:rPr>
          <w:rFonts w:hint="eastAsia" w:ascii="宋体" w:hAnsi="宋体"/>
          <w:b/>
          <w:color w:val="auto"/>
          <w:sz w:val="32"/>
          <w:szCs w:val="32"/>
          <w:highlight w:val="none"/>
        </w:rPr>
        <w:t>文本</w:t>
      </w:r>
    </w:p>
    <w:p w14:paraId="00D55315">
      <w:pPr>
        <w:spacing w:line="400" w:lineRule="exact"/>
        <w:ind w:right="480" w:firstLine="5250"/>
        <w:rPr>
          <w:rFonts w:ascii="宋体" w:hAnsi="宋体"/>
          <w:bCs/>
          <w:color w:val="auto"/>
          <w:szCs w:val="21"/>
          <w:highlight w:val="none"/>
        </w:rPr>
      </w:pPr>
    </w:p>
    <w:p w14:paraId="12E0F492">
      <w:pPr>
        <w:spacing w:line="400" w:lineRule="exact"/>
        <w:ind w:right="480" w:firstLine="5250"/>
        <w:rPr>
          <w:rFonts w:ascii="宋体" w:hAnsi="宋体" w:cs="宋体"/>
          <w:bCs/>
          <w:color w:val="auto"/>
          <w:szCs w:val="21"/>
          <w:highlight w:val="none"/>
          <w:u w:val="single"/>
        </w:rPr>
      </w:pPr>
      <w:r>
        <w:rPr>
          <w:rFonts w:hint="eastAsia" w:ascii="宋体" w:hAnsi="宋体" w:cs="宋体"/>
          <w:bCs/>
          <w:color w:val="auto"/>
          <w:szCs w:val="21"/>
          <w:highlight w:val="none"/>
        </w:rPr>
        <w:t>合同编号：</w:t>
      </w:r>
    </w:p>
    <w:p w14:paraId="5B133165">
      <w:pPr>
        <w:spacing w:line="400" w:lineRule="exact"/>
        <w:rPr>
          <w:rFonts w:ascii="宋体" w:hAnsi="宋体" w:cs="宋体"/>
          <w:color w:val="auto"/>
          <w:szCs w:val="21"/>
          <w:highlight w:val="none"/>
        </w:rPr>
      </w:pPr>
    </w:p>
    <w:p w14:paraId="0A5AE96B">
      <w:pPr>
        <w:spacing w:line="360" w:lineRule="auto"/>
        <w:rPr>
          <w:rFonts w:ascii="宋体" w:hAnsi="宋体"/>
          <w:color w:val="auto"/>
          <w:szCs w:val="21"/>
          <w:highlight w:val="none"/>
          <w:u w:val="single"/>
        </w:rPr>
      </w:pPr>
      <w:r>
        <w:rPr>
          <w:rFonts w:hint="eastAsia" w:ascii="宋体" w:hAnsi="宋体"/>
          <w:color w:val="auto"/>
          <w:szCs w:val="21"/>
          <w:highlight w:val="none"/>
        </w:rPr>
        <w:t>采购人（甲方）：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CB95116">
      <w:pPr>
        <w:spacing w:line="360" w:lineRule="auto"/>
        <w:rPr>
          <w:rFonts w:ascii="宋体" w:hAnsi="宋体"/>
          <w:color w:val="auto"/>
          <w:szCs w:val="21"/>
          <w:highlight w:val="none"/>
          <w:u w:val="single"/>
        </w:rPr>
      </w:pPr>
      <w:r>
        <w:rPr>
          <w:rFonts w:hint="eastAsia" w:ascii="宋体" w:hAnsi="宋体"/>
          <w:color w:val="auto"/>
          <w:szCs w:val="21"/>
          <w:highlight w:val="none"/>
        </w:rPr>
        <w:t>供应商（乙方）：</w:t>
      </w:r>
      <w:r>
        <w:rPr>
          <w:rFonts w:hint="eastAsia" w:ascii="宋体" w:hAnsi="宋体"/>
          <w:color w:val="auto"/>
          <w:szCs w:val="21"/>
          <w:highlight w:val="none"/>
          <w:u w:val="single"/>
        </w:rPr>
        <w:t xml:space="preserve">                          </w:t>
      </w:r>
    </w:p>
    <w:p w14:paraId="4C68A111">
      <w:pPr>
        <w:spacing w:line="360" w:lineRule="auto"/>
        <w:rPr>
          <w:rFonts w:ascii="宋体" w:hAnsi="宋体"/>
          <w:color w:val="auto"/>
          <w:szCs w:val="21"/>
          <w:highlight w:val="none"/>
        </w:rPr>
      </w:pPr>
      <w:r>
        <w:rPr>
          <w:rFonts w:hint="eastAsia" w:ascii="宋体" w:hAnsi="宋体"/>
          <w:color w:val="auto"/>
          <w:spacing w:val="-20"/>
          <w:szCs w:val="21"/>
          <w:highlight w:val="none"/>
        </w:rPr>
        <w:t>采 购 计 划 号：</w:t>
      </w:r>
      <w:r>
        <w:rPr>
          <w:rFonts w:hint="eastAsia" w:ascii="宋体" w:hAnsi="宋体"/>
          <w:color w:val="auto"/>
          <w:szCs w:val="21"/>
          <w:highlight w:val="none"/>
          <w:u w:val="single"/>
        </w:rPr>
        <w:t xml:space="preserve">                         </w:t>
      </w:r>
    </w:p>
    <w:p w14:paraId="64F7EE7A">
      <w:pPr>
        <w:spacing w:line="360" w:lineRule="auto"/>
        <w:rPr>
          <w:rFonts w:ascii="宋体" w:hAnsi="宋体"/>
          <w:color w:val="auto"/>
          <w:szCs w:val="21"/>
          <w:highlight w:val="none"/>
          <w:u w:val="singl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p>
    <w:p w14:paraId="1684AE57">
      <w:pPr>
        <w:spacing w:line="360" w:lineRule="auto"/>
        <w:rPr>
          <w:rFonts w:ascii="宋体" w:hAnsi="宋体"/>
          <w:color w:val="auto"/>
          <w:highlight w:val="none"/>
        </w:rPr>
      </w:pPr>
      <w:r>
        <w:rPr>
          <w:rFonts w:hint="eastAsia" w:ascii="宋体" w:hAnsi="宋体"/>
          <w:color w:val="auto"/>
          <w:szCs w:val="21"/>
          <w:highlight w:val="none"/>
        </w:rPr>
        <w:t>合同</w:t>
      </w:r>
      <w:r>
        <w:rPr>
          <w:rFonts w:hint="eastAsia" w:ascii="宋体" w:hAnsi="宋体"/>
          <w:color w:val="auto"/>
          <w:highlight w:val="none"/>
        </w:rPr>
        <w:t>类型：</w:t>
      </w:r>
      <w:r>
        <w:rPr>
          <w:rFonts w:hint="eastAsia" w:ascii="宋体" w:hAnsi="宋体"/>
          <w:color w:val="auto"/>
          <w:highlight w:val="none"/>
          <w:u w:val="single"/>
        </w:rPr>
        <w:t>买卖合同</w:t>
      </w:r>
    </w:p>
    <w:p w14:paraId="7B210848">
      <w:pPr>
        <w:spacing w:line="360" w:lineRule="auto"/>
        <w:rPr>
          <w:rFonts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iCs/>
          <w:color w:val="auto"/>
          <w:szCs w:val="21"/>
          <w:highlight w:val="none"/>
          <w:u w:val="single"/>
        </w:rPr>
        <w:t>（是）</w:t>
      </w:r>
      <w:r>
        <w:rPr>
          <w:rFonts w:hint="eastAsia" w:ascii="宋体" w:hAnsi="宋体" w:cs="宋体"/>
          <w:color w:val="auto"/>
          <w:szCs w:val="21"/>
          <w:highlight w:val="none"/>
        </w:rPr>
        <w:t>。</w:t>
      </w:r>
    </w:p>
    <w:p w14:paraId="3D47B9B4">
      <w:pPr>
        <w:pStyle w:val="17"/>
        <w:spacing w:line="360" w:lineRule="auto"/>
        <w:rPr>
          <w:rFonts w:ascii="宋体" w:hAnsi="宋体"/>
          <w:color w:val="auto"/>
          <w:highlight w:val="none"/>
        </w:rPr>
      </w:pPr>
    </w:p>
    <w:p w14:paraId="03ABF880">
      <w:pPr>
        <w:spacing w:line="360" w:lineRule="auto"/>
        <w:ind w:firstLine="420"/>
        <w:rPr>
          <w:rFonts w:ascii="宋体" w:hAnsi="宋体"/>
          <w:color w:val="auto"/>
          <w:szCs w:val="21"/>
          <w:highlight w:val="none"/>
        </w:rPr>
      </w:pPr>
      <w:r>
        <w:rPr>
          <w:rFonts w:hint="eastAsia" w:ascii="宋体" w:hAnsi="宋体"/>
          <w:color w:val="auto"/>
          <w:szCs w:val="21"/>
          <w:highlight w:val="none"/>
        </w:rPr>
        <w:t>根据《中华人民共和国政府采购法》《中华人民共和国民法典》等法律法规规定，按照采购文件规定条款和乙方投标（竞标）承诺，甲乙双方签订本合同。</w:t>
      </w:r>
    </w:p>
    <w:p w14:paraId="7768EC43">
      <w:pPr>
        <w:spacing w:line="360" w:lineRule="auto"/>
        <w:ind w:firstLine="422"/>
        <w:rPr>
          <w:rFonts w:ascii="宋体" w:hAnsi="宋体"/>
          <w:b/>
          <w:color w:val="auto"/>
          <w:szCs w:val="21"/>
          <w:highlight w:val="none"/>
        </w:rPr>
      </w:pPr>
      <w:r>
        <w:rPr>
          <w:rFonts w:hint="eastAsia" w:ascii="宋体" w:hAnsi="宋体"/>
          <w:b/>
          <w:color w:val="auto"/>
          <w:szCs w:val="21"/>
          <w:highlight w:val="none"/>
        </w:rPr>
        <w:t>第一条　合同标的</w:t>
      </w:r>
    </w:p>
    <w:tbl>
      <w:tblPr>
        <w:tblStyle w:val="40"/>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87"/>
        <w:gridCol w:w="1191"/>
        <w:gridCol w:w="1167"/>
        <w:gridCol w:w="1090"/>
        <w:gridCol w:w="908"/>
        <w:gridCol w:w="668"/>
        <w:gridCol w:w="947"/>
        <w:gridCol w:w="1189"/>
      </w:tblGrid>
      <w:tr w14:paraId="56A4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09" w:type="dxa"/>
            <w:vAlign w:val="center"/>
          </w:tcPr>
          <w:p w14:paraId="0F3CB52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87" w:type="dxa"/>
            <w:vAlign w:val="center"/>
          </w:tcPr>
          <w:p w14:paraId="26FEB240">
            <w:pPr>
              <w:spacing w:line="360" w:lineRule="auto"/>
              <w:jc w:val="center"/>
              <w:rPr>
                <w:rFonts w:ascii="宋体" w:hAnsi="宋体"/>
                <w:color w:val="auto"/>
                <w:szCs w:val="21"/>
                <w:highlight w:val="none"/>
              </w:rPr>
            </w:pPr>
            <w:r>
              <w:rPr>
                <w:rFonts w:hint="eastAsia" w:ascii="宋体" w:hAnsi="宋体"/>
                <w:color w:val="auto"/>
                <w:szCs w:val="21"/>
                <w:highlight w:val="none"/>
              </w:rPr>
              <w:t>标的名称</w:t>
            </w:r>
          </w:p>
        </w:tc>
        <w:tc>
          <w:tcPr>
            <w:tcW w:w="1191" w:type="dxa"/>
            <w:vAlign w:val="center"/>
          </w:tcPr>
          <w:p w14:paraId="1408F840">
            <w:pPr>
              <w:spacing w:line="360" w:lineRule="auto"/>
              <w:jc w:val="center"/>
              <w:rPr>
                <w:rFonts w:ascii="宋体" w:hAnsi="宋体"/>
                <w:color w:val="auto"/>
                <w:szCs w:val="21"/>
                <w:highlight w:val="none"/>
              </w:rPr>
            </w:pPr>
            <w:r>
              <w:rPr>
                <w:rFonts w:hint="eastAsia" w:ascii="宋体" w:hAnsi="宋体"/>
                <w:color w:val="auto"/>
                <w:szCs w:val="21"/>
                <w:highlight w:val="none"/>
              </w:rPr>
              <w:t>商标品牌</w:t>
            </w:r>
          </w:p>
        </w:tc>
        <w:tc>
          <w:tcPr>
            <w:tcW w:w="1167" w:type="dxa"/>
            <w:vAlign w:val="center"/>
          </w:tcPr>
          <w:p w14:paraId="37286F2A">
            <w:pPr>
              <w:spacing w:line="360" w:lineRule="auto"/>
              <w:jc w:val="center"/>
              <w:rPr>
                <w:rFonts w:ascii="宋体" w:hAnsi="宋体"/>
                <w:color w:val="auto"/>
                <w:szCs w:val="21"/>
                <w:highlight w:val="none"/>
              </w:rPr>
            </w:pPr>
            <w:r>
              <w:rPr>
                <w:rFonts w:hint="eastAsia" w:ascii="宋体" w:hAnsi="宋体"/>
                <w:color w:val="auto"/>
                <w:szCs w:val="21"/>
                <w:highlight w:val="none"/>
              </w:rPr>
              <w:t>规格型号</w:t>
            </w:r>
          </w:p>
        </w:tc>
        <w:tc>
          <w:tcPr>
            <w:tcW w:w="1090" w:type="dxa"/>
            <w:vAlign w:val="center"/>
          </w:tcPr>
          <w:p w14:paraId="253D75C7">
            <w:pPr>
              <w:spacing w:line="360" w:lineRule="auto"/>
              <w:jc w:val="center"/>
              <w:rPr>
                <w:rFonts w:ascii="宋体" w:hAnsi="宋体"/>
                <w:color w:val="auto"/>
                <w:szCs w:val="21"/>
                <w:highlight w:val="none"/>
              </w:rPr>
            </w:pPr>
            <w:r>
              <w:rPr>
                <w:rFonts w:hint="eastAsia" w:ascii="宋体" w:hAnsi="宋体"/>
                <w:color w:val="auto"/>
                <w:szCs w:val="21"/>
                <w:highlight w:val="none"/>
              </w:rPr>
              <w:t>生产厂家</w:t>
            </w:r>
          </w:p>
        </w:tc>
        <w:tc>
          <w:tcPr>
            <w:tcW w:w="908" w:type="dxa"/>
            <w:vAlign w:val="center"/>
          </w:tcPr>
          <w:p w14:paraId="41DC0CC3">
            <w:pPr>
              <w:spacing w:line="360" w:lineRule="auto"/>
              <w:jc w:val="center"/>
              <w:rPr>
                <w:rFonts w:ascii="宋体" w:hAnsi="宋体"/>
                <w:color w:val="auto"/>
                <w:szCs w:val="21"/>
                <w:highlight w:val="none"/>
              </w:rPr>
            </w:pPr>
            <w:r>
              <w:rPr>
                <w:rFonts w:hint="eastAsia" w:ascii="宋体" w:hAnsi="宋体"/>
                <w:color w:val="auto"/>
                <w:szCs w:val="21"/>
                <w:highlight w:val="none"/>
              </w:rPr>
              <w:t>数  量</w:t>
            </w:r>
          </w:p>
        </w:tc>
        <w:tc>
          <w:tcPr>
            <w:tcW w:w="668" w:type="dxa"/>
            <w:vAlign w:val="center"/>
          </w:tcPr>
          <w:p w14:paraId="31E27AE5">
            <w:pPr>
              <w:spacing w:line="360" w:lineRule="auto"/>
              <w:jc w:val="center"/>
              <w:rPr>
                <w:rFonts w:ascii="宋体" w:hAnsi="宋体"/>
                <w:color w:val="auto"/>
                <w:szCs w:val="21"/>
                <w:highlight w:val="none"/>
              </w:rPr>
            </w:pPr>
            <w:r>
              <w:rPr>
                <w:rFonts w:hint="eastAsia" w:ascii="宋体" w:hAnsi="宋体"/>
                <w:color w:val="auto"/>
                <w:szCs w:val="21"/>
                <w:highlight w:val="none"/>
              </w:rPr>
              <w:t>单位</w:t>
            </w:r>
          </w:p>
        </w:tc>
        <w:tc>
          <w:tcPr>
            <w:tcW w:w="947" w:type="dxa"/>
            <w:vAlign w:val="center"/>
          </w:tcPr>
          <w:p w14:paraId="589165CD">
            <w:pPr>
              <w:spacing w:line="360" w:lineRule="auto"/>
              <w:jc w:val="center"/>
              <w:rPr>
                <w:rFonts w:ascii="宋体" w:hAnsi="宋体"/>
                <w:color w:val="auto"/>
                <w:szCs w:val="21"/>
                <w:highlight w:val="none"/>
              </w:rPr>
            </w:pPr>
            <w:r>
              <w:rPr>
                <w:rFonts w:hint="eastAsia" w:ascii="宋体" w:hAnsi="宋体"/>
                <w:color w:val="auto"/>
                <w:szCs w:val="21"/>
                <w:highlight w:val="none"/>
              </w:rPr>
              <w:t>单  价</w:t>
            </w:r>
          </w:p>
          <w:p w14:paraId="5CFB55AB">
            <w:pPr>
              <w:spacing w:line="360" w:lineRule="auto"/>
              <w:jc w:val="center"/>
              <w:rPr>
                <w:rFonts w:ascii="宋体" w:hAnsi="宋体"/>
                <w:color w:val="auto"/>
                <w:szCs w:val="21"/>
                <w:highlight w:val="none"/>
              </w:rPr>
            </w:pPr>
            <w:r>
              <w:rPr>
                <w:rFonts w:hint="eastAsia" w:ascii="宋体" w:hAnsi="宋体"/>
                <w:color w:val="auto"/>
                <w:szCs w:val="21"/>
                <w:highlight w:val="none"/>
              </w:rPr>
              <w:t>（元）</w:t>
            </w:r>
          </w:p>
        </w:tc>
        <w:tc>
          <w:tcPr>
            <w:tcW w:w="1189" w:type="dxa"/>
            <w:vAlign w:val="center"/>
          </w:tcPr>
          <w:p w14:paraId="3112660D">
            <w:pPr>
              <w:spacing w:line="360" w:lineRule="auto"/>
              <w:jc w:val="center"/>
              <w:rPr>
                <w:rFonts w:ascii="宋体" w:hAnsi="宋体"/>
                <w:color w:val="auto"/>
                <w:szCs w:val="21"/>
                <w:highlight w:val="none"/>
              </w:rPr>
            </w:pPr>
            <w:r>
              <w:rPr>
                <w:rFonts w:hint="eastAsia" w:ascii="宋体" w:hAnsi="宋体"/>
                <w:color w:val="auto"/>
                <w:szCs w:val="21"/>
                <w:highlight w:val="none"/>
              </w:rPr>
              <w:t>金  额</w:t>
            </w:r>
          </w:p>
          <w:p w14:paraId="29E1CDE7">
            <w:pPr>
              <w:spacing w:line="360" w:lineRule="auto"/>
              <w:jc w:val="center"/>
              <w:rPr>
                <w:rFonts w:ascii="宋体" w:hAnsi="宋体"/>
                <w:color w:val="auto"/>
                <w:szCs w:val="21"/>
                <w:highlight w:val="none"/>
              </w:rPr>
            </w:pPr>
            <w:r>
              <w:rPr>
                <w:rFonts w:hint="eastAsia" w:ascii="宋体" w:hAnsi="宋体"/>
                <w:color w:val="auto"/>
                <w:szCs w:val="21"/>
                <w:highlight w:val="none"/>
              </w:rPr>
              <w:t>（元）</w:t>
            </w:r>
          </w:p>
        </w:tc>
      </w:tr>
      <w:tr w14:paraId="3C8A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vAlign w:val="center"/>
          </w:tcPr>
          <w:p w14:paraId="0B79906B">
            <w:pPr>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1287" w:type="dxa"/>
            <w:vAlign w:val="center"/>
          </w:tcPr>
          <w:p w14:paraId="51A60E25">
            <w:pPr>
              <w:spacing w:line="360" w:lineRule="auto"/>
              <w:jc w:val="center"/>
              <w:rPr>
                <w:rFonts w:ascii="宋体" w:hAnsi="宋体"/>
                <w:color w:val="auto"/>
                <w:szCs w:val="21"/>
                <w:highlight w:val="none"/>
              </w:rPr>
            </w:pPr>
          </w:p>
        </w:tc>
        <w:tc>
          <w:tcPr>
            <w:tcW w:w="1191" w:type="dxa"/>
            <w:vAlign w:val="center"/>
          </w:tcPr>
          <w:p w14:paraId="6A7980E6">
            <w:pPr>
              <w:spacing w:line="360" w:lineRule="auto"/>
              <w:jc w:val="center"/>
              <w:rPr>
                <w:rFonts w:ascii="宋体" w:hAnsi="宋体"/>
                <w:color w:val="auto"/>
                <w:szCs w:val="21"/>
                <w:highlight w:val="none"/>
              </w:rPr>
            </w:pPr>
          </w:p>
        </w:tc>
        <w:tc>
          <w:tcPr>
            <w:tcW w:w="1167" w:type="dxa"/>
            <w:vAlign w:val="center"/>
          </w:tcPr>
          <w:p w14:paraId="5252E121">
            <w:pPr>
              <w:spacing w:line="360" w:lineRule="auto"/>
              <w:jc w:val="center"/>
              <w:rPr>
                <w:rFonts w:ascii="宋体" w:hAnsi="宋体"/>
                <w:color w:val="auto"/>
                <w:szCs w:val="21"/>
                <w:highlight w:val="none"/>
              </w:rPr>
            </w:pPr>
          </w:p>
        </w:tc>
        <w:tc>
          <w:tcPr>
            <w:tcW w:w="1090" w:type="dxa"/>
            <w:vAlign w:val="center"/>
          </w:tcPr>
          <w:p w14:paraId="50938634">
            <w:pPr>
              <w:spacing w:line="360" w:lineRule="auto"/>
              <w:jc w:val="center"/>
              <w:rPr>
                <w:rFonts w:ascii="宋体" w:hAnsi="宋体"/>
                <w:color w:val="auto"/>
                <w:szCs w:val="21"/>
                <w:highlight w:val="none"/>
              </w:rPr>
            </w:pPr>
          </w:p>
        </w:tc>
        <w:tc>
          <w:tcPr>
            <w:tcW w:w="908" w:type="dxa"/>
            <w:vAlign w:val="center"/>
          </w:tcPr>
          <w:p w14:paraId="46906337">
            <w:pPr>
              <w:spacing w:line="360" w:lineRule="auto"/>
              <w:jc w:val="center"/>
              <w:rPr>
                <w:rFonts w:ascii="宋体" w:hAnsi="宋体"/>
                <w:color w:val="auto"/>
                <w:szCs w:val="21"/>
                <w:highlight w:val="none"/>
              </w:rPr>
            </w:pPr>
          </w:p>
        </w:tc>
        <w:tc>
          <w:tcPr>
            <w:tcW w:w="668" w:type="dxa"/>
            <w:vAlign w:val="center"/>
          </w:tcPr>
          <w:p w14:paraId="2C3B0528">
            <w:pPr>
              <w:spacing w:line="360" w:lineRule="auto"/>
              <w:jc w:val="center"/>
              <w:rPr>
                <w:rFonts w:ascii="宋体" w:hAnsi="宋体"/>
                <w:color w:val="auto"/>
                <w:szCs w:val="21"/>
                <w:highlight w:val="none"/>
              </w:rPr>
            </w:pPr>
          </w:p>
        </w:tc>
        <w:tc>
          <w:tcPr>
            <w:tcW w:w="947" w:type="dxa"/>
            <w:vAlign w:val="center"/>
          </w:tcPr>
          <w:p w14:paraId="6F4190A4">
            <w:pPr>
              <w:spacing w:line="360" w:lineRule="auto"/>
              <w:jc w:val="center"/>
              <w:rPr>
                <w:rFonts w:ascii="宋体" w:hAnsi="宋体"/>
                <w:color w:val="auto"/>
                <w:szCs w:val="21"/>
                <w:highlight w:val="none"/>
              </w:rPr>
            </w:pPr>
          </w:p>
        </w:tc>
        <w:tc>
          <w:tcPr>
            <w:tcW w:w="1189" w:type="dxa"/>
            <w:vAlign w:val="center"/>
          </w:tcPr>
          <w:p w14:paraId="4156DDDD">
            <w:pPr>
              <w:spacing w:line="360" w:lineRule="auto"/>
              <w:jc w:val="center"/>
              <w:rPr>
                <w:rFonts w:ascii="宋体" w:hAnsi="宋体"/>
                <w:color w:val="auto"/>
                <w:szCs w:val="21"/>
                <w:highlight w:val="none"/>
              </w:rPr>
            </w:pPr>
          </w:p>
        </w:tc>
      </w:tr>
      <w:tr w14:paraId="2D6C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vAlign w:val="center"/>
          </w:tcPr>
          <w:p w14:paraId="1BB55F8C">
            <w:pPr>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1287" w:type="dxa"/>
            <w:vAlign w:val="center"/>
          </w:tcPr>
          <w:p w14:paraId="181F2E7E">
            <w:pPr>
              <w:spacing w:line="360" w:lineRule="auto"/>
              <w:jc w:val="center"/>
              <w:rPr>
                <w:rFonts w:ascii="宋体" w:hAnsi="宋体"/>
                <w:color w:val="auto"/>
                <w:szCs w:val="21"/>
                <w:highlight w:val="none"/>
              </w:rPr>
            </w:pPr>
          </w:p>
        </w:tc>
        <w:tc>
          <w:tcPr>
            <w:tcW w:w="1191" w:type="dxa"/>
            <w:vAlign w:val="center"/>
          </w:tcPr>
          <w:p w14:paraId="7F4746D3">
            <w:pPr>
              <w:spacing w:line="360" w:lineRule="auto"/>
              <w:jc w:val="center"/>
              <w:rPr>
                <w:rFonts w:ascii="宋体" w:hAnsi="宋体"/>
                <w:color w:val="auto"/>
                <w:szCs w:val="21"/>
                <w:highlight w:val="none"/>
              </w:rPr>
            </w:pPr>
          </w:p>
        </w:tc>
        <w:tc>
          <w:tcPr>
            <w:tcW w:w="1167" w:type="dxa"/>
            <w:vAlign w:val="center"/>
          </w:tcPr>
          <w:p w14:paraId="6C750F8D">
            <w:pPr>
              <w:spacing w:line="360" w:lineRule="auto"/>
              <w:jc w:val="center"/>
              <w:rPr>
                <w:rFonts w:ascii="宋体" w:hAnsi="宋体"/>
                <w:color w:val="auto"/>
                <w:szCs w:val="21"/>
                <w:highlight w:val="none"/>
              </w:rPr>
            </w:pPr>
          </w:p>
        </w:tc>
        <w:tc>
          <w:tcPr>
            <w:tcW w:w="1090" w:type="dxa"/>
            <w:vAlign w:val="center"/>
          </w:tcPr>
          <w:p w14:paraId="61E27AA6">
            <w:pPr>
              <w:spacing w:line="360" w:lineRule="auto"/>
              <w:jc w:val="center"/>
              <w:rPr>
                <w:rFonts w:ascii="宋体" w:hAnsi="宋体"/>
                <w:color w:val="auto"/>
                <w:szCs w:val="21"/>
                <w:highlight w:val="none"/>
              </w:rPr>
            </w:pPr>
          </w:p>
        </w:tc>
        <w:tc>
          <w:tcPr>
            <w:tcW w:w="908" w:type="dxa"/>
            <w:vAlign w:val="center"/>
          </w:tcPr>
          <w:p w14:paraId="488817D5">
            <w:pPr>
              <w:spacing w:line="360" w:lineRule="auto"/>
              <w:jc w:val="center"/>
              <w:rPr>
                <w:rFonts w:ascii="宋体" w:hAnsi="宋体"/>
                <w:color w:val="auto"/>
                <w:szCs w:val="21"/>
                <w:highlight w:val="none"/>
              </w:rPr>
            </w:pPr>
          </w:p>
        </w:tc>
        <w:tc>
          <w:tcPr>
            <w:tcW w:w="668" w:type="dxa"/>
            <w:vAlign w:val="center"/>
          </w:tcPr>
          <w:p w14:paraId="280724F1">
            <w:pPr>
              <w:spacing w:line="360" w:lineRule="auto"/>
              <w:jc w:val="center"/>
              <w:rPr>
                <w:rFonts w:ascii="宋体" w:hAnsi="宋体"/>
                <w:color w:val="auto"/>
                <w:szCs w:val="21"/>
                <w:highlight w:val="none"/>
              </w:rPr>
            </w:pPr>
          </w:p>
        </w:tc>
        <w:tc>
          <w:tcPr>
            <w:tcW w:w="947" w:type="dxa"/>
            <w:vAlign w:val="center"/>
          </w:tcPr>
          <w:p w14:paraId="3520EDDE">
            <w:pPr>
              <w:spacing w:line="360" w:lineRule="auto"/>
              <w:jc w:val="center"/>
              <w:rPr>
                <w:rFonts w:ascii="宋体" w:hAnsi="宋体"/>
                <w:color w:val="auto"/>
                <w:szCs w:val="21"/>
                <w:highlight w:val="none"/>
              </w:rPr>
            </w:pPr>
          </w:p>
        </w:tc>
        <w:tc>
          <w:tcPr>
            <w:tcW w:w="1189" w:type="dxa"/>
            <w:vAlign w:val="center"/>
          </w:tcPr>
          <w:p w14:paraId="4B523FF4">
            <w:pPr>
              <w:spacing w:line="360" w:lineRule="auto"/>
              <w:jc w:val="center"/>
              <w:rPr>
                <w:rFonts w:ascii="宋体" w:hAnsi="宋体"/>
                <w:color w:val="auto"/>
                <w:szCs w:val="21"/>
                <w:highlight w:val="none"/>
              </w:rPr>
            </w:pPr>
          </w:p>
        </w:tc>
      </w:tr>
      <w:tr w14:paraId="39BA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vAlign w:val="center"/>
          </w:tcPr>
          <w:p w14:paraId="30B124AA">
            <w:pPr>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1287" w:type="dxa"/>
            <w:vAlign w:val="center"/>
          </w:tcPr>
          <w:p w14:paraId="16D85FF5">
            <w:pPr>
              <w:spacing w:line="360" w:lineRule="auto"/>
              <w:jc w:val="center"/>
              <w:rPr>
                <w:rFonts w:ascii="宋体" w:hAnsi="宋体"/>
                <w:color w:val="auto"/>
                <w:szCs w:val="21"/>
                <w:highlight w:val="none"/>
              </w:rPr>
            </w:pPr>
          </w:p>
        </w:tc>
        <w:tc>
          <w:tcPr>
            <w:tcW w:w="1191" w:type="dxa"/>
            <w:vAlign w:val="center"/>
          </w:tcPr>
          <w:p w14:paraId="05E5F773">
            <w:pPr>
              <w:spacing w:line="360" w:lineRule="auto"/>
              <w:jc w:val="center"/>
              <w:rPr>
                <w:rFonts w:ascii="宋体" w:hAnsi="宋体"/>
                <w:color w:val="auto"/>
                <w:szCs w:val="21"/>
                <w:highlight w:val="none"/>
              </w:rPr>
            </w:pPr>
          </w:p>
        </w:tc>
        <w:tc>
          <w:tcPr>
            <w:tcW w:w="1167" w:type="dxa"/>
            <w:vAlign w:val="center"/>
          </w:tcPr>
          <w:p w14:paraId="6252A827">
            <w:pPr>
              <w:spacing w:line="360" w:lineRule="auto"/>
              <w:jc w:val="center"/>
              <w:rPr>
                <w:rFonts w:ascii="宋体" w:hAnsi="宋体"/>
                <w:color w:val="auto"/>
                <w:szCs w:val="21"/>
                <w:highlight w:val="none"/>
              </w:rPr>
            </w:pPr>
          </w:p>
        </w:tc>
        <w:tc>
          <w:tcPr>
            <w:tcW w:w="1090" w:type="dxa"/>
            <w:vAlign w:val="center"/>
          </w:tcPr>
          <w:p w14:paraId="1809D4E9">
            <w:pPr>
              <w:spacing w:line="360" w:lineRule="auto"/>
              <w:jc w:val="center"/>
              <w:rPr>
                <w:rFonts w:ascii="宋体" w:hAnsi="宋体"/>
                <w:color w:val="auto"/>
                <w:szCs w:val="21"/>
                <w:highlight w:val="none"/>
              </w:rPr>
            </w:pPr>
          </w:p>
        </w:tc>
        <w:tc>
          <w:tcPr>
            <w:tcW w:w="908" w:type="dxa"/>
            <w:vAlign w:val="center"/>
          </w:tcPr>
          <w:p w14:paraId="4C39A1F8">
            <w:pPr>
              <w:spacing w:line="360" w:lineRule="auto"/>
              <w:jc w:val="center"/>
              <w:rPr>
                <w:rFonts w:ascii="宋体" w:hAnsi="宋体"/>
                <w:color w:val="auto"/>
                <w:szCs w:val="21"/>
                <w:highlight w:val="none"/>
              </w:rPr>
            </w:pPr>
          </w:p>
        </w:tc>
        <w:tc>
          <w:tcPr>
            <w:tcW w:w="668" w:type="dxa"/>
            <w:vAlign w:val="center"/>
          </w:tcPr>
          <w:p w14:paraId="5A079131">
            <w:pPr>
              <w:spacing w:line="360" w:lineRule="auto"/>
              <w:jc w:val="center"/>
              <w:rPr>
                <w:rFonts w:ascii="宋体" w:hAnsi="宋体"/>
                <w:color w:val="auto"/>
                <w:szCs w:val="21"/>
                <w:highlight w:val="none"/>
              </w:rPr>
            </w:pPr>
          </w:p>
        </w:tc>
        <w:tc>
          <w:tcPr>
            <w:tcW w:w="947" w:type="dxa"/>
            <w:vAlign w:val="center"/>
          </w:tcPr>
          <w:p w14:paraId="6F59E66E">
            <w:pPr>
              <w:spacing w:line="360" w:lineRule="auto"/>
              <w:jc w:val="center"/>
              <w:rPr>
                <w:rFonts w:ascii="宋体" w:hAnsi="宋体"/>
                <w:color w:val="auto"/>
                <w:szCs w:val="21"/>
                <w:highlight w:val="none"/>
              </w:rPr>
            </w:pPr>
          </w:p>
        </w:tc>
        <w:tc>
          <w:tcPr>
            <w:tcW w:w="1189" w:type="dxa"/>
            <w:vAlign w:val="center"/>
          </w:tcPr>
          <w:p w14:paraId="66E9FDCC">
            <w:pPr>
              <w:spacing w:line="360" w:lineRule="auto"/>
              <w:jc w:val="center"/>
              <w:rPr>
                <w:rFonts w:ascii="宋体" w:hAnsi="宋体"/>
                <w:color w:val="auto"/>
                <w:szCs w:val="21"/>
                <w:highlight w:val="none"/>
              </w:rPr>
            </w:pPr>
          </w:p>
        </w:tc>
      </w:tr>
      <w:tr w14:paraId="6B7A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vAlign w:val="center"/>
          </w:tcPr>
          <w:p w14:paraId="411109A2">
            <w:pPr>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1287" w:type="dxa"/>
            <w:vAlign w:val="center"/>
          </w:tcPr>
          <w:p w14:paraId="45AB60BF">
            <w:pPr>
              <w:spacing w:line="360" w:lineRule="auto"/>
              <w:jc w:val="center"/>
              <w:rPr>
                <w:rFonts w:ascii="宋体" w:hAnsi="宋体"/>
                <w:color w:val="auto"/>
                <w:szCs w:val="21"/>
                <w:highlight w:val="none"/>
              </w:rPr>
            </w:pPr>
          </w:p>
        </w:tc>
        <w:tc>
          <w:tcPr>
            <w:tcW w:w="1191" w:type="dxa"/>
            <w:vAlign w:val="center"/>
          </w:tcPr>
          <w:p w14:paraId="5AAB5182">
            <w:pPr>
              <w:spacing w:line="360" w:lineRule="auto"/>
              <w:jc w:val="center"/>
              <w:rPr>
                <w:rFonts w:ascii="宋体" w:hAnsi="宋体"/>
                <w:color w:val="auto"/>
                <w:szCs w:val="21"/>
                <w:highlight w:val="none"/>
              </w:rPr>
            </w:pPr>
          </w:p>
        </w:tc>
        <w:tc>
          <w:tcPr>
            <w:tcW w:w="1167" w:type="dxa"/>
            <w:vAlign w:val="center"/>
          </w:tcPr>
          <w:p w14:paraId="7962C50F">
            <w:pPr>
              <w:spacing w:line="360" w:lineRule="auto"/>
              <w:jc w:val="center"/>
              <w:rPr>
                <w:rFonts w:ascii="宋体" w:hAnsi="宋体"/>
                <w:color w:val="auto"/>
                <w:szCs w:val="21"/>
                <w:highlight w:val="none"/>
              </w:rPr>
            </w:pPr>
          </w:p>
        </w:tc>
        <w:tc>
          <w:tcPr>
            <w:tcW w:w="1090" w:type="dxa"/>
            <w:vAlign w:val="center"/>
          </w:tcPr>
          <w:p w14:paraId="5D2ED2AC">
            <w:pPr>
              <w:spacing w:line="360" w:lineRule="auto"/>
              <w:jc w:val="center"/>
              <w:rPr>
                <w:rFonts w:ascii="宋体" w:hAnsi="宋体"/>
                <w:color w:val="auto"/>
                <w:szCs w:val="21"/>
                <w:highlight w:val="none"/>
              </w:rPr>
            </w:pPr>
          </w:p>
        </w:tc>
        <w:tc>
          <w:tcPr>
            <w:tcW w:w="908" w:type="dxa"/>
            <w:vAlign w:val="center"/>
          </w:tcPr>
          <w:p w14:paraId="685504FF">
            <w:pPr>
              <w:spacing w:line="360" w:lineRule="auto"/>
              <w:jc w:val="center"/>
              <w:rPr>
                <w:rFonts w:ascii="宋体" w:hAnsi="宋体"/>
                <w:color w:val="auto"/>
                <w:szCs w:val="21"/>
                <w:highlight w:val="none"/>
              </w:rPr>
            </w:pPr>
          </w:p>
        </w:tc>
        <w:tc>
          <w:tcPr>
            <w:tcW w:w="668" w:type="dxa"/>
            <w:vAlign w:val="center"/>
          </w:tcPr>
          <w:p w14:paraId="20AD95C9">
            <w:pPr>
              <w:spacing w:line="360" w:lineRule="auto"/>
              <w:jc w:val="center"/>
              <w:rPr>
                <w:rFonts w:ascii="宋体" w:hAnsi="宋体"/>
                <w:color w:val="auto"/>
                <w:szCs w:val="21"/>
                <w:highlight w:val="none"/>
              </w:rPr>
            </w:pPr>
          </w:p>
        </w:tc>
        <w:tc>
          <w:tcPr>
            <w:tcW w:w="947" w:type="dxa"/>
            <w:vAlign w:val="center"/>
          </w:tcPr>
          <w:p w14:paraId="3E58101E">
            <w:pPr>
              <w:spacing w:line="360" w:lineRule="auto"/>
              <w:jc w:val="center"/>
              <w:rPr>
                <w:rFonts w:ascii="宋体" w:hAnsi="宋体"/>
                <w:color w:val="auto"/>
                <w:szCs w:val="21"/>
                <w:highlight w:val="none"/>
              </w:rPr>
            </w:pPr>
          </w:p>
        </w:tc>
        <w:tc>
          <w:tcPr>
            <w:tcW w:w="1189" w:type="dxa"/>
            <w:vAlign w:val="center"/>
          </w:tcPr>
          <w:p w14:paraId="536F2F68">
            <w:pPr>
              <w:spacing w:line="360" w:lineRule="auto"/>
              <w:jc w:val="center"/>
              <w:rPr>
                <w:rFonts w:ascii="宋体" w:hAnsi="宋体"/>
                <w:color w:val="auto"/>
                <w:szCs w:val="21"/>
                <w:highlight w:val="none"/>
              </w:rPr>
            </w:pPr>
          </w:p>
        </w:tc>
      </w:tr>
      <w:tr w14:paraId="647B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156" w:type="dxa"/>
            <w:gridSpan w:val="9"/>
            <w:vAlign w:val="center"/>
          </w:tcPr>
          <w:p w14:paraId="55ACE289">
            <w:pPr>
              <w:spacing w:line="360" w:lineRule="auto"/>
              <w:rPr>
                <w:rFonts w:ascii="宋体" w:hAnsi="宋体"/>
                <w:color w:val="auto"/>
                <w:szCs w:val="21"/>
                <w:highlight w:val="none"/>
              </w:rPr>
            </w:pPr>
            <w:r>
              <w:rPr>
                <w:rFonts w:hint="eastAsia" w:ascii="宋体" w:hAnsi="宋体"/>
                <w:color w:val="auto"/>
                <w:szCs w:val="21"/>
                <w:highlight w:val="none"/>
              </w:rPr>
              <w:t>合计金额（人民币）：</w:t>
            </w:r>
            <w:r>
              <w:rPr>
                <w:rFonts w:hint="eastAsia" w:ascii="宋体" w:hAnsi="宋体"/>
                <w:color w:val="auto"/>
                <w:szCs w:val="21"/>
                <w:highlight w:val="none"/>
                <w:u w:val="single"/>
              </w:rPr>
              <w:t xml:space="preserve">（大写）                          （小写）                 </w:t>
            </w:r>
          </w:p>
        </w:tc>
      </w:tr>
    </w:tbl>
    <w:p w14:paraId="73893B94">
      <w:pPr>
        <w:spacing w:line="360" w:lineRule="auto"/>
        <w:ind w:firstLine="422"/>
        <w:rPr>
          <w:rFonts w:ascii="宋体" w:hAnsi="宋体"/>
          <w:color w:val="auto"/>
          <w:szCs w:val="21"/>
          <w:highlight w:val="none"/>
        </w:rPr>
      </w:pPr>
      <w:r>
        <w:rPr>
          <w:rFonts w:hint="eastAsia" w:ascii="宋体" w:hAnsi="宋体"/>
          <w:b/>
          <w:color w:val="auto"/>
          <w:szCs w:val="21"/>
          <w:highlight w:val="none"/>
        </w:rPr>
        <w:t>第二条　标的质量</w:t>
      </w:r>
    </w:p>
    <w:p w14:paraId="72BF8E6E">
      <w:pPr>
        <w:spacing w:line="360" w:lineRule="auto"/>
        <w:ind w:firstLine="420"/>
        <w:rPr>
          <w:rFonts w:ascii="宋体" w:hAnsi="宋体"/>
          <w:color w:val="auto"/>
          <w:szCs w:val="21"/>
          <w:highlight w:val="none"/>
        </w:rPr>
      </w:pPr>
      <w:r>
        <w:rPr>
          <w:rFonts w:hint="eastAsia" w:ascii="宋体" w:hAnsi="宋体"/>
          <w:color w:val="auto"/>
          <w:szCs w:val="21"/>
          <w:highlight w:val="none"/>
        </w:rPr>
        <w:t>1.乙方所提供标的的名称、商标品牌、生产厂家、规格型号、技术参数等内容必须与乙方投标（响应）文件及有关承诺相一致，且满足项目实施要求。</w:t>
      </w:r>
    </w:p>
    <w:p w14:paraId="39C800EE">
      <w:pPr>
        <w:spacing w:line="360" w:lineRule="auto"/>
        <w:ind w:firstLine="420"/>
        <w:rPr>
          <w:rFonts w:ascii="宋体" w:hAnsi="宋体"/>
          <w:color w:val="auto"/>
          <w:szCs w:val="21"/>
          <w:highlight w:val="none"/>
        </w:rPr>
      </w:pPr>
      <w:r>
        <w:rPr>
          <w:rFonts w:hint="eastAsia" w:ascii="宋体" w:hAnsi="宋体"/>
          <w:color w:val="auto"/>
          <w:szCs w:val="21"/>
          <w:highlight w:val="none"/>
        </w:rPr>
        <w:t>2.乙方所提供的货物必须是全新、未使用的原装产品，且在正常安装、使用和保养条件下，其使用寿命期内各项指标均达到投标（响应）文件的承诺。</w:t>
      </w:r>
    </w:p>
    <w:p w14:paraId="48D884C0">
      <w:pPr>
        <w:spacing w:line="360" w:lineRule="auto"/>
        <w:ind w:firstLine="422"/>
        <w:rPr>
          <w:rFonts w:ascii="宋体" w:hAnsi="宋体"/>
          <w:color w:val="auto"/>
          <w:szCs w:val="21"/>
          <w:highlight w:val="none"/>
        </w:rPr>
      </w:pPr>
      <w:r>
        <w:rPr>
          <w:rFonts w:hint="eastAsia" w:ascii="宋体" w:hAnsi="宋体"/>
          <w:b/>
          <w:color w:val="auto"/>
          <w:szCs w:val="21"/>
          <w:highlight w:val="none"/>
        </w:rPr>
        <w:t>第三条　</w:t>
      </w:r>
      <w:r>
        <w:rPr>
          <w:rFonts w:hint="eastAsia" w:ascii="宋体" w:hAnsi="宋体"/>
          <w:color w:val="auto"/>
          <w:szCs w:val="21"/>
          <w:highlight w:val="none"/>
        </w:rPr>
        <w:t>履行时间（期限）、地点和方式</w:t>
      </w:r>
    </w:p>
    <w:p w14:paraId="35698ED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1.履行时间（期限）：</w:t>
      </w:r>
    </w:p>
    <w:p w14:paraId="2D9AC1A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2.履行地点：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504DA53">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3.履行方式</w:t>
      </w:r>
    </w:p>
    <w:p w14:paraId="463858C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olor w:val="auto"/>
          <w:szCs w:val="21"/>
          <w:highlight w:val="none"/>
        </w:rPr>
        <w:t>乙方负责货物运输，</w:t>
      </w:r>
      <w:r>
        <w:rPr>
          <w:rFonts w:hint="eastAsia" w:ascii="宋体" w:hAnsi="宋体" w:cs="宋体"/>
          <w:color w:val="auto"/>
          <w:szCs w:val="21"/>
          <w:highlight w:val="none"/>
        </w:rPr>
        <w:t>货物的运输方式：</w:t>
      </w:r>
      <w:r>
        <w:rPr>
          <w:rFonts w:hint="eastAsia" w:ascii="宋体" w:hAnsi="宋体" w:cs="宋体"/>
          <w:color w:val="auto"/>
          <w:szCs w:val="21"/>
          <w:highlight w:val="none"/>
          <w:u w:val="single"/>
        </w:rPr>
        <w:t xml:space="preserve"> 满足本次采购供货要求 </w:t>
      </w:r>
      <w:r>
        <w:rPr>
          <w:rFonts w:hint="eastAsia" w:ascii="宋体" w:hAnsi="宋体" w:cs="宋体"/>
          <w:color w:val="auto"/>
          <w:szCs w:val="21"/>
          <w:highlight w:val="none"/>
        </w:rPr>
        <w:t>。</w:t>
      </w:r>
    </w:p>
    <w:p w14:paraId="7AB28DB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（2）交货方式</w:t>
      </w:r>
    </w:p>
    <w:p w14:paraId="2EF404B1">
      <w:pPr>
        <w:spacing w:line="360" w:lineRule="auto"/>
        <w:ind w:firstLine="42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乙方将货物送到甲方指定地点。</w:t>
      </w:r>
    </w:p>
    <w:p w14:paraId="6264D856">
      <w:pPr>
        <w:spacing w:line="360" w:lineRule="auto"/>
        <w:ind w:firstLine="42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甲方自行到乙方指定地点提货。</w:t>
      </w:r>
    </w:p>
    <w:p w14:paraId="51CC3382">
      <w:pPr>
        <w:spacing w:line="360" w:lineRule="auto"/>
        <w:ind w:firstLine="42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1E0DB05">
      <w:pPr>
        <w:spacing w:line="360" w:lineRule="auto"/>
        <w:ind w:firstLine="422"/>
        <w:rPr>
          <w:rFonts w:ascii="宋体" w:hAnsi="宋体"/>
          <w:b/>
          <w:color w:val="auto"/>
          <w:szCs w:val="21"/>
          <w:highlight w:val="none"/>
        </w:rPr>
      </w:pPr>
      <w:r>
        <w:rPr>
          <w:rFonts w:hint="eastAsia" w:ascii="宋体" w:hAnsi="宋体"/>
          <w:b/>
          <w:color w:val="auto"/>
          <w:szCs w:val="21"/>
          <w:highlight w:val="none"/>
        </w:rPr>
        <w:t>第四条　</w:t>
      </w:r>
      <w:r>
        <w:rPr>
          <w:rFonts w:hint="eastAsia" w:ascii="宋体" w:hAnsi="宋体"/>
          <w:b/>
          <w:color w:val="auto"/>
          <w:highlight w:val="none"/>
        </w:rPr>
        <w:t>包装方式</w:t>
      </w:r>
    </w:p>
    <w:p w14:paraId="4A3F0BA8">
      <w:pPr>
        <w:spacing w:line="360" w:lineRule="auto"/>
        <w:ind w:firstLine="420"/>
        <w:rPr>
          <w:rFonts w:ascii="宋体" w:hAnsi="宋体"/>
          <w:color w:val="auto"/>
          <w:szCs w:val="21"/>
          <w:highlight w:val="none"/>
        </w:rPr>
      </w:pPr>
      <w:r>
        <w:rPr>
          <w:rFonts w:hint="eastAsia" w:ascii="宋体" w:hAnsi="宋体"/>
          <w:color w:val="auto"/>
          <w:szCs w:val="21"/>
          <w:highlight w:val="none"/>
        </w:rPr>
        <w:t>1.乙方提供的货物均应按投标（响应）文件承诺的要求的包装材料、包装标准、包装方式进行包装。</w:t>
      </w:r>
    </w:p>
    <w:p w14:paraId="6FAF18C0">
      <w:pPr>
        <w:pStyle w:val="19"/>
        <w:spacing w:line="360" w:lineRule="auto"/>
        <w:ind w:firstLine="420"/>
        <w:rPr>
          <w:rFonts w:hAnsi="宋体"/>
          <w:color w:val="auto"/>
          <w:sz w:val="21"/>
          <w:highlight w:val="none"/>
        </w:rPr>
      </w:pPr>
      <w:r>
        <w:rPr>
          <w:rFonts w:hint="eastAsia" w:hAnsi="宋体"/>
          <w:color w:val="auto"/>
          <w:sz w:val="21"/>
          <w:highlight w:val="none"/>
        </w:rPr>
        <w:t>2.乙方应在货物发运前对其进行满足运输距离、防水、防潮、防震、防锈和防破损装卸等要求包装，以保证货物安全运达甲方指定地点。</w:t>
      </w:r>
    </w:p>
    <w:p w14:paraId="2B556D18">
      <w:pPr>
        <w:pStyle w:val="17"/>
        <w:spacing w:line="360" w:lineRule="auto"/>
        <w:ind w:firstLine="420"/>
        <w:rPr>
          <w:rFonts w:hAnsi="宋体"/>
          <w:color w:val="auto"/>
          <w:highlight w:val="none"/>
        </w:rPr>
      </w:pPr>
      <w:r>
        <w:rPr>
          <w:rFonts w:hint="eastAsia" w:hAnsi="宋体"/>
          <w:color w:val="auto"/>
          <w:highlight w:val="none"/>
        </w:rPr>
        <w:t>3.货物的使用说明书（货物属于进口产品的，供货时应同时附上中文使用说明书）、质量检验证明书、质量合格证、随配附件和工具以及清单一并附于货物包装内。</w:t>
      </w:r>
    </w:p>
    <w:p w14:paraId="07470890">
      <w:pPr>
        <w:spacing w:line="360" w:lineRule="auto"/>
        <w:ind w:firstLine="422"/>
        <w:rPr>
          <w:rFonts w:ascii="宋体" w:hAnsi="宋体"/>
          <w:color w:val="auto"/>
          <w:szCs w:val="21"/>
          <w:highlight w:val="none"/>
        </w:rPr>
      </w:pPr>
      <w:r>
        <w:rPr>
          <w:rFonts w:hint="eastAsia" w:ascii="宋体" w:hAnsi="宋体"/>
          <w:b/>
          <w:color w:val="auto"/>
          <w:szCs w:val="21"/>
          <w:highlight w:val="none"/>
        </w:rPr>
        <w:t>第五条　安装和培训</w:t>
      </w:r>
    </w:p>
    <w:p w14:paraId="4B2043CB">
      <w:pPr>
        <w:spacing w:line="360" w:lineRule="auto"/>
        <w:ind w:firstLine="420"/>
        <w:rPr>
          <w:rFonts w:ascii="宋体" w:hAnsi="宋体"/>
          <w:color w:val="auto"/>
          <w:szCs w:val="21"/>
          <w:highlight w:val="none"/>
        </w:rPr>
      </w:pPr>
      <w:r>
        <w:rPr>
          <w:rFonts w:hint="eastAsia" w:ascii="宋体" w:hAnsi="宋体"/>
          <w:color w:val="auto"/>
          <w:szCs w:val="21"/>
          <w:highlight w:val="none"/>
        </w:rPr>
        <w:t>1.安装时间：</w:t>
      </w:r>
      <w:r>
        <w:rPr>
          <w:rFonts w:hint="eastAsia" w:ascii="宋体" w:hAnsi="宋体"/>
          <w:color w:val="auto"/>
          <w:szCs w:val="21"/>
          <w:highlight w:val="none"/>
          <w:u w:val="single"/>
        </w:rPr>
        <w:t xml:space="preserve">  </w:t>
      </w:r>
      <w:r>
        <w:rPr>
          <w:rFonts w:hint="eastAsia" w:ascii="宋体" w:hAnsi="宋体" w:cs="宋体"/>
          <w:color w:val="auto"/>
          <w:szCs w:val="21"/>
          <w:highlight w:val="none"/>
          <w:u w:val="single"/>
        </w:rPr>
        <w:t>甲方指定时间</w:t>
      </w:r>
      <w:r>
        <w:rPr>
          <w:rFonts w:hint="eastAsia" w:ascii="宋体" w:hAnsi="宋体"/>
          <w:color w:val="auto"/>
          <w:szCs w:val="21"/>
          <w:highlight w:val="none"/>
          <w:u w:val="single"/>
        </w:rPr>
        <w:t xml:space="preserve">  </w:t>
      </w:r>
      <w:r>
        <w:rPr>
          <w:rFonts w:hint="eastAsia" w:ascii="宋体" w:hAnsi="宋体"/>
          <w:color w:val="auto"/>
          <w:szCs w:val="21"/>
          <w:highlight w:val="none"/>
        </w:rPr>
        <w:t>；安装地点：</w:t>
      </w:r>
      <w:r>
        <w:rPr>
          <w:rFonts w:hint="eastAsia" w:ascii="宋体" w:hAnsi="宋体"/>
          <w:color w:val="auto"/>
          <w:szCs w:val="21"/>
          <w:highlight w:val="none"/>
          <w:u w:val="single"/>
        </w:rPr>
        <w:t xml:space="preserve">  </w:t>
      </w:r>
      <w:r>
        <w:rPr>
          <w:rFonts w:hint="eastAsia" w:ascii="宋体" w:hAnsi="宋体" w:cs="宋体"/>
          <w:color w:val="auto"/>
          <w:szCs w:val="21"/>
          <w:highlight w:val="none"/>
          <w:u w:val="single"/>
        </w:rPr>
        <w:t>甲方指定地点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FD5A787">
      <w:pPr>
        <w:spacing w:line="360" w:lineRule="auto"/>
        <w:ind w:firstLine="420"/>
        <w:rPr>
          <w:rFonts w:ascii="宋体" w:hAnsi="宋体"/>
          <w:color w:val="auto"/>
          <w:szCs w:val="21"/>
          <w:highlight w:val="none"/>
        </w:rPr>
      </w:pPr>
      <w:r>
        <w:rPr>
          <w:rFonts w:hint="eastAsia" w:ascii="宋体" w:hAnsi="宋体"/>
          <w:color w:val="auto"/>
          <w:szCs w:val="21"/>
          <w:highlight w:val="none"/>
        </w:rPr>
        <w:t>2.安装要求：</w:t>
      </w:r>
      <w:r>
        <w:rPr>
          <w:rFonts w:hint="eastAsia" w:ascii="宋体" w:hAnsi="宋体"/>
          <w:i/>
          <w:color w:val="auto"/>
          <w:szCs w:val="21"/>
          <w:highlight w:val="none"/>
          <w:u w:val="single"/>
        </w:rPr>
        <w:t xml:space="preserve">   </w:t>
      </w:r>
      <w:r>
        <w:rPr>
          <w:rFonts w:hint="eastAsia" w:ascii="宋体" w:hAnsi="宋体"/>
          <w:iCs/>
          <w:color w:val="auto"/>
          <w:szCs w:val="21"/>
          <w:highlight w:val="none"/>
          <w:u w:val="single"/>
        </w:rPr>
        <w:t>满足本次</w:t>
      </w:r>
      <w:r>
        <w:rPr>
          <w:rFonts w:hint="eastAsia" w:ascii="宋体" w:hAnsi="宋体" w:cs="宋体"/>
          <w:iCs/>
          <w:color w:val="auto"/>
          <w:szCs w:val="21"/>
          <w:highlight w:val="none"/>
          <w:u w:val="single"/>
        </w:rPr>
        <w:t>采购安装要求</w:t>
      </w:r>
      <w:r>
        <w:rPr>
          <w:rFonts w:hint="eastAsia" w:ascii="宋体" w:hAnsi="宋体"/>
          <w:iCs/>
          <w:color w:val="auto"/>
          <w:szCs w:val="21"/>
          <w:highlight w:val="none"/>
          <w:u w:val="single"/>
        </w:rPr>
        <w:t xml:space="preserve"> </w:t>
      </w:r>
      <w:r>
        <w:rPr>
          <w:rFonts w:hint="eastAsia" w:ascii="宋体" w:hAnsi="宋体"/>
          <w:i/>
          <w:color w:val="auto"/>
          <w:szCs w:val="21"/>
          <w:highlight w:val="none"/>
          <w:u w:val="single"/>
        </w:rPr>
        <w:t xml:space="preserve">   </w:t>
      </w:r>
      <w:r>
        <w:rPr>
          <w:rFonts w:hint="eastAsia" w:ascii="宋体" w:hAnsi="宋体"/>
          <w:color w:val="auto"/>
          <w:szCs w:val="21"/>
          <w:highlight w:val="none"/>
        </w:rPr>
        <w:t>。</w:t>
      </w:r>
    </w:p>
    <w:p w14:paraId="3288A549">
      <w:pPr>
        <w:spacing w:line="360" w:lineRule="auto"/>
        <w:ind w:firstLine="420"/>
        <w:rPr>
          <w:rFonts w:ascii="宋体" w:hAnsi="宋体"/>
          <w:color w:val="auto"/>
          <w:szCs w:val="21"/>
          <w:highlight w:val="none"/>
        </w:rPr>
      </w:pPr>
      <w:r>
        <w:rPr>
          <w:rFonts w:hint="eastAsia" w:ascii="宋体" w:hAnsi="宋体"/>
          <w:color w:val="auto"/>
          <w:szCs w:val="21"/>
          <w:highlight w:val="none"/>
        </w:rPr>
        <w:t>3.甲方应提供必要安装条件（如场地、电源、水源等）。</w:t>
      </w:r>
    </w:p>
    <w:p w14:paraId="3F39A0AF">
      <w:pPr>
        <w:pStyle w:val="17"/>
        <w:spacing w:line="360" w:lineRule="auto"/>
        <w:ind w:firstLine="420"/>
        <w:rPr>
          <w:rFonts w:ascii="宋体" w:hAnsi="宋体"/>
          <w:color w:val="auto"/>
          <w:szCs w:val="21"/>
          <w:highlight w:val="none"/>
        </w:rPr>
      </w:pPr>
      <w:r>
        <w:rPr>
          <w:rFonts w:hint="eastAsia" w:ascii="宋体" w:hAnsi="宋体"/>
          <w:color w:val="auto"/>
          <w:szCs w:val="21"/>
          <w:highlight w:val="none"/>
        </w:rPr>
        <w:t>4.乙方应当按照投标（响应）文件的承诺对甲方有关人员进行培训。</w:t>
      </w:r>
    </w:p>
    <w:p w14:paraId="20D63823">
      <w:pPr>
        <w:pStyle w:val="17"/>
        <w:spacing w:line="360" w:lineRule="auto"/>
        <w:ind w:firstLine="420"/>
        <w:rPr>
          <w:rFonts w:ascii="宋体" w:hAnsi="宋体"/>
          <w:color w:val="auto"/>
          <w:szCs w:val="21"/>
          <w:highlight w:val="none"/>
        </w:rPr>
      </w:pPr>
      <w:r>
        <w:rPr>
          <w:rFonts w:hint="eastAsia" w:ascii="宋体" w:hAnsi="宋体"/>
          <w:color w:val="auto"/>
          <w:szCs w:val="21"/>
          <w:highlight w:val="none"/>
        </w:rPr>
        <w:t>培训时间：</w:t>
      </w:r>
      <w:r>
        <w:rPr>
          <w:rFonts w:hint="eastAsia" w:ascii="宋体" w:hAnsi="宋体"/>
          <w:color w:val="auto"/>
          <w:szCs w:val="21"/>
          <w:highlight w:val="none"/>
          <w:u w:val="single"/>
        </w:rPr>
        <w:t xml:space="preserve">  </w:t>
      </w:r>
      <w:r>
        <w:rPr>
          <w:rFonts w:hint="eastAsia" w:ascii="宋体" w:hAnsi="宋体" w:cs="宋体"/>
          <w:color w:val="auto"/>
          <w:szCs w:val="21"/>
          <w:highlight w:val="none"/>
          <w:u w:val="single"/>
        </w:rPr>
        <w:t>甲方指定时间</w:t>
      </w:r>
      <w:r>
        <w:rPr>
          <w:rFonts w:hint="eastAsia" w:ascii="宋体" w:hAnsi="宋体"/>
          <w:color w:val="auto"/>
          <w:szCs w:val="21"/>
          <w:highlight w:val="none"/>
          <w:u w:val="single"/>
        </w:rPr>
        <w:t xml:space="preserve">  </w:t>
      </w:r>
      <w:r>
        <w:rPr>
          <w:rFonts w:hint="eastAsia" w:ascii="宋体" w:hAnsi="宋体"/>
          <w:color w:val="auto"/>
          <w:szCs w:val="21"/>
          <w:highlight w:val="none"/>
        </w:rPr>
        <w:t>；培训地点：</w:t>
      </w:r>
      <w:r>
        <w:rPr>
          <w:rFonts w:hint="eastAsia" w:ascii="宋体" w:hAnsi="宋体"/>
          <w:color w:val="auto"/>
          <w:szCs w:val="21"/>
          <w:highlight w:val="none"/>
          <w:u w:val="single"/>
        </w:rPr>
        <w:t xml:space="preserve">   </w:t>
      </w:r>
      <w:r>
        <w:rPr>
          <w:rFonts w:hint="eastAsia" w:ascii="宋体" w:hAnsi="宋体" w:cs="宋体"/>
          <w:color w:val="auto"/>
          <w:szCs w:val="21"/>
          <w:highlight w:val="none"/>
          <w:u w:val="single"/>
        </w:rPr>
        <w:t>甲方指定地点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5345308">
      <w:pPr>
        <w:spacing w:line="360" w:lineRule="auto"/>
        <w:ind w:firstLine="422"/>
        <w:rPr>
          <w:rFonts w:ascii="宋体" w:hAnsi="宋体"/>
          <w:b/>
          <w:color w:val="auto"/>
          <w:szCs w:val="21"/>
          <w:highlight w:val="none"/>
        </w:rPr>
      </w:pPr>
      <w:r>
        <w:rPr>
          <w:rFonts w:hint="eastAsia" w:ascii="宋体" w:hAnsi="宋体"/>
          <w:b/>
          <w:color w:val="auto"/>
          <w:szCs w:val="21"/>
          <w:highlight w:val="none"/>
        </w:rPr>
        <w:t>第六条　合同价款及支付</w:t>
      </w:r>
    </w:p>
    <w:p w14:paraId="53623C36">
      <w:pPr>
        <w:pStyle w:val="19"/>
        <w:spacing w:line="360" w:lineRule="auto"/>
        <w:ind w:firstLine="420"/>
        <w:rPr>
          <w:rFonts w:hAnsi="宋体"/>
          <w:color w:val="auto"/>
          <w:sz w:val="21"/>
          <w:highlight w:val="none"/>
        </w:rPr>
      </w:pPr>
      <w:r>
        <w:rPr>
          <w:rFonts w:hint="eastAsia" w:hAnsi="宋体"/>
          <w:color w:val="auto"/>
          <w:sz w:val="21"/>
          <w:highlight w:val="none"/>
        </w:rPr>
        <w:t>1.本合同以人民币付款。</w:t>
      </w:r>
    </w:p>
    <w:p w14:paraId="7AACC971">
      <w:pPr>
        <w:pStyle w:val="19"/>
        <w:spacing w:line="360" w:lineRule="auto"/>
        <w:ind w:firstLine="420"/>
        <w:rPr>
          <w:rFonts w:hAnsi="宋体"/>
          <w:color w:val="auto"/>
          <w:highlight w:val="none"/>
        </w:rPr>
      </w:pPr>
      <w:r>
        <w:rPr>
          <w:rFonts w:hint="eastAsia" w:hAnsi="宋体"/>
          <w:color w:val="auto"/>
          <w:sz w:val="21"/>
          <w:highlight w:val="none"/>
        </w:rPr>
        <w:t>2.合同价款（或者报酬）：</w:t>
      </w:r>
      <w:r>
        <w:rPr>
          <w:rFonts w:hint="eastAsia" w:hAnsi="宋体"/>
          <w:color w:val="auto"/>
          <w:highlight w:val="none"/>
          <w:u w:val="single"/>
        </w:rPr>
        <w:t xml:space="preserve">                     </w:t>
      </w:r>
      <w:r>
        <w:rPr>
          <w:rFonts w:hint="eastAsia" w:hAnsi="宋体"/>
          <w:color w:val="auto"/>
          <w:highlight w:val="none"/>
        </w:rPr>
        <w:t>。</w:t>
      </w:r>
    </w:p>
    <w:p w14:paraId="51B8EE7C">
      <w:pPr>
        <w:pStyle w:val="19"/>
        <w:spacing w:line="360" w:lineRule="auto"/>
        <w:ind w:firstLine="420"/>
        <w:rPr>
          <w:rFonts w:hAnsi="宋体"/>
          <w:color w:val="auto"/>
          <w:sz w:val="21"/>
          <w:highlight w:val="none"/>
        </w:rPr>
      </w:pPr>
      <w:r>
        <w:rPr>
          <w:rFonts w:hint="eastAsia" w:hAnsi="宋体"/>
          <w:color w:val="auto"/>
          <w:sz w:val="21"/>
          <w:highlight w:val="none"/>
        </w:rPr>
        <w:t>3.合同价款包括：竞标报价含货物、随配附件、辅料、备品备件、工具、运抵指定交货地点、现场安装调试的各种费用和售后服务、培训、税金及其他所有成本费用的总和及采购文件所要求的相关服务以及合同所述全部责任、义务和一般风险等全过程产生的所有成本和费用以及一切税费，对采购的全部货物进行完整唯一报价。</w:t>
      </w:r>
    </w:p>
    <w:p w14:paraId="3EA1DD65">
      <w:pPr>
        <w:spacing w:line="360" w:lineRule="auto"/>
        <w:ind w:firstLine="420"/>
        <w:rPr>
          <w:rFonts w:hAnsi="宋体"/>
          <w:color w:val="auto"/>
          <w:highlight w:val="none"/>
        </w:rPr>
      </w:pPr>
      <w:r>
        <w:rPr>
          <w:rFonts w:hint="eastAsia" w:hAnsi="宋体"/>
          <w:color w:val="auto"/>
          <w:highlight w:val="none"/>
        </w:rPr>
        <w:t>4.付款进度安排：</w:t>
      </w:r>
      <w:r>
        <w:rPr>
          <w:rFonts w:hint="eastAsia" w:ascii="宋体" w:hAnsi="宋体" w:cs="宋体"/>
          <w:bCs/>
          <w:color w:val="auto"/>
          <w:szCs w:val="21"/>
          <w:highlight w:val="none"/>
        </w:rPr>
        <w:t>合同签订后，10个工作日内按合同总价款的30%支付，乙方交货并经现场安装调试，甲方验收合格后，由乙方开具正式有效发票，甲方收到发票后</w:t>
      </w:r>
      <w:r>
        <w:rPr>
          <w:rFonts w:hint="eastAsia" w:ascii="宋体" w:hAnsi="宋体" w:cs="宋体"/>
          <w:bCs/>
          <w:color w:val="auto"/>
          <w:szCs w:val="21"/>
          <w:highlight w:val="none"/>
          <w:lang w:val="en-US" w:eastAsia="zh-CN"/>
        </w:rPr>
        <w:t>1</w:t>
      </w:r>
      <w:r>
        <w:rPr>
          <w:rFonts w:ascii="宋体" w:hAnsi="宋体" w:cs="宋体"/>
          <w:bCs/>
          <w:color w:val="auto"/>
          <w:szCs w:val="21"/>
          <w:highlight w:val="none"/>
        </w:rPr>
        <w:t>0</w:t>
      </w:r>
      <w:r>
        <w:rPr>
          <w:rFonts w:hint="eastAsia" w:ascii="宋体" w:hAnsi="宋体" w:cs="宋体"/>
          <w:bCs/>
          <w:color w:val="auto"/>
          <w:szCs w:val="21"/>
          <w:highlight w:val="none"/>
        </w:rPr>
        <w:t>个工作日内按合同总价款</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 xml:space="preserve">0%支付。 </w:t>
      </w:r>
    </w:p>
    <w:p w14:paraId="62B73711">
      <w:pPr>
        <w:pStyle w:val="17"/>
        <w:spacing w:line="360" w:lineRule="auto"/>
        <w:ind w:firstLine="420"/>
        <w:rPr>
          <w:rFonts w:ascii="宋体" w:hAnsi="宋体"/>
          <w:b/>
          <w:color w:val="auto"/>
          <w:szCs w:val="21"/>
          <w:highlight w:val="none"/>
        </w:rPr>
      </w:pPr>
      <w:r>
        <w:rPr>
          <w:rFonts w:hint="eastAsia" w:hAnsi="宋体"/>
          <w:color w:val="auto"/>
          <w:highlight w:val="none"/>
        </w:rPr>
        <w:t>5.资金支付方式：</w:t>
      </w:r>
      <w:r>
        <w:rPr>
          <w:rFonts w:hint="eastAsia" w:hAnsi="宋体"/>
          <w:i/>
          <w:color w:val="auto"/>
          <w:highlight w:val="none"/>
          <w:u w:val="single"/>
        </w:rPr>
        <w:t xml:space="preserve"> </w:t>
      </w:r>
      <w:r>
        <w:rPr>
          <w:rFonts w:hint="eastAsia" w:hAnsi="宋体"/>
          <w:iCs/>
          <w:color w:val="auto"/>
          <w:highlight w:val="none"/>
          <w:u w:val="single"/>
        </w:rPr>
        <w:t>银行转账</w:t>
      </w:r>
      <w:r>
        <w:rPr>
          <w:rFonts w:hint="eastAsia" w:hAnsi="宋体"/>
          <w:color w:val="auto"/>
          <w:highlight w:val="none"/>
          <w:u w:val="single"/>
        </w:rPr>
        <w:t xml:space="preserve"> </w:t>
      </w:r>
      <w:r>
        <w:rPr>
          <w:rFonts w:hint="eastAsia" w:hAnsi="宋体"/>
          <w:color w:val="auto"/>
          <w:highlight w:val="none"/>
        </w:rPr>
        <w:t>。</w:t>
      </w:r>
    </w:p>
    <w:p w14:paraId="29C87D0A">
      <w:pPr>
        <w:spacing w:line="360" w:lineRule="auto"/>
        <w:ind w:firstLine="422"/>
        <w:rPr>
          <w:rFonts w:ascii="宋体" w:hAnsi="宋体"/>
          <w:b/>
          <w:color w:val="auto"/>
          <w:szCs w:val="21"/>
          <w:highlight w:val="none"/>
        </w:rPr>
      </w:pPr>
      <w:r>
        <w:rPr>
          <w:rFonts w:hint="eastAsia" w:ascii="宋体" w:hAnsi="宋体"/>
          <w:b/>
          <w:color w:val="auto"/>
          <w:szCs w:val="21"/>
          <w:highlight w:val="none"/>
        </w:rPr>
        <w:t>第七条　验收、交付标准和方法</w:t>
      </w:r>
    </w:p>
    <w:p w14:paraId="0B71B7C3">
      <w:pPr>
        <w:spacing w:line="360" w:lineRule="auto"/>
        <w:ind w:firstLine="420"/>
        <w:rPr>
          <w:rFonts w:ascii="宋体" w:hAnsi="宋体"/>
          <w:color w:val="auto"/>
          <w:szCs w:val="21"/>
          <w:highlight w:val="none"/>
        </w:rPr>
      </w:pPr>
      <w:r>
        <w:rPr>
          <w:rFonts w:hint="eastAsia" w:ascii="宋体" w:hAnsi="宋体"/>
          <w:color w:val="auto"/>
          <w:szCs w:val="21"/>
          <w:highlight w:val="none"/>
        </w:rPr>
        <w:t>1.验收标准和方法</w:t>
      </w:r>
    </w:p>
    <w:p w14:paraId="24A36020">
      <w:pPr>
        <w:spacing w:line="360" w:lineRule="auto"/>
        <w:ind w:firstLine="420"/>
        <w:rPr>
          <w:rFonts w:ascii="宋体" w:hAnsi="宋体"/>
          <w:i/>
          <w:color w:val="auto"/>
          <w:szCs w:val="21"/>
          <w:highlight w:val="none"/>
        </w:rPr>
      </w:pPr>
      <w:r>
        <w:rPr>
          <w:rFonts w:hint="eastAsia" w:ascii="宋体" w:hAnsi="宋体"/>
          <w:color w:val="auto"/>
          <w:szCs w:val="21"/>
          <w:highlight w:val="none"/>
        </w:rPr>
        <w:t>（1）验收标准：</w:t>
      </w:r>
      <w:r>
        <w:rPr>
          <w:rFonts w:hint="eastAsia" w:ascii="宋体" w:hAnsi="宋体"/>
          <w:iCs/>
          <w:color w:val="auto"/>
          <w:szCs w:val="21"/>
          <w:highlight w:val="none"/>
        </w:rPr>
        <w:t>货物验收标准，伴随工程、服务验收标准（符合现行国家相关标准、行业标准、地方标准或者其他标准、规范）</w:t>
      </w:r>
    </w:p>
    <w:p w14:paraId="2AAB6C84">
      <w:pPr>
        <w:spacing w:line="360" w:lineRule="auto"/>
        <w:ind w:firstLine="420"/>
        <w:rPr>
          <w:rFonts w:ascii="宋体" w:hAnsi="宋体"/>
          <w:color w:val="auto"/>
          <w:szCs w:val="21"/>
          <w:highlight w:val="none"/>
        </w:rPr>
      </w:pPr>
      <w:r>
        <w:rPr>
          <w:rFonts w:hint="eastAsia" w:ascii="宋体" w:hAnsi="宋体"/>
          <w:color w:val="auto"/>
          <w:szCs w:val="21"/>
          <w:highlight w:val="none"/>
        </w:rPr>
        <w:t>（2）验收程序及方法：</w:t>
      </w:r>
    </w:p>
    <w:p w14:paraId="0D6EC2F9">
      <w:pPr>
        <w:spacing w:line="360" w:lineRule="auto"/>
        <w:ind w:firstLine="420"/>
        <w:rPr>
          <w:rFonts w:ascii="宋体" w:hAnsi="宋体"/>
          <w:color w:val="auto"/>
          <w:szCs w:val="21"/>
          <w:highlight w:val="none"/>
        </w:rPr>
      </w:pPr>
      <w:r>
        <w:rPr>
          <w:rFonts w:hint="eastAsia" w:ascii="宋体" w:hAnsi="宋体"/>
          <w:color w:val="auto"/>
          <w:szCs w:val="21"/>
          <w:highlight w:val="none"/>
        </w:rPr>
        <w:t>1）乙方完成货物安装调试和培训后，书面向甲方提交验收申请。</w:t>
      </w:r>
    </w:p>
    <w:p w14:paraId="6D3A74B7">
      <w:pPr>
        <w:spacing w:line="360" w:lineRule="auto"/>
        <w:ind w:firstLine="420"/>
        <w:rPr>
          <w:rFonts w:ascii="宋体" w:hAnsi="宋体"/>
          <w:color w:val="auto"/>
          <w:szCs w:val="21"/>
          <w:highlight w:val="none"/>
        </w:rPr>
      </w:pPr>
      <w:r>
        <w:rPr>
          <w:rFonts w:hint="eastAsia" w:ascii="宋体" w:hAnsi="宋体"/>
          <w:color w:val="auto"/>
          <w:szCs w:val="21"/>
          <w:highlight w:val="none"/>
        </w:rPr>
        <w:t>2）甲方收到乙方验收申请之日起</w:t>
      </w:r>
      <w:r>
        <w:rPr>
          <w:rFonts w:hint="eastAsia" w:ascii="宋体" w:hAnsi="宋体"/>
          <w:color w:val="auto"/>
          <w:szCs w:val="21"/>
          <w:highlight w:val="none"/>
          <w:u w:val="single"/>
        </w:rPr>
        <w:t xml:space="preserve"> 5</w:t>
      </w:r>
      <w:r>
        <w:rPr>
          <w:rFonts w:hint="eastAsia" w:ascii="宋体" w:hAnsi="宋体"/>
          <w:color w:val="auto"/>
          <w:szCs w:val="21"/>
          <w:highlight w:val="none"/>
        </w:rPr>
        <w:t>个工作日进行验收，逾期不验收的，视同验收合格。甲方委托第三方机构组织项目验收的，其验收时间以该项目验收方案确定的验收时间为准。</w:t>
      </w:r>
    </w:p>
    <w:p w14:paraId="769C7B66">
      <w:pPr>
        <w:spacing w:line="360" w:lineRule="auto"/>
        <w:ind w:firstLine="420"/>
        <w:rPr>
          <w:rFonts w:ascii="宋体" w:hAnsi="宋体"/>
          <w:color w:val="auto"/>
          <w:szCs w:val="21"/>
          <w:highlight w:val="none"/>
        </w:rPr>
      </w:pPr>
      <w:r>
        <w:rPr>
          <w:rFonts w:hint="eastAsia" w:ascii="宋体" w:hAnsi="宋体"/>
          <w:color w:val="auto"/>
          <w:szCs w:val="21"/>
          <w:highlight w:val="none"/>
        </w:rPr>
        <w:t>3）本项目验收由验收小组按照采购合同约定对每一项技术和商务要求的履约情况进行确认。</w:t>
      </w:r>
    </w:p>
    <w:p w14:paraId="6C37000C">
      <w:pPr>
        <w:spacing w:line="360" w:lineRule="auto"/>
        <w:ind w:firstLine="420"/>
        <w:rPr>
          <w:rFonts w:ascii="宋体" w:hAnsi="宋体" w:cs="宋体"/>
          <w:color w:val="auto"/>
          <w:sz w:val="24"/>
          <w:highlight w:val="none"/>
        </w:rPr>
      </w:pPr>
      <w:r>
        <w:rPr>
          <w:rFonts w:hint="eastAsia" w:ascii="宋体" w:hAnsi="宋体"/>
          <w:color w:val="auto"/>
          <w:szCs w:val="21"/>
          <w:highlight w:val="none"/>
        </w:rPr>
        <w:t>4）验收结束后，验收小组出具采购验收书，验收书应当包括每一项技术和商务要求的履约情况，并列明项目总体评价，由验收小组、甲方和乙方共同签署。甲方委托第三方机构组织项目验收的，其验收结果以第三方机构出具验收结论为准，甲方和乙方共同签署确认。</w:t>
      </w:r>
    </w:p>
    <w:p w14:paraId="1509C047">
      <w:pPr>
        <w:spacing w:line="360" w:lineRule="auto"/>
        <w:ind w:firstLine="420"/>
        <w:rPr>
          <w:rFonts w:ascii="宋体" w:hAnsi="宋体"/>
          <w:color w:val="auto"/>
          <w:szCs w:val="21"/>
          <w:highlight w:val="none"/>
        </w:rPr>
      </w:pPr>
      <w:r>
        <w:rPr>
          <w:rFonts w:hint="eastAsia" w:ascii="宋体" w:hAnsi="宋体"/>
          <w:color w:val="auto"/>
          <w:szCs w:val="21"/>
          <w:highlight w:val="none"/>
        </w:rPr>
        <w:t>5）验收过程中所产生的一切费用均由乙方承担。</w:t>
      </w:r>
    </w:p>
    <w:p w14:paraId="32221745">
      <w:pPr>
        <w:spacing w:line="360" w:lineRule="auto"/>
        <w:ind w:firstLine="420"/>
        <w:rPr>
          <w:rFonts w:ascii="宋体" w:hAnsi="宋体"/>
          <w:color w:val="auto"/>
          <w:szCs w:val="21"/>
          <w:highlight w:val="none"/>
        </w:rPr>
      </w:pPr>
      <w:r>
        <w:rPr>
          <w:rFonts w:hint="eastAsia" w:ascii="宋体" w:hAnsi="宋体"/>
          <w:color w:val="auto"/>
          <w:szCs w:val="21"/>
          <w:highlight w:val="none"/>
        </w:rPr>
        <w:t>6）</w:t>
      </w:r>
      <w:r>
        <w:rPr>
          <w:rFonts w:hint="eastAsia"/>
          <w:color w:val="auto"/>
          <w:highlight w:val="none"/>
        </w:rPr>
        <w:t>验收书一式</w:t>
      </w:r>
      <w:r>
        <w:rPr>
          <w:rFonts w:hint="eastAsia"/>
          <w:color w:val="auto"/>
          <w:highlight w:val="none"/>
          <w:u w:val="single"/>
        </w:rPr>
        <w:t xml:space="preserve"> 四  </w:t>
      </w:r>
      <w:r>
        <w:rPr>
          <w:rFonts w:hint="eastAsia"/>
          <w:color w:val="auto"/>
          <w:highlight w:val="none"/>
        </w:rPr>
        <w:t>份，甲乙双方各执</w:t>
      </w:r>
      <w:r>
        <w:rPr>
          <w:rFonts w:hint="eastAsia"/>
          <w:color w:val="auto"/>
          <w:highlight w:val="none"/>
          <w:u w:val="single"/>
        </w:rPr>
        <w:t xml:space="preserve"> 二  </w:t>
      </w:r>
      <w:r>
        <w:rPr>
          <w:rFonts w:hint="eastAsia"/>
          <w:color w:val="auto"/>
          <w:highlight w:val="none"/>
        </w:rPr>
        <w:t>份、受托第三方机构一份（如有）</w:t>
      </w:r>
      <w:r>
        <w:rPr>
          <w:rFonts w:hint="eastAsia" w:ascii="宋体" w:hAnsi="宋体"/>
          <w:color w:val="auto"/>
          <w:szCs w:val="21"/>
          <w:highlight w:val="none"/>
        </w:rPr>
        <w:t xml:space="preserve">。 </w:t>
      </w:r>
    </w:p>
    <w:p w14:paraId="60E383BD">
      <w:pPr>
        <w:spacing w:line="360" w:lineRule="auto"/>
        <w:ind w:firstLine="420"/>
        <w:rPr>
          <w:rFonts w:ascii="宋体" w:hAnsi="宋体"/>
          <w:color w:val="auto"/>
          <w:szCs w:val="21"/>
          <w:highlight w:val="none"/>
        </w:rPr>
      </w:pPr>
      <w:r>
        <w:rPr>
          <w:rFonts w:hint="eastAsia" w:ascii="宋体" w:hAnsi="宋体"/>
          <w:color w:val="auto"/>
          <w:szCs w:val="21"/>
          <w:highlight w:val="none"/>
        </w:rPr>
        <w:t>7）验收结论不合格的，乙方应自收到验收书后</w:t>
      </w:r>
      <w:r>
        <w:rPr>
          <w:rFonts w:hint="eastAsia" w:ascii="宋体" w:hAnsi="宋体"/>
          <w:color w:val="auto"/>
          <w:szCs w:val="21"/>
          <w:highlight w:val="none"/>
          <w:u w:val="single"/>
        </w:rPr>
        <w:t xml:space="preserve"> 5 </w:t>
      </w:r>
      <w:r>
        <w:rPr>
          <w:rFonts w:hint="eastAsia" w:ascii="宋体" w:hAnsi="宋体"/>
          <w:color w:val="auto"/>
          <w:szCs w:val="21"/>
          <w:highlight w:val="none"/>
        </w:rPr>
        <w:t>日内及时予以解决。经乙方对验收结论不合格的货物进行整改后，仍然达不到要求的，经双方协商，可按以下办法处理：</w:t>
      </w:r>
    </w:p>
    <w:p w14:paraId="1341C30D">
      <w:pPr>
        <w:spacing w:line="360" w:lineRule="auto"/>
        <w:ind w:firstLine="420"/>
        <w:rPr>
          <w:rFonts w:ascii="宋体" w:hAnsi="宋体"/>
          <w:color w:val="auto"/>
          <w:szCs w:val="21"/>
          <w:highlight w:val="none"/>
        </w:rPr>
      </w:pPr>
      <w:r>
        <w:rPr>
          <w:rFonts w:hint="eastAsia" w:ascii="宋体" w:hAnsi="宋体"/>
          <w:color w:val="auto"/>
          <w:szCs w:val="21"/>
          <w:highlight w:val="none"/>
        </w:rPr>
        <w:t>①更换：由乙方承担所发生的全部费用。</w:t>
      </w:r>
    </w:p>
    <w:p w14:paraId="5CE497F2">
      <w:pPr>
        <w:spacing w:line="360" w:lineRule="auto"/>
        <w:ind w:firstLine="420"/>
        <w:rPr>
          <w:rFonts w:ascii="宋体" w:hAnsi="宋体"/>
          <w:color w:val="auto"/>
          <w:szCs w:val="21"/>
          <w:highlight w:val="none"/>
        </w:rPr>
      </w:pPr>
      <w:r>
        <w:rPr>
          <w:rFonts w:hint="eastAsia" w:ascii="宋体" w:hAnsi="宋体"/>
          <w:color w:val="auto"/>
          <w:szCs w:val="21"/>
          <w:highlight w:val="none"/>
        </w:rPr>
        <w:t>②贬值处理：由甲乙双方合议定价。</w:t>
      </w:r>
    </w:p>
    <w:p w14:paraId="48A61108">
      <w:pPr>
        <w:spacing w:line="360" w:lineRule="auto"/>
        <w:ind w:firstLine="420"/>
        <w:rPr>
          <w:rFonts w:ascii="宋体" w:hAnsi="宋体"/>
          <w:color w:val="auto"/>
          <w:highlight w:val="none"/>
        </w:rPr>
      </w:pPr>
      <w:r>
        <w:rPr>
          <w:rFonts w:hint="eastAsia" w:ascii="宋体" w:hAnsi="宋体"/>
          <w:color w:val="auto"/>
          <w:highlight w:val="none"/>
        </w:rPr>
        <w:t>2.交付标准和方法</w:t>
      </w:r>
    </w:p>
    <w:p w14:paraId="25E82BE3">
      <w:pPr>
        <w:spacing w:line="360" w:lineRule="auto"/>
        <w:ind w:firstLine="420"/>
        <w:rPr>
          <w:rFonts w:ascii="宋体" w:hAnsi="宋体"/>
          <w:color w:val="auto"/>
          <w:szCs w:val="21"/>
          <w:highlight w:val="none"/>
        </w:rPr>
      </w:pPr>
      <w:r>
        <w:rPr>
          <w:rFonts w:hint="eastAsia" w:ascii="宋体" w:hAnsi="宋体"/>
          <w:color w:val="auto"/>
          <w:highlight w:val="none"/>
        </w:rPr>
        <w:t>（1）除售后服务验收外，</w:t>
      </w:r>
      <w:r>
        <w:rPr>
          <w:rFonts w:hint="eastAsia" w:ascii="宋体" w:hAnsi="宋体"/>
          <w:color w:val="auto"/>
          <w:szCs w:val="21"/>
          <w:highlight w:val="none"/>
        </w:rPr>
        <w:t>验收结论合格的，乙方应自收到验收书后</w:t>
      </w:r>
      <w:r>
        <w:rPr>
          <w:rFonts w:hint="eastAsia" w:ascii="宋体" w:hAnsi="宋体"/>
          <w:color w:val="auto"/>
          <w:szCs w:val="21"/>
          <w:highlight w:val="none"/>
          <w:u w:val="single"/>
        </w:rPr>
        <w:t xml:space="preserve"> 5</w:t>
      </w:r>
      <w:r>
        <w:rPr>
          <w:rFonts w:hint="eastAsia" w:ascii="宋体" w:hAnsi="宋体"/>
          <w:color w:val="auto"/>
          <w:szCs w:val="21"/>
          <w:highlight w:val="none"/>
        </w:rPr>
        <w:t>日内向甲方交付使用。</w:t>
      </w:r>
    </w:p>
    <w:p w14:paraId="56E85DFC">
      <w:pPr>
        <w:spacing w:line="360" w:lineRule="auto"/>
        <w:ind w:firstLine="420"/>
        <w:rPr>
          <w:rFonts w:ascii="宋体" w:hAnsi="宋体"/>
          <w:b/>
          <w:color w:val="auto"/>
          <w:szCs w:val="21"/>
          <w:highlight w:val="none"/>
        </w:rPr>
      </w:pPr>
      <w:r>
        <w:rPr>
          <w:rFonts w:hint="eastAsia" w:ascii="宋体" w:hAnsi="宋体"/>
          <w:color w:val="auto"/>
          <w:highlight w:val="none"/>
        </w:rPr>
        <w:t>（2）货物的所有权和风险自交付时起由乙方转移至甲方，货物交付给甲方之前所有风险均由乙方承担。</w:t>
      </w:r>
    </w:p>
    <w:p w14:paraId="2B6A6111">
      <w:pPr>
        <w:spacing w:line="360" w:lineRule="auto"/>
        <w:ind w:firstLine="422"/>
        <w:rPr>
          <w:rFonts w:ascii="宋体" w:hAnsi="宋体"/>
          <w:b/>
          <w:color w:val="auto"/>
          <w:szCs w:val="21"/>
          <w:highlight w:val="none"/>
        </w:rPr>
      </w:pPr>
      <w:r>
        <w:rPr>
          <w:rFonts w:hint="eastAsia" w:ascii="宋体" w:hAnsi="宋体"/>
          <w:b/>
          <w:color w:val="auto"/>
          <w:szCs w:val="21"/>
          <w:highlight w:val="none"/>
        </w:rPr>
        <w:t>第八条  售后服务</w:t>
      </w:r>
    </w:p>
    <w:p w14:paraId="2B1A9ED2">
      <w:pPr>
        <w:spacing w:line="360" w:lineRule="auto"/>
        <w:ind w:firstLine="420"/>
        <w:rPr>
          <w:rFonts w:ascii="宋体" w:hAnsi="宋体"/>
          <w:color w:val="auto"/>
          <w:szCs w:val="21"/>
          <w:highlight w:val="none"/>
        </w:rPr>
      </w:pPr>
      <w:r>
        <w:rPr>
          <w:rFonts w:hint="eastAsia" w:ascii="宋体" w:hAnsi="宋体"/>
          <w:color w:val="auto"/>
          <w:szCs w:val="21"/>
          <w:highlight w:val="none"/>
        </w:rPr>
        <w:t>1.乙方应按照国家有关法律法规规定以及投标（响应）文件承诺，为甲方提供售后服务。</w:t>
      </w:r>
    </w:p>
    <w:p w14:paraId="374BA95E">
      <w:pPr>
        <w:spacing w:line="360" w:lineRule="auto"/>
        <w:ind w:firstLine="420"/>
        <w:rPr>
          <w:rFonts w:ascii="宋体" w:hAnsi="宋体"/>
          <w:color w:val="auto"/>
          <w:szCs w:val="21"/>
          <w:highlight w:val="none"/>
        </w:rPr>
      </w:pPr>
      <w:r>
        <w:rPr>
          <w:rFonts w:hint="eastAsia" w:ascii="宋体" w:hAnsi="宋体"/>
          <w:color w:val="auto"/>
          <w:szCs w:val="21"/>
          <w:highlight w:val="none"/>
        </w:rPr>
        <w:t>2.质量保修范围</w:t>
      </w:r>
      <w:r>
        <w:rPr>
          <w:rFonts w:hint="eastAsia" w:ascii="宋体" w:hAnsi="宋体"/>
          <w:color w:val="auto"/>
          <w:szCs w:val="21"/>
          <w:highlight w:val="none"/>
          <w:u w:val="single"/>
        </w:rPr>
        <w:t xml:space="preserve"> </w:t>
      </w:r>
      <w:r>
        <w:rPr>
          <w:rFonts w:hint="eastAsia" w:ascii="新宋体" w:hAnsi="新宋体" w:eastAsia="新宋体" w:cs="宋体"/>
          <w:color w:val="auto"/>
          <w:szCs w:val="21"/>
          <w:highlight w:val="none"/>
          <w:u w:val="single"/>
        </w:rPr>
        <w:t xml:space="preserve">            。</w:t>
      </w:r>
      <w:r>
        <w:rPr>
          <w:rFonts w:hint="eastAsia" w:ascii="宋体" w:hAnsi="宋体"/>
          <w:color w:val="auto"/>
          <w:szCs w:val="21"/>
          <w:highlight w:val="none"/>
        </w:rPr>
        <w:t>保修期：</w:t>
      </w:r>
      <w:r>
        <w:rPr>
          <w:rFonts w:hint="eastAsia" w:ascii="宋体" w:hAnsi="宋体"/>
          <w:color w:val="auto"/>
          <w:szCs w:val="21"/>
          <w:highlight w:val="none"/>
          <w:u w:val="single"/>
        </w:rPr>
        <w:t xml:space="preserve"> </w:t>
      </w:r>
      <w:r>
        <w:rPr>
          <w:rFonts w:hint="eastAsia" w:ascii="新宋体" w:hAnsi="新宋体" w:eastAsia="新宋体" w:cs="宋体"/>
          <w:color w:val="auto"/>
          <w:szCs w:val="21"/>
          <w:highlight w:val="none"/>
          <w:u w:val="single"/>
        </w:rPr>
        <w:t xml:space="preserve">  年</w:t>
      </w:r>
      <w:r>
        <w:rPr>
          <w:rFonts w:hint="eastAsia" w:ascii="宋体" w:hAnsi="宋体"/>
          <w:color w:val="auto"/>
          <w:szCs w:val="21"/>
          <w:highlight w:val="none"/>
          <w:u w:val="single"/>
        </w:rPr>
        <w:t>。</w:t>
      </w:r>
    </w:p>
    <w:p w14:paraId="6CAD5523">
      <w:pPr>
        <w:spacing w:line="360" w:lineRule="auto"/>
        <w:ind w:left="-61" w:firstLine="517"/>
        <w:rPr>
          <w:rFonts w:ascii="宋体" w:hAnsi="宋体"/>
          <w:b/>
          <w:color w:val="auto"/>
          <w:szCs w:val="21"/>
          <w:highlight w:val="none"/>
        </w:rPr>
      </w:pPr>
      <w:r>
        <w:rPr>
          <w:rFonts w:hint="eastAsia" w:ascii="宋体" w:hAnsi="宋体"/>
          <w:b/>
          <w:color w:val="auto"/>
          <w:szCs w:val="21"/>
          <w:highlight w:val="none"/>
        </w:rPr>
        <w:t>第九条　履约保证金</w:t>
      </w:r>
    </w:p>
    <w:p w14:paraId="50A7FF53">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1.履约保证金金额：</w:t>
      </w:r>
      <w:r>
        <w:rPr>
          <w:rFonts w:hint="eastAsia" w:ascii="宋体" w:hAnsi="宋体" w:cs="宋体"/>
          <w:iCs/>
          <w:color w:val="auto"/>
          <w:szCs w:val="21"/>
          <w:highlight w:val="none"/>
          <w:u w:val="single"/>
        </w:rPr>
        <w:t xml:space="preserve">  0 % </w:t>
      </w:r>
      <w:r>
        <w:rPr>
          <w:rFonts w:hint="eastAsia" w:ascii="宋体" w:hAnsi="宋体" w:cs="宋体"/>
          <w:iCs/>
          <w:color w:val="auto"/>
          <w:szCs w:val="21"/>
          <w:highlight w:val="none"/>
        </w:rPr>
        <w:t>。</w:t>
      </w:r>
    </w:p>
    <w:p w14:paraId="57FAE44C">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2.履约保证金递交方式：</w:t>
      </w:r>
      <w:r>
        <w:rPr>
          <w:rFonts w:hint="eastAsia" w:ascii="宋体" w:hAnsi="宋体" w:cs="宋体"/>
          <w:iCs/>
          <w:color w:val="auto"/>
          <w:szCs w:val="21"/>
          <w:highlight w:val="none"/>
          <w:u w:val="single"/>
        </w:rPr>
        <w:t>支票、汇票、本票或者金融、担保机构出具的保函（包含电子保函）等非现金方式。</w:t>
      </w:r>
    </w:p>
    <w:p w14:paraId="4F152CF2">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3.履约保证金退付的方式、时间及条件：</w:t>
      </w:r>
      <w:r>
        <w:rPr>
          <w:rFonts w:hint="eastAsia" w:ascii="宋体" w:hAnsi="宋体" w:cs="宋体"/>
          <w:iCs/>
          <w:color w:val="auto"/>
          <w:szCs w:val="21"/>
          <w:highlight w:val="none"/>
          <w:u w:val="single"/>
        </w:rPr>
        <w:t>由乙方向履约保证金收取单位提供《广西壮族自治区政府采购项目合同验收书》（详见桂财采〔2015〕22号），保证金收取单位在收到合格材料后5个工作日内办理退还手续（不计利息）</w:t>
      </w:r>
      <w:r>
        <w:rPr>
          <w:rFonts w:hint="eastAsia" w:ascii="宋体" w:hAnsi="宋体" w:cs="宋体"/>
          <w:color w:val="auto"/>
          <w:szCs w:val="21"/>
          <w:highlight w:val="none"/>
        </w:rPr>
        <w:t>。</w:t>
      </w:r>
    </w:p>
    <w:p w14:paraId="7A6A2AFC">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4.不予退还的情形：签订合同后，如乙方不按双方签订的合同规定履约，则其全部履约保证金不予退还。</w:t>
      </w:r>
    </w:p>
    <w:p w14:paraId="55FFF50A">
      <w:pPr>
        <w:spacing w:line="360" w:lineRule="auto"/>
        <w:ind w:firstLine="422"/>
        <w:rPr>
          <w:rFonts w:ascii="宋体" w:hAnsi="宋体"/>
          <w:b/>
          <w:color w:val="auto"/>
          <w:szCs w:val="21"/>
          <w:highlight w:val="none"/>
        </w:rPr>
      </w:pPr>
      <w:r>
        <w:rPr>
          <w:rFonts w:hint="eastAsia" w:ascii="宋体" w:hAnsi="宋体"/>
          <w:b/>
          <w:color w:val="auto"/>
          <w:szCs w:val="21"/>
          <w:highlight w:val="none"/>
        </w:rPr>
        <w:t>第十条　违约责任</w:t>
      </w:r>
    </w:p>
    <w:p w14:paraId="57686543">
      <w:pPr>
        <w:pStyle w:val="19"/>
        <w:spacing w:line="360" w:lineRule="auto"/>
        <w:ind w:firstLine="420"/>
        <w:rPr>
          <w:rFonts w:hAnsi="宋体"/>
          <w:color w:val="auto"/>
          <w:sz w:val="21"/>
          <w:highlight w:val="none"/>
        </w:rPr>
      </w:pPr>
      <w:r>
        <w:rPr>
          <w:rFonts w:hint="eastAsia" w:hAnsi="宋体"/>
          <w:color w:val="auto"/>
          <w:sz w:val="21"/>
          <w:highlight w:val="none"/>
        </w:rPr>
        <w:t>1.合同一方不履行合同义务、履行合同义务不符合约定或者违反合同项下所作保证的， 应向对方承担继续履行、采取修理、更换、退货等补救措施或者赔偿损失等违约责任。</w:t>
      </w:r>
    </w:p>
    <w:p w14:paraId="5B019301">
      <w:pPr>
        <w:pStyle w:val="19"/>
        <w:spacing w:line="360" w:lineRule="auto"/>
        <w:ind w:firstLine="420"/>
        <w:rPr>
          <w:rFonts w:hAnsi="宋体"/>
          <w:color w:val="auto"/>
          <w:sz w:val="21"/>
          <w:highlight w:val="none"/>
        </w:rPr>
      </w:pPr>
      <w:r>
        <w:rPr>
          <w:rFonts w:hint="eastAsia" w:hAnsi="宋体"/>
          <w:color w:val="auto"/>
          <w:sz w:val="21"/>
          <w:highlight w:val="none"/>
        </w:rPr>
        <w:t>2.乙方未能按时交付货物的，应向甲方支付迟延交付违约金。迟延交付违约金的计算方法如下：</w:t>
      </w:r>
    </w:p>
    <w:p w14:paraId="66717B22">
      <w:pPr>
        <w:pStyle w:val="19"/>
        <w:spacing w:line="360" w:lineRule="auto"/>
        <w:ind w:firstLine="420"/>
        <w:rPr>
          <w:rFonts w:hAnsi="宋体"/>
          <w:color w:val="auto"/>
          <w:sz w:val="21"/>
          <w:highlight w:val="none"/>
        </w:rPr>
      </w:pPr>
      <w:r>
        <w:rPr>
          <w:rFonts w:hint="eastAsia" w:hAnsi="宋体"/>
          <w:color w:val="auto"/>
          <w:sz w:val="21"/>
          <w:highlight w:val="none"/>
        </w:rPr>
        <w:t>（1）从迟交的第一周到第四周，每周迟延交付违约金为合同价款（报酬）的</w:t>
      </w:r>
      <w:r>
        <w:rPr>
          <w:rFonts w:hint="eastAsia" w:hAnsi="宋体"/>
          <w:color w:val="auto"/>
          <w:sz w:val="21"/>
          <w:highlight w:val="none"/>
          <w:u w:val="single"/>
        </w:rPr>
        <w:t xml:space="preserve"> 0.5% </w:t>
      </w:r>
      <w:r>
        <w:rPr>
          <w:rFonts w:hint="eastAsia" w:hAnsi="宋体"/>
          <w:color w:val="auto"/>
          <w:sz w:val="21"/>
          <w:highlight w:val="none"/>
        </w:rPr>
        <w:t>；</w:t>
      </w:r>
    </w:p>
    <w:p w14:paraId="2A8DA52A">
      <w:pPr>
        <w:pStyle w:val="19"/>
        <w:spacing w:line="360" w:lineRule="auto"/>
        <w:ind w:firstLine="420"/>
        <w:rPr>
          <w:rFonts w:hAnsi="宋体"/>
          <w:color w:val="auto"/>
          <w:sz w:val="21"/>
          <w:highlight w:val="none"/>
        </w:rPr>
      </w:pPr>
      <w:r>
        <w:rPr>
          <w:rFonts w:hint="eastAsia" w:hAnsi="宋体"/>
          <w:color w:val="auto"/>
          <w:sz w:val="21"/>
          <w:highlight w:val="none"/>
        </w:rPr>
        <w:t>（2）从迟交的第五周到第八周，每周迟延交付违约金为合同价款（报酬）的</w:t>
      </w:r>
      <w:r>
        <w:rPr>
          <w:rFonts w:hint="eastAsia" w:hAnsi="宋体"/>
          <w:color w:val="auto"/>
          <w:sz w:val="21"/>
          <w:highlight w:val="none"/>
          <w:u w:val="single"/>
        </w:rPr>
        <w:t xml:space="preserve"> 1% </w:t>
      </w:r>
      <w:r>
        <w:rPr>
          <w:rFonts w:hint="eastAsia" w:hAnsi="宋体"/>
          <w:color w:val="auto"/>
          <w:sz w:val="21"/>
          <w:highlight w:val="none"/>
        </w:rPr>
        <w:t>；</w:t>
      </w:r>
    </w:p>
    <w:p w14:paraId="1705FF9F">
      <w:pPr>
        <w:pStyle w:val="19"/>
        <w:spacing w:line="360" w:lineRule="auto"/>
        <w:ind w:firstLine="420"/>
        <w:rPr>
          <w:rFonts w:hAnsi="宋体"/>
          <w:color w:val="auto"/>
          <w:sz w:val="21"/>
          <w:highlight w:val="none"/>
        </w:rPr>
      </w:pPr>
      <w:r>
        <w:rPr>
          <w:rFonts w:hint="eastAsia" w:hAnsi="宋体"/>
          <w:color w:val="auto"/>
          <w:sz w:val="21"/>
          <w:highlight w:val="none"/>
        </w:rPr>
        <w:t>（3）从迟交第九周起，每周迟延交付违约金为合同价款（报酬）的</w:t>
      </w:r>
      <w:r>
        <w:rPr>
          <w:rFonts w:hint="eastAsia" w:hAnsi="宋体"/>
          <w:color w:val="auto"/>
          <w:sz w:val="21"/>
          <w:highlight w:val="none"/>
          <w:u w:val="single"/>
        </w:rPr>
        <w:t xml:space="preserve"> 1.5% </w:t>
      </w:r>
      <w:r>
        <w:rPr>
          <w:rFonts w:hint="eastAsia" w:hAnsi="宋体"/>
          <w:color w:val="auto"/>
          <w:sz w:val="21"/>
          <w:highlight w:val="none"/>
        </w:rPr>
        <w:t>。在计算迟延交付违约金时，迟交不足一周的按一周计算。迟延交付违约金的总额不得超过合同价款（报酬）的</w:t>
      </w:r>
      <w:r>
        <w:rPr>
          <w:rFonts w:hint="eastAsia" w:hAnsi="宋体"/>
          <w:color w:val="auto"/>
          <w:sz w:val="21"/>
          <w:highlight w:val="none"/>
          <w:u w:val="single"/>
        </w:rPr>
        <w:t xml:space="preserve"> 10% </w:t>
      </w:r>
      <w:r>
        <w:rPr>
          <w:rFonts w:hint="eastAsia" w:hAnsi="宋体"/>
          <w:color w:val="auto"/>
          <w:sz w:val="21"/>
          <w:highlight w:val="none"/>
        </w:rPr>
        <w:t>。迟延交付违约金的支付不能免除乙方继续交付相关合同货物的义务，但如迟延交付必然导致合同货物安装、调试、验收等工作推迟的，相关工作应相应顺延。</w:t>
      </w:r>
    </w:p>
    <w:p w14:paraId="5C2C358D">
      <w:pPr>
        <w:pStyle w:val="19"/>
        <w:spacing w:line="360" w:lineRule="auto"/>
        <w:ind w:firstLine="420"/>
        <w:rPr>
          <w:rFonts w:hAnsi="宋体"/>
          <w:color w:val="auto"/>
          <w:sz w:val="21"/>
          <w:highlight w:val="none"/>
        </w:rPr>
      </w:pPr>
      <w:r>
        <w:rPr>
          <w:rFonts w:hint="eastAsia" w:hAnsi="宋体"/>
          <w:color w:val="auto"/>
          <w:sz w:val="21"/>
          <w:highlight w:val="none"/>
        </w:rPr>
        <w:t>3.甲方未能按合同约定支付合同价款的，应向乙方支付延迟付款违约金。迟延付款违约金的计算方法如下：</w:t>
      </w:r>
    </w:p>
    <w:p w14:paraId="270F444E">
      <w:pPr>
        <w:pStyle w:val="19"/>
        <w:spacing w:line="360" w:lineRule="auto"/>
        <w:ind w:firstLine="420"/>
        <w:rPr>
          <w:rFonts w:hAnsi="宋体"/>
          <w:color w:val="auto"/>
          <w:sz w:val="21"/>
          <w:highlight w:val="none"/>
        </w:rPr>
      </w:pPr>
      <w:r>
        <w:rPr>
          <w:rFonts w:hint="eastAsia" w:hAnsi="宋体"/>
          <w:color w:val="auto"/>
          <w:sz w:val="21"/>
          <w:highlight w:val="none"/>
        </w:rPr>
        <w:t>（1）从迟付的第一周到第四周，每周迟延付款违约金为迟延付款金额的</w:t>
      </w:r>
      <w:r>
        <w:rPr>
          <w:rFonts w:hint="eastAsia" w:hAnsi="宋体"/>
          <w:color w:val="auto"/>
          <w:sz w:val="21"/>
          <w:highlight w:val="none"/>
          <w:u w:val="single"/>
        </w:rPr>
        <w:t xml:space="preserve"> 0.5% </w:t>
      </w:r>
      <w:r>
        <w:rPr>
          <w:rFonts w:hint="eastAsia" w:hAnsi="宋体"/>
          <w:color w:val="auto"/>
          <w:sz w:val="21"/>
          <w:highlight w:val="none"/>
        </w:rPr>
        <w:t>；</w:t>
      </w:r>
    </w:p>
    <w:p w14:paraId="0FBC3543">
      <w:pPr>
        <w:pStyle w:val="19"/>
        <w:spacing w:line="360" w:lineRule="auto"/>
        <w:ind w:firstLine="420"/>
        <w:rPr>
          <w:rFonts w:hAnsi="宋体"/>
          <w:color w:val="auto"/>
          <w:sz w:val="21"/>
          <w:highlight w:val="none"/>
        </w:rPr>
      </w:pPr>
      <w:r>
        <w:rPr>
          <w:rFonts w:hint="eastAsia" w:hAnsi="宋体"/>
          <w:color w:val="auto"/>
          <w:sz w:val="21"/>
          <w:highlight w:val="none"/>
        </w:rPr>
        <w:t>（2）从迟付的第五周到第八周，每周迟延付款违约金为迟延付款金额的</w:t>
      </w:r>
      <w:r>
        <w:rPr>
          <w:rFonts w:hint="eastAsia" w:hAnsi="宋体"/>
          <w:color w:val="auto"/>
          <w:sz w:val="21"/>
          <w:highlight w:val="none"/>
          <w:u w:val="single"/>
        </w:rPr>
        <w:t xml:space="preserve"> 1% </w:t>
      </w:r>
      <w:r>
        <w:rPr>
          <w:rFonts w:hint="eastAsia" w:hAnsi="宋体"/>
          <w:color w:val="auto"/>
          <w:sz w:val="21"/>
          <w:highlight w:val="none"/>
        </w:rPr>
        <w:t>；</w:t>
      </w:r>
    </w:p>
    <w:p w14:paraId="42540569">
      <w:pPr>
        <w:pStyle w:val="19"/>
        <w:spacing w:line="360" w:lineRule="auto"/>
        <w:ind w:firstLine="420"/>
        <w:rPr>
          <w:rFonts w:hAnsi="宋体"/>
          <w:color w:val="auto"/>
          <w:sz w:val="21"/>
          <w:highlight w:val="none"/>
        </w:rPr>
      </w:pPr>
      <w:r>
        <w:rPr>
          <w:rFonts w:hint="eastAsia" w:hAnsi="宋体"/>
          <w:color w:val="auto"/>
          <w:sz w:val="21"/>
          <w:highlight w:val="none"/>
        </w:rPr>
        <w:t>（3）从迟付第九周起，每周迟延付款违约金为迟延付款金额的</w:t>
      </w:r>
      <w:r>
        <w:rPr>
          <w:rFonts w:hint="eastAsia" w:hAnsi="宋体"/>
          <w:color w:val="auto"/>
          <w:sz w:val="21"/>
          <w:highlight w:val="none"/>
          <w:u w:val="single"/>
        </w:rPr>
        <w:t xml:space="preserve"> 1.5% </w:t>
      </w:r>
      <w:r>
        <w:rPr>
          <w:rFonts w:hint="eastAsia" w:hAnsi="宋体"/>
          <w:color w:val="auto"/>
          <w:sz w:val="21"/>
          <w:highlight w:val="none"/>
        </w:rPr>
        <w:t>。在计算迟延付款违约金时，迟付不足一周的按一周计算。迟延付款违约金的总额不得超过合同价格的</w:t>
      </w:r>
      <w:r>
        <w:rPr>
          <w:rFonts w:hint="eastAsia" w:hAnsi="宋体"/>
          <w:color w:val="auto"/>
          <w:sz w:val="21"/>
          <w:highlight w:val="none"/>
          <w:u w:val="single"/>
        </w:rPr>
        <w:t xml:space="preserve"> 10% </w:t>
      </w:r>
      <w:r>
        <w:rPr>
          <w:rFonts w:hint="eastAsia" w:hAnsi="宋体"/>
          <w:color w:val="auto"/>
          <w:sz w:val="21"/>
          <w:highlight w:val="none"/>
        </w:rPr>
        <w:t>。</w:t>
      </w:r>
    </w:p>
    <w:p w14:paraId="2C605E38">
      <w:pPr>
        <w:pStyle w:val="19"/>
        <w:spacing w:line="360" w:lineRule="auto"/>
        <w:ind w:firstLine="420"/>
        <w:rPr>
          <w:rFonts w:hAnsi="宋体"/>
          <w:color w:val="auto"/>
          <w:sz w:val="21"/>
          <w:highlight w:val="none"/>
        </w:rPr>
      </w:pPr>
      <w:r>
        <w:rPr>
          <w:rFonts w:hint="eastAsia" w:hAnsi="宋体"/>
          <w:color w:val="auto"/>
          <w:sz w:val="21"/>
          <w:highlight w:val="none"/>
        </w:rPr>
        <w:t xml:space="preserve">4.乙方未按本合同和投标（响应）文件承诺提供售后服务的，乙方应按本合同价款（报酬）的 </w:t>
      </w:r>
      <w:r>
        <w:rPr>
          <w:rFonts w:hint="eastAsia" w:hAnsi="宋体"/>
          <w:color w:val="auto"/>
          <w:sz w:val="21"/>
          <w:highlight w:val="none"/>
          <w:u w:val="single"/>
        </w:rPr>
        <w:t xml:space="preserve"> 5 </w:t>
      </w:r>
      <w:r>
        <w:rPr>
          <w:rFonts w:hint="eastAsia" w:hAnsi="宋体"/>
          <w:color w:val="auto"/>
          <w:sz w:val="21"/>
          <w:highlight w:val="none"/>
        </w:rPr>
        <w:t>%向甲方支付违约金。</w:t>
      </w:r>
    </w:p>
    <w:p w14:paraId="080B525B">
      <w:pPr>
        <w:pStyle w:val="19"/>
        <w:spacing w:line="360" w:lineRule="auto"/>
        <w:ind w:firstLine="420"/>
        <w:rPr>
          <w:rFonts w:hAnsi="宋体"/>
          <w:color w:val="auto"/>
          <w:sz w:val="21"/>
          <w:highlight w:val="none"/>
        </w:rPr>
      </w:pPr>
      <w:r>
        <w:rPr>
          <w:rFonts w:hint="eastAsia" w:hAnsi="宋体"/>
          <w:color w:val="auto"/>
          <w:sz w:val="21"/>
          <w:highlight w:val="none"/>
        </w:rPr>
        <w:t>5.因某一方原因导致变更、中止或者终止政府采购合同的，该方应当对另一方受到的损失予以赔偿或者补偿。</w:t>
      </w:r>
    </w:p>
    <w:p w14:paraId="35630F87">
      <w:pPr>
        <w:pStyle w:val="19"/>
        <w:spacing w:line="360" w:lineRule="auto"/>
        <w:ind w:firstLine="420"/>
        <w:rPr>
          <w:rFonts w:hAnsi="宋体"/>
          <w:color w:val="auto"/>
          <w:sz w:val="21"/>
          <w:highlight w:val="none"/>
        </w:rPr>
      </w:pPr>
      <w:r>
        <w:rPr>
          <w:rFonts w:hint="eastAsia" w:hAnsi="宋体"/>
          <w:color w:val="auto"/>
          <w:sz w:val="21"/>
          <w:highlight w:val="none"/>
        </w:rPr>
        <w:t>6.其他违约责任按《中华人民共和国民法典》处理。</w:t>
      </w:r>
    </w:p>
    <w:p w14:paraId="345776CD">
      <w:pPr>
        <w:pStyle w:val="19"/>
        <w:spacing w:line="360" w:lineRule="auto"/>
        <w:ind w:firstLine="413"/>
        <w:rPr>
          <w:rFonts w:hAnsi="宋体"/>
          <w:b/>
          <w:color w:val="auto"/>
          <w:sz w:val="21"/>
          <w:highlight w:val="none"/>
        </w:rPr>
      </w:pPr>
      <w:r>
        <w:rPr>
          <w:rFonts w:hint="eastAsia" w:hAnsi="宋体"/>
          <w:b/>
          <w:color w:val="auto"/>
          <w:sz w:val="21"/>
          <w:highlight w:val="none"/>
        </w:rPr>
        <w:t>第十一条  不可抗力事件处理</w:t>
      </w:r>
    </w:p>
    <w:p w14:paraId="1A755843">
      <w:pPr>
        <w:pStyle w:val="19"/>
        <w:spacing w:line="360" w:lineRule="auto"/>
        <w:ind w:firstLine="420"/>
        <w:rPr>
          <w:rFonts w:hAnsi="宋体"/>
          <w:color w:val="auto"/>
          <w:sz w:val="21"/>
          <w:highlight w:val="none"/>
        </w:rPr>
      </w:pPr>
      <w:r>
        <w:rPr>
          <w:rFonts w:hint="eastAsia" w:hAnsi="宋体"/>
          <w:color w:val="auto"/>
          <w:sz w:val="21"/>
          <w:highlight w:val="none"/>
        </w:rPr>
        <w:t>1.在合同有效期内，任何一方因不可抗力事件导致不能履行合同，则合同履行期可延长，其延长期与不可抗力影响期相同。</w:t>
      </w:r>
    </w:p>
    <w:p w14:paraId="22C7C840">
      <w:pPr>
        <w:pStyle w:val="19"/>
        <w:spacing w:line="360" w:lineRule="auto"/>
        <w:ind w:firstLine="420"/>
        <w:rPr>
          <w:rFonts w:hAnsi="宋体"/>
          <w:color w:val="auto"/>
          <w:sz w:val="21"/>
          <w:highlight w:val="none"/>
        </w:rPr>
      </w:pPr>
      <w:r>
        <w:rPr>
          <w:rFonts w:hint="eastAsia" w:hAnsi="宋体"/>
          <w:color w:val="auto"/>
          <w:sz w:val="21"/>
          <w:highlight w:val="none"/>
        </w:rPr>
        <w:t>2.不可抗力事件发生后，应立即通知对方，并寄送有关权威机构出具的证明。</w:t>
      </w:r>
    </w:p>
    <w:p w14:paraId="655A04C8">
      <w:pPr>
        <w:spacing w:line="360" w:lineRule="auto"/>
        <w:ind w:firstLine="420"/>
        <w:rPr>
          <w:rFonts w:ascii="宋体" w:hAnsi="宋体"/>
          <w:color w:val="auto"/>
          <w:szCs w:val="21"/>
          <w:highlight w:val="none"/>
        </w:rPr>
      </w:pPr>
      <w:r>
        <w:rPr>
          <w:rFonts w:hint="eastAsia" w:ascii="宋体" w:hAnsi="宋体"/>
          <w:color w:val="auto"/>
          <w:szCs w:val="21"/>
          <w:highlight w:val="none"/>
        </w:rPr>
        <w:t>3.不可抗力事件延续一百二十天以上，双方应通过友好协商，确定是否继续履行合同。</w:t>
      </w:r>
    </w:p>
    <w:p w14:paraId="49765C13">
      <w:pPr>
        <w:spacing w:line="360" w:lineRule="auto"/>
        <w:ind w:firstLine="422"/>
        <w:rPr>
          <w:rFonts w:ascii="宋体" w:hAnsi="宋体"/>
          <w:color w:val="auto"/>
          <w:szCs w:val="21"/>
          <w:highlight w:val="none"/>
        </w:rPr>
      </w:pPr>
      <w:r>
        <w:rPr>
          <w:rFonts w:hint="eastAsia" w:ascii="宋体" w:hAnsi="宋体"/>
          <w:b/>
          <w:color w:val="auto"/>
          <w:szCs w:val="21"/>
          <w:highlight w:val="none"/>
        </w:rPr>
        <w:t>第十二条  合同争议解决</w:t>
      </w:r>
    </w:p>
    <w:p w14:paraId="5CB72290">
      <w:pPr>
        <w:spacing w:line="360" w:lineRule="auto"/>
        <w:ind w:firstLine="420"/>
        <w:rPr>
          <w:rFonts w:ascii="宋体" w:hAnsi="宋体"/>
          <w:color w:val="auto"/>
          <w:szCs w:val="21"/>
          <w:highlight w:val="none"/>
        </w:rPr>
      </w:pPr>
      <w:r>
        <w:rPr>
          <w:rFonts w:hint="eastAsia" w:ascii="宋体" w:hAnsi="宋体"/>
          <w:color w:val="auto"/>
          <w:szCs w:val="21"/>
          <w:highlight w:val="none"/>
        </w:rPr>
        <w:t>1.因货物质量问题发生争议的，应邀请国家认可的质量检测机构对货物质量进行鉴定。货物符合标准的，鉴定费由甲方承担；货物不符合标准的，鉴定费由乙方承担。</w:t>
      </w:r>
    </w:p>
    <w:p w14:paraId="78B5CA19">
      <w:pPr>
        <w:spacing w:line="360" w:lineRule="auto"/>
        <w:ind w:left="100" w:right="42" w:firstLine="420"/>
        <w:rPr>
          <w:rFonts w:ascii="宋体" w:hAnsi="宋体"/>
          <w:color w:val="auto"/>
          <w:szCs w:val="21"/>
          <w:highlight w:val="none"/>
        </w:rPr>
      </w:pPr>
      <w:r>
        <w:rPr>
          <w:rFonts w:hint="eastAsia" w:ascii="宋体" w:hAnsi="宋体"/>
          <w:color w:val="auto"/>
          <w:szCs w:val="21"/>
          <w:highlight w:val="none"/>
        </w:rPr>
        <w:t>2.因履行本合同引起的或者与本合同有关的争议，甲乙双方应首先通过友好协商解决，如果协商不能解决，按下列</w:t>
      </w:r>
      <w:r>
        <w:rPr>
          <w:rFonts w:hint="eastAsia" w:ascii="宋体" w:hAnsi="宋体"/>
          <w:color w:val="auto"/>
          <w:szCs w:val="21"/>
          <w:highlight w:val="none"/>
          <w:u w:val="single"/>
        </w:rPr>
        <w:t xml:space="preserve">  （1） </w:t>
      </w:r>
      <w:r>
        <w:rPr>
          <w:rFonts w:hint="eastAsia" w:ascii="宋体" w:hAnsi="宋体"/>
          <w:color w:val="auto"/>
          <w:szCs w:val="21"/>
          <w:highlight w:val="none"/>
        </w:rPr>
        <w:t>方式解决：</w:t>
      </w:r>
    </w:p>
    <w:p w14:paraId="71170E7A">
      <w:pPr>
        <w:spacing w:line="360" w:lineRule="auto"/>
        <w:ind w:right="40" w:firstLine="42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）向</w:t>
      </w:r>
      <w:r>
        <w:rPr>
          <w:rFonts w:hint="eastAsia" w:ascii="宋体" w:hAnsi="宋体"/>
          <w:color w:val="auto"/>
          <w:szCs w:val="21"/>
          <w:highlight w:val="none"/>
          <w:u w:val="single"/>
        </w:rPr>
        <w:t xml:space="preserve">  崇左 </w:t>
      </w:r>
      <w:r>
        <w:rPr>
          <w:rFonts w:hint="eastAsia" w:ascii="宋体" w:hAnsi="宋体"/>
          <w:color w:val="auto"/>
          <w:szCs w:val="21"/>
          <w:highlight w:val="none"/>
        </w:rPr>
        <w:t>仲裁委员会申请仲裁；</w:t>
      </w:r>
    </w:p>
    <w:p w14:paraId="1C933FA8">
      <w:pPr>
        <w:spacing w:line="360" w:lineRule="auto"/>
        <w:ind w:right="40" w:firstLine="42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）向甲方所在地的人民法院提起诉讼。</w:t>
      </w:r>
    </w:p>
    <w:p w14:paraId="57FDC1B5">
      <w:pPr>
        <w:spacing w:line="360" w:lineRule="auto"/>
        <w:ind w:firstLine="422"/>
        <w:rPr>
          <w:rFonts w:ascii="宋体" w:hAnsi="宋体"/>
          <w:b/>
          <w:color w:val="auto"/>
          <w:szCs w:val="21"/>
          <w:highlight w:val="none"/>
        </w:rPr>
      </w:pPr>
      <w:r>
        <w:rPr>
          <w:rFonts w:hint="eastAsia" w:ascii="宋体" w:hAnsi="宋体"/>
          <w:b/>
          <w:color w:val="auto"/>
          <w:szCs w:val="21"/>
          <w:highlight w:val="none"/>
        </w:rPr>
        <w:t>第十三条　合同的变更、中止或者终止</w:t>
      </w:r>
    </w:p>
    <w:p w14:paraId="3CFD2701">
      <w:pPr>
        <w:spacing w:line="360" w:lineRule="auto"/>
        <w:ind w:firstLine="420"/>
        <w:rPr>
          <w:rFonts w:ascii="宋体" w:hAnsi="宋体"/>
          <w:color w:val="auto"/>
          <w:szCs w:val="21"/>
          <w:highlight w:val="none"/>
        </w:rPr>
      </w:pPr>
      <w:r>
        <w:rPr>
          <w:rFonts w:hint="eastAsia" w:ascii="宋体" w:hAnsi="宋体"/>
          <w:color w:val="auto"/>
          <w:szCs w:val="21"/>
          <w:highlight w:val="none"/>
        </w:rPr>
        <w:t>1. 除《中华人民共和国政府采购法》第五十条规定的情形外，本合同一经签订，甲乙双方不得擅自变更、中止或者终止合同。</w:t>
      </w:r>
    </w:p>
    <w:p w14:paraId="56CE1A91">
      <w:pPr>
        <w:pStyle w:val="17"/>
        <w:spacing w:line="360" w:lineRule="auto"/>
        <w:ind w:firstLine="420"/>
        <w:rPr>
          <w:rFonts w:ascii="宋体" w:hAnsi="宋体"/>
          <w:color w:val="auto"/>
          <w:szCs w:val="21"/>
          <w:highlight w:val="none"/>
        </w:rPr>
      </w:pPr>
      <w:r>
        <w:rPr>
          <w:rFonts w:hint="eastAsia" w:ascii="宋体" w:hAnsi="宋体"/>
          <w:color w:val="auto"/>
          <w:szCs w:val="21"/>
          <w:highlight w:val="none"/>
        </w:rPr>
        <w:t>2.采购合同继续履行将损害国家利益和社会公共利益的，双方当事人应当变更、中止或者终止合同。有过错的一方应当承担赔偿责任，双方都有过错的，各自承担相应的责任。</w:t>
      </w:r>
    </w:p>
    <w:p w14:paraId="3BDE1846">
      <w:pPr>
        <w:spacing w:line="360" w:lineRule="auto"/>
        <w:ind w:firstLine="422"/>
        <w:rPr>
          <w:rFonts w:ascii="宋体" w:hAnsi="宋体"/>
          <w:b/>
          <w:color w:val="auto"/>
          <w:szCs w:val="21"/>
          <w:highlight w:val="none"/>
        </w:rPr>
      </w:pPr>
      <w:r>
        <w:rPr>
          <w:rFonts w:hint="eastAsia" w:ascii="宋体" w:hAnsi="宋体"/>
          <w:b/>
          <w:color w:val="auto"/>
          <w:szCs w:val="21"/>
          <w:highlight w:val="none"/>
        </w:rPr>
        <w:t>第十四条　</w:t>
      </w:r>
      <w:r>
        <w:rPr>
          <w:rFonts w:hint="eastAsia" w:ascii="宋体" w:hAnsi="宋体" w:cs="微软雅黑"/>
          <w:b/>
          <w:color w:val="auto"/>
          <w:szCs w:val="21"/>
          <w:highlight w:val="none"/>
        </w:rPr>
        <w:t>合</w:t>
      </w:r>
      <w:r>
        <w:rPr>
          <w:rFonts w:hint="eastAsia" w:ascii="宋体" w:hAnsi="宋体" w:cs="微软雅黑"/>
          <w:b/>
          <w:color w:val="auto"/>
          <w:spacing w:val="-2"/>
          <w:szCs w:val="21"/>
          <w:highlight w:val="none"/>
        </w:rPr>
        <w:t>同</w:t>
      </w:r>
      <w:r>
        <w:rPr>
          <w:rFonts w:hint="eastAsia" w:ascii="宋体" w:hAnsi="宋体" w:cs="微软雅黑"/>
          <w:b/>
          <w:color w:val="auto"/>
          <w:szCs w:val="21"/>
          <w:highlight w:val="none"/>
        </w:rPr>
        <w:t>文</w:t>
      </w:r>
      <w:r>
        <w:rPr>
          <w:rFonts w:hint="eastAsia" w:ascii="宋体" w:hAnsi="宋体" w:cs="微软雅黑"/>
          <w:b/>
          <w:color w:val="auto"/>
          <w:spacing w:val="-2"/>
          <w:szCs w:val="21"/>
          <w:highlight w:val="none"/>
        </w:rPr>
        <w:t>件构成</w:t>
      </w:r>
    </w:p>
    <w:p w14:paraId="525608F9">
      <w:pPr>
        <w:pStyle w:val="19"/>
        <w:spacing w:line="360" w:lineRule="auto"/>
        <w:ind w:left="420"/>
        <w:rPr>
          <w:rFonts w:hAnsi="宋体"/>
          <w:color w:val="auto"/>
          <w:sz w:val="21"/>
          <w:highlight w:val="none"/>
        </w:rPr>
      </w:pPr>
      <w:r>
        <w:rPr>
          <w:rFonts w:hint="eastAsia" w:hAnsi="宋体"/>
          <w:color w:val="auto"/>
          <w:sz w:val="21"/>
          <w:highlight w:val="none"/>
        </w:rPr>
        <w:t>1.政府采购合同</w:t>
      </w:r>
    </w:p>
    <w:p w14:paraId="49A3269A">
      <w:pPr>
        <w:pStyle w:val="19"/>
        <w:spacing w:line="360" w:lineRule="auto"/>
        <w:ind w:left="420"/>
        <w:rPr>
          <w:rFonts w:hAnsi="宋体"/>
          <w:color w:val="auto"/>
          <w:sz w:val="21"/>
          <w:highlight w:val="none"/>
        </w:rPr>
      </w:pPr>
      <w:r>
        <w:rPr>
          <w:rFonts w:hint="eastAsia" w:hAnsi="宋体"/>
          <w:color w:val="auto"/>
          <w:sz w:val="21"/>
          <w:highlight w:val="none"/>
        </w:rPr>
        <w:t>2.中标（成交）通知书；</w:t>
      </w:r>
    </w:p>
    <w:p w14:paraId="130CBC3D">
      <w:pPr>
        <w:pStyle w:val="19"/>
        <w:spacing w:line="360" w:lineRule="auto"/>
        <w:ind w:left="420"/>
        <w:rPr>
          <w:rFonts w:hAnsi="宋体"/>
          <w:color w:val="auto"/>
          <w:sz w:val="21"/>
          <w:highlight w:val="none"/>
        </w:rPr>
      </w:pPr>
      <w:r>
        <w:rPr>
          <w:rFonts w:hint="eastAsia" w:hAnsi="宋体"/>
          <w:color w:val="auto"/>
          <w:sz w:val="21"/>
          <w:highlight w:val="none"/>
        </w:rPr>
        <w:t>3.投标（响应）文件；</w:t>
      </w:r>
    </w:p>
    <w:p w14:paraId="6A9E1EEA">
      <w:pPr>
        <w:pStyle w:val="19"/>
        <w:spacing w:line="360" w:lineRule="auto"/>
        <w:ind w:left="420"/>
        <w:rPr>
          <w:rFonts w:hAnsi="宋体"/>
          <w:color w:val="auto"/>
          <w:sz w:val="21"/>
          <w:highlight w:val="none"/>
        </w:rPr>
      </w:pPr>
      <w:r>
        <w:rPr>
          <w:rFonts w:hint="eastAsia" w:hAnsi="宋体"/>
          <w:color w:val="auto"/>
          <w:sz w:val="21"/>
          <w:highlight w:val="none"/>
        </w:rPr>
        <w:t>4.采购文件及更正公告（澄清或补充通知）；</w:t>
      </w:r>
    </w:p>
    <w:p w14:paraId="4F14DE09">
      <w:pPr>
        <w:pStyle w:val="19"/>
        <w:spacing w:line="360" w:lineRule="auto"/>
        <w:ind w:left="420"/>
        <w:rPr>
          <w:rFonts w:hAnsi="宋体"/>
          <w:color w:val="auto"/>
          <w:sz w:val="21"/>
          <w:highlight w:val="none"/>
        </w:rPr>
      </w:pPr>
      <w:r>
        <w:rPr>
          <w:rFonts w:hint="eastAsia" w:hAnsi="宋体"/>
          <w:color w:val="auto"/>
          <w:sz w:val="21"/>
          <w:highlight w:val="none"/>
        </w:rPr>
        <w:t>5.标准、规范及有关技术文件；</w:t>
      </w:r>
    </w:p>
    <w:p w14:paraId="6E96CFBD">
      <w:pPr>
        <w:pStyle w:val="19"/>
        <w:spacing w:line="360" w:lineRule="auto"/>
        <w:ind w:left="420"/>
        <w:rPr>
          <w:rFonts w:hAnsi="宋体"/>
          <w:color w:val="auto"/>
          <w:sz w:val="21"/>
          <w:highlight w:val="none"/>
        </w:rPr>
      </w:pPr>
      <w:r>
        <w:rPr>
          <w:rFonts w:hint="eastAsia" w:hAnsi="宋体"/>
          <w:color w:val="auto"/>
          <w:sz w:val="21"/>
          <w:highlight w:val="none"/>
        </w:rPr>
        <w:t>6.双方约定的其他合同文件。</w:t>
      </w:r>
    </w:p>
    <w:p w14:paraId="2AAC8903">
      <w:pPr>
        <w:pStyle w:val="19"/>
        <w:spacing w:line="360" w:lineRule="auto"/>
        <w:ind w:firstLine="420"/>
        <w:rPr>
          <w:rFonts w:hAnsi="宋体"/>
          <w:color w:val="auto"/>
          <w:sz w:val="21"/>
          <w:highlight w:val="none"/>
        </w:rPr>
      </w:pPr>
      <w:r>
        <w:rPr>
          <w:rFonts w:hint="eastAsia" w:hAnsi="宋体"/>
          <w:color w:val="auto"/>
          <w:sz w:val="21"/>
          <w:highlight w:val="none"/>
        </w:rPr>
        <w:t>上述合同文件互相补充和解释。如果合同文件之间存在矛盾或者不一致之处，以上述文件的排列顺序在先者为准。</w:t>
      </w:r>
    </w:p>
    <w:p w14:paraId="3810FB9A">
      <w:pPr>
        <w:spacing w:line="360" w:lineRule="auto"/>
        <w:ind w:firstLine="422"/>
        <w:rPr>
          <w:rFonts w:ascii="宋体" w:hAnsi="宋体"/>
          <w:color w:val="auto"/>
          <w:szCs w:val="21"/>
          <w:highlight w:val="none"/>
        </w:rPr>
      </w:pPr>
      <w:r>
        <w:rPr>
          <w:rFonts w:hint="eastAsia" w:ascii="宋体" w:hAnsi="宋体"/>
          <w:b/>
          <w:color w:val="auto"/>
          <w:szCs w:val="21"/>
          <w:highlight w:val="none"/>
        </w:rPr>
        <w:t>第</w:t>
      </w:r>
      <w:r>
        <w:rPr>
          <w:rFonts w:hint="eastAsia" w:hAnsi="宋体"/>
          <w:b/>
          <w:color w:val="auto"/>
          <w:highlight w:val="none"/>
        </w:rPr>
        <w:t>十五</w:t>
      </w:r>
      <w:r>
        <w:rPr>
          <w:rFonts w:hint="eastAsia" w:ascii="宋体" w:hAnsi="宋体"/>
          <w:b/>
          <w:color w:val="auto"/>
          <w:szCs w:val="21"/>
          <w:highlight w:val="none"/>
        </w:rPr>
        <w:t>条　知识产权和保密要求</w:t>
      </w:r>
    </w:p>
    <w:p w14:paraId="7E910FAB">
      <w:pPr>
        <w:spacing w:line="360" w:lineRule="auto"/>
        <w:ind w:firstLine="420"/>
        <w:rPr>
          <w:rFonts w:ascii="宋体" w:hAnsi="宋体"/>
          <w:color w:val="auto"/>
          <w:szCs w:val="21"/>
          <w:highlight w:val="none"/>
        </w:rPr>
      </w:pPr>
      <w:r>
        <w:rPr>
          <w:rFonts w:hint="eastAsia" w:ascii="宋体" w:hAnsi="宋体"/>
          <w:color w:val="auto"/>
          <w:szCs w:val="21"/>
          <w:highlight w:val="none"/>
        </w:rPr>
        <w:t>1.甲方在履行合同过程中提供给乙方的全部图纸、文件和其他含有数据和信息的资料，其知识产权属于甲方。</w:t>
      </w:r>
    </w:p>
    <w:p w14:paraId="1E131353">
      <w:pPr>
        <w:spacing w:line="360" w:lineRule="auto"/>
        <w:ind w:firstLine="420"/>
        <w:rPr>
          <w:rFonts w:ascii="宋体" w:hAnsi="宋体"/>
          <w:color w:val="auto"/>
          <w:szCs w:val="21"/>
          <w:highlight w:val="none"/>
        </w:rPr>
      </w:pPr>
      <w:r>
        <w:rPr>
          <w:rFonts w:hint="eastAsia" w:ascii="宋体" w:hAnsi="宋体"/>
          <w:color w:val="auto"/>
          <w:szCs w:val="21"/>
          <w:highlight w:val="none"/>
        </w:rPr>
        <w:t>2.除采购文件采购需求另有约定外，甲方不因签署和履行合同而享有乙方在履行合同过程中提供给甲方的图纸、文件、配套软件、电子辅助程序和其他含有数据和信息的资料的知识产权。</w:t>
      </w:r>
    </w:p>
    <w:p w14:paraId="5CD928E6">
      <w:pPr>
        <w:spacing w:line="360" w:lineRule="auto"/>
        <w:ind w:firstLine="420"/>
        <w:rPr>
          <w:rFonts w:ascii="宋体" w:hAnsi="宋体"/>
          <w:color w:val="auto"/>
          <w:szCs w:val="21"/>
          <w:highlight w:val="none"/>
        </w:rPr>
      </w:pPr>
      <w:r>
        <w:rPr>
          <w:rFonts w:hint="eastAsia" w:ascii="宋体" w:hAnsi="宋体"/>
          <w:color w:val="auto"/>
          <w:szCs w:val="21"/>
          <w:highlight w:val="none"/>
        </w:rPr>
        <w:t>3.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1202DFEA">
      <w:pPr>
        <w:spacing w:line="360" w:lineRule="auto"/>
        <w:ind w:firstLine="420"/>
        <w:rPr>
          <w:rFonts w:ascii="宋体" w:hAnsi="宋体"/>
          <w:color w:val="auto"/>
          <w:szCs w:val="21"/>
          <w:highlight w:val="none"/>
        </w:rPr>
      </w:pPr>
      <w:r>
        <w:rPr>
          <w:rFonts w:hint="eastAsia" w:ascii="宋体" w:hAnsi="宋体"/>
          <w:color w:val="auto"/>
          <w:szCs w:val="21"/>
          <w:highlight w:val="none"/>
        </w:rPr>
        <w:t>4.如果甲方收到任何第三方有关知识产权的主张、索赔或诉讼，乙方在收到甲方通知后， 应以甲方名义并在甲方的协助下，自负费用处理与第三方的索赔或诉讼，并赔偿甲方因此发生的费用和遭受的损失。如果乙方拒绝处理前述索赔或诉讼或在收到甲方通知后</w:t>
      </w:r>
      <w:r>
        <w:rPr>
          <w:rFonts w:ascii="宋体" w:hAnsi="宋体"/>
          <w:color w:val="auto"/>
          <w:szCs w:val="21"/>
          <w:highlight w:val="none"/>
        </w:rPr>
        <w:t>28</w:t>
      </w:r>
      <w:r>
        <w:rPr>
          <w:rFonts w:hint="eastAsia" w:ascii="宋体" w:hAnsi="宋体"/>
          <w:color w:val="auto"/>
          <w:szCs w:val="21"/>
          <w:highlight w:val="none"/>
        </w:rPr>
        <w:t>日内未作表示，甲方可以自己的名义进行这些索赔或诉讼，因此发生的费用和遭受的损失均应由乙方承担。</w:t>
      </w:r>
    </w:p>
    <w:p w14:paraId="1354DE1D">
      <w:pPr>
        <w:spacing w:line="360" w:lineRule="auto"/>
        <w:ind w:firstLine="420"/>
        <w:rPr>
          <w:rFonts w:ascii="宋体" w:hAnsi="宋体"/>
          <w:color w:val="auto"/>
          <w:szCs w:val="21"/>
          <w:highlight w:val="none"/>
        </w:rPr>
      </w:pPr>
      <w:r>
        <w:rPr>
          <w:rFonts w:hint="eastAsia" w:ascii="宋体" w:hAnsi="宋体"/>
          <w:color w:val="auto"/>
          <w:szCs w:val="21"/>
          <w:highlight w:val="none"/>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39D9CAAA">
      <w:pPr>
        <w:spacing w:line="360" w:lineRule="auto"/>
        <w:ind w:firstLine="420"/>
        <w:rPr>
          <w:rFonts w:ascii="宋体" w:hAnsi="宋体"/>
          <w:color w:val="auto"/>
          <w:szCs w:val="21"/>
          <w:highlight w:val="none"/>
        </w:rPr>
      </w:pPr>
      <w:r>
        <w:rPr>
          <w:rFonts w:hint="eastAsia" w:ascii="宋体" w:hAnsi="宋体"/>
          <w:color w:val="auto"/>
          <w:szCs w:val="21"/>
          <w:highlight w:val="none"/>
        </w:rPr>
        <w:t>6.乙方保证将要交付的货物的所有权完全属于乙方且无任何抵押、质押、查封等产权瑕疵。</w:t>
      </w:r>
    </w:p>
    <w:p w14:paraId="7340A436">
      <w:pPr>
        <w:pStyle w:val="19"/>
        <w:spacing w:line="360" w:lineRule="auto"/>
        <w:ind w:firstLine="413"/>
        <w:rPr>
          <w:rFonts w:hAnsi="宋体"/>
          <w:b/>
          <w:color w:val="auto"/>
          <w:sz w:val="21"/>
          <w:highlight w:val="none"/>
        </w:rPr>
      </w:pPr>
      <w:r>
        <w:rPr>
          <w:rFonts w:hint="eastAsia" w:hAnsi="宋体"/>
          <w:b/>
          <w:color w:val="auto"/>
          <w:sz w:val="21"/>
          <w:highlight w:val="none"/>
        </w:rPr>
        <w:t>第十六条  合同生效及其他</w:t>
      </w:r>
    </w:p>
    <w:p w14:paraId="11E89E43">
      <w:pPr>
        <w:pStyle w:val="19"/>
        <w:spacing w:line="360" w:lineRule="auto"/>
        <w:ind w:firstLine="420"/>
        <w:rPr>
          <w:rFonts w:hAnsi="宋体"/>
          <w:color w:val="auto"/>
          <w:sz w:val="21"/>
          <w:highlight w:val="none"/>
        </w:rPr>
      </w:pPr>
      <w:r>
        <w:rPr>
          <w:rFonts w:hint="eastAsia" w:hAnsi="宋体"/>
          <w:color w:val="auto"/>
          <w:sz w:val="21"/>
          <w:highlight w:val="none"/>
        </w:rPr>
        <w:t>1.合同经双方法定代表人或者委托代理人签字并加盖单位公章后生效（委托代理人签字的需后附授权委托书，格式自拟）。</w:t>
      </w:r>
    </w:p>
    <w:p w14:paraId="240C2085">
      <w:pPr>
        <w:pStyle w:val="17"/>
        <w:spacing w:line="360" w:lineRule="auto"/>
        <w:ind w:firstLine="420"/>
        <w:rPr>
          <w:rFonts w:ascii="宋体" w:hAnsi="宋体"/>
          <w:color w:val="auto"/>
          <w:highlight w:val="none"/>
        </w:rPr>
      </w:pPr>
      <w:r>
        <w:rPr>
          <w:rFonts w:hint="eastAsia" w:ascii="宋体" w:hAnsi="宋体"/>
          <w:color w:val="auto"/>
          <w:highlight w:val="none"/>
        </w:rPr>
        <w:t>2.合同执行中涉及采购资金和采购内容修改或者补充的，并签订书面补充协议报财政部门备案，方可作为主合同不可分割的一部分。</w:t>
      </w:r>
    </w:p>
    <w:p w14:paraId="0048604B">
      <w:pPr>
        <w:pStyle w:val="17"/>
        <w:spacing w:line="360" w:lineRule="auto"/>
        <w:ind w:firstLine="420"/>
        <w:rPr>
          <w:rFonts w:ascii="宋体" w:hAnsi="宋体"/>
          <w:color w:val="auto"/>
          <w:szCs w:val="21"/>
          <w:highlight w:val="none"/>
        </w:rPr>
      </w:pPr>
      <w:r>
        <w:rPr>
          <w:rFonts w:hint="eastAsia" w:ascii="宋体" w:hAnsi="宋体"/>
          <w:color w:val="auto"/>
          <w:szCs w:val="21"/>
          <w:highlight w:val="none"/>
        </w:rPr>
        <w:t>3.合同生效后，甲乙双方不得因姓名、名称的变更或者法定代表人、负责人、承办人的变动而不履行合同义务。</w:t>
      </w:r>
    </w:p>
    <w:p w14:paraId="73A2C5C8">
      <w:pPr>
        <w:pStyle w:val="19"/>
        <w:spacing w:line="360" w:lineRule="auto"/>
        <w:ind w:firstLine="420"/>
        <w:rPr>
          <w:rFonts w:hAnsi="宋体"/>
          <w:color w:val="auto"/>
          <w:sz w:val="21"/>
          <w:highlight w:val="none"/>
        </w:rPr>
      </w:pPr>
      <w:r>
        <w:rPr>
          <w:rFonts w:hint="eastAsia" w:hAnsi="宋体"/>
          <w:color w:val="auto"/>
          <w:sz w:val="21"/>
          <w:highlight w:val="none"/>
        </w:rPr>
        <w:t>4.本合同未尽事宜，遵照《中华人民共和国民法典》有关条文执行。</w:t>
      </w:r>
    </w:p>
    <w:p w14:paraId="468A6DC3">
      <w:pPr>
        <w:pStyle w:val="19"/>
        <w:spacing w:line="360" w:lineRule="auto"/>
        <w:ind w:firstLine="420"/>
        <w:rPr>
          <w:rFonts w:hAnsi="宋体"/>
          <w:color w:val="auto"/>
          <w:sz w:val="21"/>
          <w:highlight w:val="none"/>
        </w:rPr>
      </w:pPr>
      <w:r>
        <w:rPr>
          <w:rFonts w:hint="eastAsia" w:hAnsi="宋体"/>
          <w:color w:val="auto"/>
          <w:sz w:val="21"/>
          <w:highlight w:val="none"/>
        </w:rPr>
        <w:t>5.本合同一式5份（可根据需要另增加），经甲乙双方法定代表人或被授权人签字并加盖公章后生效。甲方执2份，乙方执1份，云之龙咨询集团有限公司执1份，政府采购监督管理部门执1份，具有同等法律效力。</w:t>
      </w:r>
    </w:p>
    <w:p w14:paraId="47A1AD7A">
      <w:pPr>
        <w:pStyle w:val="19"/>
        <w:spacing w:line="360" w:lineRule="auto"/>
        <w:ind w:firstLine="420"/>
        <w:rPr>
          <w:rFonts w:hAnsi="宋体"/>
          <w:color w:val="auto"/>
          <w:sz w:val="21"/>
          <w:highlight w:val="none"/>
        </w:rPr>
      </w:pPr>
      <w:r>
        <w:rPr>
          <w:rFonts w:hint="eastAsia" w:hAnsi="宋体"/>
          <w:color w:val="auto"/>
          <w:sz w:val="21"/>
          <w:highlight w:val="none"/>
        </w:rPr>
        <w:t>6.本合同在甲乙双方签字盖章后生效，自签订之日起七个工作日内，甲方应当将合同副本报同级财政部门备案。</w:t>
      </w:r>
    </w:p>
    <w:p w14:paraId="208900C8">
      <w:pPr>
        <w:pStyle w:val="19"/>
        <w:spacing w:line="360" w:lineRule="auto"/>
        <w:ind w:firstLine="420"/>
        <w:rPr>
          <w:rFonts w:hAnsi="宋体"/>
          <w:color w:val="auto"/>
          <w:sz w:val="21"/>
          <w:highlight w:val="none"/>
        </w:rPr>
      </w:pPr>
      <w:r>
        <w:rPr>
          <w:rFonts w:hint="eastAsia" w:hAnsi="宋体"/>
          <w:color w:val="auto"/>
          <w:sz w:val="21"/>
          <w:highlight w:val="none"/>
        </w:rPr>
        <w:t>7.本合同自签订之日起2个工作日内，甲方应当将采购合同在广西壮族自治区财政厅指定的媒体上公告。</w:t>
      </w:r>
    </w:p>
    <w:p w14:paraId="42EFBBDE">
      <w:pPr>
        <w:spacing w:line="360" w:lineRule="auto"/>
        <w:ind w:firstLine="480"/>
        <w:rPr>
          <w:rFonts w:ascii="宋体" w:hAnsi="宋体" w:cs="宋体"/>
          <w:color w:val="auto"/>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7"/>
        <w:gridCol w:w="4455"/>
      </w:tblGrid>
      <w:tr w14:paraId="6018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617" w:type="dxa"/>
            <w:vAlign w:val="center"/>
          </w:tcPr>
          <w:p w14:paraId="02070ADE">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 xml:space="preserve">甲方（章）           </w:t>
            </w:r>
          </w:p>
          <w:p w14:paraId="6338AA9B">
            <w:pPr>
              <w:spacing w:line="400" w:lineRule="exact"/>
              <w:ind w:firstLine="945"/>
              <w:jc w:val="righ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年   月   日</w:t>
            </w:r>
          </w:p>
        </w:tc>
        <w:tc>
          <w:tcPr>
            <w:tcW w:w="4455" w:type="dxa"/>
            <w:vAlign w:val="center"/>
          </w:tcPr>
          <w:p w14:paraId="0FF5F2DA">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 xml:space="preserve">乙方（章）              </w:t>
            </w:r>
          </w:p>
          <w:p w14:paraId="697246F2">
            <w:pPr>
              <w:spacing w:line="400" w:lineRule="exact"/>
              <w:jc w:val="righ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 xml:space="preserve"> 年   月   日</w:t>
            </w:r>
          </w:p>
        </w:tc>
      </w:tr>
      <w:tr w14:paraId="24EB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2C371470">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单位地址：</w:t>
            </w:r>
          </w:p>
        </w:tc>
        <w:tc>
          <w:tcPr>
            <w:tcW w:w="4455" w:type="dxa"/>
            <w:vAlign w:val="center"/>
          </w:tcPr>
          <w:p w14:paraId="5817D24B">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单位地址：</w:t>
            </w:r>
          </w:p>
        </w:tc>
      </w:tr>
      <w:tr w14:paraId="1643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tcPr>
          <w:p w14:paraId="793F8963">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法定代表人或委托代理人：</w:t>
            </w:r>
          </w:p>
          <w:p w14:paraId="15869D7E">
            <w:pPr>
              <w:spacing w:line="400" w:lineRule="exact"/>
              <w:rPr>
                <w:rFonts w:ascii="新宋体" w:hAnsi="新宋体" w:eastAsia="新宋体" w:cs="新宋体"/>
                <w:color w:val="auto"/>
                <w:szCs w:val="21"/>
                <w:highlight w:val="none"/>
              </w:rPr>
            </w:pPr>
          </w:p>
        </w:tc>
        <w:tc>
          <w:tcPr>
            <w:tcW w:w="4455" w:type="dxa"/>
          </w:tcPr>
          <w:p w14:paraId="6854AE6E">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法定代表人或委托代理人：</w:t>
            </w:r>
          </w:p>
          <w:p w14:paraId="13B4B2FE">
            <w:pPr>
              <w:spacing w:line="400" w:lineRule="exact"/>
              <w:rPr>
                <w:rFonts w:ascii="新宋体" w:hAnsi="新宋体" w:eastAsia="新宋体" w:cs="新宋体"/>
                <w:color w:val="auto"/>
                <w:szCs w:val="21"/>
                <w:highlight w:val="none"/>
              </w:rPr>
            </w:pPr>
          </w:p>
        </w:tc>
      </w:tr>
      <w:tr w14:paraId="7DB1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3299FEA6">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电话：</w:t>
            </w:r>
          </w:p>
        </w:tc>
        <w:tc>
          <w:tcPr>
            <w:tcW w:w="4455" w:type="dxa"/>
            <w:vAlign w:val="center"/>
          </w:tcPr>
          <w:p w14:paraId="58CAF8A6">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电话：</w:t>
            </w:r>
          </w:p>
        </w:tc>
      </w:tr>
      <w:tr w14:paraId="436D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2D6C9DDC">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电子邮箱：</w:t>
            </w:r>
          </w:p>
        </w:tc>
        <w:tc>
          <w:tcPr>
            <w:tcW w:w="4455" w:type="dxa"/>
            <w:vAlign w:val="center"/>
          </w:tcPr>
          <w:p w14:paraId="3AF0D01F">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电子邮箱：</w:t>
            </w:r>
          </w:p>
        </w:tc>
      </w:tr>
      <w:tr w14:paraId="7BA3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49E08A81">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开户名称：</w:t>
            </w:r>
          </w:p>
        </w:tc>
        <w:tc>
          <w:tcPr>
            <w:tcW w:w="4455" w:type="dxa"/>
            <w:vAlign w:val="center"/>
          </w:tcPr>
          <w:p w14:paraId="462E5C9E">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开户名称：</w:t>
            </w:r>
          </w:p>
        </w:tc>
      </w:tr>
      <w:tr w14:paraId="7D02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59CE92D1">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纳税人识别号：</w:t>
            </w:r>
          </w:p>
        </w:tc>
        <w:tc>
          <w:tcPr>
            <w:tcW w:w="4455" w:type="dxa"/>
            <w:vAlign w:val="center"/>
          </w:tcPr>
          <w:p w14:paraId="64E33F5B">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纳税人识别号：</w:t>
            </w:r>
          </w:p>
        </w:tc>
      </w:tr>
      <w:tr w14:paraId="3363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5F5C69C5">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开户银行：</w:t>
            </w:r>
          </w:p>
        </w:tc>
        <w:tc>
          <w:tcPr>
            <w:tcW w:w="4455" w:type="dxa"/>
            <w:vAlign w:val="center"/>
          </w:tcPr>
          <w:p w14:paraId="77528274">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开户银行：</w:t>
            </w:r>
          </w:p>
        </w:tc>
      </w:tr>
      <w:tr w14:paraId="12A2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0FD08960">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账号：</w:t>
            </w:r>
          </w:p>
        </w:tc>
        <w:tc>
          <w:tcPr>
            <w:tcW w:w="4455" w:type="dxa"/>
            <w:vAlign w:val="center"/>
          </w:tcPr>
          <w:p w14:paraId="4E32EC5C">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账号：</w:t>
            </w:r>
          </w:p>
        </w:tc>
      </w:tr>
      <w:tr w14:paraId="56F9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4617" w:type="dxa"/>
            <w:vAlign w:val="center"/>
          </w:tcPr>
          <w:p w14:paraId="7A4A1DB7">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邮政编码：</w:t>
            </w:r>
          </w:p>
        </w:tc>
        <w:tc>
          <w:tcPr>
            <w:tcW w:w="4455" w:type="dxa"/>
            <w:vAlign w:val="center"/>
          </w:tcPr>
          <w:p w14:paraId="0862F264">
            <w:pPr>
              <w:spacing w:line="40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邮政编码：</w:t>
            </w:r>
          </w:p>
        </w:tc>
      </w:tr>
    </w:tbl>
    <w:p w14:paraId="3F6352F5">
      <w:pPr>
        <w:spacing w:line="360" w:lineRule="auto"/>
        <w:ind w:left="480" w:hanging="480"/>
        <w:rPr>
          <w:rFonts w:ascii="宋体" w:hAnsi="宋体"/>
          <w:color w:val="auto"/>
          <w:sz w:val="24"/>
          <w:highlight w:val="none"/>
        </w:rPr>
      </w:pPr>
    </w:p>
    <w:p w14:paraId="607260FC">
      <w:pPr>
        <w:spacing w:line="360" w:lineRule="auto"/>
        <w:jc w:val="left"/>
        <w:rPr>
          <w:rFonts w:ascii="宋体" w:hAnsi="宋体"/>
          <w:color w:val="auto"/>
          <w:sz w:val="24"/>
          <w:highlight w:val="none"/>
        </w:rPr>
      </w:pPr>
    </w:p>
    <w:p w14:paraId="1EFF978A">
      <w:pPr>
        <w:pStyle w:val="35"/>
        <w:rPr>
          <w:rFonts w:ascii="宋体" w:hAnsi="宋体"/>
          <w:color w:val="auto"/>
          <w:sz w:val="24"/>
          <w:highlight w:val="none"/>
        </w:rPr>
      </w:pPr>
    </w:p>
    <w:p w14:paraId="4E654380">
      <w:pPr>
        <w:pStyle w:val="304"/>
        <w:rPr>
          <w:rFonts w:hAnsi="宋体"/>
          <w:color w:val="auto"/>
          <w:sz w:val="24"/>
          <w:highlight w:val="none"/>
        </w:rPr>
      </w:pPr>
    </w:p>
    <w:p w14:paraId="1DDB7273">
      <w:pPr>
        <w:rPr>
          <w:rFonts w:hAnsi="宋体"/>
          <w:color w:val="auto"/>
          <w:sz w:val="24"/>
          <w:highlight w:val="none"/>
        </w:rPr>
      </w:pPr>
    </w:p>
    <w:p w14:paraId="06C25D4E">
      <w:pPr>
        <w:pStyle w:val="35"/>
        <w:rPr>
          <w:rFonts w:hAnsi="宋体"/>
          <w:color w:val="auto"/>
          <w:sz w:val="24"/>
          <w:highlight w:val="none"/>
        </w:rPr>
      </w:pPr>
    </w:p>
    <w:p w14:paraId="724FDB3F">
      <w:pPr>
        <w:pStyle w:val="35"/>
        <w:rPr>
          <w:rFonts w:hAnsi="宋体"/>
          <w:color w:val="auto"/>
          <w:sz w:val="24"/>
          <w:highlight w:val="none"/>
        </w:rPr>
      </w:pPr>
    </w:p>
    <w:p w14:paraId="69821D4D">
      <w:pPr>
        <w:spacing w:line="360" w:lineRule="auto"/>
        <w:rPr>
          <w:rFonts w:ascii="宋体" w:hAnsi="宋体"/>
          <w:b/>
          <w:bCs/>
          <w:color w:val="auto"/>
          <w:sz w:val="24"/>
          <w:highlight w:val="none"/>
        </w:rPr>
      </w:pPr>
    </w:p>
    <w:p w14:paraId="3FAAF401">
      <w:pPr>
        <w:spacing w:line="360" w:lineRule="auto"/>
        <w:rPr>
          <w:rFonts w:ascii="宋体" w:hAnsi="宋体"/>
          <w:b/>
          <w:bCs/>
          <w:color w:val="auto"/>
          <w:sz w:val="24"/>
          <w:highlight w:val="none"/>
        </w:rPr>
      </w:pPr>
    </w:p>
    <w:p w14:paraId="1C5FACD2">
      <w:pPr>
        <w:spacing w:line="360" w:lineRule="auto"/>
        <w:rPr>
          <w:rFonts w:ascii="宋体" w:hAnsi="宋体"/>
          <w:b/>
          <w:bCs/>
          <w:color w:val="auto"/>
          <w:sz w:val="24"/>
          <w:highlight w:val="none"/>
        </w:rPr>
      </w:pPr>
    </w:p>
    <w:p w14:paraId="1D75C1B1">
      <w:pPr>
        <w:spacing w:line="360" w:lineRule="auto"/>
        <w:rPr>
          <w:rFonts w:ascii="宋体" w:hAnsi="宋体"/>
          <w:b/>
          <w:bCs/>
          <w:color w:val="auto"/>
          <w:sz w:val="24"/>
          <w:highlight w:val="none"/>
        </w:rPr>
      </w:pPr>
      <w:r>
        <w:rPr>
          <w:rFonts w:hint="eastAsia" w:ascii="宋体" w:hAnsi="宋体"/>
          <w:b/>
          <w:bCs/>
          <w:color w:val="auto"/>
          <w:sz w:val="24"/>
          <w:highlight w:val="none"/>
        </w:rPr>
        <w:t>其他文书、文件格式</w:t>
      </w:r>
    </w:p>
    <w:p w14:paraId="49946F21">
      <w:pPr>
        <w:spacing w:line="360" w:lineRule="auto"/>
        <w:jc w:val="center"/>
        <w:rPr>
          <w:rFonts w:ascii="宋体" w:hAnsi="宋体"/>
          <w:b/>
          <w:bCs/>
          <w:color w:val="auto"/>
          <w:sz w:val="32"/>
          <w:szCs w:val="32"/>
          <w:highlight w:val="none"/>
        </w:rPr>
      </w:pPr>
      <w:r>
        <w:rPr>
          <w:rFonts w:hint="eastAsia" w:ascii="Arial Unicode MS" w:hAnsi="Arial Unicode MS" w:eastAsia="Arial Unicode MS" w:cs="Arial Unicode MS"/>
          <w:color w:val="auto"/>
          <w:sz w:val="44"/>
          <w:szCs w:val="44"/>
          <w:highlight w:val="none"/>
        </w:rPr>
        <w:t>质疑函（格式）</w:t>
      </w:r>
    </w:p>
    <w:p w14:paraId="5E7817EF">
      <w:pPr>
        <w:spacing w:line="360" w:lineRule="auto"/>
        <w:jc w:val="center"/>
        <w:rPr>
          <w:rFonts w:ascii="宋体" w:hAnsi="宋体"/>
          <w:b/>
          <w:bCs/>
          <w:color w:val="auto"/>
          <w:sz w:val="32"/>
          <w:szCs w:val="32"/>
          <w:highlight w:val="none"/>
        </w:rPr>
      </w:pPr>
    </w:p>
    <w:p w14:paraId="403B0896">
      <w:pPr>
        <w:pStyle w:val="19"/>
        <w:spacing w:line="360" w:lineRule="auto"/>
        <w:ind w:firstLine="482"/>
        <w:contextualSpacing/>
        <w:rPr>
          <w:rFonts w:hAnsi="宋体"/>
          <w:b/>
          <w:bCs/>
          <w:color w:val="auto"/>
          <w:sz w:val="24"/>
          <w:szCs w:val="24"/>
          <w:highlight w:val="none"/>
        </w:rPr>
      </w:pPr>
      <w:r>
        <w:rPr>
          <w:rFonts w:hint="eastAsia" w:hAnsi="宋体"/>
          <w:b/>
          <w:bCs/>
          <w:color w:val="auto"/>
          <w:sz w:val="24"/>
          <w:szCs w:val="24"/>
          <w:highlight w:val="none"/>
        </w:rPr>
        <w:t>一、质疑供应商基本信息：</w:t>
      </w:r>
    </w:p>
    <w:p w14:paraId="33C53763">
      <w:pPr>
        <w:pStyle w:val="19"/>
        <w:spacing w:line="360" w:lineRule="auto"/>
        <w:ind w:firstLine="480"/>
        <w:contextualSpacing/>
        <w:rPr>
          <w:rFonts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FEAA316">
      <w:pPr>
        <w:pStyle w:val="19"/>
        <w:spacing w:line="360" w:lineRule="auto"/>
        <w:ind w:firstLine="480"/>
        <w:contextualSpacing/>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77F5FD4">
      <w:pPr>
        <w:pStyle w:val="19"/>
        <w:spacing w:line="360" w:lineRule="auto"/>
        <w:ind w:firstLine="480"/>
        <w:contextualSpacing/>
        <w:rPr>
          <w:rFonts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C8C23E1">
      <w:pPr>
        <w:pStyle w:val="19"/>
        <w:spacing w:line="360" w:lineRule="auto"/>
        <w:ind w:firstLine="480"/>
        <w:contextualSpacing/>
        <w:rPr>
          <w:rFonts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37493CBD">
      <w:pPr>
        <w:pStyle w:val="19"/>
        <w:spacing w:line="360" w:lineRule="auto"/>
        <w:ind w:firstLine="480"/>
        <w:contextualSpacing/>
        <w:rPr>
          <w:rFonts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0FABFBE0">
      <w:pPr>
        <w:pStyle w:val="19"/>
        <w:spacing w:line="360" w:lineRule="auto"/>
        <w:ind w:firstLine="480"/>
        <w:contextualSpacing/>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3EA725A">
      <w:pPr>
        <w:pStyle w:val="19"/>
        <w:spacing w:line="360" w:lineRule="auto"/>
        <w:ind w:firstLine="482"/>
        <w:contextualSpacing/>
        <w:rPr>
          <w:rFonts w:hAnsi="宋体"/>
          <w:b/>
          <w:bCs/>
          <w:color w:val="auto"/>
          <w:sz w:val="24"/>
          <w:szCs w:val="24"/>
          <w:highlight w:val="none"/>
        </w:rPr>
      </w:pPr>
      <w:r>
        <w:rPr>
          <w:rFonts w:hint="eastAsia" w:hAnsi="宋体"/>
          <w:b/>
          <w:bCs/>
          <w:color w:val="auto"/>
          <w:sz w:val="24"/>
          <w:szCs w:val="24"/>
          <w:highlight w:val="none"/>
        </w:rPr>
        <w:t>二、质疑项目基本情况：</w:t>
      </w:r>
    </w:p>
    <w:p w14:paraId="6431C674">
      <w:pPr>
        <w:pStyle w:val="19"/>
        <w:spacing w:line="360" w:lineRule="auto"/>
        <w:ind w:left="25" w:firstLine="472"/>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64972F39">
      <w:pPr>
        <w:pStyle w:val="19"/>
        <w:spacing w:line="360" w:lineRule="auto"/>
        <w:ind w:left="25" w:firstLine="472"/>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16FB8ACE">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4B08C64B">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质疑事项：</w:t>
      </w:r>
    </w:p>
    <w:p w14:paraId="2AAC13B3">
      <w:pPr>
        <w:pStyle w:val="19"/>
        <w:spacing w:line="360" w:lineRule="auto"/>
        <w:ind w:left="25" w:firstLine="352"/>
        <w:contextualSpacing/>
        <w:rPr>
          <w:rFonts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267C7573">
      <w:pPr>
        <w:pStyle w:val="19"/>
        <w:spacing w:line="360" w:lineRule="auto"/>
        <w:ind w:left="25" w:firstLine="352"/>
        <w:contextualSpacing/>
        <w:rPr>
          <w:rFonts w:hAnsi="宋体"/>
          <w:color w:val="auto"/>
          <w:sz w:val="24"/>
          <w:szCs w:val="24"/>
          <w:highlight w:val="none"/>
        </w:rPr>
      </w:pPr>
      <w:r>
        <w:rPr>
          <w:rFonts w:hint="eastAsia" w:hAnsi="宋体"/>
          <w:color w:val="auto"/>
          <w:sz w:val="24"/>
          <w:szCs w:val="24"/>
          <w:highlight w:val="none"/>
        </w:rPr>
        <w:t xml:space="preserve">□采购过程   </w:t>
      </w:r>
    </w:p>
    <w:p w14:paraId="0FB271D4">
      <w:pPr>
        <w:pStyle w:val="19"/>
        <w:spacing w:line="360" w:lineRule="auto"/>
        <w:ind w:left="25" w:firstLine="352"/>
        <w:contextualSpacing/>
        <w:rPr>
          <w:rFonts w:hAnsi="宋体"/>
          <w:bCs/>
          <w:color w:val="auto"/>
          <w:sz w:val="24"/>
          <w:szCs w:val="24"/>
          <w:highlight w:val="none"/>
          <w:u w:val="single"/>
        </w:rPr>
      </w:pPr>
      <w:r>
        <w:rPr>
          <w:rFonts w:hint="eastAsia" w:hAnsi="宋体"/>
          <w:color w:val="auto"/>
          <w:sz w:val="24"/>
          <w:szCs w:val="24"/>
          <w:highlight w:val="none"/>
        </w:rPr>
        <w:t xml:space="preserve">□成交结果   </w:t>
      </w:r>
    </w:p>
    <w:p w14:paraId="4BC59C92">
      <w:pPr>
        <w:pStyle w:val="19"/>
        <w:spacing w:line="360" w:lineRule="auto"/>
        <w:ind w:left="25" w:firstLine="472"/>
        <w:contextualSpacing/>
        <w:rPr>
          <w:rFonts w:hAnsi="宋体"/>
          <w:b/>
          <w:color w:val="auto"/>
          <w:sz w:val="24"/>
          <w:szCs w:val="24"/>
          <w:highlight w:val="none"/>
        </w:rPr>
      </w:pPr>
      <w:r>
        <w:rPr>
          <w:rFonts w:hint="eastAsia" w:hAnsi="宋体"/>
          <w:b/>
          <w:color w:val="auto"/>
          <w:sz w:val="24"/>
          <w:szCs w:val="24"/>
          <w:highlight w:val="none"/>
        </w:rPr>
        <w:t>三、质疑事项具体内容</w:t>
      </w:r>
    </w:p>
    <w:p w14:paraId="77145C9C">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6331C920">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07FDC598">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2D91FA16">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质疑事项2</w:t>
      </w:r>
    </w:p>
    <w:p w14:paraId="5433FBBA">
      <w:pPr>
        <w:pStyle w:val="19"/>
        <w:spacing w:line="360" w:lineRule="auto"/>
        <w:ind w:left="25" w:firstLine="472"/>
        <w:contextualSpacing/>
        <w:rPr>
          <w:rFonts w:hAnsi="宋体"/>
          <w:color w:val="auto"/>
          <w:sz w:val="24"/>
          <w:szCs w:val="24"/>
          <w:highlight w:val="none"/>
        </w:rPr>
      </w:pPr>
      <w:r>
        <w:rPr>
          <w:rFonts w:hAnsi="宋体"/>
          <w:color w:val="auto"/>
          <w:sz w:val="24"/>
          <w:szCs w:val="24"/>
          <w:highlight w:val="none"/>
        </w:rPr>
        <w:t>……</w:t>
      </w:r>
    </w:p>
    <w:p w14:paraId="694CF153">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四、与质疑事项相关的质疑请求：</w:t>
      </w:r>
    </w:p>
    <w:p w14:paraId="47D2E66D">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00DEC54F">
      <w:pPr>
        <w:pStyle w:val="19"/>
        <w:spacing w:line="360" w:lineRule="auto"/>
        <w:ind w:left="25" w:firstLine="352"/>
        <w:contextualSpacing/>
        <w:rPr>
          <w:rFonts w:hAnsi="宋体"/>
          <w:color w:val="auto"/>
          <w:sz w:val="24"/>
          <w:szCs w:val="24"/>
          <w:highlight w:val="none"/>
        </w:rPr>
      </w:pPr>
    </w:p>
    <w:p w14:paraId="7D4415C7">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签字（签章）：                                       公章：</w:t>
      </w:r>
    </w:p>
    <w:p w14:paraId="38046855">
      <w:pPr>
        <w:pStyle w:val="19"/>
        <w:spacing w:line="360" w:lineRule="auto"/>
        <w:ind w:left="25" w:firstLine="352"/>
        <w:contextualSpacing/>
        <w:rPr>
          <w:rFonts w:hAnsi="宋体"/>
          <w:color w:val="auto"/>
          <w:sz w:val="24"/>
          <w:szCs w:val="24"/>
          <w:highlight w:val="none"/>
        </w:rPr>
      </w:pPr>
    </w:p>
    <w:p w14:paraId="1C235F9F">
      <w:pPr>
        <w:pStyle w:val="19"/>
        <w:spacing w:line="360" w:lineRule="auto"/>
        <w:ind w:left="25" w:firstLine="472"/>
        <w:contextualSpacing/>
        <w:rPr>
          <w:rFonts w:hAnsi="宋体"/>
          <w:color w:val="auto"/>
          <w:sz w:val="24"/>
          <w:szCs w:val="24"/>
          <w:highlight w:val="none"/>
        </w:rPr>
      </w:pPr>
      <w:r>
        <w:rPr>
          <w:rFonts w:hint="eastAsia" w:hAnsi="宋体"/>
          <w:color w:val="auto"/>
          <w:sz w:val="24"/>
          <w:szCs w:val="24"/>
          <w:highlight w:val="none"/>
        </w:rPr>
        <w:t>日期：</w:t>
      </w:r>
    </w:p>
    <w:p w14:paraId="141808F7">
      <w:pPr>
        <w:pStyle w:val="19"/>
        <w:spacing w:line="360" w:lineRule="auto"/>
        <w:contextualSpacing/>
        <w:rPr>
          <w:rFonts w:hAnsi="宋体"/>
          <w:b/>
          <w:color w:val="auto"/>
          <w:sz w:val="24"/>
          <w:szCs w:val="24"/>
          <w:highlight w:val="none"/>
        </w:rPr>
      </w:pPr>
    </w:p>
    <w:p w14:paraId="791CBA07">
      <w:pPr>
        <w:pStyle w:val="19"/>
        <w:spacing w:line="360" w:lineRule="auto"/>
        <w:contextualSpacing/>
        <w:rPr>
          <w:rFonts w:hAnsi="宋体"/>
          <w:b/>
          <w:color w:val="auto"/>
          <w:sz w:val="24"/>
          <w:szCs w:val="24"/>
          <w:highlight w:val="none"/>
        </w:rPr>
      </w:pPr>
      <w:r>
        <w:rPr>
          <w:rFonts w:hint="eastAsia" w:hAnsi="宋体"/>
          <w:b/>
          <w:color w:val="auto"/>
          <w:sz w:val="24"/>
          <w:szCs w:val="24"/>
          <w:highlight w:val="none"/>
        </w:rPr>
        <w:t>说明：</w:t>
      </w:r>
    </w:p>
    <w:p w14:paraId="5E1997A0">
      <w:pPr>
        <w:pStyle w:val="19"/>
        <w:spacing w:line="360" w:lineRule="auto"/>
        <w:ind w:left="25" w:firstLine="354"/>
        <w:contextualSpacing/>
        <w:rPr>
          <w:rFonts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16DAC359">
      <w:pPr>
        <w:pStyle w:val="19"/>
        <w:spacing w:line="360" w:lineRule="auto"/>
        <w:ind w:left="25" w:firstLine="354"/>
        <w:contextualSpacing/>
        <w:rPr>
          <w:rFonts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184E839">
      <w:pPr>
        <w:pStyle w:val="19"/>
        <w:spacing w:line="360" w:lineRule="auto"/>
        <w:ind w:left="25" w:firstLine="354"/>
        <w:contextualSpacing/>
        <w:rPr>
          <w:rFonts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42CDCA11">
      <w:pPr>
        <w:pStyle w:val="19"/>
        <w:spacing w:line="360" w:lineRule="auto"/>
        <w:ind w:left="25" w:firstLine="354"/>
        <w:contextualSpacing/>
        <w:rPr>
          <w:rFonts w:hAnsi="宋体"/>
          <w:b/>
          <w:color w:val="auto"/>
          <w:sz w:val="24"/>
          <w:szCs w:val="24"/>
          <w:highlight w:val="none"/>
        </w:rPr>
      </w:pPr>
      <w:r>
        <w:rPr>
          <w:rFonts w:hint="eastAsia" w:hAnsi="宋体"/>
          <w:b/>
          <w:color w:val="auto"/>
          <w:sz w:val="24"/>
          <w:szCs w:val="24"/>
          <w:highlight w:val="none"/>
        </w:rPr>
        <w:t>4.质疑函的质疑请求应与质疑事项相关。</w:t>
      </w:r>
    </w:p>
    <w:p w14:paraId="6BCDD593">
      <w:pPr>
        <w:pStyle w:val="19"/>
        <w:spacing w:line="360" w:lineRule="auto"/>
        <w:ind w:left="25" w:firstLine="354"/>
        <w:contextualSpacing/>
        <w:rPr>
          <w:rFonts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52875BB7">
      <w:pPr>
        <w:pStyle w:val="19"/>
        <w:rPr>
          <w:b/>
          <w:color w:val="auto"/>
          <w:sz w:val="24"/>
          <w:szCs w:val="24"/>
          <w:highlight w:val="none"/>
        </w:rPr>
      </w:pPr>
    </w:p>
    <w:p w14:paraId="2DD66A4D">
      <w:pPr>
        <w:rPr>
          <w:color w:val="auto"/>
          <w:highlight w:val="none"/>
        </w:rPr>
      </w:pPr>
      <w:r>
        <w:rPr>
          <w:color w:val="auto"/>
          <w:highlight w:val="none"/>
        </w:rPr>
        <w:br w:type="page" w:clear="all"/>
      </w:r>
    </w:p>
    <w:p w14:paraId="15B8D841">
      <w:pPr>
        <w:spacing w:line="360" w:lineRule="auto"/>
        <w:jc w:val="center"/>
        <w:rPr>
          <w:rFonts w:ascii="Arial Unicode MS" w:hAnsi="Arial Unicode MS" w:eastAsia="Arial Unicode MS" w:cs="Arial Unicode MS"/>
          <w:color w:val="auto"/>
          <w:sz w:val="44"/>
          <w:szCs w:val="44"/>
          <w:highlight w:val="none"/>
        </w:rPr>
      </w:pPr>
      <w:r>
        <w:rPr>
          <w:rFonts w:hint="eastAsia" w:ascii="Arial Unicode MS" w:hAnsi="Arial Unicode MS" w:eastAsia="Arial Unicode MS" w:cs="Arial Unicode MS"/>
          <w:color w:val="auto"/>
          <w:sz w:val="44"/>
          <w:szCs w:val="44"/>
          <w:highlight w:val="none"/>
        </w:rPr>
        <w:t>投诉书（格式）</w:t>
      </w:r>
    </w:p>
    <w:p w14:paraId="6F4CE5A4">
      <w:pPr>
        <w:pStyle w:val="19"/>
        <w:spacing w:line="360" w:lineRule="auto"/>
        <w:ind w:firstLine="482"/>
        <w:rPr>
          <w:rFonts w:hAnsi="宋体"/>
          <w:b/>
          <w:bCs/>
          <w:color w:val="auto"/>
          <w:sz w:val="24"/>
          <w:szCs w:val="24"/>
          <w:highlight w:val="none"/>
        </w:rPr>
      </w:pPr>
      <w:r>
        <w:rPr>
          <w:rFonts w:hint="eastAsia" w:hAnsi="宋体"/>
          <w:b/>
          <w:bCs/>
          <w:color w:val="auto"/>
          <w:sz w:val="24"/>
          <w:szCs w:val="24"/>
          <w:highlight w:val="none"/>
        </w:rPr>
        <w:t>一、投诉相关主体基本情况：</w:t>
      </w:r>
    </w:p>
    <w:p w14:paraId="7412AEF9">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BCF83F7">
      <w:pPr>
        <w:pStyle w:val="19"/>
        <w:spacing w:line="360" w:lineRule="auto"/>
        <w:ind w:firstLine="480"/>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30657CC">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15630860">
      <w:pPr>
        <w:pStyle w:val="19"/>
        <w:spacing w:line="360" w:lineRule="auto"/>
        <w:ind w:firstLine="480"/>
        <w:rPr>
          <w:rFonts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1345077F">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A3D4497">
      <w:pPr>
        <w:pStyle w:val="19"/>
        <w:spacing w:line="360" w:lineRule="auto"/>
        <w:ind w:firstLine="480"/>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B7D2A32">
      <w:pPr>
        <w:pStyle w:val="19"/>
        <w:spacing w:line="360" w:lineRule="auto"/>
        <w:ind w:firstLine="480"/>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BC8BC19">
      <w:pPr>
        <w:pStyle w:val="19"/>
        <w:spacing w:line="360" w:lineRule="auto"/>
        <w:ind w:firstLine="480"/>
        <w:rPr>
          <w:rFonts w:hAnsi="宋体"/>
          <w:bCs/>
          <w:color w:val="auto"/>
          <w:sz w:val="24"/>
          <w:szCs w:val="24"/>
          <w:highlight w:val="none"/>
        </w:rPr>
      </w:pPr>
      <w:r>
        <w:rPr>
          <w:rFonts w:hint="eastAsia" w:hAnsi="宋体"/>
          <w:bCs/>
          <w:color w:val="auto"/>
          <w:sz w:val="24"/>
          <w:szCs w:val="24"/>
          <w:highlight w:val="none"/>
        </w:rPr>
        <w:t>被投诉人1：</w:t>
      </w:r>
    </w:p>
    <w:p w14:paraId="2EE4CF58">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1AF328A8">
      <w:pPr>
        <w:pStyle w:val="19"/>
        <w:spacing w:line="360" w:lineRule="auto"/>
        <w:ind w:firstLine="480"/>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D6B65A8">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1C27D9D1">
      <w:pPr>
        <w:pStyle w:val="19"/>
        <w:spacing w:line="360" w:lineRule="auto"/>
        <w:ind w:firstLine="480"/>
        <w:rPr>
          <w:rFonts w:hAnsi="宋体"/>
          <w:bCs/>
          <w:color w:val="auto"/>
          <w:sz w:val="24"/>
          <w:szCs w:val="24"/>
          <w:highlight w:val="none"/>
        </w:rPr>
      </w:pPr>
      <w:r>
        <w:rPr>
          <w:rFonts w:hint="eastAsia" w:hAnsi="宋体"/>
          <w:bCs/>
          <w:color w:val="auto"/>
          <w:sz w:val="24"/>
          <w:szCs w:val="24"/>
          <w:highlight w:val="none"/>
        </w:rPr>
        <w:t>被投诉人2：</w:t>
      </w:r>
    </w:p>
    <w:p w14:paraId="3FDBDD19">
      <w:pPr>
        <w:pStyle w:val="19"/>
        <w:spacing w:line="360" w:lineRule="auto"/>
        <w:ind w:firstLine="480"/>
        <w:rPr>
          <w:rFonts w:hAnsi="宋体"/>
          <w:bCs/>
          <w:color w:val="auto"/>
          <w:sz w:val="24"/>
          <w:szCs w:val="24"/>
          <w:highlight w:val="none"/>
        </w:rPr>
      </w:pPr>
      <w:r>
        <w:rPr>
          <w:rFonts w:hAnsi="宋体"/>
          <w:bCs/>
          <w:color w:val="auto"/>
          <w:sz w:val="24"/>
          <w:szCs w:val="24"/>
          <w:highlight w:val="none"/>
        </w:rPr>
        <w:t>……</w:t>
      </w:r>
    </w:p>
    <w:p w14:paraId="70BDEE6E">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4170F6CF">
      <w:pPr>
        <w:pStyle w:val="19"/>
        <w:spacing w:line="360" w:lineRule="auto"/>
        <w:ind w:firstLine="480"/>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5B93EFD">
      <w:pPr>
        <w:pStyle w:val="19"/>
        <w:spacing w:line="360" w:lineRule="auto"/>
        <w:ind w:firstLine="480"/>
        <w:rPr>
          <w:rFonts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4EB236F1">
      <w:pPr>
        <w:pStyle w:val="19"/>
        <w:spacing w:line="360" w:lineRule="auto"/>
        <w:ind w:firstLine="482"/>
        <w:rPr>
          <w:rFonts w:hAnsi="宋体"/>
          <w:b/>
          <w:bCs/>
          <w:color w:val="auto"/>
          <w:sz w:val="24"/>
          <w:szCs w:val="24"/>
          <w:highlight w:val="none"/>
        </w:rPr>
      </w:pPr>
      <w:r>
        <w:rPr>
          <w:rFonts w:hint="eastAsia" w:hAnsi="宋体"/>
          <w:b/>
          <w:bCs/>
          <w:color w:val="auto"/>
          <w:sz w:val="24"/>
          <w:szCs w:val="24"/>
          <w:highlight w:val="none"/>
        </w:rPr>
        <w:t>二、投诉项目基本情况：</w:t>
      </w:r>
    </w:p>
    <w:p w14:paraId="25F29CE2">
      <w:pPr>
        <w:pStyle w:val="19"/>
        <w:spacing w:line="360" w:lineRule="auto"/>
        <w:ind w:left="25" w:firstLine="472"/>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67796211">
      <w:pPr>
        <w:pStyle w:val="19"/>
        <w:spacing w:line="360" w:lineRule="auto"/>
        <w:ind w:left="25" w:firstLine="472"/>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6B40975">
      <w:pPr>
        <w:pStyle w:val="19"/>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33DB9AD5">
      <w:pPr>
        <w:pStyle w:val="19"/>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0ACFA23E">
      <w:pPr>
        <w:pStyle w:val="19"/>
        <w:spacing w:line="360" w:lineRule="auto"/>
        <w:ind w:left="25" w:firstLine="472"/>
        <w:rPr>
          <w:rFonts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5A8FD53A">
      <w:pPr>
        <w:pStyle w:val="19"/>
        <w:spacing w:line="360" w:lineRule="auto"/>
        <w:ind w:left="25" w:firstLine="472"/>
        <w:rPr>
          <w:rFonts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5AF3EE75">
      <w:pPr>
        <w:pStyle w:val="19"/>
        <w:spacing w:line="360" w:lineRule="auto"/>
        <w:ind w:left="25" w:firstLine="472"/>
        <w:rPr>
          <w:rFonts w:hAnsi="宋体"/>
          <w:b/>
          <w:color w:val="auto"/>
          <w:sz w:val="24"/>
          <w:szCs w:val="24"/>
          <w:highlight w:val="none"/>
        </w:rPr>
      </w:pPr>
      <w:r>
        <w:rPr>
          <w:rFonts w:hint="eastAsia" w:hAnsi="宋体"/>
          <w:b/>
          <w:color w:val="auto"/>
          <w:sz w:val="24"/>
          <w:szCs w:val="24"/>
          <w:highlight w:val="none"/>
        </w:rPr>
        <w:t>三、质疑基本情况</w:t>
      </w:r>
    </w:p>
    <w:p w14:paraId="5B0FD6EB">
      <w:pPr>
        <w:pStyle w:val="19"/>
        <w:spacing w:line="360" w:lineRule="auto"/>
        <w:ind w:left="23" w:firstLine="540"/>
        <w:rPr>
          <w:rFonts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09B4DC1A">
      <w:pPr>
        <w:pStyle w:val="19"/>
        <w:spacing w:line="360" w:lineRule="auto"/>
        <w:ind w:left="23" w:firstLine="540"/>
        <w:rPr>
          <w:rFonts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7A6C860B">
      <w:pPr>
        <w:pStyle w:val="19"/>
        <w:spacing w:line="360" w:lineRule="auto"/>
        <w:ind w:left="23" w:firstLine="540"/>
        <w:rPr>
          <w:rFonts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305F4178">
      <w:pPr>
        <w:pStyle w:val="19"/>
        <w:spacing w:line="360" w:lineRule="auto"/>
        <w:ind w:left="23" w:firstLine="540"/>
        <w:rPr>
          <w:rFonts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515F5A9B">
      <w:pPr>
        <w:pStyle w:val="19"/>
        <w:spacing w:line="360" w:lineRule="auto"/>
        <w:ind w:left="25" w:firstLine="472"/>
        <w:rPr>
          <w:rFonts w:hAnsi="宋体"/>
          <w:b/>
          <w:color w:val="auto"/>
          <w:sz w:val="24"/>
          <w:szCs w:val="24"/>
          <w:highlight w:val="none"/>
        </w:rPr>
      </w:pPr>
      <w:r>
        <w:rPr>
          <w:rFonts w:hint="eastAsia" w:hAnsi="宋体"/>
          <w:b/>
          <w:color w:val="auto"/>
          <w:sz w:val="24"/>
          <w:szCs w:val="24"/>
          <w:highlight w:val="none"/>
        </w:rPr>
        <w:t>四、投诉事项具体内容</w:t>
      </w:r>
    </w:p>
    <w:p w14:paraId="5223C71F">
      <w:pPr>
        <w:pStyle w:val="19"/>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419ACFCC">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B228F49">
      <w:pPr>
        <w:pStyle w:val="19"/>
        <w:spacing w:line="360" w:lineRule="auto"/>
        <w:ind w:left="25" w:firstLine="472"/>
        <w:rPr>
          <w:rFonts w:hAnsi="宋体"/>
          <w:color w:val="auto"/>
          <w:sz w:val="24"/>
          <w:szCs w:val="24"/>
          <w:highlight w:val="none"/>
        </w:rPr>
      </w:pPr>
      <w:r>
        <w:rPr>
          <w:rFonts w:hint="eastAsia" w:hAnsi="宋体"/>
          <w:bCs/>
          <w:color w:val="auto"/>
          <w:sz w:val="24"/>
          <w:szCs w:val="24"/>
          <w:highlight w:val="none"/>
          <w:u w:val="single"/>
        </w:rPr>
        <w:t xml:space="preserve">                                                                                        </w:t>
      </w:r>
    </w:p>
    <w:p w14:paraId="27DFDCFB">
      <w:pPr>
        <w:pStyle w:val="19"/>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22D4D98">
      <w:pPr>
        <w:pStyle w:val="19"/>
        <w:spacing w:line="360" w:lineRule="auto"/>
        <w:ind w:left="25" w:firstLine="352"/>
        <w:rPr>
          <w:rFonts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2F0693D7">
      <w:pPr>
        <w:pStyle w:val="19"/>
        <w:spacing w:line="360" w:lineRule="auto"/>
        <w:ind w:left="25" w:firstLine="472"/>
        <w:rPr>
          <w:rFonts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2A626DDB">
      <w:pPr>
        <w:pStyle w:val="19"/>
        <w:spacing w:line="360" w:lineRule="auto"/>
        <w:ind w:left="25" w:firstLine="472"/>
        <w:rPr>
          <w:rFonts w:hAnsi="宋体"/>
          <w:bCs/>
          <w:color w:val="auto"/>
          <w:sz w:val="24"/>
          <w:szCs w:val="24"/>
          <w:highlight w:val="none"/>
        </w:rPr>
      </w:pPr>
      <w:r>
        <w:rPr>
          <w:rFonts w:hAnsi="宋体"/>
          <w:bCs/>
          <w:color w:val="auto"/>
          <w:sz w:val="24"/>
          <w:szCs w:val="24"/>
          <w:highlight w:val="none"/>
        </w:rPr>
        <w:t>……</w:t>
      </w:r>
    </w:p>
    <w:p w14:paraId="1D1D40BB">
      <w:pPr>
        <w:pStyle w:val="19"/>
        <w:spacing w:line="360" w:lineRule="auto"/>
        <w:ind w:left="25" w:firstLine="472"/>
        <w:rPr>
          <w:rFonts w:hAnsi="宋体"/>
          <w:b/>
          <w:color w:val="auto"/>
          <w:sz w:val="24"/>
          <w:szCs w:val="24"/>
          <w:highlight w:val="none"/>
        </w:rPr>
      </w:pPr>
      <w:r>
        <w:rPr>
          <w:rFonts w:hint="eastAsia" w:hAnsi="宋体"/>
          <w:b/>
          <w:color w:val="auto"/>
          <w:sz w:val="24"/>
          <w:szCs w:val="24"/>
          <w:highlight w:val="none"/>
        </w:rPr>
        <w:t>五、与投诉事项相关的投诉请求：</w:t>
      </w:r>
    </w:p>
    <w:p w14:paraId="0648F511">
      <w:pPr>
        <w:pStyle w:val="19"/>
        <w:spacing w:line="360" w:lineRule="auto"/>
        <w:ind w:left="25" w:firstLine="472"/>
        <w:rPr>
          <w:rFonts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37EE4A51">
      <w:pPr>
        <w:pStyle w:val="19"/>
        <w:spacing w:line="360" w:lineRule="auto"/>
        <w:ind w:left="25" w:firstLine="352"/>
        <w:rPr>
          <w:rFonts w:hAnsi="宋体"/>
          <w:color w:val="auto"/>
          <w:sz w:val="24"/>
          <w:szCs w:val="24"/>
          <w:highlight w:val="none"/>
        </w:rPr>
      </w:pPr>
    </w:p>
    <w:p w14:paraId="4BA5E7A8">
      <w:pPr>
        <w:pStyle w:val="19"/>
        <w:spacing w:line="360" w:lineRule="auto"/>
        <w:ind w:left="25" w:firstLine="472"/>
        <w:rPr>
          <w:rFonts w:hAnsi="宋体"/>
          <w:color w:val="auto"/>
          <w:sz w:val="24"/>
          <w:szCs w:val="24"/>
          <w:highlight w:val="none"/>
        </w:rPr>
      </w:pPr>
      <w:r>
        <w:rPr>
          <w:rFonts w:hint="eastAsia" w:hAnsi="宋体"/>
          <w:color w:val="auto"/>
          <w:sz w:val="24"/>
          <w:szCs w:val="24"/>
          <w:highlight w:val="none"/>
        </w:rPr>
        <w:t>签字（签章）：                                       公章：</w:t>
      </w:r>
    </w:p>
    <w:p w14:paraId="36B4F6E4">
      <w:pPr>
        <w:pStyle w:val="19"/>
        <w:spacing w:line="360" w:lineRule="auto"/>
        <w:ind w:left="25" w:firstLine="352"/>
        <w:rPr>
          <w:rFonts w:hAnsi="宋体"/>
          <w:color w:val="auto"/>
          <w:sz w:val="24"/>
          <w:szCs w:val="24"/>
          <w:highlight w:val="none"/>
        </w:rPr>
      </w:pPr>
    </w:p>
    <w:p w14:paraId="57706105">
      <w:pPr>
        <w:pStyle w:val="19"/>
        <w:spacing w:line="360" w:lineRule="auto"/>
        <w:ind w:left="25" w:firstLine="472"/>
        <w:rPr>
          <w:rFonts w:hAnsi="宋体"/>
          <w:color w:val="auto"/>
          <w:sz w:val="24"/>
          <w:szCs w:val="24"/>
          <w:highlight w:val="none"/>
        </w:rPr>
      </w:pPr>
      <w:r>
        <w:rPr>
          <w:rFonts w:hint="eastAsia" w:hAnsi="宋体"/>
          <w:color w:val="auto"/>
          <w:sz w:val="24"/>
          <w:szCs w:val="24"/>
          <w:highlight w:val="none"/>
        </w:rPr>
        <w:t>日期：</w:t>
      </w:r>
    </w:p>
    <w:p w14:paraId="0D46CEA4">
      <w:pPr>
        <w:pStyle w:val="19"/>
        <w:spacing w:line="360" w:lineRule="auto"/>
        <w:ind w:left="25" w:firstLine="472"/>
        <w:rPr>
          <w:rFonts w:hAnsi="宋体"/>
          <w:color w:val="auto"/>
          <w:sz w:val="24"/>
          <w:szCs w:val="24"/>
          <w:highlight w:val="none"/>
        </w:rPr>
      </w:pPr>
      <w:r>
        <w:rPr>
          <w:rFonts w:hint="eastAsia" w:hAnsi="宋体"/>
          <w:bCs/>
          <w:color w:val="auto"/>
          <w:sz w:val="24"/>
          <w:szCs w:val="24"/>
          <w:highlight w:val="none"/>
        </w:rPr>
        <w:t xml:space="preserve">                                                                                 </w:t>
      </w:r>
    </w:p>
    <w:p w14:paraId="70722A8A">
      <w:pPr>
        <w:pStyle w:val="19"/>
        <w:spacing w:line="360" w:lineRule="auto"/>
        <w:rPr>
          <w:rFonts w:hAnsi="宋体"/>
          <w:b/>
          <w:color w:val="auto"/>
          <w:sz w:val="24"/>
          <w:szCs w:val="24"/>
          <w:highlight w:val="none"/>
        </w:rPr>
      </w:pPr>
    </w:p>
    <w:p w14:paraId="66D6DC7A">
      <w:pPr>
        <w:pStyle w:val="19"/>
        <w:spacing w:line="360" w:lineRule="auto"/>
        <w:rPr>
          <w:rFonts w:hAnsi="宋体"/>
          <w:b/>
          <w:color w:val="auto"/>
          <w:sz w:val="24"/>
          <w:szCs w:val="24"/>
          <w:highlight w:val="none"/>
        </w:rPr>
      </w:pPr>
      <w:r>
        <w:rPr>
          <w:rFonts w:hint="eastAsia" w:hAnsi="宋体"/>
          <w:b/>
          <w:color w:val="auto"/>
          <w:sz w:val="24"/>
          <w:szCs w:val="24"/>
          <w:highlight w:val="none"/>
        </w:rPr>
        <w:t>说明：</w:t>
      </w:r>
    </w:p>
    <w:p w14:paraId="5BD52755">
      <w:pPr>
        <w:pStyle w:val="19"/>
        <w:spacing w:line="360" w:lineRule="auto"/>
        <w:ind w:left="25" w:firstLine="354"/>
        <w:rPr>
          <w:rFonts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1B52E11E">
      <w:pPr>
        <w:pStyle w:val="19"/>
        <w:spacing w:line="360" w:lineRule="auto"/>
        <w:ind w:left="25" w:firstLine="354"/>
        <w:rPr>
          <w:rFonts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592EB54">
      <w:pPr>
        <w:pStyle w:val="19"/>
        <w:spacing w:line="360" w:lineRule="auto"/>
        <w:ind w:left="25" w:firstLine="354"/>
        <w:rPr>
          <w:rFonts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005ACE89">
      <w:pPr>
        <w:pStyle w:val="19"/>
        <w:spacing w:line="360" w:lineRule="auto"/>
        <w:ind w:left="25" w:firstLine="354"/>
        <w:rPr>
          <w:rFonts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36B20927">
      <w:pPr>
        <w:pStyle w:val="19"/>
        <w:spacing w:line="360" w:lineRule="auto"/>
        <w:ind w:left="25" w:firstLine="354"/>
        <w:rPr>
          <w:rFonts w:hAnsi="宋体"/>
          <w:b/>
          <w:color w:val="auto"/>
          <w:sz w:val="24"/>
          <w:szCs w:val="24"/>
          <w:highlight w:val="none"/>
        </w:rPr>
      </w:pPr>
      <w:r>
        <w:rPr>
          <w:rFonts w:hint="eastAsia" w:hAnsi="宋体"/>
          <w:b/>
          <w:color w:val="auto"/>
          <w:sz w:val="24"/>
          <w:szCs w:val="24"/>
          <w:highlight w:val="none"/>
        </w:rPr>
        <w:t>5.投诉书的投诉请求应与投诉事项相关。</w:t>
      </w:r>
    </w:p>
    <w:p w14:paraId="6715FD86">
      <w:pPr>
        <w:pStyle w:val="19"/>
        <w:spacing w:line="360" w:lineRule="auto"/>
        <w:ind w:left="25" w:firstLine="354"/>
        <w:rPr>
          <w:rFonts w:hAnsi="宋体"/>
          <w:b/>
          <w:color w:val="auto"/>
          <w:sz w:val="24"/>
          <w:szCs w:val="24"/>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51ABFC88">
      <w:pPr>
        <w:pStyle w:val="35"/>
        <w:rPr>
          <w:color w:val="auto"/>
          <w:highlight w:val="none"/>
        </w:rPr>
      </w:pPr>
    </w:p>
    <w:p w14:paraId="4E03DB1A">
      <w:pPr>
        <w:jc w:val="center"/>
        <w:rPr>
          <w:rFonts w:ascii="宋体" w:hAnsi="宋体" w:cs="宋体"/>
          <w:b/>
          <w:color w:val="auto"/>
          <w:sz w:val="84"/>
          <w:szCs w:val="84"/>
          <w:highlight w:val="none"/>
        </w:rPr>
      </w:pPr>
      <w:r>
        <w:rPr>
          <w:rFonts w:hint="eastAsia" w:ascii="宋体" w:hAnsi="宋体" w:cs="宋体"/>
          <w:b/>
          <w:color w:val="auto"/>
          <w:spacing w:val="92"/>
          <w:sz w:val="84"/>
          <w:szCs w:val="84"/>
          <w:highlight w:val="none"/>
        </w:rPr>
        <w:t>崇左市财政局文</w:t>
      </w:r>
      <w:r>
        <w:rPr>
          <w:rFonts w:hint="eastAsia" w:ascii="宋体" w:hAnsi="宋体" w:cs="宋体"/>
          <w:b/>
          <w:color w:val="auto"/>
          <w:sz w:val="84"/>
          <w:szCs w:val="84"/>
          <w:highlight w:val="none"/>
        </w:rPr>
        <w:t>件</w:t>
      </w:r>
    </w:p>
    <w:p w14:paraId="04F94B4B">
      <w:pPr>
        <w:rPr>
          <w:b/>
          <w:color w:val="auto"/>
          <w:sz w:val="24"/>
          <w:highlight w:val="none"/>
        </w:rPr>
      </w:pPr>
    </w:p>
    <w:p w14:paraId="6ACA1D5D">
      <w:pPr>
        <w:spacing w:line="56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崇财采〔2023〕10号</w:t>
      </w:r>
    </w:p>
    <w:p w14:paraId="66D55D90">
      <w:pPr>
        <w:ind w:left="-283" w:right="-197"/>
        <w:jc w:val="center"/>
        <w:rPr>
          <w:b/>
          <w:color w:val="auto"/>
          <w:sz w:val="18"/>
          <w:szCs w:val="18"/>
          <w:highlight w:val="none"/>
        </w:rPr>
      </w:pPr>
      <w:r>
        <w:rPr>
          <w:b/>
          <w:color w:val="auto"/>
          <w:sz w:val="18"/>
          <w:szCs w:val="18"/>
          <w:highlight w:val="none"/>
        </w:rPr>
        <mc:AlternateContent>
          <mc:Choice Requires="wps">
            <w:drawing>
              <wp:inline distT="0" distB="0" distL="0" distR="0">
                <wp:extent cx="5579110" cy="38100"/>
                <wp:effectExtent l="0" t="0" r="0" b="0"/>
                <wp:docPr id="3" name="_x0000_i1025"/>
                <wp:cNvGraphicFramePr/>
                <a:graphic xmlns:a="http://schemas.openxmlformats.org/drawingml/2006/main">
                  <a:graphicData uri="http://schemas.microsoft.com/office/word/2010/wordprocessingShape">
                    <wps:wsp>
                      <wps:cNvSpPr/>
                      <wps:spPr bwMode="auto">
                        <a:xfrm>
                          <a:off x="0" y="0"/>
                          <a:ext cx="5579110" cy="38100"/>
                        </a:xfrm>
                        <a:prstGeom prst="rect">
                          <a:avLst/>
                        </a:prstGeom>
                        <a:gradFill rotWithShape="0">
                          <a:gsLst>
                            <a:gs pos="0">
                              <a:srgbClr val="FF0000"/>
                            </a:gs>
                            <a:gs pos="100000">
                              <a:srgbClr val="FF0000"/>
                            </a:gs>
                          </a:gsLst>
                          <a:lin ang="5400000" scaled="1"/>
                        </a:gradFill>
                        <a:ln>
                          <a:noFill/>
                        </a:ln>
                      </wps:spPr>
                      <wps:bodyPr rot="0">
                        <a:noAutofit/>
                      </wps:bodyPr>
                    </wps:wsp>
                  </a:graphicData>
                </a:graphic>
              </wp:inline>
            </w:drawing>
          </mc:Choice>
          <mc:Fallback>
            <w:pict>
              <v:rect id="_x0000_i1025" o:spid="_x0000_s1026" o:spt="1" style="height:3pt;width:439.3pt;" fillcolor="#FF0000" filled="t" stroked="f" coordsize="21600,21600" o:gfxdata="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B7ms/0wAAAAMBAAAPAAAAAAAAAAEAIAAAACIAAABkcnMvZG93bnJldi54bWxQSwECFAAUAAAA&#10;CACHTuJAIZ+f+PMBAAARBAAADgAAAAAAAAABACAAAAAiAQAAZHJzL2Uyb0RvYy54bWxQSwUGAAAA&#10;AAYABgBZAQAAhwUAAAAA&#10;">
                <v:fill type="gradient" on="t" color2="#FF0000" focus="100%" focussize="0,0"/>
                <v:stroke on="f"/>
                <v:imagedata o:title=""/>
                <o:lock v:ext="edit" aspectratio="f"/>
                <w10:wrap type="none"/>
                <w10:anchorlock/>
              </v:rect>
            </w:pict>
          </mc:Fallback>
        </mc:AlternateContent>
      </w:r>
    </w:p>
    <w:p w14:paraId="227342FE">
      <w:pPr>
        <w:spacing w:line="440" w:lineRule="exact"/>
        <w:jc w:val="center"/>
        <w:rPr>
          <w:rFonts w:ascii="Arial Unicode MS" w:hAnsi="Arial Unicode MS" w:eastAsia="Arial Unicode MS" w:cs="Arial Unicode MS"/>
          <w:color w:val="auto"/>
          <w:sz w:val="44"/>
          <w:szCs w:val="44"/>
          <w:highlight w:val="none"/>
        </w:rPr>
      </w:pPr>
    </w:p>
    <w:p w14:paraId="3ADDD068">
      <w:pPr>
        <w:spacing w:line="560" w:lineRule="exact"/>
        <w:jc w:val="center"/>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rPr>
        <w:t>崇左市财政局关于进一步做好线上“政采贷”</w:t>
      </w:r>
    </w:p>
    <w:p w14:paraId="6A910038">
      <w:pPr>
        <w:spacing w:line="560" w:lineRule="exact"/>
        <w:jc w:val="center"/>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rPr>
        <w:t>融资业务工作的通知</w:t>
      </w:r>
    </w:p>
    <w:p w14:paraId="57C24766">
      <w:pPr>
        <w:spacing w:line="540" w:lineRule="exact"/>
        <w:jc w:val="center"/>
        <w:rPr>
          <w:rFonts w:ascii="方正小标宋_GBK" w:hAnsi="仿宋" w:eastAsia="方正小标宋_GBK"/>
          <w:color w:val="auto"/>
          <w:sz w:val="44"/>
          <w:szCs w:val="44"/>
          <w:highlight w:val="none"/>
        </w:rPr>
      </w:pPr>
    </w:p>
    <w:p w14:paraId="5339F2D7">
      <w:pPr>
        <w:spacing w:line="560" w:lineRule="exact"/>
        <w:rPr>
          <w:rFonts w:ascii="仿宋_GB2312" w:eastAsia="仿宋_GB2312"/>
          <w:color w:val="auto"/>
          <w:sz w:val="32"/>
          <w:szCs w:val="32"/>
          <w:highlight w:val="none"/>
        </w:rPr>
      </w:pPr>
      <w:r>
        <w:rPr>
          <w:rFonts w:hint="eastAsia" w:ascii="仿宋_GB2312" w:hAnsi="仿宋" w:eastAsia="仿宋_GB2312"/>
          <w:color w:val="auto"/>
          <w:sz w:val="32"/>
          <w:szCs w:val="32"/>
          <w:highlight w:val="none"/>
        </w:rPr>
        <w:t>市直各预算单位、</w:t>
      </w:r>
      <w:r>
        <w:rPr>
          <w:rFonts w:hint="eastAsia" w:ascii="仿宋_GB2312" w:eastAsia="仿宋_GB2312"/>
          <w:color w:val="auto"/>
          <w:spacing w:val="16"/>
          <w:sz w:val="32"/>
          <w:szCs w:val="32"/>
          <w:highlight w:val="none"/>
          <w:lang w:eastAsia="zh-Hans"/>
        </w:rPr>
        <w:t>各县（</w:t>
      </w:r>
      <w:r>
        <w:rPr>
          <w:rFonts w:hint="eastAsia" w:ascii="仿宋_GB2312" w:eastAsia="仿宋_GB2312"/>
          <w:color w:val="auto"/>
          <w:spacing w:val="16"/>
          <w:sz w:val="32"/>
          <w:szCs w:val="32"/>
          <w:highlight w:val="none"/>
        </w:rPr>
        <w:t>市、</w:t>
      </w:r>
      <w:r>
        <w:rPr>
          <w:rFonts w:hint="eastAsia" w:ascii="仿宋_GB2312" w:eastAsia="仿宋_GB2312"/>
          <w:color w:val="auto"/>
          <w:spacing w:val="16"/>
          <w:sz w:val="32"/>
          <w:szCs w:val="32"/>
          <w:highlight w:val="none"/>
          <w:lang w:eastAsia="zh-Hans"/>
        </w:rPr>
        <w:t>区）财政局</w:t>
      </w:r>
      <w:r>
        <w:rPr>
          <w:rFonts w:hint="eastAsia" w:ascii="仿宋_GB2312" w:eastAsia="仿宋_GB2312"/>
          <w:color w:val="auto"/>
          <w:spacing w:val="16"/>
          <w:sz w:val="32"/>
          <w:szCs w:val="32"/>
          <w:highlight w:val="none"/>
        </w:rPr>
        <w:t>、</w:t>
      </w:r>
      <w:r>
        <w:rPr>
          <w:rFonts w:hint="eastAsia" w:ascii="仿宋_GB2312" w:eastAsia="仿宋_GB2312"/>
          <w:color w:val="auto"/>
          <w:sz w:val="32"/>
          <w:szCs w:val="32"/>
          <w:highlight w:val="none"/>
        </w:rPr>
        <w:t>各采购代理机构：</w:t>
      </w:r>
    </w:p>
    <w:p w14:paraId="7125F353">
      <w:pPr>
        <w:spacing w:line="560" w:lineRule="exact"/>
        <w:ind w:firstLine="640"/>
        <w:rPr>
          <w:rFonts w:ascii="仿宋_GB2312" w:eastAsia="仿宋_GB2312"/>
          <w:color w:val="auto"/>
          <w:sz w:val="32"/>
          <w:szCs w:val="32"/>
          <w:highlight w:val="none"/>
          <w:shd w:val="clear" w:color="auto" w:fill="FFFFFF"/>
        </w:rPr>
      </w:pPr>
      <w:r>
        <w:rPr>
          <w:rFonts w:hint="eastAsia" w:ascii="仿宋_GB2312" w:eastAsia="仿宋_GB2312"/>
          <w:color w:val="auto"/>
          <w:sz w:val="32"/>
          <w:szCs w:val="32"/>
          <w:highlight w:val="none"/>
        </w:rPr>
        <w:t>为加大政府采购支持中小企业力度，帮助</w:t>
      </w:r>
      <w:r>
        <w:rPr>
          <w:rFonts w:hint="eastAsia" w:ascii="仿宋_GB2312" w:eastAsia="仿宋_GB2312"/>
          <w:color w:val="auto"/>
          <w:sz w:val="32"/>
          <w:szCs w:val="32"/>
          <w:highlight w:val="none"/>
          <w:shd w:val="clear" w:color="auto" w:fill="FFFFFF"/>
        </w:rPr>
        <w:t>政府采购中标（成交）供应商解决融资难、融资贵的问题，进一步做好线上“政采贷”融资业务工作。经研究，现将有关事项通知如下：</w:t>
      </w:r>
    </w:p>
    <w:p w14:paraId="57F4B375">
      <w:pPr>
        <w:spacing w:line="560" w:lineRule="exact"/>
        <w:ind w:firstLine="640"/>
        <w:rPr>
          <w:rFonts w:ascii="仿宋_GB2312" w:eastAsia="仿宋_GB2312"/>
          <w:color w:val="auto"/>
          <w:sz w:val="32"/>
          <w:szCs w:val="32"/>
          <w:highlight w:val="none"/>
          <w:shd w:val="clear" w:color="auto" w:fill="FFFFFF"/>
        </w:rPr>
      </w:pPr>
      <w:r>
        <w:rPr>
          <w:rFonts w:hint="eastAsia" w:ascii="仿宋_GB2312" w:eastAsia="仿宋_GB2312"/>
          <w:color w:val="auto"/>
          <w:sz w:val="32"/>
          <w:szCs w:val="32"/>
          <w:highlight w:val="none"/>
          <w:shd w:val="clear" w:color="auto" w:fill="FFFFFF"/>
        </w:rPr>
        <w:t>一、采购人、采购代理机构在编制政府采购文件时，应将《崇左市线上“政采贷”政策告知函》、《崇左市线上“政采贷”业务流程图》、《崇左市金融机构线上“政采贷”业务办理联络表》作为政策宣传材料排入文件显眼版块中。（详见：附件2至附件4）。</w:t>
      </w:r>
    </w:p>
    <w:p w14:paraId="61957687">
      <w:pPr>
        <w:spacing w:line="560" w:lineRule="exact"/>
        <w:ind w:firstLine="64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二、</w:t>
      </w:r>
      <w:r>
        <w:rPr>
          <w:rFonts w:hint="eastAsia" w:ascii="仿宋_GB2312" w:eastAsia="仿宋_GB2312"/>
          <w:color w:val="auto"/>
          <w:sz w:val="32"/>
          <w:szCs w:val="32"/>
          <w:highlight w:val="none"/>
        </w:rPr>
        <w:t>采购人</w:t>
      </w:r>
      <w:r>
        <w:rPr>
          <w:rFonts w:hint="eastAsia" w:ascii="仿宋_GB2312" w:hAnsi="宋体" w:eastAsia="仿宋_GB2312"/>
          <w:color w:val="auto"/>
          <w:sz w:val="32"/>
          <w:szCs w:val="32"/>
          <w:highlight w:val="none"/>
        </w:rPr>
        <w:t>应及时</w:t>
      </w:r>
      <w:r>
        <w:rPr>
          <w:rFonts w:hint="eastAsia" w:ascii="仿宋_GB2312" w:eastAsia="仿宋_GB2312"/>
          <w:color w:val="auto"/>
          <w:sz w:val="32"/>
          <w:szCs w:val="32"/>
          <w:highlight w:val="none"/>
        </w:rPr>
        <w:t>配合</w:t>
      </w:r>
      <w:r>
        <w:rPr>
          <w:rFonts w:hint="eastAsia" w:ascii="仿宋_GB2312" w:hAnsi="宋体" w:eastAsia="仿宋_GB2312"/>
          <w:color w:val="auto"/>
          <w:sz w:val="32"/>
          <w:szCs w:val="32"/>
          <w:highlight w:val="none"/>
        </w:rPr>
        <w:t>签订政府采购合同，</w:t>
      </w:r>
      <w:r>
        <w:rPr>
          <w:rFonts w:hint="eastAsia" w:ascii="仿宋_GB2312" w:eastAsia="仿宋_GB2312"/>
          <w:color w:val="auto"/>
          <w:sz w:val="32"/>
          <w:szCs w:val="32"/>
          <w:highlight w:val="none"/>
        </w:rPr>
        <w:t>督促采购代理机构按时完成合同公告工作（政府采购公告法定网站“广西政府采购网”），缩短“政采贷”办理时间。采购人应主动向中标（成交）供应商宣传“政采贷”相关政策，配合、协助其在</w:t>
      </w:r>
      <w:r>
        <w:rPr>
          <w:rFonts w:hint="eastAsia" w:ascii="仿宋_GB2312" w:hAnsi="宋体" w:eastAsia="仿宋_GB2312"/>
          <w:color w:val="auto"/>
          <w:sz w:val="32"/>
          <w:szCs w:val="32"/>
          <w:highlight w:val="none"/>
        </w:rPr>
        <w:t>“中征应收账款融资服务平台”</w:t>
      </w:r>
      <w:r>
        <w:rPr>
          <w:rFonts w:hint="eastAsia" w:ascii="仿宋_GB2312" w:eastAsia="仿宋_GB2312"/>
          <w:color w:val="auto"/>
          <w:sz w:val="32"/>
          <w:szCs w:val="32"/>
          <w:highlight w:val="none"/>
        </w:rPr>
        <w:t>向相关金融机构申请</w:t>
      </w:r>
      <w:r>
        <w:rPr>
          <w:rFonts w:hint="eastAsia" w:ascii="仿宋_GB2312" w:hAnsi="宋体" w:eastAsia="仿宋_GB2312"/>
          <w:color w:val="auto"/>
          <w:sz w:val="32"/>
          <w:szCs w:val="32"/>
          <w:highlight w:val="none"/>
        </w:rPr>
        <w:t>“政采贷”</w:t>
      </w:r>
      <w:r>
        <w:rPr>
          <w:rFonts w:hint="eastAsia" w:ascii="仿宋_GB2312" w:eastAsia="仿宋_GB2312"/>
          <w:color w:val="auto"/>
          <w:sz w:val="32"/>
          <w:szCs w:val="32"/>
          <w:highlight w:val="none"/>
        </w:rPr>
        <w:t>。</w:t>
      </w:r>
    </w:p>
    <w:p w14:paraId="3DF10FE1">
      <w:pPr>
        <w:spacing w:line="56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rPr>
        <w:t>三、采购人应将中标（成交）供应商与金融机构签订《“政采贷”融资协议》的“融资回款账户”做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63FB07B9">
      <w:pPr>
        <w:spacing w:line="560" w:lineRule="exact"/>
        <w:ind w:firstLine="640"/>
        <w:rPr>
          <w:rFonts w:ascii="仿宋_GB2312" w:eastAsia="仿宋_GB2312"/>
          <w:color w:val="auto"/>
          <w:sz w:val="32"/>
          <w:szCs w:val="32"/>
          <w:highlight w:val="none"/>
        </w:rPr>
      </w:pPr>
    </w:p>
    <w:p w14:paraId="30642E02">
      <w:pPr>
        <w:pStyle w:val="39"/>
        <w:spacing w:after="0" w:line="560" w:lineRule="exact"/>
        <w:ind w:left="1700" w:hanging="1280"/>
        <w:jc w:val="left"/>
        <w:rPr>
          <w:rFonts w:hAnsi="仿宋_GB2312" w:eastAsia="仿宋_GB2312" w:cs="仿宋_GB2312"/>
          <w:color w:val="auto"/>
          <w:highlight w:val="none"/>
        </w:rPr>
      </w:pPr>
      <w:r>
        <w:rPr>
          <w:rFonts w:hint="eastAsia" w:hAnsi="仿宋_GB2312" w:eastAsia="仿宋_GB2312" w:cs="仿宋_GB2312"/>
          <w:color w:val="auto"/>
          <w:highlight w:val="none"/>
        </w:rPr>
        <w:t>附件：1.中国人民银行崇左市中心支行 崇左市财政局转发关于推广线上“政采贷”融资模式文件的通知</w:t>
      </w:r>
    </w:p>
    <w:p w14:paraId="0E45C87D">
      <w:pPr>
        <w:pStyle w:val="39"/>
        <w:spacing w:after="0" w:line="560" w:lineRule="exact"/>
        <w:ind w:left="0" w:firstLine="1600"/>
        <w:jc w:val="left"/>
        <w:rPr>
          <w:rFonts w:hAnsi="仿宋_GB2312" w:eastAsia="仿宋_GB2312" w:cs="仿宋_GB2312"/>
          <w:color w:val="auto"/>
          <w:highlight w:val="none"/>
        </w:rPr>
      </w:pPr>
      <w:r>
        <w:rPr>
          <w:rFonts w:hint="eastAsia" w:hAnsi="仿宋_GB2312" w:eastAsia="仿宋_GB2312" w:cs="仿宋_GB2312"/>
          <w:color w:val="auto"/>
          <w:highlight w:val="none"/>
        </w:rPr>
        <w:t>2.崇左市线上“政采贷”政策告知函</w:t>
      </w:r>
    </w:p>
    <w:p w14:paraId="26291B02">
      <w:pPr>
        <w:pStyle w:val="39"/>
        <w:spacing w:after="0" w:line="560" w:lineRule="exact"/>
        <w:ind w:left="0" w:firstLine="640"/>
        <w:jc w:val="left"/>
        <w:rPr>
          <w:rFonts w:hAnsi="仿宋_GB2312" w:eastAsia="仿宋_GB2312" w:cs="仿宋_GB2312"/>
          <w:color w:val="auto"/>
          <w:highlight w:val="none"/>
        </w:rPr>
      </w:pPr>
      <w:r>
        <w:rPr>
          <w:rFonts w:hint="eastAsia"/>
          <w:color w:val="auto"/>
          <w:highlight w:val="none"/>
        </w:rPr>
        <w:t xml:space="preserve">      </w:t>
      </w:r>
      <w:r>
        <w:rPr>
          <w:rFonts w:hint="eastAsia" w:eastAsia="仿宋_GB2312"/>
          <w:color w:val="auto"/>
          <w:highlight w:val="none"/>
        </w:rPr>
        <w:t>3.</w:t>
      </w:r>
      <w:r>
        <w:rPr>
          <w:rFonts w:hint="eastAsia" w:hAnsi="仿宋_GB2312" w:eastAsia="仿宋_GB2312" w:cs="仿宋_GB2312"/>
          <w:color w:val="auto"/>
          <w:highlight w:val="none"/>
        </w:rPr>
        <w:t>崇左市线上“政采贷”业务流程图</w:t>
      </w:r>
    </w:p>
    <w:p w14:paraId="11FDED07">
      <w:pPr>
        <w:pStyle w:val="39"/>
        <w:spacing w:after="0" w:line="560" w:lineRule="exact"/>
        <w:ind w:left="0" w:firstLine="640"/>
        <w:jc w:val="left"/>
        <w:rPr>
          <w:color w:val="auto"/>
          <w:highlight w:val="none"/>
        </w:rPr>
      </w:pPr>
      <w:r>
        <w:rPr>
          <w:rFonts w:hint="eastAsia"/>
          <w:color w:val="auto"/>
          <w:highlight w:val="none"/>
        </w:rPr>
        <w:t xml:space="preserve">     </w:t>
      </w:r>
      <w:r>
        <w:rPr>
          <w:rFonts w:hint="eastAsia" w:hAnsi="仿宋_GB2312" w:eastAsia="仿宋_GB2312" w:cs="仿宋_GB2312"/>
          <w:color w:val="auto"/>
          <w:highlight w:val="none"/>
        </w:rPr>
        <w:t xml:space="preserve"> 4.</w:t>
      </w:r>
      <w:r>
        <w:rPr>
          <w:rFonts w:hint="eastAsia"/>
          <w:color w:val="auto"/>
          <w:highlight w:val="none"/>
        </w:rPr>
        <w:t>崇左</w:t>
      </w:r>
      <w:r>
        <w:rPr>
          <w:rFonts w:hint="eastAsia" w:eastAsia="仿宋_GB2312"/>
          <w:color w:val="auto"/>
          <w:highlight w:val="none"/>
        </w:rPr>
        <w:t>市金融机构线上“政采贷”业务办理联络表</w:t>
      </w:r>
    </w:p>
    <w:p w14:paraId="557ADC17">
      <w:pPr>
        <w:pStyle w:val="39"/>
        <w:spacing w:after="0" w:line="560" w:lineRule="exact"/>
        <w:ind w:left="0" w:firstLine="640"/>
        <w:jc w:val="left"/>
        <w:rPr>
          <w:rFonts w:eastAsia="仿宋_GB2312"/>
          <w:color w:val="auto"/>
          <w:highlight w:val="none"/>
        </w:rPr>
      </w:pPr>
    </w:p>
    <w:p w14:paraId="655A412F">
      <w:pPr>
        <w:pStyle w:val="39"/>
        <w:spacing w:after="0" w:line="560" w:lineRule="exact"/>
        <w:ind w:left="0" w:firstLine="640"/>
        <w:jc w:val="left"/>
        <w:rPr>
          <w:rFonts w:eastAsia="仿宋_GB2312"/>
          <w:color w:val="auto"/>
          <w:highlight w:val="none"/>
        </w:rPr>
      </w:pPr>
    </w:p>
    <w:p w14:paraId="52839851">
      <w:pPr>
        <w:pStyle w:val="39"/>
        <w:spacing w:after="0" w:line="560" w:lineRule="exact"/>
        <w:ind w:left="0" w:firstLine="640"/>
        <w:jc w:val="left"/>
        <w:rPr>
          <w:rFonts w:eastAsia="仿宋_GB2312"/>
          <w:color w:val="auto"/>
          <w:highlight w:val="none"/>
        </w:rPr>
      </w:pPr>
    </w:p>
    <w:p w14:paraId="1D773903">
      <w:pPr>
        <w:pStyle w:val="39"/>
        <w:spacing w:after="0" w:line="560" w:lineRule="exact"/>
        <w:ind w:left="0" w:firstLine="640"/>
        <w:jc w:val="left"/>
        <w:rPr>
          <w:rFonts w:eastAsia="仿宋_GB2312"/>
          <w:color w:val="auto"/>
          <w:highlight w:val="none"/>
        </w:rPr>
      </w:pPr>
    </w:p>
    <w:p w14:paraId="01D2FCEA">
      <w:pPr>
        <w:spacing w:line="560" w:lineRule="exact"/>
        <w:ind w:firstLine="960"/>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                           崇左市财政局 </w:t>
      </w:r>
    </w:p>
    <w:p w14:paraId="163D41CD">
      <w:pPr>
        <w:spacing w:line="560" w:lineRule="exact"/>
        <w:ind w:firstLine="5120"/>
        <w:rPr>
          <w:rFonts w:ascii="仿宋_GB2312" w:eastAsia="仿宋_GB2312"/>
          <w:color w:val="auto"/>
          <w:sz w:val="32"/>
          <w:szCs w:val="32"/>
          <w:highlight w:val="none"/>
        </w:rPr>
      </w:pPr>
      <w:r>
        <w:rPr>
          <w:rFonts w:hint="eastAsia" w:ascii="仿宋_GB2312" w:eastAsia="仿宋_GB2312"/>
          <w:color w:val="auto"/>
          <w:sz w:val="32"/>
          <w:szCs w:val="32"/>
          <w:highlight w:val="none"/>
        </w:rPr>
        <w:t>2023年7月31日</w:t>
      </w:r>
    </w:p>
    <w:p w14:paraId="47121012">
      <w:pPr>
        <w:pStyle w:val="277"/>
        <w:spacing w:line="560" w:lineRule="exact"/>
        <w:ind w:firstLine="480"/>
        <w:rPr>
          <w:rFonts w:ascii="仿宋_GB2312" w:eastAsia="仿宋_GB2312"/>
          <w:color w:val="auto"/>
          <w:highlight w:val="none"/>
        </w:rPr>
      </w:pPr>
    </w:p>
    <w:p w14:paraId="1AFF4EAB">
      <w:pPr>
        <w:spacing w:line="560" w:lineRule="exact"/>
        <w:jc w:val="left"/>
        <w:rPr>
          <w:rFonts w:ascii="仿宋_GB2312" w:hAnsi="仿宋_GB2312" w:eastAsia="仿宋_GB2312" w:cs="仿宋_GB2312"/>
          <w:b/>
          <w:bCs/>
          <w:color w:val="auto"/>
          <w:sz w:val="28"/>
          <w:szCs w:val="28"/>
          <w:highlight w:val="none"/>
        </w:rPr>
      </w:pPr>
    </w:p>
    <w:p w14:paraId="4F79BE93">
      <w:pPr>
        <w:pStyle w:val="277"/>
        <w:ind w:firstLine="562"/>
        <w:rPr>
          <w:rFonts w:ascii="仿宋_GB2312" w:hAnsi="仿宋_GB2312" w:eastAsia="仿宋_GB2312" w:cs="仿宋_GB2312"/>
          <w:b/>
          <w:bCs/>
          <w:color w:val="auto"/>
          <w:sz w:val="28"/>
          <w:szCs w:val="28"/>
          <w:highlight w:val="none"/>
        </w:rPr>
      </w:pPr>
    </w:p>
    <w:p w14:paraId="0C91000C">
      <w:pPr>
        <w:rPr>
          <w:color w:val="auto"/>
          <w:highlight w:val="none"/>
        </w:rPr>
      </w:pPr>
    </w:p>
    <w:p w14:paraId="31BB7C64">
      <w:pPr>
        <w:pStyle w:val="277"/>
        <w:ind w:firstLine="480"/>
        <w:rPr>
          <w:color w:val="auto"/>
          <w:highlight w:val="none"/>
        </w:rPr>
      </w:pPr>
    </w:p>
    <w:p w14:paraId="009FCC5E">
      <w:pPr>
        <w:spacing w:line="560" w:lineRule="exact"/>
        <w:jc w:val="left"/>
        <w:rPr>
          <w:rFonts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公开方式：主动公开</w:t>
      </w:r>
      <w:r>
        <w:rPr>
          <w:rFonts w:hint="eastAsia" w:ascii="仿宋_GB2312" w:hAnsi="仿宋_GB2312" w:eastAsia="仿宋_GB2312" w:cs="仿宋_GB2312"/>
          <w:color w:val="auto"/>
          <w:sz w:val="28"/>
          <w:szCs w:val="28"/>
          <w:highlight w:val="none"/>
        </w:rPr>
        <w:t xml:space="preserve">                                     </w:t>
      </w:r>
    </w:p>
    <w:p w14:paraId="0D6FE2EE">
      <w:pPr>
        <w:spacing w:line="560" w:lineRule="exact"/>
        <w:ind w:firstLine="280"/>
        <w:jc w:val="left"/>
        <w:rPr>
          <w:rFonts w:ascii="仿宋_GB2312" w:hAnsi="仿宋_GB2312" w:eastAsia="仿宋_GB2312" w:cs="仿宋_GB2312"/>
          <w:color w:val="auto"/>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 name="直接箭头连接符 42"/>
                <wp:cNvGraphicFramePr/>
                <a:graphic xmlns:a="http://schemas.openxmlformats.org/drawingml/2006/main">
                  <a:graphicData uri="http://schemas.microsoft.com/office/word/2010/wordprocessingShape">
                    <wps:wsp>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直接箭头连接符 42"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ueEWXVAAAABwEAAA8A&#10;AAAAAAAAAQAgAAAAIgAAAGRycy9kb3ducmV2LnhtbFBLAQIUABQAAAAIAIdO4kDZ6nCz4QEAAJsD&#10;AAAOAAAAAAAAAAEAIAAAACQBAABkcnMvZTJvRG9jLnhtbFBLBQYAAAAABgAGAFkBAAB3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5" name="直接箭头连接符 41"/>
                <wp:cNvGraphicFramePr/>
                <a:graphic xmlns:a="http://schemas.openxmlformats.org/drawingml/2006/main">
                  <a:graphicData uri="http://schemas.microsoft.com/office/word/2010/wordprocessingShape">
                    <wps:wsp>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直接箭头连接符 41"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KK5ntQAAAAFAQAADwAA&#10;AAAAAAABACAAAAAiAAAAZHJzL2Rvd25yZXYueG1sUEsBAhQAFAAAAAgAh07iQO2PTjjhAQAAmwMA&#10;AA4AAAAAAAAAAQAgAAAAIwEAAGRycy9lMm9Eb2MueG1sUEsFBgAAAAAGAAYAWQEAAHY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w:t>崇左市财政局办公室                       2023年7月31日印发</w:t>
      </w:r>
    </w:p>
    <w:p w14:paraId="18618175">
      <w:pPr>
        <w:widowControl/>
        <w:spacing w:line="720" w:lineRule="exact"/>
        <w:jc w:val="left"/>
        <w:rPr>
          <w:rFonts w:ascii="黑体" w:hAnsi="黑体" w:eastAsia="黑体" w:cs="黑体"/>
          <w:color w:val="auto"/>
          <w:sz w:val="32"/>
          <w:szCs w:val="32"/>
          <w:highlight w:val="none"/>
        </w:rPr>
      </w:pPr>
      <w:r>
        <w:rPr>
          <w:rFonts w:ascii="黑体" w:hAnsi="黑体" w:eastAsia="黑体" w:cs="黑体"/>
          <w:color w:val="auto"/>
          <w:sz w:val="32"/>
          <w:szCs w:val="32"/>
          <w:highlight w:val="none"/>
          <w:lang w:val="zh-CN"/>
        </w:rPr>
        <w:br w:type="page" w:clear="all"/>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2</w:t>
      </w:r>
    </w:p>
    <w:p w14:paraId="6FB01EEF">
      <w:pPr>
        <w:pStyle w:val="277"/>
        <w:ind w:firstLine="480"/>
        <w:rPr>
          <w:color w:val="auto"/>
          <w:highlight w:val="none"/>
        </w:rPr>
      </w:pPr>
    </w:p>
    <w:p w14:paraId="529FAC93">
      <w:pPr>
        <w:spacing w:line="580" w:lineRule="exact"/>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rPr>
        <w:t>崇左市线上“政采贷”政策告知函</w:t>
      </w:r>
    </w:p>
    <w:p w14:paraId="52AC5B4B">
      <w:pPr>
        <w:spacing w:line="580" w:lineRule="exact"/>
        <w:ind w:firstLine="420"/>
        <w:rPr>
          <w:color w:val="auto"/>
          <w:szCs w:val="32"/>
          <w:highlight w:val="none"/>
        </w:rPr>
      </w:pPr>
    </w:p>
    <w:p w14:paraId="3937288F">
      <w:pPr>
        <w:spacing w:line="5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141BC766">
      <w:pPr>
        <w:spacing w:line="580" w:lineRule="exact"/>
        <w:ind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8BD588B">
      <w:pPr>
        <w:spacing w:line="580" w:lineRule="exact"/>
        <w:ind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62FA80B8">
      <w:pPr>
        <w:spacing w:line="580" w:lineRule="exact"/>
        <w:ind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45"/>
          <w:rFonts w:hint="eastAsia" w:ascii="仿宋_GB2312" w:hAnsi="仿宋_GB2312" w:eastAsia="仿宋_GB2312" w:cs="仿宋_GB2312"/>
          <w:color w:val="auto"/>
          <w:sz w:val="32"/>
          <w:szCs w:val="32"/>
          <w:highlight w:val="none"/>
        </w:rPr>
        <w:t>https://www.crcrfsp.com/</w:t>
      </w:r>
      <w:r>
        <w:rPr>
          <w:rStyle w:val="45"/>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F2903D6">
      <w:pPr>
        <w:pStyle w:val="277"/>
        <w:ind w:firstLine="480"/>
        <w:rPr>
          <w:rFonts w:ascii="仿宋_GB2312" w:hAnsi="仿宋_GB2312" w:eastAsia="仿宋_GB2312" w:cs="仿宋_GB2312"/>
          <w:color w:val="auto"/>
          <w:szCs w:val="32"/>
          <w:highlight w:val="none"/>
        </w:rPr>
      </w:pPr>
    </w:p>
    <w:p w14:paraId="2384FF49">
      <w:pPr>
        <w:rPr>
          <w:rFonts w:ascii="仿宋_GB2312" w:hAnsi="仿宋_GB2312" w:cs="仿宋_GB2312"/>
          <w:color w:val="auto"/>
          <w:szCs w:val="32"/>
          <w:highlight w:val="none"/>
        </w:rPr>
      </w:pPr>
    </w:p>
    <w:p w14:paraId="4042657E">
      <w:pPr>
        <w:pStyle w:val="277"/>
        <w:ind w:firstLine="480"/>
        <w:rPr>
          <w:rFonts w:ascii="仿宋_GB2312" w:hAnsi="仿宋_GB2312" w:cs="仿宋_GB2312"/>
          <w:color w:val="auto"/>
          <w:szCs w:val="32"/>
          <w:highlight w:val="none"/>
        </w:rPr>
      </w:pPr>
    </w:p>
    <w:p w14:paraId="4E3C61AC">
      <w:pPr>
        <w:rPr>
          <w:rFonts w:ascii="仿宋_GB2312" w:hAnsi="仿宋_GB2312" w:cs="仿宋_GB2312"/>
          <w:color w:val="auto"/>
          <w:szCs w:val="32"/>
          <w:highlight w:val="none"/>
        </w:rPr>
      </w:pPr>
    </w:p>
    <w:p w14:paraId="7D7BE796">
      <w:pPr>
        <w:rPr>
          <w:rFonts w:ascii="仿宋_GB2312" w:hAnsi="仿宋_GB2312" w:cs="仿宋_GB2312"/>
          <w:color w:val="auto"/>
          <w:szCs w:val="32"/>
          <w:highlight w:val="none"/>
        </w:rPr>
      </w:pPr>
    </w:p>
    <w:p w14:paraId="1570591C">
      <w:pPr>
        <w:pStyle w:val="277"/>
        <w:ind w:firstLine="480"/>
        <w:rPr>
          <w:rFonts w:ascii="仿宋_GB2312" w:hAnsi="仿宋_GB2312" w:cs="仿宋_GB2312"/>
          <w:color w:val="auto"/>
          <w:szCs w:val="32"/>
          <w:highlight w:val="none"/>
        </w:rPr>
      </w:pPr>
    </w:p>
    <w:p w14:paraId="12174524">
      <w:pPr>
        <w:spacing w:line="540" w:lineRule="exact"/>
        <w:rPr>
          <w:rFonts w:ascii="黑体" w:hAnsi="黑体" w:eastAsia="黑体" w:cs="黑体"/>
          <w:color w:val="auto"/>
          <w:szCs w:val="32"/>
          <w:highlight w:val="none"/>
        </w:rPr>
      </w:pPr>
    </w:p>
    <w:p w14:paraId="21C431E0">
      <w:pPr>
        <w:spacing w:line="540" w:lineRule="exact"/>
        <w:rPr>
          <w:rFonts w:ascii="黑体" w:hAnsi="黑体" w:eastAsia="黑体" w:cs="黑体"/>
          <w:color w:val="auto"/>
          <w:szCs w:val="32"/>
          <w:highlight w:val="none"/>
        </w:rPr>
      </w:pPr>
      <w:r>
        <w:rPr>
          <w:rFonts w:ascii="黑体" w:hAnsi="黑体" w:eastAsia="黑体" w:cs="黑体"/>
          <w:color w:val="auto"/>
          <w:szCs w:val="32"/>
          <w:highlight w:val="none"/>
        </w:rPr>
        <w:br w:type="page" w:clear="all"/>
      </w:r>
      <w:r>
        <w:rPr>
          <w:rFonts w:hint="eastAsia" w:ascii="黑体" w:hAnsi="黑体" w:eastAsia="黑体" w:cs="黑体"/>
          <w:color w:val="auto"/>
          <w:szCs w:val="32"/>
          <w:highlight w:val="none"/>
        </w:rPr>
        <w:t>附件3</w:t>
      </w:r>
    </w:p>
    <w:p w14:paraId="7EBA0FE6">
      <w:pPr>
        <w:pStyle w:val="277"/>
        <w:ind w:firstLine="480"/>
        <w:rPr>
          <w:color w:val="auto"/>
          <w:highlight w:val="none"/>
        </w:rPr>
      </w:pPr>
    </w:p>
    <w:p w14:paraId="4300ED3B">
      <w:pPr>
        <w:spacing w:line="600" w:lineRule="exact"/>
        <w:jc w:val="center"/>
        <w:rPr>
          <w:rFonts w:ascii="黑体" w:hAnsi="黑体" w:eastAsia="黑体" w:cs="黑体"/>
          <w:color w:val="auto"/>
          <w:sz w:val="44"/>
          <w:szCs w:val="44"/>
          <w:highlight w:val="none"/>
        </w:rPr>
      </w:pPr>
      <w:r>
        <w:rPr>
          <w:rFonts w:hint="eastAsia" w:ascii="方正小标宋_GBK" w:eastAsia="方正小标宋_GBK"/>
          <w:color w:val="auto"/>
          <w:sz w:val="44"/>
          <w:szCs w:val="44"/>
          <w:highlight w:val="none"/>
        </w:rPr>
        <w:t>崇左市线上“政采贷”业务流程图</w:t>
      </w:r>
    </w:p>
    <w:p w14:paraId="1599C1E2">
      <w:pPr>
        <w:rPr>
          <w:color w:val="auto"/>
          <w:highlight w:val="none"/>
        </w:rPr>
      </w:pPr>
      <w:r>
        <w:rPr>
          <w:rFonts w:hint="eastAsia" w:eastAsia="仿宋_GB2312"/>
          <w:color w:val="auto"/>
          <w:highlight w:val="none"/>
        </w:rPr>
        <w:drawing>
          <wp:inline distT="0" distB="0" distL="0" distR="0">
            <wp:extent cx="4926965" cy="7002780"/>
            <wp:effectExtent l="0" t="0" r="6985" b="7620"/>
            <wp:docPr id="6"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流程图1011"/>
                    <pic:cNvPicPr>
                      <a:picLocks noChangeAspect="1"/>
                    </pic:cNvPicPr>
                  </pic:nvPicPr>
                  <pic:blipFill>
                    <a:blip r:embed="rId8"/>
                    <a:stretch>
                      <a:fillRect/>
                    </a:stretch>
                  </pic:blipFill>
                  <pic:spPr>
                    <a:xfrm>
                      <a:off x="0" y="0"/>
                      <a:ext cx="4926965" cy="7002780"/>
                    </a:xfrm>
                    <a:prstGeom prst="rect">
                      <a:avLst/>
                    </a:prstGeom>
                    <a:noFill/>
                    <a:ln>
                      <a:noFill/>
                    </a:ln>
                  </pic:spPr>
                </pic:pic>
              </a:graphicData>
            </a:graphic>
          </wp:inline>
        </w:drawing>
      </w:r>
    </w:p>
    <w:p w14:paraId="46AFBF96">
      <w:pPr>
        <w:widowControl/>
        <w:ind w:firstLine="420"/>
        <w:rPr>
          <w:color w:val="auto"/>
          <w:highlight w:val="none"/>
        </w:rPr>
      </w:pPr>
    </w:p>
    <w:p w14:paraId="5F55B814">
      <w:pPr>
        <w:widowControl/>
        <w:spacing w:line="720" w:lineRule="exact"/>
        <w:jc w:val="left"/>
        <w:rPr>
          <w:rFonts w:ascii="黑体" w:hAnsi="黑体" w:eastAsia="黑体" w:cs="黑体"/>
          <w:color w:val="auto"/>
          <w:sz w:val="32"/>
          <w:szCs w:val="32"/>
          <w:highlight w:val="none"/>
        </w:rPr>
      </w:pPr>
      <w:r>
        <w:rPr>
          <w:rFonts w:ascii="黑体" w:hAnsi="黑体" w:eastAsia="黑体" w:cs="黑体"/>
          <w:color w:val="auto"/>
          <w:sz w:val="32"/>
          <w:szCs w:val="32"/>
          <w:highlight w:val="none"/>
          <w:lang w:val="zh-CN"/>
        </w:rPr>
        <w:br w:type="page" w:clear="all"/>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4</w:t>
      </w:r>
    </w:p>
    <w:p w14:paraId="7683C841">
      <w:pPr>
        <w:pStyle w:val="277"/>
        <w:ind w:firstLine="480"/>
        <w:rPr>
          <w:color w:val="auto"/>
          <w:highlight w:val="none"/>
        </w:rPr>
      </w:pPr>
    </w:p>
    <w:p w14:paraId="38A66285">
      <w:pPr>
        <w:pStyle w:val="277"/>
        <w:ind w:firstLine="720"/>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40"/>
        <w:tblW w:w="8943" w:type="dxa"/>
        <w:tblInd w:w="96" w:type="dxa"/>
        <w:tblLayout w:type="fixed"/>
        <w:tblCellMar>
          <w:top w:w="0" w:type="dxa"/>
          <w:left w:w="108" w:type="dxa"/>
          <w:bottom w:w="0" w:type="dxa"/>
          <w:right w:w="108" w:type="dxa"/>
        </w:tblCellMar>
      </w:tblPr>
      <w:tblGrid>
        <w:gridCol w:w="2674"/>
        <w:gridCol w:w="3515"/>
        <w:gridCol w:w="2754"/>
      </w:tblGrid>
      <w:tr w14:paraId="6D6BD14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21E5A5C">
            <w:pPr>
              <w:widowControl/>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417D77A7">
            <w:pPr>
              <w:widowControl/>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lang w:bidi="ar"/>
              </w:rPr>
              <w:t>地址</w:t>
            </w:r>
          </w:p>
        </w:tc>
        <w:tc>
          <w:tcPr>
            <w:tcW w:w="2754" w:type="dxa"/>
            <w:tcBorders>
              <w:top w:val="single" w:color="000000" w:sz="4" w:space="0"/>
              <w:left w:val="single" w:color="000000" w:sz="4" w:space="0"/>
              <w:bottom w:val="single" w:color="000000" w:sz="4" w:space="0"/>
              <w:right w:val="single" w:color="000000" w:sz="4" w:space="0"/>
            </w:tcBorders>
            <w:vAlign w:val="center"/>
          </w:tcPr>
          <w:p w14:paraId="056421A8">
            <w:pPr>
              <w:widowControl/>
              <w:spacing w:line="400" w:lineRule="exact"/>
              <w:jc w:val="center"/>
              <w:rPr>
                <w:rFonts w:ascii="宋体" w:hAnsi="宋体" w:cs="宋体"/>
                <w:b/>
                <w:bCs/>
                <w:color w:val="auto"/>
                <w:sz w:val="28"/>
                <w:szCs w:val="28"/>
                <w:highlight w:val="none"/>
              </w:rPr>
            </w:pPr>
            <w:r>
              <w:rPr>
                <w:rFonts w:hint="eastAsia" w:cs="宋体"/>
                <w:b/>
                <w:bCs/>
                <w:color w:val="auto"/>
                <w:sz w:val="28"/>
                <w:szCs w:val="28"/>
                <w:highlight w:val="none"/>
                <w:lang w:bidi="ar"/>
              </w:rPr>
              <w:t>业务</w:t>
            </w:r>
            <w:r>
              <w:rPr>
                <w:rFonts w:hint="eastAsia" w:ascii="宋体" w:hAnsi="宋体" w:cs="宋体"/>
                <w:b/>
                <w:bCs/>
                <w:color w:val="auto"/>
                <w:sz w:val="28"/>
                <w:szCs w:val="28"/>
                <w:highlight w:val="none"/>
                <w:lang w:bidi="ar"/>
              </w:rPr>
              <w:t>咨询电话</w:t>
            </w:r>
          </w:p>
        </w:tc>
      </w:tr>
      <w:tr w14:paraId="793705D6">
        <w:tblPrEx>
          <w:tblCellMar>
            <w:top w:w="0" w:type="dxa"/>
            <w:left w:w="108" w:type="dxa"/>
            <w:bottom w:w="0" w:type="dxa"/>
            <w:right w:w="108" w:type="dxa"/>
          </w:tblCellMar>
        </w:tblPrEx>
        <w:trPr>
          <w:trHeight w:val="365" w:hRule="atLeast"/>
        </w:trPr>
        <w:tc>
          <w:tcPr>
            <w:tcW w:w="8943" w:type="dxa"/>
            <w:gridSpan w:val="3"/>
            <w:tcBorders>
              <w:top w:val="single" w:color="000000" w:sz="4" w:space="0"/>
              <w:left w:val="single" w:color="000000" w:sz="4" w:space="0"/>
              <w:bottom w:val="single" w:color="000000" w:sz="4" w:space="0"/>
              <w:right w:val="single" w:color="000000" w:sz="4" w:space="0"/>
            </w:tcBorders>
            <w:noWrap/>
            <w:vAlign w:val="center"/>
          </w:tcPr>
          <w:p w14:paraId="5C490AFA">
            <w:pPr>
              <w:widowControl/>
              <w:jc w:val="left"/>
              <w:rPr>
                <w:rFonts w:cs="宋体"/>
                <w:color w:val="auto"/>
                <w:szCs w:val="21"/>
                <w:highlight w:val="none"/>
              </w:rPr>
            </w:pPr>
            <w:r>
              <w:rPr>
                <w:rFonts w:hint="eastAsia" w:cs="宋体"/>
                <w:b/>
                <w:bCs/>
                <w:color w:val="auto"/>
                <w:szCs w:val="21"/>
                <w:highlight w:val="none"/>
              </w:rPr>
              <w:t>崇左市本级及江州区</w:t>
            </w:r>
          </w:p>
        </w:tc>
      </w:tr>
      <w:tr w14:paraId="30D69BEA">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E7EDF5">
            <w:pPr>
              <w:widowControl/>
              <w:jc w:val="left"/>
              <w:rPr>
                <w:rFonts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2A0BCBA">
            <w:pPr>
              <w:widowControl/>
              <w:jc w:val="left"/>
              <w:rPr>
                <w:rFonts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754" w:type="dxa"/>
            <w:tcBorders>
              <w:top w:val="single" w:color="000000" w:sz="4" w:space="0"/>
              <w:left w:val="single" w:color="000000" w:sz="4" w:space="0"/>
              <w:bottom w:val="single" w:color="000000" w:sz="4" w:space="0"/>
              <w:right w:val="single" w:color="000000" w:sz="4" w:space="0"/>
            </w:tcBorders>
            <w:vAlign w:val="center"/>
          </w:tcPr>
          <w:p w14:paraId="5B74F48D">
            <w:pPr>
              <w:widowControl/>
              <w:jc w:val="center"/>
              <w:rPr>
                <w:rFonts w:ascii="宋体" w:hAnsi="宋体" w:cs="宋体"/>
                <w:color w:val="auto"/>
                <w:szCs w:val="21"/>
                <w:highlight w:val="none"/>
              </w:rPr>
            </w:pPr>
            <w:r>
              <w:rPr>
                <w:rFonts w:hint="eastAsia" w:ascii="宋体" w:hAnsi="宋体" w:cs="宋体"/>
                <w:color w:val="auto"/>
                <w:szCs w:val="21"/>
                <w:highlight w:val="none"/>
              </w:rPr>
              <w:t>0771-7820436 0771-7820439</w:t>
            </w:r>
          </w:p>
        </w:tc>
      </w:tr>
      <w:tr w14:paraId="2D284544">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283FEB">
            <w:pPr>
              <w:widowControl/>
              <w:jc w:val="left"/>
              <w:rPr>
                <w:rFonts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28E108">
            <w:pPr>
              <w:widowControl/>
              <w:jc w:val="left"/>
              <w:rPr>
                <w:rFonts w:ascii="宋体" w:hAnsi="宋体" w:cs="宋体"/>
                <w:color w:val="auto"/>
                <w:szCs w:val="21"/>
                <w:highlight w:val="none"/>
              </w:rPr>
            </w:pPr>
            <w:r>
              <w:rPr>
                <w:rFonts w:hint="eastAsia" w:ascii="宋体" w:hAnsi="宋体" w:cs="宋体"/>
                <w:color w:val="auto"/>
                <w:szCs w:val="21"/>
                <w:highlight w:val="none"/>
              </w:rPr>
              <w:t>江州区友谊大道26号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64DAE65">
            <w:pPr>
              <w:widowControl/>
              <w:jc w:val="center"/>
              <w:rPr>
                <w:rFonts w:ascii="宋体" w:hAnsi="宋体" w:cs="宋体"/>
                <w:color w:val="auto"/>
                <w:szCs w:val="21"/>
                <w:highlight w:val="none"/>
              </w:rPr>
            </w:pPr>
            <w:r>
              <w:rPr>
                <w:rFonts w:hint="eastAsia" w:ascii="宋体" w:hAnsi="宋体" w:cs="宋体"/>
                <w:color w:val="auto"/>
                <w:szCs w:val="21"/>
                <w:highlight w:val="none"/>
              </w:rPr>
              <w:t>0771-7917212</w:t>
            </w:r>
          </w:p>
        </w:tc>
      </w:tr>
      <w:tr w14:paraId="788F79D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F5FCBE">
            <w:pPr>
              <w:widowControl/>
              <w:jc w:val="left"/>
              <w:rPr>
                <w:rFonts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3EE0A53">
            <w:pPr>
              <w:widowControl/>
              <w:jc w:val="left"/>
              <w:rPr>
                <w:rFonts w:ascii="宋体" w:hAnsi="宋体" w:cs="宋体"/>
                <w:color w:val="auto"/>
                <w:szCs w:val="21"/>
                <w:highlight w:val="none"/>
              </w:rPr>
            </w:pPr>
            <w:r>
              <w:rPr>
                <w:rFonts w:hint="eastAsia" w:ascii="宋体" w:hAnsi="宋体" w:cs="宋体"/>
                <w:color w:val="auto"/>
                <w:szCs w:val="21"/>
                <w:highlight w:val="none"/>
              </w:rPr>
              <w:t>江州区江南路48号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5E0ECB05">
            <w:pPr>
              <w:widowControl/>
              <w:jc w:val="center"/>
              <w:rPr>
                <w:rFonts w:ascii="宋体" w:hAnsi="宋体" w:cs="宋体"/>
                <w:color w:val="auto"/>
                <w:szCs w:val="21"/>
                <w:highlight w:val="none"/>
              </w:rPr>
            </w:pPr>
            <w:r>
              <w:rPr>
                <w:rFonts w:hint="eastAsia" w:ascii="宋体" w:hAnsi="宋体" w:cs="宋体"/>
                <w:color w:val="auto"/>
                <w:szCs w:val="21"/>
                <w:highlight w:val="none"/>
              </w:rPr>
              <w:t>0771-7917054</w:t>
            </w:r>
          </w:p>
        </w:tc>
      </w:tr>
      <w:tr w14:paraId="49A2623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425D6A">
            <w:pPr>
              <w:widowControl/>
              <w:jc w:val="left"/>
              <w:rPr>
                <w:rFonts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066E6C">
            <w:pPr>
              <w:widowControl/>
              <w:jc w:val="left"/>
              <w:rPr>
                <w:rFonts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754" w:type="dxa"/>
            <w:tcBorders>
              <w:top w:val="single" w:color="000000" w:sz="4" w:space="0"/>
              <w:left w:val="single" w:color="000000" w:sz="4" w:space="0"/>
              <w:bottom w:val="single" w:color="000000" w:sz="4" w:space="0"/>
              <w:right w:val="single" w:color="000000" w:sz="4" w:space="0"/>
            </w:tcBorders>
            <w:vAlign w:val="center"/>
          </w:tcPr>
          <w:p w14:paraId="55C6E094">
            <w:pPr>
              <w:widowControl/>
              <w:jc w:val="center"/>
              <w:rPr>
                <w:rFonts w:ascii="宋体" w:hAnsi="宋体" w:cs="宋体"/>
                <w:color w:val="auto"/>
                <w:szCs w:val="21"/>
                <w:highlight w:val="none"/>
              </w:rPr>
            </w:pPr>
            <w:r>
              <w:rPr>
                <w:rFonts w:hint="eastAsia" w:ascii="宋体" w:hAnsi="宋体" w:cs="宋体"/>
                <w:color w:val="auto"/>
                <w:szCs w:val="21"/>
                <w:highlight w:val="none"/>
              </w:rPr>
              <w:t>0771-7831103</w:t>
            </w:r>
          </w:p>
        </w:tc>
      </w:tr>
      <w:tr w14:paraId="01408E8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9E804A">
            <w:pPr>
              <w:widowControl/>
              <w:jc w:val="left"/>
              <w:rPr>
                <w:rFonts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CAC8C72">
            <w:pPr>
              <w:widowControl/>
              <w:jc w:val="left"/>
              <w:rPr>
                <w:rFonts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754" w:type="dxa"/>
            <w:tcBorders>
              <w:top w:val="single" w:color="000000" w:sz="4" w:space="0"/>
              <w:left w:val="single" w:color="000000" w:sz="4" w:space="0"/>
              <w:bottom w:val="single" w:color="000000" w:sz="4" w:space="0"/>
              <w:right w:val="single" w:color="000000" w:sz="4" w:space="0"/>
            </w:tcBorders>
            <w:vAlign w:val="center"/>
          </w:tcPr>
          <w:p w14:paraId="6294CB1A">
            <w:pPr>
              <w:widowControl/>
              <w:jc w:val="center"/>
              <w:rPr>
                <w:rFonts w:ascii="宋体" w:hAnsi="宋体" w:cs="宋体"/>
                <w:color w:val="auto"/>
                <w:szCs w:val="21"/>
                <w:highlight w:val="none"/>
              </w:rPr>
            </w:pPr>
            <w:r>
              <w:rPr>
                <w:rFonts w:hint="eastAsia" w:ascii="宋体" w:hAnsi="宋体" w:cs="宋体"/>
                <w:color w:val="auto"/>
                <w:szCs w:val="21"/>
                <w:highlight w:val="none"/>
              </w:rPr>
              <w:t>0771-7928650 0771-7920613</w:t>
            </w:r>
          </w:p>
        </w:tc>
      </w:tr>
      <w:tr w14:paraId="7E7A928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4A94C21">
            <w:pPr>
              <w:widowControl/>
              <w:jc w:val="left"/>
              <w:rPr>
                <w:rFonts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DA5B78">
            <w:pPr>
              <w:widowControl/>
              <w:jc w:val="left"/>
              <w:rPr>
                <w:rFonts w:ascii="宋体" w:hAnsi="宋体" w:cs="宋体"/>
                <w:color w:val="auto"/>
                <w:szCs w:val="21"/>
                <w:highlight w:val="none"/>
              </w:rPr>
            </w:pPr>
            <w:r>
              <w:rPr>
                <w:rFonts w:hint="eastAsia" w:ascii="宋体" w:hAnsi="宋体" w:cs="宋体"/>
                <w:color w:val="auto"/>
                <w:szCs w:val="21"/>
                <w:highlight w:val="none"/>
              </w:rPr>
              <w:t>崇左市城西路109号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0CF3C288">
            <w:pPr>
              <w:widowControl/>
              <w:jc w:val="center"/>
              <w:rPr>
                <w:rFonts w:ascii="宋体" w:hAnsi="宋体" w:cs="宋体"/>
                <w:color w:val="auto"/>
                <w:szCs w:val="21"/>
                <w:highlight w:val="none"/>
              </w:rPr>
            </w:pPr>
            <w:r>
              <w:rPr>
                <w:rFonts w:hint="eastAsia" w:ascii="宋体" w:hAnsi="宋体" w:cs="宋体"/>
                <w:color w:val="auto"/>
                <w:szCs w:val="21"/>
                <w:highlight w:val="none"/>
              </w:rPr>
              <w:t>0771-7925660</w:t>
            </w:r>
          </w:p>
        </w:tc>
      </w:tr>
      <w:tr w14:paraId="16024F71">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F53AF80">
            <w:pPr>
              <w:widowControl/>
              <w:jc w:val="left"/>
              <w:rPr>
                <w:rFonts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80A622">
            <w:pPr>
              <w:widowControl/>
              <w:jc w:val="left"/>
              <w:rPr>
                <w:rFonts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754" w:type="dxa"/>
            <w:tcBorders>
              <w:top w:val="single" w:color="000000" w:sz="4" w:space="0"/>
              <w:left w:val="single" w:color="000000" w:sz="4" w:space="0"/>
              <w:bottom w:val="single" w:color="000000" w:sz="4" w:space="0"/>
              <w:right w:val="single" w:color="000000" w:sz="4" w:space="0"/>
            </w:tcBorders>
            <w:vAlign w:val="center"/>
          </w:tcPr>
          <w:p w14:paraId="4A7217A7">
            <w:pPr>
              <w:widowControl/>
              <w:jc w:val="center"/>
              <w:rPr>
                <w:rFonts w:ascii="宋体" w:hAnsi="宋体" w:cs="宋体"/>
                <w:color w:val="auto"/>
                <w:szCs w:val="21"/>
                <w:highlight w:val="none"/>
              </w:rPr>
            </w:pPr>
            <w:r>
              <w:rPr>
                <w:rFonts w:hint="eastAsia" w:ascii="宋体" w:hAnsi="宋体" w:cs="宋体"/>
                <w:color w:val="auto"/>
                <w:szCs w:val="21"/>
                <w:highlight w:val="none"/>
              </w:rPr>
              <w:t>0771-7968699</w:t>
            </w:r>
          </w:p>
        </w:tc>
      </w:tr>
      <w:tr w14:paraId="427AD9DB">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AE597F">
            <w:pPr>
              <w:widowControl/>
              <w:jc w:val="left"/>
              <w:rPr>
                <w:rFonts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8AC46DC">
            <w:pPr>
              <w:widowControl/>
              <w:jc w:val="left"/>
              <w:rPr>
                <w:rFonts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754" w:type="dxa"/>
            <w:tcBorders>
              <w:top w:val="single" w:color="000000" w:sz="4" w:space="0"/>
              <w:left w:val="single" w:color="000000" w:sz="4" w:space="0"/>
              <w:bottom w:val="single" w:color="000000" w:sz="4" w:space="0"/>
              <w:right w:val="single" w:color="000000" w:sz="4" w:space="0"/>
            </w:tcBorders>
            <w:vAlign w:val="center"/>
          </w:tcPr>
          <w:p w14:paraId="14274B27">
            <w:pPr>
              <w:widowControl/>
              <w:jc w:val="center"/>
              <w:rPr>
                <w:rFonts w:ascii="宋体" w:hAnsi="宋体" w:cs="宋体"/>
                <w:color w:val="auto"/>
                <w:szCs w:val="21"/>
                <w:highlight w:val="none"/>
              </w:rPr>
            </w:pPr>
            <w:r>
              <w:rPr>
                <w:rFonts w:hint="eastAsia" w:ascii="宋体" w:hAnsi="宋体" w:cs="宋体"/>
                <w:color w:val="auto"/>
                <w:szCs w:val="21"/>
                <w:highlight w:val="none"/>
              </w:rPr>
              <w:t>0771-7916636</w:t>
            </w:r>
          </w:p>
        </w:tc>
      </w:tr>
      <w:tr w14:paraId="2EC6EA5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04735B">
            <w:pPr>
              <w:widowControl/>
              <w:jc w:val="left"/>
              <w:rPr>
                <w:rFonts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BCA713C">
            <w:pPr>
              <w:widowControl/>
              <w:jc w:val="left"/>
              <w:rPr>
                <w:rFonts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754" w:type="dxa"/>
            <w:tcBorders>
              <w:top w:val="single" w:color="000000" w:sz="4" w:space="0"/>
              <w:left w:val="single" w:color="000000" w:sz="4" w:space="0"/>
              <w:bottom w:val="single" w:color="000000" w:sz="4" w:space="0"/>
              <w:right w:val="single" w:color="000000" w:sz="4" w:space="0"/>
            </w:tcBorders>
            <w:vAlign w:val="center"/>
          </w:tcPr>
          <w:p w14:paraId="7066B1FB">
            <w:pPr>
              <w:widowControl/>
              <w:jc w:val="center"/>
              <w:rPr>
                <w:rFonts w:ascii="宋体" w:hAnsi="宋体" w:cs="宋体"/>
                <w:color w:val="auto"/>
                <w:szCs w:val="21"/>
                <w:highlight w:val="none"/>
              </w:rPr>
            </w:pPr>
            <w:r>
              <w:rPr>
                <w:rFonts w:hint="eastAsia" w:ascii="宋体" w:hAnsi="宋体" w:cs="宋体"/>
                <w:color w:val="auto"/>
                <w:szCs w:val="21"/>
                <w:highlight w:val="none"/>
              </w:rPr>
              <w:t>0771-7988895</w:t>
            </w:r>
          </w:p>
        </w:tc>
      </w:tr>
      <w:tr w14:paraId="1EDF479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017C9EB">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BAA0174">
            <w:pPr>
              <w:widowControl/>
              <w:jc w:val="left"/>
              <w:rPr>
                <w:rFonts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754" w:type="dxa"/>
            <w:tcBorders>
              <w:top w:val="single" w:color="000000" w:sz="4" w:space="0"/>
              <w:left w:val="single" w:color="000000" w:sz="4" w:space="0"/>
              <w:bottom w:val="single" w:color="000000" w:sz="4" w:space="0"/>
              <w:right w:val="single" w:color="000000" w:sz="4" w:space="0"/>
            </w:tcBorders>
            <w:vAlign w:val="center"/>
          </w:tcPr>
          <w:p w14:paraId="5406AB1D">
            <w:pPr>
              <w:widowControl/>
              <w:jc w:val="center"/>
              <w:rPr>
                <w:rFonts w:ascii="宋体" w:hAnsi="宋体" w:cs="宋体"/>
                <w:color w:val="auto"/>
                <w:szCs w:val="21"/>
                <w:highlight w:val="none"/>
              </w:rPr>
            </w:pPr>
            <w:r>
              <w:rPr>
                <w:rFonts w:hint="eastAsia" w:ascii="宋体" w:hAnsi="宋体" w:cs="宋体"/>
                <w:color w:val="auto"/>
                <w:szCs w:val="21"/>
                <w:highlight w:val="none"/>
              </w:rPr>
              <w:t>0771-7960855</w:t>
            </w:r>
          </w:p>
        </w:tc>
      </w:tr>
      <w:tr w14:paraId="261AE87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C9127C">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D72193">
            <w:pPr>
              <w:widowControl/>
              <w:jc w:val="left"/>
              <w:rPr>
                <w:rFonts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754" w:type="dxa"/>
            <w:tcBorders>
              <w:top w:val="single" w:color="000000" w:sz="4" w:space="0"/>
              <w:left w:val="single" w:color="000000" w:sz="4" w:space="0"/>
              <w:bottom w:val="single" w:color="000000" w:sz="4" w:space="0"/>
              <w:right w:val="single" w:color="000000" w:sz="4" w:space="0"/>
            </w:tcBorders>
            <w:vAlign w:val="center"/>
          </w:tcPr>
          <w:p w14:paraId="4A2FC810">
            <w:pPr>
              <w:widowControl/>
              <w:jc w:val="center"/>
              <w:rPr>
                <w:rFonts w:ascii="宋体" w:hAnsi="宋体" w:cs="宋体"/>
                <w:color w:val="auto"/>
                <w:szCs w:val="21"/>
                <w:highlight w:val="none"/>
              </w:rPr>
            </w:pPr>
            <w:r>
              <w:rPr>
                <w:rFonts w:hint="eastAsia" w:ascii="宋体" w:hAnsi="宋体" w:cs="宋体"/>
                <w:color w:val="auto"/>
                <w:szCs w:val="21"/>
                <w:highlight w:val="none"/>
              </w:rPr>
              <w:t>0771-7821126</w:t>
            </w:r>
          </w:p>
        </w:tc>
      </w:tr>
      <w:tr w14:paraId="48C8E02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5561EA">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39A46CA">
            <w:pPr>
              <w:widowControl/>
              <w:jc w:val="left"/>
              <w:rPr>
                <w:rFonts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754" w:type="dxa"/>
            <w:tcBorders>
              <w:top w:val="single" w:color="000000" w:sz="4" w:space="0"/>
              <w:left w:val="single" w:color="000000" w:sz="4" w:space="0"/>
              <w:bottom w:val="single" w:color="000000" w:sz="4" w:space="0"/>
              <w:right w:val="single" w:color="000000" w:sz="4" w:space="0"/>
            </w:tcBorders>
            <w:vAlign w:val="center"/>
          </w:tcPr>
          <w:p w14:paraId="009AAC19">
            <w:pPr>
              <w:widowControl/>
              <w:jc w:val="center"/>
              <w:rPr>
                <w:rFonts w:ascii="宋体" w:hAnsi="宋体" w:cs="宋体"/>
                <w:color w:val="auto"/>
                <w:szCs w:val="21"/>
                <w:highlight w:val="none"/>
              </w:rPr>
            </w:pPr>
            <w:r>
              <w:rPr>
                <w:rFonts w:hint="eastAsia" w:ascii="宋体" w:hAnsi="宋体" w:cs="宋体"/>
                <w:color w:val="auto"/>
                <w:szCs w:val="21"/>
                <w:highlight w:val="none"/>
              </w:rPr>
              <w:t>0771-7831866</w:t>
            </w:r>
          </w:p>
        </w:tc>
      </w:tr>
      <w:tr w14:paraId="66990E9B">
        <w:tblPrEx>
          <w:tblCellMar>
            <w:top w:w="0" w:type="dxa"/>
            <w:left w:w="108" w:type="dxa"/>
            <w:bottom w:w="0" w:type="dxa"/>
            <w:right w:w="108" w:type="dxa"/>
          </w:tblCellMar>
        </w:tblPrEx>
        <w:trPr>
          <w:trHeight w:val="350" w:hRule="atLeast"/>
        </w:trPr>
        <w:tc>
          <w:tcPr>
            <w:tcW w:w="8943" w:type="dxa"/>
            <w:gridSpan w:val="3"/>
            <w:tcBorders>
              <w:top w:val="single" w:color="000000" w:sz="4" w:space="0"/>
              <w:left w:val="single" w:color="000000" w:sz="4" w:space="0"/>
              <w:bottom w:val="single" w:color="000000" w:sz="4" w:space="0"/>
              <w:right w:val="single" w:color="000000" w:sz="4" w:space="0"/>
            </w:tcBorders>
            <w:noWrap/>
            <w:vAlign w:val="center"/>
          </w:tcPr>
          <w:p w14:paraId="5D4CCE74">
            <w:pPr>
              <w:widowControl/>
              <w:jc w:val="left"/>
              <w:rPr>
                <w:rFonts w:ascii="宋体" w:hAnsi="宋体" w:cs="宋体"/>
                <w:color w:val="auto"/>
                <w:szCs w:val="21"/>
                <w:highlight w:val="none"/>
              </w:rPr>
            </w:pPr>
            <w:r>
              <w:rPr>
                <w:rFonts w:hint="eastAsia" w:ascii="宋体" w:hAnsi="宋体" w:cs="宋体"/>
                <w:b/>
                <w:bCs/>
                <w:color w:val="auto"/>
                <w:szCs w:val="21"/>
                <w:highlight w:val="none"/>
              </w:rPr>
              <w:t>扶绥县</w:t>
            </w:r>
          </w:p>
        </w:tc>
      </w:tr>
      <w:tr w14:paraId="14221E04">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D241AE">
            <w:pPr>
              <w:widowControl/>
              <w:jc w:val="left"/>
              <w:rPr>
                <w:rFonts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52E5CDE">
            <w:pPr>
              <w:widowControl/>
              <w:jc w:val="left"/>
              <w:rPr>
                <w:rFonts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6EAD9460">
            <w:pPr>
              <w:widowControl/>
              <w:jc w:val="center"/>
              <w:rPr>
                <w:rFonts w:ascii="宋体" w:hAnsi="宋体" w:cs="宋体"/>
                <w:color w:val="auto"/>
                <w:szCs w:val="21"/>
                <w:highlight w:val="none"/>
              </w:rPr>
            </w:pPr>
            <w:r>
              <w:rPr>
                <w:rFonts w:hint="eastAsia" w:ascii="宋体" w:hAnsi="宋体" w:cs="宋体"/>
                <w:color w:val="auto"/>
                <w:szCs w:val="21"/>
                <w:highlight w:val="none"/>
              </w:rPr>
              <w:t>0771-7535612</w:t>
            </w:r>
          </w:p>
        </w:tc>
      </w:tr>
      <w:tr w14:paraId="7F07D685">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E62BBB">
            <w:pPr>
              <w:widowControl/>
              <w:jc w:val="left"/>
              <w:rPr>
                <w:rFonts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28B28C">
            <w:pPr>
              <w:widowControl/>
              <w:jc w:val="left"/>
              <w:rPr>
                <w:rFonts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5C568A63">
            <w:pPr>
              <w:widowControl/>
              <w:jc w:val="center"/>
              <w:rPr>
                <w:rFonts w:ascii="宋体" w:hAnsi="宋体" w:cs="宋体"/>
                <w:color w:val="auto"/>
                <w:szCs w:val="21"/>
                <w:highlight w:val="none"/>
              </w:rPr>
            </w:pPr>
            <w:r>
              <w:rPr>
                <w:rFonts w:hint="eastAsia" w:ascii="宋体" w:hAnsi="宋体" w:cs="宋体"/>
                <w:color w:val="auto"/>
                <w:szCs w:val="21"/>
                <w:highlight w:val="none"/>
              </w:rPr>
              <w:t>0771-7917330</w:t>
            </w:r>
          </w:p>
        </w:tc>
      </w:tr>
      <w:tr w14:paraId="7BBBE403">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BDB55C">
            <w:pPr>
              <w:widowControl/>
              <w:jc w:val="left"/>
              <w:rPr>
                <w:rFonts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AE36CCE">
            <w:pPr>
              <w:widowControl/>
              <w:jc w:val="left"/>
              <w:rPr>
                <w:rFonts w:ascii="宋体" w:hAnsi="宋体" w:cs="宋体"/>
                <w:color w:val="auto"/>
                <w:szCs w:val="21"/>
                <w:highlight w:val="none"/>
              </w:rPr>
            </w:pPr>
            <w:r>
              <w:rPr>
                <w:rFonts w:hint="eastAsia" w:ascii="宋体" w:hAnsi="宋体" w:cs="宋体"/>
                <w:color w:val="auto"/>
                <w:szCs w:val="21"/>
                <w:highlight w:val="none"/>
              </w:rPr>
              <w:t>扶绥县南密路6号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51D1E145">
            <w:pPr>
              <w:widowControl/>
              <w:jc w:val="center"/>
              <w:rPr>
                <w:rFonts w:ascii="宋体" w:hAnsi="宋体" w:cs="宋体"/>
                <w:color w:val="auto"/>
                <w:szCs w:val="21"/>
                <w:highlight w:val="none"/>
              </w:rPr>
            </w:pPr>
            <w:r>
              <w:rPr>
                <w:rFonts w:hint="eastAsia" w:ascii="宋体" w:hAnsi="宋体" w:cs="宋体"/>
                <w:color w:val="auto"/>
                <w:szCs w:val="21"/>
                <w:highlight w:val="none"/>
              </w:rPr>
              <w:t>0771-7516511 0771-7531157</w:t>
            </w:r>
          </w:p>
        </w:tc>
      </w:tr>
      <w:tr w14:paraId="241A880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274005">
            <w:pPr>
              <w:widowControl/>
              <w:jc w:val="left"/>
              <w:rPr>
                <w:rFonts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6D0069C">
            <w:pPr>
              <w:widowControl/>
              <w:jc w:val="left"/>
              <w:rPr>
                <w:rFonts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754" w:type="dxa"/>
            <w:tcBorders>
              <w:top w:val="single" w:color="000000" w:sz="4" w:space="0"/>
              <w:left w:val="single" w:color="000000" w:sz="4" w:space="0"/>
              <w:bottom w:val="single" w:color="000000" w:sz="4" w:space="0"/>
              <w:right w:val="single" w:color="000000" w:sz="4" w:space="0"/>
            </w:tcBorders>
            <w:vAlign w:val="center"/>
          </w:tcPr>
          <w:p w14:paraId="559A862E">
            <w:pPr>
              <w:widowControl/>
              <w:jc w:val="center"/>
              <w:rPr>
                <w:rFonts w:ascii="宋体" w:hAnsi="宋体" w:cs="宋体"/>
                <w:color w:val="auto"/>
                <w:szCs w:val="21"/>
                <w:highlight w:val="none"/>
              </w:rPr>
            </w:pPr>
            <w:r>
              <w:rPr>
                <w:rFonts w:hint="eastAsia" w:ascii="宋体" w:hAnsi="宋体" w:cs="宋体"/>
                <w:color w:val="auto"/>
                <w:szCs w:val="21"/>
                <w:highlight w:val="none"/>
              </w:rPr>
              <w:t>0771-7525822</w:t>
            </w:r>
          </w:p>
        </w:tc>
      </w:tr>
      <w:tr w14:paraId="4C48693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E21F6F">
            <w:pPr>
              <w:widowControl/>
              <w:jc w:val="left"/>
              <w:rPr>
                <w:rFonts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5DCAE75">
            <w:pPr>
              <w:widowControl/>
              <w:jc w:val="left"/>
              <w:rPr>
                <w:rFonts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754" w:type="dxa"/>
            <w:tcBorders>
              <w:top w:val="single" w:color="000000" w:sz="4" w:space="0"/>
              <w:left w:val="single" w:color="000000" w:sz="4" w:space="0"/>
              <w:bottom w:val="single" w:color="000000" w:sz="4" w:space="0"/>
              <w:right w:val="single" w:color="000000" w:sz="4" w:space="0"/>
            </w:tcBorders>
            <w:vAlign w:val="center"/>
          </w:tcPr>
          <w:p w14:paraId="7E1D7CC4">
            <w:pPr>
              <w:widowControl/>
              <w:jc w:val="center"/>
              <w:rPr>
                <w:rFonts w:ascii="宋体" w:hAnsi="宋体" w:cs="宋体"/>
                <w:color w:val="auto"/>
                <w:szCs w:val="21"/>
                <w:highlight w:val="none"/>
              </w:rPr>
            </w:pPr>
            <w:r>
              <w:rPr>
                <w:rFonts w:hint="eastAsia" w:ascii="宋体" w:hAnsi="宋体" w:cs="宋体"/>
                <w:color w:val="auto"/>
                <w:szCs w:val="21"/>
                <w:highlight w:val="none"/>
              </w:rPr>
              <w:t>0771-5025887</w:t>
            </w:r>
          </w:p>
        </w:tc>
      </w:tr>
      <w:tr w14:paraId="320B114F">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F9EA5B">
            <w:pPr>
              <w:widowControl/>
              <w:jc w:val="left"/>
              <w:rPr>
                <w:rFonts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5EA06A71">
            <w:pPr>
              <w:widowControl/>
              <w:jc w:val="left"/>
              <w:rPr>
                <w:rFonts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B205288">
            <w:pPr>
              <w:widowControl/>
              <w:jc w:val="center"/>
              <w:rPr>
                <w:rFonts w:ascii="宋体" w:hAnsi="宋体" w:cs="宋体"/>
                <w:color w:val="auto"/>
                <w:szCs w:val="21"/>
                <w:highlight w:val="none"/>
              </w:rPr>
            </w:pPr>
            <w:r>
              <w:rPr>
                <w:rFonts w:hint="eastAsia" w:ascii="宋体" w:hAnsi="宋体" w:cs="宋体"/>
                <w:color w:val="auto"/>
                <w:szCs w:val="21"/>
                <w:highlight w:val="none"/>
              </w:rPr>
              <w:t>0771-7533041</w:t>
            </w:r>
          </w:p>
        </w:tc>
      </w:tr>
      <w:tr w14:paraId="44FD224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A3DEBC">
            <w:pPr>
              <w:widowControl/>
              <w:jc w:val="left"/>
              <w:rPr>
                <w:rFonts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2A4C6BC">
            <w:pPr>
              <w:widowControl/>
              <w:jc w:val="left"/>
              <w:rPr>
                <w:rFonts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754" w:type="dxa"/>
            <w:tcBorders>
              <w:top w:val="single" w:color="000000" w:sz="4" w:space="0"/>
              <w:left w:val="single" w:color="000000" w:sz="4" w:space="0"/>
              <w:bottom w:val="single" w:color="000000" w:sz="4" w:space="0"/>
              <w:right w:val="single" w:color="000000" w:sz="4" w:space="0"/>
            </w:tcBorders>
            <w:vAlign w:val="center"/>
          </w:tcPr>
          <w:p w14:paraId="4668FEA0">
            <w:pPr>
              <w:widowControl/>
              <w:jc w:val="center"/>
              <w:rPr>
                <w:rFonts w:ascii="宋体" w:hAnsi="宋体" w:cs="宋体"/>
                <w:color w:val="auto"/>
                <w:szCs w:val="21"/>
                <w:highlight w:val="none"/>
              </w:rPr>
            </w:pPr>
            <w:r>
              <w:rPr>
                <w:rFonts w:hint="eastAsia" w:ascii="宋体" w:hAnsi="宋体" w:cs="宋体"/>
                <w:color w:val="auto"/>
                <w:szCs w:val="21"/>
                <w:highlight w:val="none"/>
              </w:rPr>
              <w:t>0771-7536178 0771-7536177</w:t>
            </w:r>
          </w:p>
        </w:tc>
      </w:tr>
      <w:tr w14:paraId="0A86445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18FC0C">
            <w:pPr>
              <w:widowControl/>
              <w:jc w:val="left"/>
              <w:rPr>
                <w:rFonts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F8A34AB">
            <w:pPr>
              <w:widowControl/>
              <w:jc w:val="left"/>
              <w:rPr>
                <w:rFonts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754" w:type="dxa"/>
            <w:tcBorders>
              <w:top w:val="single" w:color="000000" w:sz="4" w:space="0"/>
              <w:left w:val="single" w:color="000000" w:sz="4" w:space="0"/>
              <w:bottom w:val="single" w:color="000000" w:sz="4" w:space="0"/>
              <w:right w:val="single" w:color="000000" w:sz="4" w:space="0"/>
            </w:tcBorders>
            <w:vAlign w:val="center"/>
          </w:tcPr>
          <w:p w14:paraId="54137BEE">
            <w:pPr>
              <w:widowControl/>
              <w:jc w:val="center"/>
              <w:rPr>
                <w:rFonts w:ascii="宋体" w:hAnsi="宋体" w:cs="宋体"/>
                <w:color w:val="auto"/>
                <w:szCs w:val="21"/>
                <w:highlight w:val="none"/>
              </w:rPr>
            </w:pPr>
            <w:r>
              <w:rPr>
                <w:rFonts w:hint="eastAsia" w:ascii="宋体" w:hAnsi="宋体" w:cs="宋体"/>
                <w:color w:val="auto"/>
                <w:szCs w:val="21"/>
                <w:highlight w:val="none"/>
              </w:rPr>
              <w:t>0771-7661101</w:t>
            </w:r>
          </w:p>
        </w:tc>
      </w:tr>
      <w:tr w14:paraId="5F47245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BF76549">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F59283">
            <w:pPr>
              <w:widowControl/>
              <w:jc w:val="left"/>
              <w:rPr>
                <w:rFonts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754" w:type="dxa"/>
            <w:tcBorders>
              <w:top w:val="single" w:color="000000" w:sz="4" w:space="0"/>
              <w:left w:val="single" w:color="000000" w:sz="4" w:space="0"/>
              <w:bottom w:val="single" w:color="000000" w:sz="4" w:space="0"/>
              <w:right w:val="single" w:color="000000" w:sz="4" w:space="0"/>
            </w:tcBorders>
            <w:vAlign w:val="center"/>
          </w:tcPr>
          <w:p w14:paraId="34028222">
            <w:pPr>
              <w:widowControl/>
              <w:jc w:val="center"/>
              <w:rPr>
                <w:rFonts w:ascii="宋体" w:hAnsi="宋体" w:cs="宋体"/>
                <w:color w:val="auto"/>
                <w:szCs w:val="21"/>
                <w:highlight w:val="none"/>
              </w:rPr>
            </w:pPr>
            <w:r>
              <w:rPr>
                <w:rFonts w:hint="eastAsia" w:ascii="宋体" w:hAnsi="宋体" w:cs="宋体"/>
                <w:color w:val="auto"/>
                <w:szCs w:val="21"/>
                <w:highlight w:val="none"/>
              </w:rPr>
              <w:t>0771-7500768</w:t>
            </w:r>
          </w:p>
        </w:tc>
      </w:tr>
      <w:tr w14:paraId="0ADEC3F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49530D">
            <w:pPr>
              <w:widowControl/>
              <w:jc w:val="left"/>
              <w:rPr>
                <w:rFonts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303FDD3">
            <w:pPr>
              <w:widowControl/>
              <w:jc w:val="left"/>
              <w:rPr>
                <w:rFonts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754" w:type="dxa"/>
            <w:tcBorders>
              <w:top w:val="single" w:color="000000" w:sz="4" w:space="0"/>
              <w:left w:val="single" w:color="000000" w:sz="4" w:space="0"/>
              <w:bottom w:val="single" w:color="000000" w:sz="4" w:space="0"/>
              <w:right w:val="single" w:color="000000" w:sz="4" w:space="0"/>
            </w:tcBorders>
            <w:vAlign w:val="center"/>
          </w:tcPr>
          <w:p w14:paraId="2B2D7B45">
            <w:pPr>
              <w:widowControl/>
              <w:jc w:val="center"/>
              <w:rPr>
                <w:rFonts w:ascii="宋体" w:hAnsi="宋体" w:cs="宋体"/>
                <w:color w:val="auto"/>
                <w:szCs w:val="21"/>
                <w:highlight w:val="none"/>
              </w:rPr>
            </w:pPr>
            <w:r>
              <w:rPr>
                <w:rFonts w:hint="eastAsia" w:ascii="宋体" w:hAnsi="宋体" w:cs="宋体"/>
                <w:color w:val="auto"/>
                <w:szCs w:val="21"/>
                <w:highlight w:val="none"/>
              </w:rPr>
              <w:t>0771-7525678</w:t>
            </w:r>
          </w:p>
        </w:tc>
      </w:tr>
      <w:tr w14:paraId="3505A678">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106932">
            <w:pPr>
              <w:widowControl/>
              <w:jc w:val="left"/>
              <w:rPr>
                <w:rFonts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53A058D0">
            <w:pPr>
              <w:widowControl/>
              <w:jc w:val="left"/>
              <w:rPr>
                <w:rFonts w:ascii="宋体" w:hAnsi="宋体" w:cs="宋体"/>
                <w:color w:val="auto"/>
                <w:szCs w:val="21"/>
                <w:highlight w:val="none"/>
              </w:rPr>
            </w:pPr>
          </w:p>
        </w:tc>
        <w:tc>
          <w:tcPr>
            <w:tcW w:w="2754" w:type="dxa"/>
            <w:tcBorders>
              <w:top w:val="single" w:color="000000" w:sz="4" w:space="0"/>
              <w:left w:val="single" w:color="000000" w:sz="4" w:space="0"/>
              <w:bottom w:val="single" w:color="000000" w:sz="4" w:space="0"/>
              <w:right w:val="single" w:color="000000" w:sz="4" w:space="0"/>
            </w:tcBorders>
            <w:vAlign w:val="center"/>
          </w:tcPr>
          <w:p w14:paraId="497BFF80">
            <w:pPr>
              <w:widowControl/>
              <w:jc w:val="center"/>
              <w:rPr>
                <w:rFonts w:ascii="宋体" w:hAnsi="宋体" w:cs="宋体"/>
                <w:color w:val="auto"/>
                <w:szCs w:val="21"/>
                <w:highlight w:val="none"/>
              </w:rPr>
            </w:pPr>
          </w:p>
        </w:tc>
      </w:tr>
      <w:tr w14:paraId="416E82BE">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D022AF">
            <w:pPr>
              <w:widowControl/>
              <w:jc w:val="left"/>
              <w:rPr>
                <w:rFonts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FCF6C4A">
            <w:pPr>
              <w:widowControl/>
              <w:jc w:val="left"/>
              <w:rPr>
                <w:rFonts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37A2F1F">
            <w:pPr>
              <w:widowControl/>
              <w:jc w:val="center"/>
              <w:rPr>
                <w:rFonts w:ascii="宋体" w:hAnsi="宋体" w:cs="宋体"/>
                <w:color w:val="auto"/>
                <w:szCs w:val="21"/>
                <w:highlight w:val="none"/>
              </w:rPr>
            </w:pPr>
            <w:r>
              <w:rPr>
                <w:rFonts w:hint="eastAsia" w:ascii="宋体" w:hAnsi="宋体" w:cs="宋体"/>
                <w:color w:val="auto"/>
                <w:szCs w:val="21"/>
                <w:highlight w:val="none"/>
              </w:rPr>
              <w:t>0771-8620729</w:t>
            </w:r>
          </w:p>
        </w:tc>
      </w:tr>
      <w:tr w14:paraId="79D59547">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9A7BA1">
            <w:pPr>
              <w:widowControl/>
              <w:jc w:val="left"/>
              <w:rPr>
                <w:rFonts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C85A9B5">
            <w:pPr>
              <w:widowControl/>
              <w:jc w:val="left"/>
              <w:rPr>
                <w:rFonts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7ECC2C8A">
            <w:pPr>
              <w:widowControl/>
              <w:jc w:val="center"/>
              <w:rPr>
                <w:rFonts w:ascii="宋体" w:hAnsi="宋体" w:cs="宋体"/>
                <w:color w:val="auto"/>
                <w:szCs w:val="21"/>
                <w:highlight w:val="none"/>
              </w:rPr>
            </w:pPr>
            <w:r>
              <w:rPr>
                <w:rFonts w:hint="eastAsia" w:ascii="宋体" w:hAnsi="宋体" w:cs="宋体"/>
                <w:color w:val="auto"/>
                <w:szCs w:val="21"/>
                <w:highlight w:val="none"/>
              </w:rPr>
              <w:t>0771-7917093</w:t>
            </w:r>
          </w:p>
        </w:tc>
      </w:tr>
      <w:tr w14:paraId="435F9CA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CCBB68">
            <w:pPr>
              <w:widowControl/>
              <w:jc w:val="left"/>
              <w:rPr>
                <w:rFonts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63E4CEF">
            <w:pPr>
              <w:widowControl/>
              <w:spacing w:after="90" w:line="23" w:lineRule="atLeast"/>
              <w:jc w:val="left"/>
              <w:rPr>
                <w:rFonts w:ascii="宋体" w:hAnsi="宋体" w:cs="宋体"/>
                <w:color w:val="auto"/>
                <w:szCs w:val="21"/>
                <w:highlight w:val="none"/>
              </w:rPr>
            </w:pPr>
            <w:r>
              <w:rPr>
                <w:rFonts w:hint="eastAsia" w:ascii="宋体" w:hAnsi="宋体" w:cs="宋体"/>
                <w:color w:val="auto"/>
                <w:szCs w:val="21"/>
                <w:highlight w:val="none"/>
                <w:lang w:bidi="ar"/>
              </w:rPr>
              <w:t>宁明县城中镇兴宁大道77号明江财富广场一层1-13号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F1A69F4">
            <w:pPr>
              <w:widowControl/>
              <w:jc w:val="center"/>
              <w:rPr>
                <w:rFonts w:ascii="宋体" w:hAnsi="宋体" w:cs="宋体"/>
                <w:color w:val="auto"/>
                <w:szCs w:val="21"/>
                <w:highlight w:val="none"/>
              </w:rPr>
            </w:pPr>
            <w:r>
              <w:rPr>
                <w:rFonts w:hint="eastAsia" w:ascii="宋体" w:hAnsi="宋体" w:cs="宋体"/>
                <w:color w:val="auto"/>
                <w:szCs w:val="21"/>
                <w:highlight w:val="none"/>
              </w:rPr>
              <w:t>0771-8629006</w:t>
            </w:r>
          </w:p>
        </w:tc>
      </w:tr>
      <w:tr w14:paraId="5787000F">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60A1C98">
            <w:pPr>
              <w:widowControl/>
              <w:jc w:val="left"/>
              <w:rPr>
                <w:rFonts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CF7D035">
            <w:pPr>
              <w:widowControl/>
              <w:jc w:val="left"/>
              <w:rPr>
                <w:rFonts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19FB44B1">
            <w:pPr>
              <w:widowControl/>
              <w:jc w:val="center"/>
              <w:rPr>
                <w:rFonts w:ascii="宋体" w:hAnsi="宋体" w:cs="宋体"/>
                <w:color w:val="auto"/>
                <w:szCs w:val="21"/>
                <w:highlight w:val="none"/>
              </w:rPr>
            </w:pPr>
            <w:r>
              <w:rPr>
                <w:rFonts w:hint="eastAsia" w:ascii="宋体" w:hAnsi="宋体" w:cs="宋体"/>
                <w:color w:val="auto"/>
                <w:szCs w:val="21"/>
                <w:highlight w:val="none"/>
              </w:rPr>
              <w:t>0771-8628166</w:t>
            </w:r>
          </w:p>
        </w:tc>
      </w:tr>
      <w:tr w14:paraId="74D7A511">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1A1D68">
            <w:pPr>
              <w:widowControl/>
              <w:jc w:val="left"/>
              <w:rPr>
                <w:rFonts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1E71672">
            <w:pPr>
              <w:widowControl/>
              <w:jc w:val="left"/>
              <w:rPr>
                <w:rFonts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6954CA09">
            <w:pPr>
              <w:widowControl/>
              <w:jc w:val="center"/>
              <w:rPr>
                <w:rFonts w:ascii="宋体" w:hAnsi="宋体" w:cs="宋体"/>
                <w:color w:val="auto"/>
                <w:szCs w:val="21"/>
                <w:highlight w:val="none"/>
              </w:rPr>
            </w:pPr>
            <w:r>
              <w:rPr>
                <w:rFonts w:hint="eastAsia" w:ascii="宋体" w:hAnsi="宋体" w:cs="宋体"/>
                <w:color w:val="auto"/>
                <w:szCs w:val="21"/>
                <w:highlight w:val="none"/>
              </w:rPr>
              <w:t>0771-8630787</w:t>
            </w:r>
          </w:p>
        </w:tc>
      </w:tr>
      <w:tr w14:paraId="04ECEA0C">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E4694D">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A866A5">
            <w:pPr>
              <w:widowControl/>
              <w:jc w:val="left"/>
              <w:rPr>
                <w:rFonts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754" w:type="dxa"/>
            <w:tcBorders>
              <w:top w:val="single" w:color="000000" w:sz="4" w:space="0"/>
              <w:left w:val="single" w:color="000000" w:sz="4" w:space="0"/>
              <w:bottom w:val="single" w:color="000000" w:sz="4" w:space="0"/>
              <w:right w:val="single" w:color="000000" w:sz="4" w:space="0"/>
            </w:tcBorders>
            <w:vAlign w:val="center"/>
          </w:tcPr>
          <w:p w14:paraId="7F76A034">
            <w:pPr>
              <w:widowControl/>
              <w:jc w:val="center"/>
              <w:rPr>
                <w:rFonts w:ascii="宋体" w:hAnsi="宋体" w:cs="宋体"/>
                <w:color w:val="auto"/>
                <w:szCs w:val="21"/>
                <w:highlight w:val="none"/>
              </w:rPr>
            </w:pPr>
            <w:r>
              <w:rPr>
                <w:rFonts w:hint="eastAsia" w:ascii="宋体" w:hAnsi="宋体" w:cs="宋体"/>
                <w:color w:val="auto"/>
                <w:szCs w:val="21"/>
                <w:highlight w:val="none"/>
              </w:rPr>
              <w:t>0771-8622237</w:t>
            </w:r>
          </w:p>
        </w:tc>
      </w:tr>
      <w:tr w14:paraId="747AF01E">
        <w:tblPrEx>
          <w:tblCellMar>
            <w:top w:w="0" w:type="dxa"/>
            <w:left w:w="108" w:type="dxa"/>
            <w:bottom w:w="0" w:type="dxa"/>
            <w:right w:w="108" w:type="dxa"/>
          </w:tblCellMar>
        </w:tblPrEx>
        <w:trPr>
          <w:trHeight w:val="377" w:hRule="atLeast"/>
        </w:trPr>
        <w:tc>
          <w:tcPr>
            <w:tcW w:w="8943" w:type="dxa"/>
            <w:gridSpan w:val="3"/>
            <w:tcBorders>
              <w:top w:val="single" w:color="000000" w:sz="4" w:space="0"/>
              <w:left w:val="single" w:color="000000" w:sz="4" w:space="0"/>
              <w:bottom w:val="single" w:color="000000" w:sz="4" w:space="0"/>
              <w:right w:val="single" w:color="000000" w:sz="4" w:space="0"/>
            </w:tcBorders>
            <w:noWrap/>
            <w:vAlign w:val="center"/>
          </w:tcPr>
          <w:p w14:paraId="0FDB8B48">
            <w:pPr>
              <w:widowControl/>
              <w:jc w:val="left"/>
              <w:rPr>
                <w:rFonts w:ascii="宋体" w:hAnsi="宋体" w:cs="宋体"/>
                <w:color w:val="auto"/>
                <w:szCs w:val="21"/>
                <w:highlight w:val="none"/>
              </w:rPr>
            </w:pPr>
            <w:r>
              <w:rPr>
                <w:rFonts w:hint="eastAsia" w:ascii="宋体" w:hAnsi="宋体" w:cs="宋体"/>
                <w:b/>
                <w:bCs/>
                <w:color w:val="auto"/>
                <w:szCs w:val="21"/>
                <w:highlight w:val="none"/>
              </w:rPr>
              <w:t>大新县</w:t>
            </w:r>
          </w:p>
        </w:tc>
      </w:tr>
      <w:tr w14:paraId="64FBA839">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5A9A1F">
            <w:pPr>
              <w:widowControl/>
              <w:jc w:val="left"/>
              <w:rPr>
                <w:rFonts w:ascii="宋体" w:hAnsi="宋体" w:cs="宋体"/>
                <w:color w:val="auto"/>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D76E67">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大新县桃城镇民生街98号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5CB348C5">
            <w:pPr>
              <w:widowControl/>
              <w:jc w:val="center"/>
              <w:rPr>
                <w:rFonts w:ascii="宋体" w:hAnsi="宋体" w:cs="宋体"/>
                <w:color w:val="auto"/>
                <w:szCs w:val="21"/>
                <w:highlight w:val="none"/>
                <w:lang w:bidi="ar"/>
              </w:rPr>
            </w:pPr>
            <w:r>
              <w:rPr>
                <w:rFonts w:hint="eastAsia" w:ascii="宋体" w:hAnsi="宋体" w:cs="宋体"/>
                <w:color w:val="auto"/>
                <w:szCs w:val="21"/>
                <w:highlight w:val="none"/>
                <w:lang w:bidi="ar"/>
              </w:rPr>
              <w:t>0771-3628078</w:t>
            </w:r>
          </w:p>
        </w:tc>
      </w:tr>
      <w:tr w14:paraId="7D592E39">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179CF">
            <w:pPr>
              <w:widowControl/>
              <w:jc w:val="left"/>
              <w:rPr>
                <w:rFonts w:ascii="宋体" w:hAnsi="宋体" w:cs="宋体"/>
                <w:color w:val="auto"/>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5AD1A5">
            <w:pPr>
              <w:widowControl/>
              <w:jc w:val="left"/>
              <w:rPr>
                <w:rFonts w:ascii="宋体" w:hAnsi="宋体" w:cs="宋体"/>
                <w:color w:val="auto"/>
                <w:szCs w:val="21"/>
                <w:highlight w:val="none"/>
                <w:lang w:bidi="ar"/>
              </w:rPr>
            </w:pPr>
            <w:r>
              <w:rPr>
                <w:rFonts w:hint="eastAsia" w:ascii="宋体" w:hAnsi="宋体" w:cs="宋体"/>
                <w:color w:val="auto"/>
                <w:szCs w:val="21"/>
                <w:highlight w:val="none"/>
              </w:rPr>
              <w:t>大新县桃城镇伦理路223号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70295971">
            <w:pPr>
              <w:widowControl/>
              <w:jc w:val="center"/>
              <w:rPr>
                <w:rFonts w:ascii="宋体" w:hAnsi="宋体" w:cs="宋体"/>
                <w:color w:val="auto"/>
                <w:szCs w:val="21"/>
                <w:highlight w:val="none"/>
                <w:lang w:bidi="ar"/>
              </w:rPr>
            </w:pPr>
            <w:r>
              <w:rPr>
                <w:rFonts w:hint="eastAsia" w:ascii="宋体" w:hAnsi="宋体" w:cs="宋体"/>
                <w:color w:val="auto"/>
                <w:szCs w:val="21"/>
                <w:highlight w:val="none"/>
                <w:lang w:bidi="ar"/>
              </w:rPr>
              <w:t>0771-</w:t>
            </w:r>
            <w:r>
              <w:rPr>
                <w:rFonts w:hint="eastAsia" w:ascii="宋体" w:hAnsi="宋体" w:cs="宋体"/>
                <w:color w:val="auto"/>
                <w:szCs w:val="21"/>
                <w:highlight w:val="none"/>
              </w:rPr>
              <w:t>7917015</w:t>
            </w:r>
          </w:p>
        </w:tc>
      </w:tr>
      <w:tr w14:paraId="7626925F">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4F2961">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4F36500">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大新县民生街7号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78768704">
            <w:pPr>
              <w:widowControl/>
              <w:jc w:val="center"/>
              <w:rPr>
                <w:rFonts w:ascii="宋体" w:hAnsi="宋体" w:cs="宋体"/>
                <w:color w:val="auto"/>
                <w:szCs w:val="21"/>
                <w:highlight w:val="none"/>
                <w:lang w:bidi="ar"/>
              </w:rPr>
            </w:pPr>
            <w:r>
              <w:rPr>
                <w:rFonts w:hint="eastAsia" w:ascii="宋体" w:hAnsi="宋体" w:cs="宋体"/>
                <w:color w:val="auto"/>
                <w:szCs w:val="21"/>
                <w:highlight w:val="none"/>
                <w:lang w:bidi="ar"/>
              </w:rPr>
              <w:t>0771-3689766</w:t>
            </w:r>
          </w:p>
        </w:tc>
      </w:tr>
      <w:tr w14:paraId="6B65C7E9">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CA3255">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7F9CF68">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大新县城养利路131号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35968B2B">
            <w:pPr>
              <w:widowControl/>
              <w:jc w:val="center"/>
              <w:rPr>
                <w:rFonts w:ascii="宋体" w:hAnsi="宋体" w:cs="宋体"/>
                <w:color w:val="auto"/>
                <w:szCs w:val="21"/>
                <w:highlight w:val="none"/>
                <w:lang w:bidi="ar"/>
              </w:rPr>
            </w:pPr>
            <w:r>
              <w:rPr>
                <w:rFonts w:hint="eastAsia" w:ascii="宋体" w:hAnsi="宋体" w:cs="宋体"/>
                <w:color w:val="auto"/>
                <w:szCs w:val="21"/>
                <w:highlight w:val="none"/>
                <w:lang w:bidi="ar"/>
              </w:rPr>
              <w:t>0771-3623887</w:t>
            </w:r>
          </w:p>
        </w:tc>
      </w:tr>
      <w:tr w14:paraId="7B47787C">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AB326F0">
            <w:pPr>
              <w:widowControl/>
              <w:jc w:val="left"/>
              <w:rPr>
                <w:rFonts w:ascii="宋体" w:hAnsi="宋体" w:cs="宋体"/>
                <w:color w:val="auto"/>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5E9913E">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崇左市大新县桃城镇民生街7号东盟商业广场1楼桂林银行</w:t>
            </w:r>
          </w:p>
        </w:tc>
        <w:tc>
          <w:tcPr>
            <w:tcW w:w="2754" w:type="dxa"/>
            <w:tcBorders>
              <w:top w:val="single" w:color="000000" w:sz="4" w:space="0"/>
              <w:left w:val="single" w:color="000000" w:sz="4" w:space="0"/>
              <w:bottom w:val="single" w:color="000000" w:sz="4" w:space="0"/>
              <w:right w:val="single" w:color="000000" w:sz="4" w:space="0"/>
            </w:tcBorders>
            <w:vAlign w:val="center"/>
          </w:tcPr>
          <w:p w14:paraId="6C75B902">
            <w:pPr>
              <w:widowControl/>
              <w:jc w:val="center"/>
              <w:rPr>
                <w:rFonts w:ascii="宋体" w:hAnsi="宋体" w:cs="宋体"/>
                <w:color w:val="auto"/>
                <w:szCs w:val="21"/>
                <w:highlight w:val="none"/>
                <w:lang w:bidi="ar"/>
              </w:rPr>
            </w:pPr>
            <w:r>
              <w:rPr>
                <w:rFonts w:hint="eastAsia" w:ascii="宋体" w:hAnsi="宋体" w:cs="宋体"/>
                <w:color w:val="auto"/>
                <w:szCs w:val="21"/>
                <w:highlight w:val="none"/>
                <w:lang w:bidi="ar"/>
              </w:rPr>
              <w:t>0771-3621996</w:t>
            </w:r>
          </w:p>
        </w:tc>
      </w:tr>
      <w:tr w14:paraId="3E27BD79">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E62980">
            <w:pPr>
              <w:widowControl/>
              <w:jc w:val="left"/>
              <w:rPr>
                <w:rFonts w:ascii="宋体" w:hAnsi="宋体" w:cs="宋体"/>
                <w:color w:val="auto"/>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D30877">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崇左市大新县桃城镇伦理路230号1楼铺面</w:t>
            </w:r>
          </w:p>
        </w:tc>
        <w:tc>
          <w:tcPr>
            <w:tcW w:w="2754" w:type="dxa"/>
            <w:tcBorders>
              <w:top w:val="single" w:color="000000" w:sz="4" w:space="0"/>
              <w:left w:val="single" w:color="000000" w:sz="4" w:space="0"/>
              <w:bottom w:val="single" w:color="000000" w:sz="4" w:space="0"/>
              <w:right w:val="single" w:color="000000" w:sz="4" w:space="0"/>
            </w:tcBorders>
            <w:vAlign w:val="center"/>
          </w:tcPr>
          <w:p w14:paraId="29F8858A">
            <w:pPr>
              <w:widowControl/>
              <w:jc w:val="center"/>
              <w:rPr>
                <w:rFonts w:ascii="宋体" w:hAnsi="宋体" w:cs="宋体"/>
                <w:color w:val="auto"/>
                <w:szCs w:val="21"/>
                <w:highlight w:val="none"/>
                <w:lang w:bidi="ar"/>
              </w:rPr>
            </w:pPr>
            <w:r>
              <w:rPr>
                <w:rFonts w:hint="eastAsia" w:ascii="宋体" w:hAnsi="宋体" w:cs="宋体"/>
                <w:color w:val="auto"/>
                <w:szCs w:val="21"/>
                <w:highlight w:val="none"/>
              </w:rPr>
              <w:t>0771-3628366</w:t>
            </w:r>
          </w:p>
        </w:tc>
      </w:tr>
      <w:tr w14:paraId="5A33E08F">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9CA998">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622EF81">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大新县桃城镇德天大道74-1号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754B060C">
            <w:pPr>
              <w:widowControl/>
              <w:jc w:val="center"/>
              <w:rPr>
                <w:rFonts w:ascii="宋体" w:hAnsi="宋体" w:cs="宋体"/>
                <w:color w:val="auto"/>
                <w:szCs w:val="21"/>
                <w:highlight w:val="none"/>
                <w:lang w:bidi="ar"/>
              </w:rPr>
            </w:pPr>
            <w:r>
              <w:rPr>
                <w:rFonts w:hint="eastAsia" w:ascii="宋体" w:hAnsi="宋体" w:cs="宋体"/>
                <w:color w:val="auto"/>
                <w:szCs w:val="21"/>
                <w:highlight w:val="none"/>
                <w:lang w:bidi="ar"/>
              </w:rPr>
              <w:t>0771-3698002</w:t>
            </w:r>
          </w:p>
        </w:tc>
      </w:tr>
      <w:tr w14:paraId="4C8FE138">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33AC4DD">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9F0FE0">
            <w:pPr>
              <w:widowControl/>
              <w:jc w:val="left"/>
              <w:rPr>
                <w:rFonts w:ascii="宋体" w:hAnsi="宋体" w:cs="宋体"/>
                <w:color w:val="auto"/>
                <w:szCs w:val="21"/>
                <w:highlight w:val="none"/>
                <w:lang w:bidi="ar"/>
              </w:rPr>
            </w:pPr>
            <w:r>
              <w:rPr>
                <w:rFonts w:hint="eastAsia" w:ascii="宋体" w:hAnsi="宋体" w:cs="宋体"/>
                <w:color w:val="auto"/>
                <w:szCs w:val="21"/>
                <w:highlight w:val="none"/>
                <w:lang w:bidi="ar"/>
              </w:rPr>
              <w:t>大新县桃城镇伦那路8号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0130EA0F">
            <w:pPr>
              <w:widowControl/>
              <w:jc w:val="center"/>
              <w:rPr>
                <w:rFonts w:ascii="宋体" w:hAnsi="宋体" w:cs="宋体"/>
                <w:color w:val="auto"/>
                <w:szCs w:val="21"/>
                <w:highlight w:val="none"/>
              </w:rPr>
            </w:pPr>
            <w:r>
              <w:rPr>
                <w:rFonts w:hint="eastAsia" w:ascii="宋体" w:hAnsi="宋体" w:cs="宋体"/>
                <w:color w:val="auto"/>
                <w:szCs w:val="21"/>
                <w:highlight w:val="none"/>
                <w:lang w:bidi="ar"/>
              </w:rPr>
              <w:t>0771-3626199</w:t>
            </w:r>
          </w:p>
        </w:tc>
      </w:tr>
      <w:tr w14:paraId="725EA669">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6BFFBC9">
            <w:pPr>
              <w:widowControl/>
              <w:jc w:val="left"/>
              <w:rPr>
                <w:rFonts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4E2B162D">
            <w:pPr>
              <w:widowControl/>
              <w:jc w:val="left"/>
              <w:rPr>
                <w:rFonts w:ascii="宋体" w:hAnsi="宋体" w:cs="宋体"/>
                <w:color w:val="auto"/>
                <w:szCs w:val="21"/>
                <w:highlight w:val="none"/>
              </w:rPr>
            </w:pPr>
          </w:p>
        </w:tc>
        <w:tc>
          <w:tcPr>
            <w:tcW w:w="2754" w:type="dxa"/>
            <w:tcBorders>
              <w:top w:val="single" w:color="000000" w:sz="4" w:space="0"/>
              <w:left w:val="single" w:color="000000" w:sz="4" w:space="0"/>
              <w:bottom w:val="single" w:color="000000" w:sz="4" w:space="0"/>
              <w:right w:val="single" w:color="000000" w:sz="4" w:space="0"/>
            </w:tcBorders>
            <w:vAlign w:val="center"/>
          </w:tcPr>
          <w:p w14:paraId="65FE931D">
            <w:pPr>
              <w:widowControl/>
              <w:jc w:val="center"/>
              <w:rPr>
                <w:rFonts w:ascii="宋体" w:hAnsi="宋体" w:cs="宋体"/>
                <w:color w:val="auto"/>
                <w:szCs w:val="21"/>
                <w:highlight w:val="none"/>
              </w:rPr>
            </w:pPr>
          </w:p>
        </w:tc>
      </w:tr>
      <w:tr w14:paraId="6C97884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22F30C">
            <w:pPr>
              <w:widowControl/>
              <w:jc w:val="left"/>
              <w:rPr>
                <w:rFonts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D2D23A">
            <w:pPr>
              <w:widowControl/>
              <w:jc w:val="left"/>
              <w:rPr>
                <w:rFonts w:ascii="宋体" w:hAnsi="宋体" w:cs="宋体"/>
                <w:color w:val="auto"/>
                <w:szCs w:val="21"/>
                <w:highlight w:val="none"/>
              </w:rPr>
            </w:pPr>
            <w:r>
              <w:rPr>
                <w:rFonts w:hint="eastAsia" w:ascii="宋体" w:hAnsi="宋体" w:cs="宋体"/>
                <w:color w:val="auto"/>
                <w:szCs w:val="21"/>
                <w:highlight w:val="none"/>
              </w:rPr>
              <w:t>龙州县龙江街60号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21D7BDC2">
            <w:pPr>
              <w:widowControl/>
              <w:jc w:val="center"/>
              <w:rPr>
                <w:rFonts w:ascii="宋体" w:hAnsi="宋体" w:cs="宋体"/>
                <w:color w:val="auto"/>
                <w:szCs w:val="21"/>
                <w:highlight w:val="none"/>
              </w:rPr>
            </w:pPr>
            <w:r>
              <w:rPr>
                <w:rFonts w:hint="eastAsia" w:ascii="宋体" w:hAnsi="宋体" w:cs="宋体"/>
                <w:color w:val="auto"/>
                <w:szCs w:val="21"/>
                <w:highlight w:val="none"/>
              </w:rPr>
              <w:t>0771-8868619</w:t>
            </w:r>
          </w:p>
        </w:tc>
      </w:tr>
      <w:tr w14:paraId="2E766A9F">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C53EC9B">
            <w:pPr>
              <w:widowControl/>
              <w:jc w:val="left"/>
              <w:rPr>
                <w:rFonts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AA89D80">
            <w:pPr>
              <w:widowControl/>
              <w:jc w:val="left"/>
              <w:rPr>
                <w:rFonts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01AEEAE8">
            <w:pPr>
              <w:widowControl/>
              <w:jc w:val="center"/>
              <w:rPr>
                <w:rFonts w:ascii="宋体" w:hAnsi="宋体" w:cs="宋体"/>
                <w:color w:val="auto"/>
                <w:szCs w:val="21"/>
                <w:highlight w:val="none"/>
              </w:rPr>
            </w:pPr>
            <w:r>
              <w:rPr>
                <w:rFonts w:hint="eastAsia" w:ascii="宋体" w:hAnsi="宋体" w:cs="宋体"/>
                <w:color w:val="auto"/>
                <w:szCs w:val="21"/>
                <w:highlight w:val="none"/>
              </w:rPr>
              <w:t>0771-8812504</w:t>
            </w:r>
          </w:p>
        </w:tc>
      </w:tr>
      <w:tr w14:paraId="06D1CFF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E53347">
            <w:pPr>
              <w:widowControl/>
              <w:jc w:val="left"/>
              <w:rPr>
                <w:rFonts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6ECE948">
            <w:pPr>
              <w:widowControl/>
              <w:jc w:val="left"/>
              <w:rPr>
                <w:rFonts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29BE5BBB">
            <w:pPr>
              <w:widowControl/>
              <w:jc w:val="center"/>
              <w:rPr>
                <w:rFonts w:ascii="宋体" w:hAnsi="宋体" w:cs="宋体"/>
                <w:color w:val="auto"/>
                <w:szCs w:val="21"/>
                <w:highlight w:val="none"/>
              </w:rPr>
            </w:pPr>
            <w:r>
              <w:rPr>
                <w:rFonts w:hint="eastAsia" w:ascii="宋体" w:hAnsi="宋体" w:cs="宋体"/>
                <w:color w:val="auto"/>
                <w:szCs w:val="21"/>
                <w:highlight w:val="none"/>
              </w:rPr>
              <w:t>0771-8820525</w:t>
            </w:r>
          </w:p>
        </w:tc>
      </w:tr>
      <w:tr w14:paraId="505023B0">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A2488C1">
            <w:pPr>
              <w:widowControl/>
              <w:jc w:val="left"/>
              <w:rPr>
                <w:rFonts w:ascii="宋体" w:hAnsi="宋体" w:cs="宋体"/>
                <w:color w:val="auto"/>
                <w:szCs w:val="21"/>
                <w:highlight w:val="none"/>
              </w:rPr>
            </w:pPr>
            <w:r>
              <w:rPr>
                <w:rFonts w:hint="eastAsia" w:ascii="宋体" w:hAnsi="宋体" w:cs="宋体"/>
                <w:color w:val="auto"/>
                <w:szCs w:val="21"/>
                <w:highlight w:val="none"/>
              </w:rPr>
              <w:t>龙州农商行公司机构金融</w:t>
            </w:r>
            <w:r>
              <w:rPr>
                <w:rFonts w:hint="eastAsia" w:cs="宋体"/>
                <w:color w:val="auto"/>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69F3346">
            <w:pPr>
              <w:widowControl/>
              <w:jc w:val="left"/>
              <w:rPr>
                <w:rFonts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47ED221">
            <w:pPr>
              <w:widowControl/>
              <w:jc w:val="center"/>
              <w:rPr>
                <w:rFonts w:ascii="宋体" w:hAnsi="宋体" w:cs="宋体"/>
                <w:color w:val="auto"/>
                <w:szCs w:val="21"/>
                <w:highlight w:val="none"/>
              </w:rPr>
            </w:pPr>
            <w:r>
              <w:rPr>
                <w:rFonts w:hint="eastAsia" w:ascii="宋体" w:hAnsi="宋体" w:cs="宋体"/>
                <w:color w:val="auto"/>
                <w:szCs w:val="21"/>
                <w:highlight w:val="none"/>
              </w:rPr>
              <w:t>0771-8813013</w:t>
            </w:r>
          </w:p>
        </w:tc>
      </w:tr>
      <w:tr w14:paraId="393A100A">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D75FFC3">
            <w:pPr>
              <w:widowControl/>
              <w:jc w:val="left"/>
              <w:rPr>
                <w:rFonts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2E1BA1A">
            <w:pPr>
              <w:widowControl/>
              <w:jc w:val="left"/>
              <w:rPr>
                <w:rFonts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754" w:type="dxa"/>
            <w:tcBorders>
              <w:top w:val="single" w:color="000000" w:sz="4" w:space="0"/>
              <w:left w:val="single" w:color="000000" w:sz="4" w:space="0"/>
              <w:bottom w:val="single" w:color="000000" w:sz="4" w:space="0"/>
              <w:right w:val="single" w:color="000000" w:sz="4" w:space="0"/>
            </w:tcBorders>
            <w:vAlign w:val="center"/>
          </w:tcPr>
          <w:p w14:paraId="48AD3E41">
            <w:pPr>
              <w:widowControl/>
              <w:jc w:val="center"/>
              <w:rPr>
                <w:rFonts w:ascii="宋体" w:hAnsi="宋体" w:cs="宋体"/>
                <w:color w:val="auto"/>
                <w:szCs w:val="21"/>
                <w:highlight w:val="none"/>
              </w:rPr>
            </w:pPr>
            <w:r>
              <w:rPr>
                <w:rFonts w:hint="eastAsia" w:ascii="宋体" w:hAnsi="宋体" w:cs="宋体"/>
                <w:color w:val="auto"/>
                <w:szCs w:val="21"/>
                <w:highlight w:val="none"/>
              </w:rPr>
              <w:t>0771-8871021</w:t>
            </w:r>
          </w:p>
        </w:tc>
      </w:tr>
      <w:tr w14:paraId="60A96F5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633F7">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E844686">
            <w:pPr>
              <w:widowControl/>
              <w:jc w:val="left"/>
              <w:rPr>
                <w:rFonts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754" w:type="dxa"/>
            <w:tcBorders>
              <w:top w:val="single" w:color="000000" w:sz="4" w:space="0"/>
              <w:left w:val="single" w:color="000000" w:sz="4" w:space="0"/>
              <w:bottom w:val="single" w:color="000000" w:sz="4" w:space="0"/>
              <w:right w:val="single" w:color="000000" w:sz="4" w:space="0"/>
            </w:tcBorders>
            <w:vAlign w:val="center"/>
          </w:tcPr>
          <w:p w14:paraId="43925A92">
            <w:pPr>
              <w:widowControl/>
              <w:jc w:val="center"/>
              <w:rPr>
                <w:rFonts w:ascii="宋体" w:hAnsi="宋体" w:cs="宋体"/>
                <w:color w:val="auto"/>
                <w:szCs w:val="21"/>
                <w:highlight w:val="none"/>
              </w:rPr>
            </w:pPr>
            <w:r>
              <w:rPr>
                <w:rFonts w:hint="eastAsia" w:ascii="宋体" w:hAnsi="宋体" w:cs="宋体"/>
                <w:color w:val="auto"/>
                <w:szCs w:val="21"/>
                <w:highlight w:val="none"/>
              </w:rPr>
              <w:t>0771-8811533</w:t>
            </w:r>
          </w:p>
        </w:tc>
      </w:tr>
      <w:tr w14:paraId="34D07C9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F21A124">
            <w:pPr>
              <w:widowControl/>
              <w:rPr>
                <w:rFonts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282FCCED">
            <w:pPr>
              <w:widowControl/>
              <w:jc w:val="left"/>
              <w:rPr>
                <w:rFonts w:ascii="宋体" w:hAnsi="宋体" w:cs="宋体"/>
                <w:color w:val="auto"/>
                <w:szCs w:val="21"/>
                <w:highlight w:val="none"/>
              </w:rPr>
            </w:pPr>
          </w:p>
        </w:tc>
        <w:tc>
          <w:tcPr>
            <w:tcW w:w="2754" w:type="dxa"/>
            <w:tcBorders>
              <w:top w:val="single" w:color="000000" w:sz="4" w:space="0"/>
              <w:left w:val="single" w:color="000000" w:sz="4" w:space="0"/>
              <w:bottom w:val="single" w:color="000000" w:sz="4" w:space="0"/>
              <w:right w:val="single" w:color="000000" w:sz="4" w:space="0"/>
            </w:tcBorders>
            <w:vAlign w:val="center"/>
          </w:tcPr>
          <w:p w14:paraId="4CD57AAF">
            <w:pPr>
              <w:widowControl/>
              <w:jc w:val="center"/>
              <w:rPr>
                <w:rFonts w:ascii="宋体" w:hAnsi="宋体" w:cs="宋体"/>
                <w:color w:val="auto"/>
                <w:szCs w:val="21"/>
                <w:highlight w:val="none"/>
              </w:rPr>
            </w:pPr>
          </w:p>
        </w:tc>
      </w:tr>
      <w:tr w14:paraId="69A8B554">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479D38">
            <w:pPr>
              <w:widowControl/>
              <w:jc w:val="left"/>
              <w:rPr>
                <w:rFonts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F673F50">
            <w:pPr>
              <w:widowControl/>
              <w:jc w:val="left"/>
              <w:rPr>
                <w:rFonts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36F4D553">
            <w:pPr>
              <w:widowControl/>
              <w:jc w:val="center"/>
              <w:rPr>
                <w:rFonts w:ascii="宋体" w:hAnsi="宋体" w:cs="宋体"/>
                <w:color w:val="auto"/>
                <w:szCs w:val="21"/>
                <w:highlight w:val="none"/>
              </w:rPr>
            </w:pPr>
            <w:r>
              <w:rPr>
                <w:rFonts w:hint="eastAsia" w:ascii="宋体" w:hAnsi="宋体" w:cs="宋体"/>
                <w:color w:val="auto"/>
                <w:szCs w:val="21"/>
                <w:highlight w:val="none"/>
              </w:rPr>
              <w:t>0771-3532211</w:t>
            </w:r>
          </w:p>
        </w:tc>
      </w:tr>
      <w:tr w14:paraId="014832F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41521A">
            <w:pPr>
              <w:widowControl/>
              <w:jc w:val="left"/>
              <w:rPr>
                <w:rFonts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CF76937">
            <w:pPr>
              <w:widowControl/>
              <w:jc w:val="left"/>
              <w:rPr>
                <w:rFonts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A8C3E8B">
            <w:pPr>
              <w:widowControl/>
              <w:jc w:val="center"/>
              <w:rPr>
                <w:rFonts w:ascii="宋体" w:hAnsi="宋体" w:cs="宋体"/>
                <w:color w:val="auto"/>
                <w:szCs w:val="21"/>
                <w:highlight w:val="none"/>
              </w:rPr>
            </w:pPr>
            <w:r>
              <w:rPr>
                <w:rFonts w:hint="eastAsia" w:ascii="宋体" w:hAnsi="宋体" w:cs="宋体"/>
                <w:color w:val="auto"/>
                <w:szCs w:val="21"/>
                <w:highlight w:val="none"/>
              </w:rPr>
              <w:t>0771-7917046</w:t>
            </w:r>
          </w:p>
        </w:tc>
      </w:tr>
      <w:tr w14:paraId="097E4A7C">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D8DB3E">
            <w:pPr>
              <w:widowControl/>
              <w:jc w:val="left"/>
              <w:rPr>
                <w:rFonts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1F5FB05E">
            <w:pPr>
              <w:widowControl/>
              <w:jc w:val="left"/>
              <w:rPr>
                <w:rFonts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34FDD918">
            <w:pPr>
              <w:widowControl/>
              <w:jc w:val="center"/>
              <w:rPr>
                <w:rFonts w:ascii="宋体" w:hAnsi="宋体" w:cs="宋体"/>
                <w:color w:val="auto"/>
                <w:szCs w:val="21"/>
                <w:highlight w:val="none"/>
              </w:rPr>
            </w:pPr>
            <w:r>
              <w:rPr>
                <w:rFonts w:hint="eastAsia" w:ascii="宋体" w:hAnsi="宋体" w:cs="宋体"/>
                <w:color w:val="auto"/>
                <w:szCs w:val="21"/>
                <w:highlight w:val="none"/>
              </w:rPr>
              <w:t>0771-3521361</w:t>
            </w:r>
          </w:p>
        </w:tc>
      </w:tr>
      <w:tr w14:paraId="531812D6">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FC2594">
            <w:pPr>
              <w:widowControl/>
              <w:jc w:val="left"/>
              <w:rPr>
                <w:rFonts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03A70E4">
            <w:pPr>
              <w:widowControl/>
              <w:jc w:val="left"/>
              <w:rPr>
                <w:rFonts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5D09914D">
            <w:pPr>
              <w:widowControl/>
              <w:jc w:val="center"/>
              <w:rPr>
                <w:rFonts w:ascii="宋体" w:hAnsi="宋体" w:cs="宋体"/>
                <w:color w:val="auto"/>
                <w:szCs w:val="21"/>
                <w:highlight w:val="none"/>
              </w:rPr>
            </w:pPr>
            <w:r>
              <w:rPr>
                <w:rFonts w:hint="eastAsia" w:ascii="宋体" w:hAnsi="宋体" w:cs="宋体"/>
                <w:color w:val="auto"/>
                <w:szCs w:val="21"/>
                <w:highlight w:val="none"/>
              </w:rPr>
              <w:t>0771-3522157</w:t>
            </w:r>
          </w:p>
        </w:tc>
      </w:tr>
      <w:tr w14:paraId="53F09667">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977821">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6E86268">
            <w:pPr>
              <w:widowControl/>
              <w:jc w:val="left"/>
              <w:rPr>
                <w:rFonts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6C13F024">
            <w:pPr>
              <w:widowControl/>
              <w:jc w:val="center"/>
              <w:rPr>
                <w:rFonts w:ascii="宋体" w:hAnsi="宋体" w:cs="宋体"/>
                <w:color w:val="auto"/>
                <w:szCs w:val="21"/>
                <w:highlight w:val="none"/>
              </w:rPr>
            </w:pPr>
            <w:r>
              <w:rPr>
                <w:rFonts w:hint="eastAsia" w:ascii="宋体" w:hAnsi="宋体" w:cs="宋体"/>
                <w:color w:val="auto"/>
                <w:szCs w:val="21"/>
                <w:highlight w:val="none"/>
              </w:rPr>
              <w:t>0771-3528688</w:t>
            </w:r>
          </w:p>
        </w:tc>
      </w:tr>
      <w:tr w14:paraId="1ACDDE82">
        <w:tblPrEx>
          <w:tblCellMar>
            <w:top w:w="0" w:type="dxa"/>
            <w:left w:w="108" w:type="dxa"/>
            <w:bottom w:w="0" w:type="dxa"/>
            <w:right w:w="108" w:type="dxa"/>
          </w:tblCellMar>
        </w:tblPrEx>
        <w:trPr>
          <w:trHeight w:val="335" w:hRule="atLeast"/>
        </w:trPr>
        <w:tc>
          <w:tcPr>
            <w:tcW w:w="8943" w:type="dxa"/>
            <w:gridSpan w:val="3"/>
            <w:tcBorders>
              <w:top w:val="single" w:color="000000" w:sz="4" w:space="0"/>
              <w:left w:val="single" w:color="000000" w:sz="4" w:space="0"/>
              <w:bottom w:val="single" w:color="000000" w:sz="4" w:space="0"/>
              <w:right w:val="single" w:color="000000" w:sz="4" w:space="0"/>
            </w:tcBorders>
            <w:noWrap/>
            <w:vAlign w:val="center"/>
          </w:tcPr>
          <w:p w14:paraId="4FC6DB0A">
            <w:pPr>
              <w:widowControl/>
              <w:jc w:val="left"/>
              <w:rPr>
                <w:rFonts w:ascii="宋体" w:hAnsi="宋体" w:cs="宋体"/>
                <w:color w:val="auto"/>
                <w:szCs w:val="21"/>
                <w:highlight w:val="none"/>
              </w:rPr>
            </w:pPr>
            <w:r>
              <w:rPr>
                <w:rFonts w:hint="eastAsia" w:ascii="宋体" w:hAnsi="宋体" w:cs="宋体"/>
                <w:b/>
                <w:bCs/>
                <w:color w:val="auto"/>
                <w:szCs w:val="21"/>
                <w:highlight w:val="none"/>
              </w:rPr>
              <w:t>凭祥市</w:t>
            </w:r>
          </w:p>
        </w:tc>
      </w:tr>
      <w:tr w14:paraId="0D07E47C">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DDECD4">
            <w:pPr>
              <w:widowControl/>
              <w:jc w:val="left"/>
              <w:rPr>
                <w:rFonts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AD3656B">
            <w:pPr>
              <w:widowControl/>
              <w:jc w:val="left"/>
              <w:rPr>
                <w:rFonts w:ascii="宋体" w:hAnsi="宋体" w:cs="宋体"/>
                <w:color w:val="auto"/>
                <w:szCs w:val="21"/>
                <w:highlight w:val="none"/>
              </w:rPr>
            </w:pPr>
            <w:r>
              <w:rPr>
                <w:rFonts w:hint="eastAsia" w:ascii="宋体" w:hAnsi="宋体" w:cs="宋体"/>
                <w:color w:val="auto"/>
                <w:szCs w:val="21"/>
                <w:highlight w:val="none"/>
              </w:rPr>
              <w:t>凭祥市新华路5号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4AE6A2FF">
            <w:pPr>
              <w:widowControl/>
              <w:jc w:val="center"/>
              <w:rPr>
                <w:rFonts w:ascii="宋体" w:hAnsi="宋体" w:cs="宋体"/>
                <w:color w:val="auto"/>
                <w:szCs w:val="21"/>
                <w:highlight w:val="none"/>
              </w:rPr>
            </w:pPr>
            <w:r>
              <w:rPr>
                <w:rFonts w:hint="eastAsia" w:ascii="宋体" w:hAnsi="宋体" w:cs="宋体"/>
                <w:color w:val="auto"/>
                <w:szCs w:val="21"/>
                <w:highlight w:val="none"/>
              </w:rPr>
              <w:t>0771-8529259</w:t>
            </w:r>
          </w:p>
        </w:tc>
      </w:tr>
      <w:tr w14:paraId="5D1E9BC8">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D52658">
            <w:pPr>
              <w:widowControl/>
              <w:jc w:val="left"/>
              <w:rPr>
                <w:rFonts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62CA169">
            <w:pPr>
              <w:widowControl/>
              <w:jc w:val="left"/>
              <w:rPr>
                <w:rFonts w:ascii="宋体" w:hAnsi="宋体" w:cs="宋体"/>
                <w:color w:val="auto"/>
                <w:szCs w:val="21"/>
                <w:highlight w:val="none"/>
              </w:rPr>
            </w:pPr>
            <w:r>
              <w:rPr>
                <w:rFonts w:hint="eastAsia" w:ascii="宋体" w:hAnsi="宋体" w:cs="宋体"/>
                <w:color w:val="auto"/>
                <w:szCs w:val="21"/>
                <w:highlight w:val="none"/>
              </w:rPr>
              <w:t>凭祥市北大路216号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39390FC4">
            <w:pPr>
              <w:widowControl/>
              <w:jc w:val="center"/>
              <w:rPr>
                <w:rFonts w:ascii="宋体" w:hAnsi="宋体" w:cs="宋体"/>
                <w:color w:val="auto"/>
                <w:szCs w:val="21"/>
                <w:highlight w:val="none"/>
              </w:rPr>
            </w:pPr>
            <w:r>
              <w:rPr>
                <w:rFonts w:hint="eastAsia" w:ascii="宋体" w:hAnsi="宋体" w:cs="宋体"/>
                <w:color w:val="auto"/>
                <w:szCs w:val="21"/>
                <w:highlight w:val="none"/>
              </w:rPr>
              <w:t>0771-7917258</w:t>
            </w:r>
          </w:p>
        </w:tc>
      </w:tr>
      <w:tr w14:paraId="6E20A19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A4B2FBA">
            <w:pPr>
              <w:widowControl/>
              <w:jc w:val="left"/>
              <w:rPr>
                <w:rFonts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172FE3D">
            <w:pPr>
              <w:widowControl/>
              <w:jc w:val="left"/>
              <w:rPr>
                <w:rFonts w:ascii="宋体" w:hAnsi="宋体" w:cs="宋体"/>
                <w:color w:val="auto"/>
                <w:szCs w:val="21"/>
                <w:highlight w:val="none"/>
              </w:rPr>
            </w:pPr>
            <w:r>
              <w:rPr>
                <w:rFonts w:hint="eastAsia" w:ascii="宋体" w:hAnsi="宋体" w:cs="宋体"/>
                <w:color w:val="auto"/>
                <w:szCs w:val="21"/>
                <w:highlight w:val="none"/>
              </w:rPr>
              <w:t>凭祥市屏山路138号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239033D1">
            <w:pPr>
              <w:widowControl/>
              <w:jc w:val="center"/>
              <w:rPr>
                <w:rFonts w:ascii="宋体" w:hAnsi="宋体" w:cs="宋体"/>
                <w:color w:val="auto"/>
                <w:szCs w:val="21"/>
                <w:highlight w:val="none"/>
              </w:rPr>
            </w:pPr>
            <w:r>
              <w:rPr>
                <w:rFonts w:hint="eastAsia" w:ascii="宋体" w:hAnsi="宋体" w:cs="宋体"/>
                <w:color w:val="auto"/>
                <w:szCs w:val="21"/>
                <w:highlight w:val="none"/>
              </w:rPr>
              <w:t>0771-8525068</w:t>
            </w:r>
            <w:r>
              <w:rPr>
                <w:rFonts w:hint="eastAsia" w:cs="宋体"/>
                <w:color w:val="auto"/>
                <w:szCs w:val="21"/>
                <w:highlight w:val="none"/>
              </w:rPr>
              <w:t xml:space="preserve"> </w:t>
            </w:r>
            <w:r>
              <w:rPr>
                <w:rFonts w:hint="eastAsia" w:ascii="宋体" w:hAnsi="宋体" w:cs="宋体"/>
                <w:color w:val="auto"/>
                <w:szCs w:val="21"/>
                <w:highlight w:val="none"/>
              </w:rPr>
              <w:t>0771-8536852</w:t>
            </w:r>
          </w:p>
        </w:tc>
      </w:tr>
      <w:tr w14:paraId="4BDBBEF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E4987D">
            <w:pPr>
              <w:widowControl/>
              <w:jc w:val="left"/>
              <w:rPr>
                <w:rFonts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0BAE3E2">
            <w:pPr>
              <w:widowControl/>
              <w:jc w:val="left"/>
              <w:rPr>
                <w:rFonts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754" w:type="dxa"/>
            <w:tcBorders>
              <w:top w:val="single" w:color="000000" w:sz="4" w:space="0"/>
              <w:left w:val="single" w:color="000000" w:sz="4" w:space="0"/>
              <w:bottom w:val="single" w:color="000000" w:sz="4" w:space="0"/>
              <w:right w:val="single" w:color="000000" w:sz="4" w:space="0"/>
            </w:tcBorders>
            <w:vAlign w:val="center"/>
          </w:tcPr>
          <w:p w14:paraId="1CC4FAF1">
            <w:pPr>
              <w:widowControl/>
              <w:jc w:val="center"/>
              <w:rPr>
                <w:rFonts w:ascii="宋体" w:hAnsi="宋体" w:cs="宋体"/>
                <w:color w:val="auto"/>
                <w:szCs w:val="21"/>
                <w:highlight w:val="none"/>
              </w:rPr>
            </w:pPr>
            <w:r>
              <w:rPr>
                <w:rFonts w:hint="eastAsia" w:ascii="宋体" w:hAnsi="宋体" w:cs="宋体"/>
                <w:color w:val="auto"/>
                <w:szCs w:val="21"/>
                <w:highlight w:val="none"/>
              </w:rPr>
              <w:t>0771-8551161</w:t>
            </w:r>
          </w:p>
        </w:tc>
      </w:tr>
      <w:tr w14:paraId="135B511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83A507A">
            <w:pPr>
              <w:widowControl/>
              <w:jc w:val="left"/>
              <w:rPr>
                <w:rFonts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02E3DC7">
            <w:pPr>
              <w:widowControl/>
              <w:jc w:val="left"/>
              <w:rPr>
                <w:rFonts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0904AC86">
            <w:pPr>
              <w:widowControl/>
              <w:jc w:val="center"/>
              <w:rPr>
                <w:rFonts w:ascii="宋体" w:hAnsi="宋体" w:cs="宋体"/>
                <w:color w:val="auto"/>
                <w:szCs w:val="21"/>
                <w:highlight w:val="none"/>
              </w:rPr>
            </w:pPr>
            <w:r>
              <w:rPr>
                <w:rFonts w:hint="eastAsia" w:ascii="宋体" w:hAnsi="宋体" w:cs="宋体"/>
                <w:color w:val="auto"/>
                <w:szCs w:val="21"/>
                <w:highlight w:val="none"/>
              </w:rPr>
              <w:t>0771-8561665</w:t>
            </w:r>
          </w:p>
        </w:tc>
      </w:tr>
      <w:tr w14:paraId="30900055">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143DC35">
            <w:pPr>
              <w:widowControl/>
              <w:jc w:val="left"/>
              <w:rPr>
                <w:rFonts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363B290">
            <w:pPr>
              <w:widowControl/>
              <w:jc w:val="left"/>
              <w:rPr>
                <w:rFonts w:ascii="宋体" w:hAnsi="宋体" w:cs="宋体"/>
                <w:color w:val="auto"/>
                <w:szCs w:val="21"/>
                <w:highlight w:val="none"/>
              </w:rPr>
            </w:pPr>
            <w:r>
              <w:rPr>
                <w:rFonts w:hint="eastAsia" w:ascii="宋体" w:hAnsi="宋体" w:cs="宋体"/>
                <w:color w:val="auto"/>
                <w:szCs w:val="21"/>
                <w:highlight w:val="none"/>
              </w:rPr>
              <w:t>凭祥市-北环路112号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72C5FD36">
            <w:pPr>
              <w:widowControl/>
              <w:jc w:val="center"/>
              <w:rPr>
                <w:rFonts w:ascii="宋体" w:hAnsi="宋体" w:cs="宋体"/>
                <w:color w:val="auto"/>
                <w:szCs w:val="21"/>
                <w:highlight w:val="none"/>
              </w:rPr>
            </w:pPr>
            <w:r>
              <w:rPr>
                <w:rFonts w:hint="eastAsia" w:ascii="宋体" w:hAnsi="宋体" w:cs="宋体"/>
                <w:color w:val="auto"/>
                <w:szCs w:val="21"/>
                <w:highlight w:val="none"/>
              </w:rPr>
              <w:t>0771-8520356</w:t>
            </w:r>
          </w:p>
        </w:tc>
      </w:tr>
      <w:tr w14:paraId="0356788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699AEB">
            <w:pPr>
              <w:widowControl/>
              <w:jc w:val="left"/>
              <w:rPr>
                <w:rFonts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168DB46">
            <w:pPr>
              <w:widowControl/>
              <w:jc w:val="left"/>
              <w:rPr>
                <w:rFonts w:ascii="宋体" w:hAnsi="宋体" w:cs="宋体"/>
                <w:color w:val="auto"/>
                <w:szCs w:val="21"/>
                <w:highlight w:val="none"/>
              </w:rPr>
            </w:pPr>
            <w:r>
              <w:rPr>
                <w:rFonts w:hint="eastAsia" w:ascii="宋体" w:hAnsi="宋体" w:cs="宋体"/>
                <w:color w:val="auto"/>
                <w:szCs w:val="21"/>
                <w:highlight w:val="none"/>
              </w:rPr>
              <w:t>凭祥市友谊关大道13号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1EB0E539">
            <w:pPr>
              <w:widowControl/>
              <w:jc w:val="center"/>
              <w:rPr>
                <w:rFonts w:ascii="宋体" w:hAnsi="宋体" w:cs="宋体"/>
                <w:color w:val="auto"/>
                <w:szCs w:val="21"/>
                <w:highlight w:val="none"/>
              </w:rPr>
            </w:pPr>
            <w:r>
              <w:rPr>
                <w:rFonts w:hint="eastAsia" w:ascii="宋体" w:hAnsi="宋体" w:cs="宋体"/>
                <w:color w:val="auto"/>
                <w:szCs w:val="21"/>
                <w:highlight w:val="none"/>
              </w:rPr>
              <w:t>0771-8535667</w:t>
            </w:r>
          </w:p>
        </w:tc>
      </w:tr>
      <w:tr w14:paraId="428A2645">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B7F95">
            <w:pPr>
              <w:widowControl/>
              <w:jc w:val="left"/>
              <w:rPr>
                <w:rFonts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C3A401B">
            <w:pPr>
              <w:widowControl/>
              <w:jc w:val="left"/>
              <w:rPr>
                <w:rFonts w:ascii="宋体" w:hAnsi="宋体" w:cs="宋体"/>
                <w:color w:val="auto"/>
                <w:szCs w:val="21"/>
                <w:highlight w:val="none"/>
              </w:rPr>
            </w:pPr>
            <w:r>
              <w:rPr>
                <w:rFonts w:hint="eastAsia" w:ascii="宋体" w:hAnsi="宋体" w:cs="宋体"/>
                <w:color w:val="auto"/>
                <w:szCs w:val="21"/>
                <w:highlight w:val="none"/>
              </w:rPr>
              <w:t>凭祥市北大路一支40号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61BA48DD">
            <w:pPr>
              <w:widowControl/>
              <w:jc w:val="center"/>
              <w:rPr>
                <w:rFonts w:ascii="宋体" w:hAnsi="宋体" w:cs="宋体"/>
                <w:color w:val="auto"/>
                <w:szCs w:val="21"/>
                <w:highlight w:val="none"/>
              </w:rPr>
            </w:pPr>
            <w:r>
              <w:rPr>
                <w:rFonts w:hint="eastAsia" w:ascii="宋体" w:hAnsi="宋体" w:cs="宋体"/>
                <w:color w:val="auto"/>
                <w:szCs w:val="21"/>
                <w:highlight w:val="none"/>
              </w:rPr>
              <w:t>0771-8520550</w:t>
            </w:r>
          </w:p>
        </w:tc>
      </w:tr>
      <w:tr w14:paraId="398A653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8EAF2B1">
            <w:pPr>
              <w:widowControl/>
              <w:jc w:val="left"/>
              <w:rPr>
                <w:rFonts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86D5108">
            <w:pPr>
              <w:widowControl/>
              <w:jc w:val="left"/>
              <w:rPr>
                <w:rFonts w:ascii="宋体" w:hAnsi="宋体" w:cs="宋体"/>
                <w:color w:val="auto"/>
                <w:szCs w:val="21"/>
                <w:highlight w:val="none"/>
              </w:rPr>
            </w:pPr>
            <w:r>
              <w:rPr>
                <w:rFonts w:hint="eastAsia" w:ascii="宋体" w:hAnsi="宋体" w:cs="宋体"/>
                <w:color w:val="auto"/>
                <w:szCs w:val="21"/>
                <w:highlight w:val="none"/>
              </w:rPr>
              <w:t>凭祥市北大路一支60-1号</w:t>
            </w:r>
          </w:p>
        </w:tc>
        <w:tc>
          <w:tcPr>
            <w:tcW w:w="2754" w:type="dxa"/>
            <w:tcBorders>
              <w:top w:val="single" w:color="000000" w:sz="4" w:space="0"/>
              <w:left w:val="single" w:color="000000" w:sz="4" w:space="0"/>
              <w:bottom w:val="single" w:color="000000" w:sz="4" w:space="0"/>
              <w:right w:val="single" w:color="000000" w:sz="4" w:space="0"/>
            </w:tcBorders>
            <w:vAlign w:val="center"/>
          </w:tcPr>
          <w:p w14:paraId="14CA8CDB">
            <w:pPr>
              <w:widowControl/>
              <w:jc w:val="center"/>
              <w:rPr>
                <w:rFonts w:ascii="宋体" w:hAnsi="宋体" w:cs="宋体"/>
                <w:color w:val="auto"/>
                <w:szCs w:val="21"/>
                <w:highlight w:val="none"/>
              </w:rPr>
            </w:pPr>
            <w:r>
              <w:rPr>
                <w:rFonts w:hint="eastAsia" w:ascii="宋体" w:hAnsi="宋体" w:cs="宋体"/>
                <w:color w:val="auto"/>
                <w:szCs w:val="21"/>
                <w:highlight w:val="none"/>
              </w:rPr>
              <w:t>0771-8556667</w:t>
            </w:r>
          </w:p>
        </w:tc>
      </w:tr>
    </w:tbl>
    <w:p w14:paraId="0D5A60B4">
      <w:pPr>
        <w:rPr>
          <w:rFonts w:ascii="宋体" w:hAnsi="宋体"/>
          <w:color w:val="auto"/>
          <w:sz w:val="24"/>
          <w:highlight w:val="none"/>
        </w:rPr>
      </w:pPr>
    </w:p>
    <w:p w14:paraId="5F3C8BD1">
      <w:pPr>
        <w:pStyle w:val="35"/>
        <w:rPr>
          <w:color w:val="auto"/>
          <w:highlight w:val="none"/>
        </w:rPr>
      </w:pPr>
    </w:p>
    <w:p w14:paraId="30CCB422">
      <w:pPr>
        <w:rPr>
          <w:rFonts w:ascii="宋体" w:hAnsi="宋体"/>
          <w:color w:val="auto"/>
          <w:sz w:val="24"/>
          <w:highlight w:val="none"/>
        </w:rPr>
      </w:pPr>
    </w:p>
    <w:sectPr>
      <w:footerReference r:id="rId5" w:type="firs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10" w:usb3="00000000" w:csb0="0004009F" w:csb1="00000000"/>
  </w:font>
  <w:font w:name="新宋体">
    <w:panose1 w:val="02010609030101010101"/>
    <w:charset w:val="86"/>
    <w:family w:val="modern"/>
    <w:pitch w:val="default"/>
    <w:sig w:usb0="000000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方正小标宋_GBK">
    <w:altName w:val="Malgun Gothic"/>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BFA48">
    <w:pPr>
      <w:pStyle w:val="247"/>
      <w:jc w:val="center"/>
    </w:pPr>
    <w:r>
      <w:fldChar w:fldCharType="begin"/>
    </w:r>
    <w:r>
      <w:instrText xml:space="preserve"> PAGE   \* MERGEFORMAT </w:instrText>
    </w:r>
    <w:r>
      <w:fldChar w:fldCharType="separate"/>
    </w:r>
    <w:r>
      <w:rPr>
        <w:lang w:val="zh-CN"/>
      </w:rPr>
      <w:t>85</w:t>
    </w:r>
    <w:r>
      <w:fldChar w:fldCharType="end"/>
    </w:r>
  </w:p>
  <w:p w14:paraId="65AD697B">
    <w:pPr>
      <w:pStyle w:val="24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6159">
    <w:pPr>
      <w:pStyle w:val="24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17DABE2B">
                          <w:pPr>
                            <w:pStyle w:val="24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Wckjz0gEAAKcDAAAOAAAAAAAAAAEAIAAAAB4BAABk&#10;cnMvZTJvRG9jLnhtbFBLBQYAAAAABgAGAFkBAABiBQAAAAA=&#10;">
              <v:fill on="f" focussize="0,0"/>
              <v:stroke on="f"/>
              <v:imagedata o:title=""/>
              <o:lock v:ext="edit" aspectratio="f"/>
              <v:textbox inset="0mm,0mm,0mm,0mm" style="mso-fit-shape-to-text:t;">
                <w:txbxContent>
                  <w:p w14:paraId="17DABE2B">
                    <w:pPr>
                      <w:pStyle w:val="24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3F49D">
    <w:pPr>
      <w:pStyle w:val="249"/>
      <w:tabs>
        <w:tab w:val="left" w:pos="2409"/>
        <w:tab w:val="center" w:pos="4499"/>
      </w:tabs>
      <w:jc w:val="left"/>
      <w:rPr>
        <w:rFonts w:ascii="新宋体" w:hAnsi="新宋体" w:eastAsia="新宋体" w:cs="新宋体"/>
        <w:shd w:val="clear" w:color="auto" w:fill="FFFFFF"/>
      </w:rPr>
    </w:pPr>
    <w:r>
      <w:rPr>
        <w:rFonts w:hint="eastAsia" w:ascii="新宋体" w:hAnsi="新宋体" w:eastAsia="新宋体" w:cs="新宋体"/>
        <w:shd w:val="clear" w:color="auto" w:fill="FFFFFF"/>
      </w:rPr>
      <w:t>云之龙咨询集团有限公司                                  宁明县海渊镇中心卫生院血液透析设备采购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2CA02"/>
    <w:multiLevelType w:val="multilevel"/>
    <w:tmpl w:val="F2D2CA02"/>
    <w:lvl w:ilvl="0" w:tentative="0">
      <w:start w:val="2"/>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45EBEEEF"/>
    <w:multiLevelType w:val="multilevel"/>
    <w:tmpl w:val="45EBEEEF"/>
    <w:lvl w:ilvl="0" w:tentative="0">
      <w:start w:val="4"/>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822"/>
    <w:rsid w:val="0014117C"/>
    <w:rsid w:val="002E61F3"/>
    <w:rsid w:val="003F60CC"/>
    <w:rsid w:val="005560C9"/>
    <w:rsid w:val="00677822"/>
    <w:rsid w:val="008E0B74"/>
    <w:rsid w:val="00AC2D16"/>
    <w:rsid w:val="00B1015A"/>
    <w:rsid w:val="00C5175A"/>
    <w:rsid w:val="00DF425C"/>
    <w:rsid w:val="0FCD0F42"/>
    <w:rsid w:val="21D47ACC"/>
    <w:rsid w:val="23D62085"/>
    <w:rsid w:val="24547163"/>
    <w:rsid w:val="264252CF"/>
    <w:rsid w:val="3A257C08"/>
    <w:rsid w:val="3A3E77A1"/>
    <w:rsid w:val="3C6536CC"/>
    <w:rsid w:val="44153672"/>
    <w:rsid w:val="4D766A6B"/>
    <w:rsid w:val="62550B43"/>
    <w:rsid w:val="65D72809"/>
    <w:rsid w:val="6F864283"/>
    <w:rsid w:val="79F841B9"/>
    <w:rsid w:val="7E9B1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sz w:val="44"/>
      <w:szCs w:val="44"/>
    </w:rPr>
  </w:style>
  <w:style w:type="paragraph" w:styleId="3">
    <w:name w:val="heading 2"/>
    <w:basedOn w:val="1"/>
    <w:next w:val="1"/>
    <w:link w:val="195"/>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96"/>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qFormat/>
    <w:uiPriority w:val="0"/>
    <w:pPr>
      <w:keepNext/>
      <w:keepLines/>
      <w:spacing w:before="120" w:after="120"/>
      <w:outlineLvl w:val="3"/>
    </w:pPr>
    <w:rPr>
      <w:rFonts w:ascii="Arial" w:hAnsi="Arial"/>
      <w:b/>
      <w:bCs/>
      <w:sz w:val="28"/>
      <w:szCs w:val="28"/>
    </w:rPr>
  </w:style>
  <w:style w:type="paragraph" w:styleId="6">
    <w:name w:val="heading 5"/>
    <w:basedOn w:val="1"/>
    <w:next w:val="1"/>
    <w:link w:val="198"/>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99"/>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00"/>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01"/>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02"/>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100"/>
      <w:ind w:left="1320"/>
    </w:pPr>
  </w:style>
  <w:style w:type="paragraph" w:styleId="12">
    <w:name w:val="Normal Indent"/>
    <w:basedOn w:val="1"/>
    <w:qFormat/>
    <w:uiPriority w:val="0"/>
    <w:pPr>
      <w:ind w:firstLine="420"/>
    </w:pPr>
    <w:rPr>
      <w:szCs w:val="20"/>
    </w:rPr>
  </w:style>
  <w:style w:type="paragraph" w:styleId="13">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14">
    <w:name w:val="annotation text"/>
    <w:basedOn w:val="1"/>
    <w:next w:val="15"/>
    <w:link w:val="305"/>
    <w:qFormat/>
    <w:uiPriority w:val="0"/>
    <w:pPr>
      <w:jc w:val="left"/>
    </w:pPr>
  </w:style>
  <w:style w:type="paragraph" w:styleId="15">
    <w:name w:val="toc 1"/>
    <w:basedOn w:val="1"/>
    <w:next w:val="1"/>
    <w:qFormat/>
    <w:uiPriority w:val="0"/>
  </w:style>
  <w:style w:type="paragraph" w:styleId="16">
    <w:name w:val="Body Text 3"/>
    <w:basedOn w:val="1"/>
    <w:unhideWhenUsed/>
    <w:qFormat/>
    <w:uiPriority w:val="99"/>
    <w:pPr>
      <w:spacing w:after="120"/>
    </w:pPr>
    <w:rPr>
      <w:sz w:val="16"/>
      <w:szCs w:val="16"/>
    </w:rPr>
  </w:style>
  <w:style w:type="paragraph" w:styleId="17">
    <w:name w:val="Body Text"/>
    <w:basedOn w:val="1"/>
    <w:unhideWhenUsed/>
    <w:qFormat/>
    <w:uiPriority w:val="0"/>
    <w:pPr>
      <w:spacing w:after="120"/>
    </w:pPr>
  </w:style>
  <w:style w:type="paragraph" w:styleId="18">
    <w:name w:val="Body Text Indent"/>
    <w:basedOn w:val="1"/>
    <w:next w:val="19"/>
    <w:qFormat/>
    <w:uiPriority w:val="0"/>
    <w:pPr>
      <w:ind w:firstLine="830"/>
    </w:pPr>
    <w:rPr>
      <w:rFonts w:ascii="仿宋_GB2312" w:eastAsia="仿宋_GB2312"/>
      <w:sz w:val="32"/>
      <w:szCs w:val="20"/>
    </w:rPr>
  </w:style>
  <w:style w:type="paragraph" w:styleId="19">
    <w:name w:val="Plain Text"/>
    <w:basedOn w:val="1"/>
    <w:qFormat/>
    <w:uiPriority w:val="0"/>
    <w:rPr>
      <w:rFonts w:ascii="宋体" w:hAnsi="Courier New"/>
      <w:sz w:val="20"/>
      <w:szCs w:val="21"/>
    </w:rPr>
  </w:style>
  <w:style w:type="paragraph" w:styleId="20">
    <w:name w:val="List 2"/>
    <w:basedOn w:val="1"/>
    <w:unhideWhenUsed/>
    <w:qFormat/>
    <w:uiPriority w:val="99"/>
    <w:pPr>
      <w:ind w:left="100" w:hanging="200"/>
      <w:contextualSpacing/>
    </w:pPr>
  </w:style>
  <w:style w:type="paragraph" w:styleId="21">
    <w:name w:val="toc 5"/>
    <w:basedOn w:val="1"/>
    <w:next w:val="1"/>
    <w:unhideWhenUsed/>
    <w:qFormat/>
    <w:uiPriority w:val="39"/>
    <w:pPr>
      <w:spacing w:after="100"/>
      <w:ind w:left="880"/>
    </w:pPr>
  </w:style>
  <w:style w:type="paragraph" w:styleId="22">
    <w:name w:val="toc 3"/>
    <w:basedOn w:val="1"/>
    <w:next w:val="1"/>
    <w:unhideWhenUsed/>
    <w:qFormat/>
    <w:uiPriority w:val="39"/>
    <w:pPr>
      <w:spacing w:after="100"/>
      <w:ind w:left="440"/>
    </w:pPr>
  </w:style>
  <w:style w:type="paragraph" w:styleId="23">
    <w:name w:val="toc 8"/>
    <w:basedOn w:val="1"/>
    <w:next w:val="1"/>
    <w:unhideWhenUsed/>
    <w:qFormat/>
    <w:uiPriority w:val="39"/>
    <w:pPr>
      <w:spacing w:after="100"/>
      <w:ind w:left="1540"/>
    </w:pPr>
  </w:style>
  <w:style w:type="paragraph" w:styleId="24">
    <w:name w:val="endnote text"/>
    <w:basedOn w:val="1"/>
    <w:link w:val="218"/>
    <w:semiHidden/>
    <w:unhideWhenUsed/>
    <w:qFormat/>
    <w:uiPriority w:val="99"/>
    <w:rPr>
      <w:sz w:val="20"/>
      <w:szCs w:val="20"/>
    </w:rPr>
  </w:style>
  <w:style w:type="paragraph" w:styleId="25">
    <w:name w:val="Balloon Text"/>
    <w:basedOn w:val="1"/>
    <w:link w:val="307"/>
    <w:semiHidden/>
    <w:unhideWhenUsed/>
    <w:qFormat/>
    <w:uiPriority w:val="99"/>
    <w:rPr>
      <w:sz w:val="18"/>
      <w:szCs w:val="18"/>
    </w:rPr>
  </w:style>
  <w:style w:type="paragraph" w:styleId="26">
    <w:name w:val="footer"/>
    <w:basedOn w:val="1"/>
    <w:next w:val="1"/>
    <w:qFormat/>
    <w:uiPriority w:val="0"/>
    <w:pPr>
      <w:tabs>
        <w:tab w:val="center" w:pos="4153"/>
        <w:tab w:val="right" w:pos="8306"/>
      </w:tabs>
      <w:jc w:val="left"/>
    </w:pPr>
    <w:rPr>
      <w:sz w:val="18"/>
    </w:rPr>
  </w:style>
  <w:style w:type="paragraph" w:styleId="27">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pPr>
    <w:rPr>
      <w:sz w:val="18"/>
    </w:rPr>
  </w:style>
  <w:style w:type="paragraph" w:styleId="28">
    <w:name w:val="toc 4"/>
    <w:basedOn w:val="1"/>
    <w:next w:val="1"/>
    <w:unhideWhenUsed/>
    <w:qFormat/>
    <w:uiPriority w:val="39"/>
    <w:pPr>
      <w:spacing w:after="100"/>
      <w:ind w:left="660"/>
    </w:pPr>
  </w:style>
  <w:style w:type="paragraph" w:styleId="29">
    <w:name w:val="Subtitle"/>
    <w:basedOn w:val="1"/>
    <w:next w:val="1"/>
    <w:link w:val="20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0">
    <w:name w:val="footnote text"/>
    <w:basedOn w:val="1"/>
    <w:link w:val="217"/>
    <w:semiHidden/>
    <w:unhideWhenUsed/>
    <w:qFormat/>
    <w:uiPriority w:val="99"/>
    <w:rPr>
      <w:sz w:val="20"/>
      <w:szCs w:val="20"/>
    </w:rPr>
  </w:style>
  <w:style w:type="paragraph" w:styleId="31">
    <w:name w:val="toc 6"/>
    <w:basedOn w:val="1"/>
    <w:next w:val="1"/>
    <w:unhideWhenUsed/>
    <w:qFormat/>
    <w:uiPriority w:val="39"/>
    <w:pPr>
      <w:spacing w:after="100"/>
      <w:ind w:left="1100"/>
    </w:pPr>
  </w:style>
  <w:style w:type="paragraph" w:styleId="32">
    <w:name w:val="table of figures"/>
    <w:basedOn w:val="1"/>
    <w:next w:val="1"/>
    <w:unhideWhenUsed/>
    <w:qFormat/>
    <w:uiPriority w:val="99"/>
  </w:style>
  <w:style w:type="paragraph" w:styleId="33">
    <w:name w:val="toc 2"/>
    <w:basedOn w:val="1"/>
    <w:next w:val="1"/>
    <w:unhideWhenUsed/>
    <w:qFormat/>
    <w:uiPriority w:val="39"/>
    <w:pPr>
      <w:spacing w:after="100"/>
      <w:ind w:left="220"/>
    </w:pPr>
  </w:style>
  <w:style w:type="paragraph" w:styleId="34">
    <w:name w:val="toc 9"/>
    <w:basedOn w:val="1"/>
    <w:next w:val="1"/>
    <w:unhideWhenUsed/>
    <w:qFormat/>
    <w:uiPriority w:val="39"/>
    <w:pPr>
      <w:spacing w:after="100"/>
      <w:ind w:left="1760"/>
    </w:pPr>
  </w:style>
  <w:style w:type="paragraph" w:styleId="35">
    <w:name w:val="Body Text 2"/>
    <w:basedOn w:val="1"/>
    <w:qFormat/>
    <w:uiPriority w:val="0"/>
    <w:pPr>
      <w:spacing w:after="120" w:line="480" w:lineRule="auto"/>
    </w:pPr>
    <w:rPr>
      <w:sz w:val="20"/>
    </w:rPr>
  </w:style>
  <w:style w:type="paragraph" w:styleId="36">
    <w:name w:val="Normal (Web)"/>
    <w:basedOn w:val="1"/>
    <w:unhideWhenUsed/>
    <w:qFormat/>
    <w:uiPriority w:val="99"/>
    <w:rPr>
      <w:rFonts w:ascii="Calibri" w:hAnsi="Calibri"/>
      <w:sz w:val="24"/>
    </w:rPr>
  </w:style>
  <w:style w:type="paragraph" w:styleId="37">
    <w:name w:val="Title"/>
    <w:basedOn w:val="1"/>
    <w:next w:val="1"/>
    <w:link w:val="203"/>
    <w:qFormat/>
    <w:uiPriority w:val="10"/>
    <w:pPr>
      <w:spacing w:after="80"/>
      <w:contextualSpacing/>
    </w:pPr>
    <w:rPr>
      <w:rFonts w:ascii="Arial" w:hAnsi="Arial" w:eastAsia="Arial" w:cs="Arial"/>
      <w:spacing w:val="-10"/>
      <w:sz w:val="56"/>
      <w:szCs w:val="56"/>
    </w:rPr>
  </w:style>
  <w:style w:type="paragraph" w:styleId="38">
    <w:name w:val="annotation subject"/>
    <w:basedOn w:val="14"/>
    <w:next w:val="14"/>
    <w:link w:val="306"/>
    <w:qFormat/>
    <w:uiPriority w:val="0"/>
    <w:rPr>
      <w:b/>
      <w:bCs/>
    </w:rPr>
  </w:style>
  <w:style w:type="paragraph" w:styleId="39">
    <w:name w:val="Body Text First Indent 2"/>
    <w:basedOn w:val="18"/>
    <w:qFormat/>
    <w:uiPriority w:val="0"/>
    <w:pPr>
      <w:spacing w:after="120"/>
      <w:ind w:left="420" w:firstLine="420"/>
    </w:pPr>
    <w:rPr>
      <w:rFonts w:hAnsi="宋体" w:eastAsia="华文仿宋"/>
      <w:szCs w:val="32"/>
    </w:rPr>
  </w:style>
  <w:style w:type="table" w:styleId="41">
    <w:name w:val="Table Grid"/>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3">
    <w:name w:val="Strong"/>
    <w:basedOn w:val="42"/>
    <w:qFormat/>
    <w:uiPriority w:val="0"/>
    <w:rPr>
      <w:b/>
    </w:rPr>
  </w:style>
  <w:style w:type="character" w:styleId="44">
    <w:name w:val="endnote reference"/>
    <w:basedOn w:val="42"/>
    <w:semiHidden/>
    <w:unhideWhenUsed/>
    <w:qFormat/>
    <w:uiPriority w:val="99"/>
    <w:rPr>
      <w:vertAlign w:val="superscript"/>
    </w:rPr>
  </w:style>
  <w:style w:type="character" w:styleId="45">
    <w:name w:val="FollowedHyperlink"/>
    <w:qFormat/>
    <w:uiPriority w:val="0"/>
    <w:rPr>
      <w:color w:val="771CAA"/>
      <w:sz w:val="20"/>
      <w:u w:val="none"/>
    </w:rPr>
  </w:style>
  <w:style w:type="character" w:styleId="46">
    <w:name w:val="Emphasis"/>
    <w:basedOn w:val="42"/>
    <w:qFormat/>
    <w:uiPriority w:val="20"/>
    <w:rPr>
      <w:i/>
      <w:iCs/>
    </w:rPr>
  </w:style>
  <w:style w:type="character" w:styleId="47">
    <w:name w:val="Hyperlink"/>
    <w:basedOn w:val="42"/>
    <w:qFormat/>
    <w:uiPriority w:val="0"/>
    <w:rPr>
      <w:color w:val="0000FF"/>
      <w:u w:val="single"/>
    </w:rPr>
  </w:style>
  <w:style w:type="character" w:styleId="48">
    <w:name w:val="annotation reference"/>
    <w:qFormat/>
    <w:uiPriority w:val="0"/>
    <w:rPr>
      <w:sz w:val="21"/>
      <w:szCs w:val="21"/>
    </w:rPr>
  </w:style>
  <w:style w:type="character" w:styleId="49">
    <w:name w:val="footnote reference"/>
    <w:basedOn w:val="42"/>
    <w:semiHidden/>
    <w:unhideWhenUsed/>
    <w:qFormat/>
    <w:uiPriority w:val="99"/>
    <w:rPr>
      <w:vertAlign w:val="superscript"/>
    </w:rPr>
  </w:style>
  <w:style w:type="table" w:customStyle="1" w:styleId="50">
    <w:name w:val="无格式表格 11"/>
    <w:basedOn w:val="4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1">
    <w:name w:val="无格式表格 21"/>
    <w:basedOn w:val="4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2">
    <w:name w:val="无格式表格 31"/>
    <w:basedOn w:val="40"/>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无格式表格 41"/>
    <w:basedOn w:val="40"/>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无格式表格 51"/>
    <w:basedOn w:val="40"/>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5">
    <w:name w:val="网格表 1 浅色1"/>
    <w:basedOn w:val="4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6">
    <w:name w:val="网格表 21"/>
    <w:basedOn w:val="4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7">
    <w:name w:val="网格表 31"/>
    <w:basedOn w:val="4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8">
    <w:name w:val="网格表 41"/>
    <w:basedOn w:val="4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网格表 5 深色1"/>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0">
    <w:name w:val="网格表 6 彩色1"/>
    <w:basedOn w:val="4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1">
    <w:name w:val="网格表 7 彩色1"/>
    <w:basedOn w:val="4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2">
    <w:name w:val="清单表 1 浅色1"/>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3">
    <w:name w:val="清单表 21"/>
    <w:basedOn w:val="4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4">
    <w:name w:val="清单表 31"/>
    <w:basedOn w:val="4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5">
    <w:name w:val="清单表 41"/>
    <w:basedOn w:val="4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6">
    <w:name w:val="清单表 5 深色1"/>
    <w:basedOn w:val="40"/>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7">
    <w:name w:val="清单表 6 彩色1"/>
    <w:basedOn w:val="40"/>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8">
    <w:name w:val="清单表 7 彩色1"/>
    <w:basedOn w:val="40"/>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69">
    <w:name w:val="Heading 2 Char"/>
    <w:basedOn w:val="42"/>
    <w:qFormat/>
    <w:uiPriority w:val="9"/>
    <w:rPr>
      <w:rFonts w:ascii="Arial" w:hAnsi="Arial" w:eastAsia="Arial" w:cs="Arial"/>
      <w:color w:val="376092" w:themeColor="accent1" w:themeShade="BF"/>
      <w:sz w:val="32"/>
      <w:szCs w:val="32"/>
    </w:rPr>
  </w:style>
  <w:style w:type="character" w:customStyle="1" w:styleId="70">
    <w:name w:val="Heading 3 Char"/>
    <w:basedOn w:val="42"/>
    <w:qFormat/>
    <w:uiPriority w:val="9"/>
    <w:rPr>
      <w:rFonts w:ascii="Arial" w:hAnsi="Arial" w:eastAsia="Arial" w:cs="Arial"/>
      <w:color w:val="376092" w:themeColor="accent1" w:themeShade="BF"/>
      <w:sz w:val="28"/>
      <w:szCs w:val="28"/>
    </w:rPr>
  </w:style>
  <w:style w:type="character" w:customStyle="1" w:styleId="71">
    <w:name w:val="Heading 5 Char"/>
    <w:basedOn w:val="42"/>
    <w:qFormat/>
    <w:uiPriority w:val="9"/>
    <w:rPr>
      <w:rFonts w:ascii="Arial" w:hAnsi="Arial" w:eastAsia="Arial" w:cs="Arial"/>
      <w:color w:val="376092" w:themeColor="accent1" w:themeShade="BF"/>
    </w:rPr>
  </w:style>
  <w:style w:type="character" w:customStyle="1" w:styleId="72">
    <w:name w:val="Heading 6 Char"/>
    <w:basedOn w:val="42"/>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73">
    <w:name w:val="Heading 7 Char"/>
    <w:basedOn w:val="42"/>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74">
    <w:name w:val="Heading 8 Char"/>
    <w:basedOn w:val="4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75">
    <w:name w:val="Heading 9 Char"/>
    <w:basedOn w:val="4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76">
    <w:name w:val="Title Char"/>
    <w:basedOn w:val="42"/>
    <w:qFormat/>
    <w:uiPriority w:val="10"/>
    <w:rPr>
      <w:rFonts w:ascii="Arial" w:hAnsi="Arial" w:eastAsia="Arial" w:cs="Arial"/>
      <w:spacing w:val="-10"/>
      <w:sz w:val="56"/>
      <w:szCs w:val="56"/>
    </w:rPr>
  </w:style>
  <w:style w:type="character" w:customStyle="1" w:styleId="77">
    <w:name w:val="Subtitle Char"/>
    <w:basedOn w:val="42"/>
    <w:qFormat/>
    <w:uiPriority w:val="11"/>
    <w:rPr>
      <w:color w:val="595959" w:themeColor="text1" w:themeTint="A6"/>
      <w:spacing w:val="15"/>
      <w:sz w:val="28"/>
      <w:szCs w:val="28"/>
      <w14:textFill>
        <w14:solidFill>
          <w14:schemeClr w14:val="tx1">
            <w14:lumMod w14:val="65000"/>
            <w14:lumOff w14:val="35000"/>
          </w14:schemeClr>
        </w14:solidFill>
      </w14:textFill>
    </w:rPr>
  </w:style>
  <w:style w:type="character" w:customStyle="1" w:styleId="78">
    <w:name w:val="Quote Char"/>
    <w:basedOn w:val="42"/>
    <w:qFormat/>
    <w:uiPriority w:val="29"/>
    <w:rPr>
      <w:i/>
      <w:iCs/>
      <w:color w:val="404040" w:themeColor="text1" w:themeTint="BF"/>
      <w14:textFill>
        <w14:solidFill>
          <w14:schemeClr w14:val="tx1">
            <w14:lumMod w14:val="75000"/>
            <w14:lumOff w14:val="25000"/>
          </w14:schemeClr>
        </w14:solidFill>
      </w14:textFill>
    </w:rPr>
  </w:style>
  <w:style w:type="character" w:customStyle="1" w:styleId="79">
    <w:name w:val="明显强调1"/>
    <w:basedOn w:val="42"/>
    <w:qFormat/>
    <w:uiPriority w:val="21"/>
    <w:rPr>
      <w:i/>
      <w:iCs/>
      <w:color w:val="376092" w:themeColor="accent1" w:themeShade="BF"/>
    </w:rPr>
  </w:style>
  <w:style w:type="character" w:customStyle="1" w:styleId="80">
    <w:name w:val="Intense Quote Char"/>
    <w:basedOn w:val="42"/>
    <w:qFormat/>
    <w:uiPriority w:val="30"/>
    <w:rPr>
      <w:i/>
      <w:iCs/>
      <w:color w:val="376092" w:themeColor="accent1" w:themeShade="BF"/>
    </w:rPr>
  </w:style>
  <w:style w:type="character" w:customStyle="1" w:styleId="81">
    <w:name w:val="明显参考1"/>
    <w:basedOn w:val="42"/>
    <w:qFormat/>
    <w:uiPriority w:val="32"/>
    <w:rPr>
      <w:b/>
      <w:bCs/>
      <w:smallCaps/>
      <w:color w:val="376092" w:themeColor="accent1" w:themeShade="BF"/>
      <w:spacing w:val="5"/>
    </w:rPr>
  </w:style>
  <w:style w:type="character" w:customStyle="1" w:styleId="82">
    <w:name w:val="不明显强调1"/>
    <w:basedOn w:val="42"/>
    <w:qFormat/>
    <w:uiPriority w:val="19"/>
    <w:rPr>
      <w:i/>
      <w:iCs/>
      <w:color w:val="404040" w:themeColor="text1" w:themeTint="BF"/>
      <w14:textFill>
        <w14:solidFill>
          <w14:schemeClr w14:val="tx1">
            <w14:lumMod w14:val="75000"/>
            <w14:lumOff w14:val="25000"/>
          </w14:schemeClr>
        </w14:solidFill>
      </w14:textFill>
    </w:rPr>
  </w:style>
  <w:style w:type="character" w:customStyle="1" w:styleId="83">
    <w:name w:val="不明显参考1"/>
    <w:basedOn w:val="4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84">
    <w:name w:val="书籍标题1"/>
    <w:basedOn w:val="42"/>
    <w:qFormat/>
    <w:uiPriority w:val="33"/>
    <w:rPr>
      <w:b/>
      <w:bCs/>
      <w:i/>
      <w:iCs/>
      <w:spacing w:val="5"/>
    </w:rPr>
  </w:style>
  <w:style w:type="character" w:customStyle="1" w:styleId="85">
    <w:name w:val="Footnote Text Char"/>
    <w:basedOn w:val="42"/>
    <w:semiHidden/>
    <w:qFormat/>
    <w:uiPriority w:val="99"/>
    <w:rPr>
      <w:sz w:val="20"/>
      <w:szCs w:val="20"/>
    </w:rPr>
  </w:style>
  <w:style w:type="character" w:customStyle="1" w:styleId="86">
    <w:name w:val="Endnote Text Char"/>
    <w:basedOn w:val="42"/>
    <w:semiHidden/>
    <w:qFormat/>
    <w:uiPriority w:val="99"/>
    <w:rPr>
      <w:sz w:val="20"/>
      <w:szCs w:val="20"/>
    </w:rPr>
  </w:style>
  <w:style w:type="paragraph" w:customStyle="1" w:styleId="87">
    <w:name w:val="TOC 标题1"/>
    <w:unhideWhenUsed/>
    <w:qFormat/>
    <w:uiPriority w:val="39"/>
    <w:rPr>
      <w:rFonts w:ascii="Times New Roman" w:hAnsi="Times New Roman" w:eastAsia="宋体" w:cs="Times New Roman"/>
      <w:lang w:val="en-US" w:eastAsia="zh-CN" w:bidi="ar-SA"/>
    </w:rPr>
  </w:style>
  <w:style w:type="table" w:customStyle="1" w:styleId="88">
    <w:name w:val="Table Grid Light"/>
    <w:basedOn w:val="4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89">
    <w:name w:val="Grid Table 1 Light - Accent 1"/>
    <w:basedOn w:val="4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0">
    <w:name w:val="Grid Table 1 Light - Accent 2"/>
    <w:basedOn w:val="4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1">
    <w:name w:val="Grid Table 1 Light - Accent 3"/>
    <w:basedOn w:val="4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2">
    <w:name w:val="Grid Table 1 Light - Accent 4"/>
    <w:basedOn w:val="4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3">
    <w:name w:val="Grid Table 1 Light - Accent 5"/>
    <w:basedOn w:val="4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4">
    <w:name w:val="Grid Table 1 Light - Accent 6"/>
    <w:basedOn w:val="4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5">
    <w:name w:val="Grid Table 2 - Accent 1"/>
    <w:basedOn w:val="4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6">
    <w:name w:val="Grid Table 2 - Accent 2"/>
    <w:basedOn w:val="4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7">
    <w:name w:val="Grid Table 2 - Accent 3"/>
    <w:basedOn w:val="4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8">
    <w:name w:val="Grid Table 2 - Accent 4"/>
    <w:basedOn w:val="4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9">
    <w:name w:val="Grid Table 2 - Accent 5"/>
    <w:basedOn w:val="4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0">
    <w:name w:val="Grid Table 2 - Accent 6"/>
    <w:basedOn w:val="4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1">
    <w:name w:val="Grid Table 3 - Accent 1"/>
    <w:basedOn w:val="4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2">
    <w:name w:val="Grid Table 3 - Accent 2"/>
    <w:basedOn w:val="4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3">
    <w:name w:val="Grid Table 3 - Accent 3"/>
    <w:basedOn w:val="4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4">
    <w:name w:val="Grid Table 3 - Accent 4"/>
    <w:basedOn w:val="4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5">
    <w:name w:val="Grid Table 3 - Accent 5"/>
    <w:basedOn w:val="4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6">
    <w:name w:val="Grid Table 3 - Accent 6"/>
    <w:basedOn w:val="4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7">
    <w:name w:val="Grid Table 4 - Accent 1"/>
    <w:basedOn w:val="40"/>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08">
    <w:name w:val="Grid Table 4 - Accent 2"/>
    <w:basedOn w:val="40"/>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9">
    <w:name w:val="Grid Table 4 - Accent 3"/>
    <w:basedOn w:val="40"/>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0">
    <w:name w:val="Grid Table 4 - Accent 4"/>
    <w:basedOn w:val="40"/>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1">
    <w:name w:val="Grid Table 4 - Accent 5"/>
    <w:basedOn w:val="40"/>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2">
    <w:name w:val="Grid Table 4 - Accent 6"/>
    <w:basedOn w:val="40"/>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3">
    <w:name w:val="Grid Table 5 Dark- Accent 1"/>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4">
    <w:name w:val="Grid Table 5 Dark - Accent 2"/>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5">
    <w:name w:val="Grid Table 5 Dark - Accent 3"/>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6">
    <w:name w:val="Grid Table 5 Dark- Accent 4"/>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17">
    <w:name w:val="Grid Table 5 Dark - Accent 5"/>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18">
    <w:name w:val="Grid Table 5 Dark - Accent 6"/>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9">
    <w:name w:val="Grid Table 6 Colorful - Accent 1"/>
    <w:basedOn w:val="40"/>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0">
    <w:name w:val="Grid Table 6 Colorful - Accent 2"/>
    <w:basedOn w:val="4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1">
    <w:name w:val="Grid Table 6 Colorful - Accent 3"/>
    <w:basedOn w:val="40"/>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2">
    <w:name w:val="Grid Table 6 Colorful - Accent 4"/>
    <w:basedOn w:val="4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3">
    <w:name w:val="Grid Table 6 Colorful - Accent 5"/>
    <w:basedOn w:val="40"/>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4">
    <w:name w:val="Grid Table 6 Colorful - Accent 6"/>
    <w:basedOn w:val="40"/>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5">
    <w:name w:val="Grid Table 7 Colorful - Accent 1"/>
    <w:basedOn w:val="40"/>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6">
    <w:name w:val="Grid Table 7 Colorful - Accent 2"/>
    <w:basedOn w:val="40"/>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7">
    <w:name w:val="Grid Table 7 Colorful - Accent 3"/>
    <w:basedOn w:val="40"/>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8">
    <w:name w:val="Grid Table 7 Colorful - Accent 4"/>
    <w:basedOn w:val="40"/>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9">
    <w:name w:val="Grid Table 7 Colorful - Accent 5"/>
    <w:basedOn w:val="40"/>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0">
    <w:name w:val="Grid Table 7 Colorful - Accent 6"/>
    <w:basedOn w:val="40"/>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1">
    <w:name w:val="List Table 1 Light - Accent 1"/>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2">
    <w:name w:val="List Table 1 Light - Accent 2"/>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3">
    <w:name w:val="List Table 1 Light - Accent 3"/>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34">
    <w:name w:val="List Table 1 Light - Accent 4"/>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35">
    <w:name w:val="List Table 1 Light - Accent 5"/>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6">
    <w:name w:val="List Table 1 Light - Accent 6"/>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37">
    <w:name w:val="List Table 2 - Accent 1"/>
    <w:basedOn w:val="40"/>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8">
    <w:name w:val="List Table 2 - Accent 2"/>
    <w:basedOn w:val="40"/>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9">
    <w:name w:val="List Table 2 - Accent 3"/>
    <w:basedOn w:val="40"/>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0">
    <w:name w:val="List Table 2 - Accent 4"/>
    <w:basedOn w:val="40"/>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1">
    <w:name w:val="List Table 2 - Accent 5"/>
    <w:basedOn w:val="40"/>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2">
    <w:name w:val="List Table 2 - Accent 6"/>
    <w:basedOn w:val="40"/>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3">
    <w:name w:val="List Table 3 - Accent 1"/>
    <w:basedOn w:val="40"/>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4">
    <w:name w:val="List Table 3 - Accent 2"/>
    <w:basedOn w:val="4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45">
    <w:name w:val="List Table 3 - Accent 3"/>
    <w:basedOn w:val="40"/>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6">
    <w:name w:val="List Table 3 - Accent 4"/>
    <w:basedOn w:val="4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7">
    <w:name w:val="List Table 3 - Accent 5"/>
    <w:basedOn w:val="40"/>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48">
    <w:name w:val="List Table 3 - Accent 6"/>
    <w:basedOn w:val="40"/>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49">
    <w:name w:val="List Table 4 - Accent 1"/>
    <w:basedOn w:val="40"/>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0">
    <w:name w:val="List Table 4 - Accent 2"/>
    <w:basedOn w:val="40"/>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1">
    <w:name w:val="List Table 4 - Accent 3"/>
    <w:basedOn w:val="40"/>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2">
    <w:name w:val="List Table 4 - Accent 4"/>
    <w:basedOn w:val="40"/>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3">
    <w:name w:val="List Table 4 - Accent 5"/>
    <w:basedOn w:val="40"/>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4">
    <w:name w:val="List Table 4 - Accent 6"/>
    <w:basedOn w:val="40"/>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5">
    <w:name w:val="List Table 5 Dark - Accent 1"/>
    <w:basedOn w:val="40"/>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56">
    <w:name w:val="List Table 5 Dark - Accent 2"/>
    <w:basedOn w:val="40"/>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57">
    <w:name w:val="List Table 5 Dark - Accent 3"/>
    <w:basedOn w:val="40"/>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8">
    <w:name w:val="List Table 5 Dark - Accent 4"/>
    <w:basedOn w:val="40"/>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9">
    <w:name w:val="List Table 5 Dark - Accent 5"/>
    <w:basedOn w:val="40"/>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0">
    <w:name w:val="List Table 5 Dark - Accent 6"/>
    <w:basedOn w:val="40"/>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61">
    <w:name w:val="List Table 6 Colorful - Accent 1"/>
    <w:basedOn w:val="40"/>
    <w:qFormat/>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2">
    <w:name w:val="List Table 6 Colorful - Accent 2"/>
    <w:basedOn w:val="40"/>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3">
    <w:name w:val="List Table 6 Colorful - Accent 3"/>
    <w:basedOn w:val="40"/>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4">
    <w:name w:val="List Table 6 Colorful - Accent 4"/>
    <w:basedOn w:val="40"/>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5">
    <w:name w:val="List Table 6 Colorful - Accent 5"/>
    <w:basedOn w:val="40"/>
    <w:qFormat/>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6">
    <w:name w:val="List Table 6 Colorful - Accent 6"/>
    <w:basedOn w:val="40"/>
    <w:qFormat/>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7">
    <w:name w:val="List Table 7 Colorful - Accent 1"/>
    <w:basedOn w:val="40"/>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8">
    <w:name w:val="List Table 7 Colorful - Accent 2"/>
    <w:basedOn w:val="40"/>
    <w:qFormat/>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9">
    <w:name w:val="List Table 7 Colorful - Accent 3"/>
    <w:basedOn w:val="40"/>
    <w:qFormat/>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0">
    <w:name w:val="List Table 7 Colorful - Accent 4"/>
    <w:basedOn w:val="40"/>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1">
    <w:name w:val="List Table 7 Colorful - Accent 5"/>
    <w:basedOn w:val="40"/>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2">
    <w:name w:val="List Table 7 Colorful - Accent 6"/>
    <w:basedOn w:val="40"/>
    <w:qFormat/>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3">
    <w:name w:val="Lined - Accent"/>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Lined - Accent 1"/>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Lined - Accent 2"/>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Lined - Accent 3"/>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Lined - Accent 4"/>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Lined - Accent 5"/>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Lined - Accent 6"/>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amp; Lined - Accent"/>
    <w:basedOn w:val="4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1">
    <w:name w:val="Bordered &amp; Lined - Accent 1"/>
    <w:basedOn w:val="40"/>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2">
    <w:name w:val="Bordered &amp; Lined - Accent 2"/>
    <w:basedOn w:val="40"/>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3">
    <w:name w:val="Bordered &amp; Lined - Accent 3"/>
    <w:basedOn w:val="40"/>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4">
    <w:name w:val="Bordered &amp; Lined - Accent 4"/>
    <w:basedOn w:val="40"/>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5">
    <w:name w:val="Bordered &amp; Lined - Accent 5"/>
    <w:basedOn w:val="40"/>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6">
    <w:name w:val="Bordered &amp; Lined - Accent 6"/>
    <w:basedOn w:val="40"/>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7">
    <w:name w:val="Bordered"/>
    <w:basedOn w:val="4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8">
    <w:name w:val="Bordered - Accent 1"/>
    <w:basedOn w:val="4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9">
    <w:name w:val="Bordered - Accent 2"/>
    <w:basedOn w:val="4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0">
    <w:name w:val="Bordered - Accent 3"/>
    <w:basedOn w:val="4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1">
    <w:name w:val="Bordered - Accent 4"/>
    <w:basedOn w:val="4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2">
    <w:name w:val="Bordered - Accent 5"/>
    <w:basedOn w:val="4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3">
    <w:name w:val="Bordered - Accent 6"/>
    <w:basedOn w:val="4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94">
    <w:name w:val="Heading 1 Char"/>
    <w:basedOn w:val="42"/>
    <w:qFormat/>
    <w:uiPriority w:val="9"/>
    <w:rPr>
      <w:rFonts w:ascii="Arial" w:hAnsi="Arial" w:eastAsia="Arial" w:cs="Arial"/>
      <w:color w:val="376092" w:themeColor="accent1" w:themeShade="BF"/>
      <w:sz w:val="40"/>
      <w:szCs w:val="40"/>
    </w:rPr>
  </w:style>
  <w:style w:type="character" w:customStyle="1" w:styleId="195">
    <w:name w:val="标题 2 Char1"/>
    <w:basedOn w:val="42"/>
    <w:link w:val="3"/>
    <w:qFormat/>
    <w:uiPriority w:val="9"/>
    <w:rPr>
      <w:rFonts w:ascii="Arial" w:hAnsi="Arial" w:eastAsia="Arial" w:cs="Arial"/>
      <w:color w:val="376092" w:themeColor="accent1" w:themeShade="BF"/>
      <w:sz w:val="32"/>
      <w:szCs w:val="32"/>
    </w:rPr>
  </w:style>
  <w:style w:type="character" w:customStyle="1" w:styleId="196">
    <w:name w:val="标题 3 Char"/>
    <w:basedOn w:val="42"/>
    <w:link w:val="4"/>
    <w:qFormat/>
    <w:uiPriority w:val="9"/>
    <w:rPr>
      <w:rFonts w:ascii="Arial" w:hAnsi="Arial" w:eastAsia="Arial" w:cs="Arial"/>
      <w:color w:val="376092" w:themeColor="accent1" w:themeShade="BF"/>
      <w:sz w:val="28"/>
      <w:szCs w:val="28"/>
    </w:rPr>
  </w:style>
  <w:style w:type="character" w:customStyle="1" w:styleId="197">
    <w:name w:val="Heading 4 Char"/>
    <w:basedOn w:val="42"/>
    <w:qFormat/>
    <w:uiPriority w:val="9"/>
    <w:rPr>
      <w:rFonts w:ascii="Arial" w:hAnsi="Arial" w:eastAsia="Arial" w:cs="Arial"/>
      <w:i/>
      <w:iCs/>
      <w:color w:val="376092" w:themeColor="accent1" w:themeShade="BF"/>
    </w:rPr>
  </w:style>
  <w:style w:type="character" w:customStyle="1" w:styleId="198">
    <w:name w:val="标题 5 Char1"/>
    <w:basedOn w:val="42"/>
    <w:link w:val="6"/>
    <w:qFormat/>
    <w:uiPriority w:val="9"/>
    <w:rPr>
      <w:rFonts w:ascii="Arial" w:hAnsi="Arial" w:eastAsia="Arial" w:cs="Arial"/>
      <w:color w:val="376092" w:themeColor="accent1" w:themeShade="BF"/>
    </w:rPr>
  </w:style>
  <w:style w:type="character" w:customStyle="1" w:styleId="199">
    <w:name w:val="标题 6 Char"/>
    <w:basedOn w:val="42"/>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200">
    <w:name w:val="标题 7 Char"/>
    <w:basedOn w:val="42"/>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201">
    <w:name w:val="标题 8 Char"/>
    <w:basedOn w:val="42"/>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02">
    <w:name w:val="标题 9 Char"/>
    <w:basedOn w:val="42"/>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03">
    <w:name w:val="标题 Char"/>
    <w:basedOn w:val="42"/>
    <w:link w:val="37"/>
    <w:qFormat/>
    <w:uiPriority w:val="10"/>
    <w:rPr>
      <w:rFonts w:ascii="Arial" w:hAnsi="Arial" w:eastAsia="Arial" w:cs="Arial"/>
      <w:spacing w:val="-10"/>
      <w:sz w:val="56"/>
      <w:szCs w:val="56"/>
    </w:rPr>
  </w:style>
  <w:style w:type="character" w:customStyle="1" w:styleId="204">
    <w:name w:val="副标题 Char"/>
    <w:basedOn w:val="42"/>
    <w:link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5">
    <w:name w:val="Quote"/>
    <w:basedOn w:val="1"/>
    <w:next w:val="1"/>
    <w:link w:val="20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06">
    <w:name w:val="引用 Char"/>
    <w:basedOn w:val="42"/>
    <w:link w:val="205"/>
    <w:qFormat/>
    <w:uiPriority w:val="29"/>
    <w:rPr>
      <w:i/>
      <w:iCs/>
      <w:color w:val="404040" w:themeColor="text1" w:themeTint="BF"/>
      <w14:textFill>
        <w14:solidFill>
          <w14:schemeClr w14:val="tx1">
            <w14:lumMod w14:val="75000"/>
            <w14:lumOff w14:val="25000"/>
          </w14:schemeClr>
        </w14:solidFill>
      </w14:textFill>
    </w:rPr>
  </w:style>
  <w:style w:type="character" w:customStyle="1" w:styleId="207">
    <w:name w:val="明显强调11"/>
    <w:basedOn w:val="42"/>
    <w:qFormat/>
    <w:uiPriority w:val="21"/>
    <w:rPr>
      <w:i/>
      <w:iCs/>
      <w:color w:val="376092" w:themeColor="accent1" w:themeShade="BF"/>
    </w:rPr>
  </w:style>
  <w:style w:type="paragraph" w:styleId="208">
    <w:name w:val="Intense Quote"/>
    <w:basedOn w:val="1"/>
    <w:next w:val="1"/>
    <w:link w:val="20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209">
    <w:name w:val="明显引用 Char"/>
    <w:basedOn w:val="42"/>
    <w:link w:val="208"/>
    <w:qFormat/>
    <w:uiPriority w:val="30"/>
    <w:rPr>
      <w:i/>
      <w:iCs/>
      <w:color w:val="376092" w:themeColor="accent1" w:themeShade="BF"/>
    </w:rPr>
  </w:style>
  <w:style w:type="character" w:customStyle="1" w:styleId="210">
    <w:name w:val="明显参考11"/>
    <w:basedOn w:val="42"/>
    <w:qFormat/>
    <w:uiPriority w:val="32"/>
    <w:rPr>
      <w:b/>
      <w:bCs/>
      <w:smallCaps/>
      <w:color w:val="376092" w:themeColor="accent1" w:themeShade="BF"/>
      <w:spacing w:val="5"/>
    </w:rPr>
  </w:style>
  <w:style w:type="paragraph" w:styleId="211">
    <w:name w:val="No Spacing"/>
    <w:basedOn w:val="1"/>
    <w:qFormat/>
    <w:uiPriority w:val="1"/>
  </w:style>
  <w:style w:type="character" w:customStyle="1" w:styleId="212">
    <w:name w:val="不明显强调11"/>
    <w:basedOn w:val="42"/>
    <w:qFormat/>
    <w:uiPriority w:val="19"/>
    <w:rPr>
      <w:i/>
      <w:iCs/>
      <w:color w:val="404040" w:themeColor="text1" w:themeTint="BF"/>
      <w14:textFill>
        <w14:solidFill>
          <w14:schemeClr w14:val="tx1">
            <w14:lumMod w14:val="75000"/>
            <w14:lumOff w14:val="25000"/>
          </w14:schemeClr>
        </w14:solidFill>
      </w14:textFill>
    </w:rPr>
  </w:style>
  <w:style w:type="character" w:customStyle="1" w:styleId="213">
    <w:name w:val="不明显参考11"/>
    <w:basedOn w:val="4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14">
    <w:name w:val="书籍标题11"/>
    <w:basedOn w:val="42"/>
    <w:qFormat/>
    <w:uiPriority w:val="33"/>
    <w:rPr>
      <w:b/>
      <w:bCs/>
      <w:i/>
      <w:iCs/>
      <w:spacing w:val="5"/>
    </w:rPr>
  </w:style>
  <w:style w:type="character" w:customStyle="1" w:styleId="215">
    <w:name w:val="Header Char"/>
    <w:basedOn w:val="42"/>
    <w:qFormat/>
    <w:uiPriority w:val="99"/>
  </w:style>
  <w:style w:type="character" w:customStyle="1" w:styleId="216">
    <w:name w:val="Footer Char"/>
    <w:basedOn w:val="42"/>
    <w:qFormat/>
    <w:uiPriority w:val="99"/>
  </w:style>
  <w:style w:type="character" w:customStyle="1" w:styleId="217">
    <w:name w:val="脚注文本 Char"/>
    <w:basedOn w:val="42"/>
    <w:link w:val="30"/>
    <w:semiHidden/>
    <w:qFormat/>
    <w:uiPriority w:val="99"/>
    <w:rPr>
      <w:sz w:val="20"/>
      <w:szCs w:val="20"/>
    </w:rPr>
  </w:style>
  <w:style w:type="character" w:customStyle="1" w:styleId="218">
    <w:name w:val="尾注文本 Char"/>
    <w:basedOn w:val="42"/>
    <w:link w:val="24"/>
    <w:semiHidden/>
    <w:qFormat/>
    <w:uiPriority w:val="99"/>
    <w:rPr>
      <w:sz w:val="20"/>
      <w:szCs w:val="20"/>
    </w:rPr>
  </w:style>
  <w:style w:type="character" w:styleId="219">
    <w:name w:val="Placeholder Text"/>
    <w:basedOn w:val="42"/>
    <w:semiHidden/>
    <w:qFormat/>
    <w:uiPriority w:val="99"/>
    <w:rPr>
      <w:color w:val="666666"/>
    </w:rPr>
  </w:style>
  <w:style w:type="paragraph" w:customStyle="1" w:styleId="220">
    <w:name w:val="TOC 标题11"/>
    <w:unhideWhenUsed/>
    <w:qFormat/>
    <w:uiPriority w:val="39"/>
    <w:rPr>
      <w:rFonts w:ascii="Times New Roman" w:hAnsi="Times New Roman" w:eastAsia="宋体" w:cs="Times New Roman"/>
      <w:lang w:val="en-US" w:eastAsia="zh-CN" w:bidi="ar-SA"/>
    </w:rPr>
  </w:style>
  <w:style w:type="paragraph" w:customStyle="1" w:styleId="221">
    <w:name w:val="目录 11"/>
    <w:basedOn w:val="1"/>
    <w:next w:val="1"/>
    <w:unhideWhenUsed/>
    <w:qFormat/>
    <w:uiPriority w:val="39"/>
  </w:style>
  <w:style w:type="paragraph" w:customStyle="1" w:styleId="222">
    <w:name w:val="标题 11"/>
    <w:basedOn w:val="1"/>
    <w:next w:val="1"/>
    <w:link w:val="229"/>
    <w:qFormat/>
    <w:uiPriority w:val="0"/>
    <w:pPr>
      <w:keepNext/>
      <w:keepLines/>
      <w:spacing w:before="340" w:after="330" w:line="578" w:lineRule="auto"/>
      <w:outlineLvl w:val="0"/>
    </w:pPr>
    <w:rPr>
      <w:b/>
      <w:bCs/>
      <w:sz w:val="44"/>
      <w:szCs w:val="44"/>
    </w:rPr>
  </w:style>
  <w:style w:type="paragraph" w:customStyle="1" w:styleId="223">
    <w:name w:val="标题 21"/>
    <w:basedOn w:val="1"/>
    <w:next w:val="1"/>
    <w:link w:val="230"/>
    <w:qFormat/>
    <w:uiPriority w:val="9"/>
    <w:pPr>
      <w:keepNext/>
      <w:keepLines/>
      <w:spacing w:before="260" w:after="260" w:line="416" w:lineRule="auto"/>
      <w:outlineLvl w:val="1"/>
    </w:pPr>
    <w:rPr>
      <w:rFonts w:ascii="Cambria" w:hAnsi="Cambria"/>
      <w:b/>
      <w:bCs/>
      <w:sz w:val="32"/>
      <w:szCs w:val="32"/>
    </w:rPr>
  </w:style>
  <w:style w:type="paragraph" w:customStyle="1" w:styleId="224">
    <w:name w:val="标题 31"/>
    <w:basedOn w:val="1"/>
    <w:next w:val="1"/>
    <w:qFormat/>
    <w:uiPriority w:val="9"/>
    <w:pPr>
      <w:spacing w:before="100" w:beforeAutospacing="1" w:after="100" w:afterAutospacing="1"/>
      <w:jc w:val="left"/>
      <w:outlineLvl w:val="2"/>
    </w:pPr>
    <w:rPr>
      <w:rFonts w:hint="eastAsia" w:ascii="宋体" w:hAnsi="宋体"/>
      <w:b/>
      <w:bCs/>
      <w:sz w:val="27"/>
      <w:szCs w:val="27"/>
    </w:rPr>
  </w:style>
  <w:style w:type="paragraph" w:customStyle="1" w:styleId="225">
    <w:name w:val="标题 51"/>
    <w:basedOn w:val="1"/>
    <w:next w:val="226"/>
    <w:link w:val="231"/>
    <w:qFormat/>
    <w:uiPriority w:val="9"/>
    <w:pPr>
      <w:keepNext/>
      <w:keepLines/>
      <w:spacing w:before="280" w:after="290" w:line="376" w:lineRule="auto"/>
      <w:outlineLvl w:val="4"/>
    </w:pPr>
    <w:rPr>
      <w:b/>
      <w:bCs/>
      <w:sz w:val="28"/>
      <w:szCs w:val="28"/>
    </w:rPr>
  </w:style>
  <w:style w:type="paragraph" w:customStyle="1" w:styleId="226">
    <w:name w:val="正文缩进11"/>
    <w:basedOn w:val="1"/>
    <w:qFormat/>
    <w:uiPriority w:val="0"/>
    <w:pPr>
      <w:ind w:firstLine="420"/>
    </w:pPr>
    <w:rPr>
      <w:szCs w:val="20"/>
    </w:rPr>
  </w:style>
  <w:style w:type="character" w:customStyle="1" w:styleId="227">
    <w:name w:val="默认段落字体1"/>
    <w:unhideWhenUsed/>
    <w:qFormat/>
    <w:uiPriority w:val="1"/>
  </w:style>
  <w:style w:type="table" w:customStyle="1" w:styleId="228">
    <w:name w:val="普通表格1"/>
    <w:unhideWhenUsed/>
    <w:qFormat/>
    <w:uiPriority w:val="99"/>
    <w:tblPr>
      <w:tblCellMar>
        <w:top w:w="0" w:type="dxa"/>
        <w:left w:w="108" w:type="dxa"/>
        <w:bottom w:w="0" w:type="dxa"/>
        <w:right w:w="108" w:type="dxa"/>
      </w:tblCellMar>
    </w:tblPr>
  </w:style>
  <w:style w:type="character" w:customStyle="1" w:styleId="229">
    <w:name w:val="标题 1 Char"/>
    <w:link w:val="222"/>
    <w:qFormat/>
    <w:uiPriority w:val="0"/>
    <w:rPr>
      <w:b/>
      <w:bCs/>
      <w:sz w:val="44"/>
      <w:szCs w:val="44"/>
    </w:rPr>
  </w:style>
  <w:style w:type="character" w:customStyle="1" w:styleId="230">
    <w:name w:val="标题 2 Char"/>
    <w:link w:val="223"/>
    <w:qFormat/>
    <w:uiPriority w:val="9"/>
    <w:rPr>
      <w:rFonts w:ascii="Cambria" w:hAnsi="Cambria" w:eastAsia="宋体" w:cs="Times New Roman"/>
      <w:b/>
      <w:bCs/>
      <w:sz w:val="32"/>
      <w:szCs w:val="32"/>
    </w:rPr>
  </w:style>
  <w:style w:type="character" w:customStyle="1" w:styleId="231">
    <w:name w:val="标题 5 Char"/>
    <w:link w:val="225"/>
    <w:semiHidden/>
    <w:qFormat/>
    <w:uiPriority w:val="9"/>
    <w:rPr>
      <w:rFonts w:ascii="Times New Roman" w:hAnsi="Times New Roman"/>
      <w:b/>
      <w:bCs/>
      <w:sz w:val="28"/>
      <w:szCs w:val="28"/>
    </w:rPr>
  </w:style>
  <w:style w:type="paragraph" w:customStyle="1" w:styleId="232">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33">
    <w:name w:val="批注文字1"/>
    <w:basedOn w:val="1"/>
    <w:link w:val="234"/>
    <w:qFormat/>
    <w:uiPriority w:val="0"/>
    <w:pPr>
      <w:jc w:val="left"/>
    </w:pPr>
  </w:style>
  <w:style w:type="character" w:customStyle="1" w:styleId="234">
    <w:name w:val="批注文字 Char"/>
    <w:link w:val="233"/>
    <w:qFormat/>
    <w:uiPriority w:val="0"/>
    <w:rPr>
      <w:rFonts w:ascii="Times New Roman" w:hAnsi="Times New Roman"/>
      <w:sz w:val="21"/>
      <w:szCs w:val="24"/>
    </w:rPr>
  </w:style>
  <w:style w:type="paragraph" w:customStyle="1" w:styleId="235">
    <w:name w:val="正文文本 31"/>
    <w:basedOn w:val="1"/>
    <w:link w:val="236"/>
    <w:unhideWhenUsed/>
    <w:qFormat/>
    <w:uiPriority w:val="99"/>
    <w:pPr>
      <w:spacing w:after="120"/>
    </w:pPr>
    <w:rPr>
      <w:sz w:val="16"/>
      <w:szCs w:val="16"/>
    </w:rPr>
  </w:style>
  <w:style w:type="character" w:customStyle="1" w:styleId="236">
    <w:name w:val="正文文本 3 Char"/>
    <w:link w:val="235"/>
    <w:semiHidden/>
    <w:qFormat/>
    <w:uiPriority w:val="99"/>
    <w:rPr>
      <w:rFonts w:ascii="Times New Roman" w:hAnsi="Times New Roman"/>
      <w:sz w:val="16"/>
      <w:szCs w:val="16"/>
    </w:rPr>
  </w:style>
  <w:style w:type="paragraph" w:customStyle="1" w:styleId="237">
    <w:name w:val="正文文本1"/>
    <w:basedOn w:val="1"/>
    <w:next w:val="238"/>
    <w:link w:val="239"/>
    <w:unhideWhenUsed/>
    <w:qFormat/>
    <w:uiPriority w:val="0"/>
    <w:pPr>
      <w:spacing w:after="120"/>
    </w:pPr>
  </w:style>
  <w:style w:type="paragraph" w:customStyle="1" w:styleId="238">
    <w:name w:val="日期1"/>
    <w:basedOn w:val="1"/>
    <w:next w:val="1"/>
    <w:link w:val="240"/>
    <w:unhideWhenUsed/>
    <w:qFormat/>
    <w:uiPriority w:val="99"/>
    <w:pPr>
      <w:ind w:left="100"/>
    </w:pPr>
  </w:style>
  <w:style w:type="character" w:customStyle="1" w:styleId="239">
    <w:name w:val="正文文本 Char"/>
    <w:link w:val="237"/>
    <w:qFormat/>
    <w:uiPriority w:val="0"/>
    <w:rPr>
      <w:rFonts w:ascii="Times New Roman" w:hAnsi="Times New Roman"/>
      <w:sz w:val="21"/>
      <w:szCs w:val="24"/>
    </w:rPr>
  </w:style>
  <w:style w:type="character" w:customStyle="1" w:styleId="240">
    <w:name w:val="日期 Char"/>
    <w:link w:val="238"/>
    <w:semiHidden/>
    <w:qFormat/>
    <w:uiPriority w:val="99"/>
    <w:rPr>
      <w:rFonts w:ascii="Times New Roman" w:hAnsi="Times New Roman"/>
      <w:sz w:val="21"/>
      <w:szCs w:val="24"/>
    </w:rPr>
  </w:style>
  <w:style w:type="paragraph" w:customStyle="1" w:styleId="241">
    <w:name w:val="正文文本缩进1"/>
    <w:basedOn w:val="1"/>
    <w:next w:val="1"/>
    <w:link w:val="242"/>
    <w:qFormat/>
    <w:uiPriority w:val="0"/>
    <w:pPr>
      <w:ind w:firstLine="830"/>
    </w:pPr>
    <w:rPr>
      <w:rFonts w:ascii="仿宋_GB2312" w:eastAsia="仿宋_GB2312"/>
      <w:sz w:val="32"/>
      <w:szCs w:val="20"/>
    </w:rPr>
  </w:style>
  <w:style w:type="character" w:customStyle="1" w:styleId="242">
    <w:name w:val="正文文本缩进 Char"/>
    <w:link w:val="241"/>
    <w:qFormat/>
    <w:uiPriority w:val="0"/>
    <w:rPr>
      <w:rFonts w:ascii="仿宋_GB2312" w:hAnsi="Times New Roman" w:eastAsia="仿宋_GB2312" w:cs="Times New Roman"/>
      <w:sz w:val="32"/>
      <w:szCs w:val="20"/>
    </w:rPr>
  </w:style>
  <w:style w:type="paragraph" w:customStyle="1" w:styleId="243">
    <w:name w:val="列表 21"/>
    <w:basedOn w:val="1"/>
    <w:unhideWhenUsed/>
    <w:qFormat/>
    <w:uiPriority w:val="99"/>
    <w:pPr>
      <w:ind w:left="100" w:hanging="200"/>
      <w:contextualSpacing/>
    </w:pPr>
  </w:style>
  <w:style w:type="paragraph" w:customStyle="1" w:styleId="244">
    <w:name w:val="纯文本1"/>
    <w:basedOn w:val="1"/>
    <w:link w:val="245"/>
    <w:qFormat/>
    <w:uiPriority w:val="0"/>
    <w:rPr>
      <w:rFonts w:ascii="宋体" w:hAnsi="Courier New"/>
      <w:sz w:val="20"/>
      <w:szCs w:val="21"/>
    </w:rPr>
  </w:style>
  <w:style w:type="character" w:customStyle="1" w:styleId="245">
    <w:name w:val="纯文本 Char"/>
    <w:link w:val="244"/>
    <w:qFormat/>
    <w:uiPriority w:val="0"/>
    <w:rPr>
      <w:rFonts w:ascii="宋体" w:hAnsi="Courier New" w:eastAsia="宋体" w:cs="Courier New"/>
      <w:szCs w:val="21"/>
    </w:rPr>
  </w:style>
  <w:style w:type="paragraph" w:customStyle="1" w:styleId="246">
    <w:name w:val="批注框文本1"/>
    <w:basedOn w:val="1"/>
    <w:semiHidden/>
    <w:qFormat/>
    <w:uiPriority w:val="0"/>
    <w:rPr>
      <w:sz w:val="18"/>
      <w:szCs w:val="18"/>
    </w:rPr>
  </w:style>
  <w:style w:type="paragraph" w:customStyle="1" w:styleId="247">
    <w:name w:val="页脚1"/>
    <w:basedOn w:val="1"/>
    <w:next w:val="1"/>
    <w:link w:val="248"/>
    <w:unhideWhenUsed/>
    <w:qFormat/>
    <w:uiPriority w:val="99"/>
    <w:pPr>
      <w:tabs>
        <w:tab w:val="center" w:pos="4153"/>
        <w:tab w:val="right" w:pos="8306"/>
      </w:tabs>
      <w:jc w:val="left"/>
    </w:pPr>
    <w:rPr>
      <w:sz w:val="18"/>
      <w:szCs w:val="18"/>
    </w:rPr>
  </w:style>
  <w:style w:type="character" w:customStyle="1" w:styleId="248">
    <w:name w:val="页脚 Char1"/>
    <w:link w:val="247"/>
    <w:qFormat/>
    <w:uiPriority w:val="99"/>
    <w:rPr>
      <w:sz w:val="18"/>
      <w:szCs w:val="18"/>
    </w:rPr>
  </w:style>
  <w:style w:type="paragraph" w:customStyle="1" w:styleId="249">
    <w:name w:val="页眉1"/>
    <w:basedOn w:val="1"/>
    <w:link w:val="250"/>
    <w:unhideWhenUsed/>
    <w:qFormat/>
    <w:uiPriority w:val="99"/>
    <w:pPr>
      <w:pBdr>
        <w:bottom w:val="single" w:color="000000" w:sz="6" w:space="1"/>
      </w:pBdr>
      <w:tabs>
        <w:tab w:val="center" w:pos="4153"/>
        <w:tab w:val="right" w:pos="8306"/>
      </w:tabs>
      <w:jc w:val="center"/>
    </w:pPr>
    <w:rPr>
      <w:sz w:val="18"/>
      <w:szCs w:val="18"/>
    </w:rPr>
  </w:style>
  <w:style w:type="character" w:customStyle="1" w:styleId="250">
    <w:name w:val="页眉 Char"/>
    <w:link w:val="249"/>
    <w:qFormat/>
    <w:uiPriority w:val="99"/>
    <w:rPr>
      <w:sz w:val="18"/>
      <w:szCs w:val="18"/>
    </w:rPr>
  </w:style>
  <w:style w:type="paragraph" w:customStyle="1" w:styleId="251">
    <w:name w:val="目录 41"/>
    <w:basedOn w:val="1"/>
    <w:next w:val="1"/>
    <w:qFormat/>
    <w:uiPriority w:val="0"/>
    <w:pPr>
      <w:ind w:left="850"/>
    </w:pPr>
  </w:style>
  <w:style w:type="paragraph" w:customStyle="1" w:styleId="252">
    <w:name w:val="脚注文本1"/>
    <w:basedOn w:val="1"/>
    <w:qFormat/>
    <w:uiPriority w:val="0"/>
    <w:pPr>
      <w:jc w:val="left"/>
    </w:pPr>
    <w:rPr>
      <w:sz w:val="18"/>
      <w:szCs w:val="18"/>
    </w:rPr>
  </w:style>
  <w:style w:type="paragraph" w:customStyle="1" w:styleId="253">
    <w:name w:val="目录 21"/>
    <w:basedOn w:val="1"/>
    <w:next w:val="1"/>
    <w:unhideWhenUsed/>
    <w:qFormat/>
    <w:uiPriority w:val="39"/>
    <w:pPr>
      <w:tabs>
        <w:tab w:val="right" w:leader="dot" w:pos="8296"/>
      </w:tabs>
      <w:ind w:left="420"/>
    </w:pPr>
  </w:style>
  <w:style w:type="paragraph" w:customStyle="1" w:styleId="254">
    <w:name w:val="正文文本 21"/>
    <w:basedOn w:val="1"/>
    <w:qFormat/>
    <w:uiPriority w:val="0"/>
    <w:pPr>
      <w:spacing w:after="120" w:line="480" w:lineRule="auto"/>
    </w:pPr>
    <w:rPr>
      <w:sz w:val="20"/>
    </w:rPr>
  </w:style>
  <w:style w:type="paragraph" w:customStyle="1" w:styleId="255">
    <w:name w:val="普通(网站)1"/>
    <w:basedOn w:val="1"/>
    <w:unhideWhenUsed/>
    <w:qFormat/>
    <w:uiPriority w:val="99"/>
    <w:rPr>
      <w:rFonts w:ascii="Calibri" w:hAnsi="Calibri"/>
      <w:sz w:val="24"/>
    </w:rPr>
  </w:style>
  <w:style w:type="paragraph" w:customStyle="1" w:styleId="256">
    <w:name w:val="索引 11"/>
    <w:basedOn w:val="1"/>
    <w:next w:val="1"/>
    <w:qFormat/>
    <w:uiPriority w:val="0"/>
  </w:style>
  <w:style w:type="paragraph" w:customStyle="1" w:styleId="257">
    <w:name w:val="标题1"/>
    <w:basedOn w:val="1"/>
    <w:next w:val="1"/>
    <w:qFormat/>
    <w:uiPriority w:val="10"/>
    <w:pPr>
      <w:spacing w:before="240" w:after="60"/>
      <w:jc w:val="center"/>
      <w:outlineLvl w:val="0"/>
    </w:pPr>
    <w:rPr>
      <w:rFonts w:ascii="Cambria" w:hAnsi="Cambria"/>
      <w:b/>
      <w:bCs/>
      <w:sz w:val="32"/>
      <w:szCs w:val="32"/>
    </w:rPr>
  </w:style>
  <w:style w:type="paragraph" w:customStyle="1" w:styleId="258">
    <w:name w:val="批注主题1"/>
    <w:basedOn w:val="233"/>
    <w:next w:val="233"/>
    <w:link w:val="259"/>
    <w:qFormat/>
    <w:uiPriority w:val="99"/>
    <w:rPr>
      <w:b/>
      <w:bCs/>
    </w:rPr>
  </w:style>
  <w:style w:type="character" w:customStyle="1" w:styleId="259">
    <w:name w:val="批注主题 Char"/>
    <w:link w:val="258"/>
    <w:qFormat/>
    <w:uiPriority w:val="99"/>
    <w:rPr>
      <w:rFonts w:ascii="Times New Roman" w:hAnsi="Times New Roman"/>
      <w:b/>
      <w:bCs/>
      <w:sz w:val="21"/>
      <w:szCs w:val="24"/>
    </w:rPr>
  </w:style>
  <w:style w:type="paragraph" w:customStyle="1" w:styleId="260">
    <w:name w:val="正文首行缩进1"/>
    <w:basedOn w:val="237"/>
    <w:next w:val="1"/>
    <w:unhideWhenUsed/>
    <w:qFormat/>
    <w:uiPriority w:val="99"/>
    <w:pPr>
      <w:ind w:firstLine="420"/>
    </w:pPr>
  </w:style>
  <w:style w:type="paragraph" w:customStyle="1" w:styleId="261">
    <w:name w:val="正文首行缩进 211"/>
    <w:basedOn w:val="241"/>
    <w:qFormat/>
    <w:uiPriority w:val="0"/>
    <w:pPr>
      <w:spacing w:after="120"/>
      <w:ind w:left="420" w:firstLine="420"/>
    </w:pPr>
    <w:rPr>
      <w:rFonts w:hAnsi="宋体" w:eastAsia="华文仿宋"/>
      <w:szCs w:val="32"/>
    </w:rPr>
  </w:style>
  <w:style w:type="table" w:customStyle="1" w:styleId="262">
    <w:name w:val="网格型1"/>
    <w:basedOn w:val="22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63">
    <w:name w:val="要点1"/>
    <w:qFormat/>
    <w:uiPriority w:val="0"/>
    <w:rPr>
      <w:b/>
    </w:rPr>
  </w:style>
  <w:style w:type="character" w:customStyle="1" w:styleId="264">
    <w:name w:val="已访问的超链接1"/>
    <w:qFormat/>
    <w:uiPriority w:val="0"/>
    <w:rPr>
      <w:color w:val="771CAA"/>
      <w:sz w:val="20"/>
      <w:u w:val="none"/>
    </w:rPr>
  </w:style>
  <w:style w:type="character" w:customStyle="1" w:styleId="265">
    <w:name w:val="强调1"/>
    <w:qFormat/>
    <w:uiPriority w:val="20"/>
    <w:rPr>
      <w:i/>
    </w:rPr>
  </w:style>
  <w:style w:type="character" w:customStyle="1" w:styleId="266">
    <w:name w:val="超链接1"/>
    <w:unhideWhenUsed/>
    <w:qFormat/>
    <w:uiPriority w:val="99"/>
    <w:rPr>
      <w:color w:val="0000FF"/>
      <w:u w:val="single"/>
    </w:rPr>
  </w:style>
  <w:style w:type="character" w:customStyle="1" w:styleId="267">
    <w:name w:val="批注引用1"/>
    <w:qFormat/>
    <w:uiPriority w:val="0"/>
    <w:rPr>
      <w:sz w:val="21"/>
      <w:szCs w:val="21"/>
    </w:rPr>
  </w:style>
  <w:style w:type="paragraph" w:customStyle="1" w:styleId="268">
    <w:name w:val="正文缩进1"/>
    <w:basedOn w:val="1"/>
    <w:next w:val="241"/>
    <w:qFormat/>
    <w:uiPriority w:val="0"/>
    <w:pPr>
      <w:ind w:firstLine="420"/>
    </w:pPr>
    <w:rPr>
      <w:szCs w:val="20"/>
    </w:rPr>
  </w:style>
  <w:style w:type="character" w:customStyle="1" w:styleId="269">
    <w:name w:val="font21"/>
    <w:qFormat/>
    <w:uiPriority w:val="0"/>
    <w:rPr>
      <w:rFonts w:hint="eastAsia" w:ascii="宋体" w:hAnsi="宋体" w:eastAsia="宋体" w:cs="宋体"/>
      <w:color w:val="000000"/>
      <w:sz w:val="20"/>
      <w:szCs w:val="20"/>
      <w:u w:val="none"/>
    </w:rPr>
  </w:style>
  <w:style w:type="character" w:customStyle="1" w:styleId="270">
    <w:name w:val="font01"/>
    <w:qFormat/>
    <w:uiPriority w:val="0"/>
    <w:rPr>
      <w:rFonts w:hint="eastAsia" w:ascii="宋体" w:hAnsi="宋体" w:eastAsia="宋体" w:cs="宋体"/>
      <w:color w:val="000000"/>
      <w:sz w:val="22"/>
      <w:szCs w:val="22"/>
      <w:u w:val="none"/>
    </w:rPr>
  </w:style>
  <w:style w:type="character" w:customStyle="1" w:styleId="271">
    <w:name w:val="页脚 Char"/>
    <w:qFormat/>
    <w:uiPriority w:val="99"/>
    <w:rPr>
      <w:lang w:eastAsia="zh-CN"/>
    </w:rPr>
  </w:style>
  <w:style w:type="character" w:customStyle="1" w:styleId="272">
    <w:name w:val="纯文本 字符2"/>
    <w:qFormat/>
    <w:uiPriority w:val="0"/>
    <w:rPr>
      <w:rFonts w:ascii="宋体" w:hAnsi="Courier New" w:eastAsia="宋体" w:cs="Courier New"/>
      <w:szCs w:val="21"/>
    </w:rPr>
  </w:style>
  <w:style w:type="character" w:customStyle="1" w:styleId="273">
    <w:name w:val="批注文字 字符2"/>
    <w:qFormat/>
    <w:uiPriority w:val="0"/>
    <w:rPr>
      <w:rFonts w:ascii="Times New Roman" w:hAnsi="Times New Roman"/>
      <w:sz w:val="21"/>
      <w:szCs w:val="24"/>
    </w:rPr>
  </w:style>
  <w:style w:type="character" w:customStyle="1" w:styleId="274">
    <w:name w:val="font31"/>
    <w:qFormat/>
    <w:uiPriority w:val="0"/>
    <w:rPr>
      <w:rFonts w:ascii="仿宋" w:hAnsi="仿宋" w:eastAsia="仿宋" w:cs="仿宋"/>
      <w:color w:val="000000"/>
      <w:sz w:val="18"/>
      <w:szCs w:val="18"/>
      <w:u w:val="none"/>
    </w:rPr>
  </w:style>
  <w:style w:type="character" w:customStyle="1" w:styleId="275">
    <w:name w:val="apple-style-span"/>
    <w:qFormat/>
    <w:uiPriority w:val="0"/>
  </w:style>
  <w:style w:type="character" w:customStyle="1" w:styleId="276">
    <w:name w:val="正文2 Char Char"/>
    <w:link w:val="277"/>
    <w:qFormat/>
    <w:uiPriority w:val="0"/>
    <w:rPr>
      <w:sz w:val="24"/>
    </w:rPr>
  </w:style>
  <w:style w:type="paragraph" w:customStyle="1" w:styleId="277">
    <w:name w:val="正文2"/>
    <w:basedOn w:val="1"/>
    <w:link w:val="276"/>
    <w:qFormat/>
    <w:uiPriority w:val="0"/>
    <w:pPr>
      <w:spacing w:before="156" w:line="360" w:lineRule="auto"/>
      <w:ind w:firstLine="510"/>
    </w:pPr>
    <w:rPr>
      <w:sz w:val="24"/>
      <w:szCs w:val="20"/>
    </w:rPr>
  </w:style>
  <w:style w:type="character" w:customStyle="1" w:styleId="278">
    <w:name w:val="font61"/>
    <w:qFormat/>
    <w:uiPriority w:val="0"/>
    <w:rPr>
      <w:rFonts w:ascii="Helvetica" w:hAnsi="Helvetica" w:eastAsia="Helvetica" w:cs="Helvetica"/>
      <w:color w:val="333333"/>
      <w:sz w:val="22"/>
      <w:szCs w:val="22"/>
      <w:u w:val="none"/>
    </w:rPr>
  </w:style>
  <w:style w:type="character" w:customStyle="1" w:styleId="279">
    <w:name w:val="纯文本 字符1"/>
    <w:qFormat/>
    <w:uiPriority w:val="0"/>
    <w:rPr>
      <w:rFonts w:ascii="宋体" w:hAnsi="Courier New"/>
    </w:rPr>
  </w:style>
  <w:style w:type="character" w:customStyle="1" w:styleId="280">
    <w:name w:val="textcontents"/>
    <w:qFormat/>
    <w:uiPriority w:val="0"/>
  </w:style>
  <w:style w:type="character" w:customStyle="1" w:styleId="281">
    <w:name w:val="正文文本 (26) + 间距 0 pt"/>
    <w:qFormat/>
    <w:uiPriority w:val="0"/>
    <w:rPr>
      <w:rFonts w:hint="eastAsia" w:ascii="宋体" w:hAnsi="宋体" w:eastAsia="宋体" w:cs="宋体"/>
      <w:color w:val="000000"/>
      <w:spacing w:val="0"/>
      <w:position w:val="0"/>
      <w:sz w:val="22"/>
      <w:szCs w:val="22"/>
      <w:u w:val="none"/>
      <w:lang w:val="zh-CN" w:eastAsia="zh-CN" w:bidi="zh-CN"/>
    </w:rPr>
  </w:style>
  <w:style w:type="character" w:customStyle="1" w:styleId="282">
    <w:name w:val="批注文字 字符1"/>
    <w:qFormat/>
    <w:uiPriority w:val="0"/>
    <w:rPr>
      <w:sz w:val="21"/>
      <w:szCs w:val="24"/>
    </w:rPr>
  </w:style>
  <w:style w:type="character" w:customStyle="1" w:styleId="283">
    <w:name w:val="批注文字 Char1"/>
    <w:qFormat/>
    <w:uiPriority w:val="0"/>
    <w:rPr>
      <w:rFonts w:ascii="Times New Roman" w:hAnsi="Times New Roman"/>
      <w:sz w:val="21"/>
      <w:szCs w:val="24"/>
    </w:rPr>
  </w:style>
  <w:style w:type="character" w:customStyle="1" w:styleId="284">
    <w:name w:val="font41"/>
    <w:qFormat/>
    <w:uiPriority w:val="0"/>
    <w:rPr>
      <w:rFonts w:hint="eastAsia" w:ascii="微软雅黑" w:hAnsi="微软雅黑" w:eastAsia="微软雅黑" w:cs="微软雅黑"/>
      <w:color w:val="000000"/>
      <w:sz w:val="28"/>
      <w:szCs w:val="28"/>
      <w:u w:val="none"/>
    </w:rPr>
  </w:style>
  <w:style w:type="character" w:customStyle="1" w:styleId="285">
    <w:name w:val="纯文本 Char1"/>
    <w:qFormat/>
    <w:uiPriority w:val="0"/>
    <w:rPr>
      <w:rFonts w:ascii="宋体" w:hAnsi="Courier New" w:eastAsia="宋体" w:cs="Courier New"/>
      <w:szCs w:val="21"/>
    </w:rPr>
  </w:style>
  <w:style w:type="character" w:customStyle="1" w:styleId="286">
    <w:name w:val="font51"/>
    <w:qFormat/>
    <w:uiPriority w:val="0"/>
    <w:rPr>
      <w:rFonts w:hint="eastAsia" w:ascii="宋体" w:hAnsi="宋体" w:eastAsia="宋体" w:cs="宋体"/>
      <w:color w:val="000000"/>
      <w:sz w:val="21"/>
      <w:szCs w:val="21"/>
      <w:u w:val="none"/>
    </w:rPr>
  </w:style>
  <w:style w:type="character" w:customStyle="1" w:styleId="287">
    <w:name w:val="批注文字 Char2"/>
    <w:qFormat/>
    <w:uiPriority w:val="0"/>
    <w:rPr>
      <w:rFonts w:ascii="Times New Roman" w:hAnsi="Times New Roman"/>
      <w:sz w:val="21"/>
      <w:szCs w:val="24"/>
    </w:rPr>
  </w:style>
  <w:style w:type="character" w:customStyle="1" w:styleId="288">
    <w:name w:val="正文文本缩进 字符1"/>
    <w:qFormat/>
    <w:uiPriority w:val="0"/>
    <w:rPr>
      <w:rFonts w:ascii="仿宋_GB2312" w:hAnsi="Times New Roman" w:eastAsia="仿宋_GB2312" w:cs="Times New Roman"/>
      <w:sz w:val="32"/>
      <w:szCs w:val="20"/>
    </w:rPr>
  </w:style>
  <w:style w:type="character" w:customStyle="1" w:styleId="289">
    <w:name w:val="font11"/>
    <w:qFormat/>
    <w:uiPriority w:val="0"/>
    <w:rPr>
      <w:rFonts w:hint="eastAsia" w:ascii="宋体" w:hAnsi="宋体" w:eastAsia="宋体" w:cs="宋体"/>
      <w:color w:val="000000"/>
      <w:sz w:val="18"/>
      <w:szCs w:val="18"/>
      <w:u w:val="none"/>
    </w:rPr>
  </w:style>
  <w:style w:type="character" w:customStyle="1" w:styleId="290">
    <w:name w:val="标题 1 字符"/>
    <w:qFormat/>
    <w:uiPriority w:val="9"/>
    <w:rPr>
      <w:b/>
      <w:bCs/>
      <w:sz w:val="44"/>
      <w:szCs w:val="44"/>
    </w:rPr>
  </w:style>
  <w:style w:type="paragraph" w:customStyle="1" w:styleId="291">
    <w:name w:val="Default"/>
    <w:qFormat/>
    <w:uiPriority w:val="0"/>
    <w:pPr>
      <w:widowControl w:val="0"/>
      <w:jc w:val="both"/>
    </w:pPr>
    <w:rPr>
      <w:rFonts w:ascii="宋体" w:hAnsi="Times New Roman" w:eastAsia="宋体" w:cs="Times New Roman"/>
      <w:color w:val="000000"/>
      <w:sz w:val="24"/>
      <w:szCs w:val="24"/>
      <w:lang w:val="en-US" w:eastAsia="zh-CN" w:bidi="ar-SA"/>
    </w:rPr>
  </w:style>
  <w:style w:type="paragraph" w:customStyle="1" w:styleId="292">
    <w:name w:val="BodyText1"/>
    <w:basedOn w:val="1"/>
    <w:qFormat/>
    <w:uiPriority w:val="0"/>
    <w:pPr>
      <w:spacing w:line="380" w:lineRule="exact"/>
    </w:pPr>
    <w:rPr>
      <w:sz w:val="24"/>
    </w:rPr>
  </w:style>
  <w:style w:type="paragraph" w:customStyle="1" w:styleId="293">
    <w:name w:val="Title1"/>
    <w:basedOn w:val="1"/>
    <w:next w:val="1"/>
    <w:qFormat/>
    <w:uiPriority w:val="0"/>
    <w:pPr>
      <w:jc w:val="center"/>
      <w:outlineLvl w:val="0"/>
    </w:pPr>
    <w:rPr>
      <w:rFonts w:ascii="Calibri Light" w:hAnsi="Calibri Light" w:eastAsia="Arial Unicode MS"/>
      <w:b/>
    </w:rPr>
  </w:style>
  <w:style w:type="paragraph" w:customStyle="1" w:styleId="294">
    <w:name w:val="默认段落字体 Para Char Char Char Char Char Char Char Char Char1 Char Char Char Char"/>
    <w:basedOn w:val="1"/>
    <w:qFormat/>
    <w:uiPriority w:val="0"/>
    <w:rPr>
      <w:rFonts w:ascii="Tahoma" w:hAnsi="Tahoma"/>
      <w:sz w:val="24"/>
      <w:szCs w:val="20"/>
    </w:rPr>
  </w:style>
  <w:style w:type="paragraph" w:customStyle="1" w:styleId="295">
    <w:name w:val="列出段落1"/>
    <w:basedOn w:val="1"/>
    <w:qFormat/>
    <w:uiPriority w:val="34"/>
    <w:pPr>
      <w:ind w:firstLine="420"/>
    </w:pPr>
  </w:style>
  <w:style w:type="paragraph" w:customStyle="1" w:styleId="296">
    <w:name w:val="正文1"/>
    <w:qFormat/>
    <w:uiPriority w:val="0"/>
    <w:pPr>
      <w:widowControl w:val="0"/>
      <w:spacing w:line="360" w:lineRule="auto"/>
      <w:jc w:val="both"/>
    </w:pPr>
    <w:rPr>
      <w:rFonts w:ascii="宋体" w:hAnsi="宋体" w:eastAsia="宋体" w:cs="Times New Roman"/>
      <w:sz w:val="21"/>
      <w:szCs w:val="24"/>
      <w:lang w:val="en-US" w:eastAsia="zh-CN" w:bidi="ar-SA"/>
    </w:rPr>
  </w:style>
  <w:style w:type="paragraph" w:styleId="297">
    <w:name w:val="List Paragraph"/>
    <w:basedOn w:val="1"/>
    <w:qFormat/>
    <w:uiPriority w:val="34"/>
    <w:pPr>
      <w:ind w:firstLine="420"/>
    </w:pPr>
  </w:style>
  <w:style w:type="paragraph" w:customStyle="1" w:styleId="298">
    <w:name w:val="p0"/>
    <w:basedOn w:val="1"/>
    <w:qFormat/>
    <w:uiPriority w:val="0"/>
    <w:pPr>
      <w:widowControl/>
    </w:pPr>
    <w:rPr>
      <w:szCs w:val="21"/>
    </w:rPr>
  </w:style>
  <w:style w:type="paragraph" w:customStyle="1" w:styleId="299">
    <w:name w:val="表格文字"/>
    <w:basedOn w:val="1"/>
    <w:qFormat/>
    <w:uiPriority w:val="0"/>
    <w:pPr>
      <w:spacing w:before="25" w:after="25"/>
      <w:jc w:val="left"/>
    </w:pPr>
    <w:rPr>
      <w:bCs/>
      <w:spacing w:val="10"/>
      <w:sz w:val="24"/>
    </w:rPr>
  </w:style>
  <w:style w:type="paragraph" w:customStyle="1" w:styleId="300">
    <w:name w:val="正文首行缩进 21"/>
    <w:basedOn w:val="241"/>
    <w:qFormat/>
    <w:uiPriority w:val="0"/>
    <w:pPr>
      <w:spacing w:after="120"/>
      <w:ind w:left="420" w:firstLine="420"/>
    </w:pPr>
    <w:rPr>
      <w:szCs w:val="24"/>
    </w:rPr>
  </w:style>
  <w:style w:type="paragraph" w:customStyle="1" w:styleId="301">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02">
    <w:name w:val="列出段落11"/>
    <w:basedOn w:val="1"/>
    <w:qFormat/>
    <w:uiPriority w:val="34"/>
    <w:pPr>
      <w:ind w:firstLine="420"/>
    </w:pPr>
    <w:rPr>
      <w:rFonts w:ascii="Calibri" w:hAnsi="Calibri"/>
      <w:szCs w:val="22"/>
    </w:rPr>
  </w:style>
  <w:style w:type="paragraph" w:customStyle="1" w:styleId="303">
    <w:name w:val="Table Paragraph"/>
    <w:basedOn w:val="1"/>
    <w:qFormat/>
    <w:uiPriority w:val="1"/>
    <w:pPr>
      <w:jc w:val="left"/>
    </w:pPr>
    <w:rPr>
      <w:rFonts w:ascii="Calibri" w:hAnsi="Calibri"/>
      <w:sz w:val="22"/>
      <w:szCs w:val="22"/>
      <w:lang w:eastAsia="en-US"/>
    </w:rPr>
  </w:style>
  <w:style w:type="paragraph" w:customStyle="1" w:styleId="304">
    <w:name w:val="目录 81"/>
    <w:basedOn w:val="1"/>
    <w:next w:val="1"/>
    <w:semiHidden/>
    <w:qFormat/>
    <w:uiPriority w:val="0"/>
    <w:pPr>
      <w:ind w:left="1470"/>
    </w:pPr>
    <w:rPr>
      <w:rFonts w:ascii="宋体"/>
      <w:sz w:val="18"/>
    </w:rPr>
  </w:style>
  <w:style w:type="character" w:customStyle="1" w:styleId="305">
    <w:name w:val="批注文字 Char3"/>
    <w:link w:val="14"/>
    <w:qFormat/>
    <w:uiPriority w:val="0"/>
    <w:rPr>
      <w:sz w:val="21"/>
      <w:szCs w:val="24"/>
    </w:rPr>
  </w:style>
  <w:style w:type="character" w:customStyle="1" w:styleId="306">
    <w:name w:val="批注主题 Char1"/>
    <w:link w:val="38"/>
    <w:qFormat/>
    <w:uiPriority w:val="0"/>
    <w:rPr>
      <w:b/>
      <w:bCs/>
      <w:sz w:val="21"/>
      <w:szCs w:val="24"/>
    </w:rPr>
  </w:style>
  <w:style w:type="character" w:customStyle="1" w:styleId="307">
    <w:name w:val="批注框文本 Char"/>
    <w:basedOn w:val="42"/>
    <w:link w:val="25"/>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广西云龙招</Company>
  <Pages>90</Pages>
  <Words>20403</Words>
  <Characters>21746</Characters>
  <Lines>465</Lines>
  <Paragraphs>131</Paragraphs>
  <TotalTime>17</TotalTime>
  <ScaleCrop>false</ScaleCrop>
  <LinksUpToDate>false</LinksUpToDate>
  <CharactersWithSpaces>22093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2025-12-03T09:53:00Z</dcterms:created>
  <dc:creator>唐</dc:creator>
  <cp:lastModifiedBy>黄冬妮</cp:lastModifiedBy>
  <dcterms:modified xsi:type="dcterms:W3CDTF">2026-08-17T09:21:57Z</dcterms:modified>
  <dc:title>竞争性谈判</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0731AC91C5B5498A9F6AF0FAD0D4C52F_13</vt:lpwstr>
  </property>
  <property fmtid="{D5CDD505-2E9C-101B-9397-08002B2CF9AE}" pid="4" name="KSOTemplateDocerSaveRecord">
    <vt:lpwstr>eyJoZGlkIjoiZjcxNmQ5OGMyODMwODc0MDYzZTFjNmEwMmVlZWI1YmEiLCJ1c2VySWQiOiIyNDI0MjAwMyJ9</vt:lpwstr>
  </property>
</Properties>
</file>